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shd w:val="solid" w:color="FFFFFF" w:fill="auto"/>
        </w:rPr>
      </w:pPr>
      <w:bookmarkStart w:id="0" w:name="LW_BM_COVERPAGE"/>
      <w:r>
        <w:rPr>
          <w:noProof/>
          <w:shd w:val="solid" w:color="FFFFFF" w:fil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23E67FF7EF3F4935BD43E4DDB96CABFD" style="width:450pt;height:380.25pt">
            <v:imagedata r:id="rId9" o:title=""/>
          </v:shape>
        </w:pict>
      </w:r>
    </w:p>
    <w:bookmarkEnd w:id="0"/>
    <w:p>
      <w:pPr>
        <w:rPr>
          <w:noProof/>
          <w:shd w:val="solid" w:color="FFFFFF" w:fill="auto"/>
          <w:lang w:eastAsia="ru-RU"/>
        </w:rPr>
        <w:sectPr>
          <w:headerReference w:type="even" r:id="rId10"/>
          <w:headerReference w:type="default" r:id="rId11"/>
          <w:footerReference w:type="even" r:id="rId12"/>
          <w:footerReference w:type="default" r:id="rId13"/>
          <w:headerReference w:type="first" r:id="rId14"/>
          <w:footerReference w:type="first" r:id="rId15"/>
          <w:pgSz w:w="11906" w:h="16838" w:code="1"/>
          <w:pgMar w:top="1134" w:right="1417" w:bottom="1134" w:left="1417" w:header="709" w:footer="709" w:gutter="0"/>
          <w:pgNumType w:start="79"/>
          <w:cols w:space="720"/>
          <w:docGrid w:linePitch="326"/>
        </w:sectPr>
      </w:pPr>
    </w:p>
    <w:p>
      <w:pPr>
        <w:spacing w:line="240" w:lineRule="auto"/>
        <w:jc w:val="center"/>
        <w:rPr>
          <w:b/>
          <w:bCs/>
          <w:noProof/>
          <w:u w:val="single"/>
          <w:shd w:val="solid" w:color="FFFFFF" w:fill="auto"/>
          <w:lang w:eastAsia="ru-RU"/>
        </w:rPr>
      </w:pPr>
      <w:bookmarkStart w:id="1" w:name="_GoBack"/>
      <w:bookmarkEnd w:id="1"/>
    </w:p>
    <w:p>
      <w:pPr>
        <w:spacing w:line="240" w:lineRule="auto"/>
        <w:jc w:val="center"/>
        <w:rPr>
          <w:rFonts w:eastAsiaTheme="minorHAnsi"/>
          <w:b/>
          <w:bCs/>
          <w:noProof/>
          <w:szCs w:val="22"/>
          <w:u w:val="single"/>
          <w:shd w:val="solid" w:color="FFFFFF" w:fill="auto"/>
          <w:lang w:eastAsia="en-US"/>
        </w:rPr>
      </w:pPr>
      <w:r>
        <w:rPr>
          <w:b/>
          <w:bCs/>
          <w:noProof/>
          <w:u w:val="single"/>
          <w:shd w:val="solid" w:color="FFFFFF" w:fill="auto"/>
          <w:lang w:eastAsia="ru-RU"/>
        </w:rPr>
        <w:t>ANNEXE 2</w:t>
      </w:r>
      <w:r>
        <w:rPr>
          <w:b/>
          <w:bCs/>
          <w:noProof/>
          <w:u w:val="single"/>
          <w:shd w:val="solid" w:color="FFFFFF" w:fill="auto"/>
          <w:lang w:eastAsia="ru-RU"/>
        </w:rPr>
        <w:noBreakHyphen/>
      </w:r>
      <w:r>
        <w:rPr>
          <w:rFonts w:eastAsiaTheme="minorHAnsi"/>
          <w:b/>
          <w:bCs/>
          <w:noProof/>
          <w:szCs w:val="22"/>
          <w:u w:val="single"/>
          <w:shd w:val="solid" w:color="FFFFFF" w:fill="auto"/>
          <w:lang w:eastAsia="en-US"/>
        </w:rPr>
        <w:t>B</w:t>
      </w:r>
    </w:p>
    <w:p>
      <w:pPr>
        <w:spacing w:line="240" w:lineRule="auto"/>
        <w:rPr>
          <w:noProof/>
          <w:lang w:eastAsia="en-CA"/>
        </w:rPr>
      </w:pPr>
    </w:p>
    <w:p>
      <w:pPr>
        <w:spacing w:line="240" w:lineRule="auto"/>
        <w:rPr>
          <w:noProof/>
          <w:lang w:eastAsia="en-CA"/>
        </w:rPr>
      </w:pPr>
    </w:p>
    <w:p>
      <w:pPr>
        <w:spacing w:line="240" w:lineRule="auto"/>
        <w:jc w:val="center"/>
        <w:rPr>
          <w:b/>
          <w:bCs/>
          <w:noProof/>
          <w:lang w:eastAsia="en-CA"/>
        </w:rPr>
      </w:pPr>
      <w:r>
        <w:rPr>
          <w:b/>
          <w:bCs/>
          <w:noProof/>
          <w:lang w:val="fr-CA" w:eastAsia="en-CA"/>
        </w:rPr>
        <w:t>Déclaration des Parties sur l’administration des contingents tarifaires</w:t>
      </w:r>
    </w:p>
    <w:p>
      <w:pPr>
        <w:spacing w:line="240" w:lineRule="auto"/>
        <w:jc w:val="center"/>
        <w:rPr>
          <w:noProof/>
          <w:lang w:eastAsia="en-CA"/>
        </w:rPr>
      </w:pPr>
    </w:p>
    <w:p>
      <w:pPr>
        <w:spacing w:line="240" w:lineRule="auto"/>
        <w:jc w:val="center"/>
        <w:rPr>
          <w:noProof/>
          <w:lang w:eastAsia="en-CA"/>
        </w:rPr>
      </w:pPr>
    </w:p>
    <w:p>
      <w:pPr>
        <w:spacing w:line="240" w:lineRule="auto"/>
        <w:jc w:val="center"/>
        <w:rPr>
          <w:rFonts w:eastAsiaTheme="minorHAnsi"/>
          <w:i/>
          <w:noProof/>
          <w:szCs w:val="22"/>
          <w:lang w:eastAsia="en-US"/>
        </w:rPr>
      </w:pPr>
      <w:r>
        <w:rPr>
          <w:rFonts w:eastAsiaTheme="minorHAnsi"/>
          <w:i/>
          <w:noProof/>
          <w:szCs w:val="22"/>
          <w:lang w:eastAsia="en-US"/>
        </w:rPr>
        <w:t>SECTION A</w:t>
      </w:r>
    </w:p>
    <w:p>
      <w:pPr>
        <w:spacing w:line="240" w:lineRule="auto"/>
        <w:jc w:val="center"/>
        <w:rPr>
          <w:rFonts w:eastAsiaTheme="minorHAnsi"/>
          <w:iCs/>
          <w:noProof/>
          <w:szCs w:val="22"/>
          <w:lang w:eastAsia="en-US"/>
        </w:rPr>
      </w:pPr>
    </w:p>
    <w:p>
      <w:pPr>
        <w:spacing w:line="240" w:lineRule="auto"/>
        <w:jc w:val="center"/>
        <w:rPr>
          <w:rFonts w:eastAsiaTheme="minorHAnsi"/>
          <w:b/>
          <w:i/>
          <w:noProof/>
          <w:lang w:eastAsia="en-US"/>
        </w:rPr>
      </w:pPr>
      <w:r>
        <w:rPr>
          <w:rFonts w:eastAsiaTheme="minorHAnsi"/>
          <w:b/>
          <w:i/>
          <w:noProof/>
          <w:lang w:val="fr-CA" w:eastAsia="en-US"/>
        </w:rPr>
        <w:t>Déclaration sur l’administration par l’Union européenne des contingents</w:t>
      </w:r>
      <w:r>
        <w:rPr>
          <w:rFonts w:eastAsiaTheme="minorHAnsi"/>
          <w:b/>
          <w:i/>
          <w:noProof/>
          <w:lang w:val="fr-CA" w:eastAsia="en-US"/>
        </w:rPr>
        <w:br/>
        <w:t>tarifaires de bœuf, de veau et de porc dans le cadre du présent accord</w:t>
      </w:r>
    </w:p>
    <w:p>
      <w:pPr>
        <w:spacing w:line="240" w:lineRule="auto"/>
        <w:jc w:val="center"/>
        <w:rPr>
          <w:rFonts w:eastAsiaTheme="minorHAnsi"/>
          <w:bCs/>
          <w:iCs/>
          <w:noProof/>
          <w:lang w:eastAsia="en-US"/>
        </w:rPr>
      </w:pPr>
    </w:p>
    <w:p>
      <w:pPr>
        <w:spacing w:line="240" w:lineRule="auto"/>
        <w:ind w:left="567" w:hanging="567"/>
        <w:rPr>
          <w:rFonts w:eastAsiaTheme="minorHAnsi"/>
          <w:noProof/>
          <w:lang w:eastAsia="en-US"/>
        </w:rPr>
      </w:pPr>
      <w:r>
        <w:rPr>
          <w:rFonts w:eastAsiaTheme="minorHAnsi"/>
          <w:bCs/>
          <w:noProof/>
          <w:lang w:eastAsia="en-US"/>
        </w:rPr>
        <w:t>1.</w:t>
      </w:r>
      <w:r>
        <w:rPr>
          <w:rFonts w:eastAsiaTheme="minorHAnsi"/>
          <w:bCs/>
          <w:noProof/>
          <w:lang w:eastAsia="en-US"/>
        </w:rPr>
        <w:tab/>
      </w:r>
      <w:r>
        <w:rPr>
          <w:rFonts w:eastAsiaTheme="minorHAnsi"/>
          <w:bCs/>
          <w:noProof/>
          <w:lang w:val="fr-CA" w:eastAsia="en-US"/>
        </w:rPr>
        <w:t>Le principe général est que l’administration des contingents tarifaires devrait être aussi propice que possible au commerce. Plus précisément, elle ne doit pas compromettre ou rendre nuls les engagements en matière d'accès aux marchés négociés par les Parties; elle doit être transparente et prévisible, minimiser les coûts de transaction pour les commerçants, maximiser les taux d’utilisation et viser à éviter la spéculation potentielle</w:t>
      </w:r>
      <w:r>
        <w:rPr>
          <w:rFonts w:eastAsiaTheme="minorHAnsi"/>
          <w:noProof/>
          <w:lang w:eastAsia="en-US"/>
        </w:rPr>
        <w:t>.</w:t>
      </w:r>
    </w:p>
    <w:p>
      <w:pPr>
        <w:widowControl/>
        <w:spacing w:line="240" w:lineRule="auto"/>
        <w:ind w:left="850" w:hanging="850"/>
        <w:jc w:val="both"/>
        <w:rPr>
          <w:rFonts w:eastAsiaTheme="minorHAnsi"/>
          <w:noProof/>
          <w:szCs w:val="22"/>
          <w:lang w:eastAsia="en-US"/>
        </w:rPr>
      </w:pPr>
    </w:p>
    <w:p>
      <w:pPr>
        <w:widowControl/>
        <w:pBdr>
          <w:top w:val="nil"/>
          <w:left w:val="nil"/>
          <w:bottom w:val="nil"/>
          <w:right w:val="nil"/>
          <w:between w:val="nil"/>
          <w:bar w:val="nil"/>
        </w:pBdr>
        <w:spacing w:line="240" w:lineRule="auto"/>
        <w:jc w:val="center"/>
        <w:rPr>
          <w:rFonts w:eastAsiaTheme="minorHAnsi"/>
          <w:b/>
          <w:bCs/>
          <w:noProof/>
          <w:szCs w:val="24"/>
          <w:lang w:eastAsia="en-US"/>
        </w:rPr>
      </w:pPr>
      <w:r>
        <w:rPr>
          <w:rFonts w:eastAsiaTheme="minorHAnsi"/>
          <w:b/>
          <w:bCs/>
          <w:noProof/>
          <w:szCs w:val="24"/>
          <w:lang w:val="fr-CA" w:eastAsia="en-US"/>
        </w:rPr>
        <w:t>Structure du système de licences d’importation</w:t>
      </w:r>
    </w:p>
    <w:p>
      <w:pPr>
        <w:widowControl/>
        <w:pBdr>
          <w:top w:val="nil"/>
          <w:left w:val="nil"/>
          <w:bottom w:val="nil"/>
          <w:right w:val="nil"/>
          <w:between w:val="nil"/>
          <w:bar w:val="nil"/>
        </w:pBdr>
        <w:spacing w:line="240" w:lineRule="auto"/>
        <w:jc w:val="center"/>
        <w:rPr>
          <w:rFonts w:eastAsia="Trebuchet MS Bold"/>
          <w:b/>
          <w:bCs/>
          <w:noProof/>
          <w:szCs w:val="24"/>
          <w:lang w:eastAsia="en-US"/>
        </w:rPr>
      </w:pPr>
    </w:p>
    <w:p>
      <w:pPr>
        <w:widowControl/>
        <w:spacing w:line="240" w:lineRule="auto"/>
        <w:jc w:val="center"/>
        <w:rPr>
          <w:rFonts w:eastAsiaTheme="minorHAnsi"/>
          <w:b/>
          <w:bCs/>
          <w:noProof/>
          <w:szCs w:val="24"/>
          <w:lang w:eastAsia="en-US"/>
        </w:rPr>
      </w:pPr>
      <w:r>
        <w:rPr>
          <w:rFonts w:eastAsiaTheme="minorHAnsi"/>
          <w:b/>
          <w:bCs/>
          <w:noProof/>
          <w:szCs w:val="24"/>
          <w:lang w:val="fr-CA" w:eastAsia="en-US"/>
        </w:rPr>
        <w:t>Sous-périodes trimestrielles avec report entre les périodes</w:t>
      </w:r>
      <w:r>
        <w:rPr>
          <w:rFonts w:eastAsiaTheme="minorHAnsi"/>
          <w:b/>
          <w:bCs/>
          <w:noProof/>
          <w:szCs w:val="24"/>
          <w:lang w:val="fr-CA" w:eastAsia="en-US"/>
        </w:rPr>
        <w:br/>
        <w:t>des quantités sous contingent tarifaire non utilisées</w:t>
      </w:r>
    </w:p>
    <w:p>
      <w:pPr>
        <w:widowControl/>
        <w:spacing w:line="240" w:lineRule="auto"/>
        <w:jc w:val="center"/>
        <w:rPr>
          <w:rFonts w:eastAsiaTheme="minorHAnsi"/>
          <w:b/>
          <w:bCs/>
          <w:noProof/>
          <w:szCs w:val="24"/>
          <w:lang w:eastAsia="en-US"/>
        </w:rPr>
      </w:pPr>
    </w:p>
    <w:p>
      <w:pPr>
        <w:widowControl/>
        <w:spacing w:line="240" w:lineRule="auto"/>
        <w:ind w:left="567" w:hanging="567"/>
        <w:jc w:val="both"/>
        <w:rPr>
          <w:rFonts w:eastAsiaTheme="minorHAnsi"/>
          <w:noProof/>
          <w:szCs w:val="22"/>
          <w:lang w:eastAsia="en-US"/>
        </w:rPr>
      </w:pPr>
      <w:r>
        <w:rPr>
          <w:rFonts w:eastAsiaTheme="minorHAnsi"/>
          <w:noProof/>
          <w:szCs w:val="24"/>
          <w:lang w:eastAsia="en-US"/>
        </w:rPr>
        <w:t>2.</w:t>
      </w:r>
      <w:r>
        <w:rPr>
          <w:rFonts w:eastAsiaTheme="minorHAnsi"/>
          <w:noProof/>
          <w:szCs w:val="24"/>
          <w:lang w:eastAsia="en-US"/>
        </w:rPr>
        <w:tab/>
      </w:r>
      <w:r>
        <w:rPr>
          <w:rFonts w:eastAsiaTheme="minorHAnsi"/>
          <w:noProof/>
          <w:szCs w:val="24"/>
          <w:lang w:val="fr-CA" w:eastAsia="en-US"/>
        </w:rPr>
        <w:t>À chacun des quatre trimestres de l’année commerciale, 25 p. cent de la quantité du contingent tarifaire annuel sera disponible aux fins des demandes de licence</w:t>
      </w:r>
      <w:r>
        <w:rPr>
          <w:rFonts w:eastAsiaTheme="minorHAnsi"/>
          <w:noProof/>
          <w:szCs w:val="22"/>
          <w:lang w:eastAsia="en-US"/>
        </w:rPr>
        <w:t>.</w:t>
      </w:r>
    </w:p>
    <w:p>
      <w:pPr>
        <w:widowControl/>
        <w:spacing w:line="240" w:lineRule="auto"/>
        <w:ind w:left="567" w:hanging="567"/>
        <w:jc w:val="both"/>
        <w:rPr>
          <w:rFonts w:eastAsiaTheme="minorHAnsi"/>
          <w:noProof/>
          <w:szCs w:val="22"/>
          <w:lang w:eastAsia="en-US"/>
        </w:rPr>
      </w:pPr>
    </w:p>
    <w:p>
      <w:pPr>
        <w:widowControl/>
        <w:spacing w:line="240" w:lineRule="auto"/>
        <w:ind w:left="567" w:hanging="567"/>
        <w:jc w:val="both"/>
        <w:rPr>
          <w:rFonts w:eastAsiaTheme="minorHAnsi"/>
          <w:noProof/>
          <w:szCs w:val="24"/>
          <w:lang w:eastAsia="en-US"/>
        </w:rPr>
      </w:pPr>
      <w:r>
        <w:rPr>
          <w:rFonts w:eastAsiaTheme="minorHAnsi"/>
          <w:noProof/>
          <w:szCs w:val="22"/>
          <w:lang w:eastAsia="en-US"/>
        </w:rPr>
        <w:t>3.</w:t>
      </w:r>
      <w:r>
        <w:rPr>
          <w:rFonts w:eastAsiaTheme="minorHAnsi"/>
          <w:noProof/>
          <w:szCs w:val="22"/>
          <w:lang w:eastAsia="en-US"/>
        </w:rPr>
        <w:tab/>
      </w:r>
      <w:r>
        <w:rPr>
          <w:rFonts w:eastAsiaTheme="minorHAnsi"/>
          <w:noProof/>
          <w:szCs w:val="22"/>
          <w:lang w:val="fr-CA" w:eastAsia="en-US"/>
        </w:rPr>
        <w:t>Les quantités qui restent disponibles à la fin d’un trimestre sont automatiquement reportées au trimestre suivant jusqu’à la fin de l’année commerciale</w:t>
      </w:r>
      <w:r>
        <w:rPr>
          <w:rFonts w:eastAsiaTheme="minorHAnsi"/>
          <w:noProof/>
          <w:szCs w:val="24"/>
          <w:lang w:eastAsia="en-US"/>
        </w:rPr>
        <w:t>.</w:t>
      </w:r>
    </w:p>
    <w:p>
      <w:pPr>
        <w:widowControl/>
        <w:spacing w:line="240" w:lineRule="auto"/>
        <w:ind w:left="567" w:hanging="567"/>
        <w:jc w:val="both"/>
        <w:rPr>
          <w:rFonts w:eastAsiaTheme="minorHAnsi"/>
          <w:noProof/>
          <w:szCs w:val="24"/>
          <w:lang w:eastAsia="en-US"/>
        </w:rPr>
      </w:pPr>
    </w:p>
    <w:p>
      <w:pPr>
        <w:spacing w:line="240" w:lineRule="auto"/>
        <w:jc w:val="center"/>
        <w:rPr>
          <w:rFonts w:eastAsiaTheme="minorHAnsi"/>
          <w:b/>
          <w:bCs/>
          <w:noProof/>
          <w:lang w:eastAsia="en-US"/>
        </w:rPr>
      </w:pPr>
      <w:r>
        <w:rPr>
          <w:rFonts w:eastAsiaTheme="minorHAnsi"/>
          <w:b/>
          <w:bCs/>
          <w:noProof/>
          <w:lang w:val="fr-CA" w:eastAsia="en-US"/>
        </w:rPr>
        <w:t>Période de présentation des demandes de licences d’importation</w:t>
      </w:r>
    </w:p>
    <w:p>
      <w:pPr>
        <w:spacing w:line="240" w:lineRule="auto"/>
        <w:jc w:val="center"/>
        <w:rPr>
          <w:rFonts w:eastAsiaTheme="minorHAnsi"/>
          <w:noProof/>
          <w:lang w:eastAsia="en-US"/>
        </w:rPr>
      </w:pPr>
    </w:p>
    <w:p>
      <w:pPr>
        <w:spacing w:line="240" w:lineRule="auto"/>
        <w:ind w:left="567" w:hanging="567"/>
        <w:rPr>
          <w:rFonts w:eastAsiaTheme="minorHAnsi"/>
          <w:noProof/>
          <w:lang w:eastAsia="en-US"/>
        </w:rPr>
      </w:pPr>
      <w:r>
        <w:rPr>
          <w:rFonts w:eastAsiaTheme="minorHAnsi"/>
          <w:noProof/>
          <w:szCs w:val="24"/>
          <w:lang w:eastAsia="en-US"/>
        </w:rPr>
        <w:t>4.</w:t>
      </w:r>
      <w:r>
        <w:rPr>
          <w:rFonts w:eastAsiaTheme="minorHAnsi"/>
          <w:noProof/>
          <w:szCs w:val="24"/>
          <w:lang w:eastAsia="en-US"/>
        </w:rPr>
        <w:tab/>
      </w:r>
      <w:r>
        <w:rPr>
          <w:rFonts w:eastAsiaTheme="minorHAnsi"/>
          <w:noProof/>
          <w:szCs w:val="24"/>
          <w:lang w:val="fr-CA" w:eastAsia="en-US"/>
        </w:rPr>
        <w:t>Les demandes de licences d’importation seront acceptées jusqu’à 45 jours civils avant le début de chaque trimestre, et les licences d’importation sont délivrées au moins 30 jours civils avant le début du trimestre</w:t>
      </w:r>
      <w:r>
        <w:rPr>
          <w:rFonts w:eastAsiaTheme="minorHAnsi"/>
          <w:noProof/>
          <w:lang w:eastAsia="en-US"/>
        </w:rPr>
        <w:t>.</w:t>
      </w:r>
    </w:p>
    <w:p>
      <w:pPr>
        <w:spacing w:line="240" w:lineRule="auto"/>
        <w:ind w:left="567" w:hanging="567"/>
        <w:rPr>
          <w:rFonts w:eastAsiaTheme="minorHAnsi"/>
          <w:noProof/>
          <w:lang w:eastAsia="en-US"/>
        </w:rPr>
      </w:pPr>
    </w:p>
    <w:p>
      <w:pPr>
        <w:widowControl/>
        <w:spacing w:line="240" w:lineRule="auto"/>
        <w:rPr>
          <w:rFonts w:eastAsiaTheme="minorHAnsi"/>
          <w:noProof/>
          <w:lang w:eastAsia="en-US"/>
        </w:rPr>
      </w:pPr>
      <w:r>
        <w:rPr>
          <w:rFonts w:eastAsiaTheme="minorHAnsi"/>
          <w:noProof/>
          <w:lang w:eastAsia="en-US"/>
        </w:rPr>
        <w:br w:type="page"/>
      </w:r>
    </w:p>
    <w:p>
      <w:pPr>
        <w:spacing w:line="240" w:lineRule="auto"/>
        <w:ind w:left="567" w:hanging="567"/>
        <w:rPr>
          <w:rFonts w:eastAsiaTheme="minorHAnsi"/>
          <w:noProof/>
          <w:lang w:eastAsia="en-US"/>
        </w:rPr>
      </w:pPr>
      <w:r>
        <w:rPr>
          <w:rFonts w:eastAsiaTheme="minorHAnsi"/>
          <w:noProof/>
          <w:lang w:eastAsia="en-US"/>
        </w:rPr>
        <w:t>5.</w:t>
      </w:r>
      <w:r>
        <w:rPr>
          <w:rFonts w:eastAsiaTheme="minorHAnsi"/>
          <w:noProof/>
          <w:lang w:eastAsia="en-US"/>
        </w:rPr>
        <w:tab/>
      </w:r>
      <w:r>
        <w:rPr>
          <w:rFonts w:eastAsiaTheme="minorHAnsi"/>
          <w:noProof/>
          <w:lang w:val="fr-CA" w:eastAsia="en-US"/>
        </w:rPr>
        <w:t>Si la demande de licences durant la période de présentation des demandes excède les quantités disponibles pour le trimestre visé, les licences seront attribuées au prorata</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szCs w:val="24"/>
          <w:lang w:eastAsia="en-US"/>
        </w:rPr>
      </w:pPr>
      <w:r>
        <w:rPr>
          <w:rFonts w:eastAsiaTheme="minorHAnsi"/>
          <w:noProof/>
          <w:lang w:eastAsia="en-US"/>
        </w:rPr>
        <w:t>6.</w:t>
      </w:r>
      <w:r>
        <w:rPr>
          <w:rFonts w:eastAsiaTheme="minorHAnsi"/>
          <w:noProof/>
          <w:lang w:eastAsia="en-US"/>
        </w:rPr>
        <w:tab/>
      </w:r>
      <w:r>
        <w:rPr>
          <w:rFonts w:eastAsiaTheme="minorHAnsi"/>
          <w:noProof/>
          <w:lang w:val="fr-CA" w:eastAsia="en-US"/>
        </w:rPr>
        <w:t>Si la quantité disponible pour un trimestre donné n’est pas entièrement attribuée pendant la période de présentation des demandes, la quantité restante sera mise à la disposition des demandeurs admissibles, qui pourront présenter une demande pour le reste du trimestre en question. Les licences d’importation seront délivrées automatiquement sur demande jusqu’à ce que la quantité disponible soit épuisée pour cette période</w:t>
      </w:r>
      <w:r>
        <w:rPr>
          <w:rFonts w:eastAsiaTheme="minorHAnsi"/>
          <w:noProof/>
          <w:szCs w:val="24"/>
          <w:lang w:eastAsia="en-US"/>
        </w:rPr>
        <w:t>.</w:t>
      </w:r>
    </w:p>
    <w:p>
      <w:pPr>
        <w:spacing w:line="240" w:lineRule="auto"/>
        <w:ind w:left="567" w:hanging="567"/>
        <w:rPr>
          <w:rFonts w:eastAsiaTheme="minorHAnsi"/>
          <w:noProof/>
          <w:szCs w:val="24"/>
          <w:lang w:eastAsia="en-US"/>
        </w:rPr>
      </w:pPr>
    </w:p>
    <w:p>
      <w:pPr>
        <w:spacing w:line="240" w:lineRule="auto"/>
        <w:jc w:val="center"/>
        <w:rPr>
          <w:rFonts w:eastAsiaTheme="minorHAnsi"/>
          <w:b/>
          <w:bCs/>
          <w:noProof/>
          <w:lang w:eastAsia="en-US"/>
        </w:rPr>
      </w:pPr>
      <w:r>
        <w:rPr>
          <w:rFonts w:eastAsiaTheme="minorHAnsi"/>
          <w:b/>
          <w:bCs/>
          <w:noProof/>
          <w:lang w:val="fr-CA" w:eastAsia="en-US"/>
        </w:rPr>
        <w:t>Validité des licences</w:t>
      </w:r>
    </w:p>
    <w:p>
      <w:pPr>
        <w:spacing w:line="240" w:lineRule="auto"/>
        <w:ind w:left="567" w:hanging="567"/>
        <w:rPr>
          <w:rFonts w:eastAsiaTheme="minorHAnsi"/>
          <w:noProof/>
          <w:lang w:eastAsia="en-US"/>
        </w:rPr>
      </w:pPr>
      <w:r>
        <w:rPr>
          <w:rFonts w:eastAsiaTheme="minorHAnsi"/>
          <w:noProof/>
          <w:lang w:eastAsia="en-US"/>
        </w:rPr>
        <w:t>7.</w:t>
      </w:r>
      <w:r>
        <w:rPr>
          <w:rFonts w:eastAsiaTheme="minorHAnsi"/>
          <w:noProof/>
          <w:lang w:eastAsia="en-US"/>
        </w:rPr>
        <w:tab/>
      </w:r>
      <w:r>
        <w:rPr>
          <w:rFonts w:eastAsiaTheme="minorHAnsi"/>
          <w:noProof/>
          <w:lang w:val="fr-CA" w:eastAsia="en-US"/>
        </w:rPr>
        <w:t>Une licence d’importation est valide </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1134" w:hanging="567"/>
        <w:rPr>
          <w:rFonts w:eastAsiaTheme="minorHAnsi"/>
          <w:noProof/>
          <w:szCs w:val="22"/>
          <w:lang w:eastAsia="en-US"/>
        </w:rPr>
      </w:pPr>
      <w:r>
        <w:rPr>
          <w:rFonts w:eastAsiaTheme="minorHAnsi"/>
          <w:noProof/>
          <w:szCs w:val="22"/>
          <w:lang w:eastAsia="en-US"/>
        </w:rPr>
        <w:t>a)</w:t>
      </w:r>
      <w:r>
        <w:rPr>
          <w:rFonts w:eastAsiaTheme="minorHAnsi"/>
          <w:noProof/>
          <w:szCs w:val="22"/>
          <w:lang w:eastAsia="en-US"/>
        </w:rPr>
        <w:tab/>
      </w:r>
      <w:r>
        <w:rPr>
          <w:rFonts w:eastAsiaTheme="minorHAnsi"/>
          <w:noProof/>
          <w:szCs w:val="22"/>
          <w:lang w:val="fr-CA" w:eastAsia="en-US"/>
        </w:rPr>
        <w:t>à compter de la date de délivrance ou de la date du début du trimestre pour lequel la licence a été délivrée, la date la plus tardive étant retenue;</w:t>
      </w:r>
    </w:p>
    <w:p>
      <w:pPr>
        <w:spacing w:line="240" w:lineRule="auto"/>
        <w:ind w:left="1134" w:hanging="567"/>
        <w:rPr>
          <w:rFonts w:eastAsiaTheme="minorHAnsi"/>
          <w:noProof/>
          <w:szCs w:val="22"/>
          <w:lang w:eastAsia="en-US"/>
        </w:rPr>
      </w:pPr>
    </w:p>
    <w:p>
      <w:pPr>
        <w:spacing w:line="240" w:lineRule="auto"/>
        <w:ind w:left="1134" w:hanging="567"/>
        <w:rPr>
          <w:rFonts w:eastAsiaTheme="minorHAnsi"/>
          <w:noProof/>
          <w:szCs w:val="22"/>
          <w:lang w:eastAsia="en-US"/>
        </w:rPr>
      </w:pPr>
      <w:r>
        <w:rPr>
          <w:rFonts w:eastAsiaTheme="minorHAnsi"/>
          <w:noProof/>
          <w:szCs w:val="22"/>
          <w:lang w:eastAsia="en-US"/>
        </w:rPr>
        <w:t>b)</w:t>
      </w:r>
      <w:r>
        <w:rPr>
          <w:rFonts w:eastAsiaTheme="minorHAnsi"/>
          <w:noProof/>
          <w:szCs w:val="22"/>
          <w:lang w:eastAsia="en-US"/>
        </w:rPr>
        <w:tab/>
      </w:r>
      <w:r>
        <w:rPr>
          <w:rFonts w:eastAsiaTheme="minorHAnsi"/>
          <w:noProof/>
          <w:szCs w:val="22"/>
          <w:lang w:val="fr-CA" w:eastAsia="en-US"/>
        </w:rPr>
        <w:t>pendant cinq mois à compter de la date applicable visée à l’alinéa a) ou jusqu’à la fin de l’année commerciale, l'échéance qui se présente la première étant retenue</w:t>
      </w:r>
      <w:r>
        <w:rPr>
          <w:rFonts w:eastAsiaTheme="minorHAnsi"/>
          <w:noProof/>
          <w:szCs w:val="22"/>
          <w:lang w:eastAsia="en-US"/>
        </w:rPr>
        <w:t>.</w:t>
      </w:r>
    </w:p>
    <w:p>
      <w:pPr>
        <w:spacing w:line="240" w:lineRule="auto"/>
        <w:ind w:left="1134" w:hanging="567"/>
        <w:rPr>
          <w:rFonts w:eastAsiaTheme="minorHAnsi"/>
          <w:noProof/>
          <w:szCs w:val="22"/>
          <w:lang w:eastAsia="en-US"/>
        </w:rPr>
      </w:pPr>
    </w:p>
    <w:p>
      <w:pPr>
        <w:spacing w:line="240" w:lineRule="auto"/>
        <w:ind w:left="567" w:hanging="567"/>
        <w:rPr>
          <w:rFonts w:eastAsiaTheme="minorHAnsi"/>
          <w:noProof/>
          <w:lang w:eastAsia="en-US"/>
        </w:rPr>
      </w:pPr>
      <w:r>
        <w:rPr>
          <w:rFonts w:eastAsiaTheme="minorHAnsi"/>
          <w:noProof/>
          <w:lang w:eastAsia="en-US"/>
        </w:rPr>
        <w:t>8.</w:t>
      </w:r>
      <w:r>
        <w:rPr>
          <w:rFonts w:eastAsiaTheme="minorHAnsi"/>
          <w:noProof/>
          <w:lang w:eastAsia="en-US"/>
        </w:rPr>
        <w:tab/>
      </w:r>
      <w:r>
        <w:rPr>
          <w:rFonts w:eastAsiaTheme="minorHAnsi"/>
          <w:noProof/>
          <w:lang w:val="fr-CA" w:eastAsia="en-US"/>
        </w:rPr>
        <w:t>Les licences d’importation peuvent être utilisées à tout point d’entrée en douane de l’Union européenne et pour des expéditions multiples</w:t>
      </w:r>
      <w:r>
        <w:rPr>
          <w:rFonts w:eastAsiaTheme="minorHAnsi"/>
          <w:noProof/>
          <w:lang w:eastAsia="en-US"/>
        </w:rPr>
        <w:t>.</w:t>
      </w:r>
    </w:p>
    <w:p>
      <w:pPr>
        <w:spacing w:line="240" w:lineRule="auto"/>
        <w:rPr>
          <w:rFonts w:eastAsiaTheme="minorHAnsi"/>
          <w:noProof/>
          <w:lang w:eastAsia="en-US"/>
        </w:rPr>
      </w:pPr>
    </w:p>
    <w:p>
      <w:pPr>
        <w:spacing w:line="240" w:lineRule="auto"/>
        <w:jc w:val="center"/>
        <w:rPr>
          <w:rFonts w:eastAsiaTheme="minorHAnsi"/>
          <w:b/>
          <w:noProof/>
          <w:szCs w:val="24"/>
          <w:lang w:eastAsia="en-US"/>
        </w:rPr>
      </w:pPr>
      <w:r>
        <w:rPr>
          <w:rFonts w:eastAsiaTheme="minorHAnsi"/>
          <w:b/>
          <w:noProof/>
          <w:szCs w:val="24"/>
          <w:lang w:val="fr-CA" w:eastAsia="en-US"/>
        </w:rPr>
        <w:t>Critères d’admissibilité</w:t>
      </w:r>
    </w:p>
    <w:p>
      <w:pPr>
        <w:spacing w:line="240" w:lineRule="auto"/>
        <w:jc w:val="center"/>
        <w:rPr>
          <w:rFonts w:eastAsiaTheme="minorHAnsi"/>
          <w:bCs/>
          <w:noProof/>
          <w:szCs w:val="24"/>
          <w:lang w:eastAsia="en-US"/>
        </w:rPr>
      </w:pPr>
    </w:p>
    <w:p>
      <w:pPr>
        <w:spacing w:line="240" w:lineRule="auto"/>
        <w:ind w:left="567" w:hanging="567"/>
        <w:rPr>
          <w:rFonts w:eastAsiaTheme="minorHAnsi"/>
          <w:noProof/>
          <w:szCs w:val="24"/>
          <w:lang w:eastAsia="en-US"/>
        </w:rPr>
      </w:pPr>
      <w:r>
        <w:rPr>
          <w:rFonts w:eastAsiaTheme="minorHAnsi"/>
          <w:noProof/>
          <w:szCs w:val="24"/>
          <w:lang w:eastAsia="en-US"/>
        </w:rPr>
        <w:t>9.</w:t>
      </w:r>
      <w:r>
        <w:rPr>
          <w:rFonts w:eastAsiaTheme="minorHAnsi"/>
          <w:noProof/>
          <w:szCs w:val="24"/>
          <w:lang w:eastAsia="en-US"/>
        </w:rPr>
        <w:tab/>
      </w:r>
      <w:r>
        <w:rPr>
          <w:rFonts w:eastAsiaTheme="minorHAnsi"/>
          <w:noProof/>
          <w:szCs w:val="24"/>
          <w:lang w:val="fr-CA" w:eastAsia="en-US"/>
        </w:rPr>
        <w:t>Les critères d’admissibilité et la méthode d'attribution des contingents devraient se traduire par l’attribution de ceux-ci aux personnes qui sont les plus susceptibles de les utiliser et ne doivent pas créer d’obstacles aux importations</w:t>
      </w:r>
      <w:r>
        <w:rPr>
          <w:rFonts w:eastAsiaTheme="minorHAnsi"/>
          <w:noProof/>
          <w:szCs w:val="24"/>
          <w:lang w:eastAsia="en-US"/>
        </w:rPr>
        <w:t>.</w:t>
      </w:r>
    </w:p>
    <w:p>
      <w:pPr>
        <w:spacing w:line="240" w:lineRule="auto"/>
        <w:ind w:left="567" w:hanging="567"/>
        <w:rPr>
          <w:rFonts w:eastAsiaTheme="minorHAnsi"/>
          <w:noProof/>
          <w:szCs w:val="24"/>
          <w:lang w:eastAsia="en-US"/>
        </w:rPr>
      </w:pPr>
    </w:p>
    <w:p>
      <w:pPr>
        <w:spacing w:line="240" w:lineRule="auto"/>
        <w:ind w:left="567" w:hanging="567"/>
        <w:rPr>
          <w:rFonts w:eastAsiaTheme="minorHAnsi"/>
          <w:noProof/>
          <w:szCs w:val="24"/>
          <w:lang w:eastAsia="en-US"/>
        </w:rPr>
      </w:pPr>
      <w:r>
        <w:rPr>
          <w:rFonts w:eastAsiaTheme="minorHAnsi"/>
          <w:noProof/>
          <w:szCs w:val="24"/>
          <w:lang w:eastAsia="en-US"/>
        </w:rPr>
        <w:t>10.</w:t>
      </w:r>
      <w:r>
        <w:rPr>
          <w:rFonts w:eastAsiaTheme="minorHAnsi"/>
          <w:noProof/>
          <w:szCs w:val="24"/>
          <w:lang w:eastAsia="en-US"/>
        </w:rPr>
        <w:tab/>
      </w:r>
      <w:r>
        <w:rPr>
          <w:rFonts w:eastAsiaTheme="minorHAnsi"/>
          <w:noProof/>
          <w:szCs w:val="24"/>
          <w:lang w:val="fr-CA" w:eastAsia="en-US"/>
        </w:rPr>
        <w:t>Durant la période de présentation des demandes, sont inclus dans les demandeurs admissibles les importateurs traditionnels de bœuf, de bison ou de veau dans le cas des importations de bœuf et de veau, et les importateurs traditionnels de bœuf, de bison, de veau ou de porc dans le cas des importations de porc</w:t>
      </w:r>
      <w:r>
        <w:rPr>
          <w:rFonts w:eastAsiaTheme="minorHAnsi"/>
          <w:noProof/>
          <w:szCs w:val="24"/>
          <w:lang w:eastAsia="en-US"/>
        </w:rPr>
        <w:t>.</w:t>
      </w:r>
    </w:p>
    <w:p>
      <w:pPr>
        <w:spacing w:line="240" w:lineRule="auto"/>
        <w:ind w:left="567" w:hanging="567"/>
        <w:rPr>
          <w:rFonts w:eastAsiaTheme="minorHAnsi"/>
          <w:noProof/>
          <w:szCs w:val="24"/>
          <w:lang w:eastAsia="en-US"/>
        </w:rPr>
      </w:pPr>
    </w:p>
    <w:p>
      <w:pPr>
        <w:spacing w:line="240" w:lineRule="auto"/>
        <w:ind w:left="567" w:hanging="567"/>
        <w:rPr>
          <w:rFonts w:eastAsiaTheme="minorHAnsi"/>
          <w:noProof/>
          <w:szCs w:val="24"/>
          <w:lang w:eastAsia="en-US"/>
        </w:rPr>
      </w:pPr>
      <w:r>
        <w:rPr>
          <w:rFonts w:eastAsiaTheme="minorHAnsi"/>
          <w:noProof/>
          <w:szCs w:val="24"/>
          <w:lang w:eastAsia="en-US"/>
        </w:rPr>
        <w:t>11.</w:t>
      </w:r>
      <w:r>
        <w:rPr>
          <w:rFonts w:eastAsiaTheme="minorHAnsi"/>
          <w:noProof/>
          <w:szCs w:val="24"/>
          <w:lang w:eastAsia="en-US"/>
        </w:rPr>
        <w:tab/>
      </w:r>
      <w:r>
        <w:rPr>
          <w:rFonts w:eastAsiaTheme="minorHAnsi"/>
          <w:noProof/>
          <w:szCs w:val="24"/>
          <w:lang w:val="fr-CA" w:eastAsia="en-US"/>
        </w:rPr>
        <w:t>À chaque trimestre suivant la période de présentation des demandes, lorsque les licences sont mises à disposition sur demande, les critères d’admissibilité des demandeurs seront élargis pour inclure les grossistes et les transformateurs de viande agréés</w:t>
      </w:r>
      <w:r>
        <w:rPr>
          <w:rFonts w:eastAsiaTheme="minorHAnsi"/>
          <w:noProof/>
          <w:szCs w:val="24"/>
          <w:lang w:eastAsia="en-US"/>
        </w:rPr>
        <w:t>.</w:t>
      </w:r>
    </w:p>
    <w:p>
      <w:pPr>
        <w:spacing w:line="240" w:lineRule="auto"/>
        <w:ind w:left="567" w:hanging="567"/>
        <w:rPr>
          <w:rFonts w:eastAsiaTheme="minorHAnsi"/>
          <w:noProof/>
          <w:szCs w:val="24"/>
          <w:lang w:eastAsia="en-US"/>
        </w:rPr>
      </w:pPr>
    </w:p>
    <w:p>
      <w:pPr>
        <w:widowControl/>
        <w:spacing w:line="240" w:lineRule="auto"/>
        <w:rPr>
          <w:rFonts w:eastAsiaTheme="minorHAnsi"/>
          <w:b/>
          <w:bCs/>
          <w:noProof/>
          <w:lang w:eastAsia="en-US"/>
        </w:rPr>
      </w:pPr>
      <w:r>
        <w:rPr>
          <w:rFonts w:eastAsiaTheme="minorHAnsi"/>
          <w:b/>
          <w:bCs/>
          <w:noProof/>
          <w:lang w:eastAsia="en-US"/>
        </w:rPr>
        <w:br w:type="page"/>
      </w:r>
    </w:p>
    <w:p>
      <w:pPr>
        <w:spacing w:line="240" w:lineRule="auto"/>
        <w:jc w:val="center"/>
        <w:rPr>
          <w:rFonts w:eastAsiaTheme="minorHAnsi"/>
          <w:b/>
          <w:bCs/>
          <w:noProof/>
          <w:lang w:eastAsia="en-US"/>
        </w:rPr>
      </w:pPr>
      <w:r>
        <w:rPr>
          <w:rFonts w:eastAsiaTheme="minorHAnsi"/>
          <w:b/>
          <w:bCs/>
          <w:noProof/>
          <w:lang w:val="fr-CA" w:eastAsia="en-US"/>
        </w:rPr>
        <w:t>Garanties</w:t>
      </w:r>
    </w:p>
    <w:p>
      <w:pPr>
        <w:spacing w:line="240" w:lineRule="auto"/>
        <w:jc w:val="center"/>
        <w:rPr>
          <w:rFonts w:eastAsiaTheme="minorHAnsi"/>
          <w:b/>
          <w:bCs/>
          <w:noProof/>
          <w:lang w:eastAsia="en-US"/>
        </w:rPr>
      </w:pPr>
    </w:p>
    <w:p>
      <w:pPr>
        <w:spacing w:line="240" w:lineRule="auto"/>
        <w:jc w:val="center"/>
        <w:rPr>
          <w:rFonts w:eastAsiaTheme="minorHAnsi"/>
          <w:b/>
          <w:bCs/>
          <w:noProof/>
          <w:lang w:eastAsia="en-US"/>
        </w:rPr>
      </w:pPr>
      <w:r>
        <w:rPr>
          <w:rFonts w:eastAsiaTheme="minorHAnsi"/>
          <w:b/>
          <w:bCs/>
          <w:noProof/>
          <w:lang w:val="fr-CA" w:eastAsia="en-US"/>
        </w:rPr>
        <w:t>Garanties liées aux demandes de licences d’importation</w:t>
      </w:r>
    </w:p>
    <w:p>
      <w:pPr>
        <w:spacing w:line="240" w:lineRule="auto"/>
        <w:jc w:val="center"/>
        <w:rPr>
          <w:rFonts w:eastAsiaTheme="minorHAnsi"/>
          <w:bCs/>
          <w:noProof/>
          <w:lang w:eastAsia="en-US"/>
        </w:rPr>
      </w:pPr>
    </w:p>
    <w:p>
      <w:pPr>
        <w:spacing w:line="240" w:lineRule="auto"/>
        <w:ind w:left="567" w:hanging="567"/>
        <w:rPr>
          <w:rFonts w:eastAsiaTheme="minorHAnsi"/>
          <w:noProof/>
          <w:lang w:eastAsia="en-US"/>
        </w:rPr>
      </w:pPr>
      <w:r>
        <w:rPr>
          <w:rFonts w:eastAsiaTheme="minorHAnsi"/>
          <w:noProof/>
          <w:lang w:eastAsia="en-US"/>
        </w:rPr>
        <w:t>12.</w:t>
      </w:r>
      <w:r>
        <w:rPr>
          <w:rFonts w:eastAsiaTheme="minorHAnsi"/>
          <w:noProof/>
          <w:lang w:eastAsia="en-US"/>
        </w:rPr>
        <w:tab/>
      </w:r>
      <w:r>
        <w:rPr>
          <w:rFonts w:eastAsiaTheme="minorHAnsi"/>
          <w:noProof/>
          <w:lang w:val="fr-CA" w:eastAsia="en-US"/>
        </w:rPr>
        <w:t>Une garantie n’excédant pas 95 euros (€) par tonne de bœuf et 65 euros (€) par tonne de porc sera déposée avec la demande de licence</w:t>
      </w:r>
      <w:r>
        <w:rPr>
          <w:rFonts w:eastAsiaTheme="minorHAnsi"/>
          <w:noProof/>
          <w:lang w:eastAsia="en-US"/>
        </w:rPr>
        <w:t>.</w:t>
      </w:r>
    </w:p>
    <w:p>
      <w:pPr>
        <w:spacing w:line="240" w:lineRule="auto"/>
        <w:rPr>
          <w:rFonts w:eastAsiaTheme="minorHAnsi"/>
          <w:noProof/>
          <w:lang w:eastAsia="en-US"/>
        </w:rPr>
      </w:pPr>
    </w:p>
    <w:p>
      <w:pPr>
        <w:spacing w:line="240" w:lineRule="auto"/>
        <w:jc w:val="center"/>
        <w:rPr>
          <w:rFonts w:eastAsiaTheme="minorHAnsi"/>
          <w:b/>
          <w:noProof/>
          <w:lang w:eastAsia="en-US"/>
        </w:rPr>
      </w:pPr>
      <w:r>
        <w:rPr>
          <w:rFonts w:eastAsiaTheme="minorHAnsi"/>
          <w:b/>
          <w:noProof/>
          <w:lang w:val="fr-CA" w:eastAsia="en-US"/>
        </w:rPr>
        <w:t>Transfert de licence et de la garantie correspondante</w:t>
      </w:r>
    </w:p>
    <w:p>
      <w:pPr>
        <w:spacing w:line="240" w:lineRule="auto"/>
        <w:jc w:val="center"/>
        <w:rPr>
          <w:rFonts w:eastAsiaTheme="minorHAnsi"/>
          <w:bCs/>
          <w:noProof/>
          <w:lang w:eastAsia="en-US"/>
        </w:rPr>
      </w:pPr>
    </w:p>
    <w:p>
      <w:pPr>
        <w:spacing w:line="240" w:lineRule="auto"/>
        <w:ind w:left="567" w:hanging="567"/>
        <w:rPr>
          <w:rFonts w:eastAsiaTheme="minorHAnsi"/>
          <w:noProof/>
          <w:lang w:eastAsia="en-US"/>
        </w:rPr>
      </w:pPr>
      <w:r>
        <w:rPr>
          <w:rFonts w:eastAsiaTheme="minorHAnsi"/>
          <w:noProof/>
          <w:lang w:eastAsia="en-US"/>
        </w:rPr>
        <w:t>13.</w:t>
      </w:r>
      <w:r>
        <w:rPr>
          <w:rFonts w:eastAsiaTheme="minorHAnsi"/>
          <w:noProof/>
          <w:lang w:eastAsia="en-US"/>
        </w:rPr>
        <w:tab/>
      </w:r>
      <w:r>
        <w:rPr>
          <w:rFonts w:eastAsiaTheme="minorHAnsi"/>
          <w:noProof/>
          <w:lang w:val="fr-CA" w:eastAsia="en-US"/>
        </w:rPr>
        <w:t>Les licences ne sont pas transférables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jc w:val="center"/>
        <w:rPr>
          <w:rFonts w:eastAsiaTheme="minorHAnsi"/>
          <w:b/>
          <w:noProof/>
          <w:lang w:eastAsia="en-US"/>
        </w:rPr>
      </w:pPr>
      <w:r>
        <w:rPr>
          <w:rFonts w:eastAsiaTheme="minorHAnsi"/>
          <w:b/>
          <w:noProof/>
          <w:lang w:val="fr-CA" w:eastAsia="en-US"/>
        </w:rPr>
        <w:t>Restitution de la licence et de la garantie correspondante</w:t>
      </w:r>
    </w:p>
    <w:p>
      <w:pPr>
        <w:spacing w:line="240" w:lineRule="auto"/>
        <w:jc w:val="center"/>
        <w:rPr>
          <w:rFonts w:eastAsiaTheme="minorHAnsi"/>
          <w:bCs/>
          <w:noProof/>
          <w:lang w:eastAsia="en-US"/>
        </w:rPr>
      </w:pPr>
    </w:p>
    <w:p>
      <w:pPr>
        <w:spacing w:line="240" w:lineRule="auto"/>
        <w:ind w:left="567" w:hanging="567"/>
        <w:rPr>
          <w:rFonts w:eastAsiaTheme="minorHAnsi"/>
          <w:noProof/>
          <w:lang w:eastAsia="en-US"/>
        </w:rPr>
      </w:pPr>
      <w:r>
        <w:rPr>
          <w:rFonts w:eastAsiaTheme="minorHAnsi"/>
          <w:noProof/>
          <w:lang w:eastAsia="en-US"/>
        </w:rPr>
        <w:t>14.</w:t>
      </w:r>
      <w:r>
        <w:rPr>
          <w:rFonts w:eastAsiaTheme="minorHAnsi"/>
          <w:noProof/>
          <w:lang w:eastAsia="en-US"/>
        </w:rPr>
        <w:tab/>
      </w:r>
      <w:r>
        <w:rPr>
          <w:rFonts w:eastAsiaTheme="minorHAnsi"/>
          <w:noProof/>
          <w:lang w:val="fr-CA" w:eastAsia="en-US"/>
        </w:rPr>
        <w:t>Les quantités non utilisées visées par des licences peuvent être restituées avant l’expiration de la licence et jusqu’à quatre mois avant la fin de l’année commerciale. Chaque titulaire de licence peut restituer jusqu’à 30 p. cent de la quantité visée par sa licence. Dans les cas où une telle quantité est restituée, 60 p. cent de la garantie correspondante est libérée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15.</w:t>
      </w:r>
      <w:r>
        <w:rPr>
          <w:rFonts w:eastAsiaTheme="minorHAnsi"/>
          <w:noProof/>
          <w:lang w:eastAsia="en-US"/>
        </w:rPr>
        <w:tab/>
      </w:r>
      <w:r>
        <w:rPr>
          <w:rFonts w:eastAsiaTheme="minorHAnsi"/>
          <w:noProof/>
          <w:lang w:val="fr-CA" w:eastAsia="en-US"/>
        </w:rPr>
        <w:t>Toutes les quantités restituées seront immédiatement mises à la disposition des autres demandeurs admissibles, qui peuvent présenter une demande pour le reste du trimestre, et seront reportées aux trimestres suivants si elles ne sont pas demandées</w:t>
      </w:r>
      <w:r>
        <w:rPr>
          <w:rFonts w:eastAsiaTheme="minorHAnsi"/>
          <w:noProof/>
          <w:lang w:eastAsia="en-US"/>
        </w:rPr>
        <w:t>.</w:t>
      </w:r>
    </w:p>
    <w:p>
      <w:pPr>
        <w:spacing w:line="240" w:lineRule="auto"/>
        <w:rPr>
          <w:rFonts w:eastAsiaTheme="minorHAnsi"/>
          <w:noProof/>
          <w:lang w:eastAsia="en-US"/>
        </w:rPr>
      </w:pPr>
    </w:p>
    <w:p>
      <w:pPr>
        <w:spacing w:line="240" w:lineRule="auto"/>
        <w:jc w:val="center"/>
        <w:rPr>
          <w:rFonts w:eastAsiaTheme="minorHAnsi"/>
          <w:b/>
          <w:bCs/>
          <w:noProof/>
          <w:szCs w:val="24"/>
          <w:lang w:eastAsia="en-US"/>
        </w:rPr>
      </w:pPr>
      <w:r>
        <w:rPr>
          <w:rFonts w:eastAsiaTheme="minorHAnsi"/>
          <w:b/>
          <w:bCs/>
          <w:noProof/>
          <w:szCs w:val="24"/>
          <w:lang w:val="fr-CA" w:eastAsia="en-US"/>
        </w:rPr>
        <w:t>Libération de la garantie et libération de la garantie totale</w:t>
      </w:r>
      <w:r>
        <w:rPr>
          <w:rFonts w:eastAsiaTheme="minorHAnsi"/>
          <w:b/>
          <w:bCs/>
          <w:noProof/>
          <w:szCs w:val="24"/>
          <w:lang w:val="fr-CA" w:eastAsia="en-US"/>
        </w:rPr>
        <w:br/>
        <w:t>après importation de 95 p. cent de la quantité</w:t>
      </w:r>
    </w:p>
    <w:p>
      <w:pPr>
        <w:spacing w:line="240" w:lineRule="auto"/>
        <w:jc w:val="center"/>
        <w:rPr>
          <w:rFonts w:eastAsiaTheme="minorHAnsi"/>
          <w:noProof/>
          <w:szCs w:val="24"/>
          <w:lang w:eastAsia="en-US"/>
        </w:rPr>
      </w:pPr>
    </w:p>
    <w:p>
      <w:pPr>
        <w:spacing w:line="240" w:lineRule="auto"/>
        <w:ind w:left="567" w:hanging="567"/>
        <w:rPr>
          <w:rFonts w:eastAsiaTheme="minorHAnsi"/>
          <w:noProof/>
          <w:lang w:eastAsia="en-US"/>
        </w:rPr>
      </w:pPr>
      <w:r>
        <w:rPr>
          <w:rFonts w:eastAsiaTheme="minorHAnsi"/>
          <w:noProof/>
          <w:lang w:eastAsia="en-US"/>
        </w:rPr>
        <w:t>16.</w:t>
      </w:r>
      <w:r>
        <w:rPr>
          <w:rFonts w:eastAsiaTheme="minorHAnsi"/>
          <w:noProof/>
          <w:lang w:eastAsia="en-US"/>
        </w:rPr>
        <w:tab/>
      </w:r>
      <w:r>
        <w:rPr>
          <w:rFonts w:eastAsiaTheme="minorHAnsi"/>
          <w:noProof/>
          <w:lang w:val="fr-CA" w:eastAsia="en-US"/>
        </w:rPr>
        <w:t>Les garanties sont libérées proportionnellement chaque fois que des importations effectives ont eu lieu</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17.</w:t>
      </w:r>
      <w:r>
        <w:rPr>
          <w:rFonts w:eastAsiaTheme="minorHAnsi"/>
          <w:noProof/>
          <w:lang w:eastAsia="en-US"/>
        </w:rPr>
        <w:tab/>
      </w:r>
      <w:r>
        <w:rPr>
          <w:rFonts w:eastAsiaTheme="minorHAnsi"/>
          <w:noProof/>
          <w:lang w:val="fr-CA" w:eastAsia="en-US"/>
        </w:rPr>
        <w:t>Lorsqu’un importateur a importé effectivement 95 p. cent de la quantité visée par sa licence, la totalité de la garantie est libérée</w:t>
      </w:r>
      <w:r>
        <w:rPr>
          <w:rFonts w:eastAsiaTheme="minorHAnsi"/>
          <w:noProof/>
          <w:lang w:eastAsia="en-US"/>
        </w:rPr>
        <w:t>.</w:t>
      </w:r>
    </w:p>
    <w:p>
      <w:pPr>
        <w:widowControl/>
        <w:spacing w:line="240" w:lineRule="auto"/>
        <w:ind w:left="850" w:hanging="850"/>
        <w:jc w:val="both"/>
        <w:rPr>
          <w:rFonts w:eastAsiaTheme="minorHAnsi"/>
          <w:noProof/>
          <w:szCs w:val="24"/>
          <w:lang w:eastAsia="en-US"/>
        </w:rPr>
      </w:pPr>
    </w:p>
    <w:p>
      <w:pPr>
        <w:widowControl/>
        <w:spacing w:line="240" w:lineRule="auto"/>
        <w:ind w:left="850" w:hanging="850"/>
        <w:jc w:val="both"/>
        <w:rPr>
          <w:rFonts w:eastAsiaTheme="minorHAnsi"/>
          <w:noProof/>
          <w:szCs w:val="24"/>
          <w:lang w:eastAsia="en-US"/>
        </w:rPr>
      </w:pPr>
    </w:p>
    <w:p>
      <w:pPr>
        <w:widowControl/>
        <w:spacing w:line="240" w:lineRule="auto"/>
        <w:rPr>
          <w:rFonts w:eastAsia="Calibri"/>
          <w:i/>
          <w:iCs/>
          <w:noProof/>
          <w:bdr w:val="nil"/>
          <w:lang w:eastAsia="en-GB"/>
        </w:rPr>
      </w:pPr>
      <w:r>
        <w:rPr>
          <w:rFonts w:eastAsia="Calibri"/>
          <w:i/>
          <w:iCs/>
          <w:noProof/>
          <w:bdr w:val="nil"/>
          <w:lang w:eastAsia="en-GB"/>
        </w:rPr>
        <w:br w:type="page"/>
      </w:r>
    </w:p>
    <w:p>
      <w:pPr>
        <w:spacing w:line="240" w:lineRule="auto"/>
        <w:jc w:val="center"/>
        <w:rPr>
          <w:rFonts w:eastAsia="Calibri"/>
          <w:i/>
          <w:iCs/>
          <w:noProof/>
          <w:bdr w:val="nil"/>
          <w:lang w:eastAsia="en-GB"/>
        </w:rPr>
      </w:pPr>
      <w:r>
        <w:rPr>
          <w:rFonts w:eastAsia="Calibri"/>
          <w:i/>
          <w:iCs/>
          <w:noProof/>
          <w:bdr w:val="nil"/>
          <w:lang w:eastAsia="en-GB"/>
        </w:rPr>
        <w:t>SECTION B</w:t>
      </w:r>
    </w:p>
    <w:p>
      <w:pPr>
        <w:spacing w:line="240" w:lineRule="auto"/>
        <w:jc w:val="center"/>
        <w:rPr>
          <w:rFonts w:eastAsia="Calibri"/>
          <w:noProof/>
          <w:bdr w:val="nil"/>
          <w:lang w:eastAsia="en-GB"/>
        </w:rPr>
      </w:pPr>
    </w:p>
    <w:p>
      <w:pPr>
        <w:spacing w:line="240" w:lineRule="auto"/>
        <w:jc w:val="center"/>
        <w:rPr>
          <w:rFonts w:eastAsia="Calibri"/>
          <w:b/>
          <w:bCs/>
          <w:i/>
          <w:iCs/>
          <w:noProof/>
          <w:bdr w:val="nil"/>
          <w:lang w:eastAsia="en-GB"/>
        </w:rPr>
      </w:pPr>
      <w:r>
        <w:rPr>
          <w:rFonts w:eastAsia="Calibri"/>
          <w:b/>
          <w:bCs/>
          <w:i/>
          <w:iCs/>
          <w:noProof/>
          <w:bdr w:val="nil"/>
          <w:lang w:val="fr-CA" w:eastAsia="en-GB"/>
        </w:rPr>
        <w:t>Déclaration sur l’administration par le Canada des contingents</w:t>
      </w:r>
      <w:r>
        <w:rPr>
          <w:rFonts w:eastAsia="Calibri"/>
          <w:b/>
          <w:bCs/>
          <w:i/>
          <w:iCs/>
          <w:noProof/>
          <w:bdr w:val="nil"/>
          <w:lang w:val="fr-CA" w:eastAsia="en-GB"/>
        </w:rPr>
        <w:br/>
        <w:t>tarifaires de fromage dans le cadre du présent accord</w:t>
      </w:r>
    </w:p>
    <w:p>
      <w:pPr>
        <w:spacing w:line="240" w:lineRule="auto"/>
        <w:rPr>
          <w:rFonts w:eastAsia="Calibri"/>
          <w:noProof/>
          <w:bdr w:val="nil"/>
          <w:lang w:eastAsia="en-GB"/>
        </w:rPr>
      </w:pPr>
    </w:p>
    <w:p>
      <w:pPr>
        <w:spacing w:line="240" w:lineRule="auto"/>
        <w:ind w:left="567" w:hanging="567"/>
        <w:rPr>
          <w:rFonts w:eastAsiaTheme="minorHAnsi"/>
          <w:noProof/>
          <w:lang w:eastAsia="en-US"/>
        </w:rPr>
      </w:pPr>
      <w:r>
        <w:rPr>
          <w:rFonts w:eastAsia="Calibri"/>
          <w:noProof/>
          <w:szCs w:val="24"/>
          <w:lang w:eastAsia="en-US"/>
        </w:rPr>
        <w:t>1.</w:t>
      </w:r>
      <w:r>
        <w:rPr>
          <w:rFonts w:eastAsia="Calibri"/>
          <w:noProof/>
          <w:szCs w:val="24"/>
          <w:lang w:eastAsia="en-US"/>
        </w:rPr>
        <w:tab/>
      </w:r>
      <w:r>
        <w:rPr>
          <w:rFonts w:eastAsiaTheme="minorHAnsi"/>
          <w:noProof/>
          <w:lang w:val="fr-CA" w:eastAsia="en-US"/>
        </w:rPr>
        <w:t>Le principe général est que l’administration des contingents tarifaires devrait être aussi propice que possible au commerce. Plus précisément, elle ne doit pas compromettre ou rendre nuls les engagements en matière d’accès aux marchés négociés par les Parties; elle doit être transparente et prévisible, minimiser les coûts de transaction pour les commerçants, maximiser les taux d’utilisation et viser à éviter la spéculation potentielle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2.</w:t>
      </w:r>
      <w:r>
        <w:rPr>
          <w:rFonts w:eastAsiaTheme="minorHAnsi"/>
          <w:noProof/>
          <w:lang w:eastAsia="en-US"/>
        </w:rPr>
        <w:tab/>
      </w:r>
      <w:r>
        <w:rPr>
          <w:rFonts w:eastAsiaTheme="minorHAnsi"/>
          <w:noProof/>
          <w:lang w:val="fr-CA" w:eastAsia="en-US"/>
        </w:rPr>
        <w:t>Les critères d’admissibilité et la méthode d’attribution des contingents devraient se traduire par l’attribution de ceux-ci aux personnes qui sont les plus susceptibles de les utiliser et ne doivent pas créer d’obstacles aux importations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jc w:val="center"/>
        <w:rPr>
          <w:rFonts w:eastAsia="Calibri"/>
          <w:b/>
          <w:noProof/>
          <w:szCs w:val="24"/>
          <w:lang w:eastAsia="en-US"/>
        </w:rPr>
      </w:pPr>
      <w:r>
        <w:rPr>
          <w:rFonts w:eastAsia="Calibri"/>
          <w:b/>
          <w:noProof/>
          <w:szCs w:val="24"/>
          <w:lang w:val="fr-CA" w:eastAsia="en-US"/>
        </w:rPr>
        <w:t>Structure du système de licences d’importation</w:t>
      </w:r>
    </w:p>
    <w:p>
      <w:pPr>
        <w:spacing w:line="240" w:lineRule="auto"/>
        <w:jc w:val="center"/>
        <w:rPr>
          <w:rFonts w:eastAsia="Calibri"/>
          <w:bCs/>
          <w:noProof/>
          <w:szCs w:val="24"/>
          <w:lang w:eastAsia="en-US"/>
        </w:rPr>
      </w:pPr>
    </w:p>
    <w:p>
      <w:pPr>
        <w:spacing w:line="240" w:lineRule="auto"/>
        <w:ind w:left="567" w:hanging="567"/>
        <w:rPr>
          <w:rFonts w:eastAsiaTheme="minorHAnsi"/>
          <w:noProof/>
          <w:lang w:eastAsia="en-US"/>
        </w:rPr>
      </w:pPr>
      <w:r>
        <w:rPr>
          <w:rFonts w:eastAsiaTheme="minorHAnsi"/>
          <w:noProof/>
          <w:lang w:eastAsia="en-US"/>
        </w:rPr>
        <w:t>3.</w:t>
      </w:r>
      <w:r>
        <w:rPr>
          <w:rFonts w:eastAsiaTheme="minorHAnsi"/>
          <w:noProof/>
          <w:lang w:eastAsia="en-US"/>
        </w:rPr>
        <w:tab/>
      </w:r>
      <w:r>
        <w:rPr>
          <w:rFonts w:eastAsiaTheme="minorHAnsi"/>
          <w:noProof/>
          <w:lang w:val="fr-CA" w:eastAsia="en-US"/>
        </w:rPr>
        <w:t>La quantité sous contingent tarifaire annuel sera répartie chaque année entre les demandeurs admissibles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4.</w:t>
      </w:r>
      <w:r>
        <w:rPr>
          <w:rFonts w:eastAsiaTheme="minorHAnsi"/>
          <w:noProof/>
          <w:lang w:eastAsia="en-US"/>
        </w:rPr>
        <w:tab/>
      </w:r>
      <w:r>
        <w:rPr>
          <w:rFonts w:eastAsiaTheme="minorHAnsi"/>
          <w:noProof/>
          <w:lang w:val="fr-CA" w:eastAsia="en-US"/>
        </w:rPr>
        <w:t>La méthode d'attribution du contingent tarifaire permettra l’admission de nouveaux entrants chaque année. Durant la période d’application progressive de l’année 1 à l’année 5, au moins 30 p. cent du contingent tarifaire sera disponible pour les nouveaux entrants chaque année. Après la fin de la période d’application progressive, à compter de l’année 6 et pour les années suivantes, au moins 10 p. cent de la quantité sous contingent tarifaire sera disponible pour les nouveaux entrants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5.</w:t>
      </w:r>
      <w:r>
        <w:rPr>
          <w:rFonts w:eastAsiaTheme="minorHAnsi"/>
          <w:noProof/>
          <w:lang w:eastAsia="en-US"/>
        </w:rPr>
        <w:tab/>
      </w:r>
      <w:r>
        <w:rPr>
          <w:rFonts w:eastAsiaTheme="minorHAnsi"/>
          <w:noProof/>
          <w:lang w:val="fr-CA" w:eastAsia="en-US"/>
        </w:rPr>
        <w:t>La quantité sous contingent tarifaire sera attribuée chaque année civile. Les demandes de toutes les parties intéressées seront reçues et traitées conformément aux dispositions du Mémorandum d’accord sur les dispositions relatives à l’administration des contingents tarifaires pour les produits agricoles, tels que définis à l’article 2 de l’Accord sur l’agriculture, Décision ministérielle WT/MIN(13)/39 du 7 décembre 2013. Une période de quatre à six semaines est prévue pour la présentation des demandes. Les importations pourront commencer le premier jour de l’année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6.</w:t>
      </w:r>
      <w:r>
        <w:rPr>
          <w:rFonts w:eastAsiaTheme="minorHAnsi"/>
          <w:noProof/>
          <w:lang w:eastAsia="en-US"/>
        </w:rPr>
        <w:tab/>
      </w:r>
      <w:r>
        <w:rPr>
          <w:rFonts w:eastAsiaTheme="minorHAnsi"/>
          <w:noProof/>
          <w:lang w:val="fr-CA" w:eastAsia="en-US"/>
        </w:rPr>
        <w:t>Si le contingent tarifaire n’est pas totalement attribué après le processus de présentation des demandes visé au paragraphe 3, les quantités disponibles seront immédiatement offertes aux demandeurs admissibles en proportion de leur quote-part, ou sur demande si une portion du contingent reste disponible après la première offre</w:t>
      </w:r>
      <w:r>
        <w:rPr>
          <w:rFonts w:eastAsiaTheme="minorHAnsi"/>
          <w:noProof/>
          <w:lang w:eastAsia="en-US"/>
        </w:rPr>
        <w:t>.</w:t>
      </w:r>
    </w:p>
    <w:p>
      <w:pPr>
        <w:spacing w:line="240" w:lineRule="auto"/>
        <w:ind w:left="567" w:hanging="567"/>
        <w:rPr>
          <w:rFonts w:eastAsiaTheme="minorHAnsi"/>
          <w:noProof/>
          <w:lang w:eastAsia="en-US"/>
        </w:rPr>
      </w:pPr>
    </w:p>
    <w:p>
      <w:pPr>
        <w:widowControl/>
        <w:spacing w:line="240" w:lineRule="auto"/>
        <w:rPr>
          <w:rFonts w:eastAsia="Calibri"/>
          <w:b/>
          <w:noProof/>
          <w:szCs w:val="24"/>
          <w:lang w:eastAsia="en-US"/>
        </w:rPr>
      </w:pPr>
      <w:r>
        <w:rPr>
          <w:rFonts w:eastAsia="Calibri"/>
          <w:b/>
          <w:noProof/>
          <w:szCs w:val="24"/>
          <w:lang w:eastAsia="en-US"/>
        </w:rPr>
        <w:br w:type="page"/>
      </w:r>
    </w:p>
    <w:p>
      <w:pPr>
        <w:widowControl/>
        <w:spacing w:line="240" w:lineRule="auto"/>
        <w:jc w:val="center"/>
        <w:rPr>
          <w:rFonts w:eastAsia="Calibri"/>
          <w:b/>
          <w:noProof/>
          <w:szCs w:val="24"/>
          <w:lang w:eastAsia="en-US"/>
        </w:rPr>
      </w:pPr>
      <w:r>
        <w:rPr>
          <w:rFonts w:eastAsia="Calibri"/>
          <w:b/>
          <w:noProof/>
          <w:szCs w:val="24"/>
          <w:lang w:val="fr-CA" w:eastAsia="en-US"/>
        </w:rPr>
        <w:t>Critères d’admissibilité</w:t>
      </w:r>
    </w:p>
    <w:p>
      <w:pPr>
        <w:widowControl/>
        <w:spacing w:line="240" w:lineRule="auto"/>
        <w:jc w:val="center"/>
        <w:rPr>
          <w:rFonts w:eastAsia="Calibri"/>
          <w:bCs/>
          <w:noProof/>
          <w:szCs w:val="24"/>
          <w:lang w:eastAsia="en-US"/>
        </w:rPr>
      </w:pPr>
    </w:p>
    <w:p>
      <w:pPr>
        <w:spacing w:line="240" w:lineRule="auto"/>
        <w:ind w:left="567" w:hanging="567"/>
        <w:rPr>
          <w:rFonts w:eastAsiaTheme="minorHAnsi"/>
          <w:noProof/>
          <w:lang w:eastAsia="en-US"/>
        </w:rPr>
      </w:pPr>
      <w:r>
        <w:rPr>
          <w:rFonts w:eastAsiaTheme="minorHAnsi"/>
          <w:noProof/>
          <w:lang w:eastAsia="en-US"/>
        </w:rPr>
        <w:t>7.</w:t>
      </w:r>
      <w:r>
        <w:rPr>
          <w:rFonts w:eastAsiaTheme="minorHAnsi"/>
          <w:noProof/>
          <w:lang w:eastAsia="en-US"/>
        </w:rPr>
        <w:tab/>
      </w:r>
      <w:r>
        <w:rPr>
          <w:rFonts w:eastAsiaTheme="minorHAnsi"/>
          <w:noProof/>
          <w:lang w:val="fr-CA" w:eastAsia="en-US"/>
        </w:rPr>
        <w:t>Pour être admissible, le demandeur est au moins résident du Canada et mène régulièrement des activités dans le secteur canadien du fromage pendant l’année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8.</w:t>
      </w:r>
      <w:r>
        <w:rPr>
          <w:rFonts w:eastAsiaTheme="minorHAnsi"/>
          <w:noProof/>
          <w:lang w:eastAsia="en-US"/>
        </w:rPr>
        <w:tab/>
      </w:r>
      <w:r>
        <w:rPr>
          <w:rFonts w:eastAsiaTheme="minorHAnsi"/>
          <w:noProof/>
          <w:lang w:val="fr-CA" w:eastAsia="en-US"/>
        </w:rPr>
        <w:t>Durant la période d’application progressive de l’année 1 à l’année 5, un nouvel entrant est un demandeur admissible qui n’est pas titulaire d’une quote-part du contingent tarifaire de fromage du Canada dans le cadre de l’OMC</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9.</w:t>
      </w:r>
      <w:r>
        <w:rPr>
          <w:rFonts w:eastAsiaTheme="minorHAnsi"/>
          <w:noProof/>
          <w:lang w:eastAsia="en-US"/>
        </w:rPr>
        <w:tab/>
      </w:r>
      <w:r>
        <w:rPr>
          <w:rFonts w:eastAsiaTheme="minorHAnsi"/>
          <w:noProof/>
          <w:lang w:val="fr-CA" w:eastAsia="en-US"/>
        </w:rPr>
        <w:t>Après la fin de la période d’application progressive, à compter de l’année 6 et pour les années suivantes, un nouvel entrant est un demandeur admissible qui n’est pas titulaire d’une quote-part du contingent tarifaire de fromage du Canada dans le cadre de l’OMC ou qui n’a pas obtenu de quote-part des contingents tarifaires dans le cadre du présent accord l’année précédente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10.</w:t>
      </w:r>
      <w:r>
        <w:rPr>
          <w:rFonts w:eastAsiaTheme="minorHAnsi"/>
          <w:noProof/>
          <w:lang w:eastAsia="en-US"/>
        </w:rPr>
        <w:tab/>
      </w:r>
      <w:r>
        <w:rPr>
          <w:rFonts w:eastAsiaTheme="minorHAnsi"/>
          <w:noProof/>
          <w:lang w:val="fr-CA" w:eastAsia="en-US"/>
        </w:rPr>
        <w:t>Un nouvel entrant est considéré comme tel pendant une période de trois ans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11.</w:t>
      </w:r>
      <w:r>
        <w:rPr>
          <w:rFonts w:eastAsiaTheme="minorHAnsi"/>
          <w:noProof/>
          <w:lang w:eastAsia="en-US"/>
        </w:rPr>
        <w:tab/>
      </w:r>
      <w:r>
        <w:rPr>
          <w:rFonts w:eastAsiaTheme="minorHAnsi"/>
          <w:noProof/>
          <w:lang w:val="fr-CA" w:eastAsia="en-US"/>
        </w:rPr>
        <w:t>Le demandeur qui n’est plus considéré comme un nouvel entrant est traité sur un pied d’égalité avec tous les autres demandeurs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12.</w:t>
      </w:r>
      <w:r>
        <w:rPr>
          <w:rFonts w:eastAsiaTheme="minorHAnsi"/>
          <w:noProof/>
          <w:lang w:eastAsia="en-US"/>
        </w:rPr>
        <w:tab/>
      </w:r>
      <w:r>
        <w:rPr>
          <w:rFonts w:eastAsiaTheme="minorHAnsi"/>
          <w:noProof/>
          <w:lang w:val="fr-CA" w:eastAsia="en-US"/>
        </w:rPr>
        <w:t>Le Canada peut envisager de plafonner la taille des quotes-parts à un certain pourcentage s’il l’estime nécessaire pour favoriser un contexte d’importation concurrentiel, juste et équilibré</w:t>
      </w:r>
      <w:r>
        <w:rPr>
          <w:rFonts w:eastAsiaTheme="minorHAnsi"/>
          <w:noProof/>
          <w:lang w:eastAsia="en-US"/>
        </w:rPr>
        <w:t>.</w:t>
      </w:r>
    </w:p>
    <w:p>
      <w:pPr>
        <w:spacing w:line="240" w:lineRule="auto"/>
        <w:jc w:val="center"/>
        <w:rPr>
          <w:rFonts w:eastAsiaTheme="minorHAnsi"/>
          <w:bCs/>
          <w:noProof/>
          <w:lang w:eastAsia="en-US"/>
        </w:rPr>
      </w:pPr>
    </w:p>
    <w:p>
      <w:pPr>
        <w:spacing w:line="240" w:lineRule="auto"/>
        <w:jc w:val="center"/>
        <w:rPr>
          <w:rFonts w:eastAsia="Calibri"/>
          <w:b/>
          <w:noProof/>
          <w:szCs w:val="24"/>
          <w:lang w:eastAsia="en-US"/>
        </w:rPr>
      </w:pPr>
      <w:r>
        <w:rPr>
          <w:rFonts w:eastAsia="Calibri"/>
          <w:b/>
          <w:noProof/>
          <w:szCs w:val="24"/>
          <w:lang w:val="fr-CA" w:eastAsia="en-US"/>
        </w:rPr>
        <w:t>Utilisation des quotes-parts de contingent d’importation et des permis d’importation</w:t>
      </w:r>
    </w:p>
    <w:p>
      <w:pPr>
        <w:spacing w:line="240" w:lineRule="auto"/>
        <w:jc w:val="center"/>
        <w:rPr>
          <w:rFonts w:eastAsia="Calibri"/>
          <w:bCs/>
          <w:noProof/>
          <w:szCs w:val="24"/>
          <w:lang w:eastAsia="en-US"/>
        </w:rPr>
      </w:pPr>
    </w:p>
    <w:p>
      <w:pPr>
        <w:spacing w:line="240" w:lineRule="auto"/>
        <w:ind w:left="567" w:hanging="567"/>
        <w:rPr>
          <w:rFonts w:eastAsiaTheme="minorHAnsi"/>
          <w:noProof/>
          <w:lang w:eastAsia="en-US"/>
        </w:rPr>
      </w:pPr>
      <w:r>
        <w:rPr>
          <w:rFonts w:eastAsiaTheme="minorHAnsi"/>
          <w:noProof/>
          <w:lang w:eastAsia="en-US"/>
        </w:rPr>
        <w:t>13.</w:t>
      </w:r>
      <w:r>
        <w:rPr>
          <w:rFonts w:eastAsiaTheme="minorHAnsi"/>
          <w:noProof/>
          <w:lang w:eastAsia="en-US"/>
        </w:rPr>
        <w:tab/>
      </w:r>
      <w:r>
        <w:rPr>
          <w:rFonts w:eastAsiaTheme="minorHAnsi"/>
          <w:noProof/>
          <w:lang w:val="fr-CA" w:eastAsia="en-US"/>
        </w:rPr>
        <w:t>Une quote-part de contingent tarifaire est valide pendant une année contingentaire ou, si elle est attribuée après le début de l’année contingentaire, pendant le reste de l’année contingentaire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14.</w:t>
      </w:r>
      <w:r>
        <w:rPr>
          <w:rFonts w:eastAsiaTheme="minorHAnsi"/>
          <w:noProof/>
          <w:lang w:eastAsia="en-US"/>
        </w:rPr>
        <w:tab/>
      </w:r>
      <w:r>
        <w:rPr>
          <w:rFonts w:eastAsiaTheme="minorHAnsi"/>
          <w:noProof/>
          <w:lang w:val="fr-CA" w:eastAsia="en-US"/>
        </w:rPr>
        <w:t>Pour assurer l’adéquation des importations avec les conditions du marché intérieur et pour minimiser les obstacles au commerce, le titulaire d’une quote-part contingentaire aura normalement la liberté d’utiliser sa quote-part pour importer tout produit couvert par le contingent tarifaire à n’importe quel moment de l’année</w:t>
      </w:r>
      <w:r>
        <w:rPr>
          <w:rFonts w:eastAsiaTheme="minorHAnsi"/>
          <w:noProof/>
          <w:lang w:eastAsia="en-US"/>
        </w:rPr>
        <w:t>.</w:t>
      </w:r>
    </w:p>
    <w:p>
      <w:pPr>
        <w:spacing w:line="240" w:lineRule="auto"/>
        <w:ind w:left="567" w:hanging="567"/>
        <w:rPr>
          <w:rFonts w:eastAsiaTheme="minorHAnsi"/>
          <w:noProof/>
          <w:lang w:eastAsia="en-US"/>
        </w:rPr>
      </w:pPr>
    </w:p>
    <w:p>
      <w:pPr>
        <w:widowControl/>
        <w:spacing w:line="240" w:lineRule="auto"/>
        <w:rPr>
          <w:rFonts w:eastAsiaTheme="minorHAnsi"/>
          <w:noProof/>
          <w:lang w:eastAsia="en-US"/>
        </w:rPr>
      </w:pPr>
      <w:r>
        <w:rPr>
          <w:rFonts w:eastAsiaTheme="minorHAnsi"/>
          <w:noProof/>
          <w:lang w:eastAsia="en-US"/>
        </w:rPr>
        <w:br w:type="page"/>
      </w:r>
    </w:p>
    <w:p>
      <w:pPr>
        <w:spacing w:line="240" w:lineRule="auto"/>
        <w:ind w:left="567" w:hanging="567"/>
        <w:rPr>
          <w:rFonts w:eastAsiaTheme="minorHAnsi"/>
          <w:noProof/>
          <w:lang w:eastAsia="en-US"/>
        </w:rPr>
      </w:pPr>
      <w:r>
        <w:rPr>
          <w:rFonts w:eastAsiaTheme="minorHAnsi"/>
          <w:noProof/>
          <w:lang w:eastAsia="en-US"/>
        </w:rPr>
        <w:t>15.</w:t>
      </w:r>
      <w:r>
        <w:rPr>
          <w:rFonts w:eastAsiaTheme="minorHAnsi"/>
          <w:noProof/>
          <w:lang w:eastAsia="en-US"/>
        </w:rPr>
        <w:tab/>
      </w:r>
      <w:r>
        <w:rPr>
          <w:rFonts w:eastAsiaTheme="minorHAnsi"/>
          <w:noProof/>
          <w:lang w:val="fr-CA" w:eastAsia="en-US"/>
        </w:rPr>
        <w:t>Sur la base de sa quote-part, l’importateur présentera une demande de permis d’importation pour chaque expédition de produit couverte par le contingent tarifaire qu’il souhaite importer au Canada. Les permis d’importation sont normalement délivrés automatiquement sur demande par le système électronique de délivrance de permis du gouvernement du Canada. Selon les politiques actuelles, les permis d’importation peuvent être demandés jusqu’à 30 jours avant la date d’entrée prévue et sont valides pour une période de cinq jours avant et de 25 jours après la date d'entrée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16.</w:t>
      </w:r>
      <w:r>
        <w:rPr>
          <w:rFonts w:eastAsiaTheme="minorHAnsi"/>
          <w:noProof/>
          <w:lang w:eastAsia="en-US"/>
        </w:rPr>
        <w:tab/>
      </w:r>
      <w:r>
        <w:rPr>
          <w:rFonts w:eastAsiaTheme="minorHAnsi"/>
          <w:noProof/>
          <w:lang w:val="fr-CA" w:eastAsia="en-US"/>
        </w:rPr>
        <w:t>Les permis ne sont pas transférables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17.</w:t>
      </w:r>
      <w:r>
        <w:rPr>
          <w:rFonts w:eastAsiaTheme="minorHAnsi"/>
          <w:noProof/>
          <w:lang w:eastAsia="en-US"/>
        </w:rPr>
        <w:tab/>
      </w:r>
      <w:r>
        <w:rPr>
          <w:rFonts w:eastAsiaTheme="minorHAnsi"/>
          <w:noProof/>
          <w:lang w:val="fr-CA" w:eastAsia="en-US"/>
        </w:rPr>
        <w:t>Un permis d’importation peut être modifié ou annulé</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18.</w:t>
      </w:r>
      <w:r>
        <w:rPr>
          <w:rFonts w:eastAsiaTheme="minorHAnsi"/>
          <w:noProof/>
          <w:lang w:eastAsia="en-US"/>
        </w:rPr>
        <w:tab/>
      </w:r>
      <w:r>
        <w:rPr>
          <w:rFonts w:eastAsiaTheme="minorHAnsi"/>
          <w:noProof/>
          <w:lang w:val="fr-CA" w:eastAsia="en-US"/>
        </w:rPr>
        <w:t>Le transfert de quotes-parts peut être autorisé</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19.</w:t>
      </w:r>
      <w:r>
        <w:rPr>
          <w:rFonts w:eastAsiaTheme="minorHAnsi"/>
          <w:noProof/>
          <w:lang w:eastAsia="en-US"/>
        </w:rPr>
        <w:tab/>
      </w:r>
      <w:r>
        <w:rPr>
          <w:rFonts w:eastAsiaTheme="minorHAnsi"/>
          <w:noProof/>
          <w:lang w:val="fr-CA" w:eastAsia="en-US"/>
        </w:rPr>
        <w:t>Le titulaire d'une quote-part utilisant moins de 95 p. cent de sa quote-part dans une année peut être assujetti à une pénalité de sous-utilisation l’année suivante, au cours de laquelle il recevra une quote-part correspondant au niveau d’utilisation réel de sa quote-part antérieure. Un titulaire de quote-part touché par une pénalité de sous-utilisation sera avisé avant la répartition finale du contingent tarifaire</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20.</w:t>
      </w:r>
      <w:r>
        <w:rPr>
          <w:rFonts w:eastAsiaTheme="minorHAnsi"/>
          <w:noProof/>
          <w:lang w:eastAsia="en-US"/>
        </w:rPr>
        <w:tab/>
      </w:r>
      <w:r>
        <w:rPr>
          <w:rFonts w:eastAsiaTheme="minorHAnsi"/>
          <w:noProof/>
          <w:lang w:val="fr-CA" w:eastAsia="en-US"/>
        </w:rPr>
        <w:t>Le titulaire d’une quote-part peut restituer une quantité non utilisée de sa quote-part jusqu’à une date donnée. Les quantités restituées seront considérées comme utilisées aux fins de l’application de la pénalité de sous-utilisation. Les restitutions qui se répètent régulièrement peuvent faire l’objet de pénalités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21.</w:t>
      </w:r>
      <w:r>
        <w:rPr>
          <w:rFonts w:eastAsiaTheme="minorHAnsi"/>
          <w:noProof/>
          <w:lang w:eastAsia="en-US"/>
        </w:rPr>
        <w:tab/>
      </w:r>
      <w:r>
        <w:rPr>
          <w:rFonts w:eastAsiaTheme="minorHAnsi"/>
          <w:noProof/>
          <w:lang w:val="fr-CA" w:eastAsia="en-US"/>
        </w:rPr>
        <w:t>Les quantités restituées seront normalement mises à la disposition des titulaires de permis intéressés qui n’ont pas restitué de quantité non utilisée de leur quote-part le jour suivant la date limite de restitution. Les quantités qui restent disponibles par la suite peuvent être offertes à d’autres tierces parties intéressées</w:t>
      </w:r>
      <w:r>
        <w:rPr>
          <w:rFonts w:eastAsiaTheme="minorHAnsi"/>
          <w:noProof/>
          <w:lang w:eastAsia="en-US"/>
        </w:rPr>
        <w:t>.</w:t>
      </w:r>
    </w:p>
    <w:p>
      <w:pPr>
        <w:spacing w:line="240" w:lineRule="auto"/>
        <w:ind w:left="567" w:hanging="567"/>
        <w:rPr>
          <w:rFonts w:eastAsiaTheme="minorHAnsi"/>
          <w:noProof/>
          <w:lang w:eastAsia="en-US"/>
        </w:rPr>
      </w:pPr>
    </w:p>
    <w:p>
      <w:pPr>
        <w:spacing w:line="240" w:lineRule="auto"/>
        <w:ind w:left="567" w:hanging="567"/>
        <w:rPr>
          <w:rFonts w:eastAsiaTheme="minorHAnsi"/>
          <w:noProof/>
          <w:lang w:eastAsia="en-US"/>
        </w:rPr>
      </w:pPr>
      <w:r>
        <w:rPr>
          <w:rFonts w:eastAsiaTheme="minorHAnsi"/>
          <w:noProof/>
          <w:lang w:eastAsia="en-US"/>
        </w:rPr>
        <w:t>22.</w:t>
      </w:r>
      <w:r>
        <w:rPr>
          <w:rFonts w:eastAsiaTheme="minorHAnsi"/>
          <w:noProof/>
          <w:lang w:eastAsia="en-US"/>
        </w:rPr>
        <w:tab/>
      </w:r>
      <w:r>
        <w:rPr>
          <w:rFonts w:eastAsiaTheme="minorHAnsi"/>
          <w:noProof/>
          <w:lang w:val="fr-CA" w:eastAsia="en-US"/>
        </w:rPr>
        <w:t>La date limite de restitution sera une date suffisamment précoce pour permettre l’utilisation des quantités restituées, et assez éloignée pour permettre aux titulaires de quotes-parts d’établir leurs besoins en matière d’importation jusqu’à la fin de l’année, cette date pouvant se situer vers le milieu de l’année contingentaire</w:t>
      </w:r>
      <w:r>
        <w:rPr>
          <w:rFonts w:eastAsiaTheme="minorHAnsi"/>
          <w:noProof/>
          <w:lang w:eastAsia="en-US"/>
        </w:rPr>
        <w:t>.</w:t>
      </w:r>
    </w:p>
    <w:p>
      <w:pPr>
        <w:spacing w:line="240" w:lineRule="auto"/>
        <w:rPr>
          <w:rFonts w:eastAsiaTheme="minorHAnsi"/>
          <w:noProof/>
          <w:lang w:eastAsia="en-US"/>
        </w:rPr>
      </w:pPr>
    </w:p>
    <w:p>
      <w:pPr>
        <w:spacing w:line="240" w:lineRule="auto"/>
        <w:rPr>
          <w:rFonts w:eastAsiaTheme="minorHAnsi"/>
          <w:noProof/>
          <w:lang w:eastAsia="en-US"/>
        </w:rPr>
      </w:pPr>
    </w:p>
    <w:p>
      <w:pPr>
        <w:widowControl/>
        <w:spacing w:line="240" w:lineRule="auto"/>
        <w:rPr>
          <w:rFonts w:eastAsia="Batang"/>
          <w:b/>
          <w:noProof/>
          <w:szCs w:val="24"/>
          <w:u w:val="single"/>
          <w:lang w:eastAsia="en-US"/>
        </w:rPr>
      </w:pPr>
      <w:r>
        <w:rPr>
          <w:rFonts w:eastAsia="Batang"/>
          <w:b/>
          <w:noProof/>
          <w:szCs w:val="24"/>
          <w:u w:val="single"/>
          <w:lang w:eastAsia="en-US"/>
        </w:rPr>
        <w:br w:type="page"/>
      </w:r>
    </w:p>
    <w:p>
      <w:pPr>
        <w:jc w:val="center"/>
        <w:rPr>
          <w:rFonts w:eastAsia="Batang"/>
          <w:b/>
          <w:noProof/>
          <w:szCs w:val="24"/>
          <w:u w:val="single"/>
          <w:lang w:val="fr-FR" w:eastAsia="en-US"/>
        </w:rPr>
      </w:pPr>
      <w:r>
        <w:rPr>
          <w:rFonts w:eastAsia="Batang"/>
          <w:b/>
          <w:noProof/>
          <w:szCs w:val="24"/>
          <w:u w:val="single"/>
          <w:lang w:val="fr-FR" w:eastAsia="en-US"/>
        </w:rPr>
        <w:t>ANNEXE 4</w:t>
      </w:r>
      <w:r>
        <w:rPr>
          <w:rFonts w:eastAsia="Batang"/>
          <w:b/>
          <w:noProof/>
          <w:szCs w:val="24"/>
          <w:u w:val="single"/>
          <w:lang w:val="fr-FR" w:eastAsia="en-US"/>
        </w:rPr>
        <w:noBreakHyphen/>
        <w:t>A</w:t>
      </w:r>
    </w:p>
    <w:p>
      <w:pPr>
        <w:spacing w:line="240" w:lineRule="auto"/>
        <w:jc w:val="center"/>
        <w:rPr>
          <w:rFonts w:eastAsia="Batang"/>
          <w:bCs/>
          <w:noProof/>
          <w:szCs w:val="24"/>
          <w:lang w:val="fr-FR" w:eastAsia="en-US"/>
        </w:rPr>
      </w:pPr>
    </w:p>
    <w:p>
      <w:pPr>
        <w:spacing w:line="240" w:lineRule="auto"/>
        <w:jc w:val="center"/>
        <w:rPr>
          <w:rFonts w:eastAsia="Batang"/>
          <w:bCs/>
          <w:noProof/>
          <w:szCs w:val="24"/>
          <w:lang w:val="fr-FR" w:eastAsia="en-US"/>
        </w:rPr>
      </w:pPr>
    </w:p>
    <w:p>
      <w:pPr>
        <w:spacing w:line="240" w:lineRule="auto"/>
        <w:jc w:val="center"/>
        <w:rPr>
          <w:rFonts w:eastAsia="Batang"/>
          <w:b/>
          <w:noProof/>
          <w:szCs w:val="24"/>
          <w:lang w:val="fr-CA" w:eastAsia="en-US"/>
        </w:rPr>
      </w:pPr>
      <w:r>
        <w:rPr>
          <w:rFonts w:eastAsia="Batang"/>
          <w:b/>
          <w:noProof/>
          <w:szCs w:val="24"/>
          <w:lang w:val="fr-CA" w:eastAsia="en-US"/>
        </w:rPr>
        <w:t>COOPÉRATION DANS LE DOMAINE DE LA RÉGLEMENTATION</w:t>
      </w:r>
      <w:r>
        <w:rPr>
          <w:rFonts w:eastAsia="Batang"/>
          <w:b/>
          <w:noProof/>
          <w:szCs w:val="24"/>
          <w:lang w:val="fr-CA" w:eastAsia="en-US"/>
        </w:rPr>
        <w:br/>
        <w:t>DES VÉHICULES AUTOMOBILES</w:t>
      </w:r>
    </w:p>
    <w:p>
      <w:pPr>
        <w:spacing w:line="240" w:lineRule="auto"/>
        <w:jc w:val="center"/>
        <w:rPr>
          <w:rFonts w:eastAsia="Batang"/>
          <w:b/>
          <w:noProof/>
          <w:szCs w:val="24"/>
          <w:lang w:val="fr-FR" w:eastAsia="en-US"/>
        </w:rPr>
      </w:pPr>
    </w:p>
    <w:p>
      <w:pPr>
        <w:spacing w:line="240" w:lineRule="auto"/>
        <w:jc w:val="center"/>
        <w:rPr>
          <w:rFonts w:eastAsia="Batang"/>
          <w:bCs/>
          <w:noProof/>
          <w:szCs w:val="24"/>
          <w:lang w:val="fr-FR" w:eastAsia="en-US"/>
        </w:rPr>
      </w:pPr>
    </w:p>
    <w:p>
      <w:pPr>
        <w:spacing w:line="240" w:lineRule="auto"/>
        <w:jc w:val="center"/>
        <w:rPr>
          <w:rFonts w:eastAsiaTheme="minorHAnsi"/>
          <w:i/>
          <w:iCs/>
          <w:noProof/>
          <w:lang w:val="fr-FR" w:eastAsia="en-US"/>
        </w:rPr>
      </w:pPr>
      <w:r>
        <w:rPr>
          <w:rFonts w:eastAsiaTheme="minorHAnsi"/>
          <w:i/>
          <w:iCs/>
          <w:noProof/>
          <w:lang w:val="fr-CA" w:eastAsia="en-US"/>
        </w:rPr>
        <w:t>Article premier</w:t>
      </w:r>
    </w:p>
    <w:p>
      <w:pPr>
        <w:spacing w:line="240" w:lineRule="auto"/>
        <w:jc w:val="center"/>
        <w:rPr>
          <w:rFonts w:eastAsiaTheme="minorHAnsi"/>
          <w:noProof/>
          <w:lang w:val="fr-FR" w:eastAsia="en-US"/>
        </w:rPr>
      </w:pPr>
    </w:p>
    <w:p>
      <w:pPr>
        <w:spacing w:line="240" w:lineRule="auto"/>
        <w:jc w:val="center"/>
        <w:rPr>
          <w:rFonts w:eastAsiaTheme="minorHAnsi"/>
          <w:b/>
          <w:bCs/>
          <w:noProof/>
          <w:lang w:val="fr-FR" w:eastAsia="en-US"/>
        </w:rPr>
      </w:pPr>
      <w:r>
        <w:rPr>
          <w:rFonts w:eastAsiaTheme="minorHAnsi"/>
          <w:b/>
          <w:bCs/>
          <w:noProof/>
          <w:lang w:val="fr-FR" w:eastAsia="en-US"/>
        </w:rPr>
        <w:t>But et objectifs</w:t>
      </w:r>
    </w:p>
    <w:p>
      <w:pPr>
        <w:spacing w:line="240" w:lineRule="auto"/>
        <w:jc w:val="center"/>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1.</w:t>
      </w:r>
      <w:r>
        <w:rPr>
          <w:rFonts w:eastAsiaTheme="minorHAnsi"/>
          <w:noProof/>
          <w:lang w:val="fr-FR" w:eastAsia="en-US"/>
        </w:rPr>
        <w:tab/>
      </w:r>
      <w:r>
        <w:rPr>
          <w:rFonts w:eastAsiaTheme="minorHAnsi"/>
          <w:noProof/>
          <w:lang w:val="fr-CA" w:eastAsia="en-US"/>
        </w:rPr>
        <w:t>Les Parties prennent acte de la coopération entre le Canada et la Commission européenne dans le domaine de la science et de la technologie</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2.</w:t>
      </w:r>
      <w:r>
        <w:rPr>
          <w:rFonts w:eastAsiaTheme="minorHAnsi"/>
          <w:noProof/>
          <w:lang w:val="fr-FR" w:eastAsia="en-US"/>
        </w:rPr>
        <w:tab/>
      </w:r>
      <w:r>
        <w:rPr>
          <w:rFonts w:eastAsiaTheme="minorHAnsi"/>
          <w:noProof/>
          <w:lang w:val="fr-CA" w:eastAsia="en-US"/>
        </w:rPr>
        <w:t>Les Parties confirment leur engagement conjoint à améliorer la sécurité et la performance environnementale des véhicules, et à appuyer les efforts d’harmonisation menés dans le cadre de l’</w:t>
      </w:r>
      <w:r>
        <w:rPr>
          <w:rFonts w:eastAsiaTheme="minorHAnsi"/>
          <w:i/>
          <w:noProof/>
          <w:lang w:val="fr-CA" w:eastAsia="en-US"/>
        </w:rPr>
        <w:t>Accord mondial de 1998 administré par le Forum mondial de l’harmonisation des Règlements concernant les véhicules</w:t>
      </w:r>
      <w:r>
        <w:rPr>
          <w:rFonts w:eastAsiaTheme="minorHAnsi"/>
          <w:noProof/>
          <w:lang w:val="fr-CA" w:eastAsia="en-US"/>
        </w:rPr>
        <w:t xml:space="preserve"> </w:t>
      </w:r>
      <w:r>
        <w:rPr>
          <w:rFonts w:eastAsiaTheme="minorHAnsi"/>
          <w:i/>
          <w:noProof/>
          <w:lang w:val="fr-CA" w:eastAsia="en-US"/>
        </w:rPr>
        <w:t>(WP.29)</w:t>
      </w:r>
      <w:r>
        <w:rPr>
          <w:rFonts w:eastAsiaTheme="minorHAnsi"/>
          <w:noProof/>
          <w:lang w:val="fr-CA" w:eastAsia="en-US"/>
        </w:rPr>
        <w:t xml:space="preserve"> (l’« </w:t>
      </w:r>
      <w:r>
        <w:rPr>
          <w:rFonts w:eastAsiaTheme="minorHAnsi"/>
          <w:i/>
          <w:noProof/>
          <w:lang w:val="fr-CA" w:eastAsia="en-US"/>
        </w:rPr>
        <w:t>Accord mondial de 1998</w:t>
      </w:r>
      <w:r>
        <w:rPr>
          <w:rFonts w:eastAsiaTheme="minorHAnsi"/>
          <w:noProof/>
          <w:lang w:val="fr-CA" w:eastAsia="en-US"/>
        </w:rPr>
        <w:t> ») de la Commission économique pour l’Europe des Nations Unies (« CEE-ONU »)</w:t>
      </w:r>
      <w:r>
        <w:rPr>
          <w:rFonts w:eastAsiaTheme="minorHAnsi"/>
          <w:noProof/>
          <w:lang w:val="fr-FR" w:eastAsia="en-US"/>
        </w:rPr>
        <w:t>.</w:t>
      </w:r>
    </w:p>
    <w:p>
      <w:pPr>
        <w:spacing w:line="240" w:lineRule="auto"/>
        <w:ind w:left="567" w:hanging="567"/>
        <w:rPr>
          <w:rFonts w:eastAsiaTheme="minorHAnsi"/>
          <w: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3.</w:t>
      </w:r>
      <w:r>
        <w:rPr>
          <w:rFonts w:eastAsiaTheme="minorHAnsi"/>
          <w:noProof/>
          <w:lang w:val="fr-FR" w:eastAsia="en-US"/>
        </w:rPr>
        <w:tab/>
      </w:r>
      <w:r>
        <w:rPr>
          <w:rFonts w:eastAsiaTheme="minorHAnsi"/>
          <w:noProof/>
          <w:lang w:val="fr-CA" w:eastAsia="en-US"/>
        </w:rPr>
        <w:t>Les Parties prennent acte de leur engagement à intensifier leurs efforts dans le domaine de la coopération en matière de réglementation au titre du présent chapitre et du chapitre Vingt-et-un (Coopération en matière de réglementation)</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4.</w:t>
      </w:r>
      <w:r>
        <w:rPr>
          <w:rFonts w:eastAsiaTheme="minorHAnsi"/>
          <w:noProof/>
          <w:lang w:val="fr-FR" w:eastAsia="en-US"/>
        </w:rPr>
        <w:tab/>
      </w:r>
      <w:r>
        <w:rPr>
          <w:rFonts w:eastAsiaTheme="minorHAnsi"/>
          <w:noProof/>
          <w:lang w:val="fr-CA" w:eastAsia="en-US"/>
        </w:rPr>
        <w:t>Les Parties reconnaissent le droit de chaque Partie de déterminer le niveau souhaité de protection de la santé, de la sécurité, de l’environnement et des consommateurs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strike/>
          <w:noProof/>
          <w:lang w:val="fr-FR" w:eastAsia="en-US"/>
        </w:rPr>
      </w:pPr>
      <w:r>
        <w:rPr>
          <w:rFonts w:eastAsiaTheme="minorHAnsi"/>
          <w:noProof/>
          <w:lang w:val="fr-FR" w:eastAsia="en-US"/>
        </w:rPr>
        <w:t>5.</w:t>
      </w:r>
      <w:r>
        <w:rPr>
          <w:rFonts w:eastAsiaTheme="minorHAnsi"/>
          <w:noProof/>
          <w:lang w:val="fr-FR" w:eastAsia="en-US"/>
        </w:rPr>
        <w:tab/>
      </w:r>
      <w:r>
        <w:rPr>
          <w:rFonts w:eastAsiaTheme="minorHAnsi"/>
          <w:noProof/>
          <w:lang w:val="fr-CA" w:eastAsia="en-US"/>
        </w:rPr>
        <w:t>Les Parties souhaitent renforcer la coopération et augmenter l’efficacité de l’utilisation des ressources dans les domaines liés aux règlements techniques relatifs aux véhicules automobiles, sans compromettre la capacité de chaque Partie de s’acquitter de ses responsabilités</w:t>
      </w:r>
      <w:r>
        <w:rPr>
          <w:rFonts w:eastAsiaTheme="minorHAnsi"/>
          <w:noProof/>
          <w:lang w:val="fr-FR" w:eastAsia="en-US"/>
        </w:rPr>
        <w:t>.</w:t>
      </w:r>
    </w:p>
    <w:p>
      <w:pPr>
        <w:spacing w:line="240" w:lineRule="auto"/>
        <w:ind w:left="567" w:hanging="567"/>
        <w:rPr>
          <w:rFonts w:eastAsiaTheme="minorHAnsi"/>
          <w:noProof/>
          <w:lang w:val="fr-FR" w:eastAsia="en-US"/>
        </w:rPr>
      </w:pPr>
    </w:p>
    <w:p>
      <w:pPr>
        <w:widowControl/>
        <w:spacing w:line="240" w:lineRule="auto"/>
        <w:rPr>
          <w:rFonts w:eastAsiaTheme="minorHAnsi"/>
          <w:noProof/>
          <w:lang w:val="fr-FR" w:eastAsia="en-US"/>
        </w:rPr>
      </w:pPr>
      <w:r>
        <w:rPr>
          <w:rFonts w:eastAsiaTheme="minorHAnsi"/>
          <w:noProof/>
          <w:lang w:val="fr-FR" w:eastAsia="en-US"/>
        </w:rPr>
        <w:br w:type="page"/>
      </w:r>
    </w:p>
    <w:p>
      <w:pPr>
        <w:spacing w:line="240" w:lineRule="auto"/>
        <w:ind w:left="567" w:hanging="567"/>
        <w:rPr>
          <w:rFonts w:eastAsiaTheme="minorHAnsi"/>
          <w:noProof/>
          <w:lang w:val="fr-FR" w:eastAsia="en-US"/>
        </w:rPr>
      </w:pPr>
      <w:r>
        <w:rPr>
          <w:rFonts w:eastAsiaTheme="minorHAnsi"/>
          <w:noProof/>
          <w:lang w:val="fr-FR" w:eastAsia="en-US"/>
        </w:rPr>
        <w:t>6.</w:t>
      </w:r>
      <w:r>
        <w:rPr>
          <w:rFonts w:eastAsiaTheme="minorHAnsi"/>
          <w:noProof/>
          <w:lang w:val="fr-FR" w:eastAsia="en-US"/>
        </w:rPr>
        <w:tab/>
      </w:r>
      <w:r>
        <w:rPr>
          <w:rFonts w:eastAsiaTheme="minorHAnsi"/>
          <w:noProof/>
          <w:lang w:val="fr-CA" w:eastAsia="en-US"/>
        </w:rPr>
        <w:t>La présente annexe a pour but de renforcer la coopération et la communication, y compris l’échange de renseignements, en ce qui a trait aux activités de recherche sur la sécurité et la performance environnementale des véhicules automobiles liées à l’élaboration de nouveaux règlements techniques ou de normes connexes, et de promouvoir l’application et la reconnaissance des règlements techniques mondiaux visés par l’</w:t>
      </w:r>
      <w:r>
        <w:rPr>
          <w:rFonts w:eastAsiaTheme="minorHAnsi"/>
          <w:i/>
          <w:noProof/>
          <w:lang w:val="fr-CA" w:eastAsia="en-US"/>
        </w:rPr>
        <w:t>Accord mondial de 1998</w:t>
      </w:r>
      <w:r>
        <w:rPr>
          <w:rFonts w:eastAsiaTheme="minorHAnsi"/>
          <w:noProof/>
          <w:lang w:val="fr-CA" w:eastAsia="en-US"/>
        </w:rPr>
        <w:t xml:space="preserve"> et une éventuelle harmonisation future entre les Parties sur le plan des améliorations et autres avancées en matière de règlements techniques relatifs aux véhicules automobiles ou de normes connexes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p>
    <w:p>
      <w:pPr>
        <w:spacing w:line="240" w:lineRule="auto"/>
        <w:jc w:val="center"/>
        <w:rPr>
          <w:rFonts w:eastAsiaTheme="minorHAnsi"/>
          <w:i/>
          <w:iCs/>
          <w:noProof/>
          <w:lang w:val="fr-FR" w:eastAsia="en-US"/>
        </w:rPr>
      </w:pPr>
      <w:r>
        <w:rPr>
          <w:rFonts w:eastAsiaTheme="minorHAnsi"/>
          <w:i/>
          <w:iCs/>
          <w:noProof/>
          <w:lang w:val="fr-FR" w:eastAsia="en-US"/>
        </w:rPr>
        <w:t>Article 2</w:t>
      </w:r>
    </w:p>
    <w:p>
      <w:pPr>
        <w:spacing w:line="240" w:lineRule="auto"/>
        <w:jc w:val="center"/>
        <w:rPr>
          <w:rFonts w:eastAsia="Batang"/>
          <w:bCs/>
          <w:noProof/>
          <w:lang w:val="fr-FR" w:eastAsia="en-US"/>
        </w:rPr>
      </w:pPr>
    </w:p>
    <w:p>
      <w:pPr>
        <w:spacing w:line="240" w:lineRule="auto"/>
        <w:jc w:val="center"/>
        <w:rPr>
          <w:rFonts w:eastAsia="Batang"/>
          <w:b/>
          <w:noProof/>
          <w:lang w:val="fr-FR" w:eastAsia="en-US"/>
        </w:rPr>
      </w:pPr>
      <w:r>
        <w:rPr>
          <w:rFonts w:eastAsia="Batang"/>
          <w:b/>
          <w:noProof/>
          <w:lang w:val="fr-CA" w:eastAsia="en-US"/>
        </w:rPr>
        <w:t>Domaines de coopération</w:t>
      </w:r>
    </w:p>
    <w:p>
      <w:pPr>
        <w:spacing w:line="240" w:lineRule="auto"/>
        <w:rPr>
          <w:rFonts w:eastAsiaTheme="minorHAnsi"/>
          <w:noProof/>
          <w:lang w:val="fr-FR" w:eastAsia="en-US"/>
        </w:rPr>
      </w:pPr>
      <w:r>
        <w:rPr>
          <w:rFonts w:eastAsiaTheme="minorHAnsi"/>
          <w:noProof/>
          <w:lang w:val="fr-FR" w:eastAsia="en-US"/>
        </w:rPr>
        <w:t xml:space="preserve"> </w:t>
      </w:r>
    </w:p>
    <w:p>
      <w:pPr>
        <w:spacing w:line="240" w:lineRule="auto"/>
        <w:rPr>
          <w:rFonts w:eastAsiaTheme="minorHAnsi"/>
          <w:noProof/>
          <w:lang w:val="fr-FR" w:eastAsia="en-US"/>
        </w:rPr>
      </w:pPr>
      <w:r>
        <w:rPr>
          <w:rFonts w:eastAsiaTheme="minorHAnsi"/>
          <w:noProof/>
          <w:lang w:val="fr-CA" w:eastAsia="en-US"/>
        </w:rPr>
        <w:t>Les Parties s’efforcent d’échanger des renseignements et de coopérer aux activités entreprises dans les domaines suivants </w:t>
      </w:r>
      <w:r>
        <w:rPr>
          <w:rFonts w:eastAsiaTheme="minorHAnsi"/>
          <w:noProof/>
          <w:lang w:val="fr-FR" w:eastAsia="en-US"/>
        </w:rPr>
        <w:t>:</w:t>
      </w:r>
    </w:p>
    <w:p>
      <w:pPr>
        <w:spacing w:line="240" w:lineRule="auto"/>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a)</w:t>
      </w:r>
      <w:r>
        <w:rPr>
          <w:rFonts w:eastAsiaTheme="minorHAnsi"/>
          <w:noProof/>
          <w:lang w:val="fr-FR" w:eastAsia="en-US"/>
        </w:rPr>
        <w:tab/>
      </w:r>
      <w:r>
        <w:rPr>
          <w:rFonts w:eastAsiaTheme="minorHAnsi"/>
          <w:noProof/>
          <w:lang w:val="fr-CA" w:eastAsia="en-US"/>
        </w:rPr>
        <w:t>l’élaboration et l’établissement de règlements techniques ou de normes connexes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b)</w:t>
      </w:r>
      <w:r>
        <w:rPr>
          <w:rFonts w:eastAsiaTheme="minorHAnsi"/>
          <w:noProof/>
          <w:lang w:val="fr-FR" w:eastAsia="en-US"/>
        </w:rPr>
        <w:tab/>
      </w:r>
      <w:r>
        <w:rPr>
          <w:rFonts w:eastAsiaTheme="minorHAnsi"/>
          <w:noProof/>
          <w:lang w:val="fr-CA" w:eastAsia="en-US"/>
        </w:rPr>
        <w:t>les examens postérieurs à la mise en œuvre des règlements techniques ou des normes connexes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c)</w:t>
      </w:r>
      <w:r>
        <w:rPr>
          <w:rFonts w:eastAsiaTheme="minorHAnsi"/>
          <w:noProof/>
          <w:lang w:val="fr-FR" w:eastAsia="en-US"/>
        </w:rPr>
        <w:tab/>
      </w:r>
      <w:r>
        <w:rPr>
          <w:rFonts w:eastAsiaTheme="minorHAnsi"/>
          <w:noProof/>
          <w:lang w:val="fr-CA" w:eastAsia="en-US"/>
        </w:rPr>
        <w:t>l’élaboration et la diffusion de renseignements à l’usage des consommateurs concernant les règlements relatifs aux véhicules automobiles ou les normes connexes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d)</w:t>
      </w:r>
      <w:r>
        <w:rPr>
          <w:rFonts w:eastAsiaTheme="minorHAnsi"/>
          <w:noProof/>
          <w:lang w:val="fr-FR" w:eastAsia="en-US"/>
        </w:rPr>
        <w:tab/>
      </w:r>
      <w:r>
        <w:rPr>
          <w:rFonts w:eastAsiaTheme="minorHAnsi"/>
          <w:noProof/>
          <w:lang w:val="fr-CA" w:eastAsia="en-US"/>
        </w:rPr>
        <w:t>l’échange de données de recherche, de renseignements et de résultats liés à l’élaboration de nouveaux règlements sur la sécurité des véhicules ou de normes connexes, et aux technologies de pointe en matière de réduction des émissions et de véhicules électriques</w:t>
      </w:r>
      <w:r>
        <w:rPr>
          <w:rFonts w:eastAsiaTheme="minorHAnsi"/>
          <w:noProof/>
          <w:lang w:val="fr-FR" w:eastAsia="en-US"/>
        </w:rPr>
        <w:t xml:space="preserve">; </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e)</w:t>
      </w:r>
      <w:r>
        <w:rPr>
          <w:rFonts w:eastAsiaTheme="minorHAnsi"/>
          <w:noProof/>
          <w:lang w:val="fr-FR" w:eastAsia="en-US"/>
        </w:rPr>
        <w:tab/>
      </w:r>
      <w:r>
        <w:rPr>
          <w:rFonts w:eastAsiaTheme="minorHAnsi"/>
          <w:noProof/>
          <w:lang w:val="fr-CA" w:eastAsia="en-US"/>
        </w:rPr>
        <w:t>l’échange des renseignements disponibles concernant l’identification des défectuosités liées à la sécurité ou aux émissions et la non-observation des règlements techniques</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p>
    <w:p>
      <w:pPr>
        <w:widowControl/>
        <w:spacing w:line="240" w:lineRule="auto"/>
        <w:rPr>
          <w:rFonts w:eastAsiaTheme="minorHAnsi"/>
          <w:i/>
          <w:noProof/>
          <w:szCs w:val="22"/>
          <w:lang w:val="fr-FR" w:eastAsia="en-US"/>
        </w:rPr>
      </w:pPr>
      <w:r>
        <w:rPr>
          <w:rFonts w:eastAsiaTheme="minorHAnsi"/>
          <w:i/>
          <w:noProof/>
          <w:szCs w:val="22"/>
          <w:lang w:val="fr-FR" w:eastAsia="en-US"/>
        </w:rPr>
        <w:br w:type="page"/>
      </w:r>
    </w:p>
    <w:p>
      <w:pPr>
        <w:keepNext/>
        <w:widowControl/>
        <w:spacing w:line="240" w:lineRule="auto"/>
        <w:jc w:val="center"/>
        <w:rPr>
          <w:rFonts w:eastAsia="Batang"/>
          <w:i/>
          <w:noProof/>
          <w:lang w:val="fr-FR" w:eastAsia="en-US"/>
        </w:rPr>
      </w:pPr>
      <w:r>
        <w:rPr>
          <w:rFonts w:eastAsiaTheme="minorHAnsi"/>
          <w:i/>
          <w:noProof/>
          <w:szCs w:val="22"/>
          <w:lang w:val="fr-FR" w:eastAsia="en-US"/>
        </w:rPr>
        <w:t>Article</w:t>
      </w:r>
      <w:r>
        <w:rPr>
          <w:rFonts w:eastAsia="Batang"/>
          <w:i/>
          <w:noProof/>
          <w:lang w:val="fr-FR" w:eastAsia="en-US"/>
        </w:rPr>
        <w:t xml:space="preserve"> 3</w:t>
      </w:r>
    </w:p>
    <w:p>
      <w:pPr>
        <w:keepNext/>
        <w:widowControl/>
        <w:spacing w:line="240" w:lineRule="auto"/>
        <w:jc w:val="center"/>
        <w:rPr>
          <w:rFonts w:eastAsia="Batang"/>
          <w:iCs/>
          <w:noProof/>
          <w:lang w:val="fr-FR" w:eastAsia="en-US"/>
        </w:rPr>
      </w:pPr>
    </w:p>
    <w:p>
      <w:pPr>
        <w:widowControl/>
        <w:spacing w:line="240" w:lineRule="auto"/>
        <w:jc w:val="center"/>
        <w:rPr>
          <w:rFonts w:eastAsia="Batang"/>
          <w:b/>
          <w:bCs/>
          <w:iCs/>
          <w:noProof/>
          <w:lang w:val="fr-FR" w:eastAsia="en-US"/>
        </w:rPr>
      </w:pPr>
      <w:r>
        <w:rPr>
          <w:rFonts w:eastAsia="Batang"/>
          <w:b/>
          <w:bCs/>
          <w:iCs/>
          <w:noProof/>
          <w:lang w:val="fr-CA" w:eastAsia="en-US"/>
        </w:rPr>
        <w:t>Formes de coopération</w:t>
      </w:r>
    </w:p>
    <w:p>
      <w:pPr>
        <w:widowControl/>
        <w:spacing w:line="240" w:lineRule="auto"/>
        <w:jc w:val="center"/>
        <w:rPr>
          <w:rFonts w:eastAsia="Batang"/>
          <w:iCs/>
          <w:noProof/>
          <w:lang w:val="fr-FR" w:eastAsia="en-US"/>
        </w:rPr>
      </w:pPr>
    </w:p>
    <w:p>
      <w:pPr>
        <w:spacing w:line="240" w:lineRule="auto"/>
        <w:rPr>
          <w:rFonts w:eastAsia="Batang"/>
          <w:noProof/>
          <w:lang w:val="fr-FR" w:eastAsia="en-US"/>
        </w:rPr>
      </w:pPr>
      <w:r>
        <w:rPr>
          <w:rFonts w:eastAsia="Batang"/>
          <w:noProof/>
          <w:lang w:val="fr-CA" w:eastAsia="en-US"/>
        </w:rPr>
        <w:t>Les Parties s’efforcent de maintenir un dialogue ouvert et permanent au sujet des règlements techniques relatifs aux véhicules automobiles ou des normes connexes. À cette fin, les Parties s’efforcent</w:t>
      </w:r>
      <w:r>
        <w:rPr>
          <w:rFonts w:eastAsia="Batang"/>
          <w:noProof/>
          <w:lang w:val="fr-FR" w:eastAsia="en-US"/>
        </w:rPr>
        <w:t>:</w:t>
      </w:r>
    </w:p>
    <w:p>
      <w:pPr>
        <w:spacing w:line="240" w:lineRule="auto"/>
        <w:ind w:left="567" w:hanging="567"/>
        <w:rPr>
          <w:rFonts w:eastAsia="Batang"/>
          <w:noProof/>
          <w:lang w:val="fr-FR" w:eastAsia="en-US"/>
        </w:rPr>
      </w:pPr>
    </w:p>
    <w:p>
      <w:pPr>
        <w:spacing w:line="240" w:lineRule="auto"/>
        <w:ind w:left="567" w:hanging="567"/>
        <w:rPr>
          <w:rFonts w:eastAsiaTheme="minorHAnsi"/>
          <w:noProof/>
          <w:szCs w:val="22"/>
          <w:lang w:val="fr-FR" w:eastAsia="en-US"/>
        </w:rPr>
      </w:pPr>
      <w:r>
        <w:rPr>
          <w:rFonts w:eastAsia="Batang"/>
          <w:noProof/>
          <w:lang w:val="fr-FR" w:eastAsia="en-US"/>
        </w:rPr>
        <w:t>a)</w:t>
      </w:r>
      <w:r>
        <w:rPr>
          <w:rFonts w:eastAsia="Batang"/>
          <w:noProof/>
          <w:lang w:val="fr-FR" w:eastAsia="en-US"/>
        </w:rPr>
        <w:tab/>
      </w:r>
      <w:r>
        <w:rPr>
          <w:rFonts w:eastAsia="Batang"/>
          <w:noProof/>
          <w:lang w:val="fr-CA" w:eastAsia="en-US"/>
        </w:rPr>
        <w:t>de se rencontrer au moins une fois par année (y compris dans le cadre des réunions tenues en marge des sessions du WP.29) au moyen de vidéoconférences ou, dans le cas de rencontres face-à-face, en alternance au Canada et dans l’Union européenne</w:t>
      </w:r>
      <w:r>
        <w:rPr>
          <w:rFonts w:eastAsiaTheme="minorHAnsi"/>
          <w:noProof/>
          <w:szCs w:val="22"/>
          <w:lang w:val="fr-FR" w:eastAsia="en-US"/>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b)</w:t>
      </w:r>
      <w:r>
        <w:rPr>
          <w:rFonts w:eastAsiaTheme="minorHAnsi"/>
          <w:noProof/>
          <w:szCs w:val="22"/>
          <w:lang w:val="fr-FR" w:eastAsia="en-US"/>
        </w:rPr>
        <w:tab/>
      </w:r>
      <w:r>
        <w:rPr>
          <w:rFonts w:eastAsiaTheme="minorHAnsi"/>
          <w:noProof/>
          <w:szCs w:val="22"/>
          <w:lang w:val="fr-CA" w:eastAsia="en-US"/>
        </w:rPr>
        <w:t>d’échanger des renseignements concernant les programmes et les orientations nationaux et internationaux, y compris la planification de programmes de recherche liés à l’élaboration de nouveaux règlements techniques ou de normes connexes</w:t>
      </w:r>
      <w:r>
        <w:rPr>
          <w:rFonts w:eastAsiaTheme="minorHAnsi"/>
          <w:noProof/>
          <w:szCs w:val="22"/>
          <w:lang w:val="fr-FR" w:eastAsia="en-US"/>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c)</w:t>
      </w:r>
      <w:r>
        <w:rPr>
          <w:rFonts w:eastAsiaTheme="minorHAnsi"/>
          <w:noProof/>
          <w:szCs w:val="22"/>
          <w:lang w:val="fr-FR" w:eastAsia="en-US"/>
        </w:rPr>
        <w:tab/>
      </w:r>
      <w:r>
        <w:rPr>
          <w:rFonts w:eastAsiaTheme="minorHAnsi"/>
          <w:noProof/>
          <w:szCs w:val="22"/>
          <w:lang w:val="fr-CA" w:eastAsia="en-US"/>
        </w:rPr>
        <w:t>d’unir leurs efforts pour encourager et promouvoir une harmonisation internationale accrue des exigences techniques dans les enceintes multilatérales, comme l’</w:t>
      </w:r>
      <w:r>
        <w:rPr>
          <w:rFonts w:eastAsiaTheme="minorHAnsi"/>
          <w:i/>
          <w:noProof/>
          <w:szCs w:val="22"/>
          <w:lang w:val="fr-CA" w:eastAsia="en-US"/>
        </w:rPr>
        <w:t>Accord mondial de 1998</w:t>
      </w:r>
      <w:r>
        <w:rPr>
          <w:rFonts w:eastAsiaTheme="minorHAnsi"/>
          <w:noProof/>
          <w:szCs w:val="22"/>
          <w:lang w:val="fr-CA" w:eastAsia="en-US"/>
        </w:rPr>
        <w:t>, y compris en collaborant à la planification d’initiatives visant à appuyer de telles activités</w:t>
      </w:r>
      <w:r>
        <w:rPr>
          <w:rFonts w:eastAsiaTheme="minorHAnsi"/>
          <w:noProof/>
          <w:szCs w:val="22"/>
          <w:lang w:val="fr-FR" w:eastAsia="en-US"/>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d)</w:t>
      </w:r>
      <w:r>
        <w:rPr>
          <w:rFonts w:eastAsiaTheme="minorHAnsi"/>
          <w:noProof/>
          <w:szCs w:val="22"/>
          <w:lang w:val="fr-FR" w:eastAsia="en-US"/>
        </w:rPr>
        <w:tab/>
      </w:r>
      <w:r>
        <w:rPr>
          <w:rFonts w:eastAsiaTheme="minorHAnsi"/>
          <w:noProof/>
          <w:szCs w:val="22"/>
          <w:lang w:val="fr-CA" w:eastAsia="en-US"/>
        </w:rPr>
        <w:t>de mettre en commun et de débattre les plans de recherche et de développement concernant les règlements techniques en matière de sécurité et de performance environnementale des véhicules automobiles ou les normes connexes</w:t>
      </w:r>
      <w:r>
        <w:rPr>
          <w:rFonts w:eastAsiaTheme="minorHAnsi"/>
          <w:noProof/>
          <w:szCs w:val="22"/>
          <w:lang w:val="fr-FR" w:eastAsia="en-US"/>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e)</w:t>
      </w:r>
      <w:r>
        <w:rPr>
          <w:rFonts w:eastAsiaTheme="minorHAnsi"/>
          <w:noProof/>
          <w:szCs w:val="22"/>
          <w:lang w:val="fr-FR" w:eastAsia="en-US"/>
        </w:rPr>
        <w:tab/>
      </w:r>
      <w:r>
        <w:rPr>
          <w:rFonts w:eastAsiaTheme="minorHAnsi"/>
          <w:noProof/>
          <w:szCs w:val="22"/>
          <w:lang w:val="fr-CA" w:eastAsia="en-US"/>
        </w:rPr>
        <w:t>de procéder à des analyses conjointes et d’élaborer des méthodes et des approches mutuellement bénéfiques, pratiques et opportunes pour aider et faciliter l’élaboration de règlements techniques relatifs aux véhicules automobiles ou de normes connexes;</w:t>
      </w:r>
    </w:p>
    <w:p>
      <w:pPr>
        <w:spacing w:line="240" w:lineRule="auto"/>
        <w:ind w:left="567" w:hanging="567"/>
        <w:rPr>
          <w:rFonts w:eastAsiaTheme="minorHAnsi"/>
          <w:noProof/>
          <w:szCs w:val="22"/>
          <w:lang w:val="fr-FR" w:eastAsia="en-US"/>
        </w:rPr>
      </w:pPr>
    </w:p>
    <w:p>
      <w:pPr>
        <w:spacing w:line="240" w:lineRule="auto"/>
        <w:ind w:left="567" w:hanging="567"/>
        <w:rPr>
          <w:rFonts w:eastAsia="Batang"/>
          <w:noProof/>
          <w:szCs w:val="24"/>
          <w:lang w:val="fr-FR" w:eastAsia="en-US"/>
        </w:rPr>
      </w:pPr>
      <w:r>
        <w:rPr>
          <w:rFonts w:eastAsiaTheme="minorHAnsi"/>
          <w:noProof/>
          <w:szCs w:val="22"/>
          <w:lang w:val="fr-FR" w:eastAsia="en-US"/>
        </w:rPr>
        <w:t>f)</w:t>
      </w:r>
      <w:r>
        <w:rPr>
          <w:rFonts w:eastAsiaTheme="minorHAnsi"/>
          <w:noProof/>
          <w:szCs w:val="22"/>
          <w:lang w:val="fr-FR" w:eastAsia="en-US"/>
        </w:rPr>
        <w:tab/>
      </w:r>
      <w:r>
        <w:rPr>
          <w:rFonts w:eastAsiaTheme="minorHAnsi"/>
          <w:noProof/>
          <w:szCs w:val="22"/>
          <w:lang w:val="fr-CA" w:eastAsia="en-US"/>
        </w:rPr>
        <w:t>d’élaborer des dispositions supplémentaires en matière de coopération</w:t>
      </w:r>
      <w:r>
        <w:rPr>
          <w:rFonts w:eastAsia="Batang"/>
          <w:noProof/>
          <w:szCs w:val="24"/>
          <w:lang w:val="fr-FR" w:eastAsia="en-US"/>
        </w:rPr>
        <w:t>.</w:t>
      </w:r>
    </w:p>
    <w:p>
      <w:pPr>
        <w:widowControl/>
        <w:spacing w:line="240" w:lineRule="auto"/>
        <w:ind w:left="567" w:hanging="567"/>
        <w:jc w:val="both"/>
        <w:rPr>
          <w:rFonts w:eastAsia="Batang"/>
          <w:noProof/>
          <w:szCs w:val="24"/>
          <w:lang w:val="fr-FR" w:eastAsia="en-US"/>
        </w:rPr>
      </w:pPr>
    </w:p>
    <w:p>
      <w:pPr>
        <w:widowControl/>
        <w:spacing w:line="240" w:lineRule="auto"/>
        <w:ind w:left="567" w:hanging="567"/>
        <w:jc w:val="both"/>
        <w:rPr>
          <w:rFonts w:eastAsia="Batang"/>
          <w:noProof/>
          <w:szCs w:val="24"/>
          <w:lang w:val="fr-FR" w:eastAsia="en-US"/>
        </w:rPr>
      </w:pPr>
    </w:p>
    <w:p>
      <w:pPr>
        <w:widowControl/>
        <w:spacing w:line="240" w:lineRule="auto"/>
        <w:rPr>
          <w:rFonts w:eastAsiaTheme="minorHAnsi"/>
          <w:i/>
          <w:iCs/>
          <w:noProof/>
          <w:lang w:val="fr-FR" w:eastAsia="en-US"/>
        </w:rPr>
      </w:pPr>
      <w:r>
        <w:rPr>
          <w:rFonts w:eastAsiaTheme="minorHAnsi"/>
          <w:i/>
          <w:iCs/>
          <w:noProof/>
          <w:lang w:val="fr-FR" w:eastAsia="en-US"/>
        </w:rPr>
        <w:br w:type="page"/>
      </w:r>
    </w:p>
    <w:p>
      <w:pPr>
        <w:spacing w:line="240" w:lineRule="auto"/>
        <w:jc w:val="center"/>
        <w:rPr>
          <w:rFonts w:eastAsia="Batang"/>
          <w:i/>
          <w:iCs/>
          <w:noProof/>
          <w:lang w:val="fr-FR" w:eastAsia="en-US"/>
        </w:rPr>
      </w:pPr>
      <w:r>
        <w:rPr>
          <w:rFonts w:eastAsiaTheme="minorHAnsi"/>
          <w:i/>
          <w:iCs/>
          <w:noProof/>
          <w:lang w:val="fr-FR" w:eastAsia="en-US"/>
        </w:rPr>
        <w:t>Article</w:t>
      </w:r>
      <w:r>
        <w:rPr>
          <w:rFonts w:eastAsia="Batang"/>
          <w:i/>
          <w:iCs/>
          <w:noProof/>
          <w:lang w:val="fr-FR" w:eastAsia="en-US"/>
        </w:rPr>
        <w:t xml:space="preserve"> 4</w:t>
      </w:r>
    </w:p>
    <w:p>
      <w:pPr>
        <w:spacing w:line="240" w:lineRule="auto"/>
        <w:jc w:val="center"/>
        <w:rPr>
          <w:rFonts w:eastAsia="Batang"/>
          <w:noProof/>
          <w:lang w:val="fr-FR" w:eastAsia="en-US"/>
        </w:rPr>
      </w:pPr>
    </w:p>
    <w:p>
      <w:pPr>
        <w:spacing w:line="240" w:lineRule="auto"/>
        <w:jc w:val="center"/>
        <w:rPr>
          <w:rFonts w:eastAsia="Batang"/>
          <w:b/>
          <w:bCs/>
          <w:noProof/>
          <w:szCs w:val="24"/>
          <w:lang w:val="fr-FR" w:eastAsia="en-US"/>
        </w:rPr>
      </w:pPr>
      <w:r>
        <w:rPr>
          <w:rFonts w:eastAsia="Batang"/>
          <w:b/>
          <w:bCs/>
          <w:noProof/>
          <w:szCs w:val="24"/>
          <w:lang w:val="fr-CA" w:eastAsia="en-US"/>
        </w:rPr>
        <w:t>Incorporation des règlements des Nations Unies par le Canada</w:t>
      </w:r>
    </w:p>
    <w:p>
      <w:pPr>
        <w:spacing w:line="240" w:lineRule="auto"/>
        <w:jc w:val="center"/>
        <w:rPr>
          <w:rFonts w:eastAsia="Batang"/>
          <w:noProof/>
          <w:szCs w:val="24"/>
          <w:lang w:val="fr-FR" w:eastAsia="en-US"/>
        </w:rPr>
      </w:pPr>
    </w:p>
    <w:p>
      <w:pPr>
        <w:spacing w:line="240" w:lineRule="auto"/>
        <w:ind w:left="567" w:hanging="567"/>
        <w:rPr>
          <w:rFonts w:eastAsiaTheme="minorHAnsi"/>
          <w:noProof/>
          <w:lang w:val="fr-FR" w:eastAsia="en-US"/>
        </w:rPr>
      </w:pPr>
      <w:r>
        <w:rPr>
          <w:noProof/>
          <w:szCs w:val="24"/>
          <w:lang w:val="fr-FR" w:eastAsia="en-US"/>
        </w:rPr>
        <w:t>1.</w:t>
      </w:r>
      <w:r>
        <w:rPr>
          <w:noProof/>
          <w:szCs w:val="24"/>
          <w:lang w:val="fr-FR" w:eastAsia="en-US"/>
        </w:rPr>
        <w:tab/>
      </w:r>
      <w:r>
        <w:rPr>
          <w:noProof/>
          <w:szCs w:val="24"/>
          <w:lang w:val="fr-CA" w:eastAsia="en-US"/>
        </w:rPr>
        <w:t xml:space="preserve">Les Parties reconnaissent que le Canada a incorporé, avec les adaptations qu’il a jugées nécessaires, les règlements techniques contenus dans les règlements des Nations Unies dans son </w:t>
      </w:r>
      <w:r>
        <w:rPr>
          <w:i/>
          <w:noProof/>
          <w:szCs w:val="24"/>
          <w:lang w:val="fr-CA" w:eastAsia="en-US"/>
        </w:rPr>
        <w:t>Règlement sur la sécurité des véhicules automobiles</w:t>
      </w:r>
      <w:r>
        <w:rPr>
          <w:noProof/>
          <w:szCs w:val="24"/>
          <w:lang w:val="fr-CA" w:eastAsia="en-US"/>
        </w:rPr>
        <w:t>, C.R.C., ch. 1038, tels qu’ils sont énumérés à l’annexe 4-A-1</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2.</w:t>
      </w:r>
      <w:r>
        <w:rPr>
          <w:rFonts w:eastAsiaTheme="minorHAnsi"/>
          <w:noProof/>
          <w:lang w:val="fr-FR" w:eastAsia="en-US"/>
        </w:rPr>
        <w:tab/>
      </w:r>
      <w:r>
        <w:rPr>
          <w:rFonts w:eastAsiaTheme="minorHAnsi"/>
          <w:noProof/>
          <w:lang w:val="fr-CA" w:eastAsia="en-US"/>
        </w:rPr>
        <w:t>Le Canada est habilité à modifier son droit, y compris à modifier ou à réviser le choix des règlements des Nations Unies qui y sont incorporés ainsi que la manière dont ces règlements sont incorporés dans son droit et la portée de cette incorporation. Avant de procéder à de telles modifications, le Canada informe l’Union européenne de son intention et se prépare, sur demande, à fournir les raisons les motivant. Le Canada continue de reconnaître les règlements pertinents des Nations Unies, à moins que cela occasionne un niveau de sécurité inférieur à celui des modifications apportées ou compromette l’intégration à l’échelle nord-américaine</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3.</w:t>
      </w:r>
      <w:r>
        <w:rPr>
          <w:rFonts w:eastAsiaTheme="minorHAnsi"/>
          <w:noProof/>
          <w:lang w:val="fr-FR" w:eastAsia="en-US"/>
        </w:rPr>
        <w:tab/>
      </w:r>
      <w:r>
        <w:rPr>
          <w:rFonts w:eastAsiaTheme="minorHAnsi"/>
          <w:noProof/>
          <w:lang w:val="fr-CA" w:eastAsia="en-US"/>
        </w:rPr>
        <w:t xml:space="preserve">Les Parties engagent des consultations techniques en vue de déterminer, au plus tard trois ans après l’entrée en vigueur du présent accord, si les règlements techniques contenus dans les règlements des Nations Unies énumérés à l’annexe 4-A-2 devraient également être incorporés dans le </w:t>
      </w:r>
      <w:r>
        <w:rPr>
          <w:rFonts w:eastAsiaTheme="minorHAnsi"/>
          <w:i/>
          <w:noProof/>
          <w:lang w:val="fr-CA" w:eastAsia="en-US"/>
        </w:rPr>
        <w:t xml:space="preserve">Règlement sur la sécurité des véhicules automobiles </w:t>
      </w:r>
      <w:r>
        <w:rPr>
          <w:rFonts w:eastAsiaTheme="minorHAnsi"/>
          <w:noProof/>
          <w:lang w:val="fr-CA" w:eastAsia="en-US"/>
        </w:rPr>
        <w:t>du Canada, avec les adaptations que le Canada juge nécessaires. Ces règlements techniques devraient être incorporés à moins que cela occasionne un niveau de sécurité inférieur à celui de la réglementation canadienne ou compromette l’intégration à l’échelle nord-américaine</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Theme="minorHAnsi"/>
          <w:noProof/>
          <w:lang w:val="fr-FR" w:eastAsia="en-US"/>
        </w:rPr>
      </w:pPr>
      <w:r>
        <w:rPr>
          <w:rFonts w:eastAsiaTheme="minorHAnsi"/>
          <w:noProof/>
          <w:lang w:val="fr-FR" w:eastAsia="en-US"/>
        </w:rPr>
        <w:t>4.</w:t>
      </w:r>
      <w:r>
        <w:rPr>
          <w:rFonts w:eastAsiaTheme="minorHAnsi"/>
          <w:noProof/>
          <w:lang w:val="fr-FR" w:eastAsia="en-US"/>
        </w:rPr>
        <w:tab/>
      </w:r>
      <w:r>
        <w:rPr>
          <w:rFonts w:eastAsiaTheme="minorHAnsi"/>
          <w:noProof/>
          <w:lang w:val="fr-CA" w:eastAsia="en-US"/>
        </w:rPr>
        <w:t>Les Parties engagent aussi des consultations techniques additionnelles pour déterminer si d’autres règlements techniques devraient être ajoutés à l’annexe 4</w:t>
      </w:r>
      <w:r>
        <w:rPr>
          <w:rFonts w:eastAsiaTheme="minorHAnsi"/>
          <w:noProof/>
          <w:lang w:val="fr-CA" w:eastAsia="en-US"/>
        </w:rPr>
        <w:noBreakHyphen/>
        <w:t>A</w:t>
      </w:r>
      <w:r>
        <w:rPr>
          <w:rFonts w:eastAsiaTheme="minorHAnsi"/>
          <w:noProof/>
          <w:lang w:val="fr-CA" w:eastAsia="en-US"/>
        </w:rPr>
        <w:noBreakHyphen/>
        <w:t>2</w:t>
      </w:r>
      <w:r>
        <w:rPr>
          <w:rFonts w:eastAsiaTheme="minorHAnsi"/>
          <w:noProof/>
          <w:lang w:val="fr-FR" w:eastAsia="en-US"/>
        </w:rPr>
        <w:t>.</w:t>
      </w:r>
    </w:p>
    <w:p>
      <w:pPr>
        <w:spacing w:line="240" w:lineRule="auto"/>
        <w:ind w:left="567" w:hanging="567"/>
        <w:rPr>
          <w:rFonts w:eastAsiaTheme="minorHAnsi"/>
          <w:noProof/>
          <w:lang w:val="fr-FR" w:eastAsia="en-US"/>
        </w:rPr>
      </w:pPr>
    </w:p>
    <w:p>
      <w:pPr>
        <w:spacing w:line="240" w:lineRule="auto"/>
        <w:ind w:left="567" w:hanging="567"/>
        <w:rPr>
          <w:rFonts w:eastAsia="Batang"/>
          <w:noProof/>
          <w:szCs w:val="24"/>
          <w:lang w:val="fr-FR" w:eastAsia="en-US"/>
        </w:rPr>
      </w:pPr>
      <w:r>
        <w:rPr>
          <w:rFonts w:eastAsiaTheme="minorHAnsi"/>
          <w:noProof/>
          <w:lang w:val="fr-FR" w:eastAsia="en-US"/>
        </w:rPr>
        <w:t>5.</w:t>
      </w:r>
      <w:r>
        <w:rPr>
          <w:rFonts w:eastAsiaTheme="minorHAnsi"/>
          <w:noProof/>
          <w:lang w:val="fr-FR" w:eastAsia="en-US"/>
        </w:rPr>
        <w:tab/>
      </w:r>
      <w:r>
        <w:rPr>
          <w:rFonts w:eastAsiaTheme="minorHAnsi"/>
          <w:noProof/>
          <w:lang w:val="fr-CA" w:eastAsia="en-US"/>
        </w:rPr>
        <w:t xml:space="preserve">Le Canada dresse et tient à jour une liste des règlements techniques contenus dans les règlements des Nations Unies qui sont incorporés dans son </w:t>
      </w:r>
      <w:r>
        <w:rPr>
          <w:rFonts w:eastAsiaTheme="minorHAnsi"/>
          <w:i/>
          <w:noProof/>
          <w:lang w:val="fr-CA" w:eastAsia="en-US"/>
        </w:rPr>
        <w:t>Règlement sur la sécurité des véhicules automobiles</w:t>
      </w:r>
      <w:r>
        <w:rPr>
          <w:rFonts w:eastAsiaTheme="minorHAnsi"/>
          <w:noProof/>
          <w:lang w:val="fr-CA" w:eastAsia="en-US"/>
        </w:rPr>
        <w:t>. Le Canada met cette liste à la disposition du public</w:t>
      </w:r>
      <w:r>
        <w:rPr>
          <w:rFonts w:eastAsia="Batang"/>
          <w:noProof/>
          <w:szCs w:val="24"/>
          <w:lang w:val="fr-FR" w:eastAsia="en-US"/>
        </w:rPr>
        <w:t>.</w:t>
      </w:r>
    </w:p>
    <w:p>
      <w:pPr>
        <w:spacing w:line="240" w:lineRule="auto"/>
        <w:ind w:left="567" w:hanging="567"/>
        <w:rPr>
          <w:rFonts w:eastAsia="Batang"/>
          <w:noProof/>
          <w:szCs w:val="24"/>
          <w:lang w:val="fr-FR" w:eastAsia="en-US"/>
        </w:rPr>
      </w:pPr>
    </w:p>
    <w:p>
      <w:pPr>
        <w:spacing w:line="240" w:lineRule="auto"/>
        <w:ind w:left="567" w:hanging="567"/>
        <w:rPr>
          <w:rFonts w:eastAsia="Batang"/>
          <w:noProof/>
          <w:szCs w:val="24"/>
          <w:lang w:val="fr-FR" w:eastAsia="en-US"/>
        </w:rPr>
      </w:pPr>
      <w:r>
        <w:rPr>
          <w:rFonts w:eastAsia="Batang"/>
          <w:noProof/>
          <w:szCs w:val="24"/>
          <w:lang w:val="fr-FR" w:eastAsia="en-US"/>
        </w:rPr>
        <w:t>6.</w:t>
      </w:r>
      <w:r>
        <w:rPr>
          <w:rFonts w:eastAsia="Batang"/>
          <w:noProof/>
          <w:szCs w:val="24"/>
          <w:lang w:val="fr-FR" w:eastAsia="en-US"/>
        </w:rPr>
        <w:tab/>
      </w:r>
      <w:r>
        <w:rPr>
          <w:rFonts w:eastAsia="Batang"/>
          <w:noProof/>
          <w:szCs w:val="24"/>
          <w:lang w:val="fr-CA" w:eastAsia="en-US"/>
        </w:rPr>
        <w:t>Dans le but de promouvoir la convergence réglementaire, les Parties échangent, dans la mesure du possible, des renseignements sur leurs règlements techniques respectifs liés à la sécurité des véhicules automobiles</w:t>
      </w:r>
      <w:r>
        <w:rPr>
          <w:rFonts w:eastAsia="Batang"/>
          <w:noProof/>
          <w:szCs w:val="24"/>
          <w:lang w:val="fr-FR" w:eastAsia="en-US"/>
        </w:rPr>
        <w:t>.</w:t>
      </w:r>
    </w:p>
    <w:p>
      <w:pPr>
        <w:spacing w:line="240" w:lineRule="auto"/>
        <w:ind w:left="567" w:hanging="567"/>
        <w:rPr>
          <w:rFonts w:eastAsia="Batang"/>
          <w:noProof/>
          <w:szCs w:val="24"/>
          <w:lang w:val="fr-FR" w:eastAsia="en-US"/>
        </w:rPr>
      </w:pPr>
    </w:p>
    <w:p>
      <w:pPr>
        <w:spacing w:line="240" w:lineRule="auto"/>
        <w:ind w:left="567" w:hanging="567"/>
        <w:rPr>
          <w:rFonts w:eastAsia="Batang"/>
          <w:noProof/>
          <w:szCs w:val="24"/>
          <w:lang w:val="fr-FR" w:eastAsia="en-US"/>
        </w:rPr>
      </w:pPr>
    </w:p>
    <w:p>
      <w:pPr>
        <w:widowControl/>
        <w:spacing w:line="240" w:lineRule="auto"/>
        <w:rPr>
          <w:rFonts w:eastAsiaTheme="minorHAnsi"/>
          <w:i/>
          <w:iCs/>
          <w:noProof/>
          <w:lang w:val="fr-FR" w:eastAsia="en-US"/>
        </w:rPr>
      </w:pPr>
      <w:r>
        <w:rPr>
          <w:rFonts w:eastAsiaTheme="minorHAnsi"/>
          <w:i/>
          <w:iCs/>
          <w:noProof/>
          <w:lang w:val="fr-FR" w:eastAsia="en-US"/>
        </w:rPr>
        <w:br w:type="page"/>
      </w:r>
    </w:p>
    <w:p>
      <w:pPr>
        <w:spacing w:line="240" w:lineRule="auto"/>
        <w:jc w:val="center"/>
        <w:rPr>
          <w:rFonts w:eastAsia="Batang"/>
          <w:i/>
          <w:iCs/>
          <w:noProof/>
          <w:lang w:val="fr-FR" w:eastAsia="en-US"/>
        </w:rPr>
      </w:pPr>
      <w:r>
        <w:rPr>
          <w:rFonts w:eastAsiaTheme="minorHAnsi"/>
          <w:i/>
          <w:iCs/>
          <w:noProof/>
          <w:lang w:val="fr-FR" w:eastAsia="en-US"/>
        </w:rPr>
        <w:t>Article</w:t>
      </w:r>
      <w:r>
        <w:rPr>
          <w:rFonts w:eastAsia="Batang"/>
          <w:i/>
          <w:iCs/>
          <w:noProof/>
          <w:lang w:val="fr-FR" w:eastAsia="en-US"/>
        </w:rPr>
        <w:t xml:space="preserve"> 5</w:t>
      </w:r>
    </w:p>
    <w:p>
      <w:pPr>
        <w:spacing w:line="240" w:lineRule="auto"/>
        <w:jc w:val="center"/>
        <w:rPr>
          <w:rFonts w:eastAsia="Batang"/>
          <w:noProof/>
          <w:szCs w:val="24"/>
          <w:lang w:val="fr-FR" w:eastAsia="en-US"/>
        </w:rPr>
      </w:pPr>
    </w:p>
    <w:p>
      <w:pPr>
        <w:spacing w:line="240" w:lineRule="auto"/>
        <w:jc w:val="center"/>
        <w:rPr>
          <w:rFonts w:eastAsia="Batang"/>
          <w:b/>
          <w:noProof/>
          <w:lang w:val="fr-FR" w:eastAsia="en-US"/>
        </w:rPr>
      </w:pPr>
      <w:r>
        <w:rPr>
          <w:rFonts w:eastAsia="Batang"/>
          <w:b/>
          <w:noProof/>
          <w:lang w:val="fr-CA" w:eastAsia="en-US"/>
        </w:rPr>
        <w:t>Prise en compte des règlements techniques de l’autre Partie</w:t>
      </w:r>
    </w:p>
    <w:p>
      <w:pPr>
        <w:spacing w:line="240" w:lineRule="auto"/>
        <w:jc w:val="center"/>
        <w:rPr>
          <w:rFonts w:eastAsia="Batang"/>
          <w:bCs/>
          <w:noProof/>
          <w:lang w:val="fr-FR" w:eastAsia="en-US"/>
        </w:rPr>
      </w:pPr>
    </w:p>
    <w:p>
      <w:pPr>
        <w:spacing w:line="240" w:lineRule="auto"/>
        <w:rPr>
          <w:rFonts w:eastAsia="Batang"/>
          <w:noProof/>
          <w:lang w:val="fr-FR" w:eastAsia="en-US"/>
        </w:rPr>
      </w:pPr>
      <w:r>
        <w:rPr>
          <w:rFonts w:eastAsia="Batang"/>
          <w:noProof/>
          <w:lang w:val="fr-CA" w:eastAsia="en-US"/>
        </w:rPr>
        <w:t xml:space="preserve">La Partie qui élabore un nouveau règlement technique relatif aux véhicules et aux pièces automobiles, ou qui modifie un règlement existant, prend en compte les règlements techniques de l’autre Partie, y compris ceux qui ont été établis dans le cadre du </w:t>
      </w:r>
      <w:r>
        <w:rPr>
          <w:rFonts w:eastAsia="Batang"/>
          <w:i/>
          <w:noProof/>
          <w:lang w:val="fr-CA" w:eastAsia="en-US"/>
        </w:rPr>
        <w:t>Forum mondial sur l’harmonisation des Règlements concernant les véhicules (WP.29)</w:t>
      </w:r>
      <w:r>
        <w:rPr>
          <w:rFonts w:eastAsia="Batang"/>
          <w:noProof/>
          <w:lang w:val="fr-CA" w:eastAsia="en-US"/>
        </w:rPr>
        <w:t xml:space="preserve"> de la CEE</w:t>
      </w:r>
      <w:r>
        <w:rPr>
          <w:rFonts w:eastAsia="Batang"/>
          <w:noProof/>
          <w:lang w:val="fr-CA" w:eastAsia="en-US"/>
        </w:rPr>
        <w:noBreakHyphen/>
        <w:t>ONU. Elle fournit à l’autre Partie, à la demande de celle-ci, des explications sur la mesure dans laquelle elle a pris en compte les règlements techniques de cette dernière dans l’élaboration de son nouveau règlement technique</w:t>
      </w:r>
      <w:r>
        <w:rPr>
          <w:rFonts w:eastAsia="Batang"/>
          <w:noProof/>
          <w:lang w:val="fr-FR" w:eastAsia="en-US"/>
        </w:rPr>
        <w:t>.</w:t>
      </w:r>
    </w:p>
    <w:p>
      <w:pPr>
        <w:spacing w:line="240" w:lineRule="auto"/>
        <w:rPr>
          <w:rFonts w:eastAsia="Batang"/>
          <w:noProof/>
          <w:lang w:val="fr-FR" w:eastAsia="en-US"/>
        </w:rPr>
      </w:pPr>
    </w:p>
    <w:p>
      <w:pPr>
        <w:spacing w:line="240" w:lineRule="auto"/>
        <w:rPr>
          <w:rFonts w:eastAsia="Batang"/>
          <w:noProof/>
          <w:lang w:val="fr-FR" w:eastAsia="en-US"/>
        </w:rPr>
      </w:pPr>
    </w:p>
    <w:p>
      <w:pPr>
        <w:spacing w:line="240" w:lineRule="auto"/>
        <w:jc w:val="center"/>
        <w:rPr>
          <w:rFonts w:eastAsia="Batang"/>
          <w:i/>
          <w:iCs/>
          <w:noProof/>
          <w:lang w:val="fr-FR" w:eastAsia="en-US"/>
        </w:rPr>
      </w:pPr>
      <w:r>
        <w:rPr>
          <w:rFonts w:eastAsiaTheme="minorHAnsi"/>
          <w:i/>
          <w:iCs/>
          <w:noProof/>
          <w:lang w:val="fr-FR" w:eastAsia="en-US"/>
        </w:rPr>
        <w:t>Article</w:t>
      </w:r>
      <w:r>
        <w:rPr>
          <w:rFonts w:eastAsia="Batang"/>
          <w:i/>
          <w:iCs/>
          <w:noProof/>
          <w:lang w:val="fr-FR" w:eastAsia="en-US"/>
        </w:rPr>
        <w:t xml:space="preserve"> 6</w:t>
      </w:r>
    </w:p>
    <w:p>
      <w:pPr>
        <w:spacing w:line="240" w:lineRule="auto"/>
        <w:jc w:val="center"/>
        <w:rPr>
          <w:rFonts w:eastAsia="Batang"/>
          <w:noProof/>
          <w:lang w:val="fr-FR" w:eastAsia="en-US"/>
        </w:rPr>
      </w:pPr>
    </w:p>
    <w:p>
      <w:pPr>
        <w:spacing w:line="240" w:lineRule="auto"/>
        <w:jc w:val="center"/>
        <w:rPr>
          <w:rFonts w:eastAsia="Batang"/>
          <w:b/>
          <w:bCs/>
          <w:noProof/>
          <w:lang w:val="fr-FR" w:eastAsia="en-US"/>
        </w:rPr>
      </w:pPr>
      <w:r>
        <w:rPr>
          <w:rFonts w:eastAsia="Batang"/>
          <w:b/>
          <w:bCs/>
          <w:noProof/>
          <w:lang w:val="fr-CA" w:eastAsia="en-US"/>
        </w:rPr>
        <w:t>Coopération avec les États-Unis d’Amérique</w:t>
      </w:r>
    </w:p>
    <w:p>
      <w:pPr>
        <w:spacing w:line="240" w:lineRule="auto"/>
        <w:jc w:val="center"/>
        <w:rPr>
          <w:rFonts w:eastAsia="Batang"/>
          <w:noProof/>
          <w:lang w:val="fr-FR" w:eastAsia="en-US"/>
        </w:rPr>
      </w:pPr>
    </w:p>
    <w:p>
      <w:pPr>
        <w:spacing w:line="240" w:lineRule="auto"/>
        <w:rPr>
          <w:rFonts w:eastAsia="Batang"/>
          <w:noProof/>
          <w:szCs w:val="24"/>
          <w:lang w:val="fr-FR" w:eastAsia="en-US"/>
        </w:rPr>
      </w:pPr>
      <w:r>
        <w:rPr>
          <w:rFonts w:eastAsia="Batang"/>
          <w:noProof/>
          <w:lang w:val="fr-CA" w:eastAsia="en-US"/>
        </w:rPr>
        <w:t>Les Parties reconnaissent leur intérêt mutuel à coopérer avec les États-Unis d’Amérique dans le domaine des règlements techniques relatifs aux véhicules automobiles. Si l’Union européenne et les États-Unis concluent un accord ou un arrangement concernant l’harmonisation de leurs règlements techniques respectifs relatifs aux véhicules automobiles, les Parties coopèrent en vue de déterminer si elles devraient conclure un accord ou un arrangement similaire</w:t>
      </w:r>
      <w:r>
        <w:rPr>
          <w:rFonts w:eastAsia="Batang"/>
          <w:noProof/>
          <w:szCs w:val="24"/>
          <w:lang w:val="fr-FR" w:eastAsia="en-US"/>
        </w:rPr>
        <w:t>.</w:t>
      </w:r>
    </w:p>
    <w:p>
      <w:pPr>
        <w:spacing w:line="240" w:lineRule="auto"/>
        <w:rPr>
          <w:rFonts w:eastAsia="Batang"/>
          <w:noProof/>
          <w:szCs w:val="24"/>
          <w:lang w:val="fr-FR" w:eastAsia="en-US"/>
        </w:rPr>
      </w:pPr>
    </w:p>
    <w:p>
      <w:pPr>
        <w:spacing w:line="240" w:lineRule="auto"/>
        <w:rPr>
          <w:rFonts w:eastAsia="Batang"/>
          <w:noProof/>
          <w:szCs w:val="24"/>
          <w:lang w:val="fr-FR" w:eastAsia="en-US"/>
        </w:rPr>
      </w:pPr>
    </w:p>
    <w:p>
      <w:pPr>
        <w:widowControl/>
        <w:spacing w:line="240" w:lineRule="auto"/>
        <w:rPr>
          <w:rFonts w:eastAsia="Batang"/>
          <w:b/>
          <w:noProof/>
          <w:u w:val="single"/>
          <w:lang w:val="fr-FR" w:eastAsia="en-US"/>
        </w:rPr>
      </w:pPr>
      <w:r>
        <w:rPr>
          <w:rFonts w:eastAsia="Batang"/>
          <w:b/>
          <w:noProof/>
          <w:u w:val="single"/>
          <w:lang w:val="fr-FR" w:eastAsia="en-US"/>
        </w:rPr>
        <w:br w:type="page"/>
      </w:r>
    </w:p>
    <w:p>
      <w:pPr>
        <w:spacing w:line="240" w:lineRule="auto"/>
        <w:jc w:val="right"/>
        <w:rPr>
          <w:rFonts w:eastAsia="Batang"/>
          <w:b/>
          <w:bCs/>
          <w:noProof/>
          <w:u w:val="single"/>
          <w:lang w:val="fr-FR" w:eastAsia="en-US"/>
        </w:rPr>
      </w:pPr>
      <w:r>
        <w:rPr>
          <w:rFonts w:eastAsia="Batang"/>
          <w:b/>
          <w:bCs/>
          <w:noProof/>
          <w:u w:val="single"/>
          <w:lang w:val="fr-FR" w:eastAsia="en-US"/>
        </w:rPr>
        <w:t>ANNEXE 4</w:t>
      </w:r>
      <w:r>
        <w:rPr>
          <w:rFonts w:eastAsia="Batang"/>
          <w:b/>
          <w:bCs/>
          <w:noProof/>
          <w:u w:val="single"/>
          <w:lang w:val="fr-FR" w:eastAsia="en-US"/>
        </w:rPr>
        <w:noBreakHyphen/>
        <w:t>A</w:t>
      </w:r>
      <w:r>
        <w:rPr>
          <w:rFonts w:eastAsia="Batang"/>
          <w:b/>
          <w:bCs/>
          <w:noProof/>
          <w:u w:val="single"/>
          <w:lang w:val="fr-FR" w:eastAsia="en-US"/>
        </w:rPr>
        <w:noBreakHyphen/>
        <w:t>1</w:t>
      </w:r>
    </w:p>
    <w:p>
      <w:pPr>
        <w:spacing w:line="240" w:lineRule="auto"/>
        <w:jc w:val="right"/>
        <w:rPr>
          <w:rFonts w:eastAsia="Batang"/>
          <w:b/>
          <w:bCs/>
          <w:noProof/>
          <w:u w:val="single"/>
          <w:lang w:val="fr-FR" w:eastAsia="en-US"/>
        </w:rPr>
      </w:pPr>
    </w:p>
    <w:p>
      <w:pPr>
        <w:spacing w:line="240" w:lineRule="auto"/>
        <w:jc w:val="right"/>
        <w:rPr>
          <w:rFonts w:eastAsia="Batang"/>
          <w:b/>
          <w:bCs/>
          <w:noProof/>
          <w:u w:val="single"/>
          <w:lang w:val="fr-FR" w:eastAsia="en-US"/>
        </w:rPr>
      </w:pPr>
    </w:p>
    <w:p>
      <w:pPr>
        <w:widowControl/>
        <w:spacing w:line="240" w:lineRule="auto"/>
        <w:jc w:val="center"/>
        <w:rPr>
          <w:rFonts w:eastAsiaTheme="minorHAnsi"/>
          <w:b/>
          <w:bCs/>
          <w:noProof/>
          <w:szCs w:val="24"/>
          <w:lang w:val="fr-FR" w:eastAsia="en-US"/>
        </w:rPr>
      </w:pPr>
      <w:r>
        <w:rPr>
          <w:rFonts w:eastAsiaTheme="minorHAnsi"/>
          <w:b/>
          <w:bCs/>
          <w:noProof/>
          <w:szCs w:val="24"/>
          <w:lang w:val="fr-CA" w:eastAsia="en-US"/>
        </w:rPr>
        <w:t>Liste visée à l’article 4.1 de l’annexe 4-A</w:t>
      </w:r>
    </w:p>
    <w:p>
      <w:pPr>
        <w:widowControl/>
        <w:spacing w:line="240" w:lineRule="auto"/>
        <w:jc w:val="center"/>
        <w:rPr>
          <w:rFonts w:eastAsiaTheme="minorHAnsi"/>
          <w:b/>
          <w:bCs/>
          <w:noProof/>
          <w:szCs w:val="24"/>
          <w:lang w:val="fr-FR" w:eastAsia="en-US"/>
        </w:rPr>
      </w:pPr>
    </w:p>
    <w:tbl>
      <w:tblPr>
        <w:tblStyle w:val="TableGrid3"/>
        <w:tblW w:w="10173" w:type="dxa"/>
        <w:tblLayout w:type="fixed"/>
        <w:tblLook w:val="04A0" w:firstRow="1" w:lastRow="0" w:firstColumn="1" w:lastColumn="0" w:noHBand="0" w:noVBand="1"/>
      </w:tblPr>
      <w:tblGrid>
        <w:gridCol w:w="1526"/>
        <w:gridCol w:w="3685"/>
        <w:gridCol w:w="2127"/>
        <w:gridCol w:w="2835"/>
      </w:tblGrid>
      <w:tr>
        <w:trPr>
          <w:cantSplit/>
          <w:tblHeader/>
        </w:trPr>
        <w:tc>
          <w:tcPr>
            <w:tcW w:w="1526" w:type="dxa"/>
          </w:tcPr>
          <w:p>
            <w:pPr>
              <w:spacing w:before="60" w:after="60" w:line="240" w:lineRule="auto"/>
              <w:rPr>
                <w:noProof/>
                <w:szCs w:val="22"/>
                <w:lang w:val="en-GB" w:eastAsia="en-CA"/>
              </w:rPr>
            </w:pPr>
            <w:r>
              <w:rPr>
                <w:noProof/>
                <w:lang w:val="fr-CA" w:eastAsia="en-CA"/>
              </w:rPr>
              <w:t>Règlement des Nations Unies</w:t>
            </w:r>
          </w:p>
        </w:tc>
        <w:tc>
          <w:tcPr>
            <w:tcW w:w="3685" w:type="dxa"/>
          </w:tcPr>
          <w:p>
            <w:pPr>
              <w:spacing w:before="60" w:after="60" w:line="240" w:lineRule="auto"/>
              <w:rPr>
                <w:noProof/>
                <w:szCs w:val="22"/>
                <w:lang w:val="fr-FR" w:eastAsia="en-CA"/>
              </w:rPr>
            </w:pPr>
            <w:r>
              <w:rPr>
                <w:noProof/>
                <w:szCs w:val="22"/>
                <w:lang w:val="fr-CA" w:eastAsia="en-CA"/>
              </w:rPr>
              <w:t>Titre du règlement des Nations Unies</w:t>
            </w:r>
          </w:p>
        </w:tc>
        <w:tc>
          <w:tcPr>
            <w:tcW w:w="2127" w:type="dxa"/>
          </w:tcPr>
          <w:p>
            <w:pPr>
              <w:spacing w:before="60" w:after="60" w:line="240" w:lineRule="auto"/>
              <w:rPr>
                <w:noProof/>
                <w:szCs w:val="22"/>
                <w:lang w:val="fr-FR" w:eastAsia="en-CA"/>
              </w:rPr>
            </w:pPr>
            <w:r>
              <w:rPr>
                <w:noProof/>
                <w:szCs w:val="22"/>
                <w:lang w:val="fr-CA" w:eastAsia="en-CA"/>
              </w:rPr>
              <w:t>Règlement canadien dans lequel le règlement des Nations Unies est incorporé, en tout ou en partie</w:t>
            </w:r>
          </w:p>
        </w:tc>
        <w:tc>
          <w:tcPr>
            <w:tcW w:w="2835" w:type="dxa"/>
          </w:tcPr>
          <w:p>
            <w:pPr>
              <w:spacing w:before="60" w:after="60" w:line="240" w:lineRule="auto"/>
              <w:rPr>
                <w:noProof/>
                <w:szCs w:val="22"/>
                <w:lang w:val="fr-FR" w:eastAsia="en-CA"/>
              </w:rPr>
            </w:pPr>
            <w:r>
              <w:rPr>
                <w:noProof/>
                <w:szCs w:val="22"/>
                <w:lang w:val="fr-CA" w:eastAsia="en-CA"/>
              </w:rPr>
              <w:t>Titre du règlement canadien dans lequel le règlement des Nations Unies est incorporé, en tout ou en partie</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98</w:t>
            </w:r>
          </w:p>
        </w:tc>
        <w:tc>
          <w:tcPr>
            <w:tcW w:w="3685" w:type="dxa"/>
          </w:tcPr>
          <w:p>
            <w:pPr>
              <w:spacing w:before="60" w:after="60" w:line="240" w:lineRule="auto"/>
              <w:rPr>
                <w:noProof/>
                <w:szCs w:val="22"/>
                <w:lang w:val="fr-FR" w:eastAsia="en-CA"/>
              </w:rPr>
            </w:pPr>
            <w:r>
              <w:rPr>
                <w:noProof/>
                <w:lang w:val="fr-CA" w:eastAsia="en-CA"/>
              </w:rPr>
              <w:t>Prescriptions uniformes concernant l’homologation des projecteurs de véhicules à moteur munis de sources lumineuses à décharge</w:t>
            </w:r>
          </w:p>
        </w:tc>
        <w:tc>
          <w:tcPr>
            <w:tcW w:w="2127" w:type="dxa"/>
          </w:tcPr>
          <w:p>
            <w:pPr>
              <w:spacing w:before="60" w:after="60" w:line="240" w:lineRule="auto"/>
              <w:rPr>
                <w:noProof/>
                <w:szCs w:val="22"/>
                <w:lang w:val="en-GB" w:eastAsia="en-CA"/>
              </w:rPr>
            </w:pPr>
            <w:r>
              <w:rPr>
                <w:noProof/>
                <w:szCs w:val="22"/>
                <w:lang w:val="fr-CA" w:eastAsia="en-CA"/>
              </w:rPr>
              <w:t>NSVAC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112</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véhicules automobiles émettant un faisceau de croisement asymétrique ou un faisceau de route ou les deux et équipés de lampes à incandescence et/ou de modules DEL</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113</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véhicules automobiles émettant un faisceau de croisement symétrique ou un faisceau de route ou les deux à la fois et équipés de lampes à incandescence, de sources lumineuses à décharge ou de modules DEL</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pageBreakBefore/>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51</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automobiles ayant au moins quatre roues en ce qui concerne le bruit</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1106</w:t>
            </w:r>
            <w:r>
              <w:rPr>
                <w:b/>
                <w:bCs/>
                <w:noProof/>
                <w:szCs w:val="22"/>
                <w:vertAlign w:val="superscript"/>
                <w:lang w:val="en-GB" w:eastAsia="en-CA"/>
              </w:rPr>
              <w:t>*</w:t>
            </w:r>
          </w:p>
        </w:tc>
        <w:tc>
          <w:tcPr>
            <w:tcW w:w="2835" w:type="dxa"/>
          </w:tcPr>
          <w:p>
            <w:pPr>
              <w:spacing w:before="60" w:after="60" w:line="240" w:lineRule="auto"/>
              <w:rPr>
                <w:noProof/>
                <w:szCs w:val="22"/>
                <w:lang w:val="en-GB" w:eastAsia="en-CA"/>
              </w:rPr>
            </w:pPr>
            <w:r>
              <w:rPr>
                <w:noProof/>
                <w:szCs w:val="22"/>
                <w:lang w:val="fr-CA" w:eastAsia="en-CA"/>
              </w:rPr>
              <w:t>Émission de bruit</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41</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motocycles en ce qui concerne le bruit</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1106</w:t>
            </w:r>
            <w:r>
              <w:rPr>
                <w:b/>
                <w:bCs/>
                <w:noProof/>
                <w:szCs w:val="22"/>
                <w:vertAlign w:val="superscript"/>
                <w:lang w:val="en-GB" w:eastAsia="en-CA"/>
              </w:rPr>
              <w:t>*</w:t>
            </w:r>
          </w:p>
        </w:tc>
        <w:tc>
          <w:tcPr>
            <w:tcW w:w="2835" w:type="dxa"/>
          </w:tcPr>
          <w:p>
            <w:pPr>
              <w:spacing w:before="60" w:after="60" w:line="240" w:lineRule="auto"/>
              <w:rPr>
                <w:noProof/>
                <w:szCs w:val="22"/>
                <w:lang w:val="en-GB" w:eastAsia="en-CA"/>
              </w:rPr>
            </w:pPr>
            <w:r>
              <w:rPr>
                <w:noProof/>
                <w:szCs w:val="22"/>
                <w:lang w:val="fr-CA" w:eastAsia="en-CA"/>
              </w:rPr>
              <w:t>Émission de bruit</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11</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véhicules en ce qui concerne les serrures et organes de fixation des portes</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206</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Serrures de porte et composants de retenue de porte</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116 (</w:t>
            </w:r>
            <w:r>
              <w:rPr>
                <w:noProof/>
                <w:szCs w:val="22"/>
                <w:lang w:val="fr-CA" w:eastAsia="en-CA"/>
              </w:rPr>
              <w:t>dispositif d’immobilisation seulement</w:t>
            </w:r>
            <w:r>
              <w:rPr>
                <w:noProof/>
                <w:szCs w:val="22"/>
                <w:lang w:val="en-GB" w:eastAsia="en-CA"/>
              </w:rPr>
              <w:t>)</w:t>
            </w:r>
          </w:p>
        </w:tc>
        <w:tc>
          <w:tcPr>
            <w:tcW w:w="3685" w:type="dxa"/>
          </w:tcPr>
          <w:p>
            <w:pPr>
              <w:spacing w:before="60" w:after="60" w:line="240" w:lineRule="auto"/>
              <w:rPr>
                <w:noProof/>
                <w:szCs w:val="22"/>
                <w:lang w:val="fr-FR" w:eastAsia="en-CA"/>
              </w:rPr>
            </w:pPr>
            <w:r>
              <w:rPr>
                <w:noProof/>
                <w:lang w:val="fr-CA" w:eastAsia="en-CA"/>
              </w:rPr>
              <w:t>Prescriptions techniques uniformes relatives à la protection des véhicules automobiles contre une utilisation non autorisée (dispositif d’immobilisation seulement)</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114</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Protection contre le vol et immobilisation</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42</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véhicules en ce qui concerne leurs dispositifs de protection (pare-chocs, etc.) à l’avant et à l’arrière</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215</w:t>
            </w:r>
            <w:r>
              <w:rPr>
                <w:b/>
                <w:bCs/>
                <w:noProof/>
                <w:szCs w:val="22"/>
                <w:vertAlign w:val="superscript"/>
                <w:lang w:val="en-GB" w:eastAsia="en-CA"/>
              </w:rPr>
              <w:t>*</w:t>
            </w:r>
          </w:p>
        </w:tc>
        <w:tc>
          <w:tcPr>
            <w:tcW w:w="2835" w:type="dxa"/>
          </w:tcPr>
          <w:p>
            <w:pPr>
              <w:spacing w:before="60" w:after="60" w:line="240" w:lineRule="auto"/>
              <w:rPr>
                <w:noProof/>
                <w:szCs w:val="22"/>
                <w:lang w:val="en-GB" w:eastAsia="en-CA"/>
              </w:rPr>
            </w:pPr>
            <w:r>
              <w:rPr>
                <w:noProof/>
                <w:szCs w:val="22"/>
                <w:lang w:val="fr-CA" w:eastAsia="en-CA"/>
              </w:rPr>
              <w:t>Pare-chocs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78</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véhicules des catégories L1, L2, L3, L4 et L5 en ce qui concerne le freinage</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122</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de freinage des motocyclettes</w:t>
            </w:r>
          </w:p>
        </w:tc>
      </w:tr>
      <w:tr>
        <w:trPr>
          <w:cantSplit/>
        </w:trPr>
        <w:tc>
          <w:tcPr>
            <w:tcW w:w="1526" w:type="dxa"/>
          </w:tcPr>
          <w:p>
            <w:pPr>
              <w:pageBreakBefore/>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xml:space="preserve"> </w:t>
            </w:r>
            <w:r>
              <w:rPr>
                <w:noProof/>
                <w:szCs w:val="22"/>
                <w:lang w:val="en-GB" w:eastAsia="en-CA"/>
              </w:rPr>
              <w:t>8</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véhicules automobiles émettant un faisceau-croisement asymétrique et/ou un faisceau-route et équipés de lampes à incandescence halogènes (H1, H2, H3, HB3, HB4, H7, H8, H9, HIR1, HIR2 et/ou H11)</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20</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véhicules automobiles émettant un faisceau-croisement asymétrique et/ou un faisceau-route et équipés de lampes halogènes à incandescence (lampes H4)</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31</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scellés halogènes pour véhicules à moteur émettant un faisceau de croisement asymétrique européen ou un faisceau de route, ou les deux à la fois</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57</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motocycles et véhicules y assimilés</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pageBreakBefore/>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72</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projecteurs pour motocycles émettant un faisceau-croisement asymétrique et un faisceau-route et équipés de lampes halogènes (lampes HS1)</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108</w:t>
            </w:r>
            <w:r>
              <w:rPr>
                <w:b/>
                <w:bCs/>
                <w:noProof/>
                <w:szCs w:val="22"/>
                <w:vertAlign w:val="superscript"/>
                <w:lang w:val="en-GB" w:eastAsia="en-CA"/>
              </w:rPr>
              <w:t>*</w:t>
            </w:r>
          </w:p>
        </w:tc>
        <w:tc>
          <w:tcPr>
            <w:tcW w:w="2835" w:type="dxa"/>
          </w:tcPr>
          <w:p>
            <w:pPr>
              <w:spacing w:before="60" w:after="60" w:line="240" w:lineRule="auto"/>
              <w:rPr>
                <w:noProof/>
                <w:szCs w:val="22"/>
                <w:lang w:val="fr-FR" w:eastAsia="en-CA"/>
              </w:rPr>
            </w:pPr>
            <w:r>
              <w:rPr>
                <w:noProof/>
                <w:szCs w:val="22"/>
                <w:lang w:val="fr-CA" w:eastAsia="en-CA"/>
              </w:rPr>
              <w:t>Système d’éclairage et dispositifs rétroréfléchissants</w:t>
            </w:r>
          </w:p>
        </w:tc>
      </w:tr>
      <w:tr>
        <w:trPr>
          <w:cantSplit/>
        </w:trPr>
        <w:tc>
          <w:tcPr>
            <w:tcW w:w="1526" w:type="dxa"/>
          </w:tcPr>
          <w:p>
            <w:pPr>
              <w:spacing w:before="60" w:after="60" w:line="240" w:lineRule="auto"/>
              <w:rPr>
                <w:noProof/>
                <w:szCs w:val="22"/>
                <w:lang w:val="fr-FR"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fr-FR" w:eastAsia="en-CA"/>
              </w:rPr>
              <w:t>13H (</w:t>
            </w:r>
            <w:r>
              <w:rPr>
                <w:noProof/>
                <w:szCs w:val="22"/>
                <w:lang w:val="fr-CA" w:eastAsia="en-CA"/>
              </w:rPr>
              <w:t>contrôle électronique de stabilité seulement</w:t>
            </w:r>
            <w:r>
              <w:rPr>
                <w:noProof/>
                <w:szCs w:val="22"/>
                <w:lang w:val="fr-FR" w:eastAsia="en-CA"/>
              </w:rPr>
              <w:t>)</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voitures particulières en ce qui concerne le freinage (contrôle électronique de stabilité seulement)</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126</w:t>
            </w:r>
          </w:p>
        </w:tc>
        <w:tc>
          <w:tcPr>
            <w:tcW w:w="2835" w:type="dxa"/>
          </w:tcPr>
          <w:p>
            <w:pPr>
              <w:spacing w:before="60" w:after="60" w:line="240" w:lineRule="auto"/>
              <w:rPr>
                <w:noProof/>
                <w:szCs w:val="22"/>
                <w:lang w:val="fr-FR" w:eastAsia="en-CA"/>
              </w:rPr>
            </w:pPr>
            <w:r>
              <w:rPr>
                <w:noProof/>
                <w:szCs w:val="22"/>
                <w:lang w:val="fr-CA" w:eastAsia="en-CA"/>
              </w:rPr>
              <w:t>Systèmes de contrôle électronique de la stabilité</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60</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motocycles et des cyclomoteurs (à deux roues) en ce qui concerne les commandes actionnées par le conducteur, y compris l’identification des commandes, témoins et indicateurs</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123</w:t>
            </w:r>
          </w:p>
        </w:tc>
        <w:tc>
          <w:tcPr>
            <w:tcW w:w="2835" w:type="dxa"/>
          </w:tcPr>
          <w:p>
            <w:pPr>
              <w:spacing w:before="60" w:after="60" w:line="240" w:lineRule="auto"/>
              <w:rPr>
                <w:noProof/>
                <w:szCs w:val="22"/>
                <w:lang w:val="fr-FR" w:eastAsia="en-CA"/>
              </w:rPr>
            </w:pPr>
            <w:r>
              <w:rPr>
                <w:noProof/>
                <w:szCs w:val="22"/>
                <w:lang w:val="fr-CA" w:eastAsia="en-CA"/>
              </w:rPr>
              <w:t>Commandes et affichages des motocyclettes</w:t>
            </w:r>
          </w:p>
        </w:tc>
      </w:tr>
      <w:tr>
        <w:trPr>
          <w:cantSplit/>
        </w:trPr>
        <w:tc>
          <w:tcPr>
            <w:tcW w:w="1526" w:type="dxa"/>
          </w:tcPr>
          <w:p>
            <w:pPr>
              <w:spacing w:before="60" w:after="60" w:line="240" w:lineRule="auto"/>
              <w:rPr>
                <w:noProof/>
                <w:szCs w:val="22"/>
                <w:lang w:val="en-GB" w:eastAsia="en-CA"/>
              </w:rPr>
            </w:pPr>
            <w:r>
              <w:rPr>
                <w:noProof/>
                <w:szCs w:val="22"/>
                <w:lang w:val="fr-CA" w:eastAsia="en-CA"/>
              </w:rPr>
              <w:t>N</w:t>
            </w:r>
            <w:r>
              <w:rPr>
                <w:noProof/>
                <w:szCs w:val="22"/>
                <w:vertAlign w:val="superscript"/>
                <w:lang w:val="fr-CA" w:eastAsia="en-CA"/>
              </w:rPr>
              <w:t>o</w:t>
            </w:r>
            <w:r>
              <w:rPr>
                <w:noProof/>
                <w:szCs w:val="22"/>
                <w:lang w:val="fr-CA" w:eastAsia="en-CA"/>
              </w:rPr>
              <w:t> </w:t>
            </w:r>
            <w:r>
              <w:rPr>
                <w:noProof/>
                <w:szCs w:val="22"/>
                <w:lang w:val="en-GB" w:eastAsia="en-CA"/>
              </w:rPr>
              <w:t>81</w:t>
            </w:r>
          </w:p>
        </w:tc>
        <w:tc>
          <w:tcPr>
            <w:tcW w:w="3685" w:type="dxa"/>
          </w:tcPr>
          <w:p>
            <w:pPr>
              <w:spacing w:before="60" w:after="60" w:line="240" w:lineRule="auto"/>
              <w:rPr>
                <w:noProof/>
                <w:szCs w:val="22"/>
                <w:lang w:val="fr-FR" w:eastAsia="en-CA"/>
              </w:rPr>
            </w:pPr>
            <w:r>
              <w:rPr>
                <w:noProof/>
                <w:lang w:val="fr-CA" w:eastAsia="en-CA"/>
              </w:rPr>
              <w:t>Prescriptions uniformes relatives à l’homologation des rétroviseurs des véhicules à moteur à deux roues, avec ou sans side-car, en ce qui concerne le montage des rétroviseurs sur les guidons</w:t>
            </w:r>
          </w:p>
        </w:tc>
        <w:tc>
          <w:tcPr>
            <w:tcW w:w="2127" w:type="dxa"/>
          </w:tcPr>
          <w:p>
            <w:pPr>
              <w:spacing w:before="60" w:after="60" w:line="240" w:lineRule="auto"/>
              <w:rPr>
                <w:noProof/>
                <w:szCs w:val="22"/>
                <w:lang w:val="en-GB" w:eastAsia="en-CA"/>
              </w:rPr>
            </w:pPr>
            <w:r>
              <w:rPr>
                <w:noProof/>
                <w:szCs w:val="22"/>
                <w:lang w:val="fr-CA" w:eastAsia="en-CA"/>
              </w:rPr>
              <w:t>NSVAC</w:t>
            </w:r>
            <w:r>
              <w:rPr>
                <w:noProof/>
                <w:szCs w:val="22"/>
                <w:lang w:val="en-GB" w:eastAsia="en-CA"/>
              </w:rPr>
              <w:t xml:space="preserve"> 111</w:t>
            </w:r>
          </w:p>
        </w:tc>
        <w:tc>
          <w:tcPr>
            <w:tcW w:w="2835" w:type="dxa"/>
          </w:tcPr>
          <w:p>
            <w:pPr>
              <w:spacing w:before="60" w:after="60" w:line="240" w:lineRule="auto"/>
              <w:rPr>
                <w:noProof/>
                <w:szCs w:val="22"/>
                <w:lang w:val="en-GB" w:eastAsia="en-CA"/>
              </w:rPr>
            </w:pPr>
            <w:r>
              <w:rPr>
                <w:noProof/>
                <w:szCs w:val="22"/>
                <w:lang w:val="fr-CA" w:eastAsia="en-CA"/>
              </w:rPr>
              <w:t>Miroirs</w:t>
            </w:r>
          </w:p>
        </w:tc>
      </w:tr>
    </w:tbl>
    <w:p>
      <w:pPr>
        <w:widowControl/>
        <w:tabs>
          <w:tab w:val="left" w:pos="0"/>
        </w:tabs>
        <w:spacing w:line="240" w:lineRule="auto"/>
        <w:jc w:val="both"/>
        <w:rPr>
          <w:rFonts w:eastAsia="Batang"/>
          <w:noProof/>
          <w:lang w:eastAsia="en-US"/>
        </w:rPr>
      </w:pPr>
    </w:p>
    <w:p>
      <w:pPr>
        <w:widowControl/>
        <w:tabs>
          <w:tab w:val="left" w:pos="0"/>
          <w:tab w:val="left" w:pos="495"/>
        </w:tabs>
        <w:spacing w:line="240" w:lineRule="auto"/>
        <w:jc w:val="both"/>
        <w:rPr>
          <w:rFonts w:eastAsia="Batang"/>
          <w:noProof/>
          <w:lang w:val="fr-FR" w:eastAsia="en-US"/>
        </w:rPr>
      </w:pPr>
      <w:r>
        <w:rPr>
          <w:rFonts w:eastAsia="Batang"/>
          <w:b/>
          <w:bCs/>
          <w:noProof/>
          <w:vertAlign w:val="superscript"/>
          <w:lang w:val="fr-FR" w:eastAsia="en-US"/>
        </w:rPr>
        <w:t>*</w:t>
      </w:r>
      <w:r>
        <w:rPr>
          <w:rFonts w:eastAsia="Batang"/>
          <w:noProof/>
          <w:lang w:val="fr-FR" w:eastAsia="en-US"/>
        </w:rPr>
        <w:tab/>
      </w:r>
      <w:r>
        <w:rPr>
          <w:rFonts w:eastAsia="Batang"/>
          <w:noProof/>
          <w:lang w:val="fr-CA" w:eastAsia="en-US"/>
        </w:rPr>
        <w:t>Version du règlement en vigueur le 13 février 2013</w:t>
      </w:r>
      <w:r>
        <w:rPr>
          <w:rFonts w:eastAsia="Batang"/>
          <w:noProof/>
          <w:lang w:val="fr-FR" w:eastAsia="en-US"/>
        </w:rPr>
        <w:t>.</w:t>
      </w:r>
    </w:p>
    <w:p>
      <w:pPr>
        <w:widowControl/>
        <w:tabs>
          <w:tab w:val="left" w:pos="0"/>
          <w:tab w:val="left" w:pos="495"/>
        </w:tabs>
        <w:spacing w:line="240" w:lineRule="auto"/>
        <w:jc w:val="both"/>
        <w:rPr>
          <w:rFonts w:eastAsia="Batang"/>
          <w:noProof/>
          <w:lang w:val="fr-FR" w:eastAsia="en-US"/>
        </w:rPr>
      </w:pPr>
    </w:p>
    <w:p>
      <w:pPr>
        <w:widowControl/>
        <w:tabs>
          <w:tab w:val="left" w:pos="0"/>
          <w:tab w:val="left" w:pos="495"/>
        </w:tabs>
        <w:spacing w:line="240" w:lineRule="auto"/>
        <w:jc w:val="both"/>
        <w:rPr>
          <w:rFonts w:eastAsia="Batang"/>
          <w:noProof/>
          <w:lang w:val="fr-FR" w:eastAsia="en-US"/>
        </w:rPr>
      </w:pPr>
    </w:p>
    <w:p>
      <w:pPr>
        <w:widowControl/>
        <w:spacing w:line="240" w:lineRule="auto"/>
        <w:rPr>
          <w:rFonts w:eastAsia="Batang"/>
          <w:noProof/>
          <w:lang w:val="fr-FR" w:eastAsia="en-US"/>
        </w:rPr>
      </w:pPr>
      <w:r>
        <w:rPr>
          <w:rFonts w:eastAsia="Batang"/>
          <w:noProof/>
          <w:lang w:val="fr-FR" w:eastAsia="en-US"/>
        </w:rPr>
        <w:br w:type="page"/>
      </w:r>
    </w:p>
    <w:p>
      <w:pPr>
        <w:spacing w:line="240" w:lineRule="auto"/>
        <w:jc w:val="right"/>
        <w:rPr>
          <w:rFonts w:eastAsia="Batang"/>
          <w:b/>
          <w:bCs/>
          <w:noProof/>
          <w:u w:val="single"/>
          <w:lang w:val="fr-CA" w:eastAsia="en-US"/>
        </w:rPr>
      </w:pPr>
      <w:r>
        <w:rPr>
          <w:rFonts w:eastAsia="Batang"/>
          <w:b/>
          <w:bCs/>
          <w:noProof/>
          <w:u w:val="single"/>
          <w:lang w:val="fr-CA" w:eastAsia="en-US"/>
        </w:rPr>
        <w:t>ANNEXE 4-A-2</w:t>
      </w:r>
    </w:p>
    <w:p>
      <w:pPr>
        <w:spacing w:line="240" w:lineRule="auto"/>
        <w:jc w:val="center"/>
        <w:rPr>
          <w:rFonts w:eastAsiaTheme="minorHAnsi"/>
          <w:bCs/>
          <w:noProof/>
          <w:szCs w:val="24"/>
          <w:lang w:val="fr-FR" w:eastAsia="en-US"/>
        </w:rPr>
      </w:pPr>
    </w:p>
    <w:p>
      <w:pPr>
        <w:spacing w:line="240" w:lineRule="auto"/>
        <w:jc w:val="center"/>
        <w:rPr>
          <w:rFonts w:eastAsiaTheme="minorHAnsi"/>
          <w:b/>
          <w:noProof/>
          <w:szCs w:val="24"/>
          <w:u w:val="single"/>
          <w:lang w:val="fr-CA" w:eastAsia="en-US"/>
        </w:rPr>
      </w:pPr>
      <w:r>
        <w:rPr>
          <w:rFonts w:eastAsiaTheme="minorHAnsi"/>
          <w:b/>
          <w:bCs/>
          <w:noProof/>
          <w:szCs w:val="24"/>
          <w:lang w:val="fr-CA" w:eastAsia="en-US"/>
        </w:rPr>
        <w:t>Liste visée à l’article 4.3 de l’annexe 4-A</w:t>
      </w:r>
    </w:p>
    <w:p>
      <w:pPr>
        <w:spacing w:line="240" w:lineRule="auto"/>
        <w:jc w:val="center"/>
        <w:rPr>
          <w:rFonts w:eastAsia="Batang"/>
          <w:noProof/>
          <w:lang w:val="fr-FR" w:eastAsia="en-US"/>
        </w:rPr>
      </w:pPr>
    </w:p>
    <w:tbl>
      <w:tblPr>
        <w:tblStyle w:val="TableGrid3"/>
        <w:tblW w:w="9923" w:type="dxa"/>
        <w:tblInd w:w="108" w:type="dxa"/>
        <w:tblLook w:val="04A0" w:firstRow="1" w:lastRow="0" w:firstColumn="1" w:lastColumn="0" w:noHBand="0" w:noVBand="1"/>
      </w:tblPr>
      <w:tblGrid>
        <w:gridCol w:w="1843"/>
        <w:gridCol w:w="8080"/>
      </w:tblGrid>
      <w:tr>
        <w:tc>
          <w:tcPr>
            <w:tcW w:w="1843" w:type="dxa"/>
          </w:tcPr>
          <w:p>
            <w:pPr>
              <w:spacing w:before="60" w:after="60" w:line="240" w:lineRule="auto"/>
              <w:rPr>
                <w:noProof/>
                <w:szCs w:val="22"/>
                <w:lang w:val="en-GB" w:eastAsia="en-CA"/>
              </w:rPr>
            </w:pPr>
            <w:r>
              <w:rPr>
                <w:noProof/>
                <w:lang w:val="fr-CA" w:eastAsia="en-CA"/>
              </w:rPr>
              <w:t>Règlement des Nations Unies</w:t>
            </w:r>
          </w:p>
        </w:tc>
        <w:tc>
          <w:tcPr>
            <w:tcW w:w="8080" w:type="dxa"/>
          </w:tcPr>
          <w:p>
            <w:pPr>
              <w:spacing w:before="60" w:after="60" w:line="240" w:lineRule="auto"/>
              <w:rPr>
                <w:noProof/>
                <w:szCs w:val="22"/>
                <w:lang w:val="fr-FR" w:eastAsia="en-CA"/>
              </w:rPr>
            </w:pPr>
            <w:r>
              <w:rPr>
                <w:noProof/>
                <w:szCs w:val="22"/>
                <w:lang w:val="fr-CA" w:eastAsia="en-CA"/>
              </w:rPr>
              <w:t>Titre du règlement des Nations Unies</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12</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véhicules en ce qui concerne la protection du conducteur contre le dispositif de conduite en cas de choc</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17</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véhicules en ce qui concerne les sièges, leur ancrage et les appuis-tête</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43</w:t>
            </w:r>
          </w:p>
        </w:tc>
        <w:tc>
          <w:tcPr>
            <w:tcW w:w="8080" w:type="dxa"/>
          </w:tcPr>
          <w:p>
            <w:pPr>
              <w:spacing w:before="60" w:after="60" w:line="240" w:lineRule="auto"/>
              <w:rPr>
                <w:noProof/>
                <w:lang w:val="fr-FR" w:eastAsia="en-CA"/>
              </w:rPr>
            </w:pPr>
            <w:r>
              <w:rPr>
                <w:noProof/>
                <w:lang w:val="fr-CA" w:eastAsia="en-CA"/>
              </w:rPr>
              <w:t>Prescriptions uniformes relatives à l’homologation des vitrages de sécurité et de l’installation de ces vitrages sur les véhicules</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48</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véhicules en ce qui concerne l’installation des dispositifs d’éclairage et de signalisation lumineuse</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87</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feux- circulation diurnes pour véhicules à moteur</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53</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véhicules de la catégorie L3 en ce qui concerne l’installation des dispositifs d’éclairage et de signalisation lumineuse</w:t>
            </w:r>
          </w:p>
        </w:tc>
      </w:tr>
      <w:tr>
        <w:tc>
          <w:tcPr>
            <w:tcW w:w="1843" w:type="dxa"/>
          </w:tcPr>
          <w:p>
            <w:pPr>
              <w:spacing w:before="60" w:after="60" w:line="240" w:lineRule="auto"/>
              <w:rPr>
                <w:noProof/>
                <w:szCs w:val="22"/>
                <w:lang w:val="en-GB" w:eastAsia="en-CA"/>
              </w:rPr>
            </w:pPr>
            <w:r>
              <w:rPr>
                <w:rFonts w:eastAsia="Batang"/>
                <w:noProof/>
                <w:color w:val="000000"/>
                <w:lang w:val="fr-CA"/>
              </w:rPr>
              <w:t>N</w:t>
            </w:r>
            <w:r>
              <w:rPr>
                <w:rFonts w:eastAsia="Batang"/>
                <w:noProof/>
                <w:color w:val="000000"/>
                <w:vertAlign w:val="superscript"/>
                <w:lang w:val="fr-CA"/>
              </w:rPr>
              <w:t>o</w:t>
            </w:r>
            <w:r>
              <w:rPr>
                <w:rFonts w:eastAsia="Batang"/>
                <w:noProof/>
                <w:color w:val="000000"/>
                <w:lang w:val="fr-CA"/>
              </w:rPr>
              <w:t> </w:t>
            </w:r>
            <w:r>
              <w:rPr>
                <w:noProof/>
                <w:szCs w:val="22"/>
                <w:lang w:val="en-GB" w:eastAsia="en-CA"/>
              </w:rPr>
              <w:t>116</w:t>
            </w:r>
          </w:p>
        </w:tc>
        <w:tc>
          <w:tcPr>
            <w:tcW w:w="8080" w:type="dxa"/>
          </w:tcPr>
          <w:p>
            <w:pPr>
              <w:spacing w:before="60" w:after="60" w:line="240" w:lineRule="auto"/>
              <w:rPr>
                <w:noProof/>
                <w:szCs w:val="22"/>
                <w:lang w:val="fr-FR" w:eastAsia="en-CA"/>
              </w:rPr>
            </w:pPr>
            <w:r>
              <w:rPr>
                <w:noProof/>
                <w:lang w:val="fr-CA" w:eastAsia="en-CA"/>
              </w:rPr>
              <w:t xml:space="preserve">Prescriptions techniques uniformes relatives à la protection des véhicules automobiles contre une utilisation non autorisée </w:t>
            </w:r>
          </w:p>
        </w:tc>
      </w:tr>
      <w:tr>
        <w:tc>
          <w:tcPr>
            <w:tcW w:w="1843" w:type="dxa"/>
          </w:tcPr>
          <w:p>
            <w:pPr>
              <w:spacing w:before="60" w:after="60" w:line="240" w:lineRule="auto"/>
              <w:rPr>
                <w:noProof/>
                <w:szCs w:val="22"/>
                <w:lang w:val="en-GB" w:eastAsia="en-CA"/>
              </w:rPr>
            </w:pPr>
            <w:r>
              <w:rPr>
                <w:noProof/>
                <w:szCs w:val="22"/>
                <w:lang w:val="en-GB" w:eastAsia="en-CA"/>
              </w:rPr>
              <w:t>N° 123</w:t>
            </w:r>
          </w:p>
        </w:tc>
        <w:tc>
          <w:tcPr>
            <w:tcW w:w="8080" w:type="dxa"/>
          </w:tcPr>
          <w:p>
            <w:pPr>
              <w:spacing w:before="60" w:after="60" w:line="240" w:lineRule="auto"/>
              <w:rPr>
                <w:noProof/>
                <w:szCs w:val="22"/>
                <w:lang w:val="fr-FR" w:eastAsia="en-CA"/>
              </w:rPr>
            </w:pPr>
            <w:r>
              <w:rPr>
                <w:noProof/>
                <w:lang w:val="fr-CA" w:eastAsia="en-CA"/>
              </w:rPr>
              <w:t>Prescriptions uniformes relatives à l’homologation des systèmes d’éclairage avant adaptatifs (AFS) destinés aux véhicules automobiles</w:t>
            </w:r>
          </w:p>
        </w:tc>
      </w:tr>
    </w:tbl>
    <w:p>
      <w:pPr>
        <w:widowControl/>
        <w:spacing w:line="240" w:lineRule="auto"/>
        <w:jc w:val="both"/>
        <w:rPr>
          <w:rFonts w:eastAsiaTheme="minorHAnsi"/>
          <w:noProof/>
          <w:szCs w:val="22"/>
          <w:lang w:val="fr-FR" w:eastAsia="en-US"/>
        </w:rPr>
      </w:pPr>
    </w:p>
    <w:p>
      <w:pPr>
        <w:widowControl/>
        <w:spacing w:line="240" w:lineRule="auto"/>
        <w:jc w:val="both"/>
        <w:rPr>
          <w:rFonts w:eastAsiaTheme="minorHAnsi"/>
          <w:noProof/>
          <w:szCs w:val="22"/>
          <w:lang w:val="fr-FR" w:eastAsia="en-US"/>
        </w:rPr>
      </w:pPr>
    </w:p>
    <w:p>
      <w:pPr>
        <w:widowControl/>
        <w:spacing w:line="240" w:lineRule="auto"/>
        <w:rPr>
          <w:b/>
          <w:noProof/>
          <w:u w:val="single"/>
          <w:lang w:val="fr-FR" w:eastAsia="es-ES"/>
        </w:rPr>
      </w:pPr>
      <w:r>
        <w:rPr>
          <w:b/>
          <w:noProof/>
          <w:u w:val="single"/>
          <w:lang w:val="fr-FR" w:eastAsia="es-ES"/>
        </w:rPr>
        <w:br w:type="page"/>
      </w:r>
    </w:p>
    <w:p>
      <w:pPr>
        <w:spacing w:line="240" w:lineRule="auto"/>
        <w:jc w:val="center"/>
        <w:rPr>
          <w:b/>
          <w:bCs/>
          <w:noProof/>
          <w:u w:val="single"/>
          <w:lang w:val="fr-FR" w:eastAsia="es-ES"/>
        </w:rPr>
      </w:pPr>
      <w:r>
        <w:rPr>
          <w:b/>
          <w:noProof/>
          <w:u w:val="single"/>
          <w:lang w:val="fr-CA" w:eastAsia="es-ES"/>
        </w:rPr>
        <w:t>ANNEXE 5-A</w:t>
      </w:r>
    </w:p>
    <w:p>
      <w:pPr>
        <w:spacing w:line="240" w:lineRule="auto"/>
        <w:jc w:val="center"/>
        <w:rPr>
          <w:noProof/>
          <w:lang w:val="fr-FR" w:eastAsia="es-ES"/>
        </w:rPr>
      </w:pPr>
    </w:p>
    <w:p>
      <w:pPr>
        <w:spacing w:line="240" w:lineRule="auto"/>
        <w:jc w:val="center"/>
        <w:rPr>
          <w:noProof/>
          <w:lang w:val="fr-FR" w:eastAsia="es-ES"/>
        </w:rPr>
      </w:pPr>
    </w:p>
    <w:p>
      <w:pPr>
        <w:spacing w:line="240" w:lineRule="auto"/>
        <w:jc w:val="center"/>
        <w:rPr>
          <w:b/>
          <w:bCs/>
          <w:noProof/>
          <w:lang w:val="fr-FR" w:eastAsia="es-ES"/>
        </w:rPr>
      </w:pPr>
      <w:r>
        <w:rPr>
          <w:b/>
          <w:noProof/>
          <w:lang w:val="fr-CA" w:eastAsia="es-ES"/>
        </w:rPr>
        <w:t>AUTORITÉS COMPÉTENTES</w:t>
      </w:r>
    </w:p>
    <w:p>
      <w:pPr>
        <w:spacing w:line="240" w:lineRule="auto"/>
        <w:rPr>
          <w:rFonts w:eastAsiaTheme="minorHAnsi"/>
          <w:noProof/>
          <w:lang w:val="fr-FR" w:eastAsia="es-ES"/>
        </w:rPr>
      </w:pPr>
    </w:p>
    <w:p>
      <w:pPr>
        <w:spacing w:line="240" w:lineRule="auto"/>
        <w:rPr>
          <w:rFonts w:eastAsiaTheme="minorHAnsi"/>
          <w:noProof/>
          <w:lang w:val="fr-FR" w:eastAsia="es-ES"/>
        </w:rPr>
      </w:pPr>
      <w:r>
        <w:rPr>
          <w:noProof/>
          <w:lang w:val="fr-CA" w:eastAsia="es-ES"/>
        </w:rPr>
        <w:t>Autorités compétentes de l’Union européenne</w:t>
      </w:r>
    </w:p>
    <w:p>
      <w:pPr>
        <w:spacing w:line="240" w:lineRule="auto"/>
        <w:ind w:left="567" w:hanging="567"/>
        <w:rPr>
          <w:rFonts w:eastAsiaTheme="minorHAnsi"/>
          <w:noProof/>
          <w:lang w:val="fr-FR" w:eastAsia="es-ES"/>
        </w:rPr>
      </w:pPr>
    </w:p>
    <w:p>
      <w:pPr>
        <w:spacing w:line="240" w:lineRule="auto"/>
        <w:ind w:left="567" w:hanging="567"/>
        <w:rPr>
          <w:rFonts w:eastAsiaTheme="minorHAnsi"/>
          <w:noProof/>
          <w:lang w:val="fr-FR" w:eastAsia="es-ES"/>
        </w:rPr>
      </w:pPr>
      <w:r>
        <w:rPr>
          <w:rFonts w:eastAsiaTheme="minorHAnsi"/>
          <w:noProof/>
          <w:lang w:val="fr-FR" w:eastAsia="es-ES"/>
        </w:rPr>
        <w:t>1.</w:t>
      </w:r>
      <w:r>
        <w:rPr>
          <w:rFonts w:eastAsiaTheme="minorHAnsi"/>
          <w:noProof/>
          <w:lang w:val="fr-FR" w:eastAsia="es-ES"/>
        </w:rPr>
        <w:tab/>
      </w:r>
      <w:r>
        <w:rPr>
          <w:noProof/>
          <w:lang w:val="fr-CA" w:eastAsia="es-ES"/>
        </w:rPr>
        <w:t>Les compétences sont partagées entre les services nationaux des États membres et la Commission européenne. À cet égard, les dispositions suivantes s’appliquent </w:t>
      </w:r>
      <w:r>
        <w:rPr>
          <w:rFonts w:eastAsiaTheme="minorHAnsi"/>
          <w:noProof/>
          <w:lang w:val="fr-FR" w:eastAsia="es-ES"/>
        </w:rPr>
        <w:t>:</w:t>
      </w:r>
    </w:p>
    <w:p>
      <w:pPr>
        <w:spacing w:line="240" w:lineRule="auto"/>
        <w:ind w:left="1134" w:hanging="567"/>
        <w:rPr>
          <w:rFonts w:eastAsiaTheme="minorHAnsi"/>
          <w:noProof/>
          <w:lang w:val="fr-FR" w:eastAsia="es-ES"/>
        </w:rPr>
      </w:pPr>
    </w:p>
    <w:p>
      <w:pPr>
        <w:spacing w:line="240" w:lineRule="auto"/>
        <w:ind w:left="1134" w:hanging="567"/>
        <w:rPr>
          <w:rFonts w:eastAsiaTheme="minorHAnsi"/>
          <w:noProof/>
          <w:lang w:val="fr-FR" w:eastAsia="es-ES"/>
        </w:rPr>
      </w:pPr>
      <w:r>
        <w:rPr>
          <w:noProof/>
          <w:lang w:val="fr-CA" w:eastAsia="es-ES"/>
        </w:rPr>
        <w:t>a)</w:t>
      </w:r>
      <w:r>
        <w:rPr>
          <w:noProof/>
          <w:lang w:val="fr-CA" w:eastAsia="es-ES"/>
        </w:rPr>
        <w:tab/>
        <w:t>pour les exportations à destination du Canada, les États membres sont responsables du contrôle du respect des conditions et des exigences de production, y compris des inspections ou audits légaux et de la délivrance des certificats sanitaires attestant du respect des mesures et exigences SPS convenues</w:t>
      </w:r>
      <w:r>
        <w:rPr>
          <w:rFonts w:eastAsiaTheme="minorHAnsi"/>
          <w:noProof/>
          <w:lang w:val="fr-FR" w:eastAsia="es-ES"/>
        </w:rPr>
        <w:t>;</w:t>
      </w:r>
    </w:p>
    <w:p>
      <w:pPr>
        <w:spacing w:line="240" w:lineRule="auto"/>
        <w:ind w:left="1134" w:hanging="567"/>
        <w:rPr>
          <w:rFonts w:eastAsiaTheme="minorHAnsi"/>
          <w:noProof/>
          <w:lang w:val="fr-FR" w:eastAsia="es-ES"/>
        </w:rPr>
      </w:pPr>
    </w:p>
    <w:p>
      <w:pPr>
        <w:spacing w:line="240" w:lineRule="auto"/>
        <w:ind w:left="1134" w:hanging="567"/>
        <w:rPr>
          <w:rFonts w:eastAsiaTheme="minorHAnsi"/>
          <w:noProof/>
          <w:lang w:val="fr-FR" w:eastAsia="es-ES"/>
        </w:rPr>
      </w:pPr>
      <w:r>
        <w:rPr>
          <w:noProof/>
          <w:lang w:val="fr-CA" w:eastAsia="es-ES"/>
        </w:rPr>
        <w:t>b)</w:t>
      </w:r>
      <w:r>
        <w:rPr>
          <w:noProof/>
          <w:lang w:val="fr-CA" w:eastAsia="es-ES"/>
        </w:rPr>
        <w:tab/>
        <w:t>pour les importations en provenance du Canada, les États membres sont responsables du contrôle de la conformité des importations avec les conditions d’importation de l’Union européenne</w:t>
      </w:r>
      <w:r>
        <w:rPr>
          <w:rFonts w:eastAsiaTheme="minorHAnsi"/>
          <w:noProof/>
          <w:lang w:val="fr-FR" w:eastAsia="es-ES"/>
        </w:rPr>
        <w:t>;</w:t>
      </w:r>
    </w:p>
    <w:p>
      <w:pPr>
        <w:spacing w:line="240" w:lineRule="auto"/>
        <w:ind w:left="1134" w:hanging="567"/>
        <w:rPr>
          <w:rFonts w:eastAsiaTheme="minorHAnsi"/>
          <w:noProof/>
          <w:lang w:val="fr-FR" w:eastAsia="es-ES"/>
        </w:rPr>
      </w:pPr>
    </w:p>
    <w:p>
      <w:pPr>
        <w:spacing w:line="240" w:lineRule="auto"/>
        <w:ind w:left="1134" w:hanging="567"/>
        <w:rPr>
          <w:rFonts w:eastAsiaTheme="minorHAnsi"/>
          <w:noProof/>
          <w:lang w:val="fr-FR" w:eastAsia="es-ES"/>
        </w:rPr>
      </w:pPr>
      <w:r>
        <w:rPr>
          <w:noProof/>
          <w:lang w:val="fr-CA" w:eastAsia="es-ES"/>
        </w:rPr>
        <w:t>c)</w:t>
      </w:r>
      <w:r>
        <w:rPr>
          <w:noProof/>
          <w:lang w:val="fr-CA" w:eastAsia="es-ES"/>
        </w:rPr>
        <w:tab/>
        <w:t>la Commission européenne est responsable de la coordination générale, des inspections ou audits des systèmes de contrôle et de la prise des mesures nécessaires, y compris des actions législatives visant à assurer une application uniforme des normes et exigences prévues au présent accord.</w:t>
      </w:r>
    </w:p>
    <w:p>
      <w:pPr>
        <w:spacing w:line="240" w:lineRule="auto"/>
        <w:rPr>
          <w:noProof/>
          <w:lang w:val="fr-FR" w:eastAsia="es-ES"/>
        </w:rPr>
      </w:pPr>
    </w:p>
    <w:p>
      <w:pPr>
        <w:spacing w:line="240" w:lineRule="auto"/>
        <w:rPr>
          <w:i/>
          <w:noProof/>
          <w:lang w:val="fr-FR" w:eastAsia="es-ES"/>
        </w:rPr>
      </w:pPr>
      <w:r>
        <w:rPr>
          <w:noProof/>
          <w:lang w:val="fr-CA" w:eastAsia="es-ES"/>
        </w:rPr>
        <w:t>Autorités compétentes du Canada</w:t>
      </w:r>
    </w:p>
    <w:p>
      <w:pPr>
        <w:spacing w:line="240" w:lineRule="auto"/>
        <w:ind w:left="567" w:hanging="567"/>
        <w:rPr>
          <w:noProof/>
          <w:color w:val="000000"/>
          <w:lang w:val="fr-FR" w:eastAsia="es-ES"/>
        </w:rPr>
      </w:pPr>
    </w:p>
    <w:p>
      <w:pPr>
        <w:spacing w:line="240" w:lineRule="auto"/>
        <w:ind w:left="567" w:hanging="567"/>
        <w:rPr>
          <w:noProof/>
          <w:color w:val="000000"/>
          <w:lang w:val="fr-FR" w:eastAsia="es-ES"/>
        </w:rPr>
      </w:pPr>
      <w:r>
        <w:rPr>
          <w:noProof/>
          <w:color w:val="000000"/>
          <w:lang w:val="fr-FR" w:eastAsia="es-ES"/>
        </w:rPr>
        <w:t>2.</w:t>
      </w:r>
      <w:r>
        <w:rPr>
          <w:noProof/>
          <w:color w:val="000000"/>
          <w:lang w:val="fr-FR" w:eastAsia="es-ES"/>
        </w:rPr>
        <w:tab/>
      </w:r>
      <w:r>
        <w:rPr>
          <w:noProof/>
          <w:color w:val="000000"/>
          <w:lang w:val="fr-CA" w:eastAsia="es-ES"/>
        </w:rPr>
        <w:t>Sauf indication contraire, s</w:t>
      </w:r>
      <w:r>
        <w:rPr>
          <w:noProof/>
          <w:lang w:val="fr-CA" w:eastAsia="es-ES"/>
        </w:rPr>
        <w:t>ont responsables de l’application des</w:t>
      </w:r>
      <w:r>
        <w:rPr>
          <w:noProof/>
          <w:color w:val="000000"/>
          <w:lang w:val="fr-CA" w:eastAsia="es-ES"/>
        </w:rPr>
        <w:t xml:space="preserve"> mesures </w:t>
      </w:r>
      <w:r>
        <w:rPr>
          <w:noProof/>
          <w:lang w:val="fr-CA" w:eastAsia="es-ES"/>
        </w:rPr>
        <w:t>SPS</w:t>
      </w:r>
      <w:r>
        <w:rPr>
          <w:noProof/>
          <w:color w:val="000000"/>
          <w:lang w:val="fr-CA" w:eastAsia="es-ES"/>
        </w:rPr>
        <w:t xml:space="preserve"> relatives aux </w:t>
      </w:r>
      <w:r>
        <w:rPr>
          <w:noProof/>
          <w:lang w:val="fr-CA" w:eastAsia="es-ES"/>
        </w:rPr>
        <w:t>animaux, aux produits d’origine animale, aux végétaux et aux produits d’origine végétale produits au pays, exportés et importés, et de la délivrance des certificats sanitaires attestant</w:t>
      </w:r>
      <w:r>
        <w:rPr>
          <w:noProof/>
          <w:color w:val="000000"/>
          <w:lang w:val="fr-CA" w:eastAsia="es-ES"/>
        </w:rPr>
        <w:t xml:space="preserve"> du respect des mesures </w:t>
      </w:r>
      <w:r>
        <w:rPr>
          <w:noProof/>
          <w:lang w:val="fr-CA" w:eastAsia="es-ES"/>
        </w:rPr>
        <w:t>SPS convenues </w:t>
      </w:r>
      <w:r>
        <w:rPr>
          <w:noProof/>
          <w:color w:val="000000"/>
          <w:lang w:val="fr-FR" w:eastAsia="es-ES"/>
        </w:rPr>
        <w:t>:</w:t>
      </w:r>
    </w:p>
    <w:p>
      <w:pPr>
        <w:spacing w:line="240" w:lineRule="auto"/>
        <w:ind w:left="1134" w:hanging="567"/>
        <w:rPr>
          <w:noProof/>
          <w:color w:val="000000"/>
          <w:lang w:val="fr-FR" w:eastAsia="es-ES"/>
        </w:rPr>
      </w:pPr>
    </w:p>
    <w:p>
      <w:pPr>
        <w:spacing w:line="240" w:lineRule="auto"/>
        <w:ind w:left="1134" w:hanging="567"/>
        <w:rPr>
          <w:rFonts w:eastAsiaTheme="minorHAnsi"/>
          <w:noProof/>
          <w:lang w:val="fr-FR" w:eastAsia="es-ES"/>
        </w:rPr>
      </w:pPr>
      <w:r>
        <w:rPr>
          <w:noProof/>
          <w:color w:val="000000"/>
          <w:lang w:val="fr-FR" w:eastAsia="es-ES"/>
        </w:rPr>
        <w:t>a)</w:t>
      </w:r>
      <w:r>
        <w:rPr>
          <w:noProof/>
          <w:color w:val="000000"/>
          <w:lang w:val="fr-FR" w:eastAsia="es-ES"/>
        </w:rPr>
        <w:tab/>
      </w:r>
      <w:r>
        <w:rPr>
          <w:noProof/>
          <w:lang w:val="fr-CA" w:eastAsia="es-ES"/>
        </w:rPr>
        <w:t>l’Agence canadienne d’inspection des aliments (l’« ACIA »)</w:t>
      </w:r>
      <w:r>
        <w:rPr>
          <w:rFonts w:eastAsiaTheme="minorHAnsi"/>
          <w:noProof/>
          <w:lang w:val="fr-FR" w:eastAsia="es-ES"/>
        </w:rPr>
        <w:t>;</w:t>
      </w:r>
    </w:p>
    <w:p>
      <w:pPr>
        <w:spacing w:line="240" w:lineRule="auto"/>
        <w:ind w:left="1134" w:hanging="567"/>
        <w:rPr>
          <w:rFonts w:eastAsiaTheme="minorHAnsi"/>
          <w:noProof/>
          <w:lang w:val="fr-FR" w:eastAsia="es-ES"/>
        </w:rPr>
      </w:pPr>
    </w:p>
    <w:p>
      <w:pPr>
        <w:spacing w:line="240" w:lineRule="auto"/>
        <w:ind w:left="1134" w:hanging="567"/>
        <w:rPr>
          <w:rFonts w:eastAsiaTheme="minorHAnsi"/>
          <w:noProof/>
          <w:lang w:val="fr-FR" w:eastAsia="es-ES"/>
        </w:rPr>
      </w:pPr>
      <w:r>
        <w:rPr>
          <w:rFonts w:eastAsiaTheme="minorHAnsi"/>
          <w:noProof/>
          <w:lang w:val="fr-FR" w:eastAsia="es-ES"/>
        </w:rPr>
        <w:t>b)</w:t>
      </w:r>
      <w:r>
        <w:rPr>
          <w:rFonts w:eastAsiaTheme="minorHAnsi"/>
          <w:noProof/>
          <w:lang w:val="fr-FR" w:eastAsia="es-ES"/>
        </w:rPr>
        <w:tab/>
      </w:r>
      <w:r>
        <w:rPr>
          <w:noProof/>
          <w:lang w:val="fr-CA" w:eastAsia="es-ES"/>
        </w:rPr>
        <w:t>le ministère de la Santé, le cas échéant; ou</w:t>
      </w:r>
    </w:p>
    <w:p>
      <w:pPr>
        <w:spacing w:line="240" w:lineRule="auto"/>
        <w:ind w:left="1134" w:hanging="567"/>
        <w:rPr>
          <w:rFonts w:eastAsiaTheme="minorHAnsi"/>
          <w:noProof/>
          <w:lang w:val="fr-FR" w:eastAsia="es-ES"/>
        </w:rPr>
      </w:pPr>
    </w:p>
    <w:p>
      <w:pPr>
        <w:spacing w:line="240" w:lineRule="auto"/>
        <w:ind w:left="1134" w:hanging="567"/>
        <w:rPr>
          <w:noProof/>
          <w:color w:val="000000"/>
          <w:lang w:val="fr-FR" w:eastAsia="es-ES"/>
        </w:rPr>
      </w:pPr>
      <w:r>
        <w:rPr>
          <w:rFonts w:eastAsiaTheme="minorHAnsi"/>
          <w:noProof/>
          <w:lang w:val="fr-FR" w:eastAsia="es-ES"/>
        </w:rPr>
        <w:t>c)</w:t>
      </w:r>
      <w:r>
        <w:rPr>
          <w:rFonts w:eastAsiaTheme="minorHAnsi"/>
          <w:noProof/>
          <w:lang w:val="fr-FR" w:eastAsia="es-ES"/>
        </w:rPr>
        <w:tab/>
      </w:r>
      <w:r>
        <w:rPr>
          <w:noProof/>
          <w:lang w:val="fr-CA" w:eastAsia="es-ES"/>
        </w:rPr>
        <w:t>une entité qui pourrait leur succéder et dont la notification est faite à l’autre Partie</w:t>
      </w:r>
      <w:r>
        <w:rPr>
          <w:noProof/>
          <w:color w:val="000000"/>
          <w:lang w:val="fr-FR" w:eastAsia="es-ES"/>
        </w:rPr>
        <w:t>.</w:t>
      </w:r>
    </w:p>
    <w:p>
      <w:pPr>
        <w:widowControl/>
        <w:spacing w:line="240" w:lineRule="auto"/>
        <w:ind w:left="1417" w:hanging="567"/>
        <w:jc w:val="both"/>
        <w:rPr>
          <w:noProof/>
          <w:color w:val="000000"/>
          <w:lang w:val="fr-FR" w:eastAsia="es-ES"/>
        </w:rPr>
      </w:pPr>
    </w:p>
    <w:p>
      <w:pPr>
        <w:widowControl/>
        <w:spacing w:line="240" w:lineRule="auto"/>
        <w:ind w:left="1417" w:hanging="567"/>
        <w:jc w:val="both"/>
        <w:rPr>
          <w:noProof/>
          <w:color w:val="000000"/>
          <w:lang w:val="fr-FR" w:eastAsia="es-ES"/>
        </w:rPr>
      </w:pPr>
    </w:p>
    <w:p>
      <w:pPr>
        <w:widowControl/>
        <w:spacing w:line="240" w:lineRule="auto"/>
        <w:rPr>
          <w:b/>
          <w:noProof/>
          <w:snapToGrid w:val="0"/>
          <w:szCs w:val="24"/>
          <w:u w:val="single"/>
          <w:lang w:val="fr-FR" w:eastAsia="en-US"/>
        </w:rPr>
      </w:pPr>
      <w:r>
        <w:rPr>
          <w:b/>
          <w:noProof/>
          <w:snapToGrid w:val="0"/>
          <w:szCs w:val="24"/>
          <w:u w:val="single"/>
          <w:lang w:val="fr-FR" w:eastAsia="en-US"/>
        </w:rPr>
        <w:br w:type="page"/>
      </w:r>
    </w:p>
    <w:p>
      <w:pPr>
        <w:spacing w:line="240" w:lineRule="auto"/>
        <w:jc w:val="center"/>
        <w:rPr>
          <w:b/>
          <w:bCs/>
          <w:noProof/>
          <w:snapToGrid w:val="0"/>
          <w:u w:val="single"/>
          <w:lang w:val="fr-FR" w:eastAsia="en-US"/>
        </w:rPr>
      </w:pPr>
      <w:r>
        <w:rPr>
          <w:b/>
          <w:noProof/>
          <w:snapToGrid w:val="0"/>
          <w:szCs w:val="24"/>
          <w:u w:val="single"/>
          <w:lang w:val="fr-FR"/>
        </w:rPr>
        <w:t>ANNEXE </w:t>
      </w:r>
      <w:r>
        <w:rPr>
          <w:b/>
          <w:noProof/>
          <w:snapToGrid w:val="0"/>
          <w:u w:val="single"/>
          <w:lang w:val="fr-FR"/>
        </w:rPr>
        <w:t>5-B</w:t>
      </w:r>
    </w:p>
    <w:p>
      <w:pPr>
        <w:spacing w:line="240" w:lineRule="auto"/>
        <w:rPr>
          <w:noProof/>
          <w:snapToGrid w:val="0"/>
          <w:lang w:val="fr-FR" w:eastAsia="en-US"/>
        </w:rPr>
      </w:pPr>
    </w:p>
    <w:p>
      <w:pPr>
        <w:spacing w:line="240" w:lineRule="auto"/>
        <w:rPr>
          <w:noProof/>
          <w:snapToGrid w:val="0"/>
          <w:lang w:val="fr-FR" w:eastAsia="en-US"/>
        </w:rPr>
      </w:pPr>
    </w:p>
    <w:p>
      <w:pPr>
        <w:spacing w:line="240" w:lineRule="auto"/>
        <w:jc w:val="center"/>
        <w:rPr>
          <w:b/>
          <w:bCs/>
          <w:noProof/>
          <w:snapToGrid w:val="0"/>
          <w:lang w:val="fr-FR" w:eastAsia="en-US"/>
        </w:rPr>
      </w:pPr>
      <w:r>
        <w:rPr>
          <w:b/>
          <w:noProof/>
          <w:snapToGrid w:val="0"/>
          <w:lang w:val="fr-CA"/>
        </w:rPr>
        <w:t>CONDITIONS RÉGIONALES</w:t>
      </w:r>
    </w:p>
    <w:p>
      <w:pPr>
        <w:spacing w:line="240" w:lineRule="auto"/>
        <w:jc w:val="center"/>
        <w:rPr>
          <w:noProof/>
          <w:snapToGrid w:val="0"/>
          <w:lang w:val="fr-FR" w:eastAsia="en-US"/>
        </w:rPr>
      </w:pPr>
    </w:p>
    <w:p>
      <w:pPr>
        <w:spacing w:line="240" w:lineRule="auto"/>
        <w:rPr>
          <w:noProof/>
          <w:lang w:val="fr-FR" w:eastAsia="es-ES"/>
        </w:rPr>
      </w:pPr>
      <w:r>
        <w:rPr>
          <w:noProof/>
          <w:lang w:val="fr-CA" w:eastAsia="es-ES"/>
        </w:rPr>
        <w:t>Maladies pour lesquelles des décisions de régionalisation peuvent être prises </w:t>
      </w:r>
      <w:r>
        <w:rPr>
          <w:noProof/>
          <w:lang w:val="fr-FR" w:eastAsia="es-ES"/>
        </w:rPr>
        <w:t>:</w:t>
      </w:r>
    </w:p>
    <w:p>
      <w:pPr>
        <w:spacing w:line="240" w:lineRule="auto"/>
        <w:rPr>
          <w:noProof/>
          <w:lang w:val="fr-FR" w:eastAsia="es-ES"/>
        </w:rPr>
      </w:pPr>
    </w:p>
    <w:p>
      <w:pPr>
        <w:spacing w:line="240" w:lineRule="auto"/>
        <w:rPr>
          <w:i/>
          <w:noProof/>
          <w:lang w:val="fr-FR" w:eastAsia="es-ES"/>
        </w:rPr>
      </w:pPr>
      <w:r>
        <w:rPr>
          <w:i/>
          <w:noProof/>
          <w:szCs w:val="24"/>
          <w:lang w:val="fr-CA" w:eastAsia="es-ES"/>
        </w:rPr>
        <w:t>Maladies</w:t>
      </w:r>
    </w:p>
    <w:p>
      <w:pPr>
        <w:spacing w:line="240" w:lineRule="auto"/>
        <w:rPr>
          <w:i/>
          <w:noProof/>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w:t>
      </w:r>
      <w:r>
        <w:rPr>
          <w:rFonts w:eastAsiaTheme="minorHAnsi"/>
          <w:noProof/>
          <w:szCs w:val="22"/>
          <w:lang w:val="fr-FR" w:eastAsia="es-ES"/>
        </w:rPr>
        <w:tab/>
      </w:r>
      <w:r>
        <w:rPr>
          <w:noProof/>
          <w:lang w:val="fr-CA" w:eastAsia="es-ES"/>
        </w:rPr>
        <w:t>Fièvre aphteuse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2.</w:t>
      </w:r>
      <w:r>
        <w:rPr>
          <w:rFonts w:eastAsiaTheme="minorHAnsi"/>
          <w:noProof/>
          <w:szCs w:val="22"/>
          <w:lang w:val="fr-FR" w:eastAsia="es-ES"/>
        </w:rPr>
        <w:tab/>
      </w:r>
      <w:r>
        <w:rPr>
          <w:noProof/>
          <w:lang w:val="fr-CA" w:eastAsia="es-ES"/>
        </w:rPr>
        <w:t>Stomatite vésiculeuse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BE" w:eastAsia="es-ES"/>
        </w:rPr>
      </w:pPr>
      <w:r>
        <w:rPr>
          <w:rFonts w:eastAsiaTheme="minorHAnsi"/>
          <w:noProof/>
          <w:szCs w:val="22"/>
          <w:lang w:val="fr-BE" w:eastAsia="es-ES"/>
        </w:rPr>
        <w:t>3.</w:t>
      </w:r>
      <w:r>
        <w:rPr>
          <w:rFonts w:eastAsiaTheme="minorHAnsi"/>
          <w:noProof/>
          <w:szCs w:val="22"/>
          <w:lang w:val="fr-BE" w:eastAsia="es-ES"/>
        </w:rPr>
        <w:tab/>
      </w:r>
      <w:r>
        <w:rPr>
          <w:noProof/>
          <w:lang w:val="fr-CA" w:eastAsia="es-ES"/>
        </w:rPr>
        <w:t>Maladie vésiculeuse du porc</w:t>
      </w:r>
    </w:p>
    <w:p>
      <w:pPr>
        <w:spacing w:line="240" w:lineRule="auto"/>
        <w:ind w:left="567" w:hanging="567"/>
        <w:rPr>
          <w:rFonts w:eastAsiaTheme="minorHAnsi"/>
          <w:noProof/>
          <w:szCs w:val="22"/>
          <w:lang w:val="fr-BE" w:eastAsia="es-ES"/>
        </w:rPr>
      </w:pPr>
    </w:p>
    <w:p>
      <w:pPr>
        <w:spacing w:line="240" w:lineRule="auto"/>
        <w:ind w:left="567" w:hanging="567"/>
        <w:rPr>
          <w:rFonts w:eastAsiaTheme="minorHAnsi"/>
          <w:noProof/>
          <w:szCs w:val="22"/>
          <w:lang w:val="fr-BE" w:eastAsia="es-ES"/>
        </w:rPr>
      </w:pPr>
      <w:r>
        <w:rPr>
          <w:rFonts w:eastAsiaTheme="minorHAnsi"/>
          <w:noProof/>
          <w:szCs w:val="22"/>
          <w:lang w:val="fr-BE" w:eastAsia="es-ES"/>
        </w:rPr>
        <w:t>4.</w:t>
      </w:r>
      <w:r>
        <w:rPr>
          <w:rFonts w:eastAsiaTheme="minorHAnsi"/>
          <w:noProof/>
          <w:szCs w:val="22"/>
          <w:lang w:val="fr-BE" w:eastAsia="es-ES"/>
        </w:rPr>
        <w:tab/>
      </w:r>
      <w:r>
        <w:rPr>
          <w:noProof/>
          <w:lang w:val="fr-CA" w:eastAsia="es-ES"/>
        </w:rPr>
        <w:t>Peste bovine</w:t>
      </w:r>
    </w:p>
    <w:p>
      <w:pPr>
        <w:spacing w:line="240" w:lineRule="auto"/>
        <w:ind w:left="567" w:hanging="567"/>
        <w:rPr>
          <w:rFonts w:eastAsiaTheme="minorHAnsi"/>
          <w:noProof/>
          <w:szCs w:val="22"/>
          <w:lang w:val="fr-BE" w:eastAsia="es-ES"/>
        </w:rPr>
      </w:pPr>
    </w:p>
    <w:p>
      <w:pPr>
        <w:spacing w:line="240" w:lineRule="auto"/>
        <w:ind w:left="567" w:hanging="567"/>
        <w:rPr>
          <w:rFonts w:eastAsiaTheme="minorHAnsi"/>
          <w:noProof/>
          <w:szCs w:val="22"/>
          <w:lang w:val="fr-BE" w:eastAsia="es-ES"/>
        </w:rPr>
      </w:pPr>
      <w:r>
        <w:rPr>
          <w:rFonts w:eastAsiaTheme="minorHAnsi"/>
          <w:noProof/>
          <w:szCs w:val="22"/>
          <w:lang w:val="fr-BE" w:eastAsia="es-ES"/>
        </w:rPr>
        <w:t>5.</w:t>
      </w:r>
      <w:r>
        <w:rPr>
          <w:rFonts w:eastAsiaTheme="minorHAnsi"/>
          <w:noProof/>
          <w:szCs w:val="22"/>
          <w:lang w:val="fr-BE" w:eastAsia="es-ES"/>
        </w:rPr>
        <w:tab/>
        <w:t>Peste des petits ruminants</w:t>
      </w:r>
    </w:p>
    <w:p>
      <w:pPr>
        <w:spacing w:line="240" w:lineRule="auto"/>
        <w:ind w:left="567" w:hanging="567"/>
        <w:rPr>
          <w:rFonts w:eastAsiaTheme="minorHAnsi"/>
          <w:noProof/>
          <w:szCs w:val="22"/>
          <w:lang w:val="fr-BE"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6.</w:t>
      </w:r>
      <w:r>
        <w:rPr>
          <w:rFonts w:eastAsiaTheme="minorHAnsi"/>
          <w:noProof/>
          <w:szCs w:val="22"/>
          <w:lang w:val="fr-FR" w:eastAsia="es-ES"/>
        </w:rPr>
        <w:tab/>
      </w:r>
      <w:r>
        <w:rPr>
          <w:noProof/>
          <w:lang w:val="fr-CA" w:eastAsia="es-ES"/>
        </w:rPr>
        <w:t>Péripneumonie contagieuse bovine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7.</w:t>
      </w:r>
      <w:r>
        <w:rPr>
          <w:rFonts w:eastAsiaTheme="minorHAnsi"/>
          <w:noProof/>
          <w:szCs w:val="22"/>
          <w:lang w:val="fr-FR" w:eastAsia="es-ES"/>
        </w:rPr>
        <w:tab/>
      </w:r>
      <w:r>
        <w:rPr>
          <w:noProof/>
          <w:lang w:val="fr-CA" w:eastAsia="es-ES"/>
        </w:rPr>
        <w:t>Dermatose nodulaire contagieuse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8.</w:t>
      </w:r>
      <w:r>
        <w:rPr>
          <w:rFonts w:eastAsiaTheme="minorHAnsi"/>
          <w:noProof/>
          <w:szCs w:val="22"/>
          <w:lang w:val="fr-FR" w:eastAsia="es-ES"/>
        </w:rPr>
        <w:tab/>
      </w:r>
      <w:r>
        <w:rPr>
          <w:noProof/>
          <w:lang w:val="fr-CA" w:eastAsia="es-ES"/>
        </w:rPr>
        <w:t>Fièvre de la vallée du Rift</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9.</w:t>
      </w:r>
      <w:r>
        <w:rPr>
          <w:rFonts w:eastAsiaTheme="minorHAnsi"/>
          <w:noProof/>
          <w:szCs w:val="22"/>
          <w:lang w:val="fr-FR" w:eastAsia="es-ES"/>
        </w:rPr>
        <w:tab/>
      </w:r>
      <w:r>
        <w:rPr>
          <w:noProof/>
          <w:lang w:val="fr-CA" w:eastAsia="es-ES"/>
        </w:rPr>
        <w:t>Fièvre catarrhale du mouton</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10.</w:t>
      </w:r>
      <w:r>
        <w:rPr>
          <w:rFonts w:eastAsiaTheme="minorHAnsi"/>
          <w:noProof/>
          <w:szCs w:val="22"/>
          <w:lang w:val="fr-FR" w:eastAsia="es-ES"/>
        </w:rPr>
        <w:tab/>
      </w:r>
      <w:r>
        <w:rPr>
          <w:noProof/>
          <w:lang w:val="fr-CA" w:eastAsia="es-ES"/>
        </w:rPr>
        <w:t>Clavelée et variole caprine</w:t>
      </w:r>
    </w:p>
    <w:p>
      <w:pPr>
        <w:spacing w:line="240" w:lineRule="auto"/>
        <w:ind w:left="567" w:hanging="567"/>
        <w:rPr>
          <w:rFonts w:eastAsiaTheme="minorHAnsi"/>
          <w:noProof/>
          <w:szCs w:val="22"/>
          <w:lang w:val="fr-FR" w:eastAsia="es-ES"/>
        </w:rPr>
      </w:pPr>
    </w:p>
    <w:p>
      <w:pPr>
        <w:widowControl/>
        <w:spacing w:line="240" w:lineRule="auto"/>
        <w:rPr>
          <w:rFonts w:eastAsiaTheme="minorHAnsi"/>
          <w:noProof/>
          <w:szCs w:val="22"/>
          <w:lang w:val="fr-FR" w:eastAsia="es-ES"/>
        </w:rPr>
      </w:pPr>
      <w:r>
        <w:rPr>
          <w:rFonts w:eastAsiaTheme="minorHAnsi"/>
          <w:noProof/>
          <w:szCs w:val="22"/>
          <w:lang w:val="fr-FR" w:eastAsia="es-ES"/>
        </w:rPr>
        <w:br w:type="page"/>
      </w:r>
    </w:p>
    <w:p>
      <w:pPr>
        <w:spacing w:line="240" w:lineRule="auto"/>
        <w:ind w:left="567" w:hanging="567"/>
        <w:rPr>
          <w:rFonts w:eastAsiaTheme="minorHAnsi"/>
          <w:noProof/>
          <w:szCs w:val="22"/>
          <w:lang w:val="fr-FR" w:eastAsia="es-ES"/>
        </w:rPr>
      </w:pPr>
      <w:r>
        <w:rPr>
          <w:rFonts w:eastAsiaTheme="minorHAnsi"/>
          <w:noProof/>
          <w:szCs w:val="22"/>
          <w:lang w:val="fr-FR" w:eastAsia="es-ES"/>
        </w:rPr>
        <w:t>11.</w:t>
      </w:r>
      <w:r>
        <w:rPr>
          <w:rFonts w:eastAsiaTheme="minorHAnsi"/>
          <w:noProof/>
          <w:szCs w:val="22"/>
          <w:lang w:val="fr-FR" w:eastAsia="es-ES"/>
        </w:rPr>
        <w:tab/>
      </w:r>
      <w:r>
        <w:rPr>
          <w:noProof/>
          <w:lang w:val="fr-CA" w:eastAsia="es-ES"/>
        </w:rPr>
        <w:t>Peste équine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12.</w:t>
      </w:r>
      <w:r>
        <w:rPr>
          <w:rFonts w:eastAsiaTheme="minorHAnsi"/>
          <w:noProof/>
          <w:szCs w:val="22"/>
          <w:lang w:val="fr-FR" w:eastAsia="es-ES"/>
        </w:rPr>
        <w:tab/>
      </w:r>
      <w:r>
        <w:rPr>
          <w:noProof/>
          <w:lang w:val="fr-CA" w:eastAsia="es-ES"/>
        </w:rPr>
        <w:t>Peste porcine africaine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13.</w:t>
      </w:r>
      <w:r>
        <w:rPr>
          <w:rFonts w:eastAsiaTheme="minorHAnsi"/>
          <w:noProof/>
          <w:szCs w:val="22"/>
          <w:lang w:val="fr-FR" w:eastAsia="es-ES"/>
        </w:rPr>
        <w:tab/>
      </w:r>
      <w:r>
        <w:rPr>
          <w:noProof/>
          <w:lang w:val="fr-CA" w:eastAsia="es-ES"/>
        </w:rPr>
        <w:t>Peste porcine classique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14.</w:t>
      </w:r>
      <w:r>
        <w:rPr>
          <w:rFonts w:eastAsiaTheme="minorHAnsi"/>
          <w:noProof/>
          <w:szCs w:val="22"/>
          <w:lang w:val="fr-FR" w:eastAsia="es-ES"/>
        </w:rPr>
        <w:tab/>
      </w:r>
      <w:r>
        <w:rPr>
          <w:noProof/>
          <w:lang w:val="fr-CA" w:eastAsia="es-ES"/>
        </w:rPr>
        <w:t>Influenza aviaire à déclaration obligatoire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15.</w:t>
      </w:r>
      <w:r>
        <w:rPr>
          <w:rFonts w:eastAsiaTheme="minorHAnsi"/>
          <w:noProof/>
          <w:szCs w:val="22"/>
          <w:lang w:val="fr-FR" w:eastAsia="es-ES"/>
        </w:rPr>
        <w:tab/>
      </w:r>
      <w:r>
        <w:rPr>
          <w:noProof/>
          <w:lang w:val="fr-CA" w:eastAsia="es-ES"/>
        </w:rPr>
        <w:t>Maladie de Newcastle</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16.</w:t>
      </w:r>
      <w:r>
        <w:rPr>
          <w:rFonts w:eastAsiaTheme="minorHAnsi"/>
          <w:noProof/>
          <w:szCs w:val="22"/>
          <w:lang w:val="fr-FR" w:eastAsia="es-ES"/>
        </w:rPr>
        <w:tab/>
      </w:r>
      <w:r>
        <w:rPr>
          <w:noProof/>
          <w:lang w:val="fr-CA" w:eastAsia="es-ES"/>
        </w:rPr>
        <w:t>Encéphalomyélite équine du Venezuela</w:t>
      </w:r>
    </w:p>
    <w:p>
      <w:pPr>
        <w:spacing w:line="240" w:lineRule="auto"/>
        <w:ind w:left="567" w:hanging="567"/>
        <w:rPr>
          <w:rFonts w:eastAsiaTheme="minorHAnsi"/>
          <w:noProof/>
          <w:szCs w:val="22"/>
          <w:lang w:val="fr-FR" w:eastAsia="es-ES"/>
        </w:rPr>
      </w:pPr>
    </w:p>
    <w:p>
      <w:pPr>
        <w:spacing w:line="240" w:lineRule="auto"/>
        <w:ind w:left="567" w:hanging="567"/>
        <w:rPr>
          <w:rFonts w:eastAsiaTheme="minorHAnsi"/>
          <w:noProof/>
          <w:szCs w:val="22"/>
          <w:lang w:val="fr-FR" w:eastAsia="es-ES"/>
        </w:rPr>
      </w:pPr>
      <w:r>
        <w:rPr>
          <w:rFonts w:eastAsiaTheme="minorHAnsi"/>
          <w:noProof/>
          <w:szCs w:val="22"/>
          <w:lang w:val="fr-FR" w:eastAsia="es-ES"/>
        </w:rPr>
        <w:t>17.</w:t>
      </w:r>
      <w:r>
        <w:rPr>
          <w:rFonts w:eastAsiaTheme="minorHAnsi"/>
          <w:noProof/>
          <w:szCs w:val="22"/>
          <w:lang w:val="fr-FR" w:eastAsia="es-ES"/>
        </w:rPr>
        <w:tab/>
      </w:r>
      <w:r>
        <w:rPr>
          <w:noProof/>
          <w:lang w:val="fr-CA" w:eastAsia="es-ES"/>
        </w:rPr>
        <w:t>Maladie hémorragique épizootique</w:t>
      </w:r>
    </w:p>
    <w:p>
      <w:pPr>
        <w:spacing w:line="240" w:lineRule="auto"/>
        <w:ind w:left="567" w:hanging="567"/>
        <w:rPr>
          <w:rFonts w:eastAsiaTheme="minorHAnsi"/>
          <w:noProof/>
          <w:szCs w:val="22"/>
          <w:lang w:val="fr-FR" w:eastAsia="es-ES"/>
        </w:rPr>
      </w:pPr>
    </w:p>
    <w:p>
      <w:pPr>
        <w:spacing w:line="240" w:lineRule="auto"/>
        <w:rPr>
          <w:i/>
          <w:noProof/>
          <w:lang w:val="fr-FR" w:eastAsia="es-ES"/>
        </w:rPr>
      </w:pPr>
      <w:r>
        <w:rPr>
          <w:i/>
          <w:noProof/>
          <w:lang w:val="fr-CA" w:eastAsia="es-ES"/>
        </w:rPr>
        <w:t>Maladies affectant les animaux aquatiques</w:t>
      </w:r>
    </w:p>
    <w:p>
      <w:pPr>
        <w:spacing w:line="240" w:lineRule="auto"/>
        <w:rPr>
          <w:i/>
          <w:noProof/>
          <w:lang w:val="fr-FR" w:eastAsia="es-ES"/>
        </w:rPr>
      </w:pPr>
    </w:p>
    <w:p>
      <w:pPr>
        <w:spacing w:line="240" w:lineRule="auto"/>
        <w:rPr>
          <w:noProof/>
          <w:lang w:val="fr-FR" w:eastAsia="es-ES"/>
        </w:rPr>
      </w:pPr>
      <w:r>
        <w:rPr>
          <w:noProof/>
          <w:szCs w:val="24"/>
          <w:lang w:val="fr-CA" w:eastAsia="es-ES"/>
        </w:rPr>
        <w:t>Les Parties peuvent discuter de la liste des maladies des animaux aquatiques sur la base du Code sanitaire pour les animaux aquatiques de l’OIE</w:t>
      </w:r>
      <w:r>
        <w:rPr>
          <w:noProof/>
          <w:lang w:val="fr-FR" w:eastAsia="es-ES"/>
        </w:rPr>
        <w:t>.</w:t>
      </w:r>
    </w:p>
    <w:p>
      <w:pPr>
        <w:spacing w:line="240" w:lineRule="auto"/>
        <w:rPr>
          <w:noProof/>
          <w:lang w:val="fr-FR" w:eastAsia="es-ES"/>
        </w:rPr>
      </w:pPr>
    </w:p>
    <w:p>
      <w:pPr>
        <w:spacing w:line="240" w:lineRule="auto"/>
        <w:rPr>
          <w:noProof/>
          <w:lang w:val="fr-FR" w:eastAsia="es-ES"/>
        </w:rPr>
      </w:pPr>
    </w:p>
    <w:p>
      <w:pPr>
        <w:widowControl/>
        <w:spacing w:line="240" w:lineRule="auto"/>
        <w:rPr>
          <w:b/>
          <w:noProof/>
          <w:snapToGrid w:val="0"/>
          <w:color w:val="000000"/>
          <w:u w:val="single"/>
          <w:lang w:val="fr-FR" w:eastAsia="en-US"/>
        </w:rPr>
      </w:pPr>
      <w:r>
        <w:rPr>
          <w:b/>
          <w:noProof/>
          <w:snapToGrid w:val="0"/>
          <w:color w:val="000000"/>
          <w:u w:val="single"/>
          <w:lang w:val="fr-FR" w:eastAsia="en-US"/>
        </w:rPr>
        <w:br w:type="page"/>
      </w:r>
    </w:p>
    <w:p>
      <w:pPr>
        <w:spacing w:line="240" w:lineRule="auto"/>
        <w:jc w:val="center"/>
        <w:rPr>
          <w:b/>
          <w:bCs/>
          <w:noProof/>
          <w:snapToGrid w:val="0"/>
          <w:u w:val="single"/>
          <w:lang w:val="fr-FR" w:eastAsia="en-US"/>
        </w:rPr>
      </w:pPr>
      <w:r>
        <w:rPr>
          <w:b/>
          <w:noProof/>
          <w:snapToGrid w:val="0"/>
          <w:color w:val="000000"/>
          <w:u w:val="single"/>
          <w:lang w:val="fr-CA"/>
        </w:rPr>
        <w:t>ANNEXE 5-C</w:t>
      </w:r>
    </w:p>
    <w:p>
      <w:pPr>
        <w:spacing w:line="240" w:lineRule="auto"/>
        <w:jc w:val="center"/>
        <w:rPr>
          <w:noProof/>
          <w:snapToGrid w:val="0"/>
          <w:lang w:val="fr-FR" w:eastAsia="en-US"/>
        </w:rPr>
      </w:pPr>
    </w:p>
    <w:p>
      <w:pPr>
        <w:spacing w:line="240" w:lineRule="auto"/>
        <w:jc w:val="center"/>
        <w:rPr>
          <w:noProof/>
          <w:snapToGrid w:val="0"/>
          <w:lang w:val="fr-FR" w:eastAsia="en-US"/>
        </w:rPr>
      </w:pPr>
    </w:p>
    <w:p>
      <w:pPr>
        <w:spacing w:line="240" w:lineRule="auto"/>
        <w:jc w:val="center"/>
        <w:rPr>
          <w:b/>
          <w:bCs/>
          <w:noProof/>
          <w:snapToGrid w:val="0"/>
          <w:lang w:val="fr-FR" w:eastAsia="en-US"/>
        </w:rPr>
      </w:pPr>
      <w:r>
        <w:rPr>
          <w:b/>
          <w:noProof/>
          <w:snapToGrid w:val="0"/>
          <w:lang w:val="fr-CA"/>
        </w:rPr>
        <w:t>PROCESSUS DE RECONNAISSANCE DES CONDITIONS RÉGIONALES</w:t>
      </w:r>
    </w:p>
    <w:p>
      <w:pPr>
        <w:spacing w:line="240" w:lineRule="auto"/>
        <w:jc w:val="center"/>
        <w:rPr>
          <w:noProof/>
          <w:snapToGrid w:val="0"/>
          <w:lang w:val="fr-FR" w:eastAsia="en-US"/>
        </w:rPr>
      </w:pPr>
    </w:p>
    <w:p>
      <w:pPr>
        <w:spacing w:line="240" w:lineRule="auto"/>
        <w:rPr>
          <w:i/>
          <w:noProof/>
          <w:snapToGrid w:val="0"/>
          <w:lang w:val="fr-FR" w:eastAsia="en-US"/>
        </w:rPr>
      </w:pPr>
      <w:r>
        <w:rPr>
          <w:i/>
          <w:noProof/>
          <w:snapToGrid w:val="0"/>
          <w:lang w:val="fr-CA"/>
        </w:rPr>
        <w:t>Maladies animales</w:t>
      </w:r>
    </w:p>
    <w:p>
      <w:pPr>
        <w:spacing w:line="240" w:lineRule="auto"/>
        <w:rPr>
          <w:noProof/>
          <w:snapToGrid w:val="0"/>
          <w:lang w:val="fr-FR" w:eastAsia="en-US"/>
        </w:rPr>
      </w:pPr>
    </w:p>
    <w:p>
      <w:pPr>
        <w:spacing w:line="240" w:lineRule="auto"/>
        <w:rPr>
          <w:noProof/>
          <w:lang w:val="fr-FR" w:eastAsia="es-ES"/>
        </w:rPr>
      </w:pPr>
      <w:r>
        <w:rPr>
          <w:noProof/>
          <w:lang w:val="fr-CA" w:eastAsia="es-ES"/>
        </w:rPr>
        <w:t>À convenir ultérieurement</w:t>
      </w:r>
      <w:r>
        <w:rPr>
          <w:noProof/>
          <w:lang w:val="fr-FR" w:eastAsia="es-ES"/>
        </w:rPr>
        <w:t>.</w:t>
      </w:r>
    </w:p>
    <w:p>
      <w:pPr>
        <w:spacing w:line="240" w:lineRule="auto"/>
        <w:rPr>
          <w:i/>
          <w:noProof/>
          <w:lang w:val="fr-FR" w:eastAsia="es-ES"/>
        </w:rPr>
      </w:pPr>
    </w:p>
    <w:p>
      <w:pPr>
        <w:spacing w:line="240" w:lineRule="auto"/>
        <w:rPr>
          <w:noProof/>
          <w:lang w:val="fr-FR" w:eastAsia="es-ES"/>
        </w:rPr>
      </w:pPr>
      <w:r>
        <w:rPr>
          <w:i/>
          <w:noProof/>
          <w:lang w:val="fr-CA" w:eastAsia="es-ES"/>
        </w:rPr>
        <w:t>Organismes nuisibles aux végétaux</w:t>
      </w:r>
    </w:p>
    <w:p>
      <w:pPr>
        <w:spacing w:line="240" w:lineRule="auto"/>
        <w:rPr>
          <w:noProof/>
          <w:snapToGrid w:val="0"/>
          <w:lang w:val="fr-FR" w:eastAsia="en-US"/>
        </w:rPr>
      </w:pPr>
    </w:p>
    <w:p>
      <w:pPr>
        <w:spacing w:line="240" w:lineRule="auto"/>
        <w:rPr>
          <w:noProof/>
          <w:snapToGrid w:val="0"/>
          <w:lang w:val="fr-FR" w:eastAsia="en-US"/>
        </w:rPr>
      </w:pPr>
      <w:r>
        <w:rPr>
          <w:noProof/>
          <w:snapToGrid w:val="0"/>
          <w:lang w:val="fr-CA"/>
        </w:rPr>
        <w:t>À convenir ultérieurement</w:t>
      </w:r>
      <w:r>
        <w:rPr>
          <w:noProof/>
          <w:snapToGrid w:val="0"/>
          <w:lang w:val="fr-FR"/>
        </w:rPr>
        <w:t>.</w:t>
      </w:r>
    </w:p>
    <w:p>
      <w:pPr>
        <w:spacing w:line="240" w:lineRule="auto"/>
        <w:rPr>
          <w:noProof/>
          <w:snapToGrid w:val="0"/>
          <w:lang w:val="fr-FR" w:eastAsia="en-US"/>
        </w:rPr>
      </w:pPr>
    </w:p>
    <w:p>
      <w:pPr>
        <w:spacing w:line="240" w:lineRule="auto"/>
        <w:rPr>
          <w:noProof/>
          <w:snapToGrid w:val="0"/>
          <w:lang w:val="fr-FR" w:eastAsia="en-US"/>
        </w:rPr>
      </w:pPr>
    </w:p>
    <w:p>
      <w:pPr>
        <w:spacing w:line="240" w:lineRule="auto"/>
        <w:jc w:val="center"/>
        <w:rPr>
          <w:noProof/>
          <w:snapToGrid w:val="0"/>
          <w:lang w:val="fr-FR" w:eastAsia="en-US"/>
        </w:rPr>
      </w:pPr>
    </w:p>
    <w:p>
      <w:pPr>
        <w:widowControl/>
        <w:spacing w:line="240" w:lineRule="auto"/>
        <w:rPr>
          <w:b/>
          <w:noProof/>
          <w:snapToGrid w:val="0"/>
          <w:u w:val="single"/>
          <w:lang w:val="fr-FR" w:eastAsia="en-US"/>
        </w:rPr>
      </w:pPr>
      <w:r>
        <w:rPr>
          <w:b/>
          <w:noProof/>
          <w:snapToGrid w:val="0"/>
          <w:u w:val="single"/>
          <w:lang w:val="fr-FR" w:eastAsia="en-US"/>
        </w:rPr>
        <w:br w:type="page"/>
      </w:r>
    </w:p>
    <w:p>
      <w:pPr>
        <w:spacing w:line="240" w:lineRule="auto"/>
        <w:jc w:val="center"/>
        <w:rPr>
          <w:b/>
          <w:bCs/>
          <w:noProof/>
          <w:snapToGrid w:val="0"/>
          <w:u w:val="single"/>
          <w:lang w:val="fr-FR" w:eastAsia="en-US"/>
        </w:rPr>
      </w:pPr>
      <w:r>
        <w:rPr>
          <w:b/>
          <w:noProof/>
          <w:snapToGrid w:val="0"/>
          <w:u w:val="single"/>
          <w:lang w:val="fr-CA"/>
        </w:rPr>
        <w:t>ANNEXE 5-D</w:t>
      </w:r>
    </w:p>
    <w:p>
      <w:pPr>
        <w:spacing w:line="240" w:lineRule="auto"/>
        <w:jc w:val="center"/>
        <w:rPr>
          <w:noProof/>
          <w:snapToGrid w:val="0"/>
          <w:color w:val="000000"/>
          <w:lang w:val="fr-FR" w:eastAsia="en-US"/>
        </w:rPr>
      </w:pPr>
    </w:p>
    <w:p>
      <w:pPr>
        <w:spacing w:line="240" w:lineRule="auto"/>
        <w:jc w:val="center"/>
        <w:rPr>
          <w:noProof/>
          <w:snapToGrid w:val="0"/>
          <w:color w:val="000000"/>
          <w:lang w:val="fr-FR" w:eastAsia="en-US"/>
        </w:rPr>
      </w:pPr>
    </w:p>
    <w:p>
      <w:pPr>
        <w:spacing w:line="240" w:lineRule="auto"/>
        <w:jc w:val="center"/>
        <w:rPr>
          <w:b/>
          <w:noProof/>
          <w:snapToGrid w:val="0"/>
          <w:color w:val="000000"/>
          <w:lang w:val="fr-CA"/>
        </w:rPr>
      </w:pPr>
      <w:r>
        <w:rPr>
          <w:b/>
          <w:noProof/>
          <w:snapToGrid w:val="0"/>
          <w:color w:val="000000"/>
          <w:lang w:val="fr-CA"/>
        </w:rPr>
        <w:t>LIGNES DIRECTRICES POUR LA DÉTERMINATION, LA RECONNAISSANCE</w:t>
      </w:r>
    </w:p>
    <w:p>
      <w:pPr>
        <w:spacing w:line="240" w:lineRule="auto"/>
        <w:jc w:val="center"/>
        <w:rPr>
          <w:b/>
          <w:bCs/>
          <w:noProof/>
          <w:snapToGrid w:val="0"/>
          <w:color w:val="000000"/>
          <w:lang w:val="fr-FR" w:eastAsia="en-US"/>
        </w:rPr>
      </w:pPr>
      <w:r>
        <w:rPr>
          <w:b/>
          <w:noProof/>
          <w:snapToGrid w:val="0"/>
          <w:color w:val="000000"/>
          <w:lang w:val="fr-CA"/>
        </w:rPr>
        <w:t xml:space="preserve"> ET LE MAINTIEN DE L’ÉQUIVALENCE</w:t>
      </w:r>
    </w:p>
    <w:p>
      <w:pPr>
        <w:spacing w:line="240" w:lineRule="auto"/>
        <w:jc w:val="center"/>
        <w:rPr>
          <w:b/>
          <w:bCs/>
          <w:noProof/>
          <w:snapToGrid w:val="0"/>
          <w:color w:val="000000"/>
          <w:lang w:val="fr-FR" w:eastAsia="en-US"/>
        </w:rPr>
      </w:pPr>
    </w:p>
    <w:p>
      <w:pPr>
        <w:spacing w:line="240" w:lineRule="auto"/>
        <w:rPr>
          <w:b/>
          <w:bCs/>
          <w:noProof/>
          <w:snapToGrid w:val="0"/>
          <w:color w:val="000000"/>
          <w:lang w:val="fr-FR" w:eastAsia="en-US"/>
        </w:rPr>
      </w:pPr>
      <w:r>
        <w:rPr>
          <w:b/>
          <w:noProof/>
          <w:snapToGrid w:val="0"/>
          <w:color w:val="000000"/>
          <w:lang w:val="fr-CA"/>
        </w:rPr>
        <w:t>Détermination et reconnaissance de l’équivalence</w:t>
      </w:r>
    </w:p>
    <w:p>
      <w:pPr>
        <w:spacing w:line="240" w:lineRule="auto"/>
        <w:rPr>
          <w:noProof/>
          <w:snapToGrid w:val="0"/>
          <w:color w:val="000000"/>
          <w:lang w:val="fr-FR" w:eastAsia="en-US"/>
        </w:rPr>
      </w:pPr>
    </w:p>
    <w:p>
      <w:pPr>
        <w:spacing w:line="240" w:lineRule="auto"/>
        <w:rPr>
          <w:noProof/>
          <w:snapToGrid w:val="0"/>
          <w:color w:val="000000"/>
          <w:lang w:val="fr-FR" w:eastAsia="en-US"/>
        </w:rPr>
      </w:pPr>
      <w:r>
        <w:rPr>
          <w:noProof/>
          <w:snapToGrid w:val="0"/>
          <w:color w:val="000000"/>
          <w:lang w:val="fr-CA"/>
        </w:rPr>
        <w:t>À convenir ultérieurement</w:t>
      </w:r>
      <w:r>
        <w:rPr>
          <w:noProof/>
          <w:snapToGrid w:val="0"/>
          <w:color w:val="000000"/>
          <w:lang w:val="fr-FR"/>
        </w:rPr>
        <w:t>.</w:t>
      </w:r>
    </w:p>
    <w:p>
      <w:pPr>
        <w:widowControl/>
        <w:spacing w:line="240" w:lineRule="auto"/>
        <w:jc w:val="both"/>
        <w:rPr>
          <w:noProof/>
          <w:snapToGrid w:val="0"/>
          <w:color w:val="000000"/>
          <w:lang w:val="fr-FR" w:eastAsia="en-US"/>
        </w:rPr>
      </w:pPr>
    </w:p>
    <w:p>
      <w:pPr>
        <w:spacing w:line="240" w:lineRule="auto"/>
        <w:rPr>
          <w:b/>
          <w:bCs/>
          <w:noProof/>
          <w:snapToGrid w:val="0"/>
          <w:color w:val="000000"/>
          <w:lang w:val="fr-FR" w:eastAsia="en-US"/>
        </w:rPr>
      </w:pPr>
      <w:r>
        <w:rPr>
          <w:b/>
          <w:noProof/>
          <w:snapToGrid w:val="0"/>
          <w:lang w:val="fr-CA"/>
        </w:rPr>
        <w:t>Maintien de l’équivalence</w:t>
      </w:r>
    </w:p>
    <w:p>
      <w:pPr>
        <w:spacing w:line="240" w:lineRule="auto"/>
        <w:rPr>
          <w:b/>
          <w:bCs/>
          <w:noProof/>
          <w:snapToGrid w:val="0"/>
          <w:color w:val="000000"/>
          <w:lang w:val="fr-FR" w:eastAsia="en-US"/>
        </w:rPr>
      </w:pPr>
    </w:p>
    <w:p>
      <w:pPr>
        <w:spacing w:line="240" w:lineRule="auto"/>
        <w:ind w:left="567" w:hanging="567"/>
        <w:rPr>
          <w:noProof/>
          <w:snapToGrid w:val="0"/>
          <w:color w:val="000000"/>
          <w:lang w:val="fr-FR" w:eastAsia="en-US"/>
        </w:rPr>
      </w:pPr>
      <w:r>
        <w:rPr>
          <w:noProof/>
          <w:snapToGrid w:val="0"/>
          <w:color w:val="000000"/>
          <w:lang w:val="fr-FR" w:eastAsia="en-US"/>
        </w:rPr>
        <w:t>1.</w:t>
      </w:r>
      <w:r>
        <w:rPr>
          <w:noProof/>
          <w:snapToGrid w:val="0"/>
          <w:color w:val="000000"/>
          <w:lang w:val="fr-FR" w:eastAsia="en-US"/>
        </w:rPr>
        <w:tab/>
      </w:r>
      <w:r>
        <w:rPr>
          <w:noProof/>
          <w:snapToGrid w:val="0"/>
          <w:color w:val="000000"/>
          <w:lang w:val="fr-CA"/>
        </w:rPr>
        <w:t xml:space="preserve">La </w:t>
      </w:r>
      <w:r>
        <w:rPr>
          <w:noProof/>
          <w:snapToGrid w:val="0"/>
          <w:lang w:val="fr-CA"/>
        </w:rPr>
        <w:t>Partie qui entend adopter, modifier ou abroger</w:t>
      </w:r>
      <w:r>
        <w:rPr>
          <w:noProof/>
          <w:snapToGrid w:val="0"/>
          <w:color w:val="000000"/>
          <w:lang w:val="fr-CA"/>
        </w:rPr>
        <w:t xml:space="preserve"> une mesure </w:t>
      </w:r>
      <w:r>
        <w:rPr>
          <w:noProof/>
          <w:snapToGrid w:val="0"/>
          <w:lang w:val="fr-CA"/>
        </w:rPr>
        <w:t>SPS</w:t>
      </w:r>
      <w:r>
        <w:rPr>
          <w:noProof/>
          <w:snapToGrid w:val="0"/>
          <w:color w:val="000000"/>
          <w:lang w:val="fr-CA"/>
        </w:rPr>
        <w:t xml:space="preserve"> dans une zone à l’égard de laquelle elle a fait une reconnaissance d’équivalence, selon ce qui est établi à l'article 5.6.3a) ou une reconnaissance décrite à l'article 5.6.3b) devrait </w:t>
      </w:r>
      <w:r>
        <w:rPr>
          <w:noProof/>
          <w:snapToGrid w:val="0"/>
          <w:color w:val="000000"/>
          <w:lang w:val="fr-FR" w:eastAsia="en-US"/>
        </w:rPr>
        <w:t>:</w:t>
      </w:r>
    </w:p>
    <w:p>
      <w:pPr>
        <w:spacing w:line="240" w:lineRule="auto"/>
        <w:ind w:left="567" w:hanging="567"/>
        <w:rPr>
          <w:rFonts w:eastAsiaTheme="minorHAnsi"/>
          <w:noProof/>
          <w:snapToGrid w:val="0"/>
          <w:szCs w:val="22"/>
          <w:lang w:val="fr-FR" w:eastAsia="en-US"/>
        </w:rPr>
      </w:pPr>
    </w:p>
    <w:p>
      <w:pPr>
        <w:spacing w:line="240" w:lineRule="auto"/>
        <w:ind w:left="1134" w:hanging="567"/>
        <w:rPr>
          <w:rFonts w:eastAsiaTheme="minorHAnsi"/>
          <w:noProof/>
          <w:snapToGrid w:val="0"/>
          <w:szCs w:val="22"/>
          <w:lang w:val="fr-FR" w:eastAsia="en-US"/>
        </w:rPr>
      </w:pPr>
      <w:r>
        <w:rPr>
          <w:rFonts w:eastAsiaTheme="minorHAnsi"/>
          <w:noProof/>
          <w:snapToGrid w:val="0"/>
          <w:szCs w:val="22"/>
          <w:lang w:val="fr-FR" w:eastAsia="en-US"/>
        </w:rPr>
        <w:t>a)</w:t>
      </w:r>
      <w:r>
        <w:rPr>
          <w:rFonts w:eastAsiaTheme="minorHAnsi"/>
          <w:noProof/>
          <w:snapToGrid w:val="0"/>
          <w:szCs w:val="22"/>
          <w:lang w:val="fr-FR" w:eastAsia="en-US"/>
        </w:rPr>
        <w:tab/>
      </w:r>
      <w:r>
        <w:rPr>
          <w:noProof/>
          <w:snapToGrid w:val="0"/>
          <w:lang w:val="fr-CA"/>
        </w:rPr>
        <w:t>évaluer si l’adoption, la modification ou l’abrogation de la mesure SPS peut avoir un effet sur la reconnaissance</w:t>
      </w:r>
      <w:r>
        <w:rPr>
          <w:rFonts w:eastAsiaTheme="minorHAnsi"/>
          <w:noProof/>
          <w:snapToGrid w:val="0"/>
          <w:szCs w:val="22"/>
          <w:lang w:val="fr-FR" w:eastAsia="en-US"/>
        </w:rPr>
        <w:t>;</w:t>
      </w:r>
    </w:p>
    <w:p>
      <w:pPr>
        <w:spacing w:line="240" w:lineRule="auto"/>
        <w:ind w:left="1134" w:hanging="567"/>
        <w:rPr>
          <w:rFonts w:eastAsiaTheme="minorHAnsi"/>
          <w:noProof/>
          <w:snapToGrid w:val="0"/>
          <w:szCs w:val="22"/>
          <w:lang w:val="fr-FR" w:eastAsia="en-US"/>
        </w:rPr>
      </w:pPr>
    </w:p>
    <w:p>
      <w:pPr>
        <w:spacing w:line="240" w:lineRule="auto"/>
        <w:ind w:left="1134" w:hanging="567"/>
        <w:rPr>
          <w:rFonts w:eastAsiaTheme="minorHAnsi"/>
          <w:noProof/>
          <w:snapToGrid w:val="0"/>
          <w:szCs w:val="22"/>
          <w:lang w:val="fr-FR" w:eastAsia="en-US"/>
        </w:rPr>
      </w:pPr>
      <w:r>
        <w:rPr>
          <w:rFonts w:eastAsiaTheme="minorHAnsi"/>
          <w:noProof/>
          <w:snapToGrid w:val="0"/>
          <w:szCs w:val="22"/>
          <w:lang w:val="fr-FR" w:eastAsia="en-US"/>
        </w:rPr>
        <w:t>b)</w:t>
      </w:r>
      <w:r>
        <w:rPr>
          <w:rFonts w:eastAsiaTheme="minorHAnsi"/>
          <w:noProof/>
          <w:snapToGrid w:val="0"/>
          <w:szCs w:val="22"/>
          <w:lang w:val="fr-FR" w:eastAsia="en-US"/>
        </w:rPr>
        <w:tab/>
      </w:r>
      <w:r>
        <w:rPr>
          <w:noProof/>
          <w:snapToGrid w:val="0"/>
          <w:lang w:val="fr-CA"/>
        </w:rPr>
        <w:t>notifier à l’autre Partie son intention d’adopter, de modifier ou d’abroger cette mesure SPS, et l’évaluation réalisée en application du paragraphe a). La notification devrait être faite à un stade précoce approprié, lorsque des modifications peuvent encore être apportées et que des observations peuvent encore être prises en considération</w:t>
      </w:r>
      <w:r>
        <w:rPr>
          <w:rFonts w:eastAsiaTheme="minorHAnsi"/>
          <w:noProof/>
          <w:snapToGrid w:val="0"/>
          <w:szCs w:val="22"/>
          <w:lang w:val="fr-FR" w:eastAsia="en-US"/>
        </w:rPr>
        <w:t>.</w:t>
      </w:r>
    </w:p>
    <w:p>
      <w:pPr>
        <w:spacing w:line="240" w:lineRule="auto"/>
        <w:ind w:left="567" w:hanging="567"/>
        <w:rPr>
          <w:noProof/>
          <w:snapToGrid w:val="0"/>
          <w:color w:val="000000"/>
          <w:lang w:val="fr-FR" w:eastAsia="en-US"/>
        </w:rPr>
      </w:pPr>
    </w:p>
    <w:p>
      <w:pPr>
        <w:spacing w:line="240" w:lineRule="auto"/>
        <w:ind w:left="567" w:hanging="567"/>
        <w:rPr>
          <w:noProof/>
          <w:snapToGrid w:val="0"/>
          <w:color w:val="000000"/>
          <w:lang w:val="fr-FR" w:eastAsia="en-US"/>
        </w:rPr>
      </w:pPr>
      <w:r>
        <w:rPr>
          <w:noProof/>
          <w:snapToGrid w:val="0"/>
          <w:color w:val="000000"/>
          <w:lang w:val="fr-FR" w:eastAsia="en-US"/>
        </w:rPr>
        <w:t>2.</w:t>
      </w:r>
      <w:r>
        <w:rPr>
          <w:noProof/>
          <w:snapToGrid w:val="0"/>
          <w:color w:val="000000"/>
          <w:lang w:val="fr-FR" w:eastAsia="en-US"/>
        </w:rPr>
        <w:tab/>
      </w:r>
      <w:r>
        <w:rPr>
          <w:noProof/>
          <w:snapToGrid w:val="0"/>
          <w:lang w:val="fr-CA"/>
        </w:rPr>
        <w:t>Si une Partie adopte, modifie ou abroge</w:t>
      </w:r>
      <w:r>
        <w:rPr>
          <w:noProof/>
          <w:snapToGrid w:val="0"/>
          <w:color w:val="000000"/>
          <w:lang w:val="fr-CA"/>
        </w:rPr>
        <w:t xml:space="preserve"> une </w:t>
      </w:r>
      <w:r>
        <w:rPr>
          <w:noProof/>
          <w:snapToGrid w:val="0"/>
          <w:lang w:val="fr-CA"/>
        </w:rPr>
        <w:t>mesure SPS</w:t>
      </w:r>
      <w:r>
        <w:rPr>
          <w:noProof/>
          <w:snapToGrid w:val="0"/>
          <w:color w:val="000000"/>
          <w:lang w:val="fr-CA"/>
        </w:rPr>
        <w:t xml:space="preserve"> dans une zone à l’égard de laquelle elle a fait une reconnaissance, </w:t>
      </w:r>
      <w:r>
        <w:rPr>
          <w:noProof/>
          <w:snapToGrid w:val="0"/>
          <w:lang w:val="fr-CA"/>
        </w:rPr>
        <w:t>la Partie importatrice devrait continuer d’accepter</w:t>
      </w:r>
      <w:r>
        <w:rPr>
          <w:noProof/>
          <w:snapToGrid w:val="0"/>
          <w:color w:val="000000"/>
          <w:lang w:val="fr-CA"/>
        </w:rPr>
        <w:t xml:space="preserve"> soit </w:t>
      </w:r>
      <w:r>
        <w:rPr>
          <w:noProof/>
          <w:snapToGrid w:val="0"/>
          <w:lang w:val="fr-CA"/>
        </w:rPr>
        <w:t>la reconnaissance de l’équivalence selon ce qui est établi à l'article</w:t>
      </w:r>
      <w:r>
        <w:rPr>
          <w:noProof/>
          <w:snapToGrid w:val="0"/>
          <w:color w:val="000000"/>
          <w:lang w:val="fr-CA"/>
        </w:rPr>
        <w:t> 5.6.3a), soit la reconnaissance décrite à l'article 5.6.3b)</w:t>
      </w:r>
      <w:r>
        <w:rPr>
          <w:noProof/>
          <w:snapToGrid w:val="0"/>
          <w:lang w:val="fr-CA"/>
        </w:rPr>
        <w:t>, selon le cas, dans la zone en question, jusqu’à ce qu’elle ait informé la Partie exportatrice de toute condition particulière à respecter, le cas échéant.</w:t>
      </w:r>
      <w:r>
        <w:rPr>
          <w:noProof/>
          <w:snapToGrid w:val="0"/>
          <w:color w:val="000000"/>
          <w:lang w:val="fr-CA"/>
        </w:rPr>
        <w:t xml:space="preserve"> </w:t>
      </w:r>
      <w:r>
        <w:rPr>
          <w:noProof/>
          <w:snapToGrid w:val="0"/>
          <w:lang w:val="fr-CA"/>
        </w:rPr>
        <w:t>La Partie importatrice devrait consulter la Partie exportatrice en vue d’établir ces conditions particulières</w:t>
      </w:r>
      <w:r>
        <w:rPr>
          <w:noProof/>
          <w:snapToGrid w:val="0"/>
          <w:color w:val="000000"/>
          <w:lang w:val="fr-FR" w:eastAsia="en-US"/>
        </w:rPr>
        <w:t>.</w:t>
      </w:r>
    </w:p>
    <w:p>
      <w:pPr>
        <w:widowControl/>
        <w:spacing w:line="240" w:lineRule="auto"/>
        <w:rPr>
          <w:b/>
          <w:noProof/>
          <w:snapToGrid w:val="0"/>
          <w:color w:val="000000"/>
          <w:u w:val="single"/>
          <w:lang w:val="fr-FR" w:eastAsia="en-US"/>
        </w:rPr>
      </w:pPr>
      <w:r>
        <w:rPr>
          <w:b/>
          <w:noProof/>
          <w:snapToGrid w:val="0"/>
          <w:color w:val="000000"/>
          <w:u w:val="single"/>
          <w:lang w:val="fr-FR" w:eastAsia="en-US"/>
        </w:rPr>
        <w:br w:type="page"/>
      </w:r>
    </w:p>
    <w:p>
      <w:pPr>
        <w:spacing w:line="240" w:lineRule="auto"/>
        <w:jc w:val="center"/>
        <w:rPr>
          <w:b/>
          <w:bCs/>
          <w:noProof/>
          <w:snapToGrid w:val="0"/>
          <w:u w:val="single"/>
          <w:lang w:val="fr-FR" w:eastAsia="en-US"/>
        </w:rPr>
      </w:pPr>
      <w:r>
        <w:rPr>
          <w:b/>
          <w:noProof/>
          <w:snapToGrid w:val="0"/>
          <w:color w:val="000000"/>
          <w:u w:val="single"/>
          <w:lang w:val="fr-CA"/>
        </w:rPr>
        <w:t>ANNEXE 5-E</w:t>
      </w:r>
    </w:p>
    <w:p>
      <w:pPr>
        <w:tabs>
          <w:tab w:val="center" w:pos="974"/>
        </w:tabs>
        <w:spacing w:line="240" w:lineRule="auto"/>
        <w:jc w:val="center"/>
        <w:outlineLvl w:val="0"/>
        <w:rPr>
          <w:noProof/>
          <w:sz w:val="22"/>
          <w:lang w:val="fr-FR"/>
        </w:rPr>
      </w:pPr>
    </w:p>
    <w:p>
      <w:pPr>
        <w:tabs>
          <w:tab w:val="center" w:pos="974"/>
        </w:tabs>
        <w:spacing w:line="240" w:lineRule="auto"/>
        <w:jc w:val="center"/>
        <w:outlineLvl w:val="0"/>
        <w:rPr>
          <w:noProof/>
          <w:sz w:val="22"/>
          <w:lang w:val="fr-FR"/>
        </w:rPr>
      </w:pPr>
    </w:p>
    <w:p>
      <w:pPr>
        <w:spacing w:line="240" w:lineRule="auto"/>
        <w:jc w:val="center"/>
        <w:rPr>
          <w:b/>
          <w:bCs/>
          <w:noProof/>
          <w:szCs w:val="24"/>
          <w:lang w:val="fr-FR"/>
        </w:rPr>
      </w:pPr>
      <w:r>
        <w:rPr>
          <w:b/>
          <w:noProof/>
          <w:szCs w:val="24"/>
          <w:lang w:val="fr-CA"/>
        </w:rPr>
        <w:t>RECONNAISSANCE DES MESURES SANITAIRES ET PHYTOSANITAIRES</w:t>
      </w:r>
    </w:p>
    <w:p>
      <w:pPr>
        <w:spacing w:line="240" w:lineRule="auto"/>
        <w:jc w:val="center"/>
        <w:rPr>
          <w:noProof/>
          <w:lang w:val="fr-FR"/>
        </w:rPr>
      </w:pPr>
    </w:p>
    <w:p>
      <w:pPr>
        <w:spacing w:line="240" w:lineRule="auto"/>
        <w:jc w:val="center"/>
        <w:rPr>
          <w:noProof/>
          <w:szCs w:val="24"/>
          <w:lang w:val="fr-FR"/>
        </w:rPr>
      </w:pPr>
      <w:r>
        <w:rPr>
          <w:noProof/>
          <w:szCs w:val="24"/>
          <w:lang w:val="fr-CA"/>
        </w:rPr>
        <w:t>Notes générales</w:t>
      </w:r>
    </w:p>
    <w:p>
      <w:pPr>
        <w:spacing w:line="240" w:lineRule="auto"/>
        <w:rPr>
          <w:noProof/>
          <w:lang w:val="fr-FR"/>
        </w:rPr>
      </w:pPr>
    </w:p>
    <w:p>
      <w:pPr>
        <w:spacing w:line="240" w:lineRule="auto"/>
        <w:ind w:left="567" w:hanging="567"/>
        <w:rPr>
          <w:noProof/>
          <w:szCs w:val="24"/>
          <w:lang w:val="fr-FR"/>
        </w:rPr>
      </w:pPr>
      <w:r>
        <w:rPr>
          <w:noProof/>
          <w:lang w:val="fr-FR"/>
        </w:rPr>
        <w:t>1.</w:t>
      </w:r>
      <w:r>
        <w:rPr>
          <w:noProof/>
          <w:lang w:val="fr-FR"/>
        </w:rPr>
        <w:tab/>
      </w:r>
      <w:r>
        <w:rPr>
          <w:noProof/>
          <w:szCs w:val="24"/>
          <w:lang w:val="fr-CA"/>
        </w:rPr>
        <w:t>Si une Partie modifie une mesure SPS inscrite à la présente annexe, la mesure SPS modifiée s’applique aux importations de l’autre Partie, compte tenu du paragraphe 2 de l’annexe 5</w:t>
      </w:r>
      <w:r>
        <w:rPr>
          <w:noProof/>
          <w:szCs w:val="24"/>
          <w:lang w:val="fr-CA"/>
        </w:rPr>
        <w:noBreakHyphen/>
        <w:t>D. Pour consulter les mesures SPS mises à jour, voir les publications législatives de chaque Partie</w:t>
      </w:r>
      <w:r>
        <w:rPr>
          <w:noProof/>
          <w:szCs w:val="24"/>
          <w:lang w:val="fr-FR"/>
        </w:rPr>
        <w:t>.</w:t>
      </w:r>
    </w:p>
    <w:p>
      <w:pPr>
        <w:spacing w:line="240" w:lineRule="auto"/>
        <w:ind w:left="567" w:hanging="567"/>
        <w:rPr>
          <w:noProof/>
          <w:szCs w:val="24"/>
          <w:lang w:val="fr-FR"/>
        </w:rPr>
      </w:pPr>
    </w:p>
    <w:p>
      <w:pPr>
        <w:spacing w:line="240" w:lineRule="auto"/>
        <w:ind w:left="567" w:hanging="567"/>
        <w:rPr>
          <w:noProof/>
          <w:szCs w:val="24"/>
          <w:lang w:val="fr-FR"/>
        </w:rPr>
      </w:pPr>
      <w:r>
        <w:rPr>
          <w:noProof/>
          <w:szCs w:val="24"/>
          <w:lang w:val="fr-FR"/>
        </w:rPr>
        <w:t>2.</w:t>
      </w:r>
      <w:r>
        <w:rPr>
          <w:noProof/>
          <w:szCs w:val="24"/>
          <w:lang w:val="fr-FR"/>
        </w:rPr>
        <w:tab/>
      </w:r>
      <w:r>
        <w:rPr>
          <w:noProof/>
          <w:szCs w:val="24"/>
          <w:lang w:val="fr-CA"/>
        </w:rPr>
        <w:t>La Partie importatrice qui détermine qu’une condition particulière inscrite à la présente annexe n’est plus nécessaire notifie à l’autre Partie conformément à l’article 26.5 le fait qu’elle n’appliquera plus cette condition particulière aux importations de l’autre Partie</w:t>
      </w:r>
      <w:r>
        <w:rPr>
          <w:noProof/>
          <w:szCs w:val="24"/>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3.</w:t>
      </w:r>
      <w:r>
        <w:rPr>
          <w:noProof/>
          <w:lang w:val="fr-FR"/>
        </w:rPr>
        <w:tab/>
      </w:r>
      <w:r>
        <w:rPr>
          <w:noProof/>
          <w:szCs w:val="24"/>
          <w:lang w:val="fr-CA"/>
        </w:rPr>
        <w:t>Il est entendu qu’une mesure SPS d’une Partie importatrice qui n’est pas mentionnée ailleurs dans la présente annexe ou une mesure d’une Partie importatrice qui n’est pas une mesure SPS s’applique, s’il y a lieu, aux importations de l’autre Partie</w:t>
      </w:r>
      <w:r>
        <w:rPr>
          <w:noProof/>
          <w:szCs w:val="24"/>
          <w:lang w:val="fr-FR"/>
        </w:rPr>
        <w:t>.</w:t>
      </w:r>
      <w:r>
        <w:rPr>
          <w:noProof/>
          <w:lang w:val="fr-FR"/>
        </w:rPr>
        <w:t xml:space="preserve"> </w:t>
      </w:r>
    </w:p>
    <w:p>
      <w:pPr>
        <w:tabs>
          <w:tab w:val="left" w:pos="3661"/>
        </w:tabs>
        <w:spacing w:line="240" w:lineRule="auto"/>
        <w:jc w:val="center"/>
        <w:rPr>
          <w:b/>
          <w:noProof/>
          <w:sz w:val="22"/>
          <w:lang w:val="fr-FR"/>
        </w:rPr>
      </w:pPr>
    </w:p>
    <w:p>
      <w:pPr>
        <w:tabs>
          <w:tab w:val="left" w:pos="3661"/>
        </w:tabs>
        <w:spacing w:line="240" w:lineRule="auto"/>
        <w:rPr>
          <w:b/>
          <w:noProof/>
          <w:sz w:val="22"/>
          <w:lang w:val="fr-FR"/>
        </w:rPr>
        <w:sectPr>
          <w:headerReference w:type="even" r:id="rId16"/>
          <w:headerReference w:type="default" r:id="rId17"/>
          <w:footerReference w:type="even" r:id="rId18"/>
          <w:footerReference w:type="default" r:id="rId19"/>
          <w:headerReference w:type="first" r:id="rId20"/>
          <w:footerReference w:type="first" r:id="rId21"/>
          <w:pgSz w:w="12240" w:h="15840" w:code="1"/>
          <w:pgMar w:top="1134" w:right="1134" w:bottom="1134" w:left="1134" w:header="1134" w:footer="1134" w:gutter="0"/>
          <w:pgNumType w:start="79"/>
          <w:cols w:space="720"/>
          <w:noEndnote/>
          <w:docGrid w:linePitch="326"/>
        </w:sectPr>
      </w:pPr>
    </w:p>
    <w:p>
      <w:pPr>
        <w:spacing w:line="240" w:lineRule="auto"/>
        <w:jc w:val="center"/>
        <w:rPr>
          <w:i/>
          <w:iCs/>
          <w:noProof/>
        </w:rPr>
      </w:pPr>
      <w:r>
        <w:rPr>
          <w:i/>
          <w:iCs/>
          <w:noProof/>
        </w:rPr>
        <w:t>SECTION A</w:t>
      </w:r>
    </w:p>
    <w:p>
      <w:pPr>
        <w:spacing w:line="240" w:lineRule="auto"/>
        <w:jc w:val="center"/>
        <w:rPr>
          <w:i/>
          <w:iCs/>
          <w:noProof/>
        </w:rPr>
      </w:pPr>
    </w:p>
    <w:p>
      <w:pPr>
        <w:spacing w:line="240" w:lineRule="auto"/>
        <w:jc w:val="center"/>
        <w:rPr>
          <w:b/>
          <w:bCs/>
          <w:noProof/>
          <w:szCs w:val="24"/>
        </w:rPr>
      </w:pPr>
      <w:r>
        <w:rPr>
          <w:b/>
          <w:noProof/>
          <w:szCs w:val="24"/>
          <w:lang w:val="fr-CA"/>
        </w:rPr>
        <w:t>Mesures sanitaires</w:t>
      </w:r>
    </w:p>
    <w:p>
      <w:pPr>
        <w:spacing w:line="240" w:lineRule="auto"/>
        <w:rPr>
          <w:noProof/>
        </w:rPr>
      </w:pPr>
    </w:p>
    <w:tbl>
      <w:tblPr>
        <w:tblW w:w="14318"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1" w:type="dxa"/>
          <w:right w:w="91" w:type="dxa"/>
        </w:tblCellMar>
        <w:tblLook w:val="0020" w:firstRow="1" w:lastRow="0" w:firstColumn="0" w:lastColumn="0" w:noHBand="0" w:noVBand="0"/>
      </w:tblPr>
      <w:tblGrid>
        <w:gridCol w:w="993"/>
        <w:gridCol w:w="1560"/>
        <w:gridCol w:w="1842"/>
        <w:gridCol w:w="2376"/>
        <w:gridCol w:w="34"/>
        <w:gridCol w:w="1418"/>
        <w:gridCol w:w="1275"/>
        <w:gridCol w:w="142"/>
        <w:gridCol w:w="4678"/>
      </w:tblGrid>
      <w:tr>
        <w:trPr>
          <w:trHeight w:val="227"/>
          <w:tblHeader/>
        </w:trPr>
        <w:tc>
          <w:tcPr>
            <w:tcW w:w="993" w:type="dxa"/>
            <w:shd w:val="clear" w:color="auto" w:fill="auto"/>
          </w:tcPr>
          <w:p>
            <w:pPr>
              <w:spacing w:before="40" w:after="40" w:line="240" w:lineRule="auto"/>
              <w:jc w:val="center"/>
              <w:rPr>
                <w:rFonts w:asciiTheme="majorBidi" w:hAnsiTheme="majorBidi" w:cstheme="majorBidi"/>
                <w:b/>
                <w:bCs/>
                <w:noProof/>
                <w:sz w:val="18"/>
                <w:szCs w:val="18"/>
              </w:rPr>
            </w:pPr>
            <w:r>
              <w:rPr>
                <w:b/>
                <w:bCs/>
                <w:noProof/>
                <w:sz w:val="18"/>
                <w:szCs w:val="18"/>
                <w:lang w:val="fr-CA" w:eastAsia="es-ES"/>
              </w:rPr>
              <w:t>Zone SPS</w:t>
            </w:r>
          </w:p>
        </w:tc>
        <w:tc>
          <w:tcPr>
            <w:tcW w:w="5812" w:type="dxa"/>
            <w:gridSpan w:val="4"/>
            <w:shd w:val="clear" w:color="auto" w:fill="auto"/>
          </w:tcPr>
          <w:p>
            <w:pPr>
              <w:spacing w:before="40" w:after="40" w:line="240" w:lineRule="auto"/>
              <w:jc w:val="center"/>
              <w:rPr>
                <w:rFonts w:asciiTheme="majorBidi" w:hAnsiTheme="majorBidi" w:cstheme="majorBidi"/>
                <w:b/>
                <w:bCs/>
                <w:noProof/>
                <w:sz w:val="18"/>
                <w:szCs w:val="18"/>
                <w:lang w:val="fr-FR"/>
              </w:rPr>
            </w:pPr>
            <w:r>
              <w:rPr>
                <w:b/>
                <w:noProof/>
                <w:sz w:val="18"/>
                <w:szCs w:val="18"/>
                <w:lang w:val="fr-CA"/>
              </w:rPr>
              <w:t>Exportations de l’Union européenne à destination du Canada</w:t>
            </w:r>
          </w:p>
        </w:tc>
        <w:tc>
          <w:tcPr>
            <w:tcW w:w="7513" w:type="dxa"/>
            <w:gridSpan w:val="4"/>
            <w:shd w:val="clear" w:color="auto" w:fill="auto"/>
          </w:tcPr>
          <w:p>
            <w:pPr>
              <w:spacing w:before="40" w:after="40" w:line="240" w:lineRule="auto"/>
              <w:jc w:val="center"/>
              <w:rPr>
                <w:rFonts w:asciiTheme="majorBidi" w:hAnsiTheme="majorBidi" w:cstheme="majorBidi"/>
                <w:b/>
                <w:bCs/>
                <w:noProof/>
                <w:sz w:val="18"/>
                <w:szCs w:val="18"/>
                <w:lang w:val="fr-FR"/>
              </w:rPr>
            </w:pPr>
            <w:r>
              <w:rPr>
                <w:b/>
                <w:noProof/>
                <w:sz w:val="18"/>
                <w:szCs w:val="18"/>
                <w:lang w:val="fr-CA"/>
              </w:rPr>
              <w:t>Exportations du Canada à destination de l’Union européenne</w:t>
            </w:r>
          </w:p>
        </w:tc>
      </w:tr>
      <w:tr>
        <w:trPr>
          <w:trHeight w:val="227"/>
          <w:tblHeader/>
        </w:trPr>
        <w:tc>
          <w:tcPr>
            <w:tcW w:w="993" w:type="dxa"/>
            <w:shd w:val="clear" w:color="auto" w:fill="auto"/>
          </w:tcPr>
          <w:p>
            <w:pPr>
              <w:spacing w:before="40" w:after="40" w:line="240" w:lineRule="auto"/>
              <w:jc w:val="center"/>
              <w:rPr>
                <w:rFonts w:asciiTheme="majorBidi" w:hAnsiTheme="majorBidi" w:cstheme="majorBidi"/>
                <w:b/>
                <w:bCs/>
                <w:noProof/>
                <w:sz w:val="18"/>
                <w:szCs w:val="18"/>
                <w:lang w:val="fr-FR"/>
              </w:rPr>
            </w:pPr>
          </w:p>
        </w:tc>
        <w:tc>
          <w:tcPr>
            <w:tcW w:w="1560" w:type="dxa"/>
            <w:shd w:val="clear" w:color="auto" w:fill="auto"/>
          </w:tcPr>
          <w:p>
            <w:pPr>
              <w:spacing w:before="40" w:after="40" w:line="240" w:lineRule="auto"/>
              <w:jc w:val="center"/>
              <w:rPr>
                <w:rFonts w:asciiTheme="majorBidi" w:hAnsiTheme="majorBidi" w:cstheme="majorBidi"/>
                <w:b/>
                <w:bCs/>
                <w:noProof/>
                <w:sz w:val="18"/>
                <w:szCs w:val="18"/>
                <w:lang w:val="fr-FR" w:eastAsia="es-ES"/>
              </w:rPr>
            </w:pPr>
            <w:r>
              <w:rPr>
                <w:b/>
                <w:bCs/>
                <w:noProof/>
                <w:sz w:val="18"/>
                <w:szCs w:val="18"/>
                <w:lang w:val="fr-CA" w:eastAsia="es-ES"/>
              </w:rPr>
              <w:t>Mesure(s) SPS de l’Union européenne</w:t>
            </w:r>
          </w:p>
        </w:tc>
        <w:tc>
          <w:tcPr>
            <w:tcW w:w="1842" w:type="dxa"/>
            <w:shd w:val="clear" w:color="auto" w:fill="auto"/>
          </w:tcPr>
          <w:p>
            <w:pPr>
              <w:spacing w:before="40" w:after="40" w:line="240" w:lineRule="auto"/>
              <w:jc w:val="center"/>
              <w:rPr>
                <w:rFonts w:asciiTheme="majorBidi" w:hAnsiTheme="majorBidi" w:cstheme="majorBidi"/>
                <w:b/>
                <w:bCs/>
                <w:iCs/>
                <w:noProof/>
                <w:sz w:val="18"/>
                <w:szCs w:val="18"/>
                <w:lang w:val="fr-FR" w:eastAsia="es-ES"/>
              </w:rPr>
            </w:pPr>
            <w:r>
              <w:rPr>
                <w:b/>
                <w:bCs/>
                <w:noProof/>
                <w:sz w:val="18"/>
                <w:szCs w:val="18"/>
                <w:lang w:val="fr-CA" w:eastAsia="es-ES"/>
              </w:rPr>
              <w:t>Mesure(s) SPS du Canada</w:t>
            </w:r>
          </w:p>
        </w:tc>
        <w:tc>
          <w:tcPr>
            <w:tcW w:w="2410" w:type="dxa"/>
            <w:gridSpan w:val="2"/>
            <w:shd w:val="clear" w:color="auto" w:fill="auto"/>
          </w:tcPr>
          <w:p>
            <w:pPr>
              <w:spacing w:before="40" w:after="40" w:line="240" w:lineRule="auto"/>
              <w:jc w:val="center"/>
              <w:rPr>
                <w:rFonts w:asciiTheme="majorBidi" w:hAnsiTheme="majorBidi" w:cstheme="majorBidi"/>
                <w:b/>
                <w:bCs/>
                <w:noProof/>
                <w:sz w:val="18"/>
                <w:szCs w:val="18"/>
                <w:lang w:eastAsia="es-ES"/>
              </w:rPr>
            </w:pPr>
            <w:r>
              <w:rPr>
                <w:b/>
                <w:bCs/>
                <w:noProof/>
                <w:sz w:val="18"/>
                <w:szCs w:val="18"/>
                <w:lang w:val="fr-CA" w:eastAsia="es-ES"/>
              </w:rPr>
              <w:t>Condition(s) particulière(s)</w:t>
            </w:r>
          </w:p>
        </w:tc>
        <w:tc>
          <w:tcPr>
            <w:tcW w:w="1418" w:type="dxa"/>
            <w:shd w:val="clear" w:color="auto" w:fill="auto"/>
          </w:tcPr>
          <w:p>
            <w:pPr>
              <w:spacing w:before="40" w:after="40" w:line="240" w:lineRule="auto"/>
              <w:jc w:val="center"/>
              <w:rPr>
                <w:rFonts w:asciiTheme="majorBidi" w:hAnsiTheme="majorBidi" w:cstheme="majorBidi"/>
                <w:b/>
                <w:bCs/>
                <w:iCs/>
                <w:noProof/>
                <w:sz w:val="18"/>
                <w:szCs w:val="18"/>
                <w:lang w:val="fr-FR" w:eastAsia="es-ES"/>
              </w:rPr>
            </w:pPr>
            <w:r>
              <w:rPr>
                <w:b/>
                <w:bCs/>
                <w:noProof/>
                <w:sz w:val="18"/>
                <w:szCs w:val="18"/>
                <w:lang w:val="fr-CA" w:eastAsia="es-ES"/>
              </w:rPr>
              <w:t>Mesure(s) SPS du Canada</w:t>
            </w:r>
          </w:p>
        </w:tc>
        <w:tc>
          <w:tcPr>
            <w:tcW w:w="1417" w:type="dxa"/>
            <w:gridSpan w:val="2"/>
            <w:shd w:val="clear" w:color="auto" w:fill="auto"/>
          </w:tcPr>
          <w:p>
            <w:pPr>
              <w:spacing w:before="40" w:after="40" w:line="240" w:lineRule="auto"/>
              <w:jc w:val="center"/>
              <w:rPr>
                <w:rFonts w:asciiTheme="majorBidi" w:hAnsiTheme="majorBidi" w:cstheme="majorBidi"/>
                <w:b/>
                <w:bCs/>
                <w:noProof/>
                <w:sz w:val="18"/>
                <w:szCs w:val="18"/>
                <w:lang w:val="fr-FR" w:eastAsia="es-ES"/>
              </w:rPr>
            </w:pPr>
            <w:r>
              <w:rPr>
                <w:b/>
                <w:bCs/>
                <w:noProof/>
                <w:sz w:val="18"/>
                <w:szCs w:val="18"/>
                <w:lang w:val="fr-CA" w:eastAsia="es-ES"/>
              </w:rPr>
              <w:t>Mesure(s) SPS de l’Union européenne</w:t>
            </w:r>
          </w:p>
        </w:tc>
        <w:tc>
          <w:tcPr>
            <w:tcW w:w="4678" w:type="dxa"/>
            <w:shd w:val="clear" w:color="auto" w:fill="auto"/>
          </w:tcPr>
          <w:p>
            <w:pPr>
              <w:spacing w:before="40" w:after="40" w:line="240" w:lineRule="auto"/>
              <w:jc w:val="center"/>
              <w:rPr>
                <w:rFonts w:asciiTheme="majorBidi" w:hAnsiTheme="majorBidi" w:cstheme="majorBidi"/>
                <w:b/>
                <w:bCs/>
                <w:noProof/>
                <w:sz w:val="18"/>
                <w:szCs w:val="18"/>
                <w:lang w:eastAsia="es-ES"/>
              </w:rPr>
            </w:pPr>
            <w:r>
              <w:rPr>
                <w:b/>
                <w:bCs/>
                <w:noProof/>
                <w:sz w:val="20"/>
                <w:lang w:val="fr-CA" w:eastAsia="es-ES"/>
              </w:rPr>
              <w:t>Condition(s) particulière(s)</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en-CA" w:eastAsia="en-CA"/>
              </w:rPr>
            </w:pPr>
            <w:r>
              <w:rPr>
                <w:b/>
                <w:bCs/>
                <w:noProof/>
                <w:sz w:val="18"/>
                <w:szCs w:val="18"/>
                <w:lang w:val="fr-CA"/>
              </w:rPr>
              <w:t>Sperme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en-CA" w:eastAsia="en-CA"/>
              </w:rPr>
            </w:pPr>
            <w:r>
              <w:rPr>
                <w:b/>
                <w:bCs/>
                <w:noProof/>
                <w:sz w:val="18"/>
                <w:szCs w:val="18"/>
                <w:lang w:val="fr-CA"/>
              </w:rPr>
              <w:t>Animaux de l’espèce bovine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18"/>
                <w:szCs w:val="18"/>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noProof/>
                <w:sz w:val="18"/>
                <w:szCs w:val="18"/>
                <w:lang w:val="fr-CA"/>
              </w:rPr>
              <w:t>Directive</w:t>
            </w:r>
            <w:r>
              <w:rPr>
                <w:rFonts w:asciiTheme="majorBidi" w:hAnsiTheme="majorBidi" w:cstheme="majorBidi"/>
                <w:noProof/>
                <w:sz w:val="20"/>
              </w:rPr>
              <w:t xml:space="preserve"> 88/407</w:t>
            </w:r>
          </w:p>
        </w:tc>
        <w:tc>
          <w:tcPr>
            <w:tcW w:w="1842" w:type="dxa"/>
            <w:shd w:val="clear" w:color="auto" w:fill="auto"/>
          </w:tcPr>
          <w:p>
            <w:pPr>
              <w:spacing w:before="40" w:after="40" w:line="240" w:lineRule="auto"/>
              <w:rPr>
                <w:rFonts w:asciiTheme="majorBidi" w:hAnsiTheme="majorBidi" w:cstheme="majorBidi"/>
                <w:noProof/>
                <w:sz w:val="20"/>
                <w:lang w:val="fr-FR"/>
              </w:rPr>
            </w:pPr>
            <w:r>
              <w:rPr>
                <w:noProof/>
                <w:sz w:val="18"/>
                <w:szCs w:val="18"/>
                <w:lang w:val="fr-CA"/>
              </w:rPr>
              <w:t xml:space="preserve">- </w:t>
            </w:r>
            <w:r>
              <w:rPr>
                <w:i/>
                <w:noProof/>
                <w:sz w:val="18"/>
                <w:szCs w:val="18"/>
                <w:lang w:val="fr-CA"/>
              </w:rPr>
              <w:t>Loi sur la santé des animaux</w:t>
            </w:r>
            <w:r>
              <w:rPr>
                <w:noProof/>
                <w:sz w:val="18"/>
                <w:szCs w:val="18"/>
                <w:lang w:val="fr-CA"/>
              </w:rPr>
              <w:t>, L.C. 1990, ch. 21</w:t>
            </w:r>
          </w:p>
          <w:p>
            <w:pPr>
              <w:spacing w:before="40" w:after="40" w:line="240" w:lineRule="auto"/>
              <w:rPr>
                <w:rFonts w:asciiTheme="majorBidi" w:hAnsiTheme="majorBidi" w:cstheme="majorBidi"/>
                <w:noProof/>
                <w:sz w:val="20"/>
                <w:lang w:val="fr-FR"/>
              </w:rPr>
            </w:pPr>
            <w:r>
              <w:rPr>
                <w:noProof/>
                <w:sz w:val="18"/>
                <w:szCs w:val="18"/>
                <w:lang w:val="fr-CA"/>
              </w:rPr>
              <w:t xml:space="preserve">- </w:t>
            </w:r>
            <w:r>
              <w:rPr>
                <w:i/>
                <w:noProof/>
                <w:sz w:val="18"/>
                <w:szCs w:val="18"/>
                <w:lang w:val="fr-CA"/>
              </w:rPr>
              <w:t>Règlement sur la santé des animaux</w:t>
            </w:r>
            <w:r>
              <w:rPr>
                <w:noProof/>
                <w:sz w:val="18"/>
                <w:szCs w:val="18"/>
                <w:lang w:val="fr-CA"/>
              </w:rPr>
              <w:t>, C.R.C., ch. 296</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r>
              <w:rPr>
                <w:noProof/>
                <w:sz w:val="20"/>
                <w:lang w:val="fr-CA"/>
              </w:rPr>
              <w:t>Centre de collecte de sperme cliniquement exempt de paratuberculose</w:t>
            </w:r>
          </w:p>
        </w:tc>
        <w:tc>
          <w:tcPr>
            <w:tcW w:w="1418" w:type="dxa"/>
            <w:shd w:val="clear" w:color="auto" w:fill="auto"/>
          </w:tcPr>
          <w:p>
            <w:pPr>
              <w:spacing w:before="40" w:after="40" w:line="240" w:lineRule="auto"/>
              <w:rPr>
                <w:rFonts w:asciiTheme="majorBidi" w:hAnsiTheme="majorBidi" w:cstheme="majorBidi"/>
                <w:noProof/>
                <w:sz w:val="20"/>
                <w:lang w:val="fr-FR"/>
              </w:rPr>
            </w:pPr>
            <w:r>
              <w:rPr>
                <w:noProof/>
                <w:sz w:val="20"/>
                <w:lang w:val="fr-CA"/>
              </w:rPr>
              <w:t xml:space="preserve">- </w:t>
            </w:r>
            <w:r>
              <w:rPr>
                <w:i/>
                <w:noProof/>
                <w:sz w:val="20"/>
                <w:lang w:val="fr-CA"/>
              </w:rPr>
              <w:t>Loi sur la santé des animaux</w:t>
            </w:r>
          </w:p>
          <w:p>
            <w:pPr>
              <w:spacing w:before="40" w:after="40" w:line="240" w:lineRule="auto"/>
              <w:rPr>
                <w:rFonts w:asciiTheme="majorBidi" w:hAnsiTheme="majorBidi" w:cstheme="majorBidi"/>
                <w:i/>
                <w:noProof/>
                <w:sz w:val="20"/>
                <w:lang w:val="fr-FR"/>
              </w:rPr>
            </w:pPr>
            <w:r>
              <w:rPr>
                <w:noProof/>
                <w:sz w:val="20"/>
                <w:lang w:val="fr-CA"/>
              </w:rPr>
              <w:t xml:space="preserve">- </w:t>
            </w:r>
            <w:r>
              <w:rPr>
                <w:i/>
                <w:noProof/>
                <w:sz w:val="20"/>
                <w:lang w:val="fr-CA"/>
              </w:rPr>
              <w:t>Règlement sur la santé des animaux</w:t>
            </w:r>
          </w:p>
          <w:p>
            <w:pPr>
              <w:spacing w:before="40" w:after="40" w:line="240" w:lineRule="auto"/>
              <w:rPr>
                <w:rFonts w:asciiTheme="majorBidi" w:hAnsiTheme="majorBidi" w:cstheme="majorBidi"/>
                <w:noProof/>
                <w:sz w:val="20"/>
              </w:rPr>
            </w:pPr>
            <w:r>
              <w:rPr>
                <w:noProof/>
                <w:sz w:val="18"/>
                <w:szCs w:val="18"/>
                <w:lang w:val="fr-CA"/>
              </w:rPr>
              <w:t>- ACIA Programme d’insémination artificielle</w:t>
            </w:r>
          </w:p>
        </w:tc>
        <w:tc>
          <w:tcPr>
            <w:tcW w:w="1417"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Directive 88/407</w:t>
            </w:r>
          </w:p>
        </w:tc>
        <w:tc>
          <w:tcPr>
            <w:tcW w:w="467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1. </w:t>
            </w:r>
            <w:r>
              <w:rPr>
                <w:noProof/>
                <w:sz w:val="20"/>
                <w:lang w:val="fr-CA"/>
              </w:rPr>
              <w:t>Leucose bovine enzootique : (sérum) Test immunoenzymatique (« ELISA »)</w:t>
            </w:r>
          </w:p>
          <w:p>
            <w:pPr>
              <w:spacing w:before="40" w:after="40" w:line="240" w:lineRule="auto"/>
              <w:rPr>
                <w:rFonts w:asciiTheme="majorBidi" w:hAnsiTheme="majorBidi" w:cstheme="majorBidi"/>
                <w:noProof/>
                <w:sz w:val="20"/>
                <w:lang w:val="fr-FR"/>
              </w:rPr>
            </w:pPr>
            <w:r>
              <w:rPr>
                <w:noProof/>
                <w:sz w:val="20"/>
                <w:lang w:val="fr-CA"/>
              </w:rPr>
              <w:t>De plus, lorsque c’est possible, la mère utérine du taureau donneur devrait être soumise à un test de dépistage ELISA de la leucose bovine enzootique après le sevrage du taureau, et obtenir un résultat négatif</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noProof/>
                <w:sz w:val="20"/>
                <w:lang w:val="fr-CA"/>
              </w:rPr>
              <w:t>Ce test de dépistage chez la mère utérine est obligatoire pour l’exportation de sperme du taureau dans les États membres de l’Union européenne lorsque la collecte est effectuée avant qu’il ait atteint l’âge de 24 mois, et, après cet âge, il doit obtenir un résultat négatif au test ELISA. Ce test n’est pas requis lorsque le taureau donneur est issu d’un troupeau certifié dans le cadre du Programme canadien de certification sanitaire des troupeaux pour la leucose bovine enzootique.</w:t>
            </w:r>
          </w:p>
        </w:tc>
      </w:tr>
      <w:tr>
        <w:trPr>
          <w:trHeight w:val="227"/>
        </w:trPr>
        <w:tc>
          <w:tcPr>
            <w:tcW w:w="993" w:type="dxa"/>
            <w:shd w:val="clear" w:color="auto" w:fill="auto"/>
          </w:tcPr>
          <w:p>
            <w:pPr>
              <w:pageBreakBefore/>
              <w:spacing w:before="40" w:after="40" w:line="240" w:lineRule="auto"/>
              <w:rPr>
                <w:rFonts w:asciiTheme="majorBidi" w:hAnsiTheme="majorBidi" w:cstheme="majorBidi"/>
                <w:noProof/>
                <w:sz w:val="20"/>
                <w:lang w:val="fr-FR"/>
              </w:rPr>
            </w:pPr>
          </w:p>
        </w:tc>
        <w:tc>
          <w:tcPr>
            <w:tcW w:w="1560" w:type="dxa"/>
            <w:shd w:val="clear" w:color="auto" w:fill="auto"/>
          </w:tcPr>
          <w:p>
            <w:pPr>
              <w:spacing w:before="40" w:after="40" w:line="240" w:lineRule="auto"/>
              <w:rPr>
                <w:rFonts w:asciiTheme="majorBidi" w:hAnsiTheme="majorBidi" w:cstheme="majorBidi"/>
                <w:noProof/>
                <w:sz w:val="20"/>
                <w:lang w:val="fr-FR"/>
              </w:rPr>
            </w:pPr>
          </w:p>
        </w:tc>
        <w:tc>
          <w:tcPr>
            <w:tcW w:w="1842" w:type="dxa"/>
            <w:shd w:val="clear" w:color="auto" w:fill="auto"/>
          </w:tcPr>
          <w:p>
            <w:pPr>
              <w:spacing w:before="40" w:after="40" w:line="240" w:lineRule="auto"/>
              <w:rPr>
                <w:rFonts w:asciiTheme="majorBidi" w:hAnsiTheme="majorBidi" w:cstheme="majorBidi"/>
                <w:noProof/>
                <w:sz w:val="20"/>
                <w:lang w:val="fr-FR"/>
              </w:rPr>
            </w:pPr>
          </w:p>
        </w:tc>
        <w:tc>
          <w:tcPr>
            <w:tcW w:w="2410" w:type="dxa"/>
            <w:gridSpan w:val="2"/>
            <w:shd w:val="clear" w:color="auto" w:fill="auto"/>
          </w:tcPr>
          <w:p>
            <w:pPr>
              <w:spacing w:before="40" w:after="40" w:line="240" w:lineRule="auto"/>
              <w:rPr>
                <w:rFonts w:asciiTheme="majorBidi" w:hAnsiTheme="majorBidi" w:cstheme="majorBidi"/>
                <w:noProof/>
                <w:sz w:val="20"/>
                <w:lang w:val="fr-FR"/>
              </w:rPr>
            </w:pPr>
          </w:p>
        </w:tc>
        <w:tc>
          <w:tcPr>
            <w:tcW w:w="1418" w:type="dxa"/>
            <w:shd w:val="clear" w:color="auto" w:fill="auto"/>
          </w:tcPr>
          <w:p>
            <w:pPr>
              <w:spacing w:before="40" w:after="40" w:line="240" w:lineRule="auto"/>
              <w:rPr>
                <w:rFonts w:asciiTheme="majorBidi" w:hAnsiTheme="majorBidi" w:cstheme="majorBidi"/>
                <w:noProof/>
                <w:sz w:val="20"/>
                <w:lang w:val="fr-FR"/>
              </w:rPr>
            </w:pPr>
          </w:p>
        </w:tc>
        <w:tc>
          <w:tcPr>
            <w:tcW w:w="1417" w:type="dxa"/>
            <w:gridSpan w:val="2"/>
            <w:shd w:val="clear" w:color="auto" w:fill="auto"/>
          </w:tcPr>
          <w:p>
            <w:pPr>
              <w:spacing w:before="40" w:after="40" w:line="240" w:lineRule="auto"/>
              <w:rPr>
                <w:rFonts w:asciiTheme="majorBidi" w:hAnsiTheme="majorBidi" w:cstheme="majorBidi"/>
                <w:noProof/>
                <w:sz w:val="20"/>
                <w:lang w:val="fr-FR"/>
              </w:rPr>
            </w:pPr>
          </w:p>
        </w:tc>
        <w:tc>
          <w:tcPr>
            <w:tcW w:w="467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2. </w:t>
            </w:r>
            <w:r>
              <w:rPr>
                <w:noProof/>
                <w:sz w:val="20"/>
                <w:lang w:val="fr-CA"/>
              </w:rPr>
              <w:t>Rhinotrachéite bovine infectieuse : (sérum) ELISA</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noProof/>
                <w:sz w:val="20"/>
                <w:lang w:val="fr-CA"/>
              </w:rPr>
              <w:t>Le test de dépistage semestriel de la rhinotrachéite bovine infectieuse pour tous les animaux résidents doit être réalisé dans des installations exemptes de rhinotrachéite bovine infectieuse agréées pour les exportations vers l’Union européenne. Seules les installations exemptes de rhinotrachéite bovine infectieuse sont autorisées à exporter du sperme vers l’Union européenne</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rPr>
            </w:pPr>
            <w:r>
              <w:rPr>
                <w:b/>
                <w:bCs/>
                <w:noProof/>
                <w:sz w:val="18"/>
                <w:szCs w:val="18"/>
                <w:lang w:val="fr-CA"/>
              </w:rPr>
              <w:t>Embryons</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rPr>
            </w:pPr>
            <w:r>
              <w:rPr>
                <w:b/>
                <w:bCs/>
                <w:noProof/>
                <w:sz w:val="18"/>
                <w:szCs w:val="18"/>
                <w:lang w:val="fr-CA"/>
              </w:rPr>
              <w:t xml:space="preserve">Embryons de bovins obtenus par fécondation </w:t>
            </w:r>
            <w:r>
              <w:rPr>
                <w:b/>
                <w:bCs/>
                <w:i/>
                <w:noProof/>
                <w:sz w:val="18"/>
                <w:szCs w:val="18"/>
                <w:lang w:val="fr-CA"/>
              </w:rPr>
              <w:t>in vivo</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18"/>
                <w:szCs w:val="18"/>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 89/556</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XIII</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noProof/>
                <w:sz w:val="20"/>
                <w:lang w:val="fr-CA"/>
              </w:rPr>
              <w:t>Programme d’agrément pour l’exportation d’embryons de l’ACIA</w:t>
            </w:r>
          </w:p>
        </w:tc>
        <w:tc>
          <w:tcPr>
            <w:tcW w:w="1417" w:type="dxa"/>
            <w:gridSpan w:val="2"/>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 89/556</w:t>
            </w:r>
          </w:p>
          <w:p>
            <w:pPr>
              <w:spacing w:before="40" w:after="40" w:line="240" w:lineRule="auto"/>
              <w:rPr>
                <w:rFonts w:asciiTheme="majorBidi" w:hAnsiTheme="majorBidi" w:cstheme="majorBidi"/>
                <w:noProof/>
                <w:sz w:val="20"/>
              </w:rPr>
            </w:pPr>
            <w:r>
              <w:rPr>
                <w:rFonts w:asciiTheme="majorBidi" w:hAnsiTheme="majorBidi" w:cstheme="majorBidi"/>
                <w:noProof/>
                <w:sz w:val="20"/>
              </w:rPr>
              <w:t>Décisions</w:t>
            </w:r>
          </w:p>
          <w:p>
            <w:pPr>
              <w:spacing w:before="40" w:after="40" w:line="240" w:lineRule="auto"/>
              <w:rPr>
                <w:rFonts w:asciiTheme="majorBidi" w:hAnsiTheme="majorBidi" w:cstheme="majorBidi"/>
                <w:noProof/>
                <w:sz w:val="20"/>
              </w:rPr>
            </w:pPr>
            <w:r>
              <w:rPr>
                <w:rFonts w:asciiTheme="majorBidi" w:hAnsiTheme="majorBidi" w:cstheme="majorBidi"/>
                <w:noProof/>
                <w:sz w:val="20"/>
              </w:rPr>
              <w:t>2006/168</w:t>
            </w:r>
          </w:p>
          <w:p>
            <w:pPr>
              <w:spacing w:before="40" w:after="40" w:line="240" w:lineRule="auto"/>
              <w:rPr>
                <w:rFonts w:asciiTheme="majorBidi" w:hAnsiTheme="majorBidi" w:cstheme="majorBidi"/>
                <w:noProof/>
                <w:sz w:val="20"/>
                <w:lang w:val="en-CA"/>
              </w:rPr>
            </w:pPr>
            <w:r>
              <w:rPr>
                <w:rFonts w:asciiTheme="majorBidi" w:hAnsiTheme="majorBidi" w:cstheme="majorBidi"/>
                <w:noProof/>
                <w:sz w:val="20"/>
              </w:rPr>
              <w:t>2007/240</w:t>
            </w:r>
          </w:p>
        </w:tc>
        <w:tc>
          <w:tcPr>
            <w:tcW w:w="467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1. </w:t>
            </w:r>
            <w:r>
              <w:rPr>
                <w:noProof/>
                <w:sz w:val="20"/>
                <w:lang w:val="fr-CA"/>
              </w:rPr>
              <w:t>Les donneuses ont passé les six mois qui ont immédiatement précédé la collecte au Canada dans un maximum de deux troupeaux </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a)</w:t>
            </w:r>
            <w:r>
              <w:rPr>
                <w:rFonts w:asciiTheme="majorBidi" w:hAnsiTheme="majorBidi" w:cstheme="majorBidi"/>
                <w:noProof/>
                <w:sz w:val="20"/>
                <w:lang w:val="fr-FR"/>
              </w:rPr>
              <w:tab/>
            </w:r>
            <w:r>
              <w:rPr>
                <w:noProof/>
                <w:sz w:val="20"/>
                <w:lang w:val="fr-CA"/>
              </w:rPr>
              <w:t>qui, d’après les résultats officiels, étaient indemnes de tuberculose</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b)</w:t>
            </w:r>
            <w:r>
              <w:rPr>
                <w:rFonts w:asciiTheme="majorBidi" w:hAnsiTheme="majorBidi" w:cstheme="majorBidi"/>
                <w:noProof/>
                <w:sz w:val="20"/>
                <w:lang w:val="fr-FR"/>
              </w:rPr>
              <w:tab/>
            </w:r>
            <w:r>
              <w:rPr>
                <w:noProof/>
                <w:sz w:val="20"/>
                <w:lang w:val="fr-CA"/>
              </w:rPr>
              <w:t>qui, d’après les résultats officiels, étaient indemnes de brucellose</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c)</w:t>
            </w:r>
            <w:r>
              <w:rPr>
                <w:rFonts w:asciiTheme="majorBidi" w:hAnsiTheme="majorBidi" w:cstheme="majorBidi"/>
                <w:noProof/>
                <w:sz w:val="20"/>
                <w:lang w:val="fr-FR"/>
              </w:rPr>
              <w:tab/>
            </w:r>
            <w:r>
              <w:rPr>
                <w:noProof/>
                <w:sz w:val="20"/>
                <w:lang w:val="fr-CA"/>
              </w:rPr>
              <w:t>qui étaient indemnes de leucose bovine enzootique ou dans lesquels aucun animal n’a présenté de signes cliniques de cette maladie pendant les trois années précédentes</w:t>
            </w:r>
            <w:r>
              <w:rPr>
                <w:rFonts w:asciiTheme="majorBidi" w:hAnsiTheme="majorBidi" w:cstheme="majorBidi"/>
                <w:noProof/>
                <w:sz w:val="20"/>
                <w:lang w:val="fr-FR"/>
              </w:rPr>
              <w:t>; et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d)</w:t>
            </w:r>
            <w:r>
              <w:rPr>
                <w:rFonts w:asciiTheme="majorBidi" w:hAnsiTheme="majorBidi" w:cstheme="majorBidi"/>
                <w:noProof/>
                <w:sz w:val="20"/>
                <w:lang w:val="fr-FR"/>
              </w:rPr>
              <w:tab/>
            </w:r>
            <w:r>
              <w:rPr>
                <w:noProof/>
                <w:sz w:val="20"/>
                <w:lang w:val="fr-CA"/>
              </w:rPr>
              <w:t>dans lesquels aucun bovin n’a présenté de signes cliniques de rhinotrachéite bovine infectieuse/vulvovaginite pustuleuse infectieuse au cours des douze mois précédents.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2. </w:t>
            </w:r>
            <w:r>
              <w:rPr>
                <w:noProof/>
                <w:sz w:val="20"/>
                <w:lang w:val="fr-CA"/>
              </w:rPr>
              <w:t>Au cours des 30 jours précédant la date de la collecte, aucun cas de maladie hémorragique épizootique n’est survenu dans un rayon de 10 kilomètres du lieu où les donneuses étaient gardées.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3. </w:t>
            </w:r>
            <w:r>
              <w:rPr>
                <w:noProof/>
                <w:sz w:val="20"/>
                <w:lang w:val="fr-CA"/>
              </w:rPr>
              <w:t>Le sperme est collecté et entreposé dans un centre de collecte ou de stockage agréé par l’ACIA, ou le sperme est collecté et entreposé dans un centre de collecte ou de stockage agréé par l’autorité compétente d’un pays tiers autorisé à exporter du sperme vers l’Union européenne, ou le sperme est exporté à partir de l’Union européenne</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rPr>
            </w:pPr>
            <w:r>
              <w:rPr>
                <w:rFonts w:asciiTheme="majorBidi" w:hAnsiTheme="majorBidi" w:cstheme="majorBidi"/>
                <w:b/>
                <w:bCs/>
                <w:noProof/>
                <w:sz w:val="20"/>
                <w:lang w:val="fr-CA"/>
              </w:rPr>
              <w:t>Viandes fraîches</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rPr>
            </w:pPr>
            <w:r>
              <w:rPr>
                <w:rFonts w:asciiTheme="majorBidi" w:hAnsiTheme="majorBidi" w:cstheme="majorBidi"/>
                <w:b/>
                <w:bCs/>
                <w:noProof/>
                <w:sz w:val="20"/>
                <w:lang w:val="en-CA"/>
              </w:rPr>
              <w:t>Ruminants, équidés, animaux de l’espèce porcine, volaille, gibier d’élevage de cervidés, de lapin et de ratites</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18"/>
                <w:szCs w:val="18"/>
                <w:lang w:val="fr-CA" w:eastAsia="en-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18"/>
                <w:szCs w:val="18"/>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p>
            <w:pPr>
              <w:spacing w:before="40" w:after="40" w:line="240" w:lineRule="auto"/>
              <w:rPr>
                <w:rFonts w:asciiTheme="majorBidi" w:hAnsiTheme="majorBidi" w:cstheme="majorBidi"/>
                <w:noProof/>
                <w:sz w:val="20"/>
              </w:rPr>
            </w:pPr>
            <w:r>
              <w:rPr>
                <w:rFonts w:asciiTheme="majorBidi" w:hAnsiTheme="majorBidi" w:cstheme="majorBidi"/>
                <w:noProof/>
                <w:sz w:val="20"/>
              </w:rPr>
              <w:t>2015/1375</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r>
              <w:rPr>
                <w:noProof/>
                <w:sz w:val="20"/>
                <w:lang w:val="fr-CA"/>
              </w:rPr>
              <w:t>, L.R.C. 1985, ch. 25 (1</w:t>
            </w:r>
            <w:r>
              <w:rPr>
                <w:noProof/>
                <w:sz w:val="20"/>
                <w:vertAlign w:val="superscript"/>
                <w:lang w:val="fr-CA"/>
              </w:rPr>
              <w:t>er</w:t>
            </w:r>
            <w:r>
              <w:rPr>
                <w:noProof/>
                <w:sz w:val="20"/>
                <w:lang w:val="fr-CA"/>
              </w:rPr>
              <w:t> suppl.)</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 xml:space="preserve">Règlement de 1990 sur l’inspection des viandes, </w:t>
            </w:r>
            <w:r>
              <w:rPr>
                <w:noProof/>
                <w:sz w:val="20"/>
                <w:lang w:val="fr-CA"/>
              </w:rPr>
              <w:t>D.O.R.S./90-288</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r>
              <w:rPr>
                <w:noProof/>
                <w:sz w:val="20"/>
                <w:lang w:val="fr-CA"/>
              </w:rPr>
              <w:t>, L.R.C. 1985, ch. F-27</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r>
              <w:rPr>
                <w:noProof/>
                <w:sz w:val="20"/>
                <w:lang w:val="fr-CA"/>
              </w:rPr>
              <w:t>, C.R.C., ch. 870</w:t>
            </w:r>
          </w:p>
        </w:tc>
        <w:tc>
          <w:tcPr>
            <w:tcW w:w="2410" w:type="dxa"/>
            <w:gridSpan w:val="2"/>
            <w:shd w:val="clear" w:color="auto" w:fill="auto"/>
          </w:tcPr>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1. </w:t>
            </w:r>
            <w:r>
              <w:rPr>
                <w:noProof/>
                <w:sz w:val="20"/>
                <w:lang w:val="fr-CA" w:eastAsia="en-CA"/>
              </w:rPr>
              <w:t>Respect des règles canadiennes en matière</w:t>
            </w:r>
            <w:r>
              <w:rPr>
                <w:noProof/>
                <w:sz w:val="20"/>
                <w:lang w:val="fr-CA"/>
              </w:rPr>
              <w:t xml:space="preserve"> d’encéphalopathie spongiforme transmissible</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2. </w:t>
            </w:r>
            <w:r>
              <w:rPr>
                <w:noProof/>
                <w:sz w:val="20"/>
                <w:lang w:val="fr-CA"/>
              </w:rPr>
              <w:t>Interdiction de prolonger les délais d’éviscération</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3. </w:t>
            </w:r>
            <w:r>
              <w:rPr>
                <w:noProof/>
                <w:sz w:val="20"/>
                <w:lang w:val="fr-CA"/>
              </w:rPr>
              <w:t>Respect des critères microbiologiques d'innocuité alimentaire de la Partie importatrice</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rPr>
              <w:t xml:space="preserve">4. </w:t>
            </w:r>
            <w:r>
              <w:rPr>
                <w:noProof/>
                <w:sz w:val="20"/>
                <w:lang w:val="fr-CA" w:eastAsia="en-CA"/>
              </w:rPr>
              <w:t>La viande porcine destinée à la transformation dans un produit prêt à consommer est testée ou congelée conformément au règlement (CE) n</w:t>
            </w:r>
            <w:r>
              <w:rPr>
                <w:noProof/>
                <w:sz w:val="20"/>
                <w:vertAlign w:val="superscript"/>
                <w:lang w:val="fr-CA" w:eastAsia="en-CA"/>
              </w:rPr>
              <w:t>o</w:t>
            </w:r>
            <w:r>
              <w:rPr>
                <w:noProof/>
                <w:sz w:val="20"/>
                <w:lang w:val="fr-CA" w:eastAsia="en-CA"/>
              </w:rPr>
              <w:t> 2015/1375 de la Commission</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rPr>
              <w:t xml:space="preserve">5. </w:t>
            </w:r>
            <w:r>
              <w:rPr>
                <w:bCs/>
                <w:noProof/>
                <w:sz w:val="20"/>
                <w:lang w:val="fr-CA"/>
              </w:rPr>
              <w:t>Le sang est collecté selon une méthode fermée de collecte de sang</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6. </w:t>
            </w:r>
            <w:r>
              <w:rPr>
                <w:bCs/>
                <w:noProof/>
                <w:sz w:val="20"/>
                <w:lang w:val="fr-CA"/>
              </w:rPr>
              <w:t>La viande provenant d’animaux abattus selon des procédures d’abattage d’urgence n’est pas admissible au commerce</w:t>
            </w:r>
            <w:r>
              <w:rPr>
                <w:rFonts w:asciiTheme="majorBidi" w:hAnsiTheme="majorBidi" w:cstheme="majorBidi"/>
                <w:noProof/>
                <w:sz w:val="20"/>
                <w:lang w:val="fr-FR"/>
              </w:rPr>
              <w:t>.</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p>
            <w:pPr>
              <w:spacing w:before="40" w:after="40" w:line="240" w:lineRule="auto"/>
              <w:rPr>
                <w:rFonts w:asciiTheme="majorBidi" w:hAnsiTheme="majorBidi" w:cstheme="majorBidi"/>
                <w:noProof/>
                <w:sz w:val="20"/>
              </w:rPr>
            </w:pPr>
            <w:r>
              <w:rPr>
                <w:rFonts w:asciiTheme="majorBidi" w:hAnsiTheme="majorBidi" w:cstheme="majorBidi"/>
                <w:noProof/>
                <w:sz w:val="20"/>
              </w:rPr>
              <w:t>2015/1375</w:t>
            </w:r>
          </w:p>
        </w:tc>
        <w:tc>
          <w:tcPr>
            <w:tcW w:w="4678" w:type="dxa"/>
            <w:shd w:val="clear" w:color="auto" w:fill="auto"/>
          </w:tcPr>
          <w:p>
            <w:pPr>
              <w:spacing w:before="40" w:after="40" w:line="240" w:lineRule="auto"/>
              <w:rPr>
                <w:rFonts w:asciiTheme="majorBidi" w:hAnsiTheme="majorBidi" w:cstheme="majorBidi"/>
                <w:noProof/>
                <w:sz w:val="20"/>
              </w:rPr>
            </w:pPr>
            <w:r>
              <w:rPr>
                <w:bCs/>
                <w:noProof/>
                <w:sz w:val="20"/>
                <w:lang w:val="fr-CA"/>
              </w:rPr>
              <w:t>Voir l’appendice A</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rPr>
            </w:pPr>
            <w:r>
              <w:rPr>
                <w:b/>
                <w:noProof/>
                <w:sz w:val="18"/>
                <w:szCs w:val="18"/>
                <w:lang w:val="fr-CA"/>
              </w:rPr>
              <w:t>Produits de viande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eastAsia="en-CA"/>
              </w:rPr>
              <w:t>Ruminants, équidés, animaux de l’espèce porcine, volaille et gibier d’élevage</w:t>
            </w:r>
          </w:p>
        </w:tc>
      </w:tr>
      <w:tr>
        <w:trPr>
          <w:trHeight w:val="227"/>
        </w:trPr>
        <w:tc>
          <w:tcPr>
            <w:tcW w:w="993" w:type="dxa"/>
            <w:shd w:val="clear" w:color="auto" w:fill="auto"/>
          </w:tcPr>
          <w:p>
            <w:pPr>
              <w:spacing w:before="40" w:after="40" w:line="240" w:lineRule="auto"/>
              <w:rPr>
                <w:rFonts w:asciiTheme="majorBidi" w:hAnsiTheme="majorBidi" w:cstheme="majorBidi"/>
                <w:noProof/>
                <w:sz w:val="20"/>
                <w:lang w:val="en-CA" w:eastAsia="en-CA"/>
              </w:rPr>
            </w:pPr>
            <w:r>
              <w:rPr>
                <w:noProof/>
                <w:sz w:val="18"/>
                <w:szCs w:val="18"/>
                <w:lang w:val="fr-CA" w:eastAsia="en-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18"/>
                <w:szCs w:val="18"/>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410" w:type="dxa"/>
            <w:gridSpan w:val="2"/>
            <w:shd w:val="clear" w:color="auto" w:fill="auto"/>
          </w:tcPr>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1. </w:t>
            </w:r>
            <w:r>
              <w:rPr>
                <w:noProof/>
                <w:sz w:val="20"/>
                <w:lang w:val="fr-CA" w:eastAsia="en-CA"/>
              </w:rPr>
              <w:t>La viande fraîche utilisée pour la fabrication des produits est conforme aux conditions particulières applicables, sauf la condition particulière</w:t>
            </w:r>
            <w:r>
              <w:rPr>
                <w:noProof/>
                <w:sz w:val="20"/>
                <w:lang w:val="fr-CA"/>
              </w:rPr>
              <w:t xml:space="preserve"> 4 lorsque le produit fini est traité à la chaleur à une température suffisante pour détruire </w:t>
            </w:r>
            <w:r>
              <w:rPr>
                <w:i/>
                <w:noProof/>
                <w:sz w:val="20"/>
                <w:lang w:val="fr-CA"/>
              </w:rPr>
              <w:t>Trichinella</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color w:val="FF0000"/>
                <w:sz w:val="20"/>
                <w:lang w:val="fr-FR"/>
              </w:rPr>
            </w:pPr>
            <w:r>
              <w:rPr>
                <w:rFonts w:asciiTheme="majorBidi" w:hAnsiTheme="majorBidi" w:cstheme="majorBidi"/>
                <w:noProof/>
                <w:sz w:val="20"/>
                <w:lang w:val="fr-FR"/>
              </w:rPr>
              <w:t xml:space="preserve">3. </w:t>
            </w:r>
            <w:r>
              <w:rPr>
                <w:noProof/>
                <w:sz w:val="20"/>
                <w:lang w:val="fr-CA"/>
              </w:rPr>
              <w:t>Respect des critères microbiologiques d'innocuité alimentaire de la Partie importatrice</w:t>
            </w:r>
            <w:r>
              <w:rPr>
                <w:rFonts w:asciiTheme="majorBidi" w:hAnsiTheme="majorBidi" w:cstheme="majorBidi"/>
                <w:noProof/>
                <w:sz w:val="20"/>
                <w:lang w:val="fr-FR"/>
              </w:rPr>
              <w:t>.</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18"/>
                <w:szCs w:val="18"/>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p>
            <w:pPr>
              <w:spacing w:before="40" w:after="40" w:line="240" w:lineRule="auto"/>
              <w:rPr>
                <w:rFonts w:asciiTheme="majorBidi" w:hAnsiTheme="majorBidi" w:cstheme="majorBidi"/>
                <w:strike/>
                <w:noProof/>
                <w:sz w:val="20"/>
              </w:rPr>
            </w:pP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1. </w:t>
            </w:r>
            <w:r>
              <w:rPr>
                <w:noProof/>
                <w:sz w:val="20"/>
                <w:lang w:val="fr-CA" w:eastAsia="en-CA"/>
              </w:rPr>
              <w:t xml:space="preserve">La viande fraîche utilisée pour la fabrication des produits est conforme aux conditions particulières applicables, </w:t>
            </w:r>
            <w:r>
              <w:rPr>
                <w:noProof/>
                <w:sz w:val="20"/>
                <w:lang w:val="fr-CA"/>
              </w:rPr>
              <w:t xml:space="preserve">sauf la condition particulière 6a) de l’appendice A, lorsque le produit fini est traité à la chaleur à une température suffisante pour détruire </w:t>
            </w:r>
            <w:r>
              <w:rPr>
                <w:i/>
                <w:noProof/>
                <w:sz w:val="20"/>
                <w:lang w:val="fr-CA"/>
              </w:rPr>
              <w:t>Trichinella</w:t>
            </w:r>
            <w:r>
              <w:rPr>
                <w:noProof/>
                <w:sz w:val="20"/>
                <w:lang w:val="fr-CA"/>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color w:val="FF0000"/>
                <w:sz w:val="20"/>
                <w:lang w:val="fr-FR"/>
              </w:rPr>
            </w:pPr>
            <w:r>
              <w:rPr>
                <w:rFonts w:asciiTheme="majorBidi" w:hAnsiTheme="majorBidi" w:cstheme="majorBidi"/>
                <w:noProof/>
                <w:sz w:val="20"/>
                <w:lang w:val="fr-FR"/>
              </w:rPr>
              <w:t xml:space="preserve">3. </w:t>
            </w:r>
            <w:r>
              <w:rPr>
                <w:noProof/>
                <w:sz w:val="20"/>
                <w:lang w:val="fr-CA"/>
              </w:rPr>
              <w:t>Respect des critères microbiologiques d'innocuité alimentaire de la Partie importatrice</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Viandes hachées et préparations à base de viande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eastAsia="en-CA"/>
              </w:rPr>
              <w:t>Ruminants, équidés, animaux de l’espèce porcine, volaille et gibier d’élevage</w:t>
            </w:r>
          </w:p>
        </w:tc>
      </w:tr>
      <w:tr>
        <w:trPr>
          <w:trHeight w:val="227"/>
        </w:trPr>
        <w:tc>
          <w:tcPr>
            <w:tcW w:w="993" w:type="dxa"/>
            <w:shd w:val="clear" w:color="auto" w:fill="auto"/>
          </w:tcPr>
          <w:p>
            <w:pPr>
              <w:spacing w:before="40" w:after="40" w:line="240" w:lineRule="auto"/>
              <w:rPr>
                <w:rFonts w:asciiTheme="majorBidi" w:hAnsiTheme="majorBidi" w:cstheme="majorBidi"/>
                <w:noProof/>
                <w:sz w:val="20"/>
                <w:lang w:val="en-CA" w:eastAsia="en-CA"/>
              </w:rPr>
            </w:pPr>
            <w:r>
              <w:rPr>
                <w:noProof/>
                <w:sz w:val="18"/>
                <w:szCs w:val="18"/>
                <w:lang w:val="fr-CA" w:eastAsia="en-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rFonts w:ascii="Sabon-Roman" w:hAnsi="Sabon-Roman" w:cs="Sabon-Roman"/>
                <w:noProof/>
                <w:sz w:val="20"/>
                <w:lang w:val="fr-CA"/>
              </w:rPr>
              <w:t>Règlements</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r>
              <w:rPr>
                <w:rFonts w:asciiTheme="majorBidi" w:hAnsiTheme="majorBidi" w:cstheme="majorBidi"/>
                <w:noProof/>
                <w:sz w:val="20"/>
              </w:rPr>
              <w:b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376" w:type="dxa"/>
            <w:shd w:val="clear" w:color="auto" w:fill="auto"/>
          </w:tcPr>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1. </w:t>
            </w:r>
            <w:r>
              <w:rPr>
                <w:noProof/>
                <w:sz w:val="20"/>
                <w:lang w:val="fr-CA" w:eastAsia="en-CA"/>
              </w:rPr>
              <w:t>La viande fraîche utilisée pour la fabrication des produits est conforme aux conditions particulières applicables</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rPr>
              <w:t xml:space="preserve">3. </w:t>
            </w:r>
            <w:r>
              <w:rPr>
                <w:noProof/>
                <w:sz w:val="20"/>
                <w:lang w:val="fr-CA"/>
              </w:rPr>
              <w:t>Respect des critères microbiologiques d'innocuité alimentaire de la Partie importatrice</w:t>
            </w:r>
            <w:r>
              <w:rPr>
                <w:rFonts w:asciiTheme="majorBidi" w:hAnsiTheme="majorBidi" w:cstheme="majorBidi"/>
                <w:noProof/>
                <w:sz w:val="20"/>
                <w:lang w:val="fr-FR"/>
              </w:rPr>
              <w:t>.</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1. </w:t>
            </w:r>
            <w:r>
              <w:rPr>
                <w:noProof/>
                <w:sz w:val="20"/>
                <w:lang w:val="fr-CA" w:eastAsia="en-CA"/>
              </w:rPr>
              <w:t>La viande fraîche utilisée pour la fabrication des produits est conforme aux conditions particulières applicables</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rPr>
              <w:t xml:space="preserve">3. </w:t>
            </w:r>
            <w:r>
              <w:rPr>
                <w:noProof/>
                <w:sz w:val="20"/>
                <w:lang w:val="fr-CA"/>
              </w:rPr>
              <w:t>Respect des critères microbiologiques d'innocuité alimentaire de la Partie importatrice</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Protéines animales transformées destinées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rPr>
            </w:pPr>
            <w:r>
              <w:rPr>
                <w:b/>
                <w:noProof/>
                <w:sz w:val="18"/>
                <w:szCs w:val="18"/>
                <w:lang w:val="fr-CA" w:eastAsia="en-CA"/>
              </w:rPr>
              <w:t>Ruminants, équidés, animaux de l’espèce porcine, volaille et gibier d’élevage</w:t>
            </w:r>
          </w:p>
        </w:tc>
      </w:tr>
      <w:tr>
        <w:trPr>
          <w:trHeight w:val="227"/>
        </w:trPr>
        <w:tc>
          <w:tcPr>
            <w:tcW w:w="993" w:type="dxa"/>
            <w:shd w:val="clear" w:color="auto" w:fill="auto"/>
          </w:tcPr>
          <w:p>
            <w:pPr>
              <w:spacing w:before="40" w:after="40" w:line="240" w:lineRule="auto"/>
              <w:rPr>
                <w:rFonts w:asciiTheme="majorBidi" w:hAnsiTheme="majorBidi" w:cstheme="majorBidi"/>
                <w:noProof/>
                <w:sz w:val="20"/>
                <w:lang w:val="en-CA" w:eastAsia="en-CA"/>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376"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1. La viande fraîche utilisée pour la fabrication des produits est conforme aux conditions particulières applicables, sauf la condition particulière</w:t>
            </w:r>
            <w:r>
              <w:rPr>
                <w:noProof/>
                <w:sz w:val="20"/>
                <w:lang w:val="fr-CA"/>
              </w:rPr>
              <w:t xml:space="preserve"> 4 lorsque le produit fini est traité à la chaleur à une température suffisante pour détruire </w:t>
            </w:r>
            <w:r>
              <w:rPr>
                <w:i/>
                <w:noProof/>
                <w:sz w:val="20"/>
                <w:lang w:val="fr-CA"/>
              </w:rPr>
              <w:t>Trichinella</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1. La viande fraîche utilisée pour la fabrication des produits est conforme aux conditions particulières applicables, sauf la condition particulière</w:t>
            </w:r>
            <w:r>
              <w:rPr>
                <w:noProof/>
                <w:sz w:val="20"/>
                <w:lang w:val="fr-CA"/>
              </w:rPr>
              <w:t xml:space="preserve"> 6a) de l’appendice A lorsque le produit fini est traité à la chaleur à une température suffisante pour détruire </w:t>
            </w:r>
            <w:r>
              <w:rPr>
                <w:i/>
                <w:noProof/>
                <w:sz w:val="20"/>
                <w:lang w:val="fr-CA"/>
              </w:rPr>
              <w:t>Trichinella</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 xml:space="preserve">2. </w:t>
            </w:r>
            <w:r>
              <w:rPr>
                <w:noProof/>
                <w:sz w:val="20"/>
                <w:lang w:val="fr-CA" w:eastAsia="en-CA"/>
              </w:rPr>
              <w:t>Respect des normes de produits de la Partie importatrice</w:t>
            </w:r>
            <w:r>
              <w:rPr>
                <w:rFonts w:asciiTheme="majorBidi" w:hAnsiTheme="majorBidi" w:cstheme="majorBidi"/>
                <w:noProof/>
                <w:sz w:val="20"/>
                <w:lang w:val="fr-FR" w:eastAsia="en-CA"/>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Graisses animales fondues destinées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rPr>
            </w:pPr>
            <w:r>
              <w:rPr>
                <w:b/>
                <w:noProof/>
                <w:sz w:val="18"/>
                <w:szCs w:val="18"/>
                <w:lang w:val="fr-CA" w:eastAsia="en-CA"/>
              </w:rPr>
              <w:t>Ruminants, équidés, animaux de l’espèce porcine, volaille et gibier d’élevage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376"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1. La viande fraîche utilisée pour la fabrication des produits est conforme aux conditions particulières, sauf la condition particulière</w:t>
            </w:r>
            <w:r>
              <w:rPr>
                <w:noProof/>
                <w:sz w:val="20"/>
                <w:lang w:val="fr-CA"/>
              </w:rPr>
              <w:t> 4</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eastAsia="en-CA"/>
              </w:rPr>
            </w:pPr>
            <w:r>
              <w:rPr>
                <w:noProof/>
                <w:sz w:val="20"/>
                <w:lang w:val="fr-CA" w:eastAsia="en-CA"/>
              </w:rPr>
              <w:t>2. Respect des normes de produits de la Partie importatrice</w:t>
            </w:r>
            <w:r>
              <w:rPr>
                <w:rFonts w:asciiTheme="majorBidi" w:hAnsiTheme="majorBidi" w:cstheme="majorBidi"/>
                <w:noProof/>
                <w:sz w:val="20"/>
                <w:lang w:val="fr-FR" w:eastAsia="en-CA"/>
              </w:rPr>
              <w:t>.</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1. La viande fraîche utilisée pour la fabrication des produits est conforme aux conditions particulières applicables, sauf la condition particulière</w:t>
            </w:r>
            <w:r>
              <w:rPr>
                <w:noProof/>
                <w:sz w:val="20"/>
                <w:lang w:val="fr-CA"/>
              </w:rPr>
              <w:t> 6a) de l’appendice A</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eastAsia="en-CA"/>
              </w:rPr>
            </w:pPr>
            <w:r>
              <w:rPr>
                <w:rFonts w:asciiTheme="majorBidi" w:hAnsiTheme="majorBidi" w:cstheme="majorBidi"/>
                <w:noProof/>
                <w:sz w:val="20"/>
                <w:lang w:val="fr-FR" w:eastAsia="en-CA"/>
              </w:rPr>
              <w:t>2</w:t>
            </w:r>
            <w:r>
              <w:rPr>
                <w:noProof/>
                <w:sz w:val="20"/>
                <w:lang w:val="fr-CA" w:eastAsia="en-CA"/>
              </w:rPr>
              <w:t>. Respect des normes de produits de la Partie importatrice</w:t>
            </w:r>
            <w:r>
              <w:rPr>
                <w:rFonts w:asciiTheme="majorBidi" w:hAnsiTheme="majorBidi" w:cstheme="majorBidi"/>
                <w:noProof/>
                <w:sz w:val="20"/>
                <w:lang w:val="fr-FR" w:eastAsia="en-CA"/>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eastAsia="en-CA"/>
              </w:rPr>
            </w:pPr>
            <w:r>
              <w:rPr>
                <w:b/>
                <w:noProof/>
                <w:sz w:val="18"/>
                <w:szCs w:val="18"/>
                <w:lang w:val="fr-CA" w:eastAsia="en-CA"/>
              </w:rPr>
              <w:t>Boyaux d’animaux destinés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rPr>
              <w:t>Animaux de l’espèce bovine, ovine, caprine et porcine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376"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 xml:space="preserve">Respect des règles canadiennes en matière d’encéphalopathie </w:t>
            </w:r>
            <w:r>
              <w:rPr>
                <w:noProof/>
                <w:sz w:val="20"/>
                <w:lang w:val="fr-CA"/>
              </w:rPr>
              <w:t>spongiforme transmissible</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 xml:space="preserve">Regulations </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4678" w:type="dxa"/>
            <w:shd w:val="clear" w:color="auto" w:fill="auto"/>
          </w:tcPr>
          <w:p>
            <w:pPr>
              <w:spacing w:before="40" w:after="40" w:line="240" w:lineRule="auto"/>
              <w:rPr>
                <w:rFonts w:asciiTheme="majorBidi" w:hAnsiTheme="majorBidi" w:cstheme="majorBidi"/>
                <w:noProof/>
                <w:sz w:val="20"/>
                <w:lang w:val="fr-CA" w:eastAsia="en-CA"/>
              </w:rPr>
            </w:pPr>
            <w:r>
              <w:rPr>
                <w:rFonts w:asciiTheme="majorBidi" w:hAnsiTheme="majorBidi" w:cstheme="majorBidi"/>
                <w:noProof/>
                <w:sz w:val="20"/>
                <w:lang w:val="fr-CA" w:eastAsia="en-CA"/>
              </w:rPr>
              <w:t>Respect des règles de l’Union européenne en matière d’encéphalopathie spongiforme transmissible</w:t>
            </w:r>
          </w:p>
          <w:p>
            <w:pPr>
              <w:spacing w:before="40" w:after="40" w:line="240" w:lineRule="auto"/>
              <w:rPr>
                <w:rFonts w:asciiTheme="majorBidi" w:hAnsiTheme="majorBidi" w:cstheme="majorBidi"/>
                <w:noProof/>
                <w:sz w:val="20"/>
                <w:lang w:val="en-CA" w:eastAsia="en-CA"/>
              </w:rPr>
            </w:pP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eastAsia="en-CA"/>
              </w:rPr>
            </w:pPr>
            <w:r>
              <w:rPr>
                <w:b/>
                <w:bCs/>
                <w:noProof/>
                <w:sz w:val="18"/>
                <w:szCs w:val="18"/>
                <w:lang w:val="fr-CA"/>
              </w:rPr>
              <w:t>Produits de la pêche et mollusques bivalves vivants</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rPr>
              <w:t>Poissons et produits de la pêche destinés à la consommation humaine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p>
            <w:pPr>
              <w:spacing w:before="40" w:after="40" w:line="240" w:lineRule="auto"/>
              <w:rPr>
                <w:rFonts w:asciiTheme="majorBidi" w:hAnsiTheme="majorBidi" w:cstheme="majorBidi"/>
                <w:noProof/>
                <w:sz w:val="20"/>
              </w:rPr>
            </w:pPr>
            <w:r>
              <w:rPr>
                <w:rFonts w:asciiTheme="majorBidi" w:hAnsiTheme="majorBidi" w:cstheme="majorBidi"/>
                <w:noProof/>
                <w:sz w:val="20"/>
              </w:rPr>
              <w:t>2074/2005</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du poisson</w:t>
            </w:r>
            <w:r>
              <w:rPr>
                <w:noProof/>
                <w:sz w:val="20"/>
                <w:lang w:val="fr-CA"/>
              </w:rPr>
              <w:t>, L.R.C. 1985, ch. F-12</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r>
              <w:rPr>
                <w:noProof/>
                <w:sz w:val="20"/>
                <w:lang w:val="fr-CA"/>
              </w:rPr>
              <w:t>, C.R.C., ch. 802</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r>
              <w:rPr>
                <w:noProof/>
                <w:sz w:val="20"/>
                <w:lang w:val="fr-CA"/>
              </w:rPr>
              <w:t>Le poisson fumé emballé dans des contenants scellés hermétiquement qui n’est pas congelé doit avoir une teneur en sel d’au moins 9 p. cent (méthode de la phase aqueuse)</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vertAlign w:val="superscript"/>
                <w:lang w:val="fr-FR"/>
              </w:rPr>
            </w:pPr>
          </w:p>
          <w:p>
            <w:pPr>
              <w:spacing w:before="40" w:after="40" w:line="240" w:lineRule="auto"/>
              <w:rPr>
                <w:rFonts w:asciiTheme="majorBidi" w:hAnsiTheme="majorBidi" w:cstheme="majorBidi"/>
                <w:noProof/>
                <w:sz w:val="20"/>
                <w:lang w:val="fr-FR"/>
              </w:rPr>
            </w:pPr>
            <w:r>
              <w:rPr>
                <w:noProof/>
                <w:sz w:val="20"/>
                <w:lang w:val="fr-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r>
              <w:rPr>
                <w:rFonts w:asciiTheme="majorBidi" w:hAnsiTheme="majorBidi" w:cstheme="majorBidi"/>
                <w:noProof/>
                <w:sz w:val="20"/>
                <w:lang w:val="fr-FR"/>
              </w:rPr>
              <w:t>.</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p>
            <w:pPr>
              <w:spacing w:before="40" w:after="40" w:line="240" w:lineRule="auto"/>
              <w:rPr>
                <w:rFonts w:asciiTheme="majorBidi" w:hAnsiTheme="majorBidi" w:cstheme="majorBidi"/>
                <w:noProof/>
                <w:sz w:val="20"/>
              </w:rPr>
            </w:pPr>
            <w:r>
              <w:rPr>
                <w:rFonts w:asciiTheme="majorBidi" w:hAnsiTheme="majorBidi" w:cstheme="majorBidi"/>
                <w:noProof/>
                <w:sz w:val="20"/>
              </w:rPr>
              <w:t>2074/2005</w:t>
            </w: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r>
              <w:rPr>
                <w:rFonts w:asciiTheme="majorBidi" w:hAnsiTheme="majorBidi" w:cstheme="majorBidi"/>
                <w:noProof/>
                <w:sz w:val="20"/>
                <w:lang w:val="fr-FR" w:eastAsia="en-CA"/>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en-CA" w:eastAsia="en-CA"/>
              </w:rPr>
            </w:pPr>
            <w:r>
              <w:rPr>
                <w:rFonts w:asciiTheme="majorBidi" w:hAnsiTheme="majorBidi" w:cstheme="majorBidi"/>
                <w:b/>
                <w:bCs/>
                <w:noProof/>
                <w:sz w:val="20"/>
                <w:lang w:val="fr-CA"/>
              </w:rPr>
              <w:t>Poissons éviscérés et étêtés destinés à la consommation humaine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 xml:space="preserve">Directive </w:t>
            </w:r>
          </w:p>
          <w:p>
            <w:pPr>
              <w:spacing w:before="40" w:after="40" w:line="240" w:lineRule="auto"/>
              <w:rPr>
                <w:rFonts w:asciiTheme="majorBidi" w:hAnsiTheme="majorBidi" w:cstheme="majorBidi"/>
                <w:noProof/>
                <w:sz w:val="20"/>
              </w:rPr>
            </w:pPr>
            <w:r>
              <w:rPr>
                <w:rFonts w:asciiTheme="majorBidi" w:hAnsiTheme="majorBidi" w:cstheme="majorBidi"/>
                <w:noProof/>
                <w:sz w:val="20"/>
              </w:rPr>
              <w:t>2006/88</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XVI</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maladies déclarables</w:t>
            </w:r>
            <w:r>
              <w:rPr>
                <w:noProof/>
                <w:sz w:val="20"/>
                <w:lang w:val="fr-CA"/>
              </w:rPr>
              <w:t>, D.O.R.S./91-2</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XVI</w:t>
            </w:r>
          </w:p>
        </w:tc>
        <w:tc>
          <w:tcPr>
            <w:tcW w:w="1417" w:type="dxa"/>
            <w:gridSpan w:val="2"/>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w:t>
            </w:r>
          </w:p>
          <w:p>
            <w:pPr>
              <w:spacing w:before="40" w:after="40" w:line="240" w:lineRule="auto"/>
              <w:rPr>
                <w:rFonts w:asciiTheme="majorBidi" w:hAnsiTheme="majorBidi" w:cstheme="majorBidi"/>
                <w:noProof/>
                <w:sz w:val="20"/>
              </w:rPr>
            </w:pPr>
            <w:r>
              <w:rPr>
                <w:rFonts w:asciiTheme="majorBidi" w:hAnsiTheme="majorBidi" w:cstheme="majorBidi"/>
                <w:noProof/>
                <w:sz w:val="20"/>
              </w:rPr>
              <w:t>2006/88</w:t>
            </w:r>
          </w:p>
          <w:p>
            <w:pPr>
              <w:spacing w:before="40" w:after="40" w:line="240" w:lineRule="auto"/>
              <w:rPr>
                <w:rFonts w:asciiTheme="majorBidi" w:hAnsiTheme="majorBidi" w:cstheme="majorBidi"/>
                <w:noProof/>
                <w:sz w:val="20"/>
              </w:rPr>
            </w:pPr>
            <w:r>
              <w:rPr>
                <w:rFonts w:ascii="Sabon-Roman" w:hAnsi="Sabon-Roman" w:cs="Sabon-Roman"/>
                <w:noProof/>
                <w:sz w:val="20"/>
                <w:lang w:val="fr-CA"/>
              </w:rPr>
              <w:t>Règlement</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 xml:space="preserve">1251/2008 </w:t>
            </w:r>
          </w:p>
        </w:tc>
        <w:tc>
          <w:tcPr>
            <w:tcW w:w="4678" w:type="dxa"/>
            <w:shd w:val="clear" w:color="auto" w:fill="auto"/>
          </w:tcPr>
          <w:p>
            <w:pPr>
              <w:spacing w:before="40" w:after="40" w:line="240" w:lineRule="auto"/>
              <w:rPr>
                <w:rFonts w:asciiTheme="majorBidi" w:hAnsiTheme="majorBidi" w:cstheme="majorBidi"/>
                <w:noProof/>
                <w:sz w:val="20"/>
              </w:rPr>
            </w:pP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Mollusques bivalves vivants destinés à la consommation humaine, y compris les échinodermes, les tuniciers et les gastropodes</w:t>
            </w:r>
          </w:p>
        </w:tc>
      </w:tr>
      <w:tr>
        <w:trPr>
          <w:trHeight w:val="227"/>
        </w:trPr>
        <w:tc>
          <w:tcPr>
            <w:tcW w:w="993" w:type="dxa"/>
            <w:shd w:val="clear" w:color="auto" w:fill="auto"/>
          </w:tcPr>
          <w:p>
            <w:pPr>
              <w:spacing w:before="40" w:after="40" w:line="240" w:lineRule="auto"/>
              <w:rPr>
                <w:rFonts w:asciiTheme="majorBidi" w:hAnsiTheme="majorBidi" w:cstheme="majorBidi"/>
                <w:noProof/>
                <w:sz w:val="20"/>
                <w:lang w:val="en-CA"/>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2074/2005</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i/>
                <w:noProof/>
                <w:sz w:val="20"/>
                <w:lang w:val="fr-CA"/>
              </w:rPr>
            </w:pPr>
            <w:r>
              <w:rPr>
                <w:rFonts w:asciiTheme="majorBidi" w:hAnsiTheme="majorBidi" w:cstheme="majorBidi"/>
                <w:noProof/>
                <w:sz w:val="20"/>
                <w:lang w:val="fr-FR"/>
              </w:rPr>
              <w:t xml:space="preserve">- </w:t>
            </w:r>
            <w:r>
              <w:rPr>
                <w:rFonts w:asciiTheme="majorBidi" w:hAnsiTheme="majorBidi" w:cstheme="majorBidi"/>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r>
              <w:rPr>
                <w:noProof/>
                <w:sz w:val="20"/>
                <w:lang w:val="fr-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r>
              <w:rPr>
                <w:rFonts w:asciiTheme="majorBidi" w:hAnsiTheme="majorBidi" w:cstheme="majorBidi"/>
                <w:noProof/>
                <w:sz w:val="20"/>
                <w:lang w:val="fr-FR"/>
              </w:rPr>
              <w:t>.</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gestion de la pêche du poisson contaminé</w:t>
            </w:r>
            <w:r>
              <w:rPr>
                <w:noProof/>
                <w:sz w:val="20"/>
                <w:lang w:val="fr-CA"/>
              </w:rPr>
              <w:t>, D.O.R.S./90-351</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2074/2005</w:t>
            </w:r>
          </w:p>
        </w:tc>
        <w:tc>
          <w:tcPr>
            <w:tcW w:w="4678" w:type="dxa"/>
            <w:shd w:val="clear" w:color="auto" w:fill="auto"/>
          </w:tcPr>
          <w:p>
            <w:pPr>
              <w:spacing w:before="40" w:after="40" w:line="240" w:lineRule="auto"/>
              <w:rPr>
                <w:rFonts w:asciiTheme="majorBidi" w:hAnsiTheme="majorBidi" w:cstheme="majorBidi"/>
                <w:noProof/>
                <w:sz w:val="20"/>
                <w:lang w:val="fr-FR"/>
              </w:rPr>
            </w:pPr>
            <w:r>
              <w:rPr>
                <w:noProof/>
                <w:sz w:val="20"/>
                <w:lang w:val="fr-CA"/>
              </w:rPr>
              <w:t>Les mollusques bivalves vivants font l’objet d’une surveillance pour les toxines diarrhéiques selon une approche fondée sur les risques</w:t>
            </w:r>
            <w:r>
              <w:rPr>
                <w:rFonts w:asciiTheme="majorBidi" w:hAnsiTheme="majorBidi" w:cstheme="majorBidi"/>
                <w:noProof/>
                <w:sz w:val="20"/>
                <w:lang w:val="fr-FR"/>
              </w:rPr>
              <w:t>.</w:t>
            </w:r>
          </w:p>
          <w:p>
            <w:pPr>
              <w:spacing w:before="40" w:after="40" w:line="240" w:lineRule="auto"/>
              <w:rPr>
                <w:rFonts w:asciiTheme="majorBidi" w:hAnsiTheme="majorBidi" w:cstheme="majorBidi"/>
                <w:noProof/>
                <w:sz w:val="20"/>
                <w:lang w:val="fr-FR"/>
              </w:rPr>
            </w:pPr>
            <w:r>
              <w:rPr>
                <w:noProof/>
                <w:sz w:val="20"/>
                <w:lang w:val="fr-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color w:val="19161A"/>
                <w:sz w:val="20"/>
                <w:lang w:val="fr-FR"/>
              </w:rPr>
            </w:pPr>
            <w:r>
              <w:rPr>
                <w:b/>
                <w:noProof/>
                <w:color w:val="19161A"/>
                <w:sz w:val="18"/>
                <w:szCs w:val="18"/>
                <w:lang w:val="fr-CA"/>
              </w:rPr>
              <w:t>Poisson capturé en vertu d’un permis de pêche récréative du Canada</w:t>
            </w:r>
          </w:p>
        </w:tc>
      </w:tr>
      <w:tr>
        <w:trPr>
          <w:trHeight w:val="227"/>
        </w:trPr>
        <w:tc>
          <w:tcPr>
            <w:tcW w:w="993" w:type="dxa"/>
            <w:shd w:val="clear" w:color="auto" w:fill="auto"/>
          </w:tcPr>
          <w:p>
            <w:pPr>
              <w:spacing w:before="40" w:after="40" w:line="240" w:lineRule="auto"/>
              <w:rPr>
                <w:rFonts w:asciiTheme="majorBidi" w:hAnsiTheme="majorBidi" w:cstheme="majorBidi"/>
                <w:strike/>
                <w:noProof/>
                <w:sz w:val="20"/>
                <w:lang w:val="en-CA"/>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p>
        </w:tc>
        <w:tc>
          <w:tcPr>
            <w:tcW w:w="1842" w:type="dxa"/>
            <w:shd w:val="clear" w:color="auto" w:fill="auto"/>
          </w:tcPr>
          <w:p>
            <w:pPr>
              <w:spacing w:before="40" w:after="40" w:line="240" w:lineRule="auto"/>
              <w:rPr>
                <w:rFonts w:asciiTheme="majorBidi" w:hAnsiTheme="majorBidi" w:cstheme="majorBidi"/>
                <w:noProof/>
                <w:sz w:val="20"/>
              </w:rPr>
            </w:pPr>
          </w:p>
        </w:tc>
        <w:tc>
          <w:tcPr>
            <w:tcW w:w="2376" w:type="dxa"/>
            <w:shd w:val="clear" w:color="auto" w:fill="auto"/>
          </w:tcPr>
          <w:p>
            <w:pPr>
              <w:spacing w:before="40" w:after="40" w:line="240" w:lineRule="auto"/>
              <w:rPr>
                <w:rFonts w:asciiTheme="majorBidi" w:hAnsiTheme="majorBidi" w:cstheme="majorBidi"/>
                <w:noProof/>
                <w:sz w:val="20"/>
              </w:rPr>
            </w:pP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tc>
        <w:tc>
          <w:tcPr>
            <w:tcW w:w="1275"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2073/2005</w:t>
            </w:r>
          </w:p>
        </w:tc>
        <w:tc>
          <w:tcPr>
            <w:tcW w:w="4820" w:type="dxa"/>
            <w:gridSpan w:val="2"/>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Dans le cas du poisson capturé en vertu d’un permis de pêche récréative du Canada libellé au nom de l’importateur, les conditions suivantes s’appliquent </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r>
              <w:rPr>
                <w:noProof/>
                <w:sz w:val="20"/>
                <w:lang w:val="fr-CA" w:eastAsia="en-CA"/>
              </w:rPr>
              <w:t>1. Le poisson a été capturé dans les eaux canadiennes pendant la période de validité du permis, conformément à la réglementation de la pêche sportive du Canada, et les limites de possession sont respectées</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r>
              <w:rPr>
                <w:noProof/>
                <w:sz w:val="20"/>
                <w:lang w:val="fr-CA" w:eastAsia="en-CA"/>
              </w:rPr>
              <w:t>2. Le poisson a été éviscéré conformément aux mesures d’hygiène et de préservation appropriées</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r>
              <w:rPr>
                <w:noProof/>
                <w:sz w:val="20"/>
                <w:lang w:val="fr-CA" w:eastAsia="en-CA"/>
              </w:rPr>
              <w:t>3. Le poisson n’appartient pas à une espèce toxique ou à une espèce qui pourrait contenir des biotoxines</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strike/>
                <w:noProof/>
                <w:sz w:val="20"/>
                <w:lang w:val="fr-FR"/>
              </w:rPr>
            </w:pPr>
            <w:r>
              <w:rPr>
                <w:rFonts w:asciiTheme="majorBidi" w:hAnsiTheme="majorBidi" w:cstheme="majorBidi"/>
                <w:noProof/>
                <w:sz w:val="20"/>
                <w:lang w:val="fr-FR" w:eastAsia="en-CA"/>
              </w:rPr>
              <w:t>4</w:t>
            </w:r>
            <w:r>
              <w:rPr>
                <w:noProof/>
                <w:sz w:val="20"/>
                <w:lang w:val="fr-CA" w:eastAsia="en-CA"/>
              </w:rPr>
              <w:t>. Le poisson est importé dans l’Union européenne dans le mois suivant la dernière date de validité du permis de pêche récréative et n’est pas destiné à la commercialisation. Une copie du permis de pêche récréative doit être jointe au document d’accompagnement</w:t>
            </w:r>
            <w:r>
              <w:rPr>
                <w:rFonts w:asciiTheme="majorBidi" w:hAnsiTheme="majorBidi" w:cstheme="majorBidi"/>
                <w:noProof/>
                <w:sz w:val="20"/>
                <w:lang w:val="fr-FR" w:eastAsia="en-CA"/>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eastAsia="en-CA"/>
              </w:rPr>
            </w:pPr>
            <w:r>
              <w:rPr>
                <w:b/>
                <w:bCs/>
                <w:noProof/>
                <w:sz w:val="18"/>
                <w:szCs w:val="18"/>
                <w:lang w:val="fr-CA"/>
              </w:rPr>
              <w:t>Lait et produits laitiers destinés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rPr>
              <w:t>Fromages pasteurisés ou fromages faits de lait non pasteurisé (traité à faible température) ou de lait cru affinés pendant au moins 60 jours </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publique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art. 34</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r>
              <w:rPr>
                <w:iCs/>
                <w:noProof/>
                <w:sz w:val="20"/>
                <w:lang w:val="fr-CA"/>
              </w:rPr>
              <w:t xml:space="preserve">, </w:t>
            </w:r>
            <w:r>
              <w:rPr>
                <w:noProof/>
                <w:sz w:val="20"/>
                <w:lang w:val="fr-CA"/>
              </w:rPr>
              <w:t>partie B, titre 8</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produits agricoles au Canada</w:t>
            </w:r>
            <w:r>
              <w:rPr>
                <w:noProof/>
                <w:sz w:val="20"/>
                <w:lang w:val="fr-CA"/>
              </w:rPr>
              <w:t>, L.R.C. 1985, ch. 20 (4</w:t>
            </w:r>
            <w:r>
              <w:rPr>
                <w:noProof/>
                <w:sz w:val="20"/>
                <w:vertAlign w:val="superscript"/>
                <w:lang w:val="fr-CA"/>
              </w:rPr>
              <w:t>e</w:t>
            </w:r>
            <w:r>
              <w:rPr>
                <w:noProof/>
                <w:sz w:val="20"/>
                <w:lang w:val="fr-CA"/>
              </w:rPr>
              <w:t> suppl.)</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r>
              <w:rPr>
                <w:noProof/>
                <w:sz w:val="20"/>
                <w:lang w:val="fr-CA"/>
              </w:rPr>
              <w:t>, D.O.R.S./79-840</w:t>
            </w:r>
          </w:p>
        </w:tc>
        <w:tc>
          <w:tcPr>
            <w:tcW w:w="2376" w:type="dxa"/>
            <w:shd w:val="clear" w:color="auto" w:fill="auto"/>
          </w:tcPr>
          <w:p>
            <w:pPr>
              <w:spacing w:before="40" w:after="40" w:line="240" w:lineRule="auto"/>
              <w:rPr>
                <w:rFonts w:asciiTheme="majorBidi" w:hAnsiTheme="majorBidi" w:cstheme="majorBidi"/>
                <w:noProof/>
                <w:sz w:val="20"/>
                <w:lang w:val="fr-FR"/>
              </w:rPr>
            </w:pPr>
            <w:r>
              <w:rPr>
                <w:noProof/>
                <w:sz w:val="20"/>
                <w:lang w:val="fr-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r>
              <w:rPr>
                <w:iCs/>
                <w:noProof/>
                <w:sz w:val="20"/>
                <w:lang w:val="fr-CA"/>
              </w:rPr>
              <w:t xml:space="preserve">, </w:t>
            </w:r>
            <w:r>
              <w:rPr>
                <w:noProof/>
                <w:sz w:val="20"/>
                <w:lang w:val="fr-CA"/>
              </w:rPr>
              <w:t>partie B, titre B</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les produits agricoles au Canada</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Décision</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2011/163</w:t>
            </w:r>
          </w:p>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852/2004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853/2004</w:t>
            </w:r>
          </w:p>
          <w:p>
            <w:pPr>
              <w:spacing w:before="40" w:after="40" w:line="240" w:lineRule="auto"/>
              <w:rPr>
                <w:rFonts w:asciiTheme="majorBidi" w:hAnsiTheme="majorBidi" w:cstheme="majorBidi"/>
                <w:noProof/>
                <w:sz w:val="20"/>
              </w:rPr>
            </w:pPr>
            <w:r>
              <w:rPr>
                <w:rFonts w:asciiTheme="majorBidi" w:hAnsiTheme="majorBidi" w:cstheme="majorBidi"/>
                <w:noProof/>
                <w:sz w:val="20"/>
              </w:rPr>
              <w:t>854/2004</w:t>
            </w:r>
          </w:p>
          <w:p>
            <w:pPr>
              <w:spacing w:before="40" w:after="40" w:line="240" w:lineRule="auto"/>
              <w:rPr>
                <w:rFonts w:asciiTheme="majorBidi" w:hAnsiTheme="majorBidi" w:cstheme="majorBidi"/>
                <w:noProof/>
                <w:sz w:val="20"/>
              </w:rPr>
            </w:pPr>
            <w:r>
              <w:rPr>
                <w:rFonts w:asciiTheme="majorBidi" w:hAnsiTheme="majorBidi" w:cstheme="majorBidi"/>
                <w:noProof/>
                <w:sz w:val="20"/>
              </w:rPr>
              <w:t>605/2010</w:t>
            </w: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1. Le Canada doit procéder à l’évaluation des systèmes d’analyse des risques aux points critiques (HACCP) des établissements qui ne sont pas reconnus HACCP/PASA (Programme d’amélioration de la salubrité des aliments) afin de faire en sorte qu’ils réalisent leurs activités conformément aux principes HACCP</w:t>
            </w:r>
            <w:r>
              <w:rPr>
                <w:rFonts w:asciiTheme="majorBidi" w:hAnsiTheme="majorBidi" w:cstheme="majorBidi"/>
                <w:noProof/>
                <w:sz w:val="20"/>
                <w:lang w:val="fr-FR" w:eastAsia="en-CA"/>
              </w:rPr>
              <w:t xml:space="preserve">; </w:t>
            </w:r>
          </w:p>
          <w:p>
            <w:pPr>
              <w:spacing w:before="40" w:after="40" w:line="240" w:lineRule="auto"/>
              <w:rPr>
                <w:rFonts w:asciiTheme="majorBidi" w:hAnsiTheme="majorBidi" w:cstheme="majorBidi"/>
                <w:noProof/>
                <w:sz w:val="20"/>
                <w:lang w:val="fr-FR" w:eastAsia="en-CA"/>
              </w:rPr>
            </w:pPr>
          </w:p>
          <w:p>
            <w:pPr>
              <w:spacing w:before="40" w:after="40" w:line="240" w:lineRule="auto"/>
              <w:rPr>
                <w:noProof/>
                <w:sz w:val="20"/>
                <w:lang w:val="fr-CA" w:eastAsia="en-CA"/>
              </w:rPr>
            </w:pPr>
            <w:r>
              <w:rPr>
                <w:noProof/>
                <w:sz w:val="20"/>
                <w:lang w:val="fr-CA" w:eastAsia="en-CA"/>
              </w:rPr>
              <w:t>2. Le certificat d’exportation doit porter deux signatures : les certificats sanitaires sont signés par un vétérinaire officiel; les attestations relatives à la santé publique sont signées par un inspecteur officiel.</w:t>
            </w:r>
          </w:p>
          <w:p>
            <w:pPr>
              <w:spacing w:before="40" w:after="40" w:line="240" w:lineRule="auto"/>
              <w:rPr>
                <w:rFonts w:asciiTheme="majorBidi" w:hAnsiTheme="majorBidi" w:cstheme="majorBidi"/>
                <w:noProof/>
                <w:sz w:val="20"/>
                <w:lang w:val="fr-FR"/>
              </w:rPr>
            </w:pPr>
            <w:r>
              <w:rPr>
                <w:noProof/>
                <w:sz w:val="20"/>
                <w:lang w:val="fr-CA"/>
              </w:rPr>
              <w:t>Les systèmes du Canada et de l’Union européenne sont réputés fournir des niveaux équivalents de protection en ce qui concerne les exigences microbiologiques. Toutefois, les critères microbiologiques utilisés par le Canada et l’Union européenne pour la surveillance des produits finals diffèrent à certains égards. En ce qui concerne les produits exportés, il incombe à l’exportateur de faire en sorte que ses produits satisfassent aux critères d'innocuité alimentaire du pays importateur</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Boyaux d’animaux non destinés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rPr>
            </w:pPr>
            <w:r>
              <w:rPr>
                <w:b/>
                <w:noProof/>
                <w:sz w:val="18"/>
                <w:szCs w:val="18"/>
                <w:lang w:val="fr-CA"/>
              </w:rPr>
              <w:t>Porcs</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w:t>
            </w:r>
            <w:r>
              <w:rPr>
                <w:rFonts w:asciiTheme="majorBidi" w:hAnsiTheme="majorBidi" w:cstheme="majorBidi"/>
                <w:noProof/>
                <w:sz w:val="20"/>
              </w:rPr>
              <w:t xml:space="preserve"> </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IV</w:t>
            </w:r>
          </w:p>
        </w:tc>
        <w:tc>
          <w:tcPr>
            <w:tcW w:w="2376" w:type="dxa"/>
            <w:shd w:val="clear" w:color="auto" w:fill="auto"/>
          </w:tcPr>
          <w:p>
            <w:pPr>
              <w:spacing w:before="40" w:after="40" w:line="240" w:lineRule="auto"/>
              <w:rPr>
                <w:rFonts w:asciiTheme="majorBidi" w:hAnsiTheme="majorBidi" w:cstheme="majorBidi"/>
                <w:noProof/>
                <w:sz w:val="20"/>
                <w:lang w:val="fr-FR"/>
              </w:rPr>
            </w:pPr>
          </w:p>
        </w:tc>
        <w:tc>
          <w:tcPr>
            <w:tcW w:w="7547" w:type="dxa"/>
            <w:gridSpan w:val="5"/>
            <w:shd w:val="pct10" w:color="auto" w:fill="auto"/>
          </w:tcPr>
          <w:p>
            <w:pPr>
              <w:spacing w:before="40" w:after="40" w:line="240" w:lineRule="auto"/>
              <w:rPr>
                <w:rFonts w:asciiTheme="majorBidi" w:hAnsiTheme="majorBidi" w:cstheme="majorBidi"/>
                <w:noProof/>
                <w:sz w:val="20"/>
                <w:lang w:val="fr-FR"/>
              </w:rPr>
            </w:pP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fr-FR" w:eastAsia="en-CA"/>
              </w:rPr>
            </w:pPr>
            <w:r>
              <w:rPr>
                <w:b/>
                <w:noProof/>
                <w:sz w:val="18"/>
                <w:szCs w:val="18"/>
                <w:lang w:val="fr-CA" w:eastAsia="en-CA"/>
              </w:rPr>
              <w:t>Os, cornes et onglons (à l’exception des farines) et leurs produits non destinés à la consommation humaine</w:t>
            </w:r>
          </w:p>
        </w:tc>
      </w:tr>
      <w:tr>
        <w:trPr>
          <w:trHeight w:val="227"/>
        </w:trPr>
        <w:tc>
          <w:tcPr>
            <w:tcW w:w="993" w:type="dxa"/>
            <w:shd w:val="clear" w:color="auto" w:fill="FFFFFF"/>
          </w:tcPr>
          <w:p>
            <w:pPr>
              <w:spacing w:before="40" w:after="40" w:line="240" w:lineRule="auto"/>
              <w:rPr>
                <w:rFonts w:asciiTheme="majorBidi" w:hAnsiTheme="majorBidi" w:cstheme="majorBidi"/>
                <w:noProof/>
                <w:sz w:val="20"/>
              </w:rPr>
            </w:pPr>
            <w:r>
              <w:rPr>
                <w:noProof/>
                <w:sz w:val="20"/>
                <w:lang w:val="fr-CA"/>
              </w:rPr>
              <w:t>Santé animale</w:t>
            </w:r>
          </w:p>
        </w:tc>
        <w:tc>
          <w:tcPr>
            <w:tcW w:w="5778" w:type="dxa"/>
            <w:gridSpan w:val="3"/>
            <w:shd w:val="pct10" w:color="auto" w:fill="auto"/>
          </w:tcPr>
          <w:p>
            <w:pPr>
              <w:spacing w:before="40" w:after="40" w:line="240" w:lineRule="auto"/>
              <w:rPr>
                <w:rFonts w:asciiTheme="majorBidi" w:hAnsiTheme="majorBidi" w:cstheme="majorBidi"/>
                <w:noProof/>
                <w:sz w:val="20"/>
              </w:rPr>
            </w:pPr>
          </w:p>
        </w:tc>
        <w:tc>
          <w:tcPr>
            <w:tcW w:w="1452" w:type="dxa"/>
            <w:gridSpan w:val="2"/>
            <w:shd w:val="clear" w:color="auto" w:fill="FFFFFF"/>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p>
        </w:tc>
        <w:tc>
          <w:tcPr>
            <w:tcW w:w="1417" w:type="dxa"/>
            <w:gridSpan w:val="2"/>
            <w:shd w:val="clear" w:color="auto" w:fill="FFFFFF"/>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4678" w:type="dxa"/>
            <w:shd w:val="clear" w:color="auto" w:fill="FFFFFF"/>
          </w:tcPr>
          <w:p>
            <w:pPr>
              <w:spacing w:before="40" w:after="40" w:line="240" w:lineRule="auto"/>
              <w:rPr>
                <w:rFonts w:asciiTheme="majorBidi" w:hAnsiTheme="majorBidi" w:cstheme="majorBidi"/>
                <w:noProof/>
                <w:sz w:val="20"/>
                <w:lang w:val="fr-FR" w:eastAsia="en-CA"/>
              </w:rPr>
            </w:pPr>
            <w:r>
              <w:rPr>
                <w:noProof/>
                <w:sz w:val="20"/>
                <w:lang w:val="fr-CA"/>
              </w:rPr>
              <w:t>Certificat conforme à la décision 97/534</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Sang et produits sanguins non destinés à la consommation humaine</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en-CA" w:eastAsia="en-CA"/>
              </w:rPr>
            </w:pPr>
            <w:r>
              <w:rPr>
                <w:b/>
                <w:noProof/>
                <w:sz w:val="18"/>
                <w:szCs w:val="18"/>
                <w:lang w:val="fr-CA" w:eastAsia="en-CA"/>
              </w:rPr>
              <w:t>Ruminants</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rFonts w:ascii="Sabon-Roman" w:hAnsi="Sabon-Roman" w:cs="Sabon-Roman"/>
                <w:noProof/>
                <w:sz w:val="20"/>
                <w:lang w:val="fr-CA"/>
              </w:rPr>
              <w:t>Santé animale</w:t>
            </w:r>
          </w:p>
        </w:tc>
        <w:tc>
          <w:tcPr>
            <w:tcW w:w="1560" w:type="dxa"/>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1842" w:type="dxa"/>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IV et partie XIV</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relative aux aliments du bétail</w:t>
            </w:r>
            <w:r>
              <w:rPr>
                <w:noProof/>
                <w:sz w:val="20"/>
                <w:lang w:val="fr-CA"/>
              </w:rPr>
              <w:t>, L.R.C. 1985, ch. F-9</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1983 sur les aliments du bétail</w:t>
            </w:r>
            <w:r>
              <w:rPr>
                <w:noProof/>
                <w:sz w:val="20"/>
                <w:lang w:val="fr-CA"/>
              </w:rPr>
              <w:t>, D.O.R.S./83-593</w:t>
            </w:r>
          </w:p>
        </w:tc>
        <w:tc>
          <w:tcPr>
            <w:tcW w:w="2410" w:type="dxa"/>
            <w:gridSpan w:val="2"/>
          </w:tcPr>
          <w:p>
            <w:pPr>
              <w:spacing w:before="40" w:after="40" w:line="240" w:lineRule="auto"/>
              <w:rPr>
                <w:rFonts w:asciiTheme="majorBidi" w:hAnsiTheme="majorBidi" w:cstheme="majorBidi"/>
                <w:noProof/>
                <w:sz w:val="20"/>
                <w:lang w:val="fr-FR" w:eastAsia="en-CA"/>
              </w:rPr>
            </w:pPr>
            <w:r>
              <w:rPr>
                <w:noProof/>
                <w:sz w:val="20"/>
                <w:lang w:val="fr-CA" w:eastAsia="en-CA"/>
              </w:rPr>
              <w:t>Respect des règles canadiennes en matière d’encéphalopathie spongiforme transmissible</w:t>
            </w:r>
          </w:p>
          <w:p>
            <w:pPr>
              <w:spacing w:before="40" w:after="40" w:line="240" w:lineRule="auto"/>
              <w:rPr>
                <w:rFonts w:asciiTheme="majorBidi" w:hAnsiTheme="majorBidi" w:cstheme="majorBidi"/>
                <w:noProof/>
                <w:sz w:val="20"/>
                <w:lang w:val="fr-FR"/>
              </w:rPr>
            </w:pPr>
          </w:p>
        </w:tc>
        <w:tc>
          <w:tcPr>
            <w:tcW w:w="7513" w:type="dxa"/>
            <w:gridSpan w:val="4"/>
            <w:shd w:val="pct10" w:color="auto" w:fill="auto"/>
          </w:tcPr>
          <w:p>
            <w:pPr>
              <w:spacing w:before="40" w:after="40" w:line="240" w:lineRule="auto"/>
              <w:rPr>
                <w:rFonts w:asciiTheme="majorBidi" w:hAnsiTheme="majorBidi" w:cstheme="majorBidi"/>
                <w:noProof/>
                <w:sz w:val="20"/>
                <w:lang w:val="fr-FR" w:eastAsia="en-CA"/>
              </w:rPr>
            </w:pP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rPr>
            </w:pPr>
            <w:r>
              <w:rPr>
                <w:b/>
                <w:noProof/>
                <w:sz w:val="18"/>
                <w:szCs w:val="18"/>
                <w:lang w:val="fr-CA"/>
              </w:rPr>
              <w:t>Produits apicoles non destinés à la consommation humaine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VI</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r>
              <w:rPr>
                <w:noProof/>
                <w:sz w:val="20"/>
                <w:lang w:val="fr-CA"/>
              </w:rPr>
              <w:t>Le produit fait l’objet d’un traitement, par exemple lyophilisation, irradiation ou conditionnement sous vide</w:t>
            </w:r>
            <w:r>
              <w:rPr>
                <w:rFonts w:asciiTheme="majorBidi" w:hAnsiTheme="majorBidi" w:cstheme="majorBidi"/>
                <w:noProof/>
                <w:sz w:val="20"/>
                <w:lang w:val="fr-FR"/>
              </w:rPr>
              <w:t>.</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noProof/>
                <w:sz w:val="20"/>
                <w:lang w:val="fr-CA"/>
              </w:rPr>
              <w:t>Directive sur les produits apicoles</w:t>
            </w:r>
          </w:p>
          <w:p>
            <w:pPr>
              <w:spacing w:before="40" w:after="40" w:line="240" w:lineRule="auto"/>
              <w:rPr>
                <w:rFonts w:asciiTheme="majorBidi" w:hAnsiTheme="majorBidi" w:cstheme="majorBidi"/>
                <w:noProof/>
                <w:sz w:val="20"/>
                <w:lang w:val="fr-FR"/>
              </w:rPr>
            </w:pPr>
            <w:r>
              <w:rPr>
                <w:noProof/>
                <w:sz w:val="20"/>
                <w:lang w:val="fr-CA"/>
              </w:rPr>
              <w:t>TAHD-DSAT-IE-2001-3-6, 5 janvier 2011</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4678" w:type="dxa"/>
            <w:shd w:val="clear" w:color="auto" w:fill="auto"/>
          </w:tcPr>
          <w:p>
            <w:pPr>
              <w:spacing w:before="40" w:after="40" w:line="240" w:lineRule="auto"/>
              <w:rPr>
                <w:rFonts w:asciiTheme="majorBidi" w:hAnsiTheme="majorBidi" w:cstheme="majorBidi"/>
                <w:noProof/>
                <w:sz w:val="20"/>
                <w:lang w:val="fr-FR"/>
              </w:rPr>
            </w:pPr>
            <w:r>
              <w:rPr>
                <w:noProof/>
                <w:sz w:val="20"/>
                <w:lang w:val="fr-CA"/>
              </w:rPr>
              <w:t>1. L’utilisation des produits apicoles destinés à l’alimentation animale ou humaine ou à des fins industrielles ne fait pas l’objet de restrictions</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eastAsia="en-CA"/>
              </w:rPr>
            </w:pPr>
            <w:r>
              <w:rPr>
                <w:noProof/>
                <w:sz w:val="20"/>
                <w:lang w:val="fr-CA"/>
              </w:rPr>
              <w:t>2. Les produits apicoles destinés à l’alimentation des abeilles sont traités</w:t>
            </w:r>
            <w:r>
              <w:rPr>
                <w:rFonts w:asciiTheme="majorBidi" w:hAnsiTheme="majorBidi" w:cstheme="majorBidi"/>
                <w:noProof/>
                <w:sz w:val="20"/>
                <w:lang w:val="fr-FR"/>
              </w:rPr>
              <w:t>.</w:t>
            </w: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rPr>
            </w:pPr>
            <w:r>
              <w:rPr>
                <w:b/>
                <w:noProof/>
                <w:sz w:val="18"/>
                <w:szCs w:val="18"/>
                <w:lang w:val="fr-CA"/>
              </w:rPr>
              <w:t>Laines, plumes et poils</w:t>
            </w:r>
          </w:p>
        </w:tc>
      </w:tr>
      <w:tr>
        <w:trPr>
          <w:trHeight w:val="227"/>
        </w:trPr>
        <w:tc>
          <w:tcPr>
            <w:tcW w:w="14318" w:type="dxa"/>
            <w:gridSpan w:val="9"/>
            <w:shd w:val="clear" w:color="auto" w:fill="auto"/>
          </w:tcPr>
          <w:p>
            <w:pPr>
              <w:spacing w:before="40" w:after="40" w:line="240" w:lineRule="auto"/>
              <w:rPr>
                <w:rFonts w:asciiTheme="majorBidi" w:hAnsiTheme="majorBidi" w:cstheme="majorBidi"/>
                <w:b/>
                <w:bCs/>
                <w:noProof/>
                <w:sz w:val="20"/>
                <w:lang w:val="en-CA" w:eastAsia="en-CA"/>
              </w:rPr>
            </w:pPr>
            <w:r>
              <w:rPr>
                <w:b/>
                <w:bCs/>
                <w:noProof/>
                <w:sz w:val="18"/>
                <w:szCs w:val="18"/>
                <w:lang w:val="fr-CA"/>
              </w:rPr>
              <w:t>Laine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p>
            <w:pPr>
              <w:spacing w:before="40" w:after="40" w:line="240" w:lineRule="auto"/>
              <w:rPr>
                <w:rFonts w:asciiTheme="majorBidi" w:hAnsiTheme="majorBidi" w:cstheme="majorBidi"/>
                <w:noProof/>
                <w:sz w:val="20"/>
              </w:rPr>
            </w:pP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IV</w:t>
            </w:r>
          </w:p>
        </w:tc>
        <w:tc>
          <w:tcPr>
            <w:tcW w:w="2376" w:type="dxa"/>
            <w:shd w:val="clear" w:color="auto" w:fill="auto"/>
          </w:tcPr>
          <w:p>
            <w:pPr>
              <w:spacing w:before="40" w:after="40" w:line="240" w:lineRule="auto"/>
              <w:rPr>
                <w:rFonts w:asciiTheme="majorBidi" w:hAnsiTheme="majorBidi" w:cstheme="majorBidi"/>
                <w:noProof/>
                <w:sz w:val="20"/>
              </w:rPr>
            </w:pPr>
            <w:r>
              <w:rPr>
                <w:noProof/>
                <w:sz w:val="20"/>
                <w:lang w:val="fr-CA"/>
              </w:rPr>
              <w:t>Certificat d’origine</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4678" w:type="dxa"/>
            <w:shd w:val="clear" w:color="auto" w:fill="auto"/>
          </w:tcPr>
          <w:p>
            <w:pPr>
              <w:spacing w:before="40" w:after="40" w:line="240" w:lineRule="auto"/>
              <w:rPr>
                <w:rFonts w:asciiTheme="majorBidi" w:hAnsiTheme="majorBidi" w:cstheme="majorBidi"/>
                <w:noProof/>
                <w:sz w:val="20"/>
                <w:lang w:val="en-CA" w:eastAsia="en-CA"/>
              </w:rPr>
            </w:pPr>
          </w:p>
        </w:tc>
      </w:tr>
      <w:tr>
        <w:trPr>
          <w:trHeight w:val="227"/>
        </w:trPr>
        <w:tc>
          <w:tcPr>
            <w:tcW w:w="14318" w:type="dxa"/>
            <w:gridSpan w:val="9"/>
            <w:shd w:val="clear" w:color="auto" w:fill="auto"/>
          </w:tcPr>
          <w:p>
            <w:pPr>
              <w:spacing w:before="40" w:after="40" w:line="240" w:lineRule="auto"/>
              <w:rPr>
                <w:rFonts w:asciiTheme="majorBidi" w:hAnsiTheme="majorBidi" w:cstheme="majorBidi"/>
                <w:noProof/>
                <w:sz w:val="20"/>
                <w:lang w:val="en-CA" w:eastAsia="en-CA"/>
              </w:rPr>
            </w:pPr>
            <w:r>
              <w:rPr>
                <w:b/>
                <w:noProof/>
                <w:sz w:val="20"/>
                <w:lang w:val="fr-CA"/>
              </w:rPr>
              <w:t>Soies de porc</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IV</w:t>
            </w:r>
          </w:p>
        </w:tc>
        <w:tc>
          <w:tcPr>
            <w:tcW w:w="2376" w:type="dxa"/>
            <w:shd w:val="clear" w:color="auto" w:fill="auto"/>
          </w:tcPr>
          <w:p>
            <w:pPr>
              <w:spacing w:before="40" w:after="40" w:line="240" w:lineRule="auto"/>
              <w:rPr>
                <w:rFonts w:asciiTheme="majorBidi" w:hAnsiTheme="majorBidi" w:cstheme="majorBidi"/>
                <w:noProof/>
                <w:sz w:val="20"/>
              </w:rPr>
            </w:pPr>
            <w:r>
              <w:rPr>
                <w:noProof/>
                <w:sz w:val="20"/>
                <w:lang w:val="fr-CA"/>
              </w:rPr>
              <w:t>Certificat d’origine</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w:t>
            </w:r>
          </w:p>
          <w:p>
            <w:pPr>
              <w:spacing w:before="40" w:after="40" w:line="240" w:lineRule="auto"/>
              <w:rPr>
                <w:rFonts w:asciiTheme="majorBidi" w:hAnsiTheme="majorBidi" w:cstheme="majorBidi"/>
                <w:noProof/>
                <w:sz w:val="20"/>
              </w:rPr>
            </w:pPr>
            <w:r>
              <w:rPr>
                <w:rFonts w:asciiTheme="majorBidi" w:hAnsiTheme="majorBidi" w:cstheme="majorBidi"/>
                <w:noProof/>
                <w:sz w:val="20"/>
              </w:rPr>
              <w:t>1069/2009</w:t>
            </w:r>
          </w:p>
        </w:tc>
        <w:tc>
          <w:tcPr>
            <w:tcW w:w="4678" w:type="dxa"/>
            <w:shd w:val="clear" w:color="auto" w:fill="auto"/>
          </w:tcPr>
          <w:p>
            <w:pPr>
              <w:spacing w:before="40" w:after="40" w:line="240" w:lineRule="auto"/>
              <w:rPr>
                <w:rFonts w:asciiTheme="majorBidi" w:hAnsiTheme="majorBidi" w:cstheme="majorBidi"/>
                <w:noProof/>
                <w:sz w:val="20"/>
                <w:lang w:val="en-CA" w:eastAsia="en-CA"/>
              </w:rPr>
            </w:pP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fr-FR" w:eastAsia="en-CA"/>
              </w:rPr>
            </w:pPr>
            <w:r>
              <w:rPr>
                <w:b/>
                <w:noProof/>
                <w:sz w:val="18"/>
                <w:szCs w:val="18"/>
                <w:lang w:val="fr-CA"/>
              </w:rPr>
              <w:t>Œufs en coquille et ovoproduits destinés à la consommation humaine</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Santé animale</w:t>
            </w:r>
          </w:p>
        </w:tc>
        <w:tc>
          <w:tcPr>
            <w:tcW w:w="1560" w:type="dxa"/>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 xml:space="preserve">Directives </w:t>
            </w:r>
          </w:p>
          <w:p>
            <w:pPr>
              <w:spacing w:before="40" w:after="40" w:line="240" w:lineRule="auto"/>
              <w:rPr>
                <w:rFonts w:asciiTheme="majorBidi" w:hAnsiTheme="majorBidi" w:cstheme="majorBidi"/>
                <w:noProof/>
                <w:sz w:val="20"/>
              </w:rPr>
            </w:pPr>
            <w:r>
              <w:rPr>
                <w:rFonts w:asciiTheme="majorBidi" w:hAnsiTheme="majorBidi" w:cstheme="majorBidi"/>
                <w:noProof/>
                <w:sz w:val="20"/>
              </w:rPr>
              <w:t>90/539</w:t>
            </w:r>
          </w:p>
          <w:p>
            <w:pPr>
              <w:spacing w:before="40" w:after="40" w:line="240" w:lineRule="auto"/>
              <w:rPr>
                <w:rFonts w:asciiTheme="majorBidi" w:hAnsiTheme="majorBidi" w:cstheme="majorBidi"/>
                <w:noProof/>
                <w:sz w:val="20"/>
              </w:rPr>
            </w:pPr>
            <w:r>
              <w:rPr>
                <w:rFonts w:asciiTheme="majorBidi" w:hAnsiTheme="majorBidi" w:cstheme="majorBidi"/>
                <w:noProof/>
                <w:sz w:val="20"/>
              </w:rPr>
              <w:t>2002/99</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la santé des animaux</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la santé des animaux</w:t>
            </w:r>
            <w:r>
              <w:rPr>
                <w:noProof/>
                <w:sz w:val="20"/>
                <w:lang w:val="fr-CA"/>
              </w:rPr>
              <w:t>, partie III et partie IV (pour les œufs en coquille et les ovoproduits)</w:t>
            </w:r>
          </w:p>
        </w:tc>
        <w:tc>
          <w:tcPr>
            <w:tcW w:w="2376"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1. </w:t>
            </w:r>
            <w:r>
              <w:rPr>
                <w:noProof/>
                <w:sz w:val="20"/>
                <w:lang w:val="fr-CA"/>
              </w:rPr>
              <w:t>Déclaration d’origine</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2. </w:t>
            </w:r>
            <w:r>
              <w:rPr>
                <w:noProof/>
                <w:sz w:val="20"/>
                <w:lang w:val="fr-CA"/>
              </w:rPr>
              <w:t>Certification vétérinaire</w:t>
            </w:r>
          </w:p>
        </w:tc>
        <w:tc>
          <w:tcPr>
            <w:tcW w:w="1452" w:type="dxa"/>
            <w:gridSpan w:val="2"/>
            <w:shd w:val="clear" w:color="auto" w:fill="auto"/>
          </w:tcPr>
          <w:p>
            <w:pPr>
              <w:spacing w:before="40" w:after="40" w:line="240" w:lineRule="auto"/>
              <w:rPr>
                <w:rFonts w:asciiTheme="majorBidi" w:hAnsiTheme="majorBidi" w:cstheme="majorBidi"/>
                <w:noProof/>
                <w:sz w:val="20"/>
                <w:lang w:val="fr-FR"/>
              </w:rPr>
            </w:pPr>
            <w:r>
              <w:rPr>
                <w:i/>
                <w:iCs/>
                <w:noProof/>
                <w:sz w:val="20"/>
                <w:lang w:val="fr-CA"/>
              </w:rPr>
              <w:t>Ovoproduits – Modalités d’importation</w:t>
            </w:r>
            <w:r>
              <w:rPr>
                <w:noProof/>
                <w:sz w:val="20"/>
                <w:lang w:val="fr-CA"/>
              </w:rPr>
              <w:t>, AHPD-DSAE-IE-2001-5-3, 20 décembre 1995</w:t>
            </w:r>
          </w:p>
        </w:tc>
        <w:tc>
          <w:tcPr>
            <w:tcW w:w="1417" w:type="dxa"/>
            <w:gridSpan w:val="2"/>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Directives</w:t>
            </w:r>
          </w:p>
          <w:p>
            <w:pPr>
              <w:spacing w:before="40" w:after="40" w:line="240" w:lineRule="auto"/>
              <w:rPr>
                <w:rFonts w:asciiTheme="majorBidi" w:hAnsiTheme="majorBidi" w:cstheme="majorBidi"/>
                <w:noProof/>
                <w:sz w:val="20"/>
              </w:rPr>
            </w:pPr>
            <w:r>
              <w:rPr>
                <w:rFonts w:asciiTheme="majorBidi" w:hAnsiTheme="majorBidi" w:cstheme="majorBidi"/>
                <w:noProof/>
                <w:sz w:val="20"/>
              </w:rPr>
              <w:t>90/539</w:t>
            </w:r>
          </w:p>
          <w:p>
            <w:pPr>
              <w:spacing w:before="40" w:after="40" w:line="240" w:lineRule="auto"/>
              <w:rPr>
                <w:rFonts w:asciiTheme="majorBidi" w:hAnsiTheme="majorBidi" w:cstheme="majorBidi"/>
                <w:noProof/>
                <w:sz w:val="20"/>
              </w:rPr>
            </w:pPr>
            <w:r>
              <w:rPr>
                <w:rFonts w:asciiTheme="majorBidi" w:hAnsiTheme="majorBidi" w:cstheme="majorBidi"/>
                <w:noProof/>
                <w:sz w:val="20"/>
              </w:rPr>
              <w:t>2002/99</w:t>
            </w:r>
          </w:p>
        </w:tc>
        <w:tc>
          <w:tcPr>
            <w:tcW w:w="4678" w:type="dxa"/>
            <w:shd w:val="clear" w:color="auto" w:fill="auto"/>
          </w:tcPr>
          <w:p>
            <w:pPr>
              <w:spacing w:before="40" w:after="40" w:line="240" w:lineRule="auto"/>
              <w:rPr>
                <w:rFonts w:asciiTheme="majorBidi" w:hAnsiTheme="majorBidi" w:cstheme="majorBidi"/>
                <w:noProof/>
                <w:sz w:val="20"/>
                <w:lang w:val="en-CA" w:eastAsia="en-CA"/>
              </w:rPr>
            </w:pPr>
          </w:p>
        </w:tc>
      </w:tr>
      <w:tr>
        <w:trPr>
          <w:trHeight w:val="227"/>
        </w:trPr>
        <w:tc>
          <w:tcPr>
            <w:tcW w:w="14318" w:type="dxa"/>
            <w:gridSpan w:val="9"/>
            <w:shd w:val="clear" w:color="auto" w:fill="auto"/>
          </w:tcPr>
          <w:p>
            <w:pPr>
              <w:pageBreakBefore/>
              <w:spacing w:before="40" w:after="40" w:line="240" w:lineRule="auto"/>
              <w:rPr>
                <w:rFonts w:asciiTheme="majorBidi" w:hAnsiTheme="majorBidi" w:cstheme="majorBidi"/>
                <w:b/>
                <w:bCs/>
                <w:noProof/>
                <w:sz w:val="20"/>
                <w:lang w:val="en-CA" w:eastAsia="en-CA"/>
              </w:rPr>
            </w:pPr>
            <w:r>
              <w:rPr>
                <w:b/>
                <w:noProof/>
                <w:sz w:val="18"/>
                <w:szCs w:val="18"/>
                <w:lang w:val="fr-CA" w:eastAsia="en-CA"/>
              </w:rPr>
              <w:t>Questions horizontales</w:t>
            </w:r>
          </w:p>
        </w:tc>
      </w:tr>
      <w:tr>
        <w:trPr>
          <w:trHeight w:val="227"/>
        </w:trPr>
        <w:tc>
          <w:tcPr>
            <w:tcW w:w="993" w:type="dxa"/>
            <w:shd w:val="clear" w:color="auto" w:fill="auto"/>
          </w:tcPr>
          <w:p>
            <w:pPr>
              <w:spacing w:before="40" w:after="40" w:line="240" w:lineRule="auto"/>
              <w:rPr>
                <w:rFonts w:asciiTheme="majorBidi" w:hAnsiTheme="majorBidi" w:cstheme="majorBidi"/>
                <w:noProof/>
                <w:sz w:val="20"/>
              </w:rPr>
            </w:pPr>
            <w:r>
              <w:rPr>
                <w:noProof/>
                <w:sz w:val="20"/>
                <w:lang w:val="fr-CA"/>
              </w:rPr>
              <w:t>Liste des établissements</w:t>
            </w:r>
          </w:p>
        </w:tc>
        <w:tc>
          <w:tcPr>
            <w:tcW w:w="1560" w:type="dxa"/>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2004/852</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2004/853</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2004/854</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les produits agricoles au Canada</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r>
              <w:rPr>
                <w:noProof/>
                <w:sz w:val="20"/>
                <w:lang w:val="fr-CA"/>
              </w:rPr>
              <w:t>Liste requise pour la viande fraîche et les produits de viande</w:t>
            </w: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les produits agricoles au Canada</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p>
        </w:tc>
        <w:tc>
          <w:tcPr>
            <w:tcW w:w="1417" w:type="dxa"/>
            <w:gridSpan w:val="2"/>
            <w:shd w:val="clear" w:color="auto" w:fill="auto"/>
          </w:tcPr>
          <w:p>
            <w:pPr>
              <w:spacing w:before="40" w:after="40" w:line="240" w:lineRule="auto"/>
              <w:rPr>
                <w:rFonts w:asciiTheme="majorBidi" w:hAnsiTheme="majorBidi" w:cstheme="majorBidi"/>
                <w:noProof/>
                <w:sz w:val="20"/>
              </w:rPr>
            </w:pPr>
            <w:r>
              <w:rPr>
                <w:noProof/>
                <w:sz w:val="20"/>
                <w:lang w:val="fr-CA"/>
              </w:rPr>
              <w:t>Règlements</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2004/852</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2004/853</w:t>
            </w:r>
          </w:p>
          <w:p>
            <w:pPr>
              <w:spacing w:before="40" w:after="40" w:line="240" w:lineRule="auto"/>
              <w:rPr>
                <w:rFonts w:asciiTheme="majorBidi" w:hAnsiTheme="majorBidi" w:cstheme="majorBidi"/>
                <w:noProof/>
                <w:sz w:val="20"/>
              </w:rPr>
            </w:pPr>
            <w:r>
              <w:rPr>
                <w:rFonts w:asciiTheme="majorBidi" w:hAnsiTheme="majorBidi" w:cstheme="majorBidi"/>
                <w:noProof/>
                <w:sz w:val="20"/>
              </w:rPr>
              <w:t>2004/854</w:t>
            </w:r>
          </w:p>
        </w:tc>
        <w:tc>
          <w:tcPr>
            <w:tcW w:w="4678" w:type="dxa"/>
            <w:shd w:val="clear" w:color="auto" w:fill="auto"/>
          </w:tcPr>
          <w:p>
            <w:pPr>
              <w:spacing w:before="40" w:after="40" w:line="240" w:lineRule="auto"/>
              <w:rPr>
                <w:rFonts w:asciiTheme="majorBidi" w:hAnsiTheme="majorBidi" w:cstheme="majorBidi"/>
                <w:noProof/>
                <w:sz w:val="20"/>
                <w:lang w:val="fr-FR" w:eastAsia="en-CA"/>
              </w:rPr>
            </w:pPr>
            <w:r>
              <w:rPr>
                <w:noProof/>
                <w:sz w:val="20"/>
                <w:lang w:val="fr-CA" w:eastAsia="en-CA"/>
              </w:rPr>
              <w:t>Les conditions suivantes s’appliquent à tous les animaux et produits d’origine animale avec reconnaissance de santé publique là où une liste d’établissements est requise </w:t>
            </w:r>
            <w:r>
              <w:rPr>
                <w:rFonts w:asciiTheme="majorBidi" w:hAnsiTheme="majorBidi" w:cstheme="majorBidi"/>
                <w:noProof/>
                <w:sz w:val="20"/>
                <w:lang w:val="fr-FR" w:eastAsia="en-CA"/>
              </w:rPr>
              <w:t>:</w:t>
            </w:r>
          </w:p>
          <w:p>
            <w:pPr>
              <w:spacing w:before="40" w:after="40" w:line="240" w:lineRule="auto"/>
              <w:rPr>
                <w:rFonts w:asciiTheme="majorBidi" w:hAnsiTheme="majorBidi" w:cstheme="majorBidi"/>
                <w:noProof/>
                <w:sz w:val="20"/>
                <w:lang w:val="fr-FR" w:eastAsia="en-CA"/>
              </w:rPr>
            </w:pP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1. </w:t>
            </w:r>
            <w:r>
              <w:rPr>
                <w:noProof/>
                <w:sz w:val="20"/>
                <w:lang w:val="fr-CA"/>
              </w:rPr>
              <w:t>Les listes des établissements et des usines au Canada sont saisies dans le système TRACES par le Canada</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2. </w:t>
            </w:r>
            <w:r>
              <w:rPr>
                <w:noProof/>
                <w:sz w:val="20"/>
                <w:lang w:val="fr-CA"/>
              </w:rPr>
              <w:t>Le Canada donne des garanties que les établissements satisfont aux conditions fixées dans le présent chapitre, dans sa totalité</w:t>
            </w:r>
            <w:r>
              <w:rPr>
                <w:rFonts w:asciiTheme="majorBidi" w:hAnsiTheme="majorBidi" w:cstheme="majorBidi"/>
                <w:noProof/>
                <w:sz w:val="20"/>
                <w:lang w:val="fr-FR"/>
              </w:rPr>
              <w:t xml:space="preserve">. </w:t>
            </w:r>
          </w:p>
          <w:p>
            <w:pPr>
              <w:spacing w:before="40" w:after="40" w:line="240" w:lineRule="auto"/>
              <w:rPr>
                <w:rFonts w:asciiTheme="majorBidi" w:hAnsiTheme="majorBidi" w:cstheme="majorBidi"/>
                <w:noProof/>
                <w:sz w:val="20"/>
                <w:lang w:val="fr-FR" w:eastAsia="en-CA"/>
              </w:rPr>
            </w:pPr>
            <w:r>
              <w:rPr>
                <w:noProof/>
                <w:sz w:val="20"/>
                <w:lang w:val="fr-CA"/>
              </w:rPr>
              <w:t>L’Union européenne met à jour et publie la liste des établissements sans retard indu</w:t>
            </w:r>
            <w:r>
              <w:rPr>
                <w:rFonts w:asciiTheme="majorBidi" w:hAnsiTheme="majorBidi" w:cstheme="majorBidi"/>
                <w:noProof/>
                <w:sz w:val="20"/>
                <w:lang w:val="fr-FR"/>
              </w:rPr>
              <w:t>.</w:t>
            </w:r>
          </w:p>
        </w:tc>
      </w:tr>
      <w:tr>
        <w:trPr>
          <w:trHeight w:val="227"/>
        </w:trPr>
        <w:tc>
          <w:tcPr>
            <w:tcW w:w="993" w:type="dxa"/>
            <w:shd w:val="clear" w:color="auto" w:fill="auto"/>
          </w:tcPr>
          <w:p>
            <w:pPr>
              <w:pageBreakBefore/>
              <w:spacing w:before="40" w:after="40" w:line="240" w:lineRule="auto"/>
              <w:rPr>
                <w:rFonts w:asciiTheme="majorBidi" w:hAnsiTheme="majorBidi" w:cstheme="majorBidi"/>
                <w:noProof/>
                <w:sz w:val="20"/>
              </w:rPr>
            </w:pPr>
            <w:r>
              <w:rPr>
                <w:noProof/>
                <w:sz w:val="20"/>
                <w:lang w:val="fr-CA"/>
              </w:rPr>
              <w:t>Eau</w:t>
            </w:r>
          </w:p>
        </w:tc>
        <w:tc>
          <w:tcPr>
            <w:tcW w:w="1560" w:type="dxa"/>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w:t>
            </w:r>
          </w:p>
          <w:p>
            <w:pPr>
              <w:spacing w:before="40" w:after="40" w:line="240" w:lineRule="auto"/>
              <w:rPr>
                <w:rFonts w:asciiTheme="majorBidi" w:hAnsiTheme="majorBidi" w:cstheme="majorBidi"/>
                <w:noProof/>
                <w:sz w:val="20"/>
              </w:rPr>
            </w:pPr>
            <w:r>
              <w:rPr>
                <w:rFonts w:asciiTheme="majorBidi" w:hAnsiTheme="majorBidi" w:cstheme="majorBidi"/>
                <w:noProof/>
                <w:sz w:val="20"/>
              </w:rPr>
              <w:t>98/83</w:t>
            </w:r>
          </w:p>
        </w:tc>
        <w:tc>
          <w:tcPr>
            <w:tcW w:w="1842"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les produits agricoles au Canada</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tc>
        <w:tc>
          <w:tcPr>
            <w:tcW w:w="2410" w:type="dxa"/>
            <w:gridSpan w:val="2"/>
            <w:shd w:val="clear" w:color="auto" w:fill="auto"/>
          </w:tcPr>
          <w:p>
            <w:pPr>
              <w:spacing w:before="40" w:after="40" w:line="240" w:lineRule="auto"/>
              <w:rPr>
                <w:rFonts w:asciiTheme="majorBidi" w:hAnsiTheme="majorBidi" w:cstheme="majorBidi"/>
                <w:noProof/>
                <w:sz w:val="20"/>
                <w:lang w:val="fr-FR"/>
              </w:rPr>
            </w:pPr>
          </w:p>
        </w:tc>
        <w:tc>
          <w:tcPr>
            <w:tcW w:w="1418" w:type="dxa"/>
            <w:shd w:val="clear" w:color="auto" w:fill="auto"/>
          </w:tcPr>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les produits agricoles au Canada</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produits laitiers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w:t>
            </w:r>
            <w:r>
              <w:rPr>
                <w:rFonts w:asciiTheme="majorBidi" w:hAnsiTheme="majorBidi" w:cstheme="majorBidi"/>
                <w:i/>
                <w:noProof/>
                <w:sz w:val="20"/>
                <w:lang w:val="fr-FR"/>
              </w:rPr>
              <w:t xml:space="preserve"> </w:t>
            </w:r>
            <w:r>
              <w:rPr>
                <w:i/>
                <w:noProof/>
                <w:sz w:val="20"/>
                <w:lang w:val="fr-CA"/>
              </w:rPr>
              <w:t>Loi sur l’inspection du poisson</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l’inspection du poisson</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Loi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Règlement sur les aliments et drogues</w:t>
            </w:r>
          </w:p>
          <w:p>
            <w:pPr>
              <w:spacing w:before="40" w:after="40" w:line="240" w:lineRule="auto"/>
              <w:rPr>
                <w:rFonts w:asciiTheme="majorBidi" w:hAnsiTheme="majorBidi" w:cstheme="majorBidi"/>
                <w:noProof/>
                <w:sz w:val="20"/>
                <w:lang w:val="fr-FR"/>
              </w:rPr>
            </w:pPr>
            <w:r>
              <w:rPr>
                <w:rFonts w:asciiTheme="majorBidi" w:hAnsiTheme="majorBidi" w:cstheme="majorBidi"/>
                <w:noProof/>
                <w:sz w:val="20"/>
                <w:lang w:val="fr-FR"/>
              </w:rPr>
              <w:t xml:space="preserve">- </w:t>
            </w:r>
            <w:r>
              <w:rPr>
                <w:i/>
                <w:noProof/>
                <w:sz w:val="20"/>
                <w:lang w:val="fr-CA"/>
              </w:rPr>
              <w:t>Loi sur l’inspection des viandes</w:t>
            </w:r>
          </w:p>
          <w:p>
            <w:pPr>
              <w:spacing w:before="40" w:after="40" w:line="240" w:lineRule="auto"/>
              <w:rPr>
                <w:rFonts w:asciiTheme="majorBidi" w:hAnsiTheme="majorBidi" w:cstheme="majorBidi"/>
                <w:i/>
                <w:noProof/>
                <w:sz w:val="20"/>
                <w:lang w:val="fr-FR"/>
              </w:rPr>
            </w:pPr>
            <w:r>
              <w:rPr>
                <w:rFonts w:asciiTheme="majorBidi" w:hAnsiTheme="majorBidi" w:cstheme="majorBidi"/>
                <w:noProof/>
                <w:sz w:val="20"/>
                <w:lang w:val="fr-FR"/>
              </w:rPr>
              <w:t xml:space="preserve">- </w:t>
            </w:r>
            <w:r>
              <w:rPr>
                <w:i/>
                <w:noProof/>
                <w:sz w:val="20"/>
                <w:lang w:val="fr-CA"/>
              </w:rPr>
              <w:t>Règlement de 1990 sur l’inspection des viandes</w:t>
            </w:r>
          </w:p>
        </w:tc>
        <w:tc>
          <w:tcPr>
            <w:tcW w:w="1417" w:type="dxa"/>
            <w:gridSpan w:val="2"/>
            <w:shd w:val="clear" w:color="auto" w:fill="auto"/>
          </w:tcPr>
          <w:p>
            <w:pPr>
              <w:spacing w:before="40" w:after="40" w:line="240" w:lineRule="auto"/>
              <w:rPr>
                <w:rFonts w:asciiTheme="majorBidi" w:hAnsiTheme="majorBidi" w:cstheme="majorBidi"/>
                <w:noProof/>
                <w:sz w:val="20"/>
              </w:rPr>
            </w:pPr>
            <w:r>
              <w:rPr>
                <w:rFonts w:asciiTheme="majorBidi" w:hAnsiTheme="majorBidi" w:cstheme="majorBidi"/>
                <w:noProof/>
                <w:sz w:val="20"/>
              </w:rPr>
              <w:t>Directive</w:t>
            </w:r>
          </w:p>
          <w:p>
            <w:pPr>
              <w:spacing w:before="40" w:after="40" w:line="240" w:lineRule="auto"/>
              <w:rPr>
                <w:rFonts w:asciiTheme="majorBidi" w:hAnsiTheme="majorBidi" w:cstheme="majorBidi"/>
                <w:noProof/>
                <w:sz w:val="20"/>
              </w:rPr>
            </w:pPr>
            <w:r>
              <w:rPr>
                <w:rFonts w:asciiTheme="majorBidi" w:hAnsiTheme="majorBidi" w:cstheme="majorBidi"/>
                <w:noProof/>
                <w:sz w:val="20"/>
              </w:rPr>
              <w:t>98/83</w:t>
            </w:r>
          </w:p>
        </w:tc>
        <w:tc>
          <w:tcPr>
            <w:tcW w:w="4678" w:type="dxa"/>
            <w:shd w:val="clear" w:color="auto" w:fill="auto"/>
          </w:tcPr>
          <w:p>
            <w:pPr>
              <w:spacing w:before="40" w:after="40" w:line="240" w:lineRule="auto"/>
              <w:rPr>
                <w:rFonts w:asciiTheme="majorBidi" w:hAnsiTheme="majorBidi" w:cstheme="majorBidi"/>
                <w:noProof/>
                <w:sz w:val="20"/>
                <w:lang w:val="en-CA" w:eastAsia="en-CA"/>
              </w:rPr>
            </w:pPr>
          </w:p>
        </w:tc>
      </w:tr>
    </w:tbl>
    <w:p>
      <w:pPr>
        <w:rPr>
          <w:noProof/>
          <w:sz w:val="20"/>
        </w:rPr>
      </w:pPr>
    </w:p>
    <w:p>
      <w:pPr>
        <w:jc w:val="center"/>
        <w:rPr>
          <w:noProof/>
          <w:sz w:val="20"/>
        </w:rPr>
        <w:sectPr>
          <w:headerReference w:type="even" r:id="rId22"/>
          <w:headerReference w:type="default" r:id="rId23"/>
          <w:footerReference w:type="even" r:id="rId24"/>
          <w:footerReference w:type="default" r:id="rId25"/>
          <w:headerReference w:type="first" r:id="rId26"/>
          <w:footerReference w:type="first" r:id="rId27"/>
          <w:pgSz w:w="15840" w:h="12240" w:orient="landscape" w:code="1"/>
          <w:pgMar w:top="1134" w:right="1134" w:bottom="1134" w:left="1134" w:header="1134" w:footer="1134" w:gutter="0"/>
          <w:cols w:space="720"/>
          <w:noEndnote/>
          <w:docGrid w:linePitch="326"/>
        </w:sectPr>
      </w:pPr>
    </w:p>
    <w:p>
      <w:pPr>
        <w:spacing w:line="240" w:lineRule="auto"/>
        <w:jc w:val="center"/>
        <w:rPr>
          <w:b/>
          <w:bCs/>
          <w:noProof/>
          <w:szCs w:val="24"/>
        </w:rPr>
      </w:pPr>
      <w:r>
        <w:rPr>
          <w:b/>
          <w:noProof/>
          <w:szCs w:val="24"/>
          <w:lang w:val="fr-CA"/>
        </w:rPr>
        <w:t>APPENDICE A</w:t>
      </w:r>
      <w:r>
        <w:rPr>
          <w:b/>
          <w:bCs/>
          <w:noProof/>
          <w:szCs w:val="24"/>
        </w:rPr>
        <w:t xml:space="preserve"> </w:t>
      </w:r>
    </w:p>
    <w:p>
      <w:pPr>
        <w:spacing w:line="240" w:lineRule="auto"/>
        <w:jc w:val="center"/>
        <w:rPr>
          <w:b/>
          <w:bCs/>
          <w:noProof/>
        </w:rPr>
      </w:pPr>
    </w:p>
    <w:p>
      <w:pPr>
        <w:spacing w:line="240" w:lineRule="auto"/>
        <w:jc w:val="center"/>
        <w:rPr>
          <w:b/>
          <w:bCs/>
          <w:noProof/>
          <w:lang w:val="fr-FR"/>
        </w:rPr>
      </w:pPr>
      <w:r>
        <w:rPr>
          <w:b/>
          <w:noProof/>
          <w:szCs w:val="24"/>
          <w:lang w:val="fr-FR"/>
        </w:rPr>
        <w:t>CONDITIONS PARTICULIÈRES</w:t>
      </w:r>
      <w:r>
        <w:rPr>
          <w:b/>
          <w:bCs/>
          <w:noProof/>
          <w:szCs w:val="24"/>
          <w:lang w:val="fr-FR"/>
        </w:rPr>
        <w:t xml:space="preserve"> </w:t>
      </w:r>
      <w:r>
        <w:rPr>
          <w:b/>
          <w:bCs/>
          <w:noProof/>
          <w:szCs w:val="24"/>
          <w:lang w:val="fr-FR"/>
        </w:rPr>
        <w:br/>
      </w:r>
      <w:r>
        <w:rPr>
          <w:b/>
          <w:noProof/>
          <w:szCs w:val="24"/>
          <w:lang w:val="fr-CA"/>
        </w:rPr>
        <w:t>CONCERNANT CERTAINES EXPORTATIONS</w:t>
      </w:r>
      <w:r>
        <w:rPr>
          <w:b/>
          <w:bCs/>
          <w:noProof/>
          <w:szCs w:val="24"/>
          <w:lang w:val="fr-FR"/>
        </w:rPr>
        <w:t xml:space="preserve"> </w:t>
      </w:r>
      <w:r>
        <w:rPr>
          <w:b/>
          <w:bCs/>
          <w:noProof/>
          <w:szCs w:val="24"/>
          <w:lang w:val="fr-FR"/>
        </w:rPr>
        <w:br/>
      </w:r>
      <w:r>
        <w:rPr>
          <w:b/>
          <w:noProof/>
          <w:szCs w:val="24"/>
          <w:lang w:val="fr-CA"/>
        </w:rPr>
        <w:t>DU CANADA À DESTINATION DE L’UNION EUROPÉENNE</w:t>
      </w:r>
    </w:p>
    <w:p>
      <w:pPr>
        <w:spacing w:line="240" w:lineRule="auto"/>
        <w:rPr>
          <w:noProof/>
          <w:lang w:val="fr-FR"/>
        </w:rPr>
      </w:pPr>
    </w:p>
    <w:p>
      <w:pPr>
        <w:spacing w:line="240" w:lineRule="auto"/>
        <w:ind w:left="567" w:hanging="567"/>
        <w:rPr>
          <w:noProof/>
          <w:lang w:val="fr-FR"/>
        </w:rPr>
      </w:pPr>
      <w:r>
        <w:rPr>
          <w:noProof/>
          <w:lang w:val="fr-FR"/>
        </w:rPr>
        <w:t>1.</w:t>
      </w:r>
      <w:r>
        <w:rPr>
          <w:noProof/>
          <w:lang w:val="fr-FR"/>
        </w:rPr>
        <w:tab/>
      </w:r>
      <w:r>
        <w:rPr>
          <w:noProof/>
          <w:szCs w:val="24"/>
          <w:lang w:val="fr-CA"/>
        </w:rPr>
        <w:t>Respect des règles de l’Union européenne en matière d’encéphalopathie spongiforme transmissible</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2.</w:t>
      </w:r>
      <w:r>
        <w:rPr>
          <w:noProof/>
          <w:lang w:val="fr-FR"/>
        </w:rPr>
        <w:tab/>
      </w:r>
      <w:r>
        <w:rPr>
          <w:noProof/>
          <w:szCs w:val="24"/>
          <w:lang w:val="fr-CA"/>
        </w:rPr>
        <w:t>Les carcasses ne doivent pas être recouvertes de draps</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3.</w:t>
      </w:r>
      <w:r>
        <w:rPr>
          <w:noProof/>
          <w:lang w:val="fr-FR"/>
        </w:rPr>
        <w:tab/>
      </w:r>
      <w:r>
        <w:rPr>
          <w:noProof/>
          <w:szCs w:val="24"/>
          <w:lang w:val="fr-CA"/>
        </w:rPr>
        <w:t>Respect des règles de l’Union européenne sur la décontamination</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4.</w:t>
      </w:r>
      <w:r>
        <w:rPr>
          <w:noProof/>
          <w:lang w:val="fr-FR"/>
        </w:rPr>
        <w:tab/>
      </w:r>
      <w:r>
        <w:rPr>
          <w:noProof/>
          <w:szCs w:val="24"/>
          <w:lang w:val="fr-CA"/>
        </w:rPr>
        <w:t>Respect des exigences en matière de tests microbiologiques pour les exportations à destination de la Finlande et de la Suède, comme prévu au règlement (CE) n</w:t>
      </w:r>
      <w:r>
        <w:rPr>
          <w:noProof/>
          <w:szCs w:val="24"/>
          <w:vertAlign w:val="superscript"/>
          <w:lang w:val="fr-CA"/>
        </w:rPr>
        <w:t>o</w:t>
      </w:r>
      <w:r>
        <w:rPr>
          <w:noProof/>
          <w:szCs w:val="24"/>
          <w:lang w:val="fr-CA"/>
        </w:rPr>
        <w:t> 1688/2005 de la Commission</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5.</w:t>
      </w:r>
      <w:r>
        <w:rPr>
          <w:noProof/>
          <w:lang w:val="fr-FR"/>
        </w:rPr>
        <w:tab/>
      </w:r>
      <w:r>
        <w:rPr>
          <w:noProof/>
          <w:szCs w:val="24"/>
          <w:lang w:val="fr-CA"/>
        </w:rPr>
        <w:t>Inspections ante mortem</w:t>
      </w:r>
    </w:p>
    <w:p>
      <w:pPr>
        <w:spacing w:line="240" w:lineRule="auto"/>
        <w:ind w:left="567"/>
        <w:rPr>
          <w:noProof/>
          <w:lang w:val="fr-FR"/>
        </w:rPr>
      </w:pPr>
    </w:p>
    <w:p>
      <w:pPr>
        <w:spacing w:line="240" w:lineRule="auto"/>
        <w:ind w:left="567"/>
        <w:rPr>
          <w:noProof/>
          <w:lang w:val="fr-FR"/>
        </w:rPr>
      </w:pPr>
      <w:r>
        <w:rPr>
          <w:noProof/>
          <w:szCs w:val="24"/>
          <w:lang w:val="fr-CA"/>
        </w:rPr>
        <w:t>Les procédures d’inspection ante mortem de routine s’appliquent pourvu qu’un vétérinaire de l’ACIA soit présent sur les lieux lorsque l’inspection ante mortem est faite sur les animaux devant être abattus pour être exportés vers l’Union européenne</w:t>
      </w:r>
      <w:r>
        <w:rPr>
          <w:noProof/>
          <w:lang w:val="fr-FR"/>
        </w:rPr>
        <w:t xml:space="preserve">; </w:t>
      </w:r>
    </w:p>
    <w:p>
      <w:pPr>
        <w:spacing w:line="240" w:lineRule="auto"/>
        <w:ind w:left="567" w:hanging="567"/>
        <w:rPr>
          <w:noProof/>
          <w:lang w:val="fr-FR"/>
        </w:rPr>
      </w:pPr>
    </w:p>
    <w:p>
      <w:pPr>
        <w:spacing w:line="240" w:lineRule="auto"/>
        <w:ind w:left="567" w:hanging="567"/>
        <w:rPr>
          <w:noProof/>
          <w:lang w:val="fr-FR"/>
        </w:rPr>
      </w:pPr>
      <w:r>
        <w:rPr>
          <w:noProof/>
          <w:lang w:val="fr-FR"/>
        </w:rPr>
        <w:t>6.</w:t>
      </w:r>
      <w:r>
        <w:rPr>
          <w:noProof/>
          <w:lang w:val="fr-FR"/>
        </w:rPr>
        <w:tab/>
      </w:r>
      <w:r>
        <w:rPr>
          <w:noProof/>
          <w:szCs w:val="24"/>
          <w:lang w:val="fr-CA"/>
        </w:rPr>
        <w:t>Inspections post mortem</w:t>
      </w:r>
    </w:p>
    <w:p>
      <w:pPr>
        <w:spacing w:line="240" w:lineRule="auto"/>
        <w:ind w:left="567" w:hanging="567"/>
        <w:rPr>
          <w:noProof/>
          <w:lang w:val="fr-FR"/>
        </w:rPr>
      </w:pPr>
    </w:p>
    <w:p>
      <w:pPr>
        <w:spacing w:line="240" w:lineRule="auto"/>
        <w:ind w:left="1134" w:hanging="567"/>
        <w:rPr>
          <w:noProof/>
          <w:lang w:val="fr-FR"/>
        </w:rPr>
      </w:pPr>
      <w:r>
        <w:rPr>
          <w:noProof/>
          <w:lang w:val="fr-FR"/>
        </w:rPr>
        <w:t>a)</w:t>
      </w:r>
      <w:r>
        <w:rPr>
          <w:noProof/>
          <w:lang w:val="fr-FR"/>
        </w:rPr>
        <w:tab/>
      </w:r>
      <w:r>
        <w:rPr>
          <w:noProof/>
          <w:szCs w:val="24"/>
          <w:lang w:val="fr-CA"/>
        </w:rPr>
        <w:t>Porcs </w:t>
      </w:r>
      <w:r>
        <w:rPr>
          <w:noProof/>
          <w:lang w:val="fr-FR"/>
        </w:rPr>
        <w:t xml:space="preserve">: </w:t>
      </w:r>
    </w:p>
    <w:p>
      <w:pPr>
        <w:spacing w:line="240" w:lineRule="auto"/>
        <w:ind w:left="1134" w:hanging="567"/>
        <w:rPr>
          <w:noProof/>
          <w:lang w:val="fr-FR"/>
        </w:rPr>
      </w:pPr>
    </w:p>
    <w:p>
      <w:pPr>
        <w:spacing w:line="240" w:lineRule="auto"/>
        <w:ind w:left="1134"/>
        <w:rPr>
          <w:noProof/>
          <w:lang w:val="fr-FR"/>
        </w:rPr>
      </w:pPr>
      <w:r>
        <w:rPr>
          <w:noProof/>
          <w:szCs w:val="24"/>
          <w:lang w:val="fr-CA"/>
        </w:rPr>
        <w:t>Conformément au règlement d’exécution (UE) n</w:t>
      </w:r>
      <w:r>
        <w:rPr>
          <w:noProof/>
          <w:szCs w:val="24"/>
          <w:vertAlign w:val="superscript"/>
          <w:lang w:val="fr-CA"/>
        </w:rPr>
        <w:t>o</w:t>
      </w:r>
      <w:r>
        <w:rPr>
          <w:noProof/>
          <w:szCs w:val="24"/>
          <w:lang w:val="fr-CA"/>
        </w:rPr>
        <w:t> 2015/1375 de la Commission </w:t>
      </w:r>
      <w:r>
        <w:rPr>
          <w:noProof/>
          <w:lang w:val="fr-FR"/>
        </w:rPr>
        <w:t xml:space="preserve">: </w:t>
      </w:r>
    </w:p>
    <w:p>
      <w:pPr>
        <w:spacing w:line="240" w:lineRule="auto"/>
        <w:ind w:left="1701" w:hanging="567"/>
        <w:rPr>
          <w:noProof/>
          <w:lang w:val="fr-FR"/>
        </w:rPr>
      </w:pPr>
    </w:p>
    <w:p>
      <w:pPr>
        <w:spacing w:line="240" w:lineRule="auto"/>
        <w:ind w:left="1701" w:hanging="567"/>
        <w:rPr>
          <w:noProof/>
          <w:lang w:val="fr-FR"/>
        </w:rPr>
      </w:pPr>
      <w:r>
        <w:rPr>
          <w:noProof/>
          <w:lang w:val="fr-FR"/>
        </w:rPr>
        <w:t>i)</w:t>
      </w:r>
      <w:r>
        <w:rPr>
          <w:noProof/>
          <w:lang w:val="fr-FR"/>
        </w:rPr>
        <w:tab/>
      </w:r>
      <w:r>
        <w:rPr>
          <w:noProof/>
          <w:szCs w:val="24"/>
          <w:lang w:val="fr-CA"/>
        </w:rPr>
        <w:t xml:space="preserve">les muscles squelettiques doivent être soumis à un test de dépistage de </w:t>
      </w:r>
      <w:r>
        <w:rPr>
          <w:i/>
          <w:noProof/>
          <w:szCs w:val="24"/>
          <w:lang w:val="fr-CA"/>
        </w:rPr>
        <w:t>Trichinella</w:t>
      </w:r>
      <w:r>
        <w:rPr>
          <w:noProof/>
          <w:szCs w:val="24"/>
          <w:lang w:val="fr-CA"/>
        </w:rPr>
        <w:t xml:space="preserve"> au moyen d’une méthode de digestion validée et approuvée par l’ACIA dans un laboratoire de l’ACIA ou un laboratoire certifié à cette fin par l’ACIA</w:t>
      </w:r>
      <w:r>
        <w:rPr>
          <w:noProof/>
          <w:lang w:val="fr-FR"/>
        </w:rPr>
        <w:t>;</w:t>
      </w:r>
    </w:p>
    <w:p>
      <w:pPr>
        <w:spacing w:line="240" w:lineRule="auto"/>
        <w:ind w:left="1701" w:hanging="567"/>
        <w:rPr>
          <w:noProof/>
          <w:lang w:val="fr-FR"/>
        </w:rPr>
      </w:pPr>
    </w:p>
    <w:p>
      <w:pPr>
        <w:spacing w:line="240" w:lineRule="auto"/>
        <w:ind w:left="1701" w:hanging="567"/>
        <w:rPr>
          <w:noProof/>
          <w:lang w:val="fr-FR"/>
        </w:rPr>
      </w:pPr>
      <w:r>
        <w:rPr>
          <w:noProof/>
          <w:lang w:val="fr-FR"/>
        </w:rPr>
        <w:t>ii)</w:t>
      </w:r>
      <w:r>
        <w:rPr>
          <w:noProof/>
          <w:lang w:val="fr-FR"/>
        </w:rPr>
        <w:tab/>
      </w:r>
      <w:r>
        <w:rPr>
          <w:noProof/>
          <w:szCs w:val="24"/>
          <w:lang w:val="fr-CA"/>
        </w:rPr>
        <w:t>les muscles squelettiques doivent faire l’objet d’un traitement par le froid approuvé par l’ACIA</w:t>
      </w:r>
      <w:r>
        <w:rPr>
          <w:noProof/>
          <w:lang w:val="fr-FR"/>
        </w:rPr>
        <w:t>;</w:t>
      </w:r>
    </w:p>
    <w:p>
      <w:pPr>
        <w:spacing w:line="240" w:lineRule="auto"/>
        <w:ind w:left="1134" w:hanging="567"/>
        <w:rPr>
          <w:noProof/>
          <w:lang w:val="fr-FR"/>
        </w:rPr>
      </w:pPr>
    </w:p>
    <w:p>
      <w:pPr>
        <w:ind w:left="1134" w:hanging="567"/>
        <w:rPr>
          <w:noProof/>
          <w:lang w:val="fr-FR"/>
        </w:rPr>
      </w:pPr>
      <w:r>
        <w:rPr>
          <w:noProof/>
          <w:lang w:val="fr-FR"/>
        </w:rPr>
        <w:br w:type="page"/>
        <w:t>b)</w:t>
      </w:r>
      <w:r>
        <w:rPr>
          <w:noProof/>
          <w:lang w:val="fr-FR"/>
        </w:rPr>
        <w:tab/>
      </w:r>
      <w:r>
        <w:rPr>
          <w:noProof/>
          <w:szCs w:val="24"/>
          <w:lang w:val="fr-CA"/>
        </w:rPr>
        <w:t>Bovins de plus de 6 semaines </w:t>
      </w:r>
      <w:r>
        <w:rPr>
          <w:noProof/>
          <w:lang w:val="fr-FR"/>
        </w:rPr>
        <w:t>:</w:t>
      </w:r>
    </w:p>
    <w:p>
      <w:pPr>
        <w:spacing w:line="240" w:lineRule="auto"/>
        <w:ind w:left="1701" w:hanging="567"/>
        <w:rPr>
          <w:noProof/>
          <w:lang w:val="fr-FR"/>
        </w:rPr>
      </w:pPr>
    </w:p>
    <w:p>
      <w:pPr>
        <w:spacing w:line="240" w:lineRule="auto"/>
        <w:ind w:left="1701" w:hanging="567"/>
        <w:rPr>
          <w:noProof/>
          <w:lang w:val="fr-FR"/>
        </w:rPr>
      </w:pPr>
      <w:r>
        <w:rPr>
          <w:noProof/>
          <w:lang w:val="fr-FR"/>
        </w:rPr>
        <w:t>i)</w:t>
      </w:r>
      <w:r>
        <w:rPr>
          <w:noProof/>
          <w:lang w:val="fr-FR"/>
        </w:rPr>
        <w:tab/>
      </w:r>
      <w:r>
        <w:rPr>
          <w:noProof/>
          <w:szCs w:val="24"/>
          <w:lang w:val="fr-CA"/>
        </w:rPr>
        <w:t>foie : incision de la surface gastrique du foie et incision à la base du lobe caudé pour l’examen des canaux biliaires</w:t>
      </w:r>
      <w:r>
        <w:rPr>
          <w:noProof/>
          <w:lang w:val="fr-FR"/>
        </w:rPr>
        <w:t>;</w:t>
      </w:r>
    </w:p>
    <w:p>
      <w:pPr>
        <w:spacing w:line="240" w:lineRule="auto"/>
        <w:ind w:left="1701" w:hanging="567"/>
        <w:rPr>
          <w:noProof/>
          <w:lang w:val="fr-FR"/>
        </w:rPr>
      </w:pPr>
    </w:p>
    <w:p>
      <w:pPr>
        <w:spacing w:line="240" w:lineRule="auto"/>
        <w:ind w:left="1701" w:hanging="567"/>
        <w:rPr>
          <w:noProof/>
          <w:lang w:val="fr-FR"/>
        </w:rPr>
      </w:pPr>
      <w:r>
        <w:rPr>
          <w:noProof/>
          <w:lang w:val="fr-FR"/>
        </w:rPr>
        <w:t>ii)</w:t>
      </w:r>
      <w:r>
        <w:rPr>
          <w:noProof/>
          <w:lang w:val="fr-FR"/>
        </w:rPr>
        <w:tab/>
      </w:r>
      <w:r>
        <w:rPr>
          <w:noProof/>
          <w:szCs w:val="24"/>
          <w:lang w:val="fr-CA"/>
        </w:rPr>
        <w:t>tête : deux incisions parallèles à la mandibule dans les masséters externes</w:t>
      </w:r>
      <w:r>
        <w:rPr>
          <w:noProof/>
          <w:lang w:val="fr-FR"/>
        </w:rPr>
        <w:t>;</w:t>
      </w:r>
    </w:p>
    <w:p>
      <w:pPr>
        <w:spacing w:line="240" w:lineRule="auto"/>
        <w:ind w:left="1134" w:hanging="567"/>
        <w:rPr>
          <w:noProof/>
          <w:lang w:val="fr-FR"/>
        </w:rPr>
      </w:pPr>
    </w:p>
    <w:p>
      <w:pPr>
        <w:spacing w:line="240" w:lineRule="auto"/>
        <w:ind w:left="1134" w:hanging="567"/>
        <w:rPr>
          <w:noProof/>
          <w:lang w:val="fr-FR"/>
        </w:rPr>
      </w:pPr>
      <w:r>
        <w:rPr>
          <w:noProof/>
          <w:lang w:val="fr-FR"/>
        </w:rPr>
        <w:t>c)</w:t>
      </w:r>
      <w:r>
        <w:rPr>
          <w:noProof/>
          <w:lang w:val="fr-FR"/>
        </w:rPr>
        <w:tab/>
      </w:r>
      <w:r>
        <w:rPr>
          <w:noProof/>
          <w:szCs w:val="24"/>
          <w:lang w:val="fr-CA"/>
        </w:rPr>
        <w:t>Solipèdes domestiques </w:t>
      </w:r>
      <w:r>
        <w:rPr>
          <w:noProof/>
          <w:lang w:val="fr-FR"/>
        </w:rPr>
        <w:t xml:space="preserve">: </w:t>
      </w:r>
    </w:p>
    <w:p>
      <w:pPr>
        <w:spacing w:line="240" w:lineRule="auto"/>
        <w:ind w:left="1134" w:hanging="567"/>
        <w:rPr>
          <w:noProof/>
          <w:lang w:val="fr-FR"/>
        </w:rPr>
      </w:pPr>
    </w:p>
    <w:p>
      <w:pPr>
        <w:spacing w:line="240" w:lineRule="auto"/>
        <w:ind w:left="1134"/>
        <w:rPr>
          <w:noProof/>
          <w:lang w:val="fr-FR"/>
        </w:rPr>
      </w:pPr>
      <w:r>
        <w:rPr>
          <w:noProof/>
          <w:szCs w:val="24"/>
          <w:lang w:val="fr-CA"/>
        </w:rPr>
        <w:t>Conformément au règlement d’exécution (UE) n</w:t>
      </w:r>
      <w:r>
        <w:rPr>
          <w:noProof/>
          <w:szCs w:val="24"/>
          <w:vertAlign w:val="superscript"/>
          <w:lang w:val="fr-CA"/>
        </w:rPr>
        <w:t>o</w:t>
      </w:r>
      <w:r>
        <w:rPr>
          <w:noProof/>
          <w:szCs w:val="24"/>
          <w:lang w:val="fr-CA"/>
        </w:rPr>
        <w:t xml:space="preserve"> 2015/1375 de la Commission, les muscles squelettiques doivent être soumis à un test de dépistage de </w:t>
      </w:r>
      <w:r>
        <w:rPr>
          <w:i/>
          <w:noProof/>
          <w:szCs w:val="24"/>
          <w:lang w:val="fr-CA"/>
        </w:rPr>
        <w:t>Trichinella</w:t>
      </w:r>
      <w:r>
        <w:rPr>
          <w:noProof/>
          <w:szCs w:val="24"/>
          <w:lang w:val="fr-CA"/>
        </w:rPr>
        <w:t xml:space="preserve"> au moyen d’une méthode de digestion validée et approuvée par l’ACIA dans un laboratoire de l’ACIA ou un laboratoire certifié à cette fin par l’ACIA</w:t>
      </w:r>
      <w:r>
        <w:rPr>
          <w:noProof/>
          <w:lang w:val="fr-FR"/>
        </w:rPr>
        <w:t>;</w:t>
      </w:r>
    </w:p>
    <w:p>
      <w:pPr>
        <w:spacing w:line="240" w:lineRule="auto"/>
        <w:ind w:left="1134" w:hanging="567"/>
        <w:rPr>
          <w:noProof/>
          <w:lang w:val="fr-FR"/>
        </w:rPr>
      </w:pPr>
    </w:p>
    <w:p>
      <w:pPr>
        <w:spacing w:line="240" w:lineRule="auto"/>
        <w:ind w:left="1134" w:hanging="567"/>
        <w:rPr>
          <w:noProof/>
          <w:lang w:val="fr-FR"/>
        </w:rPr>
      </w:pPr>
      <w:r>
        <w:rPr>
          <w:noProof/>
          <w:lang w:val="fr-FR"/>
        </w:rPr>
        <w:t>d)</w:t>
      </w:r>
      <w:r>
        <w:rPr>
          <w:noProof/>
          <w:lang w:val="fr-FR"/>
        </w:rPr>
        <w:tab/>
      </w:r>
      <w:r>
        <w:rPr>
          <w:noProof/>
          <w:szCs w:val="24"/>
          <w:lang w:val="fr-CA"/>
        </w:rPr>
        <w:t>Gibier d’élevage – sanglier </w:t>
      </w:r>
      <w:r>
        <w:rPr>
          <w:noProof/>
          <w:lang w:val="fr-FR"/>
        </w:rPr>
        <w:t>:</w:t>
      </w:r>
    </w:p>
    <w:p>
      <w:pPr>
        <w:spacing w:line="240" w:lineRule="auto"/>
        <w:ind w:left="1134" w:hanging="567"/>
        <w:rPr>
          <w:noProof/>
          <w:lang w:val="fr-FR"/>
        </w:rPr>
      </w:pPr>
    </w:p>
    <w:p>
      <w:pPr>
        <w:spacing w:line="240" w:lineRule="auto"/>
        <w:ind w:left="1134"/>
        <w:rPr>
          <w:noProof/>
          <w:lang w:val="fr-FR"/>
        </w:rPr>
      </w:pPr>
      <w:r>
        <w:rPr>
          <w:noProof/>
          <w:szCs w:val="24"/>
          <w:lang w:val="fr-CA"/>
        </w:rPr>
        <w:t>Conformément au règlement d’exécution (UE) n</w:t>
      </w:r>
      <w:r>
        <w:rPr>
          <w:noProof/>
          <w:szCs w:val="24"/>
          <w:vertAlign w:val="superscript"/>
          <w:lang w:val="fr-CA"/>
        </w:rPr>
        <w:t>o</w:t>
      </w:r>
      <w:r>
        <w:rPr>
          <w:noProof/>
          <w:szCs w:val="24"/>
          <w:lang w:val="fr-CA"/>
        </w:rPr>
        <w:t xml:space="preserve"> 2015/1375 de la Commission, les muscles squelettiques doivent être soumis à un test de dépistage de </w:t>
      </w:r>
      <w:r>
        <w:rPr>
          <w:i/>
          <w:noProof/>
          <w:szCs w:val="24"/>
          <w:lang w:val="fr-CA"/>
        </w:rPr>
        <w:t>Trichinella</w:t>
      </w:r>
      <w:r>
        <w:rPr>
          <w:noProof/>
          <w:szCs w:val="24"/>
          <w:lang w:val="fr-CA"/>
        </w:rPr>
        <w:t xml:space="preserve"> au moyen d’une méthode de digestion validée et approuvée par l’ACIA dans un laboratoire de l’ACIA ou un laboratoire certifié à cette fin par l’ACIA</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7.</w:t>
      </w:r>
      <w:r>
        <w:rPr>
          <w:noProof/>
          <w:lang w:val="fr-FR"/>
        </w:rPr>
        <w:tab/>
      </w:r>
      <w:r>
        <w:rPr>
          <w:noProof/>
          <w:szCs w:val="24"/>
          <w:lang w:val="fr-FR"/>
        </w:rPr>
        <w:t>Vérification régulière de l'hygiène générale</w:t>
      </w:r>
      <w:r>
        <w:rPr>
          <w:noProof/>
          <w:szCs w:val="24"/>
          <w:lang w:val="fr-CA"/>
        </w:rPr>
        <w:t> </w:t>
      </w:r>
      <w:r>
        <w:rPr>
          <w:noProof/>
          <w:lang w:val="fr-FR"/>
        </w:rPr>
        <w:t xml:space="preserve">: </w:t>
      </w:r>
    </w:p>
    <w:p>
      <w:pPr>
        <w:spacing w:line="240" w:lineRule="auto"/>
        <w:ind w:left="567"/>
        <w:rPr>
          <w:noProof/>
          <w:lang w:val="fr-FR"/>
        </w:rPr>
      </w:pPr>
      <w:r>
        <w:rPr>
          <w:noProof/>
          <w:szCs w:val="24"/>
          <w:lang w:val="fr-CA"/>
        </w:rPr>
        <w:t>En plus des exigences sanitaires opérationnelles et pré-opérationnelles du Canada, les exigences en matière de dépistage d’</w:t>
      </w:r>
      <w:r>
        <w:rPr>
          <w:i/>
          <w:noProof/>
          <w:szCs w:val="24"/>
          <w:lang w:val="fr-CA"/>
        </w:rPr>
        <w:t>E. coli</w:t>
      </w:r>
      <w:r>
        <w:rPr>
          <w:noProof/>
          <w:szCs w:val="24"/>
          <w:lang w:val="fr-CA"/>
        </w:rPr>
        <w:t xml:space="preserve"> et de </w:t>
      </w:r>
      <w:r>
        <w:rPr>
          <w:i/>
          <w:noProof/>
          <w:szCs w:val="24"/>
          <w:lang w:val="fr-CA"/>
        </w:rPr>
        <w:t>Salmonella</w:t>
      </w:r>
      <w:r>
        <w:rPr>
          <w:noProof/>
          <w:szCs w:val="24"/>
          <w:lang w:val="fr-CA"/>
        </w:rPr>
        <w:t xml:space="preserve"> prévues pour les États-Unis d’Amérique figurant à l’annexe T : Dépistage d’</w:t>
      </w:r>
      <w:r>
        <w:rPr>
          <w:i/>
          <w:noProof/>
          <w:szCs w:val="24"/>
          <w:lang w:val="fr-CA"/>
        </w:rPr>
        <w:t>Escherichia coli</w:t>
      </w:r>
      <w:r>
        <w:rPr>
          <w:noProof/>
          <w:szCs w:val="24"/>
          <w:lang w:val="fr-CA"/>
        </w:rPr>
        <w:t xml:space="preserve"> (</w:t>
      </w:r>
      <w:r>
        <w:rPr>
          <w:i/>
          <w:noProof/>
          <w:szCs w:val="24"/>
          <w:lang w:val="fr-CA"/>
        </w:rPr>
        <w:t>E. coli</w:t>
      </w:r>
      <w:r>
        <w:rPr>
          <w:noProof/>
          <w:szCs w:val="24"/>
          <w:lang w:val="fr-CA"/>
        </w:rPr>
        <w:t xml:space="preserve">) dans les abattoirs, et à l’annexe U : section Normes de rendement du USDA relatives à la </w:t>
      </w:r>
      <w:r>
        <w:rPr>
          <w:i/>
          <w:noProof/>
          <w:szCs w:val="24"/>
          <w:lang w:val="fr-CA"/>
        </w:rPr>
        <w:t>Salmonella</w:t>
      </w:r>
      <w:r>
        <w:rPr>
          <w:noProof/>
          <w:szCs w:val="24"/>
          <w:lang w:val="fr-CA"/>
        </w:rPr>
        <w:t>, de la section sur les États</w:t>
      </w:r>
      <w:r>
        <w:rPr>
          <w:noProof/>
          <w:szCs w:val="24"/>
          <w:lang w:val="fr-CA"/>
        </w:rPr>
        <w:noBreakHyphen/>
        <w:t>Unis du chapitre 11 du Manuel des méthodes de l’hygiène des viandes de l’ACIA</w:t>
      </w:r>
      <w:r>
        <w:rPr>
          <w:noProof/>
          <w:lang w:val="fr-FR"/>
        </w:rPr>
        <w:t>;</w:t>
      </w:r>
    </w:p>
    <w:p>
      <w:pPr>
        <w:spacing w:line="240" w:lineRule="auto"/>
        <w:ind w:left="567" w:hanging="567"/>
        <w:rPr>
          <w:noProof/>
          <w:lang w:val="fr-FR"/>
        </w:rPr>
      </w:pPr>
    </w:p>
    <w:p>
      <w:pPr>
        <w:spacing w:line="240" w:lineRule="auto"/>
        <w:ind w:left="567" w:hanging="567"/>
        <w:rPr>
          <w:noProof/>
          <w:lang w:val="fr-FR"/>
        </w:rPr>
      </w:pPr>
      <w:r>
        <w:rPr>
          <w:noProof/>
          <w:lang w:val="fr-FR"/>
        </w:rPr>
        <w:t>8.</w:t>
      </w:r>
      <w:r>
        <w:rPr>
          <w:noProof/>
          <w:lang w:val="fr-FR"/>
        </w:rPr>
        <w:tab/>
      </w:r>
      <w:r>
        <w:rPr>
          <w:noProof/>
          <w:szCs w:val="24"/>
          <w:lang w:val="fr-CA"/>
        </w:rPr>
        <w:t>Respect des critères microbiologiques d'innocuité alimentaire de la Partie importatrice</w:t>
      </w:r>
      <w:r>
        <w:rPr>
          <w:noProof/>
          <w:lang w:val="fr-FR"/>
        </w:rPr>
        <w:t>.</w:t>
      </w:r>
    </w:p>
    <w:p>
      <w:pPr>
        <w:spacing w:line="240" w:lineRule="auto"/>
        <w:ind w:left="567" w:hanging="567"/>
        <w:rPr>
          <w:noProof/>
          <w:lang w:val="fr-FR"/>
        </w:rPr>
      </w:pPr>
    </w:p>
    <w:p>
      <w:pPr>
        <w:spacing w:line="240" w:lineRule="auto"/>
        <w:jc w:val="center"/>
        <w:rPr>
          <w:bCs/>
          <w:i/>
          <w:iCs/>
          <w:noProof/>
          <w:lang w:val="fr-FR"/>
        </w:rPr>
      </w:pPr>
      <w:r>
        <w:rPr>
          <w:bCs/>
          <w:i/>
          <w:iCs/>
          <w:noProof/>
          <w:lang w:val="fr-FR"/>
        </w:rPr>
        <w:br w:type="page"/>
        <w:t>SECTION B</w:t>
      </w:r>
    </w:p>
    <w:p>
      <w:pPr>
        <w:spacing w:line="240" w:lineRule="auto"/>
        <w:jc w:val="center"/>
        <w:rPr>
          <w:b/>
          <w:noProof/>
          <w:lang w:val="fr-FR"/>
        </w:rPr>
      </w:pPr>
    </w:p>
    <w:p>
      <w:pPr>
        <w:spacing w:line="240" w:lineRule="auto"/>
        <w:jc w:val="center"/>
        <w:rPr>
          <w:noProof/>
          <w:szCs w:val="24"/>
          <w:lang w:val="fr-FR"/>
        </w:rPr>
      </w:pPr>
      <w:r>
        <w:rPr>
          <w:b/>
          <w:noProof/>
          <w:szCs w:val="24"/>
          <w:lang w:val="fr-CA"/>
        </w:rPr>
        <w:t>Mesures phytosanitaires</w:t>
      </w:r>
    </w:p>
    <w:p>
      <w:pPr>
        <w:spacing w:line="240" w:lineRule="auto"/>
        <w:rPr>
          <w:noProof/>
          <w:lang w:val="fr-FR"/>
        </w:rPr>
      </w:pPr>
    </w:p>
    <w:p>
      <w:pPr>
        <w:spacing w:line="240" w:lineRule="auto"/>
        <w:rPr>
          <w:noProof/>
          <w:szCs w:val="24"/>
          <w:lang w:val="fr-FR"/>
        </w:rPr>
      </w:pPr>
      <w:r>
        <w:rPr>
          <w:noProof/>
          <w:szCs w:val="24"/>
          <w:lang w:val="fr-CA"/>
        </w:rPr>
        <w:t>À convenir ultérieurement</w:t>
      </w:r>
      <w:r>
        <w:rPr>
          <w:noProof/>
          <w:szCs w:val="24"/>
          <w:lang w:val="fr-FR"/>
        </w:rPr>
        <w:t>.</w:t>
      </w:r>
    </w:p>
    <w:p>
      <w:pPr>
        <w:widowControl/>
        <w:spacing w:line="240" w:lineRule="auto"/>
        <w:rPr>
          <w:b/>
          <w:noProof/>
          <w:snapToGrid w:val="0"/>
          <w:color w:val="000000"/>
          <w:u w:val="single"/>
          <w:lang w:val="fr-FR" w:eastAsia="en-US"/>
        </w:rPr>
      </w:pPr>
      <w:r>
        <w:rPr>
          <w:b/>
          <w:noProof/>
          <w:snapToGrid w:val="0"/>
          <w:color w:val="000000"/>
          <w:u w:val="single"/>
          <w:lang w:val="fr-FR" w:eastAsia="en-US"/>
        </w:rPr>
        <w:br w:type="page"/>
      </w:r>
    </w:p>
    <w:p>
      <w:pPr>
        <w:spacing w:line="240" w:lineRule="auto"/>
        <w:jc w:val="center"/>
        <w:rPr>
          <w:b/>
          <w:bCs/>
          <w:noProof/>
          <w:snapToGrid w:val="0"/>
          <w:u w:val="single"/>
          <w:lang w:val="fr-FR" w:eastAsia="en-US"/>
        </w:rPr>
      </w:pPr>
      <w:r>
        <w:rPr>
          <w:b/>
          <w:noProof/>
          <w:snapToGrid w:val="0"/>
          <w:color w:val="000000"/>
          <w:u w:val="single"/>
          <w:lang w:val="fr-CA"/>
        </w:rPr>
        <w:t>ANNEXE 5-F</w:t>
      </w:r>
    </w:p>
    <w:p>
      <w:pPr>
        <w:spacing w:line="240" w:lineRule="auto"/>
        <w:jc w:val="center"/>
        <w:rPr>
          <w:noProof/>
          <w:snapToGrid w:val="0"/>
          <w:lang w:val="fr-FR" w:eastAsia="en-US"/>
        </w:rPr>
      </w:pPr>
    </w:p>
    <w:p>
      <w:pPr>
        <w:spacing w:line="240" w:lineRule="auto"/>
        <w:jc w:val="center"/>
        <w:rPr>
          <w:noProof/>
          <w:snapToGrid w:val="0"/>
          <w:lang w:val="fr-FR" w:eastAsia="en-US"/>
        </w:rPr>
      </w:pPr>
    </w:p>
    <w:p>
      <w:pPr>
        <w:spacing w:line="240" w:lineRule="auto"/>
        <w:jc w:val="center"/>
        <w:rPr>
          <w:b/>
          <w:bCs/>
          <w:noProof/>
          <w:snapToGrid w:val="0"/>
          <w:lang w:val="fr-FR" w:eastAsia="en-US"/>
        </w:rPr>
      </w:pPr>
      <w:r>
        <w:rPr>
          <w:b/>
          <w:noProof/>
          <w:snapToGrid w:val="0"/>
          <w:lang w:val="fr-CA"/>
        </w:rPr>
        <w:t>AGRÉMENT DES ÉTABLISSEMENTS OU DES INSTALLATIONS</w:t>
      </w:r>
    </w:p>
    <w:p>
      <w:pPr>
        <w:spacing w:line="240" w:lineRule="auto"/>
        <w:jc w:val="center"/>
        <w:rPr>
          <w:noProof/>
          <w:snapToGrid w:val="0"/>
          <w:lang w:val="fr-FR" w:eastAsia="en-US"/>
        </w:rPr>
      </w:pPr>
    </w:p>
    <w:p>
      <w:pPr>
        <w:spacing w:line="240" w:lineRule="auto"/>
        <w:ind w:left="567" w:hanging="567"/>
        <w:rPr>
          <w:rFonts w:eastAsiaTheme="minorHAnsi"/>
          <w:noProof/>
          <w:snapToGrid w:val="0"/>
          <w:lang w:val="fr-FR" w:eastAsia="en-US"/>
        </w:rPr>
      </w:pPr>
      <w:r>
        <w:rPr>
          <w:noProof/>
          <w:snapToGrid w:val="0"/>
          <w:lang w:val="fr-CA"/>
        </w:rPr>
        <w:t>Aux fins de l’article 5.7.4b), les conditions et modalités suivantes s’appliquent </w:t>
      </w:r>
      <w:r>
        <w:rPr>
          <w:rFonts w:eastAsiaTheme="minorHAnsi"/>
          <w:noProof/>
          <w:snapToGrid w:val="0"/>
          <w:lang w:val="fr-FR" w:eastAsia="en-US"/>
        </w:rPr>
        <w:t>:</w:t>
      </w:r>
    </w:p>
    <w:p>
      <w:pPr>
        <w:spacing w:line="240" w:lineRule="auto"/>
        <w:ind w:left="567" w:hanging="567"/>
        <w:rPr>
          <w:rFonts w:eastAsiaTheme="minorHAnsi"/>
          <w:noProof/>
          <w:snapToGrid w:val="0"/>
          <w:lang w:val="fr-FR" w:eastAsia="en-US"/>
        </w:rPr>
      </w:pPr>
    </w:p>
    <w:p>
      <w:pPr>
        <w:spacing w:line="240" w:lineRule="auto"/>
        <w:ind w:left="567" w:hanging="567"/>
        <w:rPr>
          <w:rFonts w:eastAsiaTheme="minorHAnsi"/>
          <w:noProof/>
          <w:snapToGrid w:val="0"/>
          <w:lang w:val="fr-FR" w:eastAsia="en-US"/>
        </w:rPr>
      </w:pPr>
      <w:r>
        <w:rPr>
          <w:rFonts w:eastAsiaTheme="minorHAnsi"/>
          <w:noProof/>
          <w:snapToGrid w:val="0"/>
          <w:lang w:val="fr-FR" w:eastAsia="en-US"/>
        </w:rPr>
        <w:t>a)</w:t>
      </w:r>
      <w:r>
        <w:rPr>
          <w:rFonts w:eastAsiaTheme="minorHAnsi"/>
          <w:noProof/>
          <w:snapToGrid w:val="0"/>
          <w:lang w:val="fr-FR" w:eastAsia="en-US"/>
        </w:rPr>
        <w:tab/>
      </w:r>
      <w:r>
        <w:rPr>
          <w:noProof/>
          <w:snapToGrid w:val="0"/>
          <w:lang w:val="fr-CA"/>
        </w:rPr>
        <w:t>l’importation du produit a été autorisée, si nécessaire, par l’autorité compétente de la Partie importatrice</w:t>
      </w:r>
      <w:r>
        <w:rPr>
          <w:rFonts w:eastAsiaTheme="minorHAnsi"/>
          <w:noProof/>
          <w:snapToGrid w:val="0"/>
          <w:lang w:val="fr-FR" w:eastAsia="en-US"/>
        </w:rPr>
        <w:t>;</w:t>
      </w:r>
    </w:p>
    <w:p>
      <w:pPr>
        <w:spacing w:line="240" w:lineRule="auto"/>
        <w:ind w:left="567" w:hanging="567"/>
        <w:rPr>
          <w:rFonts w:eastAsiaTheme="minorHAnsi"/>
          <w:noProof/>
          <w:snapToGrid w:val="0"/>
          <w:lang w:val="fr-FR" w:eastAsia="en-US"/>
        </w:rPr>
      </w:pPr>
    </w:p>
    <w:p>
      <w:pPr>
        <w:spacing w:line="240" w:lineRule="auto"/>
        <w:ind w:left="567" w:hanging="567"/>
        <w:rPr>
          <w:rFonts w:eastAsiaTheme="minorHAnsi"/>
          <w:noProof/>
          <w:snapToGrid w:val="0"/>
          <w:lang w:val="fr-FR" w:eastAsia="en-US"/>
        </w:rPr>
      </w:pPr>
      <w:r>
        <w:rPr>
          <w:rFonts w:eastAsiaTheme="minorHAnsi"/>
          <w:noProof/>
          <w:snapToGrid w:val="0"/>
          <w:lang w:val="fr-FR" w:eastAsia="en-US"/>
        </w:rPr>
        <w:t>b)</w:t>
      </w:r>
      <w:r>
        <w:rPr>
          <w:rFonts w:eastAsiaTheme="minorHAnsi"/>
          <w:noProof/>
          <w:snapToGrid w:val="0"/>
          <w:lang w:val="fr-FR" w:eastAsia="en-US"/>
        </w:rPr>
        <w:tab/>
      </w:r>
      <w:r>
        <w:rPr>
          <w:noProof/>
          <w:snapToGrid w:val="0"/>
          <w:lang w:val="fr-CA"/>
        </w:rPr>
        <w:t>l’établissement ou l’installation en question a été agréé par l’autorité compétente de la Partie exportatrice</w:t>
      </w:r>
      <w:r>
        <w:rPr>
          <w:rFonts w:eastAsiaTheme="minorHAnsi"/>
          <w:noProof/>
          <w:snapToGrid w:val="0"/>
          <w:lang w:val="fr-FR" w:eastAsia="en-US"/>
        </w:rPr>
        <w:t>;</w:t>
      </w:r>
    </w:p>
    <w:p>
      <w:pPr>
        <w:spacing w:line="240" w:lineRule="auto"/>
        <w:ind w:left="567" w:hanging="567"/>
        <w:rPr>
          <w:rFonts w:eastAsiaTheme="minorHAnsi"/>
          <w:noProof/>
          <w:snapToGrid w:val="0"/>
          <w:lang w:val="fr-FR" w:eastAsia="en-US"/>
        </w:rPr>
      </w:pPr>
    </w:p>
    <w:p>
      <w:pPr>
        <w:spacing w:line="240" w:lineRule="auto"/>
        <w:ind w:left="567" w:hanging="567"/>
        <w:rPr>
          <w:rFonts w:eastAsiaTheme="minorHAnsi"/>
          <w:noProof/>
          <w:snapToGrid w:val="0"/>
          <w:lang w:val="fr-FR" w:eastAsia="en-US"/>
        </w:rPr>
      </w:pPr>
      <w:r>
        <w:rPr>
          <w:rFonts w:eastAsiaTheme="minorHAnsi"/>
          <w:noProof/>
          <w:snapToGrid w:val="0"/>
          <w:lang w:val="fr-FR" w:eastAsia="en-US"/>
        </w:rPr>
        <w:t>c)</w:t>
      </w:r>
      <w:r>
        <w:rPr>
          <w:rFonts w:eastAsiaTheme="minorHAnsi"/>
          <w:noProof/>
          <w:snapToGrid w:val="0"/>
          <w:lang w:val="fr-FR" w:eastAsia="en-US"/>
        </w:rPr>
        <w:tab/>
      </w:r>
      <w:r>
        <w:rPr>
          <w:noProof/>
          <w:snapToGrid w:val="0"/>
          <w:lang w:val="fr-CA"/>
        </w:rPr>
        <w:t>l’autorité compétente de la Partie exportatrice est habilitée à suspendre ou à retirer l’agrément de l’établissement ou de l’installation</w:t>
      </w:r>
      <w:r>
        <w:rPr>
          <w:rFonts w:eastAsiaTheme="minorHAnsi"/>
          <w:noProof/>
          <w:snapToGrid w:val="0"/>
          <w:lang w:val="fr-FR" w:eastAsia="en-US"/>
        </w:rPr>
        <w:t>;</w:t>
      </w:r>
    </w:p>
    <w:p>
      <w:pPr>
        <w:spacing w:line="240" w:lineRule="auto"/>
        <w:ind w:left="567" w:hanging="567"/>
        <w:rPr>
          <w:rFonts w:eastAsiaTheme="minorHAnsi"/>
          <w:noProof/>
          <w:snapToGrid w:val="0"/>
          <w:lang w:val="fr-FR" w:eastAsia="en-US"/>
        </w:rPr>
      </w:pPr>
    </w:p>
    <w:p>
      <w:pPr>
        <w:spacing w:line="240" w:lineRule="auto"/>
        <w:ind w:left="567" w:hanging="567"/>
        <w:rPr>
          <w:rFonts w:eastAsiaTheme="minorHAnsi"/>
          <w:noProof/>
          <w:snapToGrid w:val="0"/>
          <w:lang w:val="fr-FR" w:eastAsia="en-US"/>
        </w:rPr>
      </w:pPr>
      <w:r>
        <w:rPr>
          <w:rFonts w:eastAsiaTheme="minorHAnsi"/>
          <w:noProof/>
          <w:snapToGrid w:val="0"/>
          <w:lang w:val="fr-FR" w:eastAsia="en-US"/>
        </w:rPr>
        <w:t>d)</w:t>
      </w:r>
      <w:r>
        <w:rPr>
          <w:rFonts w:eastAsiaTheme="minorHAnsi"/>
          <w:noProof/>
          <w:snapToGrid w:val="0"/>
          <w:lang w:val="fr-FR" w:eastAsia="en-US"/>
        </w:rPr>
        <w:tab/>
      </w:r>
      <w:r>
        <w:rPr>
          <w:noProof/>
          <w:snapToGrid w:val="0"/>
          <w:lang w:val="fr-CA"/>
        </w:rPr>
        <w:t>la Partie exportatrice a fourni toute information pertinente demandée par la Partie importatrice</w:t>
      </w:r>
      <w:r>
        <w:rPr>
          <w:rFonts w:eastAsiaTheme="minorHAnsi"/>
          <w:noProof/>
          <w:snapToGrid w:val="0"/>
          <w:lang w:val="fr-FR" w:eastAsia="en-US"/>
        </w:rPr>
        <w:t>.</w:t>
      </w:r>
    </w:p>
    <w:p>
      <w:pPr>
        <w:widowControl/>
        <w:spacing w:line="240" w:lineRule="auto"/>
        <w:jc w:val="center"/>
        <w:rPr>
          <w:i/>
          <w:noProof/>
          <w:snapToGrid w:val="0"/>
          <w:color w:val="000000"/>
          <w:lang w:val="fr-FR" w:eastAsia="en-US"/>
        </w:rPr>
      </w:pPr>
    </w:p>
    <w:p>
      <w:pPr>
        <w:widowControl/>
        <w:spacing w:line="240" w:lineRule="auto"/>
        <w:jc w:val="center"/>
        <w:rPr>
          <w:iCs/>
          <w:noProof/>
          <w:snapToGrid w:val="0"/>
          <w:color w:val="000000"/>
          <w:lang w:val="fr-FR" w:eastAsia="en-US"/>
        </w:rPr>
      </w:pPr>
    </w:p>
    <w:p>
      <w:pPr>
        <w:widowControl/>
        <w:spacing w:line="240" w:lineRule="auto"/>
        <w:rPr>
          <w:b/>
          <w:noProof/>
          <w:snapToGrid w:val="0"/>
          <w:color w:val="000000"/>
          <w:u w:val="single"/>
          <w:lang w:val="fr-FR" w:eastAsia="en-US"/>
        </w:rPr>
      </w:pPr>
      <w:r>
        <w:rPr>
          <w:b/>
          <w:noProof/>
          <w:snapToGrid w:val="0"/>
          <w:color w:val="000000"/>
          <w:u w:val="single"/>
          <w:lang w:val="fr-FR" w:eastAsia="en-US"/>
        </w:rPr>
        <w:br w:type="page"/>
      </w:r>
    </w:p>
    <w:p>
      <w:pPr>
        <w:spacing w:line="240" w:lineRule="auto"/>
        <w:jc w:val="center"/>
        <w:rPr>
          <w:b/>
          <w:bCs/>
          <w:noProof/>
          <w:snapToGrid w:val="0"/>
          <w:u w:val="single"/>
          <w:lang w:val="fr-FR" w:eastAsia="en-US"/>
        </w:rPr>
      </w:pPr>
      <w:r>
        <w:rPr>
          <w:b/>
          <w:noProof/>
          <w:snapToGrid w:val="0"/>
          <w:color w:val="000000"/>
          <w:u w:val="single"/>
          <w:lang w:val="fr-FR"/>
        </w:rPr>
        <w:t>ANNEXE 5-G</w:t>
      </w:r>
    </w:p>
    <w:p>
      <w:pPr>
        <w:spacing w:line="240" w:lineRule="auto"/>
        <w:rPr>
          <w:noProof/>
          <w:snapToGrid w:val="0"/>
          <w:lang w:val="fr-FR" w:eastAsia="en-US"/>
        </w:rPr>
      </w:pPr>
    </w:p>
    <w:p>
      <w:pPr>
        <w:spacing w:line="240" w:lineRule="auto"/>
        <w:rPr>
          <w:noProof/>
          <w:snapToGrid w:val="0"/>
          <w:lang w:val="fr-FR" w:eastAsia="en-US"/>
        </w:rPr>
      </w:pPr>
    </w:p>
    <w:p>
      <w:pPr>
        <w:spacing w:line="240" w:lineRule="auto"/>
        <w:jc w:val="center"/>
        <w:rPr>
          <w:b/>
          <w:noProof/>
          <w:snapToGrid w:val="0"/>
          <w:lang w:val="fr-CA"/>
        </w:rPr>
      </w:pPr>
      <w:r>
        <w:rPr>
          <w:b/>
          <w:noProof/>
          <w:snapToGrid w:val="0"/>
          <w:lang w:val="fr-FR"/>
        </w:rPr>
        <w:t xml:space="preserve">PROCÉDURE LIÉE </w:t>
      </w:r>
      <w:r>
        <w:rPr>
          <w:b/>
          <w:noProof/>
          <w:snapToGrid w:val="0"/>
          <w:lang w:val="fr-CA"/>
        </w:rPr>
        <w:t>AUX EXIGENCES D’IMPORTATION</w:t>
      </w:r>
    </w:p>
    <w:p>
      <w:pPr>
        <w:spacing w:line="240" w:lineRule="auto"/>
        <w:jc w:val="center"/>
        <w:rPr>
          <w:b/>
          <w:bCs/>
          <w:noProof/>
          <w:snapToGrid w:val="0"/>
          <w:lang w:val="fr-FR" w:eastAsia="en-US"/>
        </w:rPr>
      </w:pPr>
      <w:r>
        <w:rPr>
          <w:b/>
          <w:noProof/>
          <w:snapToGrid w:val="0"/>
          <w:lang w:val="fr-CA"/>
        </w:rPr>
        <w:t xml:space="preserve"> PARTICULIÈRES POUR LA PRÉSERVATION DES VÉGÉTAUX</w:t>
      </w:r>
    </w:p>
    <w:p>
      <w:pPr>
        <w:spacing w:line="240" w:lineRule="auto"/>
        <w:jc w:val="center"/>
        <w:rPr>
          <w:noProof/>
          <w:snapToGrid w:val="0"/>
          <w:lang w:val="fr-FR" w:eastAsia="en-US"/>
        </w:rPr>
      </w:pPr>
    </w:p>
    <w:p>
      <w:pPr>
        <w:spacing w:line="240" w:lineRule="auto"/>
        <w:rPr>
          <w:noProof/>
          <w:snapToGrid w:val="0"/>
          <w:lang w:val="fr-FR" w:eastAsia="en-US"/>
        </w:rPr>
      </w:pPr>
      <w:r>
        <w:rPr>
          <w:noProof/>
          <w:snapToGrid w:val="0"/>
          <w:lang w:val="fr-CA"/>
        </w:rPr>
        <w:t>La présente procédure vise principalement à ce que la Partie importatrice établisse et maintienne, au mieux de ses capacités, une liste de parasites réglementés à l’égard de produits de base qui soulèvent une préoccupation d’ordre phytosanitaire sur son territoire</w:t>
      </w:r>
      <w:r>
        <w:rPr>
          <w:noProof/>
          <w:snapToGrid w:val="0"/>
          <w:lang w:val="fr-FR" w:eastAsia="en-US"/>
        </w:rPr>
        <w:t>.</w:t>
      </w:r>
    </w:p>
    <w:p>
      <w:pPr>
        <w:spacing w:line="240" w:lineRule="auto"/>
        <w:rPr>
          <w:noProof/>
          <w:snapToGrid w:val="0"/>
          <w:lang w:val="fr-FR" w:eastAsia="en-US"/>
        </w:rPr>
      </w:pPr>
    </w:p>
    <w:p>
      <w:pPr>
        <w:spacing w:line="240" w:lineRule="auto"/>
        <w:ind w:left="567" w:hanging="567"/>
        <w:rPr>
          <w:rFonts w:eastAsiaTheme="minorHAnsi"/>
          <w:noProof/>
          <w:snapToGrid w:val="0"/>
          <w:szCs w:val="22"/>
          <w:lang w:val="fr-FR" w:eastAsia="en-US"/>
        </w:rPr>
      </w:pPr>
      <w:r>
        <w:rPr>
          <w:rFonts w:eastAsiaTheme="minorHAnsi"/>
          <w:noProof/>
          <w:snapToGrid w:val="0"/>
          <w:szCs w:val="22"/>
          <w:lang w:val="fr-FR" w:eastAsia="en-US"/>
        </w:rPr>
        <w:t>1.</w:t>
      </w:r>
      <w:r>
        <w:rPr>
          <w:rFonts w:eastAsiaTheme="minorHAnsi"/>
          <w:noProof/>
          <w:snapToGrid w:val="0"/>
          <w:szCs w:val="22"/>
          <w:lang w:val="fr-FR" w:eastAsia="en-US"/>
        </w:rPr>
        <w:tab/>
      </w:r>
      <w:r>
        <w:rPr>
          <w:noProof/>
          <w:snapToGrid w:val="0"/>
          <w:lang w:val="fr-CA"/>
        </w:rPr>
        <w:t>Pour tout produit de base particulier que les Parties désignent conjointement comme prioritaire, la Partie importatrice devrait établir une liste préliminaire de parasites, dans un délai déterminé par les Parties, après avoir reçu de la Partie exportatrice </w:t>
      </w:r>
      <w:r>
        <w:rPr>
          <w:rFonts w:eastAsiaTheme="minorHAnsi"/>
          <w:noProof/>
          <w:snapToGrid w:val="0"/>
          <w:szCs w:val="22"/>
          <w:lang w:val="fr-FR" w:eastAsia="en-US"/>
        </w:rPr>
        <w:t>:</w:t>
      </w:r>
    </w:p>
    <w:p>
      <w:pPr>
        <w:spacing w:line="240" w:lineRule="auto"/>
        <w:ind w:left="567" w:hanging="567"/>
        <w:rPr>
          <w:rFonts w:eastAsiaTheme="minorHAnsi"/>
          <w:noProof/>
          <w:snapToGrid w:val="0"/>
          <w:szCs w:val="22"/>
          <w:lang w:val="fr-FR" w:eastAsia="en-US"/>
        </w:rPr>
      </w:pPr>
    </w:p>
    <w:p>
      <w:pPr>
        <w:spacing w:line="240" w:lineRule="auto"/>
        <w:ind w:left="1134" w:hanging="567"/>
        <w:rPr>
          <w:rFonts w:eastAsiaTheme="minorHAnsi"/>
          <w:noProof/>
          <w:szCs w:val="22"/>
          <w:lang w:val="fr-FR" w:eastAsia="en-CA"/>
        </w:rPr>
      </w:pPr>
      <w:r>
        <w:rPr>
          <w:noProof/>
          <w:snapToGrid w:val="0"/>
          <w:lang w:val="fr-FR" w:eastAsia="en-US"/>
        </w:rPr>
        <w:t>a)</w:t>
      </w:r>
      <w:r>
        <w:rPr>
          <w:noProof/>
          <w:snapToGrid w:val="0"/>
          <w:lang w:val="fr-FR" w:eastAsia="en-US"/>
        </w:rPr>
        <w:tab/>
      </w:r>
      <w:r>
        <w:rPr>
          <w:noProof/>
          <w:lang w:val="fr-CA" w:eastAsia="en-CA"/>
        </w:rPr>
        <w:t>de l’information sur la situation au regard des parasites, sur le territoire de la Partie exportatrice, en ce qui concerne les parasites réglementés par au moins une des Parties</w:t>
      </w:r>
      <w:r>
        <w:rPr>
          <w:rFonts w:eastAsiaTheme="minorHAnsi"/>
          <w:noProof/>
          <w:szCs w:val="22"/>
          <w:lang w:val="fr-FR" w:eastAsia="en-CA"/>
        </w:rPr>
        <w:t>;</w:t>
      </w:r>
    </w:p>
    <w:p>
      <w:pPr>
        <w:spacing w:line="240" w:lineRule="auto"/>
        <w:ind w:left="1134" w:hanging="567"/>
        <w:rPr>
          <w:rFonts w:eastAsiaTheme="minorHAnsi"/>
          <w:noProof/>
          <w:szCs w:val="22"/>
          <w:lang w:val="fr-FR" w:eastAsia="en-CA"/>
        </w:rPr>
      </w:pPr>
    </w:p>
    <w:p>
      <w:pPr>
        <w:spacing w:line="240" w:lineRule="auto"/>
        <w:ind w:left="1134" w:hanging="567"/>
        <w:rPr>
          <w:noProof/>
          <w:snapToGrid w:val="0"/>
          <w:lang w:val="fr-FR" w:eastAsia="en-US"/>
        </w:rPr>
      </w:pPr>
      <w:r>
        <w:rPr>
          <w:rFonts w:eastAsiaTheme="minorHAnsi"/>
          <w:noProof/>
          <w:szCs w:val="22"/>
          <w:lang w:val="fr-FR" w:eastAsia="en-CA"/>
        </w:rPr>
        <w:t>b)</w:t>
      </w:r>
      <w:r>
        <w:rPr>
          <w:rFonts w:eastAsiaTheme="minorHAnsi"/>
          <w:noProof/>
          <w:szCs w:val="22"/>
          <w:lang w:val="fr-FR" w:eastAsia="en-CA"/>
        </w:rPr>
        <w:tab/>
      </w:r>
      <w:r>
        <w:rPr>
          <w:noProof/>
          <w:snapToGrid w:val="0"/>
          <w:lang w:val="fr-CA"/>
        </w:rPr>
        <w:t xml:space="preserve">de l’information sur la </w:t>
      </w:r>
      <w:r>
        <w:rPr>
          <w:noProof/>
          <w:lang w:val="fr-CA" w:eastAsia="en-CA"/>
        </w:rPr>
        <w:t>situation au regard des parasites</w:t>
      </w:r>
      <w:r>
        <w:rPr>
          <w:noProof/>
          <w:snapToGrid w:val="0"/>
          <w:lang w:val="fr-CA"/>
        </w:rPr>
        <w:t>, à la lumière des renseignements contenus dans des bases de données internationales et d’autres sources, en ce qui concerne d’autres parasites présents sur son territoire</w:t>
      </w:r>
      <w:r>
        <w:rPr>
          <w:noProof/>
          <w:snapToGrid w:val="0"/>
          <w:lang w:val="fr-FR" w:eastAsia="en-US"/>
        </w:rPr>
        <w:t>.</w:t>
      </w:r>
    </w:p>
    <w:p>
      <w:pPr>
        <w:spacing w:line="240" w:lineRule="auto"/>
        <w:ind w:left="567" w:hanging="567"/>
        <w:rPr>
          <w:noProof/>
          <w:snapToGrid w:val="0"/>
          <w:lang w:val="fr-FR" w:eastAsia="en-US"/>
        </w:rPr>
      </w:pPr>
    </w:p>
    <w:p>
      <w:pPr>
        <w:spacing w:line="240" w:lineRule="auto"/>
        <w:ind w:left="567" w:hanging="567"/>
        <w:rPr>
          <w:noProof/>
          <w:snapToGrid w:val="0"/>
          <w:lang w:val="fr-FR" w:eastAsia="en-US"/>
        </w:rPr>
      </w:pPr>
      <w:r>
        <w:rPr>
          <w:noProof/>
          <w:snapToGrid w:val="0"/>
          <w:lang w:val="fr-FR" w:eastAsia="en-US"/>
        </w:rPr>
        <w:t>2.</w:t>
      </w:r>
      <w:r>
        <w:rPr>
          <w:noProof/>
          <w:snapToGrid w:val="0"/>
          <w:lang w:val="fr-FR" w:eastAsia="en-US"/>
        </w:rPr>
        <w:tab/>
      </w:r>
      <w:r>
        <w:rPr>
          <w:noProof/>
          <w:snapToGrid w:val="0"/>
          <w:lang w:val="fr-CA"/>
        </w:rPr>
        <w:t>La liste préliminaire de parasites établie par la Partie importatrice peut comprendre des parasites déjà réglementés sur son territoire.</w:t>
      </w:r>
      <w:r>
        <w:rPr>
          <w:noProof/>
          <w:snapToGrid w:val="0"/>
          <w:color w:val="000000"/>
          <w:lang w:val="fr-CA"/>
        </w:rPr>
        <w:t xml:space="preserve"> </w:t>
      </w:r>
      <w:r>
        <w:rPr>
          <w:noProof/>
          <w:snapToGrid w:val="0"/>
          <w:lang w:val="fr-CA"/>
        </w:rPr>
        <w:t>La liste peut aussi comprendre des parasites susceptibles de quarantaine, pour lesquels la Partie importatrice peut exiger une analyse du risque si un produit de base est confirmé comme étant prioritaire en application du paragraphe 3</w:t>
      </w:r>
      <w:r>
        <w:rPr>
          <w:noProof/>
          <w:snapToGrid w:val="0"/>
          <w:lang w:val="fr-FR" w:eastAsia="en-US"/>
        </w:rPr>
        <w:t>.</w:t>
      </w:r>
    </w:p>
    <w:p>
      <w:pPr>
        <w:spacing w:line="240" w:lineRule="auto"/>
        <w:ind w:left="567" w:hanging="567"/>
        <w:rPr>
          <w:noProof/>
          <w:snapToGrid w:val="0"/>
          <w:lang w:val="fr-FR" w:eastAsia="en-US"/>
        </w:rPr>
      </w:pPr>
    </w:p>
    <w:p>
      <w:pPr>
        <w:widowControl/>
        <w:spacing w:line="240" w:lineRule="auto"/>
        <w:rPr>
          <w:noProof/>
          <w:snapToGrid w:val="0"/>
          <w:lang w:val="fr-FR" w:eastAsia="en-US"/>
        </w:rPr>
      </w:pPr>
      <w:r>
        <w:rPr>
          <w:noProof/>
          <w:snapToGrid w:val="0"/>
          <w:lang w:val="fr-FR" w:eastAsia="en-US"/>
        </w:rPr>
        <w:br w:type="page"/>
      </w:r>
    </w:p>
    <w:p>
      <w:pPr>
        <w:spacing w:line="240" w:lineRule="auto"/>
        <w:ind w:left="567" w:hanging="567"/>
        <w:rPr>
          <w:noProof/>
          <w:snapToGrid w:val="0"/>
          <w:lang w:val="fr-FR" w:eastAsia="en-US"/>
        </w:rPr>
      </w:pPr>
      <w:r>
        <w:rPr>
          <w:noProof/>
          <w:snapToGrid w:val="0"/>
          <w:lang w:val="fr-FR" w:eastAsia="en-US"/>
        </w:rPr>
        <w:t>3.</w:t>
      </w:r>
      <w:r>
        <w:rPr>
          <w:noProof/>
          <w:snapToGrid w:val="0"/>
          <w:lang w:val="fr-FR" w:eastAsia="en-US"/>
        </w:rPr>
        <w:tab/>
      </w:r>
      <w:r>
        <w:rPr>
          <w:noProof/>
          <w:snapToGrid w:val="0"/>
          <w:lang w:val="fr-CA" w:eastAsia="en-US"/>
        </w:rPr>
        <w:t>La Partie importatrice devrait prendre les dispositions nécessaires pour établir sa liste de parasites réglementés ainsi que les exigences d’importation particulières concernant tout produit de base :</w:t>
      </w:r>
    </w:p>
    <w:p>
      <w:pPr>
        <w:spacing w:line="240" w:lineRule="auto"/>
        <w:ind w:left="1134" w:hanging="567"/>
        <w:rPr>
          <w:noProof/>
          <w:snapToGrid w:val="0"/>
          <w:lang w:val="fr-FR" w:eastAsia="en-US"/>
        </w:rPr>
      </w:pPr>
    </w:p>
    <w:p>
      <w:pPr>
        <w:spacing w:line="240" w:lineRule="auto"/>
        <w:ind w:left="1134" w:hanging="567"/>
        <w:rPr>
          <w:rFonts w:eastAsiaTheme="minorHAnsi"/>
          <w:noProof/>
          <w:szCs w:val="22"/>
          <w:lang w:val="fr-FR" w:eastAsia="en-CA"/>
        </w:rPr>
      </w:pPr>
      <w:r>
        <w:rPr>
          <w:noProof/>
          <w:snapToGrid w:val="0"/>
          <w:lang w:val="fr-FR" w:eastAsia="en-US"/>
        </w:rPr>
        <w:t>a)</w:t>
      </w:r>
      <w:r>
        <w:rPr>
          <w:noProof/>
          <w:snapToGrid w:val="0"/>
          <w:lang w:val="fr-FR" w:eastAsia="en-US"/>
        </w:rPr>
        <w:tab/>
      </w:r>
      <w:r>
        <w:rPr>
          <w:noProof/>
          <w:snapToGrid w:val="0"/>
          <w:color w:val="000000"/>
          <w:lang w:val="fr-CA"/>
        </w:rPr>
        <w:t>pour lequel une liste préliminaire de parasites a été établie conformément au paragraphe 2</w:t>
      </w:r>
      <w:r>
        <w:rPr>
          <w:rFonts w:eastAsiaTheme="minorHAnsi"/>
          <w:noProof/>
          <w:szCs w:val="22"/>
          <w:lang w:val="fr-FR" w:eastAsia="en-CA"/>
        </w:rPr>
        <w:t>;</w:t>
      </w:r>
    </w:p>
    <w:p>
      <w:pPr>
        <w:spacing w:line="240" w:lineRule="auto"/>
        <w:ind w:left="1134" w:hanging="567"/>
        <w:rPr>
          <w:rFonts w:eastAsiaTheme="minorHAnsi"/>
          <w:noProof/>
          <w:szCs w:val="22"/>
          <w:lang w:val="fr-FR" w:eastAsia="en-CA"/>
        </w:rPr>
      </w:pPr>
    </w:p>
    <w:p>
      <w:pPr>
        <w:spacing w:line="240" w:lineRule="auto"/>
        <w:ind w:left="1134" w:hanging="567"/>
        <w:rPr>
          <w:rFonts w:eastAsiaTheme="minorHAnsi"/>
          <w:noProof/>
          <w:szCs w:val="22"/>
          <w:lang w:val="fr-FR" w:eastAsia="en-CA"/>
        </w:rPr>
      </w:pPr>
      <w:r>
        <w:rPr>
          <w:rFonts w:eastAsiaTheme="minorHAnsi"/>
          <w:noProof/>
          <w:szCs w:val="22"/>
          <w:lang w:val="fr-FR" w:eastAsia="en-CA"/>
        </w:rPr>
        <w:t>b)</w:t>
      </w:r>
      <w:r>
        <w:rPr>
          <w:rFonts w:eastAsiaTheme="minorHAnsi"/>
          <w:noProof/>
          <w:szCs w:val="22"/>
          <w:lang w:val="fr-FR" w:eastAsia="en-CA"/>
        </w:rPr>
        <w:tab/>
      </w:r>
      <w:r>
        <w:rPr>
          <w:noProof/>
          <w:lang w:val="fr-CA" w:eastAsia="en-CA"/>
        </w:rPr>
        <w:t>dont les Parties confirment le caractère prioritaire</w:t>
      </w:r>
      <w:r>
        <w:rPr>
          <w:rFonts w:eastAsiaTheme="minorHAnsi"/>
          <w:noProof/>
          <w:szCs w:val="22"/>
          <w:lang w:val="fr-FR" w:eastAsia="en-CA"/>
        </w:rPr>
        <w:t>;</w:t>
      </w:r>
    </w:p>
    <w:p>
      <w:pPr>
        <w:spacing w:line="240" w:lineRule="auto"/>
        <w:ind w:left="1134" w:hanging="567"/>
        <w:rPr>
          <w:rFonts w:eastAsiaTheme="minorHAnsi"/>
          <w:noProof/>
          <w:szCs w:val="22"/>
          <w:lang w:val="fr-FR" w:eastAsia="en-CA"/>
        </w:rPr>
      </w:pPr>
    </w:p>
    <w:p>
      <w:pPr>
        <w:spacing w:line="240" w:lineRule="auto"/>
        <w:ind w:left="1134" w:hanging="567"/>
        <w:rPr>
          <w:rFonts w:eastAsiaTheme="minorHAnsi"/>
          <w:noProof/>
          <w:snapToGrid w:val="0"/>
          <w:szCs w:val="22"/>
          <w:lang w:val="fr-FR" w:eastAsia="en-US"/>
        </w:rPr>
      </w:pPr>
      <w:r>
        <w:rPr>
          <w:rFonts w:eastAsiaTheme="minorHAnsi"/>
          <w:noProof/>
          <w:szCs w:val="22"/>
          <w:lang w:val="fr-FR" w:eastAsia="en-CA"/>
        </w:rPr>
        <w:t>c)</w:t>
      </w:r>
      <w:r>
        <w:rPr>
          <w:rFonts w:eastAsiaTheme="minorHAnsi"/>
          <w:noProof/>
          <w:szCs w:val="22"/>
          <w:lang w:val="fr-FR" w:eastAsia="en-CA"/>
        </w:rPr>
        <w:tab/>
      </w:r>
      <w:r>
        <w:rPr>
          <w:noProof/>
          <w:lang w:val="fr-CA" w:eastAsia="en-CA"/>
        </w:rPr>
        <w:t xml:space="preserve">au sujet duquel </w:t>
      </w:r>
      <w:r>
        <w:rPr>
          <w:noProof/>
          <w:snapToGrid w:val="0"/>
          <w:lang w:val="fr-CA"/>
        </w:rPr>
        <w:t>la Partie exportatrice a fourni</w:t>
      </w:r>
      <w:r>
        <w:rPr>
          <w:noProof/>
          <w:snapToGrid w:val="0"/>
          <w:color w:val="000000"/>
          <w:lang w:val="fr-CA"/>
        </w:rPr>
        <w:t xml:space="preserve"> </w:t>
      </w:r>
      <w:r>
        <w:rPr>
          <w:noProof/>
          <w:snapToGrid w:val="0"/>
          <w:lang w:val="fr-CA"/>
        </w:rPr>
        <w:t>toute l’information pertinente requise</w:t>
      </w:r>
      <w:r>
        <w:rPr>
          <w:noProof/>
          <w:snapToGrid w:val="0"/>
          <w:color w:val="000000"/>
          <w:lang w:val="fr-CA"/>
        </w:rPr>
        <w:t xml:space="preserve"> par la Partie importatrice</w:t>
      </w:r>
      <w:r>
        <w:rPr>
          <w:noProof/>
          <w:snapToGrid w:val="0"/>
          <w:lang w:val="fr-FR" w:eastAsia="en-US"/>
        </w:rPr>
        <w:t>.</w:t>
      </w:r>
    </w:p>
    <w:p>
      <w:pPr>
        <w:spacing w:line="240" w:lineRule="auto"/>
        <w:ind w:left="567"/>
        <w:rPr>
          <w:rFonts w:eastAsiaTheme="minorHAnsi"/>
          <w:b/>
          <w:noProof/>
          <w:snapToGrid w:val="0"/>
          <w:color w:val="FF0000"/>
          <w:szCs w:val="22"/>
          <w:lang w:eastAsia="en-US"/>
        </w:rPr>
      </w:pPr>
    </w:p>
    <w:p>
      <w:pPr>
        <w:widowControl/>
        <w:spacing w:line="240" w:lineRule="auto"/>
        <w:ind w:left="567" w:hanging="567"/>
        <w:jc w:val="both"/>
        <w:rPr>
          <w:noProof/>
          <w:snapToGrid w:val="0"/>
          <w:color w:val="000000"/>
          <w:lang w:val="fr-FR" w:eastAsia="en-US"/>
        </w:rPr>
      </w:pPr>
      <w:r>
        <w:rPr>
          <w:noProof/>
          <w:snapToGrid w:val="0"/>
          <w:color w:val="000000"/>
          <w:lang w:val="fr-FR" w:eastAsia="en-US"/>
        </w:rPr>
        <w:t>4.</w:t>
      </w:r>
      <w:r>
        <w:rPr>
          <w:noProof/>
          <w:snapToGrid w:val="0"/>
          <w:color w:val="000000"/>
          <w:lang w:val="fr-FR" w:eastAsia="en-US"/>
        </w:rPr>
        <w:tab/>
      </w:r>
      <w:r>
        <w:rPr>
          <w:noProof/>
          <w:snapToGrid w:val="0"/>
          <w:color w:val="000000"/>
          <w:lang w:val="fr-CA"/>
        </w:rPr>
        <w:t xml:space="preserve">Si </w:t>
      </w:r>
      <w:r>
        <w:rPr>
          <w:noProof/>
          <w:snapToGrid w:val="0"/>
          <w:lang w:val="fr-CA"/>
        </w:rPr>
        <w:t>la Partie importatrice prévoit plus d’une mesure phytosanitaire pour satisfaire aux exigences d’importation particulières pour un produit donné, l’autorité compétente de la Partie exportatrice devrait informer</w:t>
      </w:r>
      <w:r>
        <w:rPr>
          <w:noProof/>
          <w:snapToGrid w:val="0"/>
          <w:color w:val="000000"/>
          <w:lang w:val="fr-CA"/>
        </w:rPr>
        <w:t xml:space="preserve"> l’autorité compétente de la </w:t>
      </w:r>
      <w:r>
        <w:rPr>
          <w:noProof/>
          <w:snapToGrid w:val="0"/>
          <w:lang w:val="fr-CA"/>
        </w:rPr>
        <w:t>Partie importatrice de la mesure ou des mesures sur lesquelles elle se fondera pour la certification</w:t>
      </w:r>
      <w:r>
        <w:rPr>
          <w:noProof/>
          <w:snapToGrid w:val="0"/>
          <w:color w:val="000000"/>
          <w:lang w:val="fr-FR" w:eastAsia="en-US"/>
        </w:rPr>
        <w:t>.</w:t>
      </w:r>
    </w:p>
    <w:p>
      <w:pPr>
        <w:widowControl/>
        <w:spacing w:line="240" w:lineRule="auto"/>
        <w:ind w:left="567" w:hanging="567"/>
        <w:jc w:val="both"/>
        <w:rPr>
          <w:noProof/>
          <w:snapToGrid w:val="0"/>
          <w:color w:val="000000"/>
          <w:lang w:val="fr-FR" w:eastAsia="en-US"/>
        </w:rPr>
      </w:pPr>
    </w:p>
    <w:p>
      <w:pPr>
        <w:widowControl/>
        <w:spacing w:line="240" w:lineRule="auto"/>
        <w:ind w:left="567" w:hanging="567"/>
        <w:jc w:val="both"/>
        <w:rPr>
          <w:noProof/>
          <w:snapToGrid w:val="0"/>
          <w:color w:val="000000"/>
          <w:lang w:val="fr-FR" w:eastAsia="en-US"/>
        </w:rPr>
      </w:pPr>
    </w:p>
    <w:p>
      <w:pPr>
        <w:widowControl/>
        <w:spacing w:line="240" w:lineRule="auto"/>
        <w:rPr>
          <w:b/>
          <w:noProof/>
          <w:snapToGrid w:val="0"/>
          <w:color w:val="000000"/>
          <w:u w:val="single"/>
          <w:lang w:val="fr-FR" w:eastAsia="en-US"/>
        </w:rPr>
      </w:pPr>
      <w:r>
        <w:rPr>
          <w:b/>
          <w:noProof/>
          <w:snapToGrid w:val="0"/>
          <w:color w:val="000000"/>
          <w:u w:val="single"/>
          <w:lang w:val="fr-FR" w:eastAsia="en-US"/>
        </w:rPr>
        <w:br w:type="page"/>
      </w:r>
    </w:p>
    <w:p>
      <w:pPr>
        <w:spacing w:line="240" w:lineRule="auto"/>
        <w:jc w:val="center"/>
        <w:rPr>
          <w:b/>
          <w:bCs/>
          <w:noProof/>
          <w:snapToGrid w:val="0"/>
          <w:u w:val="single"/>
          <w:lang w:val="fr-FR" w:eastAsia="en-US"/>
        </w:rPr>
      </w:pPr>
      <w:r>
        <w:rPr>
          <w:b/>
          <w:noProof/>
          <w:snapToGrid w:val="0"/>
          <w:color w:val="000000"/>
          <w:u w:val="single"/>
          <w:lang w:val="fr-CA"/>
        </w:rPr>
        <w:t>ANNEXE 5-H</w:t>
      </w:r>
    </w:p>
    <w:p>
      <w:pPr>
        <w:spacing w:line="240" w:lineRule="auto"/>
        <w:jc w:val="center"/>
        <w:rPr>
          <w:noProof/>
          <w:snapToGrid w:val="0"/>
          <w:lang w:val="fr-FR" w:eastAsia="en-US"/>
        </w:rPr>
      </w:pPr>
    </w:p>
    <w:p>
      <w:pPr>
        <w:spacing w:line="240" w:lineRule="auto"/>
        <w:jc w:val="center"/>
        <w:rPr>
          <w:noProof/>
          <w:snapToGrid w:val="0"/>
          <w:lang w:val="fr-FR" w:eastAsia="en-US"/>
        </w:rPr>
      </w:pPr>
    </w:p>
    <w:p>
      <w:pPr>
        <w:spacing w:line="240" w:lineRule="auto"/>
        <w:jc w:val="center"/>
        <w:rPr>
          <w:b/>
          <w:noProof/>
          <w:snapToGrid w:val="0"/>
          <w:lang w:val="fr-CA"/>
        </w:rPr>
      </w:pPr>
      <w:r>
        <w:rPr>
          <w:b/>
          <w:noProof/>
          <w:snapToGrid w:val="0"/>
          <w:lang w:val="fr-CA"/>
        </w:rPr>
        <w:t>PRINCIPES ET LIGNES DIRECTRICES POUR RÉALISER</w:t>
      </w:r>
      <w:r>
        <w:rPr>
          <w:b/>
          <w:noProof/>
          <w:snapToGrid w:val="0"/>
          <w:lang w:val="fr-CA"/>
        </w:rPr>
        <w:br/>
        <w:t>UN AUDIT OU UNE VÉRIFICATION</w:t>
      </w:r>
    </w:p>
    <w:p>
      <w:pPr>
        <w:spacing w:line="240" w:lineRule="auto"/>
        <w:rPr>
          <w:noProof/>
          <w:szCs w:val="24"/>
          <w:lang w:val="fr-FR" w:eastAsia="es-ES"/>
        </w:rPr>
      </w:pPr>
    </w:p>
    <w:p>
      <w:pPr>
        <w:spacing w:line="240" w:lineRule="auto"/>
        <w:rPr>
          <w:noProof/>
          <w:szCs w:val="24"/>
          <w:lang w:val="fr-FR" w:eastAsia="es-ES"/>
        </w:rPr>
      </w:pPr>
      <w:r>
        <w:rPr>
          <w:noProof/>
          <w:lang w:val="fr-CA"/>
        </w:rPr>
        <w:t>À convenir ultérieurement</w:t>
      </w:r>
      <w:r>
        <w:rPr>
          <w:noProof/>
          <w:szCs w:val="24"/>
          <w:lang w:val="fr-FR" w:eastAsia="es-ES"/>
        </w:rPr>
        <w:t>.</w:t>
      </w:r>
    </w:p>
    <w:p>
      <w:pPr>
        <w:spacing w:line="240" w:lineRule="auto"/>
        <w:rPr>
          <w:noProof/>
          <w:szCs w:val="24"/>
          <w:lang w:val="fr-FR" w:eastAsia="es-ES"/>
        </w:rPr>
      </w:pPr>
    </w:p>
    <w:p>
      <w:pPr>
        <w:spacing w:line="240" w:lineRule="auto"/>
        <w:rPr>
          <w:noProof/>
          <w:szCs w:val="24"/>
          <w:lang w:val="fr-FR" w:eastAsia="es-ES"/>
        </w:rPr>
      </w:pPr>
    </w:p>
    <w:p>
      <w:pPr>
        <w:spacing w:line="240" w:lineRule="auto"/>
        <w:rPr>
          <w:noProof/>
          <w:szCs w:val="24"/>
          <w:lang w:val="fr-FR" w:eastAsia="es-ES"/>
        </w:rPr>
      </w:pPr>
      <w:r>
        <w:rPr>
          <w:noProof/>
          <w:szCs w:val="24"/>
          <w:lang w:val="fr-FR" w:eastAsia="es-ES"/>
        </w:rPr>
        <w:br w:type="page"/>
      </w:r>
    </w:p>
    <w:p>
      <w:pPr>
        <w:spacing w:line="240" w:lineRule="auto"/>
        <w:jc w:val="center"/>
        <w:rPr>
          <w:b/>
          <w:bCs/>
          <w:noProof/>
          <w:u w:val="single"/>
          <w:lang w:val="fr-FR" w:eastAsia="es-ES"/>
        </w:rPr>
      </w:pPr>
      <w:r>
        <w:rPr>
          <w:b/>
          <w:noProof/>
          <w:szCs w:val="24"/>
          <w:u w:val="single"/>
          <w:lang w:val="fr-CA" w:eastAsia="es-ES"/>
        </w:rPr>
        <w:t>ANNEXE 5-I</w:t>
      </w:r>
    </w:p>
    <w:p>
      <w:pPr>
        <w:spacing w:line="240" w:lineRule="auto"/>
        <w:jc w:val="center"/>
        <w:rPr>
          <w:rFonts w:eastAsia="Calibri"/>
          <w:noProof/>
          <w:snapToGrid w:val="0"/>
          <w:color w:val="000000"/>
          <w:lang w:val="fr-FR" w:eastAsia="en-US"/>
        </w:rPr>
      </w:pPr>
    </w:p>
    <w:p>
      <w:pPr>
        <w:spacing w:line="240" w:lineRule="auto"/>
        <w:jc w:val="center"/>
        <w:rPr>
          <w:rFonts w:eastAsia="Calibri"/>
          <w:noProof/>
          <w:snapToGrid w:val="0"/>
          <w:color w:val="000000"/>
          <w:lang w:val="fr-FR" w:eastAsia="en-US"/>
        </w:rPr>
      </w:pPr>
    </w:p>
    <w:p>
      <w:pPr>
        <w:spacing w:line="240" w:lineRule="auto"/>
        <w:jc w:val="center"/>
        <w:rPr>
          <w:rFonts w:eastAsia="Calibri"/>
          <w:b/>
          <w:bCs/>
          <w:noProof/>
          <w:snapToGrid w:val="0"/>
          <w:color w:val="000000"/>
          <w:lang w:val="fr-FR" w:eastAsia="en-US"/>
        </w:rPr>
      </w:pPr>
      <w:r>
        <w:rPr>
          <w:rFonts w:eastAsia="Calibri"/>
          <w:b/>
          <w:noProof/>
          <w:snapToGrid w:val="0"/>
          <w:szCs w:val="24"/>
          <w:lang w:val="fr-CA"/>
        </w:rPr>
        <w:t>CERTIFICATION DES EXPORTATIONS</w:t>
      </w:r>
    </w:p>
    <w:p>
      <w:pPr>
        <w:spacing w:line="240" w:lineRule="auto"/>
        <w:jc w:val="center"/>
        <w:rPr>
          <w:rFonts w:eastAsia="Calibri"/>
          <w:noProof/>
          <w:snapToGrid w:val="0"/>
          <w:color w:val="000000"/>
          <w:lang w:val="fr-FR" w:eastAsia="en-US"/>
        </w:rPr>
      </w:pPr>
    </w:p>
    <w:p>
      <w:pPr>
        <w:spacing w:line="240" w:lineRule="auto"/>
        <w:rPr>
          <w:rFonts w:eastAsia="Calibri"/>
          <w:noProof/>
          <w:lang w:val="fr-FR" w:eastAsia="en-US"/>
        </w:rPr>
      </w:pPr>
      <w:r>
        <w:rPr>
          <w:rFonts w:eastAsia="Calibri"/>
          <w:noProof/>
          <w:szCs w:val="24"/>
          <w:lang w:val="fr-CA"/>
        </w:rPr>
        <w:t>Modèle d’attestation pour les certificats sanitaires portant sur les animaux et les produits d’origine animale</w:t>
      </w:r>
    </w:p>
    <w:p>
      <w:pPr>
        <w:spacing w:line="240" w:lineRule="auto"/>
        <w:rPr>
          <w:rFonts w:eastAsia="Calibri"/>
          <w:noProof/>
          <w:lang w:val="fr-FR" w:eastAsia="en-US"/>
        </w:rPr>
      </w:pPr>
    </w:p>
    <w:p>
      <w:pPr>
        <w:spacing w:line="240" w:lineRule="auto"/>
        <w:ind w:left="567" w:hanging="567"/>
        <w:rPr>
          <w:rFonts w:eastAsia="Calibri"/>
          <w:noProof/>
          <w:lang w:val="fr-FR" w:eastAsia="en-US"/>
        </w:rPr>
      </w:pPr>
      <w:r>
        <w:rPr>
          <w:rFonts w:eastAsia="Calibri"/>
          <w:noProof/>
          <w:lang w:val="fr-FR" w:eastAsia="en-US"/>
        </w:rPr>
        <w:t>1.</w:t>
      </w:r>
      <w:r>
        <w:rPr>
          <w:rFonts w:eastAsia="Calibri"/>
          <w:noProof/>
          <w:lang w:val="fr-FR" w:eastAsia="en-US"/>
        </w:rPr>
        <w:tab/>
      </w:r>
      <w:r>
        <w:rPr>
          <w:rFonts w:eastAsia="Calibri"/>
          <w:noProof/>
          <w:szCs w:val="24"/>
          <w:lang w:val="fr-CA"/>
        </w:rPr>
        <w:t>Les certificats sanitaires officiels portent sur les envois de produits faisant l’objet d’échanges commerciaux entre les Parties</w:t>
      </w:r>
      <w:r>
        <w:rPr>
          <w:rFonts w:eastAsia="Calibri"/>
          <w:noProof/>
          <w:lang w:val="fr-FR" w:eastAsia="en-US"/>
        </w:rPr>
        <w:t>.</w:t>
      </w:r>
    </w:p>
    <w:p>
      <w:pPr>
        <w:spacing w:line="240" w:lineRule="auto"/>
        <w:ind w:left="567" w:hanging="567"/>
        <w:rPr>
          <w:rFonts w:eastAsia="Calibri"/>
          <w:noProof/>
          <w:lang w:val="fr-FR" w:eastAsia="en-US"/>
        </w:rPr>
      </w:pPr>
    </w:p>
    <w:p>
      <w:pPr>
        <w:spacing w:line="240" w:lineRule="auto"/>
        <w:ind w:left="567" w:hanging="567"/>
        <w:rPr>
          <w:rFonts w:eastAsia="Calibri"/>
          <w:noProof/>
          <w:lang w:val="fr-FR" w:eastAsia="en-US"/>
        </w:rPr>
      </w:pPr>
      <w:r>
        <w:rPr>
          <w:rFonts w:eastAsia="Calibri"/>
          <w:noProof/>
          <w:color w:val="000000"/>
          <w:szCs w:val="24"/>
          <w:lang w:val="fr-CA"/>
        </w:rPr>
        <w:t>Attestations sanitaires</w:t>
      </w:r>
    </w:p>
    <w:p>
      <w:pPr>
        <w:spacing w:line="240" w:lineRule="auto"/>
        <w:ind w:left="567" w:hanging="567"/>
        <w:rPr>
          <w:rFonts w:eastAsia="Calibri"/>
          <w:noProof/>
          <w:lang w:val="fr-FR" w:eastAsia="en-US"/>
        </w:rPr>
      </w:pPr>
    </w:p>
    <w:p>
      <w:pPr>
        <w:spacing w:line="240" w:lineRule="auto"/>
        <w:ind w:left="567" w:hanging="567"/>
        <w:rPr>
          <w:rFonts w:eastAsia="Calibri"/>
          <w:noProof/>
          <w:lang w:val="fr-FR" w:eastAsia="en-US"/>
        </w:rPr>
      </w:pPr>
      <w:r>
        <w:rPr>
          <w:rFonts w:eastAsia="Calibri"/>
          <w:noProof/>
          <w:lang w:val="fr-FR" w:eastAsia="en-US"/>
        </w:rPr>
        <w:t>2.</w:t>
      </w:r>
      <w:r>
        <w:rPr>
          <w:rFonts w:eastAsia="Calibri"/>
          <w:noProof/>
          <w:lang w:val="fr-FR" w:eastAsia="en-US"/>
        </w:rPr>
        <w:tab/>
      </w:r>
      <w:r>
        <w:rPr>
          <w:rFonts w:eastAsia="Calibri"/>
          <w:noProof/>
          <w:color w:val="000000"/>
          <w:szCs w:val="24"/>
          <w:lang w:val="fr-CA"/>
        </w:rPr>
        <w:t xml:space="preserve">Équivalence reconnue : </w:t>
      </w:r>
      <w:r>
        <w:rPr>
          <w:rFonts w:eastAsia="Calibri"/>
          <w:noProof/>
          <w:szCs w:val="24"/>
          <w:lang w:val="fr-CA"/>
        </w:rPr>
        <w:t>L’attestation sanitaire modèle doit être utilisée (équivalence pour les mesures ou les systèmes de certification).</w:t>
      </w:r>
      <w:r>
        <w:rPr>
          <w:rFonts w:eastAsia="Calibri"/>
          <w:noProof/>
          <w:color w:val="000000"/>
          <w:szCs w:val="24"/>
          <w:lang w:val="fr-CA"/>
        </w:rPr>
        <w:t xml:space="preserve"> Voir l’annexe </w:t>
      </w:r>
      <w:r>
        <w:rPr>
          <w:rFonts w:eastAsia="Calibri"/>
          <w:noProof/>
          <w:szCs w:val="24"/>
          <w:lang w:val="fr-CA"/>
        </w:rPr>
        <w:t>5-E</w:t>
      </w:r>
      <w:r>
        <w:rPr>
          <w:rFonts w:eastAsia="Calibri"/>
          <w:noProof/>
          <w:lang w:val="fr-FR" w:eastAsia="en-US"/>
        </w:rPr>
        <w:t>;</w:t>
      </w:r>
    </w:p>
    <w:p>
      <w:pPr>
        <w:spacing w:line="240" w:lineRule="auto"/>
        <w:rPr>
          <w:rFonts w:eastAsia="Calibri"/>
          <w:noProof/>
          <w:lang w:val="fr-FR" w:eastAsia="en-US"/>
        </w:rPr>
      </w:pPr>
    </w:p>
    <w:p>
      <w:pPr>
        <w:spacing w:line="240" w:lineRule="auto"/>
        <w:rPr>
          <w:rFonts w:eastAsia="Calibri"/>
          <w:noProof/>
          <w:lang w:val="fr-FR" w:eastAsia="en-US"/>
        </w:rPr>
      </w:pPr>
      <w:r>
        <w:rPr>
          <w:rFonts w:eastAsia="Calibri"/>
          <w:noProof/>
          <w:color w:val="000000"/>
          <w:szCs w:val="24"/>
          <w:lang w:val="fr-CA"/>
        </w:rPr>
        <w:t xml:space="preserve">« Le [insérer nom du produit] décrit dans </w:t>
      </w:r>
      <w:r>
        <w:rPr>
          <w:rFonts w:eastAsia="Calibri"/>
          <w:noProof/>
          <w:szCs w:val="24"/>
          <w:lang w:val="fr-CA"/>
        </w:rPr>
        <w:t>la présente est conforme aux mesures et exigences SPS</w:t>
      </w:r>
      <w:r>
        <w:rPr>
          <w:rFonts w:eastAsia="Calibri"/>
          <w:noProof/>
          <w:color w:val="000000"/>
          <w:szCs w:val="24"/>
          <w:lang w:val="fr-CA"/>
        </w:rPr>
        <w:t xml:space="preserve"> pertinentes [de l’</w:t>
      </w:r>
      <w:r>
        <w:rPr>
          <w:rFonts w:eastAsia="Calibri"/>
          <w:noProof/>
          <w:szCs w:val="24"/>
          <w:lang w:val="fr-CA"/>
        </w:rPr>
        <w:t>Union européenne/</w:t>
      </w:r>
      <w:r>
        <w:rPr>
          <w:rFonts w:eastAsia="Calibri"/>
          <w:noProof/>
          <w:color w:val="000000"/>
          <w:szCs w:val="24"/>
          <w:lang w:val="fr-CA"/>
        </w:rPr>
        <w:t>du Canada] (*) qui ont été reconnues comme équivalentes aux mesures et aux exigences SPS [du Canada/de l’</w:t>
      </w:r>
      <w:r>
        <w:rPr>
          <w:rFonts w:eastAsia="Calibri"/>
          <w:noProof/>
          <w:szCs w:val="24"/>
          <w:lang w:val="fr-CA"/>
        </w:rPr>
        <w:t>Union européenne</w:t>
      </w:r>
      <w:r>
        <w:rPr>
          <w:rFonts w:eastAsia="Calibri"/>
          <w:noProof/>
          <w:color w:val="000000"/>
          <w:szCs w:val="24"/>
          <w:lang w:val="fr-CA"/>
        </w:rPr>
        <w:t>] (*) énoncées à l’annexe 5</w:t>
      </w:r>
      <w:r>
        <w:rPr>
          <w:rFonts w:eastAsia="Calibri"/>
          <w:noProof/>
          <w:color w:val="000000"/>
          <w:szCs w:val="24"/>
          <w:lang w:val="fr-CA"/>
        </w:rPr>
        <w:noBreakHyphen/>
        <w:t>E de l’</w:t>
      </w:r>
      <w:r>
        <w:rPr>
          <w:rFonts w:eastAsia="Calibri"/>
          <w:noProof/>
          <w:szCs w:val="24"/>
          <w:lang w:val="fr-CA"/>
        </w:rPr>
        <w:t>Accord économique et commercial global entre le Canada et l’Union européenne</w:t>
      </w:r>
      <w:r>
        <w:rPr>
          <w:rFonts w:eastAsia="Calibri"/>
          <w:noProof/>
          <w:color w:val="000000"/>
          <w:szCs w:val="24"/>
          <w:lang w:val="fr-CA"/>
        </w:rPr>
        <w:t xml:space="preserve"> [et aux conditions particulières prévues à l’annexe 5-E](*)</w:t>
      </w:r>
      <w:r>
        <w:rPr>
          <w:rFonts w:eastAsia="Calibri"/>
          <w:noProof/>
          <w:color w:val="000000"/>
          <w:szCs w:val="24"/>
          <w:lang w:val="fr-FR"/>
        </w:rPr>
        <w:t>.</w:t>
      </w:r>
    </w:p>
    <w:p>
      <w:pPr>
        <w:spacing w:line="240" w:lineRule="auto"/>
        <w:rPr>
          <w:rFonts w:eastAsia="Calibri"/>
          <w:noProof/>
          <w:lang w:val="fr-FR" w:eastAsia="en-US"/>
        </w:rPr>
      </w:pPr>
    </w:p>
    <w:p>
      <w:pPr>
        <w:spacing w:line="240" w:lineRule="auto"/>
        <w:ind w:left="567" w:hanging="567"/>
        <w:rPr>
          <w:rFonts w:eastAsia="Calibri"/>
          <w:noProof/>
          <w:lang w:val="fr-FR" w:eastAsia="en-US"/>
        </w:rPr>
      </w:pPr>
      <w:r>
        <w:rPr>
          <w:rFonts w:eastAsia="Calibri"/>
          <w:b/>
          <w:bCs/>
          <w:noProof/>
          <w:vertAlign w:val="superscript"/>
          <w:lang w:val="fr-FR" w:eastAsia="en-US"/>
        </w:rPr>
        <w:t>*</w:t>
      </w:r>
      <w:r>
        <w:rPr>
          <w:rFonts w:eastAsia="Calibri"/>
          <w:noProof/>
          <w:vertAlign w:val="superscript"/>
          <w:lang w:val="fr-FR" w:eastAsia="en-US"/>
        </w:rPr>
        <w:tab/>
      </w:r>
      <w:r>
        <w:rPr>
          <w:rFonts w:eastAsia="Calibri"/>
          <w:noProof/>
          <w:color w:val="000000"/>
          <w:szCs w:val="24"/>
          <w:lang w:val="fr-CA"/>
        </w:rPr>
        <w:t>Supprimer selon le cas. »</w:t>
      </w:r>
    </w:p>
    <w:p>
      <w:pPr>
        <w:spacing w:line="240" w:lineRule="auto"/>
        <w:ind w:left="567" w:hanging="567"/>
        <w:rPr>
          <w:rFonts w:eastAsia="Calibri"/>
          <w:noProof/>
          <w:lang w:val="fr-FR" w:eastAsia="en-US"/>
        </w:rPr>
      </w:pPr>
    </w:p>
    <w:p>
      <w:pPr>
        <w:spacing w:line="240" w:lineRule="auto"/>
        <w:ind w:left="567" w:hanging="567"/>
        <w:rPr>
          <w:rFonts w:eastAsia="Calibri"/>
          <w:noProof/>
          <w:lang w:val="fr-FR" w:eastAsia="en-US"/>
        </w:rPr>
      </w:pPr>
      <w:r>
        <w:rPr>
          <w:rFonts w:eastAsia="Calibri"/>
          <w:noProof/>
          <w:lang w:val="fr-FR" w:eastAsia="en-US"/>
        </w:rPr>
        <w:t>3.</w:t>
      </w:r>
      <w:r>
        <w:rPr>
          <w:rFonts w:eastAsia="Calibri"/>
          <w:noProof/>
          <w:color w:val="99CC00"/>
          <w:lang w:val="fr-FR" w:eastAsia="en-US"/>
        </w:rPr>
        <w:tab/>
      </w:r>
      <w:r>
        <w:rPr>
          <w:rFonts w:eastAsia="Calibri"/>
          <w:noProof/>
          <w:szCs w:val="24"/>
          <w:lang w:val="fr-CA"/>
        </w:rPr>
        <w:t>Les certifications existantes continuent d’être utilisées jusqu’à l’adoption des certificats fondés sur l’équivalence</w:t>
      </w:r>
      <w:r>
        <w:rPr>
          <w:rFonts w:eastAsia="Calibri"/>
          <w:noProof/>
          <w:lang w:val="fr-FR" w:eastAsia="en-US"/>
        </w:rPr>
        <w:t>.</w:t>
      </w:r>
    </w:p>
    <w:p>
      <w:pPr>
        <w:spacing w:line="240" w:lineRule="auto"/>
        <w:rPr>
          <w:rFonts w:eastAsia="Calibri"/>
          <w:noProof/>
          <w:lang w:val="fr-FR" w:eastAsia="en-US"/>
        </w:rPr>
      </w:pPr>
    </w:p>
    <w:p>
      <w:pPr>
        <w:spacing w:line="240" w:lineRule="auto"/>
        <w:rPr>
          <w:rFonts w:eastAsia="Calibri"/>
          <w:noProof/>
          <w:lang w:val="fr-FR" w:eastAsia="en-US"/>
        </w:rPr>
      </w:pPr>
      <w:r>
        <w:rPr>
          <w:rFonts w:eastAsia="Calibri"/>
          <w:noProof/>
          <w:szCs w:val="24"/>
          <w:lang w:val="fr-CA"/>
        </w:rPr>
        <w:t>Langues officielles aux fins de la certification</w:t>
      </w:r>
    </w:p>
    <w:p>
      <w:pPr>
        <w:spacing w:line="240" w:lineRule="auto"/>
        <w:rPr>
          <w:rFonts w:eastAsia="Calibri"/>
          <w:noProof/>
          <w:lang w:val="fr-FR" w:eastAsia="en-US"/>
        </w:rPr>
      </w:pPr>
    </w:p>
    <w:p>
      <w:pPr>
        <w:tabs>
          <w:tab w:val="left" w:pos="567"/>
        </w:tabs>
        <w:spacing w:line="240" w:lineRule="auto"/>
        <w:ind w:left="1134" w:hanging="1134"/>
        <w:rPr>
          <w:rFonts w:eastAsiaTheme="minorHAnsi"/>
          <w:noProof/>
          <w:szCs w:val="22"/>
          <w:lang w:val="fr-FR" w:eastAsia="en-US"/>
        </w:rPr>
      </w:pPr>
      <w:r>
        <w:rPr>
          <w:rFonts w:eastAsiaTheme="minorHAnsi"/>
          <w:noProof/>
          <w:szCs w:val="22"/>
          <w:lang w:val="fr-FR" w:eastAsia="en-US"/>
        </w:rPr>
        <w:t>4.</w:t>
      </w:r>
      <w:r>
        <w:rPr>
          <w:rFonts w:eastAsiaTheme="minorHAnsi"/>
          <w:noProof/>
          <w:szCs w:val="22"/>
          <w:lang w:val="fr-FR" w:eastAsia="en-US"/>
        </w:rPr>
        <w:tab/>
        <w:t>a)</w:t>
      </w:r>
      <w:r>
        <w:rPr>
          <w:rFonts w:eastAsiaTheme="minorHAnsi"/>
          <w:noProof/>
          <w:szCs w:val="22"/>
          <w:lang w:val="fr-FR" w:eastAsia="en-US"/>
        </w:rPr>
        <w:tab/>
      </w:r>
      <w:r>
        <w:rPr>
          <w:noProof/>
          <w:lang w:val="fr-CA"/>
        </w:rPr>
        <w:t>Pour l’importation dans l’Union européenne, le certificat doit être rédigé dans au moins une des langues officielles de l’État membre dans lequel est situé le poste d’inspection frontalier par lequel l'envoi est introduit dans l’Union européenne;</w:t>
      </w:r>
    </w:p>
    <w:p>
      <w:pPr>
        <w:tabs>
          <w:tab w:val="left" w:pos="567"/>
        </w:tabs>
        <w:spacing w:line="240" w:lineRule="auto"/>
        <w:ind w:left="1134" w:hanging="1134"/>
        <w:rPr>
          <w:rFonts w:eastAsiaTheme="minorHAnsi"/>
          <w:noProof/>
          <w:szCs w:val="22"/>
          <w:lang w:val="fr-FR" w:eastAsia="en-US"/>
        </w:rPr>
      </w:pPr>
    </w:p>
    <w:p>
      <w:pPr>
        <w:spacing w:line="240" w:lineRule="auto"/>
        <w:ind w:left="1134" w:hanging="567"/>
        <w:rPr>
          <w:rFonts w:eastAsiaTheme="minorHAnsi"/>
          <w:noProof/>
          <w:szCs w:val="22"/>
          <w:lang w:val="fr-FR" w:eastAsia="en-US"/>
        </w:rPr>
      </w:pPr>
      <w:r>
        <w:rPr>
          <w:rFonts w:eastAsiaTheme="minorHAnsi"/>
          <w:noProof/>
          <w:szCs w:val="22"/>
          <w:lang w:val="fr-FR" w:eastAsia="en-US"/>
        </w:rPr>
        <w:t>b)</w:t>
      </w:r>
      <w:r>
        <w:rPr>
          <w:rFonts w:eastAsiaTheme="minorHAnsi"/>
          <w:noProof/>
          <w:szCs w:val="22"/>
          <w:lang w:val="fr-FR" w:eastAsia="en-US"/>
        </w:rPr>
        <w:tab/>
      </w:r>
      <w:r>
        <w:rPr>
          <w:noProof/>
          <w:lang w:val="fr-CA"/>
        </w:rPr>
        <w:t>Pour l’importation au Canada, le certificat doit être rédigé dans l’une des langues officielles du Canada</w:t>
      </w:r>
      <w:r>
        <w:rPr>
          <w:rFonts w:eastAsiaTheme="minorHAnsi"/>
          <w:noProof/>
          <w:szCs w:val="22"/>
          <w:lang w:val="fr-FR" w:eastAsia="en-US"/>
        </w:rPr>
        <w:t>.</w:t>
      </w:r>
    </w:p>
    <w:p>
      <w:pPr>
        <w:spacing w:line="240" w:lineRule="auto"/>
        <w:ind w:left="1134" w:hanging="567"/>
        <w:rPr>
          <w:rFonts w:eastAsiaTheme="minorHAnsi"/>
          <w:noProof/>
          <w:szCs w:val="22"/>
          <w:lang w:val="fr-FR" w:eastAsia="en-US"/>
        </w:rPr>
      </w:pPr>
    </w:p>
    <w:p>
      <w:pPr>
        <w:widowControl/>
        <w:spacing w:line="240" w:lineRule="auto"/>
        <w:rPr>
          <w:rFonts w:eastAsia="Calibri"/>
          <w:noProof/>
          <w:lang w:val="fr-FR" w:eastAsia="en-US"/>
        </w:rPr>
      </w:pPr>
      <w:r>
        <w:rPr>
          <w:rFonts w:eastAsia="Calibri"/>
          <w:noProof/>
          <w:lang w:val="fr-FR" w:eastAsia="en-US"/>
        </w:rPr>
        <w:br w:type="page"/>
      </w:r>
    </w:p>
    <w:p>
      <w:pPr>
        <w:spacing w:line="240" w:lineRule="auto"/>
        <w:ind w:left="567" w:hanging="567"/>
        <w:rPr>
          <w:rFonts w:eastAsia="Calibri"/>
          <w:noProof/>
          <w:lang w:val="fr-FR" w:eastAsia="en-US"/>
        </w:rPr>
      </w:pPr>
      <w:r>
        <w:rPr>
          <w:rFonts w:eastAsia="Calibri"/>
          <w:noProof/>
          <w:szCs w:val="24"/>
          <w:lang w:val="fr-CA"/>
        </w:rPr>
        <w:t>Moyens de certification</w:t>
      </w:r>
    </w:p>
    <w:p>
      <w:pPr>
        <w:spacing w:line="240" w:lineRule="auto"/>
        <w:ind w:left="567" w:hanging="567"/>
        <w:rPr>
          <w:noProof/>
          <w:snapToGrid w:val="0"/>
          <w:lang w:val="fr-FR" w:eastAsia="en-US"/>
        </w:rPr>
      </w:pPr>
    </w:p>
    <w:p>
      <w:pPr>
        <w:spacing w:line="240" w:lineRule="auto"/>
        <w:ind w:left="567" w:hanging="567"/>
        <w:rPr>
          <w:noProof/>
          <w:snapToGrid w:val="0"/>
          <w:lang w:val="fr-FR" w:eastAsia="en-US"/>
        </w:rPr>
      </w:pPr>
      <w:r>
        <w:rPr>
          <w:noProof/>
          <w:snapToGrid w:val="0"/>
          <w:lang w:val="fr-FR" w:eastAsia="en-US"/>
        </w:rPr>
        <w:t>5.</w:t>
      </w:r>
      <w:r>
        <w:rPr>
          <w:noProof/>
          <w:snapToGrid w:val="0"/>
          <w:lang w:val="fr-FR" w:eastAsia="en-US"/>
        </w:rPr>
        <w:tab/>
      </w:r>
      <w:r>
        <w:rPr>
          <w:noProof/>
          <w:snapToGrid w:val="0"/>
          <w:szCs w:val="24"/>
          <w:lang w:val="fr-CA"/>
        </w:rPr>
        <w:t>Les certificats originaux peuvent être communiqués sur support papier ou par un mode de transmission électronique sécurisé qui offre une garantie de certification équivalente. La Partie exportatrice peut choisir de transmettre les documents de certification officiels par voie électronique si la Partie importatrice a déterminé que des garanties équivalentes en matière de sécurité sont offertes, y compris par l’utilisation de signatures numériques et de mécanismes de non-répudiation. L'approbation par la Partie importatrice de l’utilisation exclusive de la certification électronique peut être reçue soit par correspondance conformément à l’une des annexes du présent chapitre soit par correspondance conformément à l’article 5.14.8</w:t>
      </w:r>
      <w:r>
        <w:rPr>
          <w:noProof/>
          <w:snapToGrid w:val="0"/>
          <w:lang w:val="fr-FR" w:eastAsia="en-US"/>
        </w:rPr>
        <w:t>.</w:t>
      </w:r>
    </w:p>
    <w:p>
      <w:pPr>
        <w:spacing w:line="240" w:lineRule="auto"/>
        <w:ind w:left="567" w:hanging="567"/>
        <w:rPr>
          <w:rFonts w:eastAsia="Calibri"/>
          <w:noProof/>
          <w:lang w:val="fr-FR" w:eastAsia="en-US"/>
        </w:rPr>
      </w:pPr>
    </w:p>
    <w:p>
      <w:pPr>
        <w:spacing w:line="240" w:lineRule="auto"/>
        <w:ind w:left="567" w:hanging="567"/>
        <w:rPr>
          <w:rFonts w:eastAsia="Calibri"/>
          <w:noProof/>
          <w:lang w:val="fr-FR" w:eastAsia="en-US"/>
        </w:rPr>
      </w:pPr>
      <w:r>
        <w:rPr>
          <w:rFonts w:eastAsia="Calibri"/>
          <w:noProof/>
          <w:lang w:val="fr-FR" w:eastAsia="en-US"/>
        </w:rPr>
        <w:t>6.</w:t>
      </w:r>
      <w:r>
        <w:rPr>
          <w:rFonts w:eastAsia="Calibri"/>
          <w:noProof/>
          <w:lang w:val="fr-FR" w:eastAsia="en-US"/>
        </w:rPr>
        <w:tab/>
      </w:r>
      <w:r>
        <w:rPr>
          <w:rFonts w:eastAsia="Calibri"/>
          <w:noProof/>
          <w:szCs w:val="24"/>
          <w:lang w:val="fr-CA"/>
        </w:rPr>
        <w:t>L’Union européenne peut produire ses certificats d’importation pour les animaux vivants et les produits d’origine animale en provenance du Canada ayant un statut d’équivalence visés à l’annexe 5</w:t>
      </w:r>
      <w:r>
        <w:rPr>
          <w:rFonts w:eastAsia="Calibri"/>
          <w:noProof/>
          <w:szCs w:val="24"/>
          <w:lang w:val="fr-CA"/>
        </w:rPr>
        <w:noBreakHyphen/>
        <w:t>E dans le système TRACES (« Trade and Control Expert System »)</w:t>
      </w:r>
      <w:r>
        <w:rPr>
          <w:rFonts w:eastAsia="Calibri"/>
          <w:noProof/>
          <w:lang w:val="fr-FR" w:eastAsia="en-US"/>
        </w:rPr>
        <w:t>.</w:t>
      </w:r>
    </w:p>
    <w:p>
      <w:pPr>
        <w:spacing w:line="240" w:lineRule="auto"/>
        <w:ind w:left="567" w:hanging="567"/>
        <w:rPr>
          <w:rFonts w:eastAsia="Calibri"/>
          <w:noProof/>
          <w:lang w:val="fr-FR" w:eastAsia="en-US"/>
        </w:rPr>
      </w:pPr>
    </w:p>
    <w:p>
      <w:pPr>
        <w:spacing w:line="240" w:lineRule="auto"/>
        <w:ind w:left="567" w:hanging="567"/>
        <w:rPr>
          <w:rFonts w:eastAsia="Calibri"/>
          <w:noProof/>
          <w:lang w:val="fr-FR" w:eastAsia="en-US"/>
        </w:rPr>
      </w:pPr>
    </w:p>
    <w:p>
      <w:pPr>
        <w:widowControl/>
        <w:spacing w:line="240" w:lineRule="auto"/>
        <w:rPr>
          <w:b/>
          <w:noProof/>
          <w:snapToGrid w:val="0"/>
          <w:color w:val="000000"/>
          <w:szCs w:val="24"/>
          <w:u w:val="single"/>
          <w:lang w:val="fr-FR" w:eastAsia="en-US"/>
        </w:rPr>
      </w:pPr>
      <w:r>
        <w:rPr>
          <w:b/>
          <w:noProof/>
          <w:snapToGrid w:val="0"/>
          <w:color w:val="000000"/>
          <w:szCs w:val="24"/>
          <w:u w:val="single"/>
          <w:lang w:val="fr-FR" w:eastAsia="en-US"/>
        </w:rPr>
        <w:br w:type="page"/>
      </w:r>
    </w:p>
    <w:p>
      <w:pPr>
        <w:spacing w:line="240" w:lineRule="auto"/>
        <w:jc w:val="center"/>
        <w:rPr>
          <w:b/>
          <w:bCs/>
          <w:noProof/>
          <w:snapToGrid w:val="0"/>
          <w:u w:val="single"/>
          <w:lang w:val="fr-FR" w:eastAsia="en-US"/>
        </w:rPr>
      </w:pPr>
      <w:r>
        <w:rPr>
          <w:b/>
          <w:noProof/>
          <w:snapToGrid w:val="0"/>
          <w:color w:val="000000"/>
          <w:szCs w:val="24"/>
          <w:u w:val="single"/>
          <w:lang w:val="fr-CA"/>
        </w:rPr>
        <w:t>ANNEXE 5-J</w:t>
      </w:r>
    </w:p>
    <w:p>
      <w:pPr>
        <w:spacing w:line="240" w:lineRule="auto"/>
        <w:rPr>
          <w:noProof/>
          <w:snapToGrid w:val="0"/>
          <w:lang w:val="fr-FR" w:eastAsia="en-US"/>
        </w:rPr>
      </w:pPr>
    </w:p>
    <w:p>
      <w:pPr>
        <w:spacing w:line="240" w:lineRule="auto"/>
        <w:rPr>
          <w:noProof/>
          <w:snapToGrid w:val="0"/>
          <w:lang w:val="fr-FR" w:eastAsia="en-US"/>
        </w:rPr>
      </w:pPr>
    </w:p>
    <w:p>
      <w:pPr>
        <w:spacing w:line="240" w:lineRule="auto"/>
        <w:jc w:val="center"/>
        <w:rPr>
          <w:b/>
          <w:bCs/>
          <w:noProof/>
          <w:snapToGrid w:val="0"/>
          <w:lang w:val="fr-FR" w:eastAsia="en-US"/>
        </w:rPr>
      </w:pPr>
      <w:r>
        <w:rPr>
          <w:b/>
          <w:noProof/>
          <w:snapToGrid w:val="0"/>
          <w:color w:val="000000"/>
          <w:szCs w:val="24"/>
          <w:lang w:val="fr-CA"/>
        </w:rPr>
        <w:t>CONTRÔLES À L’IMPORTATION ET FRAIS</w:t>
      </w:r>
    </w:p>
    <w:p>
      <w:pPr>
        <w:spacing w:line="240" w:lineRule="auto"/>
        <w:rPr>
          <w:i/>
          <w:noProof/>
          <w:snapToGrid w:val="0"/>
          <w:lang w:val="fr-FR" w:eastAsia="en-US"/>
        </w:rPr>
      </w:pPr>
    </w:p>
    <w:p>
      <w:pPr>
        <w:spacing w:line="240" w:lineRule="auto"/>
        <w:rPr>
          <w:i/>
          <w:noProof/>
          <w:snapToGrid w:val="0"/>
          <w:lang w:val="fr-FR" w:eastAsia="en-US"/>
        </w:rPr>
      </w:pPr>
    </w:p>
    <w:p>
      <w:pPr>
        <w:spacing w:line="240" w:lineRule="auto"/>
        <w:jc w:val="center"/>
        <w:rPr>
          <w:i/>
          <w:noProof/>
          <w:snapToGrid w:val="0"/>
          <w:lang w:val="fr-FR" w:eastAsia="en-US"/>
        </w:rPr>
      </w:pPr>
      <w:r>
        <w:rPr>
          <w:i/>
          <w:noProof/>
          <w:snapToGrid w:val="0"/>
          <w:lang w:val="fr-FR" w:eastAsia="en-US"/>
        </w:rPr>
        <w:t>SECTION A</w:t>
      </w:r>
    </w:p>
    <w:p>
      <w:pPr>
        <w:spacing w:line="240" w:lineRule="auto"/>
        <w:rPr>
          <w:noProof/>
          <w:snapToGrid w:val="0"/>
          <w:lang w:val="fr-FR" w:eastAsia="en-US"/>
        </w:rPr>
      </w:pPr>
    </w:p>
    <w:p>
      <w:pPr>
        <w:spacing w:line="240" w:lineRule="auto"/>
        <w:rPr>
          <w:b/>
          <w:bCs/>
          <w:noProof/>
          <w:snapToGrid w:val="0"/>
          <w:lang w:val="fr-FR" w:eastAsia="en-US"/>
        </w:rPr>
      </w:pPr>
      <w:r>
        <w:rPr>
          <w:b/>
          <w:noProof/>
          <w:snapToGrid w:val="0"/>
          <w:color w:val="000000"/>
          <w:szCs w:val="24"/>
          <w:lang w:val="fr-CA"/>
        </w:rPr>
        <w:t>Fréquences des contrôles</w:t>
      </w:r>
    </w:p>
    <w:p>
      <w:pPr>
        <w:spacing w:line="240" w:lineRule="auto"/>
        <w:rPr>
          <w:noProof/>
          <w:lang w:val="fr-FR" w:eastAsia="es-ES"/>
        </w:rPr>
      </w:pPr>
    </w:p>
    <w:p>
      <w:pPr>
        <w:spacing w:line="240" w:lineRule="auto"/>
        <w:rPr>
          <w:noProof/>
          <w:lang w:val="fr-FR" w:eastAsia="es-ES"/>
        </w:rPr>
      </w:pPr>
      <w:r>
        <w:rPr>
          <w:noProof/>
          <w:szCs w:val="24"/>
          <w:lang w:val="fr-CA" w:eastAsia="es-ES"/>
        </w:rPr>
        <w:t>Les Parties peuvent modifier la fréquence des contrôles, dans la limite de leurs responsabilités, si nécessaire, en tenant compte de la nature des contrôles effectués par la Partie exportatrice avant l’exportation, de l’expérience de la Partie importatrice en ce qui concerne les produits importés en provenance de la Partie exportatrice, des progrès réalisés en vue de la reconnaissance de l’équivalence, ou par suite d’autres actions ou consultations prévues dans le présent accord</w:t>
      </w:r>
      <w:r>
        <w:rPr>
          <w:noProof/>
          <w:lang w:val="fr-FR" w:eastAsia="es-ES"/>
        </w:rPr>
        <w:t>.</w:t>
      </w:r>
    </w:p>
    <w:p>
      <w:pPr>
        <w:spacing w:line="240" w:lineRule="auto"/>
        <w:rPr>
          <w:noProof/>
          <w:lang w:val="fr-FR" w:eastAsia="es-ES"/>
        </w:rPr>
      </w:pPr>
    </w:p>
    <w:p>
      <w:pPr>
        <w:widowControl/>
        <w:spacing w:line="240" w:lineRule="auto"/>
        <w:rPr>
          <w:noProof/>
          <w:lang w:val="fr-FR" w:eastAsia="es-ES"/>
        </w:rPr>
      </w:pPr>
      <w:r>
        <w:rPr>
          <w:noProof/>
          <w:lang w:val="fr-FR" w:eastAsia="es-ES"/>
        </w:rPr>
        <w:br w:type="page"/>
      </w:r>
    </w:p>
    <w:p>
      <w:pPr>
        <w:spacing w:line="240" w:lineRule="auto"/>
        <w:rPr>
          <w:noProof/>
          <w:lang w:val="fr-FR" w:eastAsia="es-ES"/>
        </w:rPr>
      </w:pPr>
      <w:r>
        <w:rPr>
          <w:noProof/>
          <w:szCs w:val="24"/>
          <w:lang w:val="fr-FR" w:eastAsia="es-ES"/>
        </w:rPr>
        <w:t>Tableau 1</w:t>
      </w:r>
      <w:r>
        <w:rPr>
          <w:noProof/>
          <w:lang w:val="fr-FR" w:eastAsia="es-ES"/>
        </w:rPr>
        <w:t xml:space="preserve"> – </w:t>
      </w:r>
      <w:r>
        <w:rPr>
          <w:noProof/>
          <w:szCs w:val="24"/>
          <w:lang w:val="fr-CA" w:eastAsia="es-ES"/>
        </w:rPr>
        <w:t>Fréquence des contrôles aux frontières effectués sur des envois d’animaux vivants, de produits d’origine animale et de sous-produits d’origine animale</w:t>
      </w:r>
    </w:p>
    <w:p>
      <w:pPr>
        <w:spacing w:line="240" w:lineRule="auto"/>
        <w:rPr>
          <w:noProof/>
          <w:lang w:val="fr-FR" w:eastAsia="es-ES"/>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9"/>
        <w:gridCol w:w="3622"/>
      </w:tblGrid>
      <w:tr>
        <w:trPr>
          <w:cantSplit/>
          <w:trHeight w:val="20"/>
          <w:tblHeader/>
          <w:jc w:val="center"/>
        </w:trPr>
        <w:tc>
          <w:tcPr>
            <w:tcW w:w="6409" w:type="dxa"/>
            <w:vAlign w:val="center"/>
          </w:tcPr>
          <w:p>
            <w:pPr>
              <w:spacing w:before="60" w:after="60" w:line="240" w:lineRule="auto"/>
              <w:jc w:val="center"/>
              <w:rPr>
                <w:noProof/>
                <w:szCs w:val="24"/>
                <w:lang w:val="fr-FR" w:eastAsia="es-ES"/>
              </w:rPr>
            </w:pPr>
            <w:r>
              <w:rPr>
                <w:noProof/>
                <w:szCs w:val="24"/>
                <w:lang w:val="fr-CA" w:eastAsia="es-ES"/>
              </w:rPr>
              <w:t>Type de contrôle aux frontières</w:t>
            </w:r>
          </w:p>
        </w:tc>
        <w:tc>
          <w:tcPr>
            <w:tcW w:w="3622" w:type="dxa"/>
            <w:vAlign w:val="center"/>
          </w:tcPr>
          <w:p>
            <w:pPr>
              <w:spacing w:before="60" w:after="60" w:line="240" w:lineRule="auto"/>
              <w:jc w:val="center"/>
              <w:rPr>
                <w:noProof/>
                <w:szCs w:val="24"/>
                <w:lang w:val="fr-FR" w:eastAsia="es-ES"/>
              </w:rPr>
            </w:pPr>
            <w:r>
              <w:rPr>
                <w:noProof/>
                <w:szCs w:val="24"/>
                <w:lang w:val="fr-CA" w:eastAsia="es-ES"/>
              </w:rPr>
              <w:t>Fréquence habituelle de contrôle selon l’article 5.10.1</w:t>
            </w:r>
          </w:p>
        </w:tc>
      </w:tr>
      <w:tr>
        <w:trPr>
          <w:cantSplit/>
          <w:trHeight w:val="20"/>
          <w:jc w:val="center"/>
        </w:trPr>
        <w:tc>
          <w:tcPr>
            <w:tcW w:w="6409" w:type="dxa"/>
          </w:tcPr>
          <w:p>
            <w:pPr>
              <w:spacing w:before="60" w:after="60" w:line="240" w:lineRule="auto"/>
              <w:ind w:left="567" w:hanging="567"/>
              <w:rPr>
                <w:b/>
                <w:noProof/>
                <w:szCs w:val="24"/>
                <w:lang w:val="fr-FR" w:eastAsia="es-ES"/>
              </w:rPr>
            </w:pPr>
            <w:r>
              <w:rPr>
                <w:b/>
                <w:noProof/>
                <w:szCs w:val="24"/>
                <w:lang w:val="fr-FR" w:eastAsia="es-ES"/>
              </w:rPr>
              <w:t>1.</w:t>
            </w:r>
            <w:r>
              <w:rPr>
                <w:b/>
                <w:noProof/>
                <w:lang w:val="fr-FR" w:eastAsia="es-ES"/>
              </w:rPr>
              <w:tab/>
            </w:r>
            <w:r>
              <w:rPr>
                <w:b/>
                <w:noProof/>
                <w:szCs w:val="24"/>
                <w:lang w:val="fr-CA" w:eastAsia="es-ES"/>
              </w:rPr>
              <w:t>Contrôles documentaire et d’identité</w:t>
            </w:r>
          </w:p>
          <w:p>
            <w:pPr>
              <w:spacing w:before="60" w:after="60" w:line="240" w:lineRule="auto"/>
              <w:ind w:left="567"/>
              <w:rPr>
                <w:bCs/>
                <w:noProof/>
                <w:sz w:val="20"/>
                <w:lang w:val="fr-FR" w:eastAsia="es-ES"/>
              </w:rPr>
            </w:pPr>
            <w:r>
              <w:rPr>
                <w:noProof/>
                <w:sz w:val="20"/>
                <w:lang w:val="fr-CA" w:eastAsia="es-ES"/>
              </w:rPr>
              <w:t>Chaque Partie effectue des contrôles documentaires et des contrôles d’identité sur tous les envois</w:t>
            </w:r>
          </w:p>
        </w:tc>
        <w:tc>
          <w:tcPr>
            <w:tcW w:w="3622" w:type="dxa"/>
          </w:tcPr>
          <w:p>
            <w:pPr>
              <w:spacing w:before="60" w:after="60" w:line="240" w:lineRule="auto"/>
              <w:ind w:right="1388"/>
              <w:jc w:val="right"/>
              <w:rPr>
                <w:bCs/>
                <w:noProof/>
                <w:szCs w:val="24"/>
                <w:lang w:val="fr-FR" w:eastAsia="es-ES"/>
              </w:rPr>
            </w:pPr>
          </w:p>
        </w:tc>
      </w:tr>
      <w:tr>
        <w:trPr>
          <w:cantSplit/>
          <w:trHeight w:val="20"/>
          <w:jc w:val="center"/>
        </w:trPr>
        <w:tc>
          <w:tcPr>
            <w:tcW w:w="6409" w:type="dxa"/>
          </w:tcPr>
          <w:p>
            <w:pPr>
              <w:spacing w:before="60" w:after="60" w:line="240" w:lineRule="auto"/>
              <w:ind w:left="567" w:hanging="567"/>
              <w:rPr>
                <w:b/>
                <w:noProof/>
                <w:szCs w:val="24"/>
                <w:lang w:eastAsia="es-ES"/>
              </w:rPr>
            </w:pPr>
            <w:r>
              <w:rPr>
                <w:b/>
                <w:noProof/>
                <w:szCs w:val="24"/>
                <w:lang w:eastAsia="es-ES"/>
              </w:rPr>
              <w:t>2.</w:t>
            </w:r>
            <w:r>
              <w:rPr>
                <w:b/>
                <w:noProof/>
                <w:lang w:eastAsia="es-ES"/>
              </w:rPr>
              <w:tab/>
            </w:r>
            <w:r>
              <w:rPr>
                <w:b/>
                <w:noProof/>
                <w:szCs w:val="24"/>
                <w:lang w:val="fr-CA" w:eastAsia="es-ES"/>
              </w:rPr>
              <w:t>Contrôles physiques</w:t>
            </w:r>
          </w:p>
        </w:tc>
        <w:tc>
          <w:tcPr>
            <w:tcW w:w="3622" w:type="dxa"/>
          </w:tcPr>
          <w:p>
            <w:pPr>
              <w:spacing w:before="60" w:after="60" w:line="240" w:lineRule="auto"/>
              <w:ind w:right="1388"/>
              <w:jc w:val="right"/>
              <w:rPr>
                <w:bCs/>
                <w:noProof/>
                <w:szCs w:val="24"/>
                <w:lang w:eastAsia="es-ES"/>
              </w:rPr>
            </w:pPr>
          </w:p>
        </w:tc>
      </w:tr>
      <w:tr>
        <w:trPr>
          <w:cantSplit/>
          <w:trHeight w:val="20"/>
          <w:jc w:val="center"/>
        </w:trPr>
        <w:tc>
          <w:tcPr>
            <w:tcW w:w="6409" w:type="dxa"/>
          </w:tcPr>
          <w:p>
            <w:pPr>
              <w:spacing w:before="60" w:after="60" w:line="240" w:lineRule="auto"/>
              <w:ind w:left="567"/>
              <w:rPr>
                <w:i/>
                <w:noProof/>
                <w:sz w:val="20"/>
                <w:lang w:eastAsia="es-ES"/>
              </w:rPr>
            </w:pPr>
            <w:r>
              <w:rPr>
                <w:i/>
                <w:noProof/>
                <w:sz w:val="20"/>
                <w:lang w:val="fr-CA" w:eastAsia="es-ES"/>
              </w:rPr>
              <w:t>Animaux vivants</w:t>
            </w:r>
          </w:p>
        </w:tc>
        <w:tc>
          <w:tcPr>
            <w:tcW w:w="3622" w:type="dxa"/>
            <w:vAlign w:val="center"/>
          </w:tcPr>
          <w:p>
            <w:pPr>
              <w:spacing w:before="60" w:after="60" w:line="240" w:lineRule="auto"/>
              <w:ind w:right="1388"/>
              <w:jc w:val="right"/>
              <w:rPr>
                <w:noProof/>
                <w:sz w:val="20"/>
                <w:lang w:eastAsia="es-ES"/>
              </w:rPr>
            </w:pPr>
            <w:r>
              <w:rPr>
                <w:noProof/>
                <w:szCs w:val="24"/>
                <w:lang w:val="fr-CA" w:eastAsia="es-ES"/>
              </w:rPr>
              <w:t>100 p. cent</w:t>
            </w:r>
          </w:p>
        </w:tc>
      </w:tr>
      <w:tr>
        <w:trPr>
          <w:cantSplit/>
          <w:trHeight w:val="20"/>
          <w:jc w:val="center"/>
        </w:trPr>
        <w:tc>
          <w:tcPr>
            <w:tcW w:w="6409" w:type="dxa"/>
          </w:tcPr>
          <w:p>
            <w:pPr>
              <w:spacing w:before="60" w:after="60" w:line="240" w:lineRule="auto"/>
              <w:ind w:left="567"/>
              <w:rPr>
                <w:i/>
                <w:noProof/>
                <w:sz w:val="20"/>
                <w:lang w:eastAsia="es-ES"/>
              </w:rPr>
            </w:pPr>
            <w:r>
              <w:rPr>
                <w:i/>
                <w:noProof/>
                <w:sz w:val="20"/>
                <w:lang w:val="fr-CA" w:eastAsia="es-ES"/>
              </w:rPr>
              <w:t>Sperme, embryons et ovules</w:t>
            </w:r>
          </w:p>
        </w:tc>
        <w:tc>
          <w:tcPr>
            <w:tcW w:w="3622" w:type="dxa"/>
            <w:vAlign w:val="center"/>
          </w:tcPr>
          <w:p>
            <w:pPr>
              <w:spacing w:before="60" w:after="60" w:line="240" w:lineRule="auto"/>
              <w:ind w:right="1388"/>
              <w:jc w:val="right"/>
              <w:rPr>
                <w:noProof/>
                <w:sz w:val="20"/>
                <w:lang w:eastAsia="es-ES"/>
              </w:rPr>
            </w:pPr>
            <w:r>
              <w:rPr>
                <w:noProof/>
                <w:szCs w:val="24"/>
                <w:lang w:val="fr-CA" w:eastAsia="es-ES"/>
              </w:rPr>
              <w:t>10 p. cent</w:t>
            </w:r>
          </w:p>
        </w:tc>
      </w:tr>
      <w:tr>
        <w:trPr>
          <w:cantSplit/>
          <w:trHeight w:val="20"/>
          <w:jc w:val="center"/>
        </w:trPr>
        <w:tc>
          <w:tcPr>
            <w:tcW w:w="6409" w:type="dxa"/>
          </w:tcPr>
          <w:p>
            <w:pPr>
              <w:spacing w:before="60" w:after="60" w:line="240" w:lineRule="auto"/>
              <w:ind w:left="567"/>
              <w:rPr>
                <w:i/>
                <w:noProof/>
                <w:sz w:val="20"/>
                <w:lang w:val="fr-FR" w:eastAsia="es-ES"/>
              </w:rPr>
            </w:pPr>
            <w:r>
              <w:rPr>
                <w:i/>
                <w:noProof/>
                <w:sz w:val="20"/>
                <w:lang w:val="fr-CA" w:eastAsia="es-ES"/>
              </w:rPr>
              <w:t>Produits d’origine animale destinés à la consommation humaine</w:t>
            </w:r>
          </w:p>
          <w:p>
            <w:pPr>
              <w:spacing w:before="60" w:after="60" w:line="240" w:lineRule="auto"/>
              <w:ind w:left="1134"/>
              <w:rPr>
                <w:noProof/>
                <w:sz w:val="20"/>
                <w:lang w:val="fr-FR" w:eastAsia="es-ES"/>
              </w:rPr>
            </w:pPr>
            <w:r>
              <w:rPr>
                <w:noProof/>
                <w:sz w:val="20"/>
                <w:lang w:val="fr-CA" w:eastAsia="es-ES"/>
              </w:rPr>
              <w:t>Viandes fraîches, y compris les abats, et produits des espèces bovine, ovine, caprine, porcine et équine définis dans la directive 92/5/CEE du Conseil</w:t>
            </w:r>
          </w:p>
          <w:p>
            <w:pPr>
              <w:spacing w:before="60" w:after="60" w:line="240" w:lineRule="auto"/>
              <w:ind w:left="1134"/>
              <w:rPr>
                <w:noProof/>
                <w:sz w:val="20"/>
                <w:lang w:val="fr-FR" w:eastAsia="es-ES"/>
              </w:rPr>
            </w:pPr>
            <w:r>
              <w:rPr>
                <w:noProof/>
                <w:sz w:val="20"/>
                <w:lang w:val="fr-CA" w:eastAsia="es-ES"/>
              </w:rPr>
              <w:t>Œufs entiers</w:t>
            </w:r>
          </w:p>
          <w:p>
            <w:pPr>
              <w:spacing w:before="60" w:after="60" w:line="240" w:lineRule="auto"/>
              <w:ind w:left="1134"/>
              <w:rPr>
                <w:noProof/>
                <w:sz w:val="20"/>
                <w:lang w:val="fr-FR" w:eastAsia="es-ES"/>
              </w:rPr>
            </w:pPr>
            <w:r>
              <w:rPr>
                <w:noProof/>
                <w:sz w:val="20"/>
                <w:lang w:val="fr-CA" w:eastAsia="es-ES"/>
              </w:rPr>
              <w:t>Saindoux et graisses fondues</w:t>
            </w:r>
          </w:p>
          <w:p>
            <w:pPr>
              <w:spacing w:before="60" w:after="60" w:line="240" w:lineRule="auto"/>
              <w:ind w:left="1134"/>
              <w:rPr>
                <w:noProof/>
                <w:sz w:val="20"/>
                <w:lang w:val="fr-FR" w:eastAsia="es-ES"/>
              </w:rPr>
            </w:pPr>
            <w:r>
              <w:rPr>
                <w:noProof/>
                <w:sz w:val="20"/>
                <w:lang w:val="fr-CA" w:eastAsia="es-ES"/>
              </w:rPr>
              <w:t>Boyaux d’animaux</w:t>
            </w:r>
          </w:p>
          <w:p>
            <w:pPr>
              <w:spacing w:before="60" w:after="60" w:line="240" w:lineRule="auto"/>
              <w:ind w:left="1134"/>
              <w:rPr>
                <w:noProof/>
                <w:sz w:val="20"/>
                <w:lang w:val="fr-FR" w:eastAsia="es-ES"/>
              </w:rPr>
            </w:pPr>
            <w:r>
              <w:rPr>
                <w:noProof/>
                <w:sz w:val="20"/>
                <w:lang w:val="fr-CA" w:eastAsia="es-ES"/>
              </w:rPr>
              <w:t>Gélatine</w:t>
            </w:r>
          </w:p>
          <w:p>
            <w:pPr>
              <w:spacing w:before="60" w:after="60" w:line="240" w:lineRule="auto"/>
              <w:ind w:left="1134"/>
              <w:rPr>
                <w:noProof/>
                <w:sz w:val="20"/>
                <w:lang w:val="fr-FR" w:eastAsia="es-ES"/>
              </w:rPr>
            </w:pPr>
            <w:r>
              <w:rPr>
                <w:noProof/>
                <w:sz w:val="20"/>
                <w:lang w:val="fr-CA" w:eastAsia="es-ES"/>
              </w:rPr>
              <w:t>Viande de volaille et produits à base de viande de volaille</w:t>
            </w:r>
          </w:p>
          <w:p>
            <w:pPr>
              <w:spacing w:before="60" w:after="60" w:line="240" w:lineRule="auto"/>
              <w:ind w:left="1134"/>
              <w:rPr>
                <w:noProof/>
                <w:sz w:val="20"/>
                <w:lang w:val="fr-FR" w:eastAsia="es-ES"/>
              </w:rPr>
            </w:pPr>
            <w:r>
              <w:rPr>
                <w:noProof/>
                <w:sz w:val="20"/>
                <w:lang w:val="fr-CA" w:eastAsia="es-ES"/>
              </w:rPr>
              <w:t>Viande de lapin, viande de gibier (sauvage ou d’élevage) et produits à base de viande de gibier</w:t>
            </w:r>
          </w:p>
          <w:p>
            <w:pPr>
              <w:spacing w:before="60" w:after="60" w:line="240" w:lineRule="auto"/>
              <w:ind w:left="1134"/>
              <w:rPr>
                <w:noProof/>
                <w:sz w:val="20"/>
                <w:lang w:val="fr-FR" w:eastAsia="es-ES"/>
              </w:rPr>
            </w:pPr>
            <w:r>
              <w:rPr>
                <w:noProof/>
                <w:sz w:val="20"/>
                <w:lang w:val="fr-CA" w:eastAsia="es-ES"/>
              </w:rPr>
              <w:t>Lait et produits laitiers</w:t>
            </w:r>
          </w:p>
          <w:p>
            <w:pPr>
              <w:spacing w:before="60" w:after="60" w:line="240" w:lineRule="auto"/>
              <w:ind w:left="1134"/>
              <w:rPr>
                <w:noProof/>
                <w:sz w:val="20"/>
                <w:lang w:val="fr-FR" w:eastAsia="es-ES"/>
              </w:rPr>
            </w:pPr>
            <w:r>
              <w:rPr>
                <w:noProof/>
                <w:sz w:val="20"/>
                <w:lang w:val="fr-CA" w:eastAsia="es-ES"/>
              </w:rPr>
              <w:t>Ovoproduits</w:t>
            </w:r>
          </w:p>
          <w:p>
            <w:pPr>
              <w:spacing w:before="60" w:after="60" w:line="240" w:lineRule="auto"/>
              <w:ind w:left="1134"/>
              <w:rPr>
                <w:noProof/>
                <w:sz w:val="20"/>
                <w:lang w:val="fr-FR" w:eastAsia="es-ES"/>
              </w:rPr>
            </w:pPr>
            <w:r>
              <w:rPr>
                <w:noProof/>
                <w:sz w:val="20"/>
                <w:lang w:val="fr-CA" w:eastAsia="es-ES"/>
              </w:rPr>
              <w:t>Miel</w:t>
            </w:r>
          </w:p>
          <w:p>
            <w:pPr>
              <w:spacing w:before="60" w:after="60" w:line="240" w:lineRule="auto"/>
              <w:ind w:left="1134"/>
              <w:rPr>
                <w:noProof/>
                <w:sz w:val="20"/>
                <w:lang w:val="fr-FR" w:eastAsia="es-ES"/>
              </w:rPr>
            </w:pPr>
            <w:r>
              <w:rPr>
                <w:noProof/>
                <w:sz w:val="20"/>
                <w:lang w:val="fr-CA" w:eastAsia="es-ES"/>
              </w:rPr>
              <w:t>Os et produits à base d’os</w:t>
            </w:r>
          </w:p>
          <w:p>
            <w:pPr>
              <w:spacing w:before="60" w:after="60" w:line="240" w:lineRule="auto"/>
              <w:ind w:left="1134"/>
              <w:rPr>
                <w:noProof/>
                <w:sz w:val="20"/>
                <w:lang w:val="fr-FR" w:eastAsia="es-ES"/>
              </w:rPr>
            </w:pPr>
            <w:r>
              <w:rPr>
                <w:noProof/>
                <w:sz w:val="20"/>
                <w:lang w:val="fr-CA" w:eastAsia="es-ES"/>
              </w:rPr>
              <w:t>Préparations à base de viande et viande hachée</w:t>
            </w:r>
          </w:p>
          <w:p>
            <w:pPr>
              <w:spacing w:before="60" w:after="60" w:line="240" w:lineRule="auto"/>
              <w:ind w:left="1134"/>
              <w:rPr>
                <w:noProof/>
                <w:sz w:val="20"/>
                <w:lang w:val="fr-FR" w:eastAsia="es-ES"/>
              </w:rPr>
            </w:pPr>
            <w:r>
              <w:rPr>
                <w:noProof/>
                <w:sz w:val="20"/>
                <w:lang w:val="fr-CA" w:eastAsia="es-ES"/>
              </w:rPr>
              <w:t>Cuisses de grenouilles et escargots</w:t>
            </w:r>
          </w:p>
        </w:tc>
        <w:tc>
          <w:tcPr>
            <w:tcW w:w="3622" w:type="dxa"/>
            <w:vAlign w:val="center"/>
          </w:tcPr>
          <w:p>
            <w:pPr>
              <w:spacing w:before="60" w:after="60" w:line="240" w:lineRule="auto"/>
              <w:ind w:right="1246"/>
              <w:jc w:val="right"/>
              <w:rPr>
                <w:noProof/>
                <w:sz w:val="20"/>
                <w:lang w:eastAsia="es-ES"/>
              </w:rPr>
            </w:pPr>
            <w:r>
              <w:rPr>
                <w:noProof/>
                <w:sz w:val="20"/>
                <w:lang w:eastAsia="es-ES"/>
              </w:rPr>
              <w:t>10 per cent</w:t>
            </w:r>
          </w:p>
        </w:tc>
      </w:tr>
      <w:tr>
        <w:trPr>
          <w:cantSplit/>
          <w:trHeight w:val="20"/>
          <w:jc w:val="center"/>
        </w:trPr>
        <w:tc>
          <w:tcPr>
            <w:tcW w:w="6409" w:type="dxa"/>
          </w:tcPr>
          <w:p>
            <w:pPr>
              <w:pageBreakBefore/>
              <w:spacing w:before="60" w:after="60" w:line="240" w:lineRule="auto"/>
              <w:ind w:left="567"/>
              <w:rPr>
                <w:i/>
                <w:noProof/>
                <w:sz w:val="20"/>
                <w:lang w:val="fr-FR" w:eastAsia="es-ES"/>
              </w:rPr>
            </w:pPr>
            <w:r>
              <w:rPr>
                <w:i/>
                <w:noProof/>
                <w:sz w:val="20"/>
                <w:lang w:val="fr-CA" w:eastAsia="es-ES"/>
              </w:rPr>
              <w:t>Produits d’origine animale non destinés à la consommation humaine</w:t>
            </w:r>
          </w:p>
          <w:p>
            <w:pPr>
              <w:spacing w:before="60" w:after="60" w:line="240" w:lineRule="auto"/>
              <w:ind w:left="1134"/>
              <w:rPr>
                <w:noProof/>
                <w:sz w:val="20"/>
                <w:lang w:val="fr-FR" w:eastAsia="es-ES"/>
              </w:rPr>
            </w:pPr>
            <w:r>
              <w:rPr>
                <w:noProof/>
                <w:sz w:val="20"/>
                <w:lang w:val="fr-CA" w:eastAsia="es-ES"/>
              </w:rPr>
              <w:t>Saindoux et graisses fondues</w:t>
            </w:r>
          </w:p>
          <w:p>
            <w:pPr>
              <w:spacing w:before="60" w:after="60" w:line="240" w:lineRule="auto"/>
              <w:ind w:left="1134"/>
              <w:rPr>
                <w:noProof/>
                <w:sz w:val="20"/>
                <w:lang w:val="fr-FR" w:eastAsia="es-ES"/>
              </w:rPr>
            </w:pPr>
            <w:r>
              <w:rPr>
                <w:noProof/>
                <w:sz w:val="20"/>
                <w:lang w:val="fr-CA" w:eastAsia="es-ES"/>
              </w:rPr>
              <w:t>Boyaux d’animaux</w:t>
            </w:r>
          </w:p>
          <w:p>
            <w:pPr>
              <w:spacing w:before="60" w:after="60" w:line="240" w:lineRule="auto"/>
              <w:ind w:left="1134"/>
              <w:rPr>
                <w:noProof/>
                <w:sz w:val="20"/>
                <w:lang w:val="fr-FR" w:eastAsia="es-ES"/>
              </w:rPr>
            </w:pPr>
            <w:r>
              <w:rPr>
                <w:noProof/>
                <w:sz w:val="20"/>
                <w:lang w:val="fr-CA" w:eastAsia="es-ES"/>
              </w:rPr>
              <w:t>Lait et produits laitiers</w:t>
            </w:r>
          </w:p>
          <w:p>
            <w:pPr>
              <w:spacing w:before="60" w:after="60" w:line="240" w:lineRule="auto"/>
              <w:ind w:left="1134"/>
              <w:rPr>
                <w:noProof/>
                <w:sz w:val="20"/>
                <w:lang w:val="fr-FR" w:eastAsia="es-ES"/>
              </w:rPr>
            </w:pPr>
            <w:r>
              <w:rPr>
                <w:noProof/>
                <w:sz w:val="20"/>
                <w:lang w:val="fr-CA" w:eastAsia="es-ES"/>
              </w:rPr>
              <w:t>Gélatine</w:t>
            </w:r>
          </w:p>
          <w:p>
            <w:pPr>
              <w:spacing w:before="60" w:after="60" w:line="240" w:lineRule="auto"/>
              <w:ind w:left="1134"/>
              <w:rPr>
                <w:noProof/>
                <w:sz w:val="20"/>
                <w:lang w:val="fr-FR" w:eastAsia="es-ES"/>
              </w:rPr>
            </w:pPr>
            <w:r>
              <w:rPr>
                <w:noProof/>
                <w:sz w:val="20"/>
                <w:lang w:val="fr-CA" w:eastAsia="es-ES"/>
              </w:rPr>
              <w:t>Os et produits à base d’os</w:t>
            </w:r>
          </w:p>
          <w:p>
            <w:pPr>
              <w:spacing w:before="60" w:after="60" w:line="240" w:lineRule="auto"/>
              <w:ind w:left="1134"/>
              <w:rPr>
                <w:noProof/>
                <w:sz w:val="20"/>
                <w:lang w:val="fr-FR" w:eastAsia="es-ES"/>
              </w:rPr>
            </w:pPr>
            <w:r>
              <w:rPr>
                <w:noProof/>
                <w:sz w:val="20"/>
                <w:lang w:val="fr-CA" w:eastAsia="es-ES"/>
              </w:rPr>
              <w:t>Cuir et peaux des ongulés</w:t>
            </w:r>
          </w:p>
          <w:p>
            <w:pPr>
              <w:spacing w:before="60" w:after="60" w:line="240" w:lineRule="auto"/>
              <w:ind w:left="1134"/>
              <w:rPr>
                <w:noProof/>
                <w:sz w:val="20"/>
                <w:lang w:val="fr-FR" w:eastAsia="es-ES"/>
              </w:rPr>
            </w:pPr>
            <w:r>
              <w:rPr>
                <w:noProof/>
                <w:sz w:val="20"/>
                <w:lang w:val="fr-CA" w:eastAsia="es-ES"/>
              </w:rPr>
              <w:t>Trophées de chasse</w:t>
            </w:r>
          </w:p>
          <w:p>
            <w:pPr>
              <w:spacing w:before="60" w:after="60" w:line="240" w:lineRule="auto"/>
              <w:ind w:left="1134"/>
              <w:rPr>
                <w:noProof/>
                <w:sz w:val="20"/>
                <w:lang w:val="fr-FR" w:eastAsia="es-ES"/>
              </w:rPr>
            </w:pPr>
            <w:r>
              <w:rPr>
                <w:noProof/>
                <w:sz w:val="20"/>
                <w:lang w:val="fr-CA" w:eastAsia="es-ES"/>
              </w:rPr>
              <w:t>Aliments transformés pour animaux de compagnie</w:t>
            </w:r>
          </w:p>
          <w:p>
            <w:pPr>
              <w:spacing w:before="60" w:after="60" w:line="240" w:lineRule="auto"/>
              <w:ind w:left="1134"/>
              <w:rPr>
                <w:noProof/>
                <w:sz w:val="20"/>
                <w:lang w:val="fr-FR" w:eastAsia="es-ES"/>
              </w:rPr>
            </w:pPr>
            <w:r>
              <w:rPr>
                <w:noProof/>
                <w:sz w:val="20"/>
                <w:lang w:val="fr-CA" w:eastAsia="es-ES"/>
              </w:rPr>
              <w:t>Matières premières pour la production d’aliments pour animaux de compagnie</w:t>
            </w:r>
          </w:p>
          <w:p>
            <w:pPr>
              <w:spacing w:before="60" w:after="60" w:line="240" w:lineRule="auto"/>
              <w:ind w:left="1134"/>
              <w:rPr>
                <w:noProof/>
                <w:sz w:val="20"/>
                <w:lang w:val="fr-FR" w:eastAsia="es-ES"/>
              </w:rPr>
            </w:pPr>
            <w:r>
              <w:rPr>
                <w:noProof/>
                <w:sz w:val="20"/>
                <w:lang w:val="fr-CA" w:eastAsia="es-ES"/>
              </w:rPr>
              <w:t>Matières premières, sang, produits sanguins, glandes et organes destinés à un usage pharmaceutique ou technique</w:t>
            </w:r>
          </w:p>
          <w:p>
            <w:pPr>
              <w:spacing w:before="60" w:after="60" w:line="240" w:lineRule="auto"/>
              <w:ind w:left="1134"/>
              <w:rPr>
                <w:noProof/>
                <w:sz w:val="20"/>
                <w:lang w:val="fr-FR" w:eastAsia="es-ES"/>
              </w:rPr>
            </w:pPr>
            <w:r>
              <w:rPr>
                <w:noProof/>
                <w:sz w:val="20"/>
                <w:lang w:val="fr-CA" w:eastAsia="es-ES"/>
              </w:rPr>
              <w:t>Protéines animales transformées (sous emballage)</w:t>
            </w:r>
          </w:p>
          <w:p>
            <w:pPr>
              <w:spacing w:before="60" w:after="60" w:line="240" w:lineRule="auto"/>
              <w:ind w:left="1134"/>
              <w:rPr>
                <w:noProof/>
                <w:sz w:val="20"/>
                <w:lang w:val="fr-FR" w:eastAsia="es-ES"/>
              </w:rPr>
            </w:pPr>
            <w:r>
              <w:rPr>
                <w:noProof/>
                <w:sz w:val="20"/>
                <w:lang w:val="fr-CA" w:eastAsia="es-ES"/>
              </w:rPr>
              <w:t>Soies, laines, poils et plumes</w:t>
            </w:r>
          </w:p>
          <w:p>
            <w:pPr>
              <w:spacing w:before="60" w:after="60" w:line="240" w:lineRule="auto"/>
              <w:ind w:left="1134"/>
              <w:rPr>
                <w:noProof/>
                <w:sz w:val="20"/>
                <w:lang w:val="fr-FR" w:eastAsia="es-ES"/>
              </w:rPr>
            </w:pPr>
            <w:r>
              <w:rPr>
                <w:noProof/>
                <w:sz w:val="20"/>
                <w:lang w:val="fr-CA" w:eastAsia="es-ES"/>
              </w:rPr>
              <w:t>Cornes, produits à base de corne, onglons et produits à base d’onglon</w:t>
            </w:r>
          </w:p>
          <w:p>
            <w:pPr>
              <w:spacing w:before="60" w:after="60" w:line="240" w:lineRule="auto"/>
              <w:ind w:left="1134"/>
              <w:rPr>
                <w:noProof/>
                <w:sz w:val="20"/>
                <w:lang w:val="fr-FR" w:eastAsia="es-ES"/>
              </w:rPr>
            </w:pPr>
            <w:r>
              <w:rPr>
                <w:noProof/>
                <w:sz w:val="20"/>
                <w:lang w:val="fr-CA" w:eastAsia="es-ES"/>
              </w:rPr>
              <w:t>Produits de l’apiculture</w:t>
            </w:r>
          </w:p>
          <w:p>
            <w:pPr>
              <w:spacing w:before="60" w:after="60" w:line="240" w:lineRule="auto"/>
              <w:ind w:left="1134"/>
              <w:rPr>
                <w:noProof/>
                <w:sz w:val="20"/>
                <w:lang w:val="fr-FR" w:eastAsia="es-ES"/>
              </w:rPr>
            </w:pPr>
            <w:r>
              <w:rPr>
                <w:noProof/>
                <w:sz w:val="20"/>
                <w:lang w:val="fr-CA" w:eastAsia="es-ES"/>
              </w:rPr>
              <w:t>Œufs à couver</w:t>
            </w:r>
          </w:p>
          <w:p>
            <w:pPr>
              <w:spacing w:before="60" w:after="60" w:line="240" w:lineRule="auto"/>
              <w:ind w:left="1134"/>
              <w:rPr>
                <w:noProof/>
                <w:sz w:val="20"/>
                <w:lang w:eastAsia="es-ES"/>
              </w:rPr>
            </w:pPr>
            <w:r>
              <w:rPr>
                <w:noProof/>
                <w:sz w:val="20"/>
                <w:lang w:val="fr-CA" w:eastAsia="es-ES"/>
              </w:rPr>
              <w:t>Fumier</w:t>
            </w:r>
          </w:p>
          <w:p>
            <w:pPr>
              <w:spacing w:before="60" w:after="60" w:line="240" w:lineRule="auto"/>
              <w:ind w:left="1134"/>
              <w:rPr>
                <w:noProof/>
                <w:sz w:val="20"/>
                <w:lang w:eastAsia="es-ES"/>
              </w:rPr>
            </w:pPr>
            <w:r>
              <w:rPr>
                <w:noProof/>
                <w:sz w:val="20"/>
                <w:lang w:val="fr-CA" w:eastAsia="es-ES"/>
              </w:rPr>
              <w:t>Foin et paille</w:t>
            </w:r>
          </w:p>
        </w:tc>
        <w:tc>
          <w:tcPr>
            <w:tcW w:w="3622" w:type="dxa"/>
            <w:vAlign w:val="center"/>
          </w:tcPr>
          <w:p>
            <w:pPr>
              <w:spacing w:before="60" w:after="60" w:line="240" w:lineRule="auto"/>
              <w:ind w:right="1246"/>
              <w:jc w:val="right"/>
              <w:rPr>
                <w:noProof/>
                <w:sz w:val="20"/>
                <w:lang w:eastAsia="es-ES"/>
              </w:rPr>
            </w:pPr>
            <w:r>
              <w:rPr>
                <w:noProof/>
                <w:lang w:val="fr-CA"/>
              </w:rPr>
              <w:t>10 p. cent</w:t>
            </w:r>
          </w:p>
        </w:tc>
      </w:tr>
      <w:tr>
        <w:trPr>
          <w:cantSplit/>
          <w:trHeight w:val="20"/>
          <w:jc w:val="center"/>
        </w:trPr>
        <w:tc>
          <w:tcPr>
            <w:tcW w:w="6409" w:type="dxa"/>
            <w:vAlign w:val="center"/>
          </w:tcPr>
          <w:p>
            <w:pPr>
              <w:pageBreakBefore/>
              <w:spacing w:before="60" w:after="60" w:line="240" w:lineRule="auto"/>
              <w:ind w:left="567"/>
              <w:rPr>
                <w:i/>
                <w:noProof/>
                <w:sz w:val="20"/>
                <w:lang w:val="fr-FR" w:eastAsia="es-ES"/>
              </w:rPr>
            </w:pPr>
            <w:r>
              <w:rPr>
                <w:i/>
                <w:noProof/>
                <w:sz w:val="20"/>
                <w:lang w:val="fr-CA" w:eastAsia="es-ES"/>
              </w:rPr>
              <w:t>Protéines animales transformées non destinées à la consommation humaine (en vrac)</w:t>
            </w:r>
          </w:p>
        </w:tc>
        <w:tc>
          <w:tcPr>
            <w:tcW w:w="3622" w:type="dxa"/>
          </w:tcPr>
          <w:p>
            <w:pPr>
              <w:spacing w:before="60" w:after="60" w:line="240" w:lineRule="auto"/>
              <w:rPr>
                <w:noProof/>
                <w:sz w:val="20"/>
                <w:lang w:val="fr-FR" w:eastAsia="es-ES"/>
              </w:rPr>
            </w:pPr>
            <w:r>
              <w:rPr>
                <w:noProof/>
                <w:sz w:val="20"/>
                <w:lang w:val="fr-CA"/>
              </w:rPr>
              <w:t>100 p. cent pour six envois consécutifs (conformément au règlement (UE) n</w:t>
            </w:r>
            <w:r>
              <w:rPr>
                <w:noProof/>
                <w:sz w:val="20"/>
                <w:vertAlign w:val="superscript"/>
                <w:lang w:val="fr-CA"/>
              </w:rPr>
              <w:t>o</w:t>
            </w:r>
            <w:r>
              <w:rPr>
                <w:noProof/>
                <w:sz w:val="20"/>
                <w:lang w:val="fr-CA"/>
              </w:rPr>
              <w:t> 142/2011 de la Commission portant application du règlement (CE) n</w:t>
            </w:r>
            <w:r>
              <w:rPr>
                <w:noProof/>
                <w:sz w:val="20"/>
                <w:vertAlign w:val="superscript"/>
                <w:lang w:val="fr-CA"/>
              </w:rPr>
              <w:t>o</w:t>
            </w:r>
            <w:r>
              <w:rPr>
                <w:noProof/>
                <w:sz w:val="20"/>
                <w:lang w:val="fr-CA"/>
              </w:rPr>
              <w:t> 1069/2009), puis, si les résultats des tests consécutifs sont négatifs, échantillonnage aléatoire abaissé à 20 p. cent des envois en vrac suivants de même provenance. Si un des tests aléatoires est positif, l’autorité compétente doit échantillonner tous les envois de cette provenance jusqu’à ce que six tests consécutifs se révèlent de nouveau négatifs</w:t>
            </w:r>
            <w:r>
              <w:rPr>
                <w:rFonts w:eastAsiaTheme="minorHAnsi"/>
                <w:noProof/>
                <w:sz w:val="20"/>
                <w:lang w:val="fr-FR" w:eastAsia="en-US"/>
              </w:rPr>
              <w:t>.</w:t>
            </w:r>
          </w:p>
        </w:tc>
      </w:tr>
      <w:tr>
        <w:trPr>
          <w:cantSplit/>
          <w:trHeight w:val="20"/>
          <w:jc w:val="center"/>
        </w:trPr>
        <w:tc>
          <w:tcPr>
            <w:tcW w:w="6409" w:type="dxa"/>
            <w:tcBorders>
              <w:bottom w:val="single" w:sz="4" w:space="0" w:color="auto"/>
            </w:tcBorders>
          </w:tcPr>
          <w:p>
            <w:pPr>
              <w:spacing w:before="60" w:after="60" w:line="240" w:lineRule="auto"/>
              <w:ind w:left="567"/>
              <w:rPr>
                <w:i/>
                <w:noProof/>
                <w:sz w:val="20"/>
                <w:lang w:eastAsia="es-ES"/>
              </w:rPr>
            </w:pPr>
            <w:r>
              <w:rPr>
                <w:i/>
                <w:noProof/>
                <w:sz w:val="20"/>
                <w:lang w:val="fr-CA" w:eastAsia="es-ES"/>
              </w:rPr>
              <w:t>Mollusques bivalves vivants</w:t>
            </w:r>
          </w:p>
        </w:tc>
        <w:tc>
          <w:tcPr>
            <w:tcW w:w="3622" w:type="dxa"/>
            <w:tcBorders>
              <w:bottom w:val="single" w:sz="4" w:space="0" w:color="auto"/>
            </w:tcBorders>
          </w:tcPr>
          <w:p>
            <w:pPr>
              <w:spacing w:before="60" w:after="60" w:line="240" w:lineRule="auto"/>
              <w:ind w:right="1246"/>
              <w:jc w:val="right"/>
              <w:rPr>
                <w:noProof/>
                <w:sz w:val="20"/>
                <w:lang w:eastAsia="es-ES"/>
              </w:rPr>
            </w:pPr>
            <w:r>
              <w:rPr>
                <w:noProof/>
                <w:sz w:val="20"/>
                <w:lang w:val="fr-CA" w:eastAsia="es-ES"/>
              </w:rPr>
              <w:t>15 p. cent</w:t>
            </w:r>
          </w:p>
        </w:tc>
      </w:tr>
      <w:tr>
        <w:trPr>
          <w:cantSplit/>
          <w:trHeight w:val="2142"/>
          <w:jc w:val="center"/>
        </w:trPr>
        <w:tc>
          <w:tcPr>
            <w:tcW w:w="6409" w:type="dxa"/>
          </w:tcPr>
          <w:p>
            <w:pPr>
              <w:spacing w:before="60" w:after="60" w:line="240" w:lineRule="auto"/>
              <w:ind w:left="567"/>
              <w:rPr>
                <w:i/>
                <w:noProof/>
                <w:sz w:val="20"/>
                <w:lang w:val="fr-FR" w:eastAsia="es-ES"/>
              </w:rPr>
            </w:pPr>
            <w:r>
              <w:rPr>
                <w:i/>
                <w:noProof/>
                <w:sz w:val="20"/>
                <w:lang w:val="fr-CA" w:eastAsia="es-ES"/>
              </w:rPr>
              <w:t>Produits à base de poisson et produits de la pêche destinés à la consommation humaine</w:t>
            </w:r>
          </w:p>
          <w:p>
            <w:pPr>
              <w:spacing w:before="60" w:after="60" w:line="240" w:lineRule="auto"/>
              <w:ind w:left="567"/>
              <w:rPr>
                <w:noProof/>
                <w:sz w:val="20"/>
                <w:lang w:val="fr-FR" w:eastAsia="es-ES"/>
              </w:rPr>
            </w:pPr>
            <w:r>
              <w:rPr>
                <w:noProof/>
                <w:sz w:val="20"/>
                <w:lang w:val="fr-CA" w:eastAsia="es-ES"/>
              </w:rPr>
              <w:t>Produits de la pêche contenus dans des récipients hermétiquement fermés, destinés à garantir leur stabilité à température ambiante, poissons frais et congelés, produits de la pêche séchés, produits de la pêche salés ou produits de la pêche séchés et salés</w:t>
            </w:r>
          </w:p>
          <w:p>
            <w:pPr>
              <w:spacing w:before="60" w:after="60" w:line="240" w:lineRule="auto"/>
              <w:ind w:left="567"/>
              <w:rPr>
                <w:noProof/>
                <w:sz w:val="20"/>
                <w:lang w:val="fr-FR" w:eastAsia="es-ES"/>
              </w:rPr>
            </w:pPr>
            <w:r>
              <w:rPr>
                <w:noProof/>
                <w:sz w:val="20"/>
                <w:lang w:val="fr-CA" w:eastAsia="es-ES"/>
              </w:rPr>
              <w:t>Autres produits de la pêche</w:t>
            </w:r>
          </w:p>
          <w:p>
            <w:pPr>
              <w:spacing w:before="60" w:after="60" w:line="240" w:lineRule="auto"/>
              <w:ind w:left="567"/>
              <w:rPr>
                <w:noProof/>
                <w:sz w:val="20"/>
                <w:lang w:val="fr-FR" w:eastAsia="es-ES"/>
              </w:rPr>
            </w:pPr>
            <w:r>
              <w:rPr>
                <w:noProof/>
                <w:sz w:val="20"/>
                <w:lang w:val="fr-CA" w:eastAsia="es-ES"/>
              </w:rPr>
              <w:t>Crustacés vivants ou poissons frais étêtés et vidés, sans autre transformation manuelle</w:t>
            </w:r>
          </w:p>
        </w:tc>
        <w:tc>
          <w:tcPr>
            <w:tcW w:w="3622" w:type="dxa"/>
          </w:tcPr>
          <w:p>
            <w:pPr>
              <w:spacing w:before="60" w:after="60" w:line="240" w:lineRule="auto"/>
              <w:ind w:right="1246"/>
              <w:jc w:val="right"/>
              <w:rPr>
                <w:noProof/>
                <w:sz w:val="20"/>
                <w:lang w:val="fr-FR" w:eastAsia="es-ES"/>
              </w:rPr>
            </w:pPr>
          </w:p>
          <w:p>
            <w:pPr>
              <w:spacing w:before="60" w:after="60" w:line="240" w:lineRule="auto"/>
              <w:ind w:right="1246"/>
              <w:jc w:val="right"/>
              <w:rPr>
                <w:noProof/>
                <w:sz w:val="20"/>
                <w:lang w:eastAsia="es-ES"/>
              </w:rPr>
            </w:pPr>
            <w:r>
              <w:rPr>
                <w:noProof/>
                <w:sz w:val="20"/>
                <w:lang w:val="fr-CA" w:eastAsia="es-ES"/>
              </w:rPr>
              <w:t>15 p. cent</w:t>
            </w:r>
          </w:p>
          <w:p>
            <w:pPr>
              <w:spacing w:before="60" w:after="60" w:line="240" w:lineRule="auto"/>
              <w:ind w:right="1246"/>
              <w:jc w:val="right"/>
              <w:rPr>
                <w:noProof/>
                <w:sz w:val="20"/>
                <w:lang w:eastAsia="es-ES"/>
              </w:rPr>
            </w:pPr>
          </w:p>
          <w:p>
            <w:pPr>
              <w:spacing w:before="60" w:after="60" w:line="240" w:lineRule="auto"/>
              <w:ind w:right="1246"/>
              <w:jc w:val="right"/>
              <w:rPr>
                <w:noProof/>
                <w:sz w:val="20"/>
                <w:lang w:eastAsia="es-ES"/>
              </w:rPr>
            </w:pPr>
          </w:p>
          <w:p>
            <w:pPr>
              <w:spacing w:before="60" w:after="60" w:line="240" w:lineRule="auto"/>
              <w:ind w:right="1246"/>
              <w:jc w:val="right"/>
              <w:rPr>
                <w:noProof/>
                <w:sz w:val="20"/>
                <w:lang w:eastAsia="es-ES"/>
              </w:rPr>
            </w:pPr>
          </w:p>
          <w:p>
            <w:pPr>
              <w:spacing w:before="120" w:after="60" w:line="240" w:lineRule="auto"/>
              <w:ind w:right="1247"/>
              <w:jc w:val="right"/>
              <w:rPr>
                <w:noProof/>
                <w:sz w:val="20"/>
                <w:lang w:eastAsia="es-ES"/>
              </w:rPr>
            </w:pPr>
            <w:r>
              <w:rPr>
                <w:noProof/>
                <w:sz w:val="20"/>
                <w:lang w:val="fr-CA" w:eastAsia="es-ES"/>
              </w:rPr>
              <w:t>2 p. cent</w:t>
            </w:r>
          </w:p>
        </w:tc>
      </w:tr>
    </w:tbl>
    <w:p>
      <w:pPr>
        <w:spacing w:line="240" w:lineRule="auto"/>
        <w:rPr>
          <w:noProof/>
          <w:lang w:eastAsia="es-ES"/>
        </w:rPr>
      </w:pPr>
    </w:p>
    <w:p>
      <w:pPr>
        <w:spacing w:line="240" w:lineRule="auto"/>
        <w:rPr>
          <w:noProof/>
          <w:szCs w:val="24"/>
          <w:lang w:val="fr-FR" w:eastAsia="es-ES"/>
        </w:rPr>
      </w:pPr>
      <w:r>
        <w:rPr>
          <w:noProof/>
          <w:szCs w:val="24"/>
          <w:lang w:val="fr-CA" w:eastAsia="es-ES"/>
        </w:rPr>
        <w:t>Pour l’application de la présente annexe, « envoi » désigne une quantité de produits du même type, couverts par le même certificat ou document sanitaire, convoyés par le même moyen de transport, expédiés par un seul expéditeur et originaire de la même Partie exportatrice ou de la même région dans cette Partie</w:t>
      </w:r>
      <w:r>
        <w:rPr>
          <w:noProof/>
          <w:szCs w:val="24"/>
          <w:lang w:val="fr-FR" w:eastAsia="es-ES"/>
        </w:rPr>
        <w:t>.</w:t>
      </w:r>
    </w:p>
    <w:p>
      <w:pPr>
        <w:spacing w:line="240" w:lineRule="auto"/>
        <w:rPr>
          <w:noProof/>
          <w:lang w:val="fr-FR" w:eastAsia="es-ES"/>
        </w:rPr>
      </w:pPr>
    </w:p>
    <w:p>
      <w:pPr>
        <w:spacing w:line="240" w:lineRule="auto"/>
        <w:rPr>
          <w:noProof/>
          <w:lang w:val="fr-FR" w:eastAsia="es-ES"/>
        </w:rPr>
      </w:pPr>
    </w:p>
    <w:p>
      <w:pPr>
        <w:widowControl/>
        <w:spacing w:line="240" w:lineRule="auto"/>
        <w:rPr>
          <w:i/>
          <w:noProof/>
          <w:color w:val="000000"/>
          <w:szCs w:val="24"/>
          <w:lang w:val="fr-FR" w:eastAsia="es-ES"/>
        </w:rPr>
      </w:pPr>
      <w:r>
        <w:rPr>
          <w:i/>
          <w:noProof/>
          <w:color w:val="000000"/>
          <w:szCs w:val="24"/>
          <w:lang w:val="fr-FR" w:eastAsia="es-ES"/>
        </w:rPr>
        <w:br w:type="page"/>
      </w:r>
    </w:p>
    <w:p>
      <w:pPr>
        <w:widowControl/>
        <w:spacing w:line="240" w:lineRule="auto"/>
        <w:jc w:val="center"/>
        <w:rPr>
          <w:i/>
          <w:noProof/>
          <w:color w:val="000000"/>
          <w:szCs w:val="24"/>
          <w:lang w:val="fr-FR" w:eastAsia="es-ES"/>
        </w:rPr>
      </w:pPr>
      <w:r>
        <w:rPr>
          <w:i/>
          <w:noProof/>
          <w:color w:val="000000"/>
          <w:szCs w:val="24"/>
          <w:lang w:val="fr-FR" w:eastAsia="es-ES"/>
        </w:rPr>
        <w:t>SECTION B</w:t>
      </w:r>
    </w:p>
    <w:p>
      <w:pPr>
        <w:widowControl/>
        <w:spacing w:line="240" w:lineRule="auto"/>
        <w:jc w:val="center"/>
        <w:rPr>
          <w:iCs/>
          <w:noProof/>
          <w:color w:val="000000"/>
          <w:szCs w:val="24"/>
          <w:lang w:val="fr-FR" w:eastAsia="es-ES"/>
        </w:rPr>
      </w:pPr>
    </w:p>
    <w:p>
      <w:pPr>
        <w:widowControl/>
        <w:spacing w:line="240" w:lineRule="auto"/>
        <w:rPr>
          <w:b/>
          <w:noProof/>
          <w:color w:val="000000"/>
          <w:szCs w:val="24"/>
          <w:lang w:val="fr-FR" w:eastAsia="es-ES"/>
        </w:rPr>
      </w:pPr>
      <w:r>
        <w:rPr>
          <w:b/>
          <w:noProof/>
          <w:color w:val="000000"/>
          <w:szCs w:val="24"/>
          <w:lang w:val="fr-CA" w:eastAsia="es-ES"/>
        </w:rPr>
        <w:t>Frais</w:t>
      </w:r>
    </w:p>
    <w:p>
      <w:pPr>
        <w:widowControl/>
        <w:spacing w:line="240" w:lineRule="auto"/>
        <w:jc w:val="center"/>
        <w:rPr>
          <w:bCs/>
          <w:noProof/>
          <w:color w:val="000000"/>
          <w:szCs w:val="24"/>
          <w:lang w:val="fr-FR" w:eastAsia="es-ES"/>
        </w:rPr>
      </w:pPr>
    </w:p>
    <w:p>
      <w:pPr>
        <w:widowControl/>
        <w:spacing w:line="240" w:lineRule="auto"/>
        <w:jc w:val="both"/>
        <w:rPr>
          <w:rFonts w:eastAsiaTheme="minorHAnsi"/>
          <w:noProof/>
          <w:szCs w:val="24"/>
          <w:lang w:val="fr-FR" w:eastAsia="en-US"/>
        </w:rPr>
      </w:pPr>
      <w:r>
        <w:rPr>
          <w:noProof/>
          <w:lang w:val="fr-CA"/>
        </w:rPr>
        <w:t>À convenir ultérieurement</w:t>
      </w:r>
      <w:r>
        <w:rPr>
          <w:noProof/>
          <w:szCs w:val="24"/>
          <w:lang w:val="fr-FR"/>
        </w:rPr>
        <w:t>.</w:t>
      </w:r>
    </w:p>
    <w:p>
      <w:pPr>
        <w:widowControl/>
        <w:spacing w:line="240" w:lineRule="auto"/>
        <w:jc w:val="both"/>
        <w:rPr>
          <w:rFonts w:eastAsiaTheme="minorHAnsi"/>
          <w:noProof/>
          <w:szCs w:val="22"/>
          <w:lang w:val="fr-FR" w:eastAsia="en-US"/>
        </w:rPr>
      </w:pPr>
    </w:p>
    <w:p>
      <w:pPr>
        <w:widowControl/>
        <w:spacing w:line="240" w:lineRule="auto"/>
        <w:jc w:val="both"/>
        <w:rPr>
          <w:rFonts w:eastAsiaTheme="minorHAnsi"/>
          <w:noProof/>
          <w:szCs w:val="22"/>
          <w:lang w:val="fr-FR" w:eastAsia="en-US"/>
        </w:rPr>
      </w:pPr>
    </w:p>
    <w:p>
      <w:pPr>
        <w:widowControl/>
        <w:spacing w:line="240" w:lineRule="auto"/>
        <w:rPr>
          <w:b/>
          <w:bCs/>
          <w:noProof/>
          <w:szCs w:val="24"/>
          <w:u w:val="single"/>
          <w:lang w:val="fr-FR" w:eastAsia="zh-CN"/>
        </w:rPr>
      </w:pPr>
      <w:r>
        <w:rPr>
          <w:b/>
          <w:bCs/>
          <w:noProof/>
          <w:szCs w:val="24"/>
          <w:u w:val="single"/>
          <w:lang w:val="fr-FR" w:eastAsia="zh-CN"/>
        </w:rPr>
        <w:br w:type="page"/>
      </w:r>
    </w:p>
    <w:p>
      <w:pPr>
        <w:spacing w:line="240" w:lineRule="auto"/>
        <w:jc w:val="center"/>
        <w:rPr>
          <w:b/>
          <w:bCs/>
          <w:noProof/>
          <w:u w:val="single"/>
          <w:lang w:val="fr-CA" w:eastAsia="zh-CN"/>
        </w:rPr>
      </w:pPr>
      <w:r>
        <w:rPr>
          <w:b/>
          <w:bCs/>
          <w:noProof/>
          <w:u w:val="single"/>
          <w:lang w:val="fr-CA" w:eastAsia="zh-CN"/>
        </w:rPr>
        <w:t>ANNEXE 8</w:t>
      </w:r>
      <w:r>
        <w:rPr>
          <w:b/>
          <w:bCs/>
          <w:noProof/>
          <w:u w:val="single"/>
          <w:lang w:val="fr-CA" w:eastAsia="zh-CN"/>
        </w:rPr>
        <w:noBreakHyphen/>
        <w:t>A</w:t>
      </w:r>
    </w:p>
    <w:p>
      <w:pPr>
        <w:spacing w:line="240" w:lineRule="auto"/>
        <w:rPr>
          <w:rFonts w:eastAsiaTheme="minorHAnsi"/>
          <w:noProof/>
          <w:szCs w:val="22"/>
          <w:lang w:val="fr-CA" w:eastAsia="zh-CN"/>
        </w:rPr>
      </w:pPr>
    </w:p>
    <w:p>
      <w:pPr>
        <w:spacing w:line="240" w:lineRule="auto"/>
        <w:rPr>
          <w:rFonts w:eastAsiaTheme="minorHAnsi"/>
          <w:noProof/>
          <w:szCs w:val="22"/>
          <w:lang w:val="fr-CA" w:eastAsia="zh-CN"/>
        </w:rPr>
      </w:pPr>
    </w:p>
    <w:p>
      <w:pPr>
        <w:spacing w:line="240" w:lineRule="auto"/>
        <w:jc w:val="center"/>
        <w:rPr>
          <w:rFonts w:eastAsiaTheme="minorHAnsi"/>
          <w:b/>
          <w:bCs/>
          <w:noProof/>
          <w:szCs w:val="22"/>
          <w:lang w:val="fr-CA" w:eastAsia="zh-CN"/>
        </w:rPr>
      </w:pPr>
      <w:r>
        <w:rPr>
          <w:rFonts w:eastAsiaTheme="minorHAnsi"/>
          <w:b/>
          <w:bCs/>
          <w:noProof/>
          <w:szCs w:val="22"/>
          <w:lang w:val="fr-CA" w:eastAsia="zh-CN"/>
        </w:rPr>
        <w:t>EXPROPRIATION</w:t>
      </w:r>
    </w:p>
    <w:p>
      <w:pPr>
        <w:spacing w:line="240" w:lineRule="auto"/>
        <w:jc w:val="center"/>
        <w:rPr>
          <w:rFonts w:eastAsiaTheme="minorHAnsi"/>
          <w:noProof/>
          <w:szCs w:val="22"/>
          <w:lang w:val="fr-CA" w:eastAsia="zh-CN"/>
        </w:rPr>
      </w:pPr>
    </w:p>
    <w:p>
      <w:pPr>
        <w:spacing w:line="240" w:lineRule="auto"/>
        <w:rPr>
          <w:rFonts w:eastAsiaTheme="minorHAnsi"/>
          <w:noProof/>
          <w:szCs w:val="22"/>
          <w:lang w:val="fr-CA" w:eastAsia="zh-CN"/>
        </w:rPr>
      </w:pPr>
      <w:r>
        <w:rPr>
          <w:rFonts w:eastAsiaTheme="minorHAnsi"/>
          <w:noProof/>
          <w:szCs w:val="22"/>
          <w:lang w:val="fr-CA" w:eastAsia="zh-CN"/>
        </w:rPr>
        <w:t>Les Parties confirment leur compréhension commune des points suivants :</w:t>
      </w:r>
    </w:p>
    <w:p>
      <w:pPr>
        <w:spacing w:line="240" w:lineRule="auto"/>
        <w:rPr>
          <w:rFonts w:eastAsiaTheme="minorHAnsi"/>
          <w:noProof/>
          <w:szCs w:val="22"/>
          <w:lang w:val="fr-CA" w:eastAsia="zh-CN"/>
        </w:rPr>
      </w:pPr>
    </w:p>
    <w:p>
      <w:pPr>
        <w:spacing w:line="240" w:lineRule="auto"/>
        <w:ind w:left="567" w:hanging="567"/>
        <w:rPr>
          <w:rFonts w:eastAsiaTheme="minorHAnsi"/>
          <w:noProof/>
          <w:szCs w:val="22"/>
          <w:lang w:val="fr-CA" w:eastAsia="zh-CN"/>
        </w:rPr>
      </w:pPr>
      <w:r>
        <w:rPr>
          <w:rFonts w:eastAsiaTheme="minorHAnsi"/>
          <w:noProof/>
          <w:szCs w:val="22"/>
          <w:lang w:val="fr-CA" w:eastAsia="zh-CN"/>
        </w:rPr>
        <w:t>1.</w:t>
      </w:r>
      <w:r>
        <w:rPr>
          <w:rFonts w:eastAsiaTheme="minorHAnsi"/>
          <w:noProof/>
          <w:szCs w:val="22"/>
          <w:lang w:val="fr-CA" w:eastAsia="zh-CN"/>
        </w:rPr>
        <w:tab/>
        <w:t>L’expropriation peut être directe ou indirecte :</w:t>
      </w:r>
    </w:p>
    <w:p>
      <w:pPr>
        <w:spacing w:line="240" w:lineRule="auto"/>
        <w:ind w:left="567" w:hanging="567"/>
        <w:rPr>
          <w:rFonts w:eastAsiaTheme="minorHAnsi"/>
          <w:noProof/>
          <w:szCs w:val="22"/>
          <w:lang w:val="fr-CA" w:eastAsia="zh-CN"/>
        </w:rPr>
      </w:pPr>
    </w:p>
    <w:p>
      <w:pPr>
        <w:spacing w:line="240" w:lineRule="auto"/>
        <w:ind w:left="1134" w:hanging="567"/>
        <w:rPr>
          <w:rFonts w:eastAsiaTheme="minorHAnsi"/>
          <w:noProof/>
          <w:szCs w:val="22"/>
          <w:lang w:val="fr-CA" w:eastAsia="zh-CN"/>
        </w:rPr>
      </w:pPr>
      <w:r>
        <w:rPr>
          <w:rFonts w:eastAsiaTheme="minorHAnsi"/>
          <w:noProof/>
          <w:szCs w:val="22"/>
          <w:lang w:val="fr-CA" w:eastAsia="zh-CN"/>
        </w:rPr>
        <w:t>a)</w:t>
      </w:r>
      <w:r>
        <w:rPr>
          <w:rFonts w:eastAsiaTheme="minorHAnsi"/>
          <w:noProof/>
          <w:szCs w:val="22"/>
          <w:lang w:val="fr-CA" w:eastAsia="zh-CN"/>
        </w:rPr>
        <w:tab/>
        <w:t>une expropriation directe se produit lorsqu’un investissement est nationalisé ou exproprié directement d'une autre façon, par transfert formel d’un titre de propriété ou par saisie pure et simple;</w:t>
      </w:r>
    </w:p>
    <w:p>
      <w:pPr>
        <w:spacing w:line="240" w:lineRule="auto"/>
        <w:ind w:left="1134" w:hanging="567"/>
        <w:rPr>
          <w:rFonts w:eastAsiaTheme="minorHAnsi"/>
          <w:noProof/>
          <w:szCs w:val="22"/>
          <w:lang w:val="fr-CA" w:eastAsia="zh-CN"/>
        </w:rPr>
      </w:pPr>
    </w:p>
    <w:p>
      <w:pPr>
        <w:spacing w:line="240" w:lineRule="auto"/>
        <w:ind w:left="1134" w:hanging="567"/>
        <w:rPr>
          <w:rFonts w:eastAsiaTheme="minorHAnsi"/>
          <w:noProof/>
          <w:szCs w:val="22"/>
          <w:lang w:val="fr-CA" w:eastAsia="zh-CN"/>
        </w:rPr>
      </w:pPr>
      <w:r>
        <w:rPr>
          <w:rFonts w:eastAsiaTheme="minorHAnsi"/>
          <w:noProof/>
          <w:szCs w:val="22"/>
          <w:lang w:val="fr-CA" w:eastAsia="zh-CN"/>
        </w:rPr>
        <w:t>b)</w:t>
      </w:r>
      <w:r>
        <w:rPr>
          <w:rFonts w:eastAsiaTheme="minorHAnsi"/>
          <w:noProof/>
          <w:szCs w:val="22"/>
          <w:lang w:val="fr-CA" w:eastAsia="zh-CN"/>
        </w:rPr>
        <w:tab/>
        <w:t>une expropriation indirecte se produit lorsqu’une mesure ou une série de mesures d’une Partie ont un effet équivalent à une expropriation directe, en ce qu’elles privent substantiellement l’investisseur des attributs fondamentaux de la propriété de son investissement, y compris du droit d’user, de jouir et de disposer de son investissement, sans qu'il y ait transfert formel d’un titre de propriété ou saisie pure et simple.</w:t>
      </w:r>
    </w:p>
    <w:p>
      <w:pPr>
        <w:spacing w:line="240" w:lineRule="auto"/>
        <w:ind w:left="1134" w:hanging="567"/>
        <w:rPr>
          <w:rFonts w:eastAsiaTheme="minorHAnsi"/>
          <w:noProof/>
          <w:szCs w:val="22"/>
          <w:lang w:val="fr-CA" w:eastAsia="zh-CN"/>
        </w:rPr>
      </w:pPr>
    </w:p>
    <w:p>
      <w:pPr>
        <w:spacing w:line="240" w:lineRule="auto"/>
        <w:ind w:left="567" w:hanging="567"/>
        <w:rPr>
          <w:noProof/>
          <w:lang w:val="fr-CA" w:eastAsia="zh-CN"/>
        </w:rPr>
      </w:pPr>
      <w:r>
        <w:rPr>
          <w:noProof/>
          <w:lang w:val="fr-CA" w:eastAsia="zh-CN"/>
        </w:rPr>
        <w:t>2.</w:t>
      </w:r>
      <w:r>
        <w:rPr>
          <w:noProof/>
          <w:lang w:val="fr-CA" w:eastAsia="zh-CN"/>
        </w:rPr>
        <w:tab/>
      </w:r>
      <w:r>
        <w:rPr>
          <w:bCs/>
          <w:noProof/>
          <w:lang w:val="fr-CA" w:eastAsia="zh-CN"/>
        </w:rPr>
        <w:t>Pour déterminer si une mesure ou une série de mesures d’une Partie, dans une situation de fait spécifique, constituent une expropriation indirecte, il est nécessaire de procéder à un examen au cas par cas fondé sur les faits, qui tient compte, entre autres, des facteurs suivants </w:t>
      </w:r>
      <w:r>
        <w:rPr>
          <w:noProof/>
          <w:lang w:val="fr-CA" w:eastAsia="zh-CN"/>
        </w:rPr>
        <w:t>:</w:t>
      </w:r>
    </w:p>
    <w:p>
      <w:pPr>
        <w:spacing w:line="240" w:lineRule="auto"/>
        <w:ind w:left="1134" w:hanging="567"/>
        <w:rPr>
          <w:noProof/>
          <w:lang w:val="fr-CA" w:eastAsia="zh-CN"/>
        </w:rPr>
      </w:pPr>
    </w:p>
    <w:p>
      <w:pPr>
        <w:spacing w:line="240" w:lineRule="auto"/>
        <w:ind w:left="1134" w:hanging="567"/>
        <w:rPr>
          <w:rFonts w:eastAsiaTheme="minorHAnsi"/>
          <w:noProof/>
          <w:szCs w:val="22"/>
          <w:lang w:val="fr-CA" w:eastAsia="zh-CN"/>
        </w:rPr>
      </w:pPr>
      <w:r>
        <w:rPr>
          <w:noProof/>
          <w:lang w:val="fr-CA" w:eastAsia="zh-CN"/>
        </w:rPr>
        <w:t>a)</w:t>
      </w:r>
      <w:r>
        <w:rPr>
          <w:noProof/>
          <w:lang w:val="fr-CA" w:eastAsia="zh-CN"/>
        </w:rPr>
        <w:tab/>
      </w:r>
      <w:r>
        <w:rPr>
          <w:bCs/>
          <w:noProof/>
          <w:lang w:val="fr-CA" w:eastAsia="zh-CN"/>
        </w:rPr>
        <w:t>l'impact économique de la mesure ou de la série de mesures, même si le seul fait qu’une mesure ou série de mesures d’une Partie aient un effet défavorable sur la valeur économique d’un investissement ne suffit pas à établir qu’il y a eu expropriation indirecte</w:t>
      </w:r>
      <w:r>
        <w:rPr>
          <w:rFonts w:eastAsiaTheme="minorHAnsi"/>
          <w:noProof/>
          <w:szCs w:val="22"/>
          <w:lang w:val="fr-CA" w:eastAsia="zh-CN"/>
        </w:rPr>
        <w:t>;</w:t>
      </w:r>
    </w:p>
    <w:p>
      <w:pPr>
        <w:spacing w:line="240" w:lineRule="auto"/>
        <w:ind w:left="1134" w:hanging="567"/>
        <w:rPr>
          <w:rFonts w:eastAsiaTheme="minorHAnsi"/>
          <w:noProof/>
          <w:szCs w:val="22"/>
          <w:lang w:val="fr-CA" w:eastAsia="zh-CN"/>
        </w:rPr>
      </w:pPr>
    </w:p>
    <w:p>
      <w:pPr>
        <w:spacing w:line="240" w:lineRule="auto"/>
        <w:ind w:left="1134" w:hanging="567"/>
        <w:rPr>
          <w:rFonts w:eastAsiaTheme="minorHAnsi"/>
          <w:noProof/>
          <w:szCs w:val="22"/>
          <w:lang w:val="fr-CA" w:eastAsia="zh-CN"/>
        </w:rPr>
      </w:pPr>
      <w:r>
        <w:rPr>
          <w:rFonts w:eastAsiaTheme="minorHAnsi"/>
          <w:noProof/>
          <w:szCs w:val="22"/>
          <w:lang w:val="fr-CA" w:eastAsia="zh-CN"/>
        </w:rPr>
        <w:t>b)</w:t>
      </w:r>
      <w:r>
        <w:rPr>
          <w:rFonts w:eastAsiaTheme="minorHAnsi"/>
          <w:noProof/>
          <w:szCs w:val="22"/>
          <w:lang w:val="fr-CA" w:eastAsia="zh-CN"/>
        </w:rPr>
        <w:tab/>
        <w:t>la durée de la mesure ou de la série de mesures d’une Partie;</w:t>
      </w:r>
    </w:p>
    <w:p>
      <w:pPr>
        <w:spacing w:line="240" w:lineRule="auto"/>
        <w:ind w:left="1134" w:hanging="567"/>
        <w:rPr>
          <w:rFonts w:eastAsiaTheme="minorHAnsi"/>
          <w:noProof/>
          <w:szCs w:val="22"/>
          <w:lang w:val="fr-CA" w:eastAsia="zh-CN"/>
        </w:rPr>
      </w:pPr>
    </w:p>
    <w:p>
      <w:pPr>
        <w:widowControl/>
        <w:spacing w:line="240" w:lineRule="auto"/>
        <w:rPr>
          <w:rFonts w:eastAsiaTheme="minorHAnsi"/>
          <w:noProof/>
          <w:szCs w:val="22"/>
          <w:lang w:val="fr-CA" w:eastAsia="zh-CN"/>
        </w:rPr>
      </w:pPr>
      <w:r>
        <w:rPr>
          <w:rFonts w:eastAsiaTheme="minorHAnsi"/>
          <w:noProof/>
          <w:szCs w:val="22"/>
          <w:lang w:val="fr-CA" w:eastAsia="zh-CN"/>
        </w:rPr>
        <w:br w:type="page"/>
      </w:r>
    </w:p>
    <w:p>
      <w:pPr>
        <w:spacing w:line="240" w:lineRule="auto"/>
        <w:ind w:left="1134" w:hanging="567"/>
        <w:rPr>
          <w:rFonts w:eastAsiaTheme="minorHAnsi"/>
          <w:noProof/>
          <w:szCs w:val="22"/>
          <w:lang w:val="fr-CA" w:eastAsia="zh-CN"/>
        </w:rPr>
      </w:pPr>
      <w:r>
        <w:rPr>
          <w:rFonts w:eastAsiaTheme="minorHAnsi"/>
          <w:noProof/>
          <w:szCs w:val="22"/>
          <w:lang w:val="fr-CA" w:eastAsia="zh-CN"/>
        </w:rPr>
        <w:t>c)</w:t>
      </w:r>
      <w:r>
        <w:rPr>
          <w:rFonts w:eastAsiaTheme="minorHAnsi"/>
          <w:noProof/>
          <w:szCs w:val="22"/>
          <w:lang w:val="fr-CA" w:eastAsia="zh-CN"/>
        </w:rPr>
        <w:tab/>
        <w:t>l’étendue de l’atteinte portée par la mesure ou la série de mesures en cause aux attentes spécifiques et raisonnables sous-tendant l’investissement;</w:t>
      </w:r>
    </w:p>
    <w:p>
      <w:pPr>
        <w:spacing w:line="240" w:lineRule="auto"/>
        <w:ind w:left="1134" w:hanging="567"/>
        <w:rPr>
          <w:rFonts w:eastAsiaTheme="minorHAnsi"/>
          <w:noProof/>
          <w:szCs w:val="22"/>
          <w:lang w:val="fr-CA" w:eastAsia="zh-CN"/>
        </w:rPr>
      </w:pPr>
    </w:p>
    <w:p>
      <w:pPr>
        <w:spacing w:line="240" w:lineRule="auto"/>
        <w:ind w:left="1134" w:hanging="567"/>
        <w:rPr>
          <w:noProof/>
          <w:lang w:val="fr-CA" w:eastAsia="zh-CN"/>
        </w:rPr>
      </w:pPr>
      <w:r>
        <w:rPr>
          <w:rFonts w:eastAsiaTheme="minorHAnsi"/>
          <w:noProof/>
          <w:szCs w:val="22"/>
          <w:lang w:val="fr-CA" w:eastAsia="zh-CN"/>
        </w:rPr>
        <w:t>d)</w:t>
      </w:r>
      <w:r>
        <w:rPr>
          <w:rFonts w:eastAsiaTheme="minorHAnsi"/>
          <w:noProof/>
          <w:szCs w:val="22"/>
          <w:lang w:val="fr-CA" w:eastAsia="zh-CN"/>
        </w:rPr>
        <w:tab/>
        <w:t>la nature de la mesure ou de la série de mesures, notamment leur objet, contexte et but</w:t>
      </w:r>
      <w:r>
        <w:rPr>
          <w:noProof/>
          <w:lang w:val="fr-CA" w:eastAsia="zh-CN"/>
        </w:rPr>
        <w:t>.</w:t>
      </w:r>
    </w:p>
    <w:p>
      <w:pPr>
        <w:spacing w:line="240" w:lineRule="auto"/>
        <w:ind w:left="1134" w:hanging="567"/>
        <w:rPr>
          <w:noProof/>
          <w:lang w:val="fr-CA" w:eastAsia="zh-CN"/>
        </w:rPr>
      </w:pPr>
    </w:p>
    <w:p>
      <w:pPr>
        <w:spacing w:line="240" w:lineRule="auto"/>
        <w:ind w:left="567" w:hanging="567"/>
        <w:rPr>
          <w:noProof/>
          <w:lang w:val="fr-CA" w:eastAsia="zh-CN"/>
        </w:rPr>
      </w:pPr>
      <w:r>
        <w:rPr>
          <w:noProof/>
          <w:lang w:val="fr-CA" w:eastAsia="zh-CN"/>
        </w:rPr>
        <w:t>3.</w:t>
      </w:r>
      <w:r>
        <w:rPr>
          <w:noProof/>
          <w:lang w:val="fr-CA" w:eastAsia="zh-CN"/>
        </w:rPr>
        <w:tab/>
      </w:r>
      <w:r>
        <w:rPr>
          <w:bCs/>
          <w:noProof/>
          <w:lang w:val="fr-CA" w:eastAsia="zh-CN"/>
        </w:rPr>
        <w:t>Il est entendu que, sauf dans de rares circonstances où l'impact d’une mesure ou d’une série de mesures est si grave au regard de leur but qu’elles semblent manifestement excessives, les mesures non discriminatoires d’une Partie qui sont conçues et appliquées afin de protéger des objectifs légitimes de bien-être public, notamment en matière de santé, de sécurité et d’environnement, ne constituent pas une expropriation indirecte</w:t>
      </w:r>
      <w:r>
        <w:rPr>
          <w:noProof/>
          <w:lang w:val="fr-CA" w:eastAsia="zh-CN"/>
        </w:rPr>
        <w:t>.</w:t>
      </w:r>
    </w:p>
    <w:p>
      <w:pPr>
        <w:spacing w:line="240" w:lineRule="auto"/>
        <w:ind w:left="567" w:hanging="567"/>
        <w:rPr>
          <w:noProof/>
          <w:lang w:val="fr-CA" w:eastAsia="zh-CN"/>
        </w:rPr>
      </w:pPr>
    </w:p>
    <w:p>
      <w:pPr>
        <w:spacing w:line="240" w:lineRule="auto"/>
        <w:ind w:left="567" w:hanging="567"/>
        <w:rPr>
          <w:noProof/>
          <w:lang w:val="fr-CA" w:eastAsia="zh-CN"/>
        </w:rPr>
      </w:pPr>
    </w:p>
    <w:p>
      <w:pPr>
        <w:widowControl/>
        <w:spacing w:line="240" w:lineRule="auto"/>
        <w:rPr>
          <w:b/>
          <w:bCs/>
          <w:noProof/>
          <w:color w:val="000000"/>
          <w:szCs w:val="24"/>
          <w:u w:val="single"/>
          <w:lang w:val="fr-CA" w:eastAsia="en-CA"/>
        </w:rPr>
      </w:pPr>
      <w:r>
        <w:rPr>
          <w:b/>
          <w:bCs/>
          <w:noProof/>
          <w:color w:val="000000"/>
          <w:szCs w:val="24"/>
          <w:u w:val="single"/>
          <w:lang w:val="fr-CA" w:eastAsia="en-CA"/>
        </w:rPr>
        <w:br w:type="page"/>
      </w:r>
    </w:p>
    <w:p>
      <w:pPr>
        <w:spacing w:line="240" w:lineRule="auto"/>
        <w:jc w:val="center"/>
        <w:rPr>
          <w:b/>
          <w:bCs/>
          <w:noProof/>
          <w:u w:val="single"/>
          <w:lang w:val="fr-CA" w:eastAsia="en-CA"/>
        </w:rPr>
      </w:pPr>
      <w:r>
        <w:rPr>
          <w:b/>
          <w:bCs/>
          <w:noProof/>
          <w:u w:val="single"/>
          <w:lang w:val="fr-CA" w:eastAsia="en-CA"/>
        </w:rPr>
        <w:t>ANNEXE 8</w:t>
      </w:r>
      <w:r>
        <w:rPr>
          <w:b/>
          <w:bCs/>
          <w:noProof/>
          <w:u w:val="single"/>
          <w:lang w:val="fr-CA" w:eastAsia="en-CA"/>
        </w:rPr>
        <w:noBreakHyphen/>
        <w:t>B</w:t>
      </w:r>
    </w:p>
    <w:p>
      <w:pPr>
        <w:spacing w:line="240" w:lineRule="auto"/>
        <w:rPr>
          <w:noProof/>
          <w:lang w:val="fr-CA"/>
        </w:rPr>
      </w:pPr>
    </w:p>
    <w:p>
      <w:pPr>
        <w:spacing w:line="240" w:lineRule="auto"/>
        <w:jc w:val="center"/>
        <w:rPr>
          <w:b/>
          <w:bCs/>
          <w:noProof/>
          <w:lang w:val="fr-CA"/>
        </w:rPr>
      </w:pPr>
      <w:r>
        <w:rPr>
          <w:b/>
          <w:bCs/>
          <w:noProof/>
          <w:lang w:val="fr-CA"/>
        </w:rPr>
        <w:t>DETTE PUBLIQUE</w:t>
      </w:r>
    </w:p>
    <w:p>
      <w:pPr>
        <w:spacing w:line="240" w:lineRule="auto"/>
        <w:rPr>
          <w:noProof/>
          <w:lang w:val="fr-CA"/>
        </w:rPr>
      </w:pPr>
    </w:p>
    <w:p>
      <w:pPr>
        <w:spacing w:line="240" w:lineRule="auto"/>
        <w:ind w:left="567" w:hanging="567"/>
        <w:rPr>
          <w:noProof/>
          <w:szCs w:val="24"/>
          <w:lang w:val="fr-CA" w:eastAsia="en-CA"/>
        </w:rPr>
      </w:pPr>
      <w:r>
        <w:rPr>
          <w:noProof/>
          <w:szCs w:val="24"/>
          <w:lang w:val="fr-CA" w:eastAsia="en-CA"/>
        </w:rPr>
        <w:t>1.</w:t>
      </w:r>
      <w:r>
        <w:rPr>
          <w:noProof/>
          <w:szCs w:val="24"/>
          <w:lang w:val="fr-CA" w:eastAsia="en-CA"/>
        </w:rPr>
        <w:tab/>
        <w:t>Pour l’application de la présente annexe :</w:t>
      </w:r>
    </w:p>
    <w:p>
      <w:pPr>
        <w:spacing w:line="240" w:lineRule="auto"/>
        <w:rPr>
          <w:noProof/>
          <w:szCs w:val="24"/>
          <w:lang w:val="fr-CA" w:eastAsia="en-CA"/>
        </w:rPr>
      </w:pPr>
    </w:p>
    <w:p>
      <w:pPr>
        <w:spacing w:line="240" w:lineRule="auto"/>
        <w:ind w:left="567"/>
        <w:rPr>
          <w:noProof/>
          <w:szCs w:val="24"/>
          <w:lang w:val="fr-CA" w:eastAsia="en-CA"/>
        </w:rPr>
      </w:pPr>
      <w:r>
        <w:rPr>
          <w:b/>
          <w:noProof/>
          <w:szCs w:val="24"/>
          <w:lang w:val="fr-CA" w:eastAsia="en-CA"/>
        </w:rPr>
        <w:t xml:space="preserve">restructuration négociée </w:t>
      </w:r>
      <w:r>
        <w:rPr>
          <w:noProof/>
          <w:szCs w:val="24"/>
          <w:lang w:val="fr-CA" w:eastAsia="en-CA"/>
        </w:rPr>
        <w:t>désigne la restructuration ou le rééchelonnement de la dette d’une Partie moyennant, selon le cas</w:t>
      </w:r>
      <w:r>
        <w:rPr>
          <w:b/>
          <w:noProof/>
          <w:szCs w:val="24"/>
          <w:lang w:val="fr-CA" w:eastAsia="en-CA"/>
        </w:rPr>
        <w:t> </w:t>
      </w:r>
      <w:r>
        <w:rPr>
          <w:noProof/>
          <w:szCs w:val="24"/>
          <w:lang w:val="fr-CA" w:eastAsia="en-CA"/>
        </w:rPr>
        <w:t>:</w:t>
      </w:r>
    </w:p>
    <w:p>
      <w:pPr>
        <w:spacing w:line="240" w:lineRule="auto"/>
        <w:rPr>
          <w:noProof/>
          <w:szCs w:val="24"/>
          <w:lang w:val="fr-CA" w:eastAsia="en-CA"/>
        </w:rPr>
      </w:pPr>
    </w:p>
    <w:p>
      <w:pPr>
        <w:spacing w:line="240" w:lineRule="auto"/>
        <w:ind w:left="1134" w:hanging="567"/>
        <w:rPr>
          <w:b/>
          <w:noProof/>
          <w:szCs w:val="24"/>
          <w:lang w:val="fr-CA" w:eastAsia="en-CA"/>
        </w:rPr>
      </w:pPr>
      <w:r>
        <w:rPr>
          <w:noProof/>
          <w:szCs w:val="24"/>
          <w:lang w:val="fr-CA" w:eastAsia="en-CA"/>
        </w:rPr>
        <w:t>a) une modification ou un amendement des instruments de la dette, conformément aux modalités de ces derniers, y compris au droit applicable;</w:t>
      </w:r>
    </w:p>
    <w:p>
      <w:pPr>
        <w:spacing w:line="240" w:lineRule="auto"/>
        <w:ind w:left="1134" w:hanging="567"/>
        <w:rPr>
          <w:noProof/>
          <w:szCs w:val="24"/>
          <w:lang w:val="fr-CA" w:eastAsia="en-CA"/>
        </w:rPr>
      </w:pPr>
    </w:p>
    <w:p>
      <w:pPr>
        <w:spacing w:line="240" w:lineRule="auto"/>
        <w:ind w:left="1134" w:hanging="567"/>
        <w:rPr>
          <w:noProof/>
          <w:szCs w:val="24"/>
          <w:lang w:val="fr-CA" w:eastAsia="en-CA"/>
        </w:rPr>
      </w:pPr>
      <w:r>
        <w:rPr>
          <w:noProof/>
          <w:szCs w:val="24"/>
          <w:lang w:val="fr-CA" w:eastAsia="en-CA"/>
        </w:rPr>
        <w:t>b) un échange de dette ou tout autre procédé similaire où les détenteurs d’au moins 75 p. 100 du montant total en principal non remboursé de la dette faisant l’objet de la restructuration ont consenti à l’échange de dette ou autre procédé en question;</w:t>
      </w:r>
    </w:p>
    <w:p>
      <w:pPr>
        <w:spacing w:line="240" w:lineRule="auto"/>
        <w:rPr>
          <w:noProof/>
          <w:szCs w:val="24"/>
          <w:lang w:val="fr-CA" w:eastAsia="en-CA"/>
        </w:rPr>
      </w:pPr>
    </w:p>
    <w:p>
      <w:pPr>
        <w:spacing w:line="240" w:lineRule="auto"/>
        <w:ind w:left="567"/>
        <w:rPr>
          <w:noProof/>
          <w:szCs w:val="24"/>
          <w:lang w:val="fr-CA" w:eastAsia="en-CA"/>
        </w:rPr>
      </w:pPr>
      <w:r>
        <w:rPr>
          <w:b/>
          <w:noProof/>
          <w:szCs w:val="24"/>
          <w:lang w:val="fr-CA" w:eastAsia="en-CA"/>
        </w:rPr>
        <w:t>droit applicable</w:t>
      </w:r>
      <w:r>
        <w:rPr>
          <w:noProof/>
          <w:szCs w:val="24"/>
          <w:lang w:val="fr-CA" w:eastAsia="en-CA"/>
        </w:rPr>
        <w:t xml:space="preserve"> à un instrument de la dette désigne la législation d’une juridiction qui est applicable à cet instrument de la dette.</w:t>
      </w:r>
    </w:p>
    <w:p>
      <w:pPr>
        <w:spacing w:line="240" w:lineRule="auto"/>
        <w:rPr>
          <w:noProof/>
          <w:szCs w:val="24"/>
          <w:lang w:val="fr-CA" w:eastAsia="en-CA"/>
        </w:rPr>
      </w:pPr>
    </w:p>
    <w:p>
      <w:pPr>
        <w:spacing w:line="240" w:lineRule="auto"/>
        <w:ind w:left="567" w:hanging="567"/>
        <w:rPr>
          <w:noProof/>
          <w:szCs w:val="24"/>
          <w:lang w:val="fr-CA" w:eastAsia="en-CA"/>
        </w:rPr>
      </w:pPr>
      <w:r>
        <w:rPr>
          <w:noProof/>
          <w:szCs w:val="24"/>
          <w:lang w:val="fr-CA" w:eastAsia="en-CA"/>
        </w:rPr>
        <w:t>2.</w:t>
      </w:r>
      <w:r>
        <w:rPr>
          <w:noProof/>
          <w:szCs w:val="24"/>
          <w:lang w:val="fr-CA" w:eastAsia="en-CA"/>
        </w:rPr>
        <w:tab/>
        <w:t>Aucune plainte selon laquelle une restructuration de la dette d’une Partie constitue une violation d'une obligation au titre des sections C et D ne peut être déposée ou, si elle l’a déjà été, son instruction ne peut être poursuivie conformément à la section F si la restructuration est une restructuration négociée au moment du dépôt de la plainte, ou si elle devient une restructuration négociée après ce dépôt, sauf s’il s’agit d’une plainte alléguant que la restructuration viole l’article 8.6 ou 8.7.</w:t>
      </w:r>
    </w:p>
    <w:p>
      <w:pPr>
        <w:spacing w:line="240" w:lineRule="auto"/>
        <w:rPr>
          <w:noProof/>
          <w:szCs w:val="24"/>
          <w:lang w:val="fr-CA" w:eastAsia="en-CA"/>
        </w:rPr>
      </w:pPr>
    </w:p>
    <w:p>
      <w:pPr>
        <w:spacing w:line="240" w:lineRule="auto"/>
        <w:ind w:left="567" w:hanging="567"/>
        <w:rPr>
          <w:noProof/>
          <w:szCs w:val="24"/>
          <w:lang w:val="fr-CA" w:eastAsia="en-CA"/>
        </w:rPr>
      </w:pPr>
      <w:r>
        <w:rPr>
          <w:noProof/>
          <w:szCs w:val="24"/>
          <w:lang w:val="fr-CA" w:eastAsia="en-CA"/>
        </w:rPr>
        <w:t>3.</w:t>
      </w:r>
      <w:r>
        <w:rPr>
          <w:noProof/>
          <w:szCs w:val="24"/>
          <w:lang w:val="fr-CA" w:eastAsia="en-CA"/>
        </w:rPr>
        <w:tab/>
      </w:r>
      <w:r>
        <w:rPr>
          <w:bCs/>
          <w:noProof/>
          <w:szCs w:val="24"/>
          <w:lang w:val="fr-CA" w:eastAsia="en-CA"/>
        </w:rPr>
        <w:t>Nonobstant l’article 8.22.1 b) et sous réserve du paragraphe 2, un investisseur d’une Partie ne peut déposer, en vertu de la section F, de plainte alléguant que la restructuration de la dette d’une Partie constitue une violation d'une obligation au titre des sections C et D (à l’exception de l’article 8.6 ou 8.7)</w:t>
      </w:r>
      <w:r>
        <w:rPr>
          <w:noProof/>
          <w:szCs w:val="24"/>
          <w:vertAlign w:val="superscript"/>
          <w:lang w:val="fr-CA" w:eastAsia="en-CA"/>
        </w:rPr>
        <w:footnoteReference w:id="1"/>
      </w:r>
      <w:r>
        <w:rPr>
          <w:bCs/>
          <w:noProof/>
          <w:szCs w:val="24"/>
          <w:lang w:val="fr-CA" w:eastAsia="en-CA"/>
        </w:rPr>
        <w:t>, à moins qu’une période de 270 jours ne se soit écoulée depuis la date de la présentation, par le demandeur, de la demande écrite de consultations visée à l’article 8.19</w:t>
      </w:r>
      <w:r>
        <w:rPr>
          <w:noProof/>
          <w:szCs w:val="24"/>
          <w:lang w:val="fr-CA" w:eastAsia="en-CA"/>
        </w:rPr>
        <w:t>.</w:t>
      </w:r>
    </w:p>
    <w:p>
      <w:pPr>
        <w:spacing w:line="240" w:lineRule="auto"/>
        <w:rPr>
          <w:noProof/>
          <w:color w:val="000000"/>
          <w:szCs w:val="24"/>
          <w:lang w:val="fr-CA" w:eastAsia="en-GB"/>
        </w:rPr>
      </w:pPr>
    </w:p>
    <w:p>
      <w:pPr>
        <w:spacing w:line="240" w:lineRule="auto"/>
        <w:ind w:left="567" w:hanging="567"/>
        <w:rPr>
          <w:noProof/>
          <w:szCs w:val="24"/>
          <w:lang w:val="fr-CA" w:eastAsia="en-CA"/>
        </w:rPr>
      </w:pPr>
      <w:r>
        <w:rPr>
          <w:noProof/>
          <w:szCs w:val="24"/>
          <w:lang w:val="fr-CA" w:eastAsia="en-CA"/>
        </w:rPr>
        <w:t>4.</w:t>
      </w:r>
      <w:r>
        <w:rPr>
          <w:noProof/>
          <w:szCs w:val="24"/>
          <w:lang w:val="fr-CA" w:eastAsia="en-CA"/>
        </w:rPr>
        <w:tab/>
        <w:t xml:space="preserve">Il est entendu que la </w:t>
      </w:r>
      <w:r>
        <w:rPr>
          <w:b/>
          <w:noProof/>
          <w:szCs w:val="24"/>
          <w:lang w:val="fr-CA" w:eastAsia="en-CA"/>
        </w:rPr>
        <w:t>dette d’une Partie</w:t>
      </w:r>
      <w:r>
        <w:rPr>
          <w:noProof/>
          <w:szCs w:val="24"/>
          <w:lang w:val="fr-CA" w:eastAsia="en-CA"/>
        </w:rPr>
        <w:t xml:space="preserve"> désigne un instrument de la dette émis par n’importe quel niveau de gouvernement d’une Partie.</w:t>
      </w:r>
    </w:p>
    <w:p>
      <w:pPr>
        <w:spacing w:line="240" w:lineRule="auto"/>
        <w:rPr>
          <w:rFonts w:eastAsiaTheme="minorHAnsi"/>
          <w:noProof/>
          <w:szCs w:val="22"/>
          <w:lang w:val="fr-CA" w:eastAsia="en-CA"/>
        </w:rPr>
      </w:pPr>
      <w:r>
        <w:rPr>
          <w:rFonts w:eastAsiaTheme="minorHAnsi"/>
          <w:noProof/>
          <w:szCs w:val="22"/>
          <w:lang w:val="fr-CA" w:eastAsia="en-CA"/>
        </w:rPr>
        <w:br w:type="page"/>
      </w:r>
    </w:p>
    <w:p>
      <w:pPr>
        <w:spacing w:line="240" w:lineRule="auto"/>
        <w:jc w:val="center"/>
        <w:rPr>
          <w:rFonts w:eastAsia="SimSun"/>
          <w:b/>
          <w:bCs/>
          <w:noProof/>
          <w:u w:val="single"/>
          <w:lang w:eastAsia="ko-KR"/>
        </w:rPr>
      </w:pPr>
      <w:r>
        <w:rPr>
          <w:rFonts w:eastAsia="SimSun"/>
          <w:b/>
          <w:bCs/>
          <w:noProof/>
          <w:u w:val="single"/>
          <w:lang w:eastAsia="zh-CN"/>
        </w:rPr>
        <w:t>ANNEXE 8</w:t>
      </w:r>
      <w:r>
        <w:rPr>
          <w:rFonts w:eastAsia="SimSun"/>
          <w:b/>
          <w:bCs/>
          <w:noProof/>
          <w:u w:val="single"/>
          <w:lang w:eastAsia="zh-CN"/>
        </w:rPr>
        <w:noBreakHyphen/>
        <w:t>C</w:t>
      </w:r>
    </w:p>
    <w:p>
      <w:pPr>
        <w:spacing w:line="240" w:lineRule="auto"/>
        <w:rPr>
          <w:rFonts w:eastAsia="SimSun"/>
          <w:noProof/>
          <w:lang w:eastAsia="zh-CN"/>
        </w:rPr>
      </w:pPr>
    </w:p>
    <w:p>
      <w:pPr>
        <w:spacing w:line="240" w:lineRule="auto"/>
        <w:rPr>
          <w:rFonts w:eastAsia="SimSun"/>
          <w:noProof/>
          <w:lang w:eastAsia="zh-CN"/>
        </w:rPr>
      </w:pPr>
    </w:p>
    <w:p>
      <w:pPr>
        <w:spacing w:line="240" w:lineRule="auto"/>
        <w:jc w:val="center"/>
        <w:rPr>
          <w:rFonts w:eastAsia="SimSun"/>
          <w:b/>
          <w:bCs/>
          <w:noProof/>
          <w:lang w:eastAsia="zh-CN"/>
        </w:rPr>
      </w:pPr>
      <w:bookmarkStart w:id="2" w:name="lt_pId034"/>
      <w:r>
        <w:rPr>
          <w:rFonts w:eastAsia="SimSun"/>
          <w:b/>
          <w:bCs/>
          <w:noProof/>
          <w:lang w:val="fr-CA" w:eastAsia="zh-CN"/>
        </w:rPr>
        <w:t>EXCLUSIONS DU RÈGLEMENT DES DIFFÉRENDS</w:t>
      </w:r>
      <w:bookmarkEnd w:id="2"/>
    </w:p>
    <w:p>
      <w:pPr>
        <w:spacing w:line="240" w:lineRule="auto"/>
        <w:rPr>
          <w:rFonts w:eastAsia="SimSun"/>
          <w:b/>
          <w:bCs/>
          <w:noProof/>
          <w:lang w:eastAsia="zh-CN"/>
        </w:rPr>
      </w:pPr>
    </w:p>
    <w:p>
      <w:pPr>
        <w:spacing w:line="240" w:lineRule="auto"/>
        <w:rPr>
          <w:rFonts w:eastAsia="SimSun"/>
          <w:noProof/>
          <w:lang w:eastAsia="zh-CN"/>
        </w:rPr>
      </w:pPr>
      <w:bookmarkStart w:id="3" w:name="lt_pId035"/>
      <w:r>
        <w:rPr>
          <w:rFonts w:eastAsia="SimSun"/>
          <w:noProof/>
          <w:lang w:val="fr-CA" w:eastAsia="zh-CN"/>
        </w:rPr>
        <w:t xml:space="preserve">Une décision rendue par le Canada à la suite d’un examen mené en vertu de la </w:t>
      </w:r>
      <w:r>
        <w:rPr>
          <w:rFonts w:eastAsia="SimSun"/>
          <w:i/>
          <w:noProof/>
          <w:lang w:val="fr-CA" w:eastAsia="zh-CN"/>
        </w:rPr>
        <w:t>Loi sur Investissement Canada</w:t>
      </w:r>
      <w:r>
        <w:rPr>
          <w:rFonts w:eastAsia="SimSun"/>
          <w:noProof/>
          <w:lang w:val="fr-CA" w:eastAsia="zh-CN"/>
        </w:rPr>
        <w:t>,</w:t>
      </w:r>
      <w:r>
        <w:rPr>
          <w:rFonts w:eastAsia="SimSun"/>
          <w:i/>
          <w:noProof/>
          <w:lang w:val="fr-CA" w:eastAsia="zh-CN"/>
        </w:rPr>
        <w:t xml:space="preserve"> </w:t>
      </w:r>
      <w:r>
        <w:rPr>
          <w:rFonts w:eastAsia="SimSun"/>
          <w:noProof/>
          <w:lang w:val="fr-CA" w:eastAsia="zh-CN"/>
        </w:rPr>
        <w:t>L.R.C. 1985, ch. 28 (1</w:t>
      </w:r>
      <w:r>
        <w:rPr>
          <w:rFonts w:eastAsia="SimSun"/>
          <w:noProof/>
          <w:vertAlign w:val="superscript"/>
          <w:lang w:val="fr-CA" w:eastAsia="zh-CN"/>
        </w:rPr>
        <w:t>er</w:t>
      </w:r>
      <w:r>
        <w:rPr>
          <w:rFonts w:eastAsia="SimSun"/>
          <w:noProof/>
          <w:lang w:val="fr-CA" w:eastAsia="zh-CN"/>
        </w:rPr>
        <w:t> suppl.), en vue de déterminer s’il y a lieu d’autoriser un investissement faisant l'objet de l’examen n’est pas soumise aux dispositions sur le règlement des différends de la section F, ni au chapitre Vingt-neuf (Règlement des différends).</w:t>
      </w:r>
      <w:bookmarkEnd w:id="3"/>
      <w:r>
        <w:rPr>
          <w:rFonts w:eastAsia="SimSun"/>
          <w:noProof/>
          <w:lang w:val="fr-CA" w:eastAsia="zh-CN"/>
        </w:rPr>
        <w:t xml:space="preserve"> Il est entendu que la présente exclusion est sans préjudice du droit d’une Partie de recourir aux dispositions du chapitre Vingt-neuf (Règlement des différends) pour ce qui est de la conformité d’une mesure aux réserves d’une Partie, selon ce qui est prévu par la Partie dans sa liste jointe aux annexes I, II ou III, selon le cas</w:t>
      </w:r>
      <w:r>
        <w:rPr>
          <w:rFonts w:eastAsia="SimSun"/>
          <w:noProof/>
          <w:lang w:eastAsia="zh-CN"/>
        </w:rPr>
        <w:t>.</w:t>
      </w:r>
    </w:p>
    <w:p>
      <w:pPr>
        <w:spacing w:line="240" w:lineRule="auto"/>
        <w:rPr>
          <w:rFonts w:eastAsia="SimSun"/>
          <w:noProof/>
          <w:lang w:eastAsia="zh-CN"/>
        </w:rPr>
      </w:pPr>
    </w:p>
    <w:p>
      <w:pPr>
        <w:spacing w:line="240" w:lineRule="auto"/>
        <w:rPr>
          <w:rFonts w:eastAsia="SimSun"/>
          <w:noProof/>
          <w:lang w:eastAsia="zh-CN"/>
        </w:rPr>
      </w:pPr>
    </w:p>
    <w:p>
      <w:pPr>
        <w:widowControl/>
        <w:spacing w:line="240" w:lineRule="auto"/>
        <w:rPr>
          <w:rFonts w:eastAsia="SimSun"/>
          <w:b/>
          <w:bCs/>
          <w:noProof/>
          <w:szCs w:val="24"/>
          <w:u w:val="single"/>
          <w:lang w:eastAsia="zh-CN"/>
        </w:rPr>
      </w:pPr>
      <w:r>
        <w:rPr>
          <w:rFonts w:eastAsia="SimSun"/>
          <w:b/>
          <w:bCs/>
          <w:noProof/>
          <w:szCs w:val="24"/>
          <w:u w:val="single"/>
          <w:lang w:eastAsia="zh-CN"/>
        </w:rPr>
        <w:br w:type="page"/>
      </w:r>
    </w:p>
    <w:p>
      <w:pPr>
        <w:spacing w:line="240" w:lineRule="auto"/>
        <w:jc w:val="center"/>
        <w:rPr>
          <w:rFonts w:eastAsia="SimSun"/>
          <w:b/>
          <w:bCs/>
          <w:noProof/>
          <w:u w:val="single"/>
          <w:lang w:eastAsia="zh-CN"/>
        </w:rPr>
      </w:pPr>
      <w:r>
        <w:rPr>
          <w:rFonts w:eastAsia="SimSun"/>
          <w:b/>
          <w:bCs/>
          <w:noProof/>
          <w:u w:val="single"/>
          <w:lang w:eastAsia="zh-CN"/>
        </w:rPr>
        <w:t>ANNEXE 8</w:t>
      </w:r>
      <w:r>
        <w:rPr>
          <w:rFonts w:eastAsia="SimSun"/>
          <w:b/>
          <w:bCs/>
          <w:noProof/>
          <w:u w:val="single"/>
          <w:lang w:eastAsia="zh-CN"/>
        </w:rPr>
        <w:noBreakHyphen/>
        <w:t>D</w:t>
      </w:r>
    </w:p>
    <w:p>
      <w:pPr>
        <w:spacing w:line="240" w:lineRule="auto"/>
        <w:jc w:val="center"/>
        <w:rPr>
          <w:rFonts w:eastAsia="SimSun"/>
          <w:caps/>
          <w:noProof/>
          <w:lang w:eastAsia="zh-CN"/>
        </w:rPr>
      </w:pPr>
    </w:p>
    <w:p>
      <w:pPr>
        <w:spacing w:line="240" w:lineRule="auto"/>
        <w:jc w:val="center"/>
        <w:rPr>
          <w:rFonts w:eastAsia="SimSun"/>
          <w:caps/>
          <w:noProof/>
          <w:lang w:eastAsia="zh-CN"/>
        </w:rPr>
      </w:pPr>
    </w:p>
    <w:p>
      <w:pPr>
        <w:spacing w:line="240" w:lineRule="auto"/>
        <w:jc w:val="center"/>
        <w:rPr>
          <w:rFonts w:eastAsia="SimSun"/>
          <w:b/>
          <w:bCs/>
          <w:caps/>
          <w:noProof/>
          <w:lang w:eastAsia="zh-CN"/>
        </w:rPr>
      </w:pPr>
      <w:bookmarkStart w:id="4" w:name="lt_pId039"/>
      <w:r>
        <w:rPr>
          <w:rFonts w:eastAsia="SimSun"/>
          <w:b/>
          <w:caps/>
          <w:noProof/>
          <w:szCs w:val="24"/>
          <w:lang w:val="fr-CA" w:eastAsia="zh-CN"/>
        </w:rPr>
        <w:t>DÉCLARATION COMMUNE CONCERNANT L’ARTICLE 8.12.6</w:t>
      </w:r>
      <w:bookmarkEnd w:id="4"/>
    </w:p>
    <w:p>
      <w:pPr>
        <w:spacing w:line="240" w:lineRule="auto"/>
        <w:rPr>
          <w:rFonts w:eastAsia="Calibri"/>
          <w:iCs/>
          <w:noProof/>
          <w:lang w:eastAsia="en-GB"/>
        </w:rPr>
      </w:pPr>
    </w:p>
    <w:p>
      <w:pPr>
        <w:spacing w:line="240" w:lineRule="auto"/>
        <w:rPr>
          <w:rFonts w:eastAsia="Calibri"/>
          <w:iCs/>
          <w:noProof/>
          <w:lang w:eastAsia="en-GB"/>
        </w:rPr>
      </w:pPr>
      <w:r>
        <w:rPr>
          <w:rFonts w:eastAsia="Calibri"/>
          <w:iCs/>
          <w:noProof/>
          <w:szCs w:val="24"/>
          <w:lang w:val="fr-CA" w:eastAsia="en-GB"/>
        </w:rPr>
        <w:t>Conscientes que le Tribunal chargé du règlement des différends relatifs aux investissements entre investisseurs et États a vocation à assurer l’exécution des obligations prévues à l’article 8.18.1, et qu’il ne constitue pas un mécanisme d’appel contre les décisions des tribunaux nationaux, les Parties rappellent que les tribunaux nationaux de chaque Partie ont la responsabilité de statuer sur l’existence et la validité des droits de propriété intellectuelle</w:t>
      </w:r>
      <w:bookmarkStart w:id="5" w:name="lt_pId041"/>
      <w:r>
        <w:rPr>
          <w:rFonts w:eastAsia="Calibri"/>
          <w:iCs/>
          <w:noProof/>
          <w:szCs w:val="24"/>
          <w:lang w:val="fr-CA" w:eastAsia="en-GB"/>
        </w:rPr>
        <w:t>. Les Parties reconnaissent en outre que chaque Partie est libre de déterminer la méthode appropriée pour la mise en œuvre des dispositions du présent accord en matière de propriété intellectuelle dans le cadre de son système et de ses pratiques juridiques.</w:t>
      </w:r>
      <w:bookmarkEnd w:id="5"/>
      <w:r>
        <w:rPr>
          <w:rFonts w:eastAsia="Calibri"/>
          <w:iCs/>
          <w:noProof/>
          <w:szCs w:val="24"/>
          <w:lang w:val="fr-CA" w:eastAsia="en-GB"/>
        </w:rPr>
        <w:t xml:space="preserve"> Les Parties conviennent de réexaminer la relation entre les droits de propriété intellectuelle et les disciplines relatives à l’investissement dans les trois ans suivant l’entrée en vigueur du présent accord ou à la demande d’une Partie. À la suite de ce réexamen et dans la mesure où cela est nécessaire, les Parties peuvent publier des interprétations contraignantes afin de garantir que la portée de la protection accordée aux investissements au titre du présent accord soit interprétée correctement, conformément aux dispositions de l’article 8.31.3</w:t>
      </w:r>
      <w:r>
        <w:rPr>
          <w:rFonts w:eastAsia="Calibri"/>
          <w:iCs/>
          <w:noProof/>
          <w:szCs w:val="24"/>
          <w:lang w:eastAsia="en-GB"/>
        </w:rPr>
        <w:t>.</w:t>
      </w:r>
    </w:p>
    <w:p>
      <w:pPr>
        <w:widowControl/>
        <w:spacing w:line="240" w:lineRule="auto"/>
        <w:jc w:val="both"/>
        <w:rPr>
          <w:rFonts w:eastAsia="Calibri"/>
          <w:iCs/>
          <w:noProof/>
          <w:szCs w:val="24"/>
          <w:lang w:eastAsia="en-GB"/>
        </w:rPr>
      </w:pPr>
    </w:p>
    <w:p>
      <w:pPr>
        <w:widowControl/>
        <w:spacing w:line="240" w:lineRule="auto"/>
        <w:jc w:val="both"/>
        <w:rPr>
          <w:rFonts w:eastAsia="Calibri"/>
          <w:iCs/>
          <w:noProof/>
          <w:szCs w:val="24"/>
          <w:lang w:eastAsia="en-GB"/>
        </w:rPr>
      </w:pPr>
    </w:p>
    <w:p>
      <w:pPr>
        <w:widowControl/>
        <w:spacing w:line="240" w:lineRule="auto"/>
        <w:rPr>
          <w:rFonts w:eastAsia="SimSun"/>
          <w:b/>
          <w:bCs/>
          <w:noProof/>
          <w:szCs w:val="24"/>
          <w:u w:val="single"/>
          <w:lang w:eastAsia="zh-CN"/>
        </w:rPr>
      </w:pPr>
      <w:r>
        <w:rPr>
          <w:rFonts w:eastAsia="SimSun"/>
          <w:b/>
          <w:bCs/>
          <w:noProof/>
          <w:szCs w:val="24"/>
          <w:u w:val="single"/>
          <w:lang w:eastAsia="zh-CN"/>
        </w:rPr>
        <w:br w:type="page"/>
      </w:r>
    </w:p>
    <w:p>
      <w:pPr>
        <w:spacing w:line="240" w:lineRule="auto"/>
        <w:jc w:val="center"/>
        <w:rPr>
          <w:rFonts w:eastAsia="SimSun"/>
          <w:b/>
          <w:bCs/>
          <w:noProof/>
          <w:u w:val="single"/>
          <w:lang w:eastAsia="zh-CN"/>
        </w:rPr>
      </w:pPr>
      <w:r>
        <w:rPr>
          <w:rFonts w:eastAsia="SimSun"/>
          <w:b/>
          <w:bCs/>
          <w:noProof/>
          <w:u w:val="single"/>
          <w:lang w:eastAsia="zh-CN"/>
        </w:rPr>
        <w:t>ANNEXE 8</w:t>
      </w:r>
      <w:r>
        <w:rPr>
          <w:rFonts w:eastAsia="SimSun"/>
          <w:b/>
          <w:bCs/>
          <w:noProof/>
          <w:u w:val="single"/>
          <w:lang w:eastAsia="zh-CN"/>
        </w:rPr>
        <w:noBreakHyphen/>
        <w:t>E</w:t>
      </w:r>
    </w:p>
    <w:p>
      <w:pPr>
        <w:spacing w:line="240" w:lineRule="auto"/>
        <w:rPr>
          <w:caps/>
          <w:noProof/>
          <w:color w:val="000000"/>
          <w:lang w:eastAsia="en-US"/>
        </w:rPr>
      </w:pPr>
    </w:p>
    <w:p>
      <w:pPr>
        <w:spacing w:line="240" w:lineRule="auto"/>
        <w:rPr>
          <w:caps/>
          <w:noProof/>
          <w:color w:val="000000"/>
          <w:lang w:eastAsia="en-US"/>
        </w:rPr>
      </w:pPr>
    </w:p>
    <w:p>
      <w:pPr>
        <w:spacing w:line="240" w:lineRule="auto"/>
        <w:jc w:val="center"/>
        <w:rPr>
          <w:b/>
          <w:bCs/>
          <w:noProof/>
          <w:color w:val="000000"/>
          <w:lang w:eastAsia="en-US"/>
        </w:rPr>
      </w:pPr>
      <w:bookmarkStart w:id="6" w:name="lt_pId045"/>
      <w:r>
        <w:rPr>
          <w:b/>
          <w:caps/>
          <w:noProof/>
          <w:color w:val="000000"/>
          <w:lang w:val="fr-CA"/>
        </w:rPr>
        <w:t>DÉCLARATION COMMUNE concernant LES ARTICLES 8.16, 9.8 ET 28.6</w:t>
      </w:r>
      <w:bookmarkEnd w:id="6"/>
    </w:p>
    <w:p>
      <w:pPr>
        <w:spacing w:line="240" w:lineRule="auto"/>
        <w:rPr>
          <w:rFonts w:eastAsia="SimSun"/>
          <w:iCs/>
          <w:noProof/>
          <w:lang w:eastAsia="zh-CN"/>
        </w:rPr>
      </w:pPr>
    </w:p>
    <w:p>
      <w:pPr>
        <w:spacing w:line="240" w:lineRule="auto"/>
        <w:rPr>
          <w:rFonts w:eastAsia="SimSun"/>
          <w:iCs/>
          <w:noProof/>
          <w:lang w:eastAsia="zh-CN"/>
        </w:rPr>
      </w:pPr>
      <w:r>
        <w:rPr>
          <w:rFonts w:eastAsia="SimSun"/>
          <w:iCs/>
          <w:noProof/>
          <w:szCs w:val="24"/>
          <w:lang w:val="fr-CA" w:eastAsia="zh-CN"/>
        </w:rPr>
        <w:t>En ce qui concerne les articles 8.16, 9.8 (Refus d’accorder des avantages) et 28.6 (Sécurité nationale), les Parties confirment que les mesures qui concernent « le maintien de la paix et de la sécurité internationales » incluent la protection des droits de l’homme</w:t>
      </w:r>
      <w:r>
        <w:rPr>
          <w:rFonts w:eastAsia="SimSun"/>
          <w:iCs/>
          <w:noProof/>
          <w:szCs w:val="24"/>
          <w:lang w:eastAsia="zh-CN"/>
        </w:rPr>
        <w:t>.</w:t>
      </w:r>
    </w:p>
    <w:p>
      <w:pPr>
        <w:widowControl/>
        <w:spacing w:line="240" w:lineRule="auto"/>
        <w:jc w:val="center"/>
        <w:rPr>
          <w:rFonts w:eastAsiaTheme="minorHAnsi"/>
          <w:noProof/>
          <w:szCs w:val="22"/>
          <w:lang w:eastAsia="en-US"/>
        </w:rPr>
      </w:pPr>
    </w:p>
    <w:p>
      <w:pPr>
        <w:widowControl/>
        <w:spacing w:line="240" w:lineRule="auto"/>
        <w:jc w:val="center"/>
        <w:rPr>
          <w:rFonts w:eastAsiaTheme="minorHAnsi"/>
          <w:noProof/>
          <w:szCs w:val="22"/>
          <w:lang w:eastAsia="en-US"/>
        </w:rPr>
      </w:pPr>
    </w:p>
    <w:p>
      <w:pPr>
        <w:spacing w:line="240" w:lineRule="auto"/>
        <w:jc w:val="center"/>
        <w:rPr>
          <w:rFonts w:ascii="Times New Roman Bold" w:hAnsi="Times New Roman Bold"/>
          <w:b/>
          <w:bCs/>
          <w:caps/>
          <w:noProof/>
          <w:u w:val="single"/>
          <w:lang w:eastAsia="en-CA"/>
        </w:rPr>
      </w:pPr>
      <w:r>
        <w:rPr>
          <w:rFonts w:eastAsia="SimSun"/>
          <w:iCs/>
          <w:noProof/>
          <w:lang w:eastAsia="zh-CN"/>
        </w:rPr>
        <w:br w:type="page"/>
      </w:r>
      <w:r>
        <w:rPr>
          <w:rFonts w:eastAsia="SimSun"/>
          <w:b/>
          <w:bCs/>
          <w:noProof/>
          <w:u w:val="single"/>
          <w:lang w:eastAsia="zh-CN"/>
        </w:rPr>
        <w:t>ANNEXE 8</w:t>
      </w:r>
      <w:r>
        <w:rPr>
          <w:rFonts w:eastAsia="SimSun"/>
          <w:b/>
          <w:bCs/>
          <w:noProof/>
          <w:u w:val="single"/>
          <w:lang w:eastAsia="zh-CN"/>
        </w:rPr>
        <w:noBreakHyphen/>
        <w:t>F</w:t>
      </w:r>
    </w:p>
    <w:p>
      <w:pPr>
        <w:spacing w:line="240" w:lineRule="auto"/>
        <w:jc w:val="center"/>
        <w:rPr>
          <w:caps/>
          <w:noProof/>
          <w:lang w:eastAsia="en-CA"/>
        </w:rPr>
      </w:pPr>
    </w:p>
    <w:p>
      <w:pPr>
        <w:spacing w:line="240" w:lineRule="auto"/>
        <w:jc w:val="center"/>
        <w:rPr>
          <w:caps/>
          <w:noProof/>
          <w:lang w:eastAsia="en-CA"/>
        </w:rPr>
      </w:pPr>
    </w:p>
    <w:p>
      <w:pPr>
        <w:spacing w:line="240" w:lineRule="auto"/>
        <w:jc w:val="center"/>
        <w:rPr>
          <w:b/>
          <w:bCs/>
          <w:caps/>
          <w:noProof/>
          <w:lang w:eastAsia="en-CA"/>
        </w:rPr>
      </w:pPr>
      <w:r>
        <w:rPr>
          <w:b/>
          <w:bCs/>
          <w:caps/>
          <w:noProof/>
          <w:lang w:val="fr-CA" w:eastAsia="en-CA"/>
        </w:rPr>
        <w:t xml:space="preserve">DÉCLARATION DU CANADA CONCERNANT LA </w:t>
      </w:r>
      <w:r>
        <w:rPr>
          <w:b/>
          <w:bCs/>
          <w:i/>
          <w:caps/>
          <w:noProof/>
          <w:lang w:val="fr-CA" w:eastAsia="en-CA"/>
        </w:rPr>
        <w:t>LOI SUR INVESTISSEMENT CANADA</w:t>
      </w:r>
    </w:p>
    <w:p>
      <w:pPr>
        <w:spacing w:line="240" w:lineRule="auto"/>
        <w:rPr>
          <w:rFonts w:eastAsiaTheme="minorHAnsi"/>
          <w:noProof/>
          <w:szCs w:val="22"/>
          <w:lang w:eastAsia="en-US"/>
        </w:rPr>
      </w:pPr>
    </w:p>
    <w:p>
      <w:pPr>
        <w:spacing w:line="240" w:lineRule="auto"/>
        <w:rPr>
          <w:rFonts w:eastAsia="Arial"/>
          <w:noProof/>
          <w:szCs w:val="22"/>
          <w:lang w:eastAsia="en-US"/>
        </w:rPr>
      </w:pPr>
      <w:r>
        <w:rPr>
          <w:rFonts w:eastAsiaTheme="minorHAnsi"/>
          <w:noProof/>
          <w:szCs w:val="22"/>
          <w:lang w:val="fr-CA" w:eastAsia="en-US"/>
        </w:rPr>
        <w:t xml:space="preserve">Le Canada relèvera le seuil d’examen au titre de la </w:t>
      </w:r>
      <w:r>
        <w:rPr>
          <w:rFonts w:eastAsiaTheme="minorHAnsi"/>
          <w:i/>
          <w:noProof/>
          <w:szCs w:val="22"/>
          <w:lang w:val="fr-CA" w:eastAsia="en-US"/>
        </w:rPr>
        <w:t>Loi sur Investissement Canada</w:t>
      </w:r>
      <w:r>
        <w:rPr>
          <w:rFonts w:eastAsiaTheme="minorHAnsi"/>
          <w:noProof/>
          <w:szCs w:val="22"/>
          <w:lang w:val="fr-CA" w:eastAsia="en-US"/>
        </w:rPr>
        <w:t>, L.R.C. 1985, ch. 28 (1</w:t>
      </w:r>
      <w:r>
        <w:rPr>
          <w:rFonts w:eastAsiaTheme="minorHAnsi"/>
          <w:noProof/>
          <w:szCs w:val="22"/>
          <w:vertAlign w:val="superscript"/>
          <w:lang w:val="fr-CA" w:eastAsia="en-US"/>
        </w:rPr>
        <w:t>er</w:t>
      </w:r>
      <w:r>
        <w:rPr>
          <w:rFonts w:eastAsiaTheme="minorHAnsi"/>
          <w:noProof/>
          <w:szCs w:val="22"/>
          <w:lang w:val="fr-CA" w:eastAsia="en-US"/>
        </w:rPr>
        <w:t> suppl.) (« LIC ») à 1,5 milliard de dollars canadiens dès la mise en œuvre du présent accord</w:t>
      </w:r>
    </w:p>
    <w:p>
      <w:pPr>
        <w:spacing w:line="240" w:lineRule="auto"/>
        <w:rPr>
          <w:rFonts w:eastAsiaTheme="minorHAnsi"/>
          <w:noProof/>
          <w:szCs w:val="22"/>
          <w:lang w:eastAsia="en-US"/>
        </w:rPr>
      </w:pPr>
    </w:p>
    <w:p>
      <w:pPr>
        <w:spacing w:line="240" w:lineRule="auto"/>
        <w:rPr>
          <w:rFonts w:eastAsiaTheme="minorHAnsi"/>
          <w:noProof/>
          <w:szCs w:val="22"/>
          <w:lang w:eastAsia="en-US"/>
        </w:rPr>
      </w:pPr>
      <w:r>
        <w:rPr>
          <w:rFonts w:eastAsiaTheme="minorHAnsi"/>
          <w:noProof/>
          <w:szCs w:val="22"/>
          <w:lang w:val="fr-CA" w:eastAsia="en-US"/>
        </w:rPr>
        <w:t>Toute modification apportée ultérieurement à la LIC serait soumise à l’exigence voulant qu’elle ne puisse pas diminuer la conformité de la LIC aux obligations en matière d’investissement prévues par le présent accord</w:t>
      </w:r>
      <w:r>
        <w:rPr>
          <w:rFonts w:eastAsiaTheme="minorHAnsi"/>
          <w:noProof/>
          <w:szCs w:val="22"/>
          <w:lang w:eastAsia="en-US"/>
        </w:rPr>
        <w:t>.</w:t>
      </w:r>
    </w:p>
    <w:p>
      <w:pPr>
        <w:spacing w:line="240" w:lineRule="auto"/>
        <w:rPr>
          <w:rFonts w:eastAsia="Arial"/>
          <w:i/>
          <w:iCs/>
          <w:noProof/>
          <w:szCs w:val="22"/>
          <w:lang w:eastAsia="en-US"/>
        </w:rPr>
      </w:pPr>
    </w:p>
    <w:p>
      <w:pPr>
        <w:spacing w:line="240" w:lineRule="auto"/>
        <w:rPr>
          <w:rFonts w:eastAsiaTheme="minorHAnsi"/>
          <w:iCs/>
          <w:noProof/>
          <w:szCs w:val="22"/>
          <w:lang w:eastAsia="en-US"/>
        </w:rPr>
      </w:pPr>
      <w:r>
        <w:rPr>
          <w:noProof/>
          <w:lang w:val="fr-CA"/>
        </w:rPr>
        <w:t xml:space="preserve">Conformément à la réserve du Canada concernant la LIC (annexe I-C-1), le seuil plus élevé s’appliquera à l’acquisition d’une entreprise canadienne par un investisseur de l’Union européenne qui n’est pas une entreprise d’État. </w:t>
      </w:r>
      <w:r>
        <w:rPr>
          <w:bCs/>
          <w:noProof/>
          <w:lang w:val="fr-CA"/>
        </w:rPr>
        <w:t>La détermination selon laquelle l</w:t>
      </w:r>
      <w:r>
        <w:rPr>
          <w:noProof/>
          <w:lang w:val="fr-CA"/>
        </w:rPr>
        <w:t>’acquéreur est un investisseur de l’Union européenne serait fondée sur la question de savoir si un ressortissant de l’Union européenne exerce un contrôle de droit sur l’acquéreur ou, en l’absence de participation majoritaire, sur la question de savoir si des ressortissants de l’Union européenne exercent un contrôle de fait sur l’acquéreur, par exemple en raison de leur participation au capital avec droit de vote ou de la nationalité des membres du conseil d’administration.</w:t>
      </w:r>
      <w:r>
        <w:rPr>
          <w:iCs/>
          <w:noProof/>
          <w:lang w:val="fr-CA"/>
        </w:rPr>
        <w:t xml:space="preserve"> </w:t>
      </w:r>
      <w:r>
        <w:rPr>
          <w:noProof/>
          <w:lang w:val="fr-CA"/>
        </w:rPr>
        <w:t>En outre, les entreprises de l’Union européenne qui sont contrôlées par des ressortissants de pays auprès desquels le Canada a contracté des engagements en matière d’investissement au titre d’accords de libre-échange existants bénéficieraient elles aussi du seuil plus élevé</w:t>
      </w:r>
      <w:r>
        <w:rPr>
          <w:noProof/>
        </w:rPr>
        <w:t>.</w:t>
      </w:r>
    </w:p>
    <w:p>
      <w:pPr>
        <w:spacing w:line="240" w:lineRule="auto"/>
        <w:rPr>
          <w:rFonts w:eastAsiaTheme="minorHAnsi"/>
          <w:noProof/>
          <w:szCs w:val="22"/>
          <w:lang w:eastAsia="en-US"/>
        </w:rPr>
      </w:pPr>
    </w:p>
    <w:p>
      <w:pPr>
        <w:spacing w:line="240" w:lineRule="auto"/>
        <w:rPr>
          <w:rFonts w:eastAsia="Arial"/>
          <w:noProof/>
          <w:szCs w:val="22"/>
          <w:lang w:eastAsia="en-US"/>
        </w:rPr>
      </w:pPr>
      <w:r>
        <w:rPr>
          <w:rFonts w:eastAsiaTheme="minorHAnsi"/>
          <w:noProof/>
          <w:szCs w:val="22"/>
          <w:lang w:val="fr-CA" w:eastAsia="en-US"/>
        </w:rPr>
        <w:t>Le Canada apportera les modifications nécessaires à la LIC pour permettre la prise d’effet du seuil d’examen plus élevé mentionné ci-dessus dès l’entrée en vigueur du présent accord</w:t>
      </w:r>
      <w:r>
        <w:rPr>
          <w:rFonts w:eastAsiaTheme="minorHAnsi"/>
          <w:noProof/>
          <w:szCs w:val="22"/>
          <w:lang w:eastAsia="en-US"/>
        </w:rPr>
        <w:t>.</w:t>
      </w:r>
    </w:p>
    <w:p>
      <w:pPr>
        <w:spacing w:line="240" w:lineRule="auto"/>
        <w:rPr>
          <w:rFonts w:eastAsiaTheme="minorHAnsi"/>
          <w:noProof/>
          <w:szCs w:val="22"/>
          <w:lang w:eastAsia="en-US"/>
        </w:rPr>
      </w:pPr>
    </w:p>
    <w:p>
      <w:pPr>
        <w:spacing w:line="240" w:lineRule="auto"/>
        <w:rPr>
          <w:rFonts w:eastAsiaTheme="minorHAnsi"/>
          <w:noProof/>
          <w:szCs w:val="22"/>
          <w:lang w:eastAsia="en-US"/>
        </w:rPr>
      </w:pPr>
    </w:p>
    <w:p>
      <w:pPr>
        <w:spacing w:line="240" w:lineRule="auto"/>
        <w:rPr>
          <w:rFonts w:eastAsia="Calibri"/>
          <w:smallCaps/>
          <w:noProof/>
          <w:sz w:val="28"/>
          <w:szCs w:val="28"/>
          <w:lang w:eastAsia="en-US"/>
        </w:rPr>
      </w:pPr>
      <w:r>
        <w:rPr>
          <w:rFonts w:eastAsia="Calibri"/>
          <w:smallCaps/>
          <w:noProof/>
          <w:sz w:val="28"/>
          <w:szCs w:val="28"/>
          <w:lang w:eastAsia="en-US"/>
        </w:rPr>
        <w:br w:type="page"/>
      </w:r>
    </w:p>
    <w:p>
      <w:pPr>
        <w:spacing w:line="240" w:lineRule="auto"/>
        <w:jc w:val="center"/>
        <w:rPr>
          <w:rFonts w:eastAsia="Calibri"/>
          <w:b/>
          <w:bCs/>
          <w:noProof/>
          <w:u w:val="single"/>
          <w:lang w:val="fr-FR" w:eastAsia="en-US"/>
        </w:rPr>
      </w:pPr>
      <w:r>
        <w:rPr>
          <w:rFonts w:eastAsia="Calibri"/>
          <w:b/>
          <w:bCs/>
          <w:noProof/>
          <w:u w:val="single"/>
          <w:lang w:val="fr-FR" w:eastAsia="en-US"/>
        </w:rPr>
        <w:t>ANNEXE 9</w:t>
      </w:r>
      <w:r>
        <w:rPr>
          <w:rFonts w:eastAsia="Calibri"/>
          <w:b/>
          <w:bCs/>
          <w:noProof/>
          <w:u w:val="single"/>
          <w:lang w:val="fr-FR" w:eastAsia="en-US"/>
        </w:rPr>
        <w:noBreakHyphen/>
        <w:t>A</w:t>
      </w:r>
    </w:p>
    <w:p>
      <w:pPr>
        <w:spacing w:line="240" w:lineRule="auto"/>
        <w:rPr>
          <w:rFonts w:eastAsiaTheme="minorHAnsi"/>
          <w:noProof/>
          <w:szCs w:val="22"/>
          <w:lang w:val="fr-FR" w:eastAsia="en-US"/>
        </w:rPr>
      </w:pPr>
    </w:p>
    <w:p>
      <w:pPr>
        <w:spacing w:line="240" w:lineRule="auto"/>
        <w:rPr>
          <w:rFonts w:eastAsiaTheme="minorHAnsi"/>
          <w:noProof/>
          <w:szCs w:val="22"/>
          <w:lang w:val="fr-FR" w:eastAsia="en-US"/>
        </w:rPr>
      </w:pPr>
    </w:p>
    <w:p>
      <w:pPr>
        <w:spacing w:line="240" w:lineRule="auto"/>
        <w:jc w:val="center"/>
        <w:rPr>
          <w:rFonts w:eastAsiaTheme="minorHAnsi"/>
          <w:b/>
          <w:bCs/>
          <w:noProof/>
          <w:szCs w:val="22"/>
          <w:lang w:val="fr-FR" w:eastAsia="en-US"/>
        </w:rPr>
      </w:pPr>
      <w:r>
        <w:rPr>
          <w:b/>
          <w:noProof/>
          <w:lang w:val="fr-CA"/>
        </w:rPr>
        <w:t>ACCORD SUR LE TRAITEMENT NATIONAL CONCERNANT</w:t>
      </w:r>
      <w:r>
        <w:rPr>
          <w:b/>
          <w:noProof/>
          <w:lang w:val="fr-CA"/>
        </w:rPr>
        <w:br/>
        <w:t>LA FOURNITURE TRANSFRONTIÈRES DES SERVICES</w:t>
      </w:r>
    </w:p>
    <w:p>
      <w:pPr>
        <w:spacing w:line="240" w:lineRule="auto"/>
        <w:rPr>
          <w:rFonts w:eastAsiaTheme="minorHAnsi"/>
          <w:b/>
          <w:bCs/>
          <w:noProof/>
          <w:szCs w:val="22"/>
          <w:lang w:val="fr-FR" w:eastAsia="en-US"/>
        </w:rPr>
      </w:pPr>
    </w:p>
    <w:p>
      <w:pPr>
        <w:spacing w:line="240" w:lineRule="auto"/>
        <w:ind w:left="567" w:hanging="567"/>
        <w:rPr>
          <w:rFonts w:eastAsiaTheme="minorHAnsi"/>
          <w:noProof/>
          <w:szCs w:val="22"/>
          <w:lang w:val="fr-FR" w:eastAsia="en-US"/>
        </w:rPr>
      </w:pPr>
      <w:r>
        <w:rPr>
          <w:noProof/>
          <w:lang w:val="fr-FR"/>
        </w:rPr>
        <w:t>1.</w:t>
      </w:r>
      <w:r>
        <w:rPr>
          <w:noProof/>
          <w:lang w:val="fr-FR"/>
        </w:rPr>
        <w:tab/>
      </w:r>
      <w:r>
        <w:rPr>
          <w:noProof/>
          <w:szCs w:val="24"/>
          <w:lang w:val="fr-CA" w:eastAsia="fr-CA"/>
        </w:rPr>
        <w:t>La Partie UE et le Canada conviennent de ce qui suit concernant l’application de l’article 9.3 au traitement accordé par un gouvernement provincial ou territorial du Canada, ou par un gouvernement d’un État membre ou dans un État membre de l’Union européenne relativement à la fourniture transfrontières des services au sens de l’article 9.1, ou à la fourniture d’un service par une personne physique d’une Partie sur le territoire de l’autre Partie</w:t>
      </w:r>
      <w:r>
        <w:rPr>
          <w:noProof/>
          <w:lang w:val="fr-CA"/>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noProof/>
          <w:lang w:val="fr-FR"/>
        </w:rPr>
        <w:t>2.</w:t>
      </w:r>
      <w:r>
        <w:rPr>
          <w:noProof/>
          <w:lang w:val="fr-FR"/>
        </w:rPr>
        <w:tab/>
      </w:r>
      <w:r>
        <w:rPr>
          <w:noProof/>
          <w:szCs w:val="24"/>
          <w:lang w:val="fr-CA" w:eastAsia="fr-CA"/>
        </w:rPr>
        <w:t>En vertu de l’article 9.3, un traitement « </w:t>
      </w:r>
      <w:r>
        <w:rPr>
          <w:iCs/>
          <w:noProof/>
          <w:szCs w:val="24"/>
          <w:lang w:val="fr-CA" w:eastAsia="fr-CA"/>
        </w:rPr>
        <w:t>non moins favorable que le traitement le plus favorable accordé par ce gouvernement, dans des situations similaires, à ses propres fournisseurs de services et ses propres services</w:t>
      </w:r>
      <w:r>
        <w:rPr>
          <w:noProof/>
          <w:szCs w:val="24"/>
          <w:lang w:val="fr-CA" w:eastAsia="fr-CA"/>
        </w:rPr>
        <w:t xml:space="preserve"> » ne s’applique pas à une personne de l’autre Partie, ou à un service fourni par une telle personne, lorsque les conditions suivantes sont réunies </w:t>
      </w:r>
      <w:r>
        <w:rPr>
          <w:noProof/>
          <w:lang w:val="fr-CA"/>
        </w:rPr>
        <w:t>:</w:t>
      </w:r>
    </w:p>
    <w:p>
      <w:pPr>
        <w:spacing w:line="240" w:lineRule="auto"/>
        <w:ind w:left="567" w:hanging="567"/>
        <w:rPr>
          <w:rFonts w:eastAsiaTheme="minorHAnsi"/>
          <w:noProof/>
          <w:szCs w:val="22"/>
          <w:lang w:val="fr-FR" w:eastAsia="en-US"/>
        </w:rPr>
      </w:pPr>
    </w:p>
    <w:p>
      <w:pPr>
        <w:spacing w:line="240" w:lineRule="auto"/>
        <w:ind w:left="1134" w:hanging="567"/>
        <w:rPr>
          <w:rFonts w:eastAsiaTheme="minorHAnsi"/>
          <w:noProof/>
          <w:szCs w:val="22"/>
          <w:lang w:val="fr-FR" w:eastAsia="en-US"/>
        </w:rPr>
      </w:pPr>
      <w:r>
        <w:rPr>
          <w:rFonts w:eastAsiaTheme="minorHAnsi"/>
          <w:noProof/>
          <w:szCs w:val="22"/>
          <w:lang w:val="fr-FR" w:eastAsia="en-US"/>
        </w:rPr>
        <w:t>a)</w:t>
      </w:r>
      <w:r>
        <w:rPr>
          <w:rFonts w:eastAsiaTheme="minorHAnsi"/>
          <w:noProof/>
          <w:szCs w:val="22"/>
          <w:lang w:val="fr-FR" w:eastAsia="en-US"/>
        </w:rPr>
        <w:tab/>
      </w:r>
      <w:r>
        <w:rPr>
          <w:noProof/>
          <w:szCs w:val="24"/>
          <w:lang w:val="fr-CA" w:eastAsia="fr-CA"/>
        </w:rPr>
        <w:t>dans le cas du Canada, un gouvernement provincial ou territorial du Canada accorde un traitement plus favorable à un fournisseur de services qui est une personne d’un autre gouvernement provincial ou territorial du Canada, ou à un service fourni par un tel fournisseur;</w:t>
      </w:r>
    </w:p>
    <w:p>
      <w:pPr>
        <w:spacing w:line="240" w:lineRule="auto"/>
        <w:ind w:left="1134" w:hanging="567"/>
        <w:rPr>
          <w:rFonts w:eastAsiaTheme="minorHAnsi"/>
          <w:noProof/>
          <w:szCs w:val="22"/>
          <w:lang w:val="fr-FR" w:eastAsia="en-US"/>
        </w:rPr>
      </w:pPr>
    </w:p>
    <w:p>
      <w:pPr>
        <w:spacing w:line="240" w:lineRule="auto"/>
        <w:ind w:left="1134" w:hanging="567"/>
        <w:rPr>
          <w:rFonts w:eastAsiaTheme="minorHAnsi"/>
          <w:noProof/>
          <w:szCs w:val="22"/>
          <w:lang w:val="fr-FR" w:eastAsia="en-US"/>
        </w:rPr>
      </w:pPr>
      <w:r>
        <w:rPr>
          <w:rFonts w:eastAsiaTheme="minorHAnsi"/>
          <w:noProof/>
          <w:szCs w:val="22"/>
          <w:lang w:val="fr-FR" w:eastAsia="en-US"/>
        </w:rPr>
        <w:t>b)</w:t>
      </w:r>
      <w:r>
        <w:rPr>
          <w:rFonts w:eastAsiaTheme="minorHAnsi"/>
          <w:noProof/>
          <w:szCs w:val="22"/>
          <w:lang w:val="fr-FR" w:eastAsia="en-US"/>
        </w:rPr>
        <w:tab/>
      </w:r>
      <w:r>
        <w:rPr>
          <w:noProof/>
          <w:lang w:val="fr-CA"/>
        </w:rPr>
        <w:t xml:space="preserve">dans le cas de la </w:t>
      </w:r>
      <w:r>
        <w:rPr>
          <w:noProof/>
          <w:szCs w:val="24"/>
          <w:lang w:val="fr-CA" w:eastAsia="fr-CA"/>
        </w:rPr>
        <w:t>Partie UE</w:t>
      </w:r>
      <w:r>
        <w:rPr>
          <w:noProof/>
          <w:lang w:val="fr-CA"/>
        </w:rPr>
        <w:t> :</w:t>
      </w:r>
    </w:p>
    <w:p>
      <w:pPr>
        <w:spacing w:line="240" w:lineRule="auto"/>
        <w:ind w:left="1701" w:hanging="567"/>
        <w:rPr>
          <w:rFonts w:eastAsiaTheme="minorHAnsi"/>
          <w:noProof/>
          <w:szCs w:val="22"/>
          <w:lang w:val="fr-FR" w:eastAsia="en-US"/>
        </w:rPr>
      </w:pPr>
    </w:p>
    <w:p>
      <w:pPr>
        <w:spacing w:line="240" w:lineRule="auto"/>
        <w:ind w:left="1701" w:hanging="567"/>
        <w:rPr>
          <w:rFonts w:eastAsiaTheme="minorHAnsi"/>
          <w:noProof/>
          <w:szCs w:val="22"/>
          <w:lang w:val="fr-FR" w:eastAsia="en-US"/>
        </w:rPr>
      </w:pPr>
      <w:r>
        <w:rPr>
          <w:rFonts w:eastAsiaTheme="minorHAnsi"/>
          <w:noProof/>
          <w:szCs w:val="22"/>
          <w:lang w:val="fr-FR" w:eastAsia="en-US"/>
        </w:rPr>
        <w:t>i)</w:t>
      </w:r>
      <w:r>
        <w:rPr>
          <w:rFonts w:eastAsiaTheme="minorHAnsi"/>
          <w:noProof/>
          <w:szCs w:val="22"/>
          <w:lang w:val="fr-FR" w:eastAsia="en-US"/>
        </w:rPr>
        <w:tab/>
      </w:r>
      <w:r>
        <w:rPr>
          <w:noProof/>
          <w:szCs w:val="24"/>
          <w:lang w:val="fr-CA" w:eastAsia="fr-CA"/>
        </w:rPr>
        <w:t>un gouvernement d’un État membre de l’Union européenne accorde un traitement plus favorable à un fournisseur de services qui est une personne d’un autre État membre ou à un service fourni par un tel fournisseur,</w:t>
      </w:r>
    </w:p>
    <w:p>
      <w:pPr>
        <w:spacing w:line="240" w:lineRule="auto"/>
        <w:ind w:left="1701" w:hanging="567"/>
        <w:rPr>
          <w:rFonts w:eastAsiaTheme="minorHAnsi"/>
          <w:noProof/>
          <w:szCs w:val="22"/>
          <w:lang w:val="fr-FR" w:eastAsia="en-US"/>
        </w:rPr>
      </w:pPr>
    </w:p>
    <w:p>
      <w:pPr>
        <w:spacing w:line="240" w:lineRule="auto"/>
        <w:ind w:left="1701" w:hanging="567"/>
        <w:rPr>
          <w:rFonts w:eastAsiaTheme="minorHAnsi"/>
          <w:noProof/>
          <w:szCs w:val="22"/>
          <w:lang w:val="fr-FR" w:eastAsia="en-US"/>
        </w:rPr>
      </w:pPr>
      <w:r>
        <w:rPr>
          <w:rFonts w:eastAsiaTheme="minorHAnsi"/>
          <w:noProof/>
          <w:szCs w:val="22"/>
          <w:lang w:val="fr-FR" w:eastAsia="en-US"/>
        </w:rPr>
        <w:t>ii)</w:t>
      </w:r>
      <w:r>
        <w:rPr>
          <w:rFonts w:eastAsiaTheme="minorHAnsi"/>
          <w:noProof/>
          <w:szCs w:val="22"/>
          <w:lang w:val="fr-FR" w:eastAsia="en-US"/>
        </w:rPr>
        <w:tab/>
      </w:r>
      <w:r>
        <w:rPr>
          <w:noProof/>
          <w:szCs w:val="24"/>
          <w:lang w:val="fr-CA" w:eastAsia="fr-CA"/>
        </w:rPr>
        <w:t>un gouvernement régional d’un État membre de l’Union européenne accorde un traitement plus favorable à un fournisseur de services qui est une personne d’un autre gouvernement régional de cet État membre ou à un service fourni par un tel fournisseur</w:t>
      </w:r>
      <w:r>
        <w:rPr>
          <w:noProof/>
          <w:lang w:val="fr-CA"/>
        </w:rPr>
        <w:t>;</w:t>
      </w:r>
    </w:p>
    <w:p>
      <w:pPr>
        <w:spacing w:line="240" w:lineRule="auto"/>
        <w:ind w:left="1134" w:hanging="567"/>
        <w:rPr>
          <w:rFonts w:eastAsia="Calibri"/>
          <w:noProof/>
          <w:szCs w:val="24"/>
          <w:lang w:val="fr-FR" w:eastAsia="en-US"/>
        </w:rPr>
      </w:pPr>
    </w:p>
    <w:p>
      <w:pPr>
        <w:widowControl/>
        <w:spacing w:line="240" w:lineRule="auto"/>
        <w:rPr>
          <w:rFonts w:eastAsia="Calibri"/>
          <w:noProof/>
          <w:szCs w:val="24"/>
          <w:lang w:val="fr-FR" w:eastAsia="en-US"/>
        </w:rPr>
      </w:pPr>
      <w:r>
        <w:rPr>
          <w:rFonts w:eastAsia="Calibri"/>
          <w:noProof/>
          <w:szCs w:val="24"/>
          <w:lang w:val="fr-FR" w:eastAsia="en-US"/>
        </w:rPr>
        <w:br w:type="page"/>
      </w:r>
    </w:p>
    <w:p>
      <w:pPr>
        <w:spacing w:line="240" w:lineRule="auto"/>
        <w:ind w:left="1134" w:hanging="567"/>
        <w:rPr>
          <w:rFonts w:eastAsia="Calibri"/>
          <w:noProof/>
          <w:szCs w:val="24"/>
          <w:lang w:val="fr-FR" w:eastAsia="en-US"/>
        </w:rPr>
      </w:pPr>
      <w:r>
        <w:rPr>
          <w:rFonts w:eastAsia="Calibri"/>
          <w:noProof/>
          <w:szCs w:val="24"/>
          <w:lang w:val="fr-FR" w:eastAsia="en-US"/>
        </w:rPr>
        <w:t>c)</w:t>
      </w:r>
      <w:r>
        <w:rPr>
          <w:rFonts w:eastAsia="Calibri"/>
          <w:noProof/>
          <w:szCs w:val="24"/>
          <w:lang w:val="fr-FR" w:eastAsia="en-US"/>
        </w:rPr>
        <w:tab/>
      </w:r>
      <w:r>
        <w:rPr>
          <w:rFonts w:eastAsia="Calibri"/>
          <w:noProof/>
          <w:szCs w:val="24"/>
          <w:lang w:val="fr-CA"/>
        </w:rPr>
        <w:t xml:space="preserve">le traitement plus favorable visé aux alinéas a) et b) </w:t>
      </w:r>
      <w:r>
        <w:rPr>
          <w:noProof/>
          <w:szCs w:val="24"/>
          <w:lang w:val="fr-CA" w:eastAsia="fr-CA"/>
        </w:rPr>
        <w:t>est accordé au titre de droits et obligations mutuels spécifiques qui s’appliquent entre ces gouvernements</w:t>
      </w:r>
      <w:r>
        <w:rPr>
          <w:rFonts w:eastAsia="Calibri"/>
          <w:noProof/>
          <w:szCs w:val="24"/>
          <w:lang w:val="fr-CA"/>
        </w:rPr>
        <w:t>.</w:t>
      </w:r>
    </w:p>
    <w:p>
      <w:pPr>
        <w:spacing w:line="240" w:lineRule="auto"/>
        <w:ind w:left="1134" w:hanging="567"/>
        <w:rPr>
          <w:rFonts w:eastAsia="Calibri"/>
          <w:noProof/>
          <w:szCs w:val="22"/>
          <w:lang w:val="fr-FR" w:eastAsia="en-US"/>
        </w:rPr>
      </w:pPr>
    </w:p>
    <w:p>
      <w:pPr>
        <w:spacing w:line="240" w:lineRule="auto"/>
        <w:ind w:left="567" w:hanging="567"/>
        <w:rPr>
          <w:rFonts w:eastAsia="Batang"/>
          <w:noProof/>
          <w:szCs w:val="24"/>
          <w:lang w:val="fr-FR" w:eastAsia="ko-KR"/>
        </w:rPr>
      </w:pPr>
      <w:r>
        <w:rPr>
          <w:rFonts w:eastAsia="Batang"/>
          <w:noProof/>
          <w:szCs w:val="24"/>
          <w:lang w:val="fr-FR" w:eastAsia="ko-KR"/>
        </w:rPr>
        <w:t>3.</w:t>
      </w:r>
      <w:r>
        <w:rPr>
          <w:rFonts w:eastAsia="Batang"/>
          <w:noProof/>
          <w:szCs w:val="24"/>
          <w:lang w:val="fr-FR" w:eastAsia="ko-KR"/>
        </w:rPr>
        <w:tab/>
      </w:r>
      <w:r>
        <w:rPr>
          <w:noProof/>
          <w:szCs w:val="24"/>
          <w:lang w:val="fr-CA" w:eastAsia="fr-CA"/>
        </w:rPr>
        <w:t xml:space="preserve">Dans le cas de la Partie UE, le paragraphe 2 vise notamment le traitement accordé au titre du </w:t>
      </w:r>
      <w:r>
        <w:rPr>
          <w:i/>
          <w:noProof/>
          <w:szCs w:val="24"/>
          <w:lang w:val="fr-CA" w:eastAsia="fr-CA"/>
        </w:rPr>
        <w:t>Traité sur le fonctionnement de l’Union européenne</w:t>
      </w:r>
      <w:r>
        <w:rPr>
          <w:noProof/>
          <w:szCs w:val="24"/>
          <w:lang w:val="fr-CA" w:eastAsia="fr-CA"/>
        </w:rPr>
        <w:t xml:space="preserve">, fait à Lisbonne le 13 décembre 2007, en ce qui concerne la libre circulation des personnes et des services, ainsi que le traitement accordé au titre de toute mesure adoptée en vertu de ce traité. Un gouvernement d’un État membre de l’Union européenne ou un gouvernement dans un État membre de l’Union européenne peut accorder, en vertu du </w:t>
      </w:r>
      <w:r>
        <w:rPr>
          <w:i/>
          <w:noProof/>
          <w:szCs w:val="24"/>
          <w:lang w:val="fr-CA" w:eastAsia="fr-CA"/>
        </w:rPr>
        <w:t>Traité sur le fonctionnement de l’Union européenne</w:t>
      </w:r>
      <w:r>
        <w:rPr>
          <w:noProof/>
          <w:szCs w:val="24"/>
          <w:lang w:val="fr-CA" w:eastAsia="fr-CA"/>
        </w:rPr>
        <w:t>, un traitement plus favorable aux personnes physiques qui sont des ressortissants d’un autre État membre de l’Union européenne, ou aux entreprises constituées conformément au droit d’un autre État membre de l’Union européenne et ayant leur siège social, leur administration centrale ou leur principal établissement dans l’Union européenne, ainsi qu’aux services fournis par ces personnes physiques ou entreprises.</w:t>
      </w:r>
    </w:p>
    <w:p>
      <w:pPr>
        <w:spacing w:line="240" w:lineRule="auto"/>
        <w:ind w:left="567" w:hanging="567"/>
        <w:rPr>
          <w:rFonts w:eastAsia="Batang"/>
          <w:noProof/>
          <w:szCs w:val="24"/>
          <w:lang w:val="fr-FR" w:eastAsia="ko-KR"/>
        </w:rPr>
      </w:pPr>
    </w:p>
    <w:p>
      <w:pPr>
        <w:spacing w:line="240" w:lineRule="auto"/>
        <w:ind w:left="567" w:hanging="567"/>
        <w:rPr>
          <w:rFonts w:eastAsia="Batang"/>
          <w:noProof/>
          <w:szCs w:val="24"/>
          <w:lang w:val="fr-FR" w:eastAsia="ko-KR"/>
        </w:rPr>
      </w:pPr>
      <w:r>
        <w:rPr>
          <w:rFonts w:eastAsia="Batang"/>
          <w:noProof/>
          <w:szCs w:val="24"/>
          <w:lang w:val="fr-FR" w:eastAsia="ko-KR"/>
        </w:rPr>
        <w:t>4.</w:t>
      </w:r>
      <w:r>
        <w:rPr>
          <w:rFonts w:eastAsia="Batang"/>
          <w:noProof/>
          <w:szCs w:val="24"/>
          <w:lang w:val="fr-FR" w:eastAsia="ko-KR"/>
        </w:rPr>
        <w:tab/>
      </w:r>
      <w:r>
        <w:rPr>
          <w:noProof/>
          <w:szCs w:val="24"/>
          <w:lang w:val="fr-CA" w:eastAsia="fr-CA"/>
        </w:rPr>
        <w:t>Dans le cas du Canada, le paragraphe 2 vise notamment le traitement accordé au titre de l’Accord sur le commerce intérieur daté du 18 juillet 1994 entre le gouvernement du Canada et les gouvernements des provinces et des territoires du Canada (« ACI ») ainsi que le traitement accordé au titre de toute mesure adoptée en vertu de l’ACI et d’accords régionaux sur la libre circulation des personnes et des services. Un gouvernement provincial ou territorial du Canada peut accorder, en vertu de l’ACI et de ces accords régionaux, un traitement plus favorable aux personnes physiques qui résident sur le territoire d’une partie à l’ACI ou à l’accord régional, ou aux entreprises constituées conformément au droit d’une partie à l’ACI ou à l’accord régional et ayant leur siège social, leur administration centrale ou leur principal établissement au Canada, ainsi qu’aux services fournis par ces personnes physiques ou entreprises</w:t>
      </w:r>
      <w:r>
        <w:rPr>
          <w:rFonts w:eastAsia="Batang"/>
          <w:noProof/>
          <w:szCs w:val="24"/>
          <w:lang w:val="fr-CA" w:eastAsia="ko-KR"/>
        </w:rPr>
        <w:t>.</w:t>
      </w:r>
    </w:p>
    <w:p>
      <w:pPr>
        <w:widowControl/>
        <w:spacing w:line="240" w:lineRule="auto"/>
        <w:jc w:val="both"/>
        <w:rPr>
          <w:rFonts w:eastAsiaTheme="minorHAnsi"/>
          <w:noProof/>
          <w:szCs w:val="22"/>
          <w:lang w:val="fr-FR" w:eastAsia="ko-KR"/>
        </w:rPr>
      </w:pPr>
    </w:p>
    <w:p>
      <w:pPr>
        <w:widowControl/>
        <w:spacing w:line="240" w:lineRule="auto"/>
        <w:jc w:val="both"/>
        <w:rPr>
          <w:rFonts w:eastAsiaTheme="minorHAnsi"/>
          <w:noProof/>
          <w:szCs w:val="22"/>
          <w:lang w:val="fr-FR" w:eastAsia="ko-KR"/>
        </w:rPr>
      </w:pPr>
    </w:p>
    <w:p>
      <w:pPr>
        <w:widowControl/>
        <w:spacing w:line="240" w:lineRule="auto"/>
        <w:rPr>
          <w:rFonts w:eastAsia="Calibri"/>
          <w:b/>
          <w:smallCaps/>
          <w:noProof/>
          <w:sz w:val="28"/>
          <w:szCs w:val="28"/>
          <w:u w:val="single"/>
          <w:lang w:val="fr-FR" w:eastAsia="en-US"/>
        </w:rPr>
      </w:pPr>
      <w:r>
        <w:rPr>
          <w:rFonts w:eastAsia="Calibri"/>
          <w:b/>
          <w:smallCaps/>
          <w:noProof/>
          <w:sz w:val="28"/>
          <w:szCs w:val="28"/>
          <w:u w:val="single"/>
          <w:lang w:val="fr-FR" w:eastAsia="en-US"/>
        </w:rPr>
        <w:br w:type="page"/>
      </w:r>
    </w:p>
    <w:p>
      <w:pPr>
        <w:spacing w:line="240" w:lineRule="auto"/>
        <w:jc w:val="center"/>
        <w:rPr>
          <w:rFonts w:eastAsia="Calibri"/>
          <w:b/>
          <w:bCs/>
          <w:noProof/>
          <w:u w:val="single"/>
          <w:lang w:val="fr-FR" w:eastAsia="en-US"/>
        </w:rPr>
      </w:pPr>
      <w:r>
        <w:rPr>
          <w:rFonts w:eastAsia="Calibri"/>
          <w:b/>
          <w:bCs/>
          <w:noProof/>
          <w:u w:val="single"/>
          <w:lang w:val="fr-FR" w:eastAsia="en-US"/>
        </w:rPr>
        <w:t>ANNEXE 9</w:t>
      </w:r>
      <w:r>
        <w:rPr>
          <w:rFonts w:eastAsia="Calibri"/>
          <w:b/>
          <w:bCs/>
          <w:noProof/>
          <w:u w:val="single"/>
          <w:lang w:val="fr-FR" w:eastAsia="en-US"/>
        </w:rPr>
        <w:noBreakHyphen/>
        <w:t>B</w:t>
      </w:r>
    </w:p>
    <w:p>
      <w:pPr>
        <w:spacing w:line="240" w:lineRule="auto"/>
        <w:rPr>
          <w:rFonts w:eastAsia="Calibri"/>
          <w:noProof/>
          <w:szCs w:val="22"/>
          <w:lang w:val="fr-FR" w:eastAsia="en-US"/>
        </w:rPr>
      </w:pPr>
    </w:p>
    <w:p>
      <w:pPr>
        <w:spacing w:line="240" w:lineRule="auto"/>
        <w:rPr>
          <w:rFonts w:eastAsia="Calibri"/>
          <w:noProof/>
          <w:szCs w:val="22"/>
          <w:lang w:val="fr-FR" w:eastAsia="en-US"/>
        </w:rPr>
      </w:pPr>
    </w:p>
    <w:p>
      <w:pPr>
        <w:spacing w:line="240" w:lineRule="auto"/>
        <w:jc w:val="center"/>
        <w:rPr>
          <w:rFonts w:eastAsia="Calibri"/>
          <w:b/>
          <w:noProof/>
          <w:lang w:val="fr-CA"/>
        </w:rPr>
      </w:pPr>
      <w:r>
        <w:rPr>
          <w:rFonts w:eastAsia="Calibri"/>
          <w:b/>
          <w:noProof/>
          <w:lang w:val="fr-CA"/>
        </w:rPr>
        <w:t>ACCORD SUR LES NOUVEAUX SERVICES</w:t>
      </w:r>
    </w:p>
    <w:p>
      <w:pPr>
        <w:spacing w:line="240" w:lineRule="auto"/>
        <w:jc w:val="center"/>
        <w:rPr>
          <w:rFonts w:eastAsia="Calibri"/>
          <w:b/>
          <w:bCs/>
          <w:noProof/>
          <w:szCs w:val="22"/>
          <w:lang w:val="fr-FR" w:eastAsia="en-US"/>
        </w:rPr>
      </w:pPr>
      <w:r>
        <w:rPr>
          <w:rFonts w:eastAsia="Calibri"/>
          <w:b/>
          <w:noProof/>
          <w:lang w:val="fr-CA"/>
        </w:rPr>
        <w:t xml:space="preserve"> NON COUVERTS PAR LA CLASSIFICATION CENTRALE DE PRODUITS (CPC) PROVISOIRE DES NATIONS UNIES DE</w:t>
      </w:r>
      <w:r>
        <w:rPr>
          <w:rFonts w:eastAsia="Calibri"/>
          <w:b/>
          <w:bCs/>
          <w:noProof/>
          <w:szCs w:val="22"/>
          <w:lang w:val="fr-FR" w:eastAsia="en-US"/>
        </w:rPr>
        <w:t xml:space="preserve"> 1991</w:t>
      </w:r>
    </w:p>
    <w:p>
      <w:pPr>
        <w:spacing w:line="240" w:lineRule="auto"/>
        <w:rPr>
          <w:rFonts w:eastAsia="Calibri"/>
          <w:b/>
          <w:bCs/>
          <w:noProof/>
          <w:szCs w:val="22"/>
          <w:lang w:val="fr-FR" w:eastAsia="en-US"/>
        </w:rPr>
      </w:pPr>
    </w:p>
    <w:p>
      <w:pPr>
        <w:pStyle w:val="ManualNumPar1"/>
        <w:rPr>
          <w:rFonts w:eastAsia="Batang"/>
          <w:noProof/>
          <w:szCs w:val="24"/>
          <w:lang w:val="fr-CA" w:eastAsia="ko-KR"/>
        </w:rPr>
      </w:pPr>
      <w:r>
        <w:rPr>
          <w:rFonts w:eastAsia="Calibri"/>
          <w:noProof/>
          <w:lang w:val="fr-CA"/>
        </w:rPr>
        <w:t>1.</w:t>
      </w:r>
      <w:r>
        <w:rPr>
          <w:rFonts w:eastAsia="Calibri"/>
          <w:noProof/>
          <w:lang w:val="fr-CA"/>
        </w:rPr>
        <w:tab/>
      </w:r>
      <w:r>
        <w:rPr>
          <w:rFonts w:eastAsia="Times New Roman"/>
          <w:noProof/>
          <w:szCs w:val="24"/>
          <w:lang w:val="fr-CA" w:eastAsia="fr-CA"/>
        </w:rPr>
        <w:t>Les Parties conviennent que le chapitre Douze (Réglementation intérieure) et les articles 9.3, 9.5 et 9.6 ne s’appliquent pas à une mesure concernant un nouveau service qui ne peut être classé dans la CPC de 1991</w:t>
      </w:r>
      <w:r>
        <w:rPr>
          <w:rFonts w:eastAsia="Batang"/>
          <w:noProof/>
          <w:szCs w:val="24"/>
          <w:lang w:val="fr-CA" w:eastAsia="ko-KR"/>
        </w:rPr>
        <w:t>.</w:t>
      </w:r>
    </w:p>
    <w:p>
      <w:pPr>
        <w:pStyle w:val="ManualNumPar1"/>
        <w:rPr>
          <w:rFonts w:eastAsia="Batang"/>
          <w:noProof/>
          <w:szCs w:val="24"/>
          <w:lang w:val="fr-CA" w:eastAsia="ko-KR"/>
        </w:rPr>
      </w:pPr>
      <w:r>
        <w:rPr>
          <w:rFonts w:eastAsia="Batang"/>
          <w:noProof/>
          <w:szCs w:val="24"/>
          <w:lang w:val="fr-CA" w:eastAsia="ko-KR"/>
        </w:rPr>
        <w:t>2.</w:t>
      </w:r>
      <w:r>
        <w:rPr>
          <w:rFonts w:eastAsia="Batang"/>
          <w:noProof/>
          <w:szCs w:val="24"/>
          <w:lang w:val="fr-CA" w:eastAsia="ko-KR"/>
        </w:rPr>
        <w:tab/>
      </w:r>
      <w:r>
        <w:rPr>
          <w:rFonts w:eastAsia="Times New Roman"/>
          <w:noProof/>
          <w:szCs w:val="24"/>
          <w:lang w:val="fr-CA" w:eastAsia="fr-CA"/>
        </w:rPr>
        <w:t>Dans la mesure du possible, chaque Partie avise l’autre Partie avant d’adopter une mesure non conforme au chapitre Douze (Réglementation intérieure) et aux articles 9.3, 9.5 et 9.6 concernant un nouveau service visé au paragraphe 1.</w:t>
      </w:r>
    </w:p>
    <w:p>
      <w:pPr>
        <w:pStyle w:val="ManualNumPar1"/>
        <w:rPr>
          <w:rFonts w:eastAsia="Batang"/>
          <w:noProof/>
          <w:szCs w:val="24"/>
          <w:lang w:val="fr-CA" w:eastAsia="ko-KR"/>
        </w:rPr>
      </w:pPr>
      <w:r>
        <w:rPr>
          <w:rFonts w:eastAsia="Batang"/>
          <w:noProof/>
          <w:szCs w:val="24"/>
          <w:lang w:val="fr-CA" w:eastAsia="ko-KR"/>
        </w:rPr>
        <w:t>3.</w:t>
      </w:r>
      <w:r>
        <w:rPr>
          <w:rFonts w:eastAsia="Batang"/>
          <w:noProof/>
          <w:szCs w:val="24"/>
          <w:lang w:val="fr-CA" w:eastAsia="ko-KR"/>
        </w:rPr>
        <w:tab/>
      </w:r>
      <w:r>
        <w:rPr>
          <w:rFonts w:eastAsia="Times New Roman"/>
          <w:noProof/>
          <w:szCs w:val="24"/>
          <w:lang w:val="fr-CA" w:eastAsia="fr-CA"/>
        </w:rPr>
        <w:t>À la demande d’une Partie, les Parties entament des négociations en vue d’inclure le nouveau service dans le champ d’application du présent accord</w:t>
      </w:r>
      <w:r>
        <w:rPr>
          <w:rFonts w:eastAsia="Batang"/>
          <w:noProof/>
          <w:szCs w:val="24"/>
          <w:lang w:val="fr-CA" w:eastAsia="ko-KR"/>
        </w:rPr>
        <w:t>.</w:t>
      </w:r>
    </w:p>
    <w:p>
      <w:pPr>
        <w:spacing w:line="240" w:lineRule="auto"/>
        <w:ind w:left="567" w:hanging="567"/>
        <w:rPr>
          <w:rFonts w:eastAsia="Calibri"/>
          <w:noProof/>
          <w:szCs w:val="22"/>
          <w:lang w:val="fr-FR" w:eastAsia="en-US"/>
        </w:rPr>
      </w:pPr>
      <w:r>
        <w:rPr>
          <w:rFonts w:eastAsia="Batang"/>
          <w:noProof/>
          <w:szCs w:val="24"/>
          <w:lang w:val="fr-CA" w:eastAsia="ko-KR"/>
        </w:rPr>
        <w:t>4.</w:t>
      </w:r>
      <w:r>
        <w:rPr>
          <w:rFonts w:eastAsia="Batang"/>
          <w:noProof/>
          <w:szCs w:val="24"/>
          <w:lang w:val="fr-CA" w:eastAsia="ko-KR"/>
        </w:rPr>
        <w:tab/>
        <w:t>Il est entendu que</w:t>
      </w:r>
      <w:r>
        <w:rPr>
          <w:noProof/>
          <w:szCs w:val="24"/>
          <w:lang w:val="fr-CA" w:eastAsia="fr-CA"/>
        </w:rPr>
        <w:t xml:space="preserve"> le paragraphe 1 ne s’applique pas à un service existant qui pourrait être classé dans la CPC de 1991,mais dont la fourniture transfrontières ne pouvait être assurée auparavant pour des raisons techniques</w:t>
      </w:r>
      <w:r>
        <w:rPr>
          <w:rFonts w:eastAsia="Calibri"/>
          <w:noProof/>
          <w:lang w:val="fr-CA"/>
        </w:rPr>
        <w:t>.</w:t>
      </w:r>
    </w:p>
    <w:p>
      <w:pPr>
        <w:spacing w:line="240" w:lineRule="auto"/>
        <w:rPr>
          <w:rFonts w:eastAsia="Calibri"/>
          <w:noProof/>
          <w:szCs w:val="22"/>
          <w:lang w:val="fr-FR" w:eastAsia="en-US"/>
        </w:rPr>
      </w:pPr>
    </w:p>
    <w:p>
      <w:pPr>
        <w:spacing w:line="240" w:lineRule="auto"/>
        <w:rPr>
          <w:rFonts w:eastAsia="Calibri"/>
          <w:noProof/>
          <w:szCs w:val="22"/>
          <w:lang w:val="fr-FR" w:eastAsia="en-US"/>
        </w:rPr>
      </w:pPr>
    </w:p>
    <w:p>
      <w:pPr>
        <w:spacing w:line="240" w:lineRule="auto"/>
        <w:rPr>
          <w:rFonts w:eastAsiaTheme="minorHAnsi"/>
          <w:noProof/>
          <w:szCs w:val="22"/>
          <w:lang w:val="fr-FR" w:eastAsia="en-CA"/>
        </w:rPr>
      </w:pPr>
      <w:r>
        <w:rPr>
          <w:rFonts w:eastAsiaTheme="minorHAnsi"/>
          <w:noProof/>
          <w:szCs w:val="22"/>
          <w:lang w:val="fr-FR" w:eastAsia="en-CA"/>
        </w:rPr>
        <w:br w:type="page"/>
      </w:r>
    </w:p>
    <w:p>
      <w:pPr>
        <w:spacing w:line="240" w:lineRule="auto"/>
        <w:jc w:val="center"/>
        <w:rPr>
          <w:rFonts w:eastAsiaTheme="minorHAnsi"/>
          <w:b/>
          <w:bCs/>
          <w:noProof/>
          <w:u w:val="single"/>
          <w:lang w:val="fr-FR" w:eastAsia="en-CA"/>
        </w:rPr>
      </w:pPr>
      <w:r>
        <w:rPr>
          <w:rFonts w:eastAsiaTheme="minorHAnsi"/>
          <w:b/>
          <w:bCs/>
          <w:noProof/>
          <w:u w:val="single"/>
          <w:lang w:val="fr-FR" w:eastAsia="en-CA"/>
        </w:rPr>
        <w:t>ANNEXE 9</w:t>
      </w:r>
      <w:r>
        <w:rPr>
          <w:rFonts w:eastAsiaTheme="minorHAnsi"/>
          <w:b/>
          <w:bCs/>
          <w:noProof/>
          <w:u w:val="single"/>
          <w:lang w:val="fr-FR" w:eastAsia="en-CA"/>
        </w:rPr>
        <w:noBreakHyphen/>
        <w:t>C</w:t>
      </w:r>
    </w:p>
    <w:p>
      <w:pPr>
        <w:spacing w:line="240" w:lineRule="auto"/>
        <w:rPr>
          <w:rFonts w:eastAsia="Calibri"/>
          <w:noProof/>
          <w:lang w:val="fr-FR" w:eastAsia="en-US"/>
        </w:rPr>
      </w:pPr>
    </w:p>
    <w:p>
      <w:pPr>
        <w:spacing w:line="240" w:lineRule="auto"/>
        <w:rPr>
          <w:rFonts w:eastAsia="Calibri"/>
          <w:noProof/>
          <w:lang w:val="fr-FR" w:eastAsia="en-US"/>
        </w:rPr>
      </w:pPr>
    </w:p>
    <w:p>
      <w:pPr>
        <w:spacing w:line="240" w:lineRule="auto"/>
        <w:jc w:val="center"/>
        <w:rPr>
          <w:rFonts w:eastAsiaTheme="minorHAnsi"/>
          <w:b/>
          <w:bCs/>
          <w:noProof/>
          <w:lang w:val="fr-FR" w:eastAsia="en-CA"/>
        </w:rPr>
      </w:pPr>
      <w:r>
        <w:rPr>
          <w:rFonts w:eastAsia="Calibri"/>
          <w:b/>
          <w:bCs/>
          <w:noProof/>
          <w:lang w:val="fr-FR" w:eastAsia="en-US"/>
        </w:rPr>
        <w:t>ACCORD SUR LES SERVICES DE MESSAGERIE</w:t>
      </w:r>
    </w:p>
    <w:p>
      <w:pPr>
        <w:spacing w:line="240" w:lineRule="auto"/>
        <w:rPr>
          <w:rFonts w:eastAsia="Calibri"/>
          <w:noProof/>
          <w:szCs w:val="24"/>
          <w:lang w:val="fr-FR" w:eastAsia="en-US"/>
        </w:rPr>
      </w:pPr>
    </w:p>
    <w:p>
      <w:pPr>
        <w:pStyle w:val="ManualNumPar1"/>
        <w:ind w:left="600" w:hanging="600"/>
        <w:rPr>
          <w:rFonts w:eastAsia="Batang"/>
          <w:noProof/>
          <w:szCs w:val="24"/>
          <w:lang w:val="fr-CA" w:eastAsia="ko-KR"/>
        </w:rPr>
      </w:pPr>
      <w:r>
        <w:rPr>
          <w:rFonts w:eastAsia="Calibri"/>
          <w:noProof/>
          <w:szCs w:val="24"/>
          <w:lang w:val="fr-FR"/>
        </w:rPr>
        <w:t>1.</w:t>
      </w:r>
      <w:r>
        <w:rPr>
          <w:rFonts w:eastAsia="Calibri"/>
          <w:noProof/>
          <w:szCs w:val="24"/>
          <w:lang w:val="fr-FR"/>
        </w:rPr>
        <w:tab/>
      </w:r>
      <w:r>
        <w:rPr>
          <w:rFonts w:eastAsia="Times New Roman"/>
          <w:noProof/>
          <w:szCs w:val="24"/>
          <w:lang w:val="fr-CA" w:eastAsia="fr-CA"/>
        </w:rPr>
        <w:t>Les Parties conviennent de ce qui suit concernant l’application des articles </w:t>
      </w:r>
      <w:r>
        <w:rPr>
          <w:rFonts w:eastAsia="Batang"/>
          <w:noProof/>
          <w:szCs w:val="24"/>
          <w:lang w:val="fr-CA" w:eastAsia="ko-KR"/>
        </w:rPr>
        <w:t>8.2.2 a) (Champ d’application) et 9.2.2 e) (Champ d’application).</w:t>
      </w:r>
    </w:p>
    <w:p>
      <w:pPr>
        <w:spacing w:line="240" w:lineRule="auto"/>
        <w:ind w:left="567" w:hanging="567"/>
        <w:rPr>
          <w:rFonts w:eastAsia="Calibri"/>
          <w:noProof/>
          <w:szCs w:val="24"/>
          <w:lang w:val="fr-FR" w:eastAsia="en-US"/>
        </w:rPr>
      </w:pPr>
      <w:r>
        <w:rPr>
          <w:rFonts w:eastAsia="Batang"/>
          <w:noProof/>
          <w:szCs w:val="24"/>
          <w:lang w:val="fr-CA" w:eastAsia="ko-KR"/>
        </w:rPr>
        <w:t>2.</w:t>
      </w:r>
      <w:r>
        <w:rPr>
          <w:rFonts w:eastAsia="Batang"/>
          <w:noProof/>
          <w:szCs w:val="24"/>
          <w:lang w:val="fr-CA" w:eastAsia="ko-KR"/>
        </w:rPr>
        <w:tab/>
        <w:t>Les Parties confirment que les chapitres Huit (Investissement) et Neuf (Commerce transfrontières des services</w:t>
      </w:r>
      <w:r>
        <w:rPr>
          <w:rFonts w:eastAsia="Calibri"/>
          <w:noProof/>
          <w:szCs w:val="24"/>
          <w:lang w:val="fr-CA"/>
        </w:rPr>
        <w:t>) couvrent les services de messagerie,</w:t>
      </w:r>
      <w:r>
        <w:rPr>
          <w:rFonts w:eastAsia="Batang"/>
          <w:noProof/>
          <w:szCs w:val="24"/>
          <w:lang w:val="fr-CA" w:eastAsia="ko-KR"/>
        </w:rPr>
        <w:t xml:space="preserve"> avec les réserves applicables énoncées dans les listes des Parties jointes aux annexes </w:t>
      </w:r>
      <w:r>
        <w:rPr>
          <w:rFonts w:eastAsia="Calibri"/>
          <w:noProof/>
          <w:szCs w:val="24"/>
          <w:lang w:val="fr-CA"/>
        </w:rPr>
        <w:t>I et II. Il est entendu que le traitement accordé aux services de messagerie au titre des chapitres Huit et Neuf ne comprend pas l’octroi de droits de trafic aérien aux fournisseurs de services de messagerie. Ces droits sont régis par l’</w:t>
      </w:r>
      <w:r>
        <w:rPr>
          <w:rFonts w:eastAsia="Calibri"/>
          <w:i/>
          <w:noProof/>
          <w:szCs w:val="24"/>
          <w:lang w:val="fr-CA"/>
        </w:rPr>
        <w:t>Accord sur le transport aérien entre le Canada et la Communauté européenne et ses États membres</w:t>
      </w:r>
      <w:r>
        <w:rPr>
          <w:rFonts w:eastAsia="Calibri"/>
          <w:noProof/>
          <w:szCs w:val="24"/>
          <w:lang w:val="fr-CA"/>
        </w:rPr>
        <w:t xml:space="preserve">, fait à Bruxelles </w:t>
      </w:r>
      <w:r>
        <w:rPr>
          <w:noProof/>
          <w:szCs w:val="24"/>
          <w:lang w:val="fr-CA" w:eastAsia="ar-SA"/>
        </w:rPr>
        <w:t xml:space="preserve">le 17 décembre 2009 et à Ottawa le </w:t>
      </w:r>
      <w:r>
        <w:rPr>
          <w:noProof/>
          <w:color w:val="000000"/>
          <w:szCs w:val="24"/>
          <w:shd w:val="clear" w:color="auto" w:fill="FFFFFF"/>
          <w:lang w:val="fr-CA"/>
        </w:rPr>
        <w:t>18 décembre 2009</w:t>
      </w:r>
      <w:r>
        <w:rPr>
          <w:rFonts w:eastAsia="Calibri"/>
          <w:noProof/>
          <w:szCs w:val="24"/>
          <w:lang w:val="fr-CA"/>
        </w:rPr>
        <w:t>.</w:t>
      </w:r>
    </w:p>
    <w:p>
      <w:pPr>
        <w:spacing w:line="240" w:lineRule="auto"/>
        <w:ind w:left="567" w:hanging="567"/>
        <w:rPr>
          <w:rFonts w:eastAsia="Calibri"/>
          <w:noProof/>
          <w:szCs w:val="24"/>
          <w:lang w:val="fr-FR" w:eastAsia="en-US"/>
        </w:rPr>
      </w:pPr>
    </w:p>
    <w:p>
      <w:pPr>
        <w:spacing w:line="240" w:lineRule="auto"/>
        <w:ind w:left="567" w:hanging="567"/>
        <w:rPr>
          <w:rFonts w:eastAsia="Calibri"/>
          <w:noProof/>
          <w:szCs w:val="24"/>
          <w:lang w:val="fr-FR" w:eastAsia="en-US"/>
        </w:rPr>
      </w:pPr>
    </w:p>
    <w:p>
      <w:pPr>
        <w:spacing w:line="240" w:lineRule="auto"/>
        <w:rPr>
          <w:rFonts w:eastAsiaTheme="minorEastAsia"/>
          <w:noProof/>
          <w:szCs w:val="24"/>
          <w:lang w:val="fr-FR" w:eastAsia="en-US"/>
        </w:rPr>
      </w:pPr>
      <w:r>
        <w:rPr>
          <w:rFonts w:eastAsiaTheme="minorEastAsia"/>
          <w:noProof/>
          <w:szCs w:val="24"/>
          <w:lang w:val="fr-FR" w:eastAsia="en-US"/>
        </w:rPr>
        <w:br w:type="page"/>
      </w:r>
    </w:p>
    <w:p>
      <w:pPr>
        <w:spacing w:line="240" w:lineRule="auto"/>
        <w:jc w:val="center"/>
        <w:rPr>
          <w:rFonts w:eastAsiaTheme="minorEastAsia"/>
          <w:b/>
          <w:bCs/>
          <w:i/>
          <w:noProof/>
          <w:u w:val="single"/>
          <w:lang w:val="fr-FR" w:eastAsia="en-US"/>
        </w:rPr>
      </w:pPr>
      <w:r>
        <w:rPr>
          <w:rFonts w:eastAsiaTheme="minorEastAsia"/>
          <w:b/>
          <w:bCs/>
          <w:noProof/>
          <w:u w:val="single"/>
          <w:lang w:val="fr-FR" w:eastAsia="en-US"/>
        </w:rPr>
        <w:t>ANNEXE 10</w:t>
      </w:r>
      <w:r>
        <w:rPr>
          <w:rFonts w:eastAsiaTheme="minorEastAsia"/>
          <w:b/>
          <w:bCs/>
          <w:noProof/>
          <w:u w:val="single"/>
          <w:lang w:val="fr-FR" w:eastAsia="en-US"/>
        </w:rPr>
        <w:noBreakHyphen/>
        <w:t>A</w:t>
      </w:r>
    </w:p>
    <w:p>
      <w:pPr>
        <w:spacing w:line="240" w:lineRule="auto"/>
        <w:rPr>
          <w:rFonts w:eastAsiaTheme="minorEastAsia"/>
          <w:noProof/>
          <w:lang w:val="fr-FR" w:eastAsia="en-US"/>
        </w:rPr>
      </w:pPr>
    </w:p>
    <w:p>
      <w:pPr>
        <w:spacing w:line="240" w:lineRule="auto"/>
        <w:rPr>
          <w:rFonts w:eastAsiaTheme="minorEastAsia"/>
          <w:noProof/>
          <w:lang w:val="fr-FR" w:eastAsia="en-US"/>
        </w:rPr>
      </w:pPr>
    </w:p>
    <w:p>
      <w:pPr>
        <w:spacing w:line="240" w:lineRule="auto"/>
        <w:jc w:val="center"/>
        <w:rPr>
          <w:rFonts w:eastAsiaTheme="minorEastAsia"/>
          <w:b/>
          <w:bCs/>
          <w:noProof/>
          <w:lang w:val="fr-FR" w:eastAsia="en-US"/>
        </w:rPr>
      </w:pPr>
      <w:r>
        <w:rPr>
          <w:rFonts w:eastAsiaTheme="minorEastAsia"/>
          <w:b/>
          <w:noProof/>
          <w:lang w:val="fr-CA"/>
        </w:rPr>
        <w:t>LISTE DES POINTS DE CONTACT</w:t>
      </w:r>
      <w:r>
        <w:rPr>
          <w:rFonts w:eastAsiaTheme="minorEastAsia"/>
          <w:b/>
          <w:noProof/>
          <w:lang w:val="fr-CA"/>
        </w:rPr>
        <w:br/>
        <w:t>DES ÉTATS MEMBRES DE L’UNION EUROPÉENNE</w:t>
      </w:r>
    </w:p>
    <w:p>
      <w:pPr>
        <w:spacing w:line="240" w:lineRule="auto"/>
        <w:rPr>
          <w:rFonts w:eastAsiaTheme="minorEastAsia"/>
          <w:noProof/>
          <w:lang w:val="fr-FR" w:eastAsia="en-US"/>
        </w:rPr>
      </w:pPr>
    </w:p>
    <w:p>
      <w:pPr>
        <w:spacing w:line="240" w:lineRule="auto"/>
        <w:rPr>
          <w:rFonts w:eastAsiaTheme="minorEastAsia"/>
          <w:noProof/>
          <w:lang w:val="fr-FR" w:eastAsia="en-US"/>
        </w:rPr>
      </w:pPr>
      <w:r>
        <w:rPr>
          <w:noProof/>
          <w:lang w:val="fr-CA"/>
        </w:rPr>
        <w:t>Dans la présente annexe, les abréviations utilisées sont celles qui sont définies au paragraphe 8 de l’annexe 10-E</w:t>
      </w:r>
      <w:r>
        <w:rPr>
          <w:rFonts w:eastAsiaTheme="minorEastAsia"/>
          <w:noProof/>
          <w:lang w:val="fr-FR" w:eastAsia="en-US"/>
        </w:rPr>
        <w:t>.</w:t>
      </w:r>
    </w:p>
    <w:p>
      <w:pPr>
        <w:spacing w:line="240" w:lineRule="auto"/>
        <w:rPr>
          <w:rFonts w:eastAsiaTheme="minorEastAsia"/>
          <w:bCs/>
          <w:noProof/>
          <w:lang w:val="fr-FR" w:eastAsia="en-US"/>
        </w:rPr>
      </w:pPr>
    </w:p>
    <w:p>
      <w:pPr>
        <w:spacing w:line="240" w:lineRule="auto"/>
        <w:rPr>
          <w:rFonts w:eastAsiaTheme="minorEastAsia"/>
          <w:b/>
          <w:noProof/>
          <w:lang w:val="fr-FR" w:eastAsia="en-US"/>
        </w:rPr>
      </w:pPr>
      <w:r>
        <w:rPr>
          <w:rFonts w:eastAsiaTheme="minorEastAsia"/>
          <w:b/>
          <w:noProof/>
          <w:lang w:val="fr-FR" w:eastAsia="en-US"/>
        </w:rPr>
        <w:t>AT</w:t>
      </w:r>
    </w:p>
    <w:p>
      <w:pPr>
        <w:spacing w:line="240" w:lineRule="auto"/>
        <w:rPr>
          <w:rFonts w:eastAsiaTheme="minorEastAsia"/>
          <w:noProof/>
          <w:lang w:val="fr-FR" w:eastAsia="en-US"/>
        </w:rPr>
      </w:pPr>
      <w:r>
        <w:rPr>
          <w:noProof/>
          <w:lang w:val="fr-CA"/>
        </w:rPr>
        <w:t>Pour les questions de résidence et de visas :</w:t>
      </w:r>
    </w:p>
    <w:p>
      <w:pPr>
        <w:spacing w:line="240" w:lineRule="auto"/>
        <w:ind w:left="567"/>
        <w:rPr>
          <w:rFonts w:eastAsiaTheme="minorHAnsi"/>
          <w:noProof/>
          <w:szCs w:val="22"/>
          <w:lang w:val="fr-FR" w:eastAsia="en-US"/>
        </w:rPr>
      </w:pPr>
      <w:r>
        <w:rPr>
          <w:noProof/>
          <w:lang w:val="fr-CA"/>
        </w:rPr>
        <w:t>Département III/4 – Résidence, État civil et Citoyenneté</w:t>
      </w:r>
    </w:p>
    <w:p>
      <w:pPr>
        <w:spacing w:line="240" w:lineRule="auto"/>
        <w:ind w:left="567"/>
        <w:rPr>
          <w:rFonts w:eastAsiaTheme="minorHAnsi"/>
          <w:noProof/>
          <w:szCs w:val="22"/>
          <w:lang w:val="fr-FR" w:eastAsia="en-US"/>
        </w:rPr>
      </w:pPr>
      <w:r>
        <w:rPr>
          <w:noProof/>
          <w:lang w:val="fr-CA"/>
        </w:rPr>
        <w:t>Ministère fédéral de l’Intérieur</w:t>
      </w:r>
    </w:p>
    <w:p>
      <w:pPr>
        <w:spacing w:line="240" w:lineRule="auto"/>
        <w:ind w:left="567"/>
        <w:rPr>
          <w:rFonts w:eastAsiaTheme="minorHAnsi"/>
          <w:noProof/>
          <w:szCs w:val="22"/>
          <w:lang w:val="fr-FR" w:eastAsia="en-US"/>
        </w:rPr>
      </w:pPr>
    </w:p>
    <w:p>
      <w:pPr>
        <w:spacing w:line="240" w:lineRule="auto"/>
        <w:rPr>
          <w:rFonts w:eastAsiaTheme="minorEastAsia"/>
          <w:noProof/>
          <w:lang w:val="fr-FR" w:eastAsia="en-US"/>
        </w:rPr>
      </w:pPr>
      <w:r>
        <w:rPr>
          <w:noProof/>
          <w:lang w:val="fr-CA"/>
        </w:rPr>
        <w:t>Pour les questions relatives au marché du travail :</w:t>
      </w:r>
    </w:p>
    <w:p>
      <w:pPr>
        <w:spacing w:line="240" w:lineRule="auto"/>
        <w:ind w:left="567"/>
        <w:rPr>
          <w:rFonts w:eastAsiaTheme="minorHAnsi"/>
          <w:noProof/>
          <w:szCs w:val="22"/>
          <w:lang w:val="fr-FR" w:eastAsia="en-US"/>
        </w:rPr>
      </w:pPr>
      <w:r>
        <w:rPr>
          <w:noProof/>
          <w:lang w:val="fr-CA"/>
        </w:rPr>
        <w:t>Législation sur le marché du travail de l’UE et affaires internationales relatives à la législation sur le marché du travail</w:t>
      </w:r>
    </w:p>
    <w:p>
      <w:pPr>
        <w:spacing w:line="240" w:lineRule="auto"/>
        <w:ind w:left="567"/>
        <w:rPr>
          <w:rFonts w:eastAsiaTheme="minorEastAsia"/>
          <w:noProof/>
          <w:lang w:val="fr-FR" w:eastAsia="en-US"/>
        </w:rPr>
      </w:pPr>
      <w:r>
        <w:rPr>
          <w:noProof/>
          <w:lang w:val="fr-CA"/>
        </w:rPr>
        <w:t>Ministère fédéral du Travail, des Affaires sociales et de la Protection des consommateurs</w:t>
      </w:r>
    </w:p>
    <w:p>
      <w:pPr>
        <w:spacing w:line="240" w:lineRule="auto"/>
        <w:ind w:left="567"/>
        <w:rPr>
          <w:rFonts w:eastAsiaTheme="minorEastAsia"/>
          <w:noProof/>
          <w:lang w:val="fr-FR" w:eastAsia="en-US"/>
        </w:rPr>
      </w:pPr>
    </w:p>
    <w:p>
      <w:pPr>
        <w:autoSpaceDE w:val="0"/>
        <w:spacing w:line="240" w:lineRule="auto"/>
        <w:rPr>
          <w:rFonts w:eastAsiaTheme="minorEastAsia"/>
          <w:b/>
          <w:noProof/>
          <w:szCs w:val="24"/>
          <w:lang w:val="fr-CA"/>
        </w:rPr>
      </w:pPr>
      <w:r>
        <w:rPr>
          <w:rFonts w:eastAsiaTheme="minorEastAsia"/>
          <w:b/>
          <w:noProof/>
          <w:lang w:val="fr-CA"/>
        </w:rPr>
        <w:t>BE</w:t>
      </w:r>
    </w:p>
    <w:p>
      <w:pPr>
        <w:autoSpaceDE w:val="0"/>
        <w:spacing w:line="240" w:lineRule="auto"/>
        <w:rPr>
          <w:rFonts w:eastAsiaTheme="minorEastAsia"/>
          <w:noProof/>
          <w:szCs w:val="24"/>
          <w:lang w:val="fr-CA"/>
        </w:rPr>
      </w:pPr>
      <w:r>
        <w:rPr>
          <w:noProof/>
          <w:lang w:val="fr-CA"/>
        </w:rPr>
        <w:t>Direction générale du Potentiel économique</w:t>
      </w:r>
    </w:p>
    <w:p>
      <w:pPr>
        <w:autoSpaceDE w:val="0"/>
        <w:spacing w:line="240" w:lineRule="auto"/>
        <w:rPr>
          <w:rFonts w:eastAsiaTheme="minorEastAsia"/>
          <w:noProof/>
          <w:szCs w:val="24"/>
          <w:lang w:val="fr-CA"/>
        </w:rPr>
      </w:pPr>
      <w:r>
        <w:rPr>
          <w:noProof/>
          <w:lang w:val="fr-CA"/>
        </w:rPr>
        <w:t>Politique commerciale</w:t>
      </w:r>
    </w:p>
    <w:p>
      <w:pPr>
        <w:autoSpaceDE w:val="0"/>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BG</w:t>
      </w:r>
    </w:p>
    <w:p>
      <w:pPr>
        <w:autoSpaceDE w:val="0"/>
        <w:spacing w:line="240" w:lineRule="auto"/>
        <w:rPr>
          <w:rFonts w:eastAsiaTheme="minorEastAsia"/>
          <w:noProof/>
          <w:szCs w:val="24"/>
          <w:lang w:val="fr-CA"/>
        </w:rPr>
      </w:pPr>
      <w:r>
        <w:rPr>
          <w:noProof/>
          <w:lang w:val="fr-CA"/>
        </w:rPr>
        <w:t>Directeur de la migration internationale des travailleurs et de la médiation</w:t>
      </w:r>
    </w:p>
    <w:p>
      <w:pPr>
        <w:autoSpaceDE w:val="0"/>
        <w:spacing w:line="240" w:lineRule="auto"/>
        <w:rPr>
          <w:rFonts w:eastAsiaTheme="minorEastAsia"/>
          <w:noProof/>
          <w:szCs w:val="24"/>
          <w:lang w:val="fr-CA"/>
        </w:rPr>
      </w:pPr>
      <w:r>
        <w:rPr>
          <w:noProof/>
          <w:lang w:val="fr-CA"/>
        </w:rPr>
        <w:t>Agence de placement</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CY</w:t>
      </w:r>
    </w:p>
    <w:p>
      <w:pPr>
        <w:autoSpaceDE w:val="0"/>
        <w:spacing w:line="240" w:lineRule="auto"/>
        <w:rPr>
          <w:rFonts w:eastAsiaTheme="minorEastAsia"/>
          <w:noProof/>
          <w:szCs w:val="24"/>
          <w:lang w:val="fr-CA"/>
        </w:rPr>
      </w:pPr>
      <w:r>
        <w:rPr>
          <w:noProof/>
          <w:lang w:val="fr-CA"/>
        </w:rPr>
        <w:t>Directeur du Département de l’état civil et des migrations</w:t>
      </w:r>
    </w:p>
    <w:p>
      <w:pPr>
        <w:spacing w:line="240" w:lineRule="auto"/>
        <w:rPr>
          <w:rFonts w:eastAsiaTheme="minorEastAsia"/>
          <w:bCs/>
          <w:noProof/>
          <w:lang w:val="fr-FR" w:eastAsia="en-US"/>
        </w:rPr>
      </w:pPr>
      <w:r>
        <w:rPr>
          <w:noProof/>
          <w:lang w:val="fr-CA"/>
        </w:rPr>
        <w:t>Ministère de l’Intérieur</w:t>
      </w:r>
    </w:p>
    <w:p>
      <w:pPr>
        <w:spacing w:line="240" w:lineRule="auto"/>
        <w:rPr>
          <w:rFonts w:eastAsiaTheme="minorEastAsia"/>
          <w:bCs/>
          <w:noProof/>
          <w:lang w:val="fr-FR" w:eastAsia="en-US"/>
        </w:rPr>
      </w:pPr>
    </w:p>
    <w:p>
      <w:pPr>
        <w:widowControl/>
        <w:spacing w:line="240" w:lineRule="auto"/>
        <w:rPr>
          <w:rFonts w:eastAsiaTheme="minorEastAsia"/>
          <w:b/>
          <w:noProof/>
          <w:lang w:val="fr-FR" w:eastAsia="en-US"/>
        </w:rPr>
      </w:pPr>
      <w:r>
        <w:rPr>
          <w:rFonts w:eastAsiaTheme="minorEastAsia"/>
          <w:b/>
          <w:noProof/>
          <w:lang w:val="fr-FR" w:eastAsia="en-US"/>
        </w:rPr>
        <w:br w:type="page"/>
      </w:r>
    </w:p>
    <w:p>
      <w:pPr>
        <w:autoSpaceDE w:val="0"/>
        <w:spacing w:line="240" w:lineRule="auto"/>
        <w:rPr>
          <w:rFonts w:eastAsiaTheme="minorEastAsia"/>
          <w:b/>
          <w:noProof/>
          <w:szCs w:val="24"/>
          <w:lang w:val="fr-CA"/>
        </w:rPr>
      </w:pPr>
      <w:r>
        <w:rPr>
          <w:rFonts w:eastAsiaTheme="minorEastAsia"/>
          <w:b/>
          <w:noProof/>
          <w:lang w:val="fr-CA"/>
        </w:rPr>
        <w:t>CZ</w:t>
      </w:r>
    </w:p>
    <w:p>
      <w:pPr>
        <w:autoSpaceDE w:val="0"/>
        <w:spacing w:line="240" w:lineRule="auto"/>
        <w:rPr>
          <w:rFonts w:eastAsiaTheme="minorEastAsia"/>
          <w:noProof/>
          <w:szCs w:val="24"/>
          <w:lang w:val="fr-CA"/>
        </w:rPr>
      </w:pPr>
      <w:r>
        <w:rPr>
          <w:noProof/>
          <w:lang w:val="fr-CA"/>
        </w:rPr>
        <w:t>Ministère de l’Industrie et du Commerce</w:t>
      </w:r>
    </w:p>
    <w:p>
      <w:pPr>
        <w:autoSpaceDE w:val="0"/>
        <w:spacing w:line="240" w:lineRule="auto"/>
        <w:rPr>
          <w:rFonts w:eastAsiaTheme="minorEastAsia"/>
          <w:noProof/>
          <w:szCs w:val="24"/>
          <w:lang w:val="fr-CA"/>
        </w:rPr>
      </w:pPr>
      <w:r>
        <w:rPr>
          <w:noProof/>
          <w:lang w:val="fr-CA"/>
        </w:rPr>
        <w:t>Département des Politiques commerciales communes et des Organisations économiques internationales</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DE</w:t>
      </w:r>
    </w:p>
    <w:p>
      <w:pPr>
        <w:autoSpaceDE w:val="0"/>
        <w:spacing w:line="240" w:lineRule="auto"/>
        <w:rPr>
          <w:rFonts w:eastAsiaTheme="minorEastAsia"/>
          <w:noProof/>
          <w:szCs w:val="24"/>
          <w:lang w:val="fr-CA"/>
        </w:rPr>
      </w:pPr>
      <w:r>
        <w:rPr>
          <w:noProof/>
          <w:lang w:val="fr-CA"/>
        </w:rPr>
        <w:t>Conseiller de l’AECG</w:t>
      </w:r>
    </w:p>
    <w:p>
      <w:pPr>
        <w:autoSpaceDE w:val="0"/>
        <w:spacing w:line="240" w:lineRule="auto"/>
        <w:rPr>
          <w:rFonts w:eastAsiaTheme="minorEastAsia"/>
          <w:noProof/>
          <w:szCs w:val="24"/>
          <w:lang w:val="fr-CA"/>
        </w:rPr>
      </w:pPr>
      <w:r>
        <w:rPr>
          <w:noProof/>
          <w:lang w:val="fr-CA"/>
        </w:rPr>
        <w:t>Chambre canadienne allemande de l’industrie et du commerce inc.</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DK</w:t>
      </w:r>
    </w:p>
    <w:p>
      <w:pPr>
        <w:autoSpaceDE w:val="0"/>
        <w:spacing w:line="240" w:lineRule="auto"/>
        <w:rPr>
          <w:rFonts w:eastAsiaTheme="minorEastAsia"/>
          <w:noProof/>
          <w:szCs w:val="24"/>
          <w:lang w:val="fr-CA"/>
        </w:rPr>
      </w:pPr>
      <w:r>
        <w:rPr>
          <w:noProof/>
          <w:lang w:val="fr-CA"/>
        </w:rPr>
        <w:t>Agence danoise du marché du travail et du recrutement</w:t>
      </w:r>
    </w:p>
    <w:p>
      <w:pPr>
        <w:autoSpaceDE w:val="0"/>
        <w:spacing w:line="240" w:lineRule="auto"/>
        <w:rPr>
          <w:rFonts w:eastAsiaTheme="minorEastAsia"/>
          <w:noProof/>
          <w:szCs w:val="24"/>
          <w:lang w:val="fr-CA"/>
        </w:rPr>
      </w:pPr>
      <w:r>
        <w:rPr>
          <w:noProof/>
          <w:lang w:val="fr-CA"/>
        </w:rPr>
        <w:t>Ministère de l’Emploi</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EE</w:t>
      </w:r>
    </w:p>
    <w:p>
      <w:pPr>
        <w:autoSpaceDE w:val="0"/>
        <w:spacing w:line="240" w:lineRule="auto"/>
        <w:rPr>
          <w:rFonts w:eastAsiaTheme="minorEastAsia"/>
          <w:noProof/>
          <w:szCs w:val="24"/>
          <w:lang w:val="fr-CA"/>
        </w:rPr>
      </w:pPr>
      <w:r>
        <w:rPr>
          <w:noProof/>
          <w:lang w:val="fr-CA"/>
        </w:rPr>
        <w:t>Chef du Département de la migration et de la politique frontalière</w:t>
      </w:r>
    </w:p>
    <w:p>
      <w:pPr>
        <w:autoSpaceDE w:val="0"/>
        <w:spacing w:line="240" w:lineRule="auto"/>
        <w:rPr>
          <w:rFonts w:eastAsiaTheme="minorEastAsia"/>
          <w:noProof/>
          <w:szCs w:val="24"/>
          <w:lang w:val="fr-CA"/>
        </w:rPr>
      </w:pPr>
      <w:r>
        <w:rPr>
          <w:noProof/>
          <w:lang w:val="fr-CA"/>
        </w:rPr>
        <w:t>Ministère de l’Intérieur de l’Estonie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EL</w:t>
      </w:r>
    </w:p>
    <w:p>
      <w:pPr>
        <w:autoSpaceDE w:val="0"/>
        <w:spacing w:line="240" w:lineRule="auto"/>
        <w:rPr>
          <w:rFonts w:eastAsiaTheme="minorEastAsia"/>
          <w:noProof/>
          <w:szCs w:val="24"/>
          <w:lang w:val="fr-CA"/>
        </w:rPr>
      </w:pPr>
      <w:r>
        <w:rPr>
          <w:noProof/>
          <w:lang w:val="fr-CA"/>
        </w:rPr>
        <w:t>Direction de la Justice, des Affaires intérieures et des Affaires Schengen</w:t>
      </w:r>
    </w:p>
    <w:p>
      <w:pPr>
        <w:autoSpaceDE w:val="0"/>
        <w:spacing w:line="240" w:lineRule="auto"/>
        <w:rPr>
          <w:rFonts w:eastAsiaTheme="minorEastAsia"/>
          <w:noProof/>
          <w:szCs w:val="24"/>
          <w:lang w:val="fr-CA"/>
        </w:rPr>
      </w:pPr>
      <w:r>
        <w:rPr>
          <w:noProof/>
          <w:lang w:val="fr-CA"/>
        </w:rPr>
        <w:t>Ministère des Affaires étrangères</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ES</w:t>
      </w:r>
    </w:p>
    <w:p>
      <w:pPr>
        <w:autoSpaceDE w:val="0"/>
        <w:spacing w:line="240" w:lineRule="auto"/>
        <w:rPr>
          <w:rFonts w:eastAsiaTheme="minorEastAsia"/>
          <w:noProof/>
          <w:szCs w:val="24"/>
          <w:lang w:val="fr-CA"/>
        </w:rPr>
      </w:pPr>
      <w:r>
        <w:rPr>
          <w:noProof/>
          <w:lang w:val="fr-CA"/>
        </w:rPr>
        <w:t>Ministère de l’Emploi et de la Sécurité sociale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FI</w:t>
      </w:r>
    </w:p>
    <w:p>
      <w:pPr>
        <w:autoSpaceDE w:val="0"/>
        <w:spacing w:line="240" w:lineRule="auto"/>
        <w:rPr>
          <w:rFonts w:eastAsiaTheme="minorEastAsia"/>
          <w:noProof/>
          <w:szCs w:val="24"/>
          <w:lang w:val="fr-CA"/>
        </w:rPr>
      </w:pPr>
      <w:r>
        <w:rPr>
          <w:noProof/>
          <w:lang w:val="fr-CA"/>
        </w:rPr>
        <w:t>Unité de l’immigration, Section des personnes occupant un emploi</w:t>
      </w:r>
    </w:p>
    <w:p>
      <w:pPr>
        <w:autoSpaceDE w:val="0"/>
        <w:spacing w:line="240" w:lineRule="auto"/>
        <w:rPr>
          <w:rFonts w:eastAsiaTheme="minorEastAsia"/>
          <w:noProof/>
          <w:szCs w:val="24"/>
          <w:lang w:val="fr-CA"/>
        </w:rPr>
      </w:pPr>
      <w:r>
        <w:rPr>
          <w:noProof/>
          <w:lang w:val="fr-CA"/>
        </w:rPr>
        <w:t>Service finlandais de l’immigration</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FR</w:t>
      </w:r>
    </w:p>
    <w:p>
      <w:pPr>
        <w:autoSpaceDE w:val="0"/>
        <w:spacing w:line="240" w:lineRule="auto"/>
        <w:rPr>
          <w:rFonts w:eastAsiaTheme="minorEastAsia"/>
          <w:noProof/>
          <w:szCs w:val="24"/>
          <w:lang w:val="fr-CA"/>
        </w:rPr>
      </w:pPr>
      <w:r>
        <w:rPr>
          <w:noProof/>
          <w:lang w:val="fr-CA"/>
        </w:rPr>
        <w:t>Direction générale des étrangers en France (DGEF)</w:t>
      </w:r>
    </w:p>
    <w:p>
      <w:pPr>
        <w:autoSpaceDE w:val="0"/>
        <w:spacing w:line="240" w:lineRule="auto"/>
        <w:rPr>
          <w:rFonts w:eastAsiaTheme="minorEastAsia"/>
          <w:noProof/>
          <w:szCs w:val="24"/>
          <w:lang w:val="fr-CA"/>
        </w:rPr>
      </w:pPr>
      <w:r>
        <w:rPr>
          <w:noProof/>
          <w:lang w:val="fr-CA"/>
        </w:rPr>
        <w:t>Ministère de l’Intérieur</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HR</w:t>
      </w:r>
    </w:p>
    <w:p>
      <w:pPr>
        <w:autoSpaceDE w:val="0"/>
        <w:spacing w:line="240" w:lineRule="auto"/>
        <w:rPr>
          <w:rFonts w:eastAsiaTheme="minorEastAsia"/>
          <w:noProof/>
          <w:szCs w:val="24"/>
          <w:lang w:val="fr-CA"/>
        </w:rPr>
      </w:pPr>
      <w:r>
        <w:rPr>
          <w:noProof/>
          <w:lang w:val="fr-CA"/>
        </w:rPr>
        <w:t>Chef du Département de la politique commerciale</w:t>
      </w:r>
    </w:p>
    <w:p>
      <w:pPr>
        <w:autoSpaceDE w:val="0"/>
        <w:spacing w:line="240" w:lineRule="auto"/>
        <w:rPr>
          <w:rFonts w:eastAsiaTheme="minorEastAsia"/>
          <w:noProof/>
          <w:szCs w:val="24"/>
          <w:lang w:val="fr-CA"/>
        </w:rPr>
      </w:pPr>
      <w:r>
        <w:rPr>
          <w:noProof/>
          <w:lang w:val="fr-CA"/>
        </w:rPr>
        <w:t xml:space="preserve">Ministère des Affaires étrangères et européennes </w:t>
      </w:r>
    </w:p>
    <w:p>
      <w:pPr>
        <w:autoSpaceDE w:val="0"/>
        <w:spacing w:line="240" w:lineRule="auto"/>
        <w:rPr>
          <w:rFonts w:eastAsiaTheme="minorEastAsia"/>
          <w:b/>
          <w:noProof/>
          <w:lang w:val="fr-CA"/>
        </w:rPr>
      </w:pPr>
    </w:p>
    <w:p>
      <w:pPr>
        <w:widowControl/>
        <w:spacing w:line="240" w:lineRule="auto"/>
        <w:rPr>
          <w:rFonts w:eastAsiaTheme="minorEastAsia"/>
          <w:noProof/>
          <w:szCs w:val="24"/>
          <w:lang w:val="fr-CA"/>
        </w:rPr>
      </w:pPr>
      <w:r>
        <w:rPr>
          <w:rFonts w:eastAsiaTheme="minorEastAsia"/>
          <w:noProof/>
          <w:szCs w:val="24"/>
          <w:lang w:val="fr-CA"/>
        </w:rPr>
        <w:br w:type="page"/>
      </w:r>
    </w:p>
    <w:p>
      <w:pPr>
        <w:autoSpaceDE w:val="0"/>
        <w:spacing w:line="240" w:lineRule="auto"/>
        <w:rPr>
          <w:rFonts w:eastAsiaTheme="minorEastAsia"/>
          <w:b/>
          <w:noProof/>
          <w:szCs w:val="24"/>
          <w:lang w:val="fr-CA"/>
        </w:rPr>
      </w:pPr>
      <w:r>
        <w:rPr>
          <w:rFonts w:eastAsiaTheme="minorEastAsia"/>
          <w:b/>
          <w:noProof/>
          <w:lang w:val="fr-CA"/>
        </w:rPr>
        <w:t>HU</w:t>
      </w:r>
    </w:p>
    <w:p>
      <w:pPr>
        <w:autoSpaceDE w:val="0"/>
        <w:spacing w:line="240" w:lineRule="auto"/>
        <w:rPr>
          <w:rFonts w:eastAsiaTheme="minorEastAsia"/>
          <w:noProof/>
          <w:szCs w:val="24"/>
          <w:lang w:val="fr-CA"/>
        </w:rPr>
      </w:pPr>
      <w:r>
        <w:rPr>
          <w:noProof/>
          <w:lang w:val="fr-CA"/>
        </w:rPr>
        <w:t>Département de la politique commerciale et de l’économie mondiale</w:t>
      </w:r>
    </w:p>
    <w:p>
      <w:pPr>
        <w:autoSpaceDE w:val="0"/>
        <w:spacing w:line="240" w:lineRule="auto"/>
        <w:rPr>
          <w:rFonts w:eastAsiaTheme="minorEastAsia"/>
          <w:noProof/>
          <w:szCs w:val="24"/>
          <w:lang w:val="fr-CA"/>
        </w:rPr>
      </w:pPr>
      <w:r>
        <w:rPr>
          <w:noProof/>
          <w:lang w:val="fr-CA"/>
        </w:rPr>
        <w:t>Ministère des Affaires étrangères</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IE</w:t>
      </w:r>
    </w:p>
    <w:p>
      <w:pPr>
        <w:autoSpaceDE w:val="0"/>
        <w:spacing w:line="240" w:lineRule="auto"/>
        <w:rPr>
          <w:rFonts w:eastAsiaTheme="minorEastAsia"/>
          <w:noProof/>
          <w:szCs w:val="24"/>
          <w:lang w:val="fr-CA"/>
        </w:rPr>
      </w:pPr>
      <w:r>
        <w:rPr>
          <w:noProof/>
          <w:lang w:val="fr-CA"/>
        </w:rPr>
        <w:t>Direction de la politique de l’immigration et de la citoyenneté</w:t>
      </w:r>
    </w:p>
    <w:p>
      <w:pPr>
        <w:autoSpaceDE w:val="0"/>
        <w:spacing w:line="240" w:lineRule="auto"/>
        <w:rPr>
          <w:rFonts w:eastAsiaTheme="minorEastAsia"/>
          <w:noProof/>
          <w:szCs w:val="24"/>
          <w:lang w:val="fr-CA"/>
        </w:rPr>
      </w:pPr>
      <w:r>
        <w:rPr>
          <w:noProof/>
          <w:lang w:val="fr-CA"/>
        </w:rPr>
        <w:t>Service irlandais de naturalisation et d’immigration</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IT</w:t>
      </w:r>
    </w:p>
    <w:p>
      <w:pPr>
        <w:autoSpaceDE w:val="0"/>
        <w:spacing w:line="240" w:lineRule="auto"/>
        <w:rPr>
          <w:rFonts w:eastAsiaTheme="minorEastAsia"/>
          <w:noProof/>
          <w:szCs w:val="24"/>
          <w:lang w:val="fr-CA"/>
        </w:rPr>
      </w:pPr>
      <w:r>
        <w:rPr>
          <w:noProof/>
          <w:lang w:val="fr-CA"/>
        </w:rPr>
        <w:t>Direction générale de la politique commerciale</w:t>
      </w:r>
    </w:p>
    <w:p>
      <w:pPr>
        <w:autoSpaceDE w:val="0"/>
        <w:spacing w:line="240" w:lineRule="auto"/>
        <w:rPr>
          <w:rFonts w:eastAsiaTheme="minorEastAsia"/>
          <w:noProof/>
          <w:szCs w:val="24"/>
          <w:lang w:val="fr-CA"/>
        </w:rPr>
      </w:pPr>
      <w:r>
        <w:rPr>
          <w:noProof/>
          <w:lang w:val="fr-CA"/>
        </w:rPr>
        <w:t>Ministère du Développement économique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LT</w:t>
      </w:r>
    </w:p>
    <w:p>
      <w:pPr>
        <w:autoSpaceDE w:val="0"/>
        <w:spacing w:line="240" w:lineRule="auto"/>
        <w:rPr>
          <w:rFonts w:eastAsiaTheme="minorEastAsia"/>
          <w:noProof/>
          <w:szCs w:val="24"/>
          <w:lang w:val="fr-CA"/>
        </w:rPr>
      </w:pPr>
      <w:r>
        <w:rPr>
          <w:noProof/>
          <w:lang w:val="fr-CA"/>
        </w:rPr>
        <w:t xml:space="preserve">Direction des organisations économiques internationales </w:t>
      </w:r>
    </w:p>
    <w:p>
      <w:pPr>
        <w:autoSpaceDE w:val="0"/>
        <w:spacing w:line="240" w:lineRule="auto"/>
        <w:rPr>
          <w:rFonts w:eastAsiaTheme="minorEastAsia"/>
          <w:noProof/>
          <w:szCs w:val="24"/>
          <w:lang w:val="fr-CA"/>
        </w:rPr>
      </w:pPr>
      <w:r>
        <w:rPr>
          <w:noProof/>
          <w:lang w:val="fr-CA"/>
        </w:rPr>
        <w:t xml:space="preserve">Département des relations économiques extérieures </w:t>
      </w:r>
    </w:p>
    <w:p>
      <w:pPr>
        <w:autoSpaceDE w:val="0"/>
        <w:spacing w:line="240" w:lineRule="auto"/>
        <w:rPr>
          <w:rFonts w:eastAsiaTheme="minorEastAsia"/>
          <w:noProof/>
          <w:szCs w:val="24"/>
          <w:lang w:val="fr-CA"/>
        </w:rPr>
      </w:pPr>
      <w:r>
        <w:rPr>
          <w:noProof/>
          <w:lang w:val="fr-CA"/>
        </w:rPr>
        <w:t>Ministère des Affaires étrangères de la République de Lituanie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LU</w:t>
      </w:r>
    </w:p>
    <w:p>
      <w:pPr>
        <w:autoSpaceDE w:val="0"/>
        <w:spacing w:line="240" w:lineRule="auto"/>
        <w:rPr>
          <w:rFonts w:eastAsiaTheme="minorEastAsia"/>
          <w:noProof/>
          <w:szCs w:val="24"/>
          <w:lang w:val="fr-CA"/>
        </w:rPr>
      </w:pPr>
      <w:r>
        <w:rPr>
          <w:noProof/>
          <w:lang w:val="fr-CA"/>
        </w:rPr>
        <w:t>Bureau des passeports, visas et légalisations</w:t>
      </w:r>
    </w:p>
    <w:p>
      <w:pPr>
        <w:autoSpaceDE w:val="0"/>
        <w:spacing w:line="240" w:lineRule="auto"/>
        <w:rPr>
          <w:rFonts w:eastAsiaTheme="minorEastAsia"/>
          <w:noProof/>
          <w:szCs w:val="24"/>
          <w:lang w:val="fr-CA"/>
        </w:rPr>
      </w:pPr>
      <w:r>
        <w:rPr>
          <w:noProof/>
          <w:lang w:val="fr-CA"/>
        </w:rPr>
        <w:t>Ministère des Affaires étrangères</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LV</w:t>
      </w:r>
    </w:p>
    <w:p>
      <w:pPr>
        <w:autoSpaceDE w:val="0"/>
        <w:spacing w:line="240" w:lineRule="auto"/>
        <w:rPr>
          <w:rFonts w:eastAsiaTheme="minorEastAsia"/>
          <w:noProof/>
          <w:szCs w:val="24"/>
          <w:lang w:val="fr-CA"/>
        </w:rPr>
      </w:pPr>
      <w:r>
        <w:rPr>
          <w:noProof/>
          <w:lang w:val="fr-CA"/>
        </w:rPr>
        <w:t>Bureau de la citoyenneté et de la migration de la Lettonie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MT</w:t>
      </w:r>
    </w:p>
    <w:p>
      <w:pPr>
        <w:autoSpaceDE w:val="0"/>
        <w:spacing w:line="240" w:lineRule="auto"/>
        <w:rPr>
          <w:rFonts w:eastAsiaTheme="minorEastAsia"/>
          <w:noProof/>
          <w:szCs w:val="24"/>
          <w:lang w:val="fr-CA"/>
        </w:rPr>
      </w:pPr>
      <w:r>
        <w:rPr>
          <w:noProof/>
          <w:lang w:val="fr-CA"/>
        </w:rPr>
        <w:t>Directeur de la citoyenneté et de l’expatriation</w:t>
      </w:r>
    </w:p>
    <w:p>
      <w:pPr>
        <w:autoSpaceDE w:val="0"/>
        <w:spacing w:line="240" w:lineRule="auto"/>
        <w:rPr>
          <w:rFonts w:eastAsiaTheme="minorEastAsia"/>
          <w:noProof/>
          <w:szCs w:val="24"/>
          <w:lang w:val="fr-CA"/>
        </w:rPr>
      </w:pPr>
      <w:r>
        <w:rPr>
          <w:noProof/>
          <w:lang w:val="fr-CA"/>
        </w:rPr>
        <w:t>Département de la citoyenneté et de l’expatriation</w:t>
      </w:r>
    </w:p>
    <w:p>
      <w:pPr>
        <w:autoSpaceDE w:val="0"/>
        <w:spacing w:line="240" w:lineRule="auto"/>
        <w:rPr>
          <w:rFonts w:eastAsiaTheme="minorEastAsia"/>
          <w:noProof/>
          <w:szCs w:val="24"/>
          <w:lang w:val="fr-CA"/>
        </w:rPr>
      </w:pPr>
      <w:r>
        <w:rPr>
          <w:noProof/>
          <w:lang w:val="fr-CA"/>
        </w:rPr>
        <w:t>Ministère de l’Intérieur et de la Sécurité nationale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NL</w:t>
      </w:r>
    </w:p>
    <w:p>
      <w:pPr>
        <w:autoSpaceDE w:val="0"/>
        <w:spacing w:line="240" w:lineRule="auto"/>
        <w:rPr>
          <w:rFonts w:eastAsiaTheme="minorEastAsia"/>
          <w:noProof/>
          <w:szCs w:val="24"/>
          <w:lang w:val="fr-CA"/>
        </w:rPr>
      </w:pPr>
      <w:r>
        <w:rPr>
          <w:noProof/>
          <w:lang w:val="fr-CA"/>
        </w:rPr>
        <w:t>Direction générale des relations économiques extérieures</w:t>
      </w:r>
    </w:p>
    <w:p>
      <w:pPr>
        <w:autoSpaceDE w:val="0"/>
        <w:spacing w:line="240" w:lineRule="auto"/>
        <w:rPr>
          <w:rFonts w:eastAsiaTheme="minorEastAsia"/>
          <w:noProof/>
          <w:szCs w:val="24"/>
          <w:lang w:val="fr-CA"/>
        </w:rPr>
      </w:pPr>
      <w:r>
        <w:rPr>
          <w:noProof/>
          <w:lang w:val="fr-CA"/>
        </w:rPr>
        <w:t>Ministère des Affaires étrangères</w:t>
      </w:r>
    </w:p>
    <w:p>
      <w:pPr>
        <w:autoSpaceDE w:val="0"/>
        <w:spacing w:line="240" w:lineRule="auto"/>
        <w:rPr>
          <w:rFonts w:eastAsiaTheme="minorEastAsia"/>
          <w:b/>
          <w:noProof/>
          <w:lang w:val="fr-CA"/>
        </w:rPr>
      </w:pPr>
    </w:p>
    <w:p>
      <w:pPr>
        <w:widowControl/>
        <w:spacing w:line="240" w:lineRule="auto"/>
        <w:rPr>
          <w:rFonts w:eastAsiaTheme="minorEastAsia"/>
          <w:b/>
          <w:noProof/>
          <w:szCs w:val="24"/>
          <w:lang w:val="fr-CA"/>
        </w:rPr>
      </w:pPr>
      <w:r>
        <w:rPr>
          <w:rFonts w:eastAsiaTheme="minorEastAsia"/>
          <w:b/>
          <w:noProof/>
          <w:szCs w:val="24"/>
          <w:lang w:val="fr-CA"/>
        </w:rPr>
        <w:br w:type="page"/>
      </w:r>
    </w:p>
    <w:p>
      <w:pPr>
        <w:autoSpaceDE w:val="0"/>
        <w:spacing w:line="240" w:lineRule="auto"/>
        <w:rPr>
          <w:rFonts w:eastAsiaTheme="minorEastAsia"/>
          <w:b/>
          <w:noProof/>
          <w:szCs w:val="24"/>
          <w:lang w:val="fr-CA"/>
        </w:rPr>
      </w:pPr>
    </w:p>
    <w:p>
      <w:pPr>
        <w:autoSpaceDE w:val="0"/>
        <w:spacing w:line="240" w:lineRule="auto"/>
        <w:rPr>
          <w:rFonts w:eastAsiaTheme="minorEastAsia"/>
          <w:b/>
          <w:noProof/>
          <w:szCs w:val="24"/>
          <w:lang w:val="fr-CA"/>
        </w:rPr>
      </w:pPr>
    </w:p>
    <w:p>
      <w:pPr>
        <w:autoSpaceDE w:val="0"/>
        <w:spacing w:line="240" w:lineRule="auto"/>
        <w:rPr>
          <w:rFonts w:eastAsiaTheme="minorEastAsia"/>
          <w:b/>
          <w:noProof/>
          <w:szCs w:val="24"/>
          <w:lang w:val="fr-CA"/>
        </w:rPr>
      </w:pPr>
      <w:r>
        <w:rPr>
          <w:rFonts w:eastAsiaTheme="minorEastAsia"/>
          <w:b/>
          <w:noProof/>
          <w:lang w:val="fr-CA"/>
        </w:rPr>
        <w:t>PT</w:t>
      </w:r>
    </w:p>
    <w:p>
      <w:pPr>
        <w:autoSpaceDE w:val="0"/>
        <w:spacing w:line="240" w:lineRule="auto"/>
        <w:rPr>
          <w:rFonts w:eastAsiaTheme="minorEastAsia"/>
          <w:noProof/>
          <w:szCs w:val="24"/>
          <w:lang w:val="fr-CA"/>
        </w:rPr>
      </w:pPr>
      <w:r>
        <w:rPr>
          <w:noProof/>
          <w:lang w:val="fr-CA"/>
        </w:rPr>
        <w:t>Direction générale des affaires consulaires et des communautés portugaises</w:t>
      </w:r>
    </w:p>
    <w:p>
      <w:pPr>
        <w:autoSpaceDE w:val="0"/>
        <w:spacing w:line="240" w:lineRule="auto"/>
        <w:rPr>
          <w:rFonts w:eastAsiaTheme="minorEastAsia"/>
          <w:noProof/>
          <w:szCs w:val="24"/>
          <w:lang w:val="fr-CA"/>
        </w:rPr>
      </w:pPr>
      <w:r>
        <w:rPr>
          <w:noProof/>
          <w:lang w:val="fr-CA"/>
        </w:rPr>
        <w:t>Ministère des Affaires étrangères</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PL</w:t>
      </w:r>
    </w:p>
    <w:p>
      <w:pPr>
        <w:autoSpaceDE w:val="0"/>
        <w:spacing w:line="240" w:lineRule="auto"/>
        <w:rPr>
          <w:rFonts w:eastAsiaTheme="minorEastAsia"/>
          <w:noProof/>
          <w:szCs w:val="24"/>
          <w:lang w:val="fr-CA"/>
        </w:rPr>
      </w:pPr>
      <w:r>
        <w:rPr>
          <w:noProof/>
          <w:lang w:val="fr-CA"/>
        </w:rPr>
        <w:t>Département de la politique commerciale</w:t>
      </w:r>
    </w:p>
    <w:p>
      <w:pPr>
        <w:autoSpaceDE w:val="0"/>
        <w:spacing w:line="240" w:lineRule="auto"/>
        <w:rPr>
          <w:rFonts w:eastAsiaTheme="minorEastAsia"/>
          <w:noProof/>
          <w:szCs w:val="24"/>
          <w:lang w:val="fr-CA"/>
        </w:rPr>
      </w:pPr>
      <w:r>
        <w:rPr>
          <w:noProof/>
          <w:lang w:val="fr-CA"/>
        </w:rPr>
        <w:t>Ministère de l’Économie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RO</w:t>
      </w:r>
    </w:p>
    <w:p>
      <w:pPr>
        <w:autoSpaceDE w:val="0"/>
        <w:spacing w:line="240" w:lineRule="auto"/>
        <w:rPr>
          <w:rFonts w:eastAsiaTheme="minorEastAsia"/>
          <w:noProof/>
          <w:szCs w:val="24"/>
          <w:lang w:val="fr-CA"/>
        </w:rPr>
      </w:pPr>
      <w:r>
        <w:rPr>
          <w:noProof/>
          <w:lang w:val="fr-CA"/>
        </w:rPr>
        <w:t>Unité pour la résidence et les séjours UE, citoyens de l’EEE et pays tiers – Direction de la migration</w:t>
      </w:r>
    </w:p>
    <w:p>
      <w:pPr>
        <w:autoSpaceDE w:val="0"/>
        <w:spacing w:line="240" w:lineRule="auto"/>
        <w:rPr>
          <w:rFonts w:eastAsiaTheme="minorEastAsia"/>
          <w:noProof/>
          <w:szCs w:val="24"/>
          <w:lang w:val="fr-CA"/>
        </w:rPr>
      </w:pPr>
      <w:r>
        <w:rPr>
          <w:noProof/>
          <w:lang w:val="fr-CA"/>
        </w:rPr>
        <w:t>Inspectorat général de l’immigration (GII)</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SE</w:t>
      </w:r>
    </w:p>
    <w:p>
      <w:pPr>
        <w:autoSpaceDE w:val="0"/>
        <w:spacing w:line="240" w:lineRule="auto"/>
        <w:rPr>
          <w:rFonts w:eastAsiaTheme="minorEastAsia"/>
          <w:noProof/>
          <w:szCs w:val="24"/>
          <w:lang w:val="fr-CA"/>
        </w:rPr>
      </w:pPr>
      <w:r>
        <w:rPr>
          <w:noProof/>
          <w:lang w:val="fr-CA"/>
        </w:rPr>
        <w:t>Conseil national du commerce</w:t>
      </w:r>
    </w:p>
    <w:p>
      <w:pPr>
        <w:autoSpaceDE w:val="0"/>
        <w:spacing w:line="240" w:lineRule="auto"/>
        <w:rPr>
          <w:rFonts w:eastAsiaTheme="minorEastAsia"/>
          <w:noProof/>
          <w:szCs w:val="24"/>
          <w:lang w:val="fr-CA"/>
        </w:rPr>
      </w:pPr>
      <w:r>
        <w:rPr>
          <w:noProof/>
          <w:lang w:val="fr-CA"/>
        </w:rPr>
        <w:t>Ministère de la Justice, Direction de la politique de migration et d’asile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SI</w:t>
      </w:r>
    </w:p>
    <w:p>
      <w:pPr>
        <w:autoSpaceDE w:val="0"/>
        <w:spacing w:line="240" w:lineRule="auto"/>
        <w:rPr>
          <w:rFonts w:eastAsiaTheme="minorEastAsia"/>
          <w:noProof/>
          <w:szCs w:val="24"/>
          <w:lang w:val="fr-CA"/>
        </w:rPr>
      </w:pPr>
      <w:r>
        <w:rPr>
          <w:noProof/>
          <w:lang w:val="fr-CA"/>
        </w:rPr>
        <w:t>Direction de la politique et de la législation en matière de migration</w:t>
      </w:r>
    </w:p>
    <w:p>
      <w:pPr>
        <w:autoSpaceDE w:val="0"/>
        <w:spacing w:line="240" w:lineRule="auto"/>
        <w:rPr>
          <w:rFonts w:eastAsiaTheme="minorEastAsia"/>
          <w:noProof/>
          <w:szCs w:val="24"/>
          <w:lang w:val="fr-CA"/>
        </w:rPr>
      </w:pPr>
      <w:r>
        <w:rPr>
          <w:noProof/>
          <w:lang w:val="fr-CA"/>
        </w:rPr>
        <w:t>Bureau de la migration</w:t>
      </w:r>
    </w:p>
    <w:p>
      <w:pPr>
        <w:autoSpaceDE w:val="0"/>
        <w:spacing w:line="240" w:lineRule="auto"/>
        <w:rPr>
          <w:rFonts w:eastAsiaTheme="minorEastAsia"/>
          <w:noProof/>
          <w:szCs w:val="24"/>
          <w:lang w:val="fr-CA"/>
        </w:rPr>
      </w:pPr>
      <w:r>
        <w:rPr>
          <w:noProof/>
          <w:lang w:val="fr-CA"/>
        </w:rPr>
        <w:t xml:space="preserve">Direction des affaires administratives intérieures, de la migration et de la naturalisation </w:t>
      </w:r>
    </w:p>
    <w:p>
      <w:pPr>
        <w:autoSpaceDE w:val="0"/>
        <w:spacing w:line="240" w:lineRule="auto"/>
        <w:rPr>
          <w:rFonts w:eastAsiaTheme="minorEastAsia"/>
          <w:noProof/>
          <w:szCs w:val="24"/>
          <w:lang w:val="fr-CA"/>
        </w:rPr>
      </w:pPr>
      <w:r>
        <w:rPr>
          <w:noProof/>
          <w:lang w:val="fr-CA"/>
        </w:rPr>
        <w:t xml:space="preserve">Ministère de l’Intérieur </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SK</w:t>
      </w:r>
    </w:p>
    <w:p>
      <w:pPr>
        <w:autoSpaceDE w:val="0"/>
        <w:spacing w:line="240" w:lineRule="auto"/>
        <w:rPr>
          <w:rFonts w:eastAsiaTheme="minorEastAsia"/>
          <w:noProof/>
          <w:szCs w:val="24"/>
          <w:lang w:val="fr-CA"/>
        </w:rPr>
      </w:pPr>
      <w:r>
        <w:rPr>
          <w:noProof/>
          <w:lang w:val="fr-CA"/>
        </w:rPr>
        <w:t>Département de la police des étrangers</w:t>
      </w:r>
    </w:p>
    <w:p>
      <w:pPr>
        <w:autoSpaceDE w:val="0"/>
        <w:spacing w:line="240" w:lineRule="auto"/>
        <w:rPr>
          <w:rFonts w:eastAsiaTheme="minorEastAsia"/>
          <w:noProof/>
          <w:szCs w:val="24"/>
          <w:lang w:val="fr-CA"/>
        </w:rPr>
      </w:pPr>
      <w:r>
        <w:rPr>
          <w:noProof/>
          <w:lang w:val="fr-CA"/>
        </w:rPr>
        <w:t>Bureau de la police des frontières et des étrangers du Praesidium des forces de police</w:t>
      </w:r>
    </w:p>
    <w:p>
      <w:pPr>
        <w:autoSpaceDE w:val="0"/>
        <w:spacing w:line="240" w:lineRule="auto"/>
        <w:rPr>
          <w:rFonts w:eastAsiaTheme="minorEastAsia"/>
          <w:noProof/>
          <w:szCs w:val="24"/>
          <w:lang w:val="fr-CA"/>
        </w:rPr>
      </w:pPr>
      <w:r>
        <w:rPr>
          <w:noProof/>
          <w:lang w:val="fr-CA"/>
        </w:rPr>
        <w:t>Département de la politique commerciale</w:t>
      </w:r>
    </w:p>
    <w:p>
      <w:pPr>
        <w:autoSpaceDE w:val="0"/>
        <w:spacing w:line="240" w:lineRule="auto"/>
        <w:rPr>
          <w:rFonts w:eastAsiaTheme="minorEastAsia"/>
          <w:noProof/>
          <w:szCs w:val="24"/>
          <w:lang w:val="fr-CA"/>
        </w:rPr>
      </w:pPr>
      <w:r>
        <w:rPr>
          <w:noProof/>
          <w:lang w:val="fr-CA"/>
        </w:rPr>
        <w:t>Ministère de l’Économie</w:t>
      </w:r>
    </w:p>
    <w:p>
      <w:pPr>
        <w:autoSpaceDE w:val="0"/>
        <w:spacing w:line="240" w:lineRule="auto"/>
        <w:rPr>
          <w:rFonts w:eastAsiaTheme="minorEastAsia"/>
          <w:b/>
          <w:noProof/>
          <w:lang w:val="fr-CA"/>
        </w:rPr>
      </w:pPr>
    </w:p>
    <w:p>
      <w:pPr>
        <w:autoSpaceDE w:val="0"/>
        <w:spacing w:line="240" w:lineRule="auto"/>
        <w:rPr>
          <w:rFonts w:eastAsiaTheme="minorEastAsia"/>
          <w:b/>
          <w:noProof/>
          <w:szCs w:val="24"/>
          <w:lang w:val="fr-CA"/>
        </w:rPr>
      </w:pPr>
      <w:r>
        <w:rPr>
          <w:rFonts w:eastAsiaTheme="minorEastAsia"/>
          <w:b/>
          <w:noProof/>
          <w:lang w:val="fr-CA"/>
        </w:rPr>
        <w:t>UK</w:t>
      </w:r>
    </w:p>
    <w:p>
      <w:pPr>
        <w:autoSpaceDE w:val="0"/>
        <w:spacing w:line="240" w:lineRule="auto"/>
        <w:rPr>
          <w:rFonts w:eastAsiaTheme="minorEastAsia"/>
          <w:noProof/>
          <w:szCs w:val="24"/>
          <w:lang w:val="fr-CA"/>
        </w:rPr>
      </w:pPr>
      <w:r>
        <w:rPr>
          <w:noProof/>
          <w:lang w:val="fr-CA"/>
        </w:rPr>
        <w:t>Chef de la politique de migration</w:t>
      </w:r>
    </w:p>
    <w:p>
      <w:pPr>
        <w:autoSpaceDE w:val="0"/>
        <w:spacing w:line="240" w:lineRule="auto"/>
        <w:rPr>
          <w:rFonts w:eastAsiaTheme="minorEastAsia"/>
          <w:noProof/>
          <w:szCs w:val="24"/>
          <w:lang w:val="fr-CA"/>
        </w:rPr>
      </w:pPr>
      <w:r>
        <w:rPr>
          <w:noProof/>
          <w:lang w:val="fr-CA"/>
        </w:rPr>
        <w:t xml:space="preserve">Direction de l’immigration et de la politique des frontières </w:t>
      </w:r>
    </w:p>
    <w:p>
      <w:pPr>
        <w:spacing w:line="240" w:lineRule="auto"/>
        <w:rPr>
          <w:rFonts w:eastAsiaTheme="minorEastAsia"/>
          <w:noProof/>
          <w:lang w:val="fr-FR" w:eastAsia="en-US"/>
        </w:rPr>
      </w:pPr>
      <w:r>
        <w:rPr>
          <w:noProof/>
          <w:lang w:val="fr-CA"/>
        </w:rPr>
        <w:t>Ministère de l’Intérieur</w:t>
      </w:r>
    </w:p>
    <w:p>
      <w:pPr>
        <w:spacing w:line="240" w:lineRule="auto"/>
        <w:rPr>
          <w:rFonts w:eastAsiaTheme="minorEastAsia"/>
          <w:noProof/>
          <w:lang w:val="fr-FR" w:eastAsia="en-US"/>
        </w:rPr>
      </w:pPr>
    </w:p>
    <w:p>
      <w:pPr>
        <w:spacing w:line="240" w:lineRule="auto"/>
        <w:rPr>
          <w:rFonts w:eastAsiaTheme="minorEastAsia"/>
          <w:noProof/>
          <w:lang w:val="fr-FR" w:eastAsia="en-US"/>
        </w:rPr>
      </w:pPr>
    </w:p>
    <w:p>
      <w:pPr>
        <w:widowControl/>
        <w:spacing w:line="240" w:lineRule="auto"/>
        <w:rPr>
          <w:rFonts w:eastAsiaTheme="minorEastAsia"/>
          <w:b/>
          <w:noProof/>
          <w:szCs w:val="24"/>
          <w:u w:val="single"/>
          <w:lang w:val="fr-FR" w:eastAsia="en-US"/>
        </w:rPr>
      </w:pPr>
      <w:r>
        <w:rPr>
          <w:rFonts w:eastAsiaTheme="minorEastAsia"/>
          <w:b/>
          <w:noProof/>
          <w:szCs w:val="24"/>
          <w:u w:val="single"/>
          <w:lang w:val="fr-FR" w:eastAsia="en-US"/>
        </w:rPr>
        <w:br w:type="page"/>
      </w:r>
    </w:p>
    <w:p>
      <w:pPr>
        <w:spacing w:line="240" w:lineRule="auto"/>
        <w:jc w:val="center"/>
        <w:rPr>
          <w:rFonts w:eastAsiaTheme="minorEastAsia"/>
          <w:b/>
          <w:bCs/>
          <w:noProof/>
          <w:u w:val="single"/>
          <w:lang w:val="fr-FR" w:eastAsia="en-US"/>
        </w:rPr>
      </w:pPr>
      <w:r>
        <w:rPr>
          <w:rFonts w:eastAsiaTheme="minorEastAsia"/>
          <w:b/>
          <w:bCs/>
          <w:noProof/>
          <w:u w:val="single"/>
          <w:lang w:val="fr-FR" w:eastAsia="en-US"/>
        </w:rPr>
        <w:t>ANNEXE 10-B</w:t>
      </w:r>
    </w:p>
    <w:p>
      <w:pPr>
        <w:spacing w:line="240" w:lineRule="auto"/>
        <w:rPr>
          <w:rFonts w:eastAsiaTheme="minorEastAsia"/>
          <w:noProof/>
          <w:lang w:val="fr-FR" w:eastAsia="en-US"/>
        </w:rPr>
      </w:pPr>
    </w:p>
    <w:p>
      <w:pPr>
        <w:spacing w:line="240" w:lineRule="auto"/>
        <w:rPr>
          <w:rFonts w:eastAsiaTheme="minorEastAsia"/>
          <w:noProof/>
          <w:lang w:val="fr-FR" w:eastAsia="en-US"/>
        </w:rPr>
      </w:pPr>
    </w:p>
    <w:p>
      <w:pPr>
        <w:spacing w:line="240" w:lineRule="auto"/>
        <w:jc w:val="center"/>
        <w:rPr>
          <w:rFonts w:eastAsiaTheme="minorEastAsia"/>
          <w:b/>
          <w:bCs/>
          <w:noProof/>
          <w:lang w:val="fr-FR" w:eastAsia="en-US"/>
        </w:rPr>
      </w:pPr>
      <w:r>
        <w:rPr>
          <w:rFonts w:eastAsiaTheme="minorEastAsia"/>
          <w:b/>
          <w:noProof/>
          <w:lang w:val="fr-CA"/>
        </w:rPr>
        <w:t>RÉSERVES ET EXCEPTIONS</w:t>
      </w:r>
      <w:r>
        <w:rPr>
          <w:rFonts w:eastAsiaTheme="minorEastAsia"/>
          <w:b/>
          <w:noProof/>
          <w:lang w:val="fr-CA"/>
        </w:rPr>
        <w:br/>
        <w:t>S’APPLIQUANT DANS CERTAINS ÉTATS MEMBRES DE L’UNION EUROPÉENNE</w:t>
      </w:r>
      <w:r>
        <w:rPr>
          <w:rFonts w:eastAsiaTheme="minorEastAsia"/>
          <w:b/>
          <w:noProof/>
          <w:lang w:val="fr-CA"/>
        </w:rPr>
        <w:br/>
        <w:t>POUR LE PERSONNEL CLÉ ET LES VISITEURS EN DÉPLACEMENT</w:t>
      </w:r>
      <w:r>
        <w:rPr>
          <w:rFonts w:eastAsiaTheme="minorEastAsia"/>
          <w:b/>
          <w:noProof/>
          <w:lang w:val="fr-CA"/>
        </w:rPr>
        <w:br/>
        <w:t>D’AFFAIRES DE COURTE DURÉE</w:t>
      </w:r>
    </w:p>
    <w:p>
      <w:pPr>
        <w:spacing w:line="240" w:lineRule="auto"/>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1.</w:t>
      </w:r>
      <w:r>
        <w:rPr>
          <w:rFonts w:eastAsiaTheme="minorHAnsi"/>
          <w:noProof/>
          <w:szCs w:val="22"/>
          <w:lang w:val="fr-FR" w:eastAsia="en-US"/>
        </w:rPr>
        <w:tab/>
      </w:r>
      <w:r>
        <w:rPr>
          <w:noProof/>
          <w:lang w:val="fr-CA"/>
        </w:rPr>
        <w:t>Les articles 10.7 et 10.9 ne s’appliquent pas aux mesures non conformes existantes énumérées dans la présente annexe, dans la mesure de la non-conformité</w:t>
      </w:r>
      <w:r>
        <w:rPr>
          <w:rFonts w:eastAsiaTheme="minorHAnsi"/>
          <w:noProof/>
          <w:szCs w:val="22"/>
          <w:lang w:val="fr-FR" w:eastAsia="en-US"/>
        </w:rPr>
        <w:t>.</w:t>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BE" w:eastAsia="en-US"/>
        </w:rPr>
      </w:pPr>
      <w:r>
        <w:rPr>
          <w:rFonts w:eastAsiaTheme="minorHAnsi"/>
          <w:noProof/>
          <w:szCs w:val="22"/>
          <w:lang w:val="fr-FR" w:eastAsia="en-US"/>
        </w:rPr>
        <w:t>2.</w:t>
      </w:r>
      <w:r>
        <w:rPr>
          <w:rFonts w:eastAsiaTheme="minorHAnsi"/>
          <w:noProof/>
          <w:szCs w:val="22"/>
          <w:lang w:val="fr-FR" w:eastAsia="en-US"/>
        </w:rPr>
        <w:tab/>
      </w:r>
      <w:r>
        <w:rPr>
          <w:noProof/>
          <w:lang w:val="fr-CA"/>
        </w:rPr>
        <w:t>Une mesure énumérée dans la présente annexe peut être maintenue, prolongée, reconduite dans les moindres délais ou modifiée, pour autant que la modification ne diminue pas la conformité de la mesure à l’article 10.7 ou 10.9, telle qu’elle existait immédiatement avant la modification</w:t>
      </w:r>
      <w:r>
        <w:rPr>
          <w:rStyle w:val="FootnoteReference"/>
          <w:rFonts w:eastAsiaTheme="minorHAnsi"/>
          <w:noProof/>
          <w:szCs w:val="22"/>
          <w:lang w:val="fr-BE" w:eastAsia="en-US"/>
        </w:rPr>
        <w:footnoteReference w:id="2"/>
      </w:r>
    </w:p>
    <w:p>
      <w:pPr>
        <w:spacing w:line="240" w:lineRule="auto"/>
        <w:ind w:left="567" w:hanging="567"/>
        <w:rPr>
          <w:rFonts w:eastAsiaTheme="minorHAnsi"/>
          <w:noProof/>
          <w:szCs w:val="22"/>
          <w:lang w:val="fr-FR" w:eastAsia="en-US"/>
        </w:rPr>
      </w:pPr>
    </w:p>
    <w:p>
      <w:pPr>
        <w:spacing w:line="240" w:lineRule="auto"/>
        <w:ind w:left="567" w:hanging="567"/>
        <w:rPr>
          <w:rFonts w:eastAsiaTheme="minorHAnsi"/>
          <w:noProof/>
          <w:szCs w:val="22"/>
          <w:lang w:val="fr-FR" w:eastAsia="en-US"/>
        </w:rPr>
      </w:pPr>
      <w:r>
        <w:rPr>
          <w:rFonts w:eastAsiaTheme="minorHAnsi"/>
          <w:noProof/>
          <w:szCs w:val="22"/>
          <w:lang w:val="fr-FR" w:eastAsia="en-US"/>
        </w:rPr>
        <w:t>3.</w:t>
      </w:r>
      <w:r>
        <w:rPr>
          <w:rFonts w:eastAsiaTheme="minorHAnsi"/>
          <w:noProof/>
          <w:szCs w:val="22"/>
          <w:lang w:val="fr-FR" w:eastAsia="en-US"/>
        </w:rPr>
        <w:tab/>
      </w:r>
      <w:r>
        <w:rPr>
          <w:noProof/>
          <w:u w:val="single"/>
          <w:lang w:val="fr-CA"/>
        </w:rPr>
        <w:t>Visiteurs en déplacement d’affaires à des fins d’investissement</w:t>
      </w:r>
    </w:p>
    <w:p>
      <w:pPr>
        <w:spacing w:line="240" w:lineRule="auto"/>
        <w:rPr>
          <w:rFonts w:eastAsiaTheme="minorHAnsi"/>
          <w:noProof/>
          <w:szCs w:val="22"/>
          <w:lang w:val="fr-FR"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tc>
          <w:tcPr>
            <w:tcW w:w="2235" w:type="dxa"/>
            <w:shd w:val="clear" w:color="auto" w:fill="auto"/>
          </w:tcPr>
          <w:p>
            <w:pPr>
              <w:autoSpaceDE w:val="0"/>
              <w:spacing w:line="240" w:lineRule="auto"/>
              <w:rPr>
                <w:rFonts w:eastAsiaTheme="minorEastAsia"/>
                <w:b/>
                <w:noProof/>
                <w:sz w:val="20"/>
              </w:rPr>
            </w:pPr>
            <w:r>
              <w:rPr>
                <w:rFonts w:eastAsiaTheme="minorEastAsia"/>
                <w:b/>
                <w:noProof/>
                <w:sz w:val="20"/>
              </w:rPr>
              <w:t>Tous les secteurs</w:t>
            </w:r>
          </w:p>
        </w:tc>
        <w:tc>
          <w:tcPr>
            <w:tcW w:w="7796"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 xml:space="preserve">AT : </w:t>
            </w:r>
            <w:r>
              <w:rPr>
                <w:rFonts w:eastAsiaTheme="minorEastAsia"/>
                <w:noProof/>
                <w:sz w:val="20"/>
                <w:lang w:val="fr-CA"/>
              </w:rPr>
              <w:t>Le visiteur en déplacement d’affaires doit être employé par une entreprise autre qu’un organisme sans but lucratif, sinon : non consolidé.</w:t>
            </w:r>
          </w:p>
          <w:p>
            <w:pPr>
              <w:autoSpaceDE w:val="0"/>
              <w:spacing w:before="60" w:after="60" w:line="240" w:lineRule="auto"/>
              <w:rPr>
                <w:rFonts w:eastAsiaTheme="minorEastAsia"/>
                <w:noProof/>
                <w:sz w:val="20"/>
                <w:lang w:val="fr-CA"/>
              </w:rPr>
            </w:pPr>
            <w:r>
              <w:rPr>
                <w:rFonts w:eastAsiaTheme="minorEastAsia"/>
                <w:b/>
                <w:noProof/>
                <w:sz w:val="20"/>
                <w:lang w:val="fr-CA"/>
              </w:rPr>
              <w:t>CZ :</w:t>
            </w:r>
            <w:r>
              <w:rPr>
                <w:rFonts w:eastAsiaTheme="minorEastAsia"/>
                <w:noProof/>
                <w:sz w:val="20"/>
                <w:lang w:val="fr-CA"/>
              </w:rPr>
              <w:t xml:space="preserve"> Le visiteur en déplacement d’affaires à des fins d’investissement doit être employé par une entreprise autre qu’un organisme sans but lucratif, sinon : non consolidé.</w:t>
            </w:r>
          </w:p>
          <w:p>
            <w:pPr>
              <w:autoSpaceDE w:val="0"/>
              <w:spacing w:before="60" w:after="60" w:line="240" w:lineRule="auto"/>
              <w:rPr>
                <w:rFonts w:eastAsiaTheme="minorEastAsia"/>
                <w:noProof/>
                <w:sz w:val="20"/>
                <w:lang w:val="fr-CA"/>
              </w:rPr>
            </w:pPr>
            <w:r>
              <w:rPr>
                <w:rFonts w:eastAsiaTheme="minorEastAsia"/>
                <w:b/>
                <w:noProof/>
                <w:sz w:val="20"/>
                <w:lang w:val="fr-CA"/>
              </w:rPr>
              <w:t>SK</w:t>
            </w:r>
            <w:r>
              <w:rPr>
                <w:rFonts w:eastAsiaTheme="minorEastAsia"/>
                <w:noProof/>
                <w:sz w:val="20"/>
                <w:lang w:val="fr-CA"/>
              </w:rPr>
              <w:t> : Le visiteur en déplacement d’affaires à des fins d’investissement doit être employé par une entreprise autre qu’un organisme sans but lucratif, sinon : non consolidé. Un permis de travail est requis, y compris un examen des besoins économiques.</w:t>
            </w:r>
          </w:p>
          <w:p>
            <w:pPr>
              <w:autoSpaceDE w:val="0"/>
              <w:spacing w:before="60" w:after="60" w:line="240" w:lineRule="auto"/>
              <w:rPr>
                <w:rFonts w:eastAsiaTheme="minorEastAsia"/>
                <w:noProof/>
                <w:sz w:val="20"/>
                <w:lang w:val="fr-CA"/>
              </w:rPr>
            </w:pPr>
            <w:r>
              <w:rPr>
                <w:rFonts w:eastAsiaTheme="minorEastAsia"/>
                <w:b/>
                <w:noProof/>
                <w:sz w:val="20"/>
                <w:lang w:val="fr-CA"/>
              </w:rPr>
              <w:t>UK :</w:t>
            </w:r>
            <w:r>
              <w:rPr>
                <w:rFonts w:eastAsiaTheme="minorEastAsia"/>
                <w:noProof/>
                <w:sz w:val="20"/>
                <w:lang w:val="fr-CA"/>
              </w:rPr>
              <w:t xml:space="preserve"> Durée permise du séjour : jusqu’à 90 jours par période de douze mois. Le visiteur en déplacement d’affaires doit être employé par une entreprise autre qu’un organisme sans but lucratif, sinon : non consolidé. </w:t>
            </w:r>
          </w:p>
        </w:tc>
      </w:tr>
    </w:tbl>
    <w:p>
      <w:pPr>
        <w:spacing w:line="240" w:lineRule="auto"/>
        <w:rPr>
          <w:rFonts w:eastAsiaTheme="minorHAnsi"/>
          <w:noProof/>
          <w:lang w:val="fr-FR" w:eastAsia="en-US"/>
        </w:rPr>
      </w:pPr>
    </w:p>
    <w:p>
      <w:pPr>
        <w:widowControl/>
        <w:spacing w:line="240" w:lineRule="auto"/>
        <w:rPr>
          <w:rFonts w:eastAsiaTheme="minorHAnsi"/>
          <w:noProof/>
          <w:lang w:val="fr-FR" w:eastAsia="en-US"/>
        </w:rPr>
      </w:pPr>
      <w:r>
        <w:rPr>
          <w:rFonts w:eastAsiaTheme="minorHAnsi"/>
          <w:noProof/>
          <w:lang w:val="fr-FR" w:eastAsia="en-US"/>
        </w:rPr>
        <w:br w:type="page"/>
      </w:r>
    </w:p>
    <w:p>
      <w:pPr>
        <w:spacing w:line="240" w:lineRule="auto"/>
        <w:rPr>
          <w:rFonts w:eastAsiaTheme="minorHAnsi"/>
          <w:noProof/>
          <w:lang w:eastAsia="en-US"/>
        </w:rPr>
      </w:pPr>
      <w:r>
        <w:rPr>
          <w:rFonts w:eastAsiaTheme="minorHAnsi"/>
          <w:noProof/>
          <w:lang w:eastAsia="en-US"/>
        </w:rPr>
        <w:t>4.</w:t>
      </w:r>
      <w:r>
        <w:rPr>
          <w:rFonts w:eastAsiaTheme="minorHAnsi"/>
          <w:noProof/>
          <w:lang w:eastAsia="en-US"/>
        </w:rPr>
        <w:tab/>
      </w:r>
      <w:r>
        <w:rPr>
          <w:rFonts w:eastAsiaTheme="minorHAnsi"/>
          <w:noProof/>
          <w:u w:val="single"/>
          <w:lang w:eastAsia="en-US"/>
        </w:rPr>
        <w:t>Investisseurs</w:t>
      </w:r>
    </w:p>
    <w:p>
      <w:pPr>
        <w:spacing w:line="240" w:lineRule="auto"/>
        <w:rPr>
          <w:rFonts w:eastAsiaTheme="minorEastAsia"/>
          <w:noProof/>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trPr>
          <w:cantSplit/>
        </w:trPr>
        <w:tc>
          <w:tcPr>
            <w:tcW w:w="2235" w:type="dxa"/>
            <w:shd w:val="clear" w:color="auto" w:fill="auto"/>
          </w:tcPr>
          <w:p>
            <w:pPr>
              <w:autoSpaceDE w:val="0"/>
              <w:spacing w:before="60" w:after="60" w:line="240" w:lineRule="auto"/>
              <w:rPr>
                <w:rFonts w:eastAsiaTheme="minorEastAsia"/>
                <w:b/>
                <w:noProof/>
                <w:sz w:val="20"/>
              </w:rPr>
            </w:pPr>
            <w:r>
              <w:rPr>
                <w:rFonts w:eastAsiaTheme="minorEastAsia"/>
                <w:b/>
                <w:noProof/>
                <w:sz w:val="20"/>
              </w:rPr>
              <w:t>Tous les secteurs</w:t>
            </w:r>
          </w:p>
        </w:tc>
        <w:tc>
          <w:tcPr>
            <w:tcW w:w="7796"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AT :</w:t>
            </w:r>
            <w:r>
              <w:rPr>
                <w:rFonts w:eastAsiaTheme="minorEastAsia"/>
                <w:noProof/>
                <w:sz w:val="20"/>
                <w:lang w:val="fr-CA"/>
              </w:rPr>
              <w:t xml:space="preserve"> Examen des besoins économiques.</w:t>
            </w:r>
          </w:p>
          <w:p>
            <w:pPr>
              <w:autoSpaceDE w:val="0"/>
              <w:spacing w:before="60" w:after="60" w:line="240" w:lineRule="auto"/>
              <w:rPr>
                <w:rFonts w:eastAsiaTheme="minorEastAsia"/>
                <w:noProof/>
                <w:sz w:val="20"/>
                <w:lang w:val="fr-CA"/>
              </w:rPr>
            </w:pPr>
            <w:r>
              <w:rPr>
                <w:rFonts w:eastAsiaTheme="minorEastAsia"/>
                <w:b/>
                <w:noProof/>
                <w:sz w:val="20"/>
                <w:lang w:val="fr-CA"/>
              </w:rPr>
              <w:t>CZ, SK :</w:t>
            </w:r>
            <w:r>
              <w:rPr>
                <w:rFonts w:eastAsiaTheme="minorEastAsia"/>
                <w:noProof/>
                <w:sz w:val="20"/>
                <w:lang w:val="fr-CA"/>
              </w:rPr>
              <w:t xml:space="preserve"> Un permis de travail, incluant l’examen des besoins économiques, est requis dans le cas des investisseurs employés par une entreprise.</w:t>
            </w:r>
          </w:p>
          <w:p>
            <w:pPr>
              <w:autoSpaceDE w:val="0"/>
              <w:spacing w:before="60" w:after="60" w:line="240" w:lineRule="auto"/>
              <w:rPr>
                <w:rFonts w:eastAsiaTheme="minorEastAsia"/>
                <w:noProof/>
                <w:sz w:val="20"/>
                <w:lang w:val="fr-CA"/>
              </w:rPr>
            </w:pPr>
            <w:r>
              <w:rPr>
                <w:rFonts w:eastAsiaTheme="minorEastAsia"/>
                <w:b/>
                <w:noProof/>
                <w:sz w:val="20"/>
                <w:lang w:val="fr-CA"/>
              </w:rPr>
              <w:t>DK :</w:t>
            </w:r>
            <w:r>
              <w:rPr>
                <w:rFonts w:eastAsiaTheme="minorEastAsia"/>
                <w:noProof/>
                <w:sz w:val="20"/>
                <w:lang w:val="fr-CA"/>
              </w:rPr>
              <w:t xml:space="preserve"> Le séjour maximal est de 90 jours par période de six mois. Un permis de travail est requis dans le cas des investisseurs qui désirent établir une entreprise au Danemark à titre de travailleur indépendant.</w:t>
            </w:r>
          </w:p>
          <w:p>
            <w:pPr>
              <w:autoSpaceDE w:val="0"/>
              <w:spacing w:before="60" w:after="60" w:line="240" w:lineRule="auto"/>
              <w:rPr>
                <w:rFonts w:eastAsiaTheme="minorEastAsia"/>
                <w:noProof/>
                <w:sz w:val="20"/>
                <w:lang w:val="fr-CA"/>
              </w:rPr>
            </w:pPr>
            <w:r>
              <w:rPr>
                <w:rFonts w:eastAsiaTheme="minorEastAsia"/>
                <w:b/>
                <w:noProof/>
                <w:sz w:val="20"/>
                <w:lang w:val="fr-CA"/>
              </w:rPr>
              <w:t>FI :</w:t>
            </w:r>
            <w:r>
              <w:rPr>
                <w:rFonts w:eastAsiaTheme="minorEastAsia"/>
                <w:noProof/>
                <w:sz w:val="20"/>
                <w:lang w:val="fr-CA"/>
              </w:rPr>
              <w:t xml:space="preserve"> Les investisseurs doivent être employés par une entreprise autre qu’un organisme sans but lucratif, à un poste de cadre intermédiaire ou supérieur.</w:t>
            </w:r>
          </w:p>
          <w:p>
            <w:pPr>
              <w:autoSpaceDE w:val="0"/>
              <w:spacing w:before="60" w:after="60" w:line="240" w:lineRule="auto"/>
              <w:rPr>
                <w:rFonts w:eastAsiaTheme="minorEastAsia"/>
                <w:noProof/>
                <w:sz w:val="20"/>
                <w:lang w:val="fr-CA"/>
              </w:rPr>
            </w:pPr>
            <w:r>
              <w:rPr>
                <w:rFonts w:eastAsiaTheme="minorEastAsia"/>
                <w:b/>
                <w:noProof/>
                <w:sz w:val="20"/>
                <w:lang w:val="fr-CA"/>
              </w:rPr>
              <w:t>HU :</w:t>
            </w:r>
            <w:r>
              <w:rPr>
                <w:rFonts w:eastAsiaTheme="minorEastAsia"/>
                <w:noProof/>
                <w:sz w:val="20"/>
                <w:lang w:val="fr-CA"/>
              </w:rPr>
              <w:t xml:space="preserve"> La durée maximale de séjour est de 90 jours si l’investisseur n’est pas employé par une entreprise en Hongrie. Un examen des besoins économiques est requis si l’investisseur est employé par une entreprise en Hongrie.</w:t>
            </w:r>
          </w:p>
          <w:p>
            <w:pPr>
              <w:autoSpaceDE w:val="0"/>
              <w:spacing w:before="60" w:after="60" w:line="240" w:lineRule="auto"/>
              <w:rPr>
                <w:rFonts w:eastAsiaTheme="minorEastAsia"/>
                <w:noProof/>
                <w:sz w:val="20"/>
                <w:lang w:val="fr-CA"/>
              </w:rPr>
            </w:pPr>
            <w:r>
              <w:rPr>
                <w:rFonts w:eastAsiaTheme="minorEastAsia"/>
                <w:b/>
                <w:noProof/>
                <w:sz w:val="20"/>
                <w:lang w:val="fr-CA"/>
              </w:rPr>
              <w:t>IT :</w:t>
            </w:r>
            <w:r>
              <w:rPr>
                <w:rFonts w:eastAsiaTheme="minorEastAsia"/>
                <w:noProof/>
                <w:sz w:val="20"/>
                <w:lang w:val="fr-CA"/>
              </w:rPr>
              <w:t xml:space="preserve"> Un examen des besoins économiques est requis si l’investisseur n’est pas employé par une entreprise.</w:t>
            </w:r>
          </w:p>
          <w:p>
            <w:pPr>
              <w:autoSpaceDE w:val="0"/>
              <w:spacing w:before="60" w:after="60" w:line="240" w:lineRule="auto"/>
              <w:rPr>
                <w:rFonts w:eastAsiaTheme="minorEastAsia"/>
                <w:noProof/>
                <w:sz w:val="20"/>
                <w:lang w:val="fr-CA"/>
              </w:rPr>
            </w:pPr>
            <w:r>
              <w:rPr>
                <w:rFonts w:eastAsiaTheme="minorEastAsia"/>
                <w:b/>
                <w:noProof/>
                <w:sz w:val="20"/>
                <w:lang w:val="fr-CA"/>
              </w:rPr>
              <w:t>LT, NL, PL :</w:t>
            </w:r>
            <w:r>
              <w:rPr>
                <w:rFonts w:eastAsiaTheme="minorEastAsia"/>
                <w:noProof/>
                <w:sz w:val="20"/>
                <w:lang w:val="fr-CA"/>
              </w:rPr>
              <w:t xml:space="preserve"> La catégorie des investisseurs n’est pas reconnue en ce qui concerne les personnes physiques représentant l’investisseur.</w:t>
            </w:r>
          </w:p>
          <w:p>
            <w:pPr>
              <w:autoSpaceDE w:val="0"/>
              <w:spacing w:before="60" w:after="60" w:line="240" w:lineRule="auto"/>
              <w:rPr>
                <w:rFonts w:eastAsiaTheme="minorEastAsia"/>
                <w:noProof/>
                <w:sz w:val="20"/>
                <w:lang w:val="fr-CA"/>
              </w:rPr>
            </w:pPr>
            <w:r>
              <w:rPr>
                <w:rFonts w:eastAsiaTheme="minorEastAsia"/>
                <w:b/>
                <w:noProof/>
                <w:sz w:val="20"/>
                <w:lang w:val="fr-CA"/>
              </w:rPr>
              <w:t>LV :</w:t>
            </w:r>
            <w:r>
              <w:rPr>
                <w:rFonts w:eastAsiaTheme="minorEastAsia"/>
                <w:noProof/>
                <w:sz w:val="20"/>
                <w:lang w:val="fr-CA"/>
              </w:rPr>
              <w:t xml:space="preserve"> Pendant la phase préalable à l’investissement, la durée maximale de séjour est limitée à 90 jours par période de six mois. Prolongement à une année dans la phase postérieure à l’investissement, sous réserve des critères établis dans la législation nationale, comme le domaine et le montant de l’investissement effectué.</w:t>
            </w:r>
          </w:p>
          <w:p>
            <w:pPr>
              <w:autoSpaceDE w:val="0"/>
              <w:spacing w:before="60" w:after="60" w:line="240" w:lineRule="auto"/>
              <w:rPr>
                <w:rFonts w:eastAsiaTheme="minorEastAsia"/>
                <w:noProof/>
                <w:sz w:val="20"/>
                <w:lang w:val="fr-CA"/>
              </w:rPr>
            </w:pPr>
            <w:r>
              <w:rPr>
                <w:rFonts w:eastAsiaTheme="minorEastAsia"/>
                <w:b/>
                <w:noProof/>
                <w:sz w:val="20"/>
                <w:lang w:val="fr-CA"/>
              </w:rPr>
              <w:t>UK :</w:t>
            </w:r>
            <w:r>
              <w:rPr>
                <w:rFonts w:eastAsiaTheme="minorEastAsia"/>
                <w:noProof/>
                <w:sz w:val="20"/>
                <w:lang w:val="fr-CA"/>
              </w:rPr>
              <w:t xml:space="preserve"> La catégorie des investisseurs n’est pas reconnue : non consolidé.</w:t>
            </w:r>
          </w:p>
        </w:tc>
      </w:tr>
    </w:tbl>
    <w:p>
      <w:pPr>
        <w:spacing w:line="240" w:lineRule="auto"/>
        <w:rPr>
          <w:rFonts w:eastAsiaTheme="minorEastAsia"/>
          <w:noProof/>
          <w:lang w:val="fr-FR" w:eastAsia="en-US"/>
        </w:rPr>
      </w:pPr>
    </w:p>
    <w:p>
      <w:pPr>
        <w:spacing w:line="240" w:lineRule="auto"/>
        <w:rPr>
          <w:rFonts w:eastAsiaTheme="minorEastAsia"/>
          <w:noProof/>
          <w:u w:val="single"/>
          <w:lang w:val="fr-FR" w:eastAsia="en-US"/>
        </w:rPr>
      </w:pPr>
      <w:r>
        <w:rPr>
          <w:rFonts w:eastAsiaTheme="minorEastAsia"/>
          <w:noProof/>
          <w:lang w:val="fr-FR" w:eastAsia="en-US"/>
        </w:rPr>
        <w:t>5.</w:t>
      </w:r>
      <w:r>
        <w:rPr>
          <w:rFonts w:eastAsiaTheme="minorEastAsia"/>
          <w:noProof/>
          <w:lang w:val="fr-FR" w:eastAsia="en-US"/>
        </w:rPr>
        <w:tab/>
      </w:r>
      <w:r>
        <w:rPr>
          <w:noProof/>
          <w:u w:val="single"/>
          <w:lang w:val="fr-CA"/>
        </w:rPr>
        <w:t xml:space="preserve">Personnes </w:t>
      </w:r>
      <w:r>
        <w:rPr>
          <w:rFonts w:eastAsiaTheme="minorEastAsia"/>
          <w:noProof/>
          <w:u w:val="single"/>
          <w:lang w:val="fr-CA"/>
        </w:rPr>
        <w:t>faisant l'objet d'un transfert temporaire intragroupe (spécialistes et cadres supérieurs)</w:t>
      </w:r>
    </w:p>
    <w:p>
      <w:pPr>
        <w:spacing w:line="240" w:lineRule="auto"/>
        <w:rPr>
          <w:rFonts w:eastAsiaTheme="minorEastAsia"/>
          <w:noProof/>
          <w:lang w:val="fr-FR"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tc>
          <w:tcPr>
            <w:tcW w:w="2235" w:type="dxa"/>
            <w:shd w:val="clear" w:color="auto" w:fill="auto"/>
          </w:tcPr>
          <w:p>
            <w:pPr>
              <w:autoSpaceDE w:val="0"/>
              <w:spacing w:beforeLines="60" w:before="144" w:afterLines="60" w:after="144" w:line="240" w:lineRule="auto"/>
              <w:rPr>
                <w:rFonts w:eastAsiaTheme="minorEastAsia"/>
                <w:b/>
                <w:noProof/>
                <w:sz w:val="20"/>
              </w:rPr>
            </w:pPr>
            <w:r>
              <w:rPr>
                <w:rFonts w:eastAsiaTheme="minorEastAsia"/>
                <w:b/>
                <w:noProof/>
                <w:sz w:val="20"/>
              </w:rPr>
              <w:t>Tous les secteurs</w:t>
            </w:r>
          </w:p>
        </w:tc>
        <w:tc>
          <w:tcPr>
            <w:tcW w:w="7796"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BG :</w:t>
            </w:r>
            <w:r>
              <w:rPr>
                <w:rFonts w:eastAsiaTheme="minorEastAsia"/>
                <w:noProof/>
                <w:sz w:val="20"/>
                <w:lang w:val="fr-CA"/>
              </w:rPr>
              <w:t xml:space="preserve"> Le nombre de personnes physiques étrangères employées au sein d’une entreprise bulgare ne peut pas dépasser 10 p. 100 du nombre annuel moyen de citoyens de l’Union européenne employés par l’entreprise bulgare concernée. Lorsque le nombre total d’employés est inférieur à 100, la proportion peut, sous réserve d’une autorisation, dépasser 10 p. 100.</w:t>
            </w:r>
          </w:p>
          <w:p>
            <w:pPr>
              <w:autoSpaceDE w:val="0"/>
              <w:spacing w:before="60" w:after="60" w:line="240" w:lineRule="auto"/>
              <w:rPr>
                <w:rFonts w:eastAsiaTheme="minorEastAsia"/>
                <w:noProof/>
                <w:sz w:val="20"/>
                <w:lang w:val="fr-CA"/>
              </w:rPr>
            </w:pPr>
            <w:r>
              <w:rPr>
                <w:rFonts w:eastAsiaTheme="minorEastAsia"/>
                <w:b/>
                <w:noProof/>
                <w:sz w:val="20"/>
                <w:lang w:val="fr-CA"/>
              </w:rPr>
              <w:t>AT, CZ, SK, UK :</w:t>
            </w:r>
            <w:r>
              <w:rPr>
                <w:rFonts w:eastAsiaTheme="minorEastAsia"/>
                <w:noProof/>
                <w:sz w:val="20"/>
                <w:lang w:val="fr-CA"/>
              </w:rPr>
              <w:t xml:space="preserve"> Les personnes faisant l'objet d'un transfert temporaire intragroupe doivent être employées par une entreprise autre qu’un organisme sans but lucratif, sinon : non consolidé.</w:t>
            </w:r>
          </w:p>
          <w:p>
            <w:pPr>
              <w:autoSpaceDE w:val="0"/>
              <w:spacing w:before="60" w:after="60" w:line="240" w:lineRule="auto"/>
              <w:rPr>
                <w:rFonts w:eastAsiaTheme="minorEastAsia"/>
                <w:noProof/>
                <w:sz w:val="20"/>
                <w:lang w:val="fr-CA"/>
              </w:rPr>
            </w:pPr>
            <w:r>
              <w:rPr>
                <w:rFonts w:eastAsiaTheme="minorEastAsia"/>
                <w:b/>
                <w:noProof/>
                <w:sz w:val="20"/>
                <w:lang w:val="fr-CA"/>
              </w:rPr>
              <w:t>FI :</w:t>
            </w:r>
            <w:r>
              <w:rPr>
                <w:rFonts w:eastAsiaTheme="minorEastAsia"/>
                <w:noProof/>
                <w:sz w:val="20"/>
                <w:lang w:val="fr-CA"/>
              </w:rPr>
              <w:t xml:space="preserve"> Les cadres supérieurs doivent être employés par une entreprise autre qu’un organisme sans but lucratif.</w:t>
            </w:r>
          </w:p>
          <w:p>
            <w:pPr>
              <w:autoSpaceDE w:val="0"/>
              <w:spacing w:before="60" w:after="60" w:line="240" w:lineRule="auto"/>
              <w:rPr>
                <w:rFonts w:eastAsiaTheme="minorEastAsia"/>
                <w:noProof/>
                <w:sz w:val="20"/>
                <w:lang w:val="fr-CA"/>
              </w:rPr>
            </w:pPr>
            <w:r>
              <w:rPr>
                <w:rFonts w:eastAsiaTheme="minorEastAsia"/>
                <w:b/>
                <w:noProof/>
                <w:sz w:val="20"/>
                <w:lang w:val="fr-CA"/>
              </w:rPr>
              <w:t>HU :</w:t>
            </w:r>
            <w:r>
              <w:rPr>
                <w:rFonts w:eastAsiaTheme="minorEastAsia"/>
                <w:noProof/>
                <w:sz w:val="20"/>
                <w:lang w:val="fr-CA"/>
              </w:rPr>
              <w:t xml:space="preserve"> Les personnes physiques qui ont été partenaires d’une entreprise ne sont pas admissibles à un transfert en tant que personnes faisant l'objet d'un transfert temporaire intragroupe.</w:t>
            </w:r>
          </w:p>
        </w:tc>
      </w:tr>
    </w:tbl>
    <w:p>
      <w:pPr>
        <w:pStyle w:val="Point0"/>
        <w:spacing w:beforeLines="60" w:before="144" w:afterLines="60" w:after="144"/>
        <w:rPr>
          <w:noProof/>
          <w:lang w:val="fr-CA"/>
        </w:rPr>
      </w:pPr>
    </w:p>
    <w:p>
      <w:pPr>
        <w:widowControl/>
        <w:spacing w:line="240" w:lineRule="auto"/>
        <w:rPr>
          <w:rFonts w:eastAsiaTheme="minorHAnsi"/>
          <w:noProof/>
          <w:szCs w:val="22"/>
          <w:lang w:val="fr-CA" w:eastAsia="en-US"/>
        </w:rPr>
      </w:pPr>
      <w:r>
        <w:rPr>
          <w:noProof/>
          <w:lang w:val="fr-CA"/>
        </w:rPr>
        <w:br w:type="page"/>
      </w:r>
    </w:p>
    <w:p>
      <w:pPr>
        <w:pStyle w:val="Point0"/>
        <w:spacing w:beforeLines="60" w:before="144" w:afterLines="60" w:after="144"/>
        <w:ind w:left="0" w:firstLine="0"/>
        <w:jc w:val="left"/>
        <w:rPr>
          <w:rFonts w:eastAsiaTheme="minorEastAsia"/>
          <w:noProof/>
          <w:szCs w:val="24"/>
          <w:lang w:val="fr-CA"/>
        </w:rPr>
      </w:pPr>
      <w:r>
        <w:rPr>
          <w:noProof/>
          <w:lang w:val="fr-CA"/>
        </w:rPr>
        <w:t>6.</w:t>
      </w:r>
      <w:r>
        <w:rPr>
          <w:noProof/>
          <w:lang w:val="fr-CA"/>
        </w:rPr>
        <w:tab/>
      </w:r>
      <w:r>
        <w:rPr>
          <w:noProof/>
          <w:u w:val="single"/>
          <w:lang w:val="fr-CA"/>
        </w:rPr>
        <w:t xml:space="preserve">Personnes </w:t>
      </w:r>
      <w:r>
        <w:rPr>
          <w:rFonts w:eastAsiaTheme="minorEastAsia"/>
          <w:noProof/>
          <w:u w:val="single"/>
          <w:lang w:val="fr-CA"/>
        </w:rPr>
        <w:t>faisant l'objet d'un transfert temporaire intragroupe (stagiaires diplômés)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797"/>
      </w:tblGrid>
      <w:tr>
        <w:tc>
          <w:tcPr>
            <w:tcW w:w="2376" w:type="dxa"/>
            <w:shd w:val="clear" w:color="auto" w:fill="auto"/>
          </w:tcPr>
          <w:p>
            <w:pPr>
              <w:autoSpaceDE w:val="0"/>
              <w:spacing w:beforeLines="60" w:before="144" w:afterLines="60" w:after="144" w:line="240" w:lineRule="auto"/>
              <w:rPr>
                <w:rFonts w:eastAsiaTheme="minorEastAsia"/>
                <w:b/>
                <w:noProof/>
                <w:sz w:val="20"/>
              </w:rPr>
            </w:pPr>
            <w:r>
              <w:rPr>
                <w:rFonts w:eastAsiaTheme="minorEastAsia"/>
                <w:b/>
                <w:noProof/>
                <w:sz w:val="20"/>
              </w:rPr>
              <w:t>Tous les secteurs</w:t>
            </w:r>
          </w:p>
        </w:tc>
        <w:tc>
          <w:tcPr>
            <w:tcW w:w="7797"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AT, CZ, FR, DE, ES, HU, SK :</w:t>
            </w:r>
            <w:r>
              <w:rPr>
                <w:rFonts w:eastAsiaTheme="minorEastAsia"/>
                <w:noProof/>
                <w:sz w:val="20"/>
                <w:lang w:val="fr-CA"/>
              </w:rPr>
              <w:t xml:space="preserve"> La formation à donner en raison du transfert d’un stagiaire diplômé auprès d’une entreprise doit être liée au diplôme universitaire obtenu par le stagiaire diplômé.</w:t>
            </w:r>
          </w:p>
          <w:p>
            <w:pPr>
              <w:autoSpaceDE w:val="0"/>
              <w:spacing w:before="60" w:after="60" w:line="240" w:lineRule="auto"/>
              <w:rPr>
                <w:rFonts w:eastAsiaTheme="minorEastAsia"/>
                <w:noProof/>
                <w:sz w:val="20"/>
                <w:lang w:val="fr-CA"/>
              </w:rPr>
            </w:pPr>
            <w:r>
              <w:rPr>
                <w:rFonts w:eastAsiaTheme="minorEastAsia"/>
                <w:b/>
                <w:noProof/>
                <w:sz w:val="20"/>
                <w:lang w:val="fr-CA"/>
              </w:rPr>
              <w:t>BG, HU :</w:t>
            </w:r>
            <w:r>
              <w:rPr>
                <w:rFonts w:eastAsiaTheme="minorEastAsia"/>
                <w:noProof/>
                <w:sz w:val="20"/>
                <w:lang w:val="fr-CA"/>
              </w:rPr>
              <w:t xml:space="preserve"> Examen des besoins économiques.</w:t>
            </w:r>
          </w:p>
          <w:p>
            <w:pPr>
              <w:autoSpaceDE w:val="0"/>
              <w:spacing w:before="60" w:after="60" w:line="240" w:lineRule="auto"/>
              <w:rPr>
                <w:rFonts w:eastAsiaTheme="minorEastAsia"/>
                <w:noProof/>
                <w:sz w:val="20"/>
                <w:lang w:val="fr-CA"/>
              </w:rPr>
            </w:pPr>
            <w:r>
              <w:rPr>
                <w:rFonts w:eastAsiaTheme="minorEastAsia"/>
                <w:b/>
                <w:noProof/>
                <w:sz w:val="20"/>
                <w:lang w:val="fr-CA"/>
              </w:rPr>
              <w:t>CZ, FI, SK, UK :</w:t>
            </w:r>
            <w:r>
              <w:rPr>
                <w:rFonts w:eastAsiaTheme="minorEastAsia"/>
                <w:noProof/>
                <w:sz w:val="20"/>
                <w:lang w:val="fr-CA"/>
              </w:rPr>
              <w:t xml:space="preserve"> Le stagiaire diplômé doit être employé par une entreprise autre qu’un organisme sans but lucratif, sinon : non consolidé.</w:t>
            </w:r>
          </w:p>
        </w:tc>
      </w:tr>
    </w:tbl>
    <w:p>
      <w:pPr>
        <w:pStyle w:val="Point0"/>
        <w:spacing w:beforeLines="60" w:before="144" w:afterLines="60" w:after="144"/>
        <w:ind w:left="0" w:firstLine="0"/>
        <w:jc w:val="left"/>
        <w:rPr>
          <w:rFonts w:eastAsiaTheme="minorEastAsia"/>
          <w:noProof/>
          <w:szCs w:val="24"/>
          <w:u w:val="single"/>
          <w:lang w:val="fr-CA"/>
        </w:rPr>
      </w:pPr>
      <w:r>
        <w:rPr>
          <w:noProof/>
          <w:lang w:val="fr-CA"/>
        </w:rPr>
        <w:t>7.</w:t>
      </w:r>
      <w:r>
        <w:rPr>
          <w:noProof/>
          <w:lang w:val="fr-CA"/>
        </w:rPr>
        <w:tab/>
      </w:r>
      <w:r>
        <w:rPr>
          <w:noProof/>
          <w:u w:val="single"/>
          <w:lang w:val="fr-CA"/>
        </w:rPr>
        <w:t>Visiteurs en déplacement d’affaires</w:t>
      </w:r>
      <w:r>
        <w:rPr>
          <w:rFonts w:eastAsiaTheme="minorEastAsia"/>
          <w:noProof/>
          <w:u w:val="single"/>
          <w:lang w:val="fr-CA"/>
        </w:rPr>
        <w:t xml:space="preserve"> de courte durée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7784"/>
      </w:tblGrid>
      <w:tr>
        <w:tc>
          <w:tcPr>
            <w:tcW w:w="0" w:type="auto"/>
            <w:shd w:val="clear" w:color="auto" w:fill="auto"/>
          </w:tcPr>
          <w:p>
            <w:pPr>
              <w:autoSpaceDE w:val="0"/>
              <w:spacing w:beforeLines="60" w:before="144" w:line="240" w:lineRule="auto"/>
              <w:rPr>
                <w:rFonts w:eastAsiaTheme="minorEastAsia"/>
                <w:b/>
                <w:noProof/>
                <w:sz w:val="20"/>
                <w:lang w:val="fr-CA"/>
              </w:rPr>
            </w:pPr>
            <w:r>
              <w:rPr>
                <w:rFonts w:eastAsiaTheme="minorEastAsia"/>
                <w:b/>
                <w:noProof/>
                <w:sz w:val="20"/>
                <w:lang w:val="fr-CA"/>
              </w:rPr>
              <w:t>Toutes les activités énumérées à l’annexe 10</w:t>
            </w:r>
            <w:r>
              <w:rPr>
                <w:rFonts w:eastAsiaTheme="minorEastAsia"/>
                <w:b/>
                <w:noProof/>
                <w:sz w:val="20"/>
                <w:lang w:val="fr-CA"/>
              </w:rPr>
              <w:softHyphen/>
              <w:t>D</w:t>
            </w:r>
          </w:p>
        </w:tc>
        <w:tc>
          <w:tcPr>
            <w:tcW w:w="0" w:type="auto"/>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DK, HR :</w:t>
            </w:r>
            <w:r>
              <w:rPr>
                <w:rFonts w:eastAsiaTheme="minorEastAsia"/>
                <w:noProof/>
                <w:sz w:val="20"/>
                <w:lang w:val="fr-CA"/>
              </w:rPr>
              <w:t xml:space="preserve"> Un permis de travail, incluant l’examen des besoins économiques, est requis dans le cas des visiteurs en déplacement d’affaires de courte durée qui fournissent un service sur le territoire du Danemark ou de la Croatie, respectivement.</w:t>
            </w:r>
          </w:p>
          <w:p>
            <w:pPr>
              <w:autoSpaceDE w:val="0"/>
              <w:spacing w:before="60" w:after="60" w:line="240" w:lineRule="auto"/>
              <w:rPr>
                <w:rFonts w:eastAsiaTheme="minorEastAsia"/>
                <w:noProof/>
                <w:sz w:val="20"/>
                <w:lang w:val="fr-CA"/>
              </w:rPr>
            </w:pPr>
            <w:r>
              <w:rPr>
                <w:rFonts w:eastAsiaTheme="minorEastAsia"/>
                <w:b/>
                <w:noProof/>
                <w:sz w:val="20"/>
                <w:lang w:val="fr-CA"/>
              </w:rPr>
              <w:t>LV :</w:t>
            </w:r>
            <w:r>
              <w:rPr>
                <w:rFonts w:eastAsiaTheme="minorEastAsia"/>
                <w:noProof/>
                <w:sz w:val="20"/>
                <w:lang w:val="fr-CA"/>
              </w:rPr>
              <w:t xml:space="preserve"> Un permis de travail est requis si les opérations ou les activités sont réalisées sur la base d’un contrat.</w:t>
            </w:r>
          </w:p>
          <w:p>
            <w:pPr>
              <w:autoSpaceDE w:val="0"/>
              <w:spacing w:before="60" w:after="60" w:line="240" w:lineRule="auto"/>
              <w:rPr>
                <w:rFonts w:eastAsiaTheme="minorEastAsia"/>
                <w:noProof/>
                <w:sz w:val="20"/>
                <w:lang w:val="fr-CA"/>
              </w:rPr>
            </w:pPr>
            <w:r>
              <w:rPr>
                <w:rFonts w:eastAsiaTheme="minorEastAsia"/>
                <w:b/>
                <w:noProof/>
                <w:sz w:val="20"/>
                <w:lang w:val="fr-CA"/>
              </w:rPr>
              <w:t>SK :</w:t>
            </w:r>
            <w:r>
              <w:rPr>
                <w:rFonts w:eastAsiaTheme="minorEastAsia"/>
                <w:noProof/>
                <w:sz w:val="20"/>
                <w:lang w:val="fr-CA"/>
              </w:rPr>
              <w:t xml:space="preserve"> Un permis de travail, incluant l’examen des besoins économiques, est requis pour la fourniture d’un service dépassant sept jours au cours d’un mois ou 30 jours au cours d’une année civile sur le territoire de la Slovaquie.</w:t>
            </w:r>
          </w:p>
          <w:p>
            <w:pPr>
              <w:autoSpaceDE w:val="0"/>
              <w:spacing w:before="60" w:after="60" w:line="240" w:lineRule="auto"/>
              <w:rPr>
                <w:rFonts w:eastAsiaTheme="minorEastAsia"/>
                <w:noProof/>
                <w:sz w:val="20"/>
                <w:lang w:val="fr-CA"/>
              </w:rPr>
            </w:pPr>
            <w:r>
              <w:rPr>
                <w:rFonts w:eastAsiaTheme="minorEastAsia"/>
                <w:b/>
                <w:noProof/>
                <w:sz w:val="20"/>
                <w:lang w:val="fr-CA"/>
              </w:rPr>
              <w:t>UK :</w:t>
            </w:r>
            <w:r>
              <w:rPr>
                <w:rFonts w:eastAsiaTheme="minorEastAsia"/>
                <w:noProof/>
                <w:sz w:val="20"/>
                <w:lang w:val="fr-CA"/>
              </w:rPr>
              <w:t xml:space="preserve"> La catégorie des visiteurs en déplacement d’affaires de courte durée n’est pas reconnue : Non consolidé.</w:t>
            </w:r>
          </w:p>
        </w:tc>
      </w:tr>
      <w:tr>
        <w:tc>
          <w:tcPr>
            <w:tcW w:w="0" w:type="auto"/>
            <w:shd w:val="clear" w:color="auto" w:fill="auto"/>
          </w:tcPr>
          <w:p>
            <w:pPr>
              <w:autoSpaceDE w:val="0"/>
              <w:spacing w:line="240" w:lineRule="auto"/>
              <w:rPr>
                <w:rFonts w:eastAsiaTheme="minorEastAsia"/>
                <w:b/>
                <w:noProof/>
                <w:sz w:val="20"/>
              </w:rPr>
            </w:pPr>
            <w:r>
              <w:rPr>
                <w:rFonts w:eastAsiaTheme="minorEastAsia"/>
                <w:b/>
                <w:noProof/>
                <w:sz w:val="20"/>
              </w:rPr>
              <w:t>Recherche et</w:t>
            </w:r>
          </w:p>
          <w:p>
            <w:pPr>
              <w:autoSpaceDE w:val="0"/>
              <w:spacing w:line="240" w:lineRule="auto"/>
              <w:rPr>
                <w:rFonts w:eastAsiaTheme="minorEastAsia"/>
                <w:b/>
                <w:noProof/>
                <w:sz w:val="20"/>
              </w:rPr>
            </w:pPr>
            <w:r>
              <w:rPr>
                <w:rFonts w:eastAsiaTheme="minorEastAsia"/>
                <w:b/>
                <w:noProof/>
                <w:sz w:val="20"/>
              </w:rPr>
              <w:t>conception</w:t>
            </w:r>
          </w:p>
        </w:tc>
        <w:tc>
          <w:tcPr>
            <w:tcW w:w="0" w:type="auto"/>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 xml:space="preserve">AT : </w:t>
            </w:r>
            <w:r>
              <w:rPr>
                <w:rFonts w:eastAsiaTheme="minorEastAsia"/>
                <w:noProof/>
                <w:sz w:val="20"/>
                <w:lang w:val="fr-CA"/>
              </w:rPr>
              <w:t>Un permis de travail, incluant l’examen des besoins économiques, est requis, sauf dans le cas des activités de recherche des chercheurs dans les domaines scientifique et statistique.</w:t>
            </w:r>
          </w:p>
          <w:p>
            <w:pPr>
              <w:autoSpaceDE w:val="0"/>
              <w:spacing w:before="60" w:after="60" w:line="240" w:lineRule="auto"/>
              <w:rPr>
                <w:rFonts w:eastAsiaTheme="minorEastAsia"/>
                <w:noProof/>
                <w:sz w:val="20"/>
                <w:lang w:val="fr-CA"/>
              </w:rPr>
            </w:pPr>
            <w:r>
              <w:rPr>
                <w:rFonts w:eastAsiaTheme="minorEastAsia"/>
                <w:b/>
                <w:noProof/>
                <w:sz w:val="20"/>
                <w:lang w:val="fr-CA"/>
              </w:rPr>
              <w:t xml:space="preserve">NL : </w:t>
            </w:r>
            <w:r>
              <w:rPr>
                <w:rFonts w:eastAsiaTheme="minorEastAsia"/>
                <w:noProof/>
                <w:sz w:val="20"/>
                <w:lang w:val="fr-CA"/>
              </w:rPr>
              <w:t>Un permis de travail, incluant l’examen des besoins économiques, est requis.</w:t>
            </w:r>
          </w:p>
        </w:tc>
      </w:tr>
      <w:tr>
        <w:trPr>
          <w:trHeight w:val="1270"/>
        </w:trPr>
        <w:tc>
          <w:tcPr>
            <w:tcW w:w="0" w:type="auto"/>
            <w:shd w:val="clear" w:color="auto" w:fill="auto"/>
          </w:tcPr>
          <w:p>
            <w:pPr>
              <w:autoSpaceDE w:val="0"/>
              <w:spacing w:beforeLines="60" w:before="144" w:afterLines="60" w:after="144" w:line="240" w:lineRule="auto"/>
              <w:rPr>
                <w:rFonts w:eastAsiaTheme="minorEastAsia"/>
                <w:b/>
                <w:noProof/>
                <w:sz w:val="20"/>
              </w:rPr>
            </w:pPr>
            <w:r>
              <w:rPr>
                <w:rFonts w:eastAsiaTheme="minorEastAsia"/>
                <w:b/>
                <w:noProof/>
                <w:sz w:val="20"/>
              </w:rPr>
              <w:t>Recherche en commercialisation</w:t>
            </w:r>
          </w:p>
        </w:tc>
        <w:tc>
          <w:tcPr>
            <w:tcW w:w="0" w:type="auto"/>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 xml:space="preserve">AT : </w:t>
            </w:r>
            <w:r>
              <w:rPr>
                <w:rFonts w:eastAsiaTheme="minorEastAsia"/>
                <w:noProof/>
                <w:sz w:val="20"/>
                <w:lang w:val="fr-CA"/>
              </w:rPr>
              <w:t>Un permis de travail, incluant l’examen des besoins économiques, est requis. L’examen des besoins économiques n’est pas requis dans le cas des activités de recherche et d’analyse ne dépassant pas sept jours au cours d’un mois ou 30 jours au cours d’une année civile. Un diplôme universitaire est exigé.</w:t>
            </w:r>
          </w:p>
          <w:p>
            <w:pPr>
              <w:autoSpaceDE w:val="0"/>
              <w:spacing w:before="60" w:after="60" w:line="240" w:lineRule="auto"/>
              <w:rPr>
                <w:rFonts w:eastAsiaTheme="minorEastAsia"/>
                <w:noProof/>
                <w:sz w:val="20"/>
                <w:lang w:val="fr-CA"/>
              </w:rPr>
            </w:pPr>
            <w:r>
              <w:rPr>
                <w:rFonts w:eastAsiaTheme="minorEastAsia"/>
                <w:b/>
                <w:noProof/>
                <w:sz w:val="20"/>
                <w:lang w:val="fr-CA"/>
              </w:rPr>
              <w:t xml:space="preserve">NL : </w:t>
            </w:r>
            <w:r>
              <w:rPr>
                <w:rFonts w:eastAsiaTheme="minorEastAsia"/>
                <w:noProof/>
                <w:sz w:val="20"/>
                <w:lang w:val="fr-CA"/>
              </w:rPr>
              <w:t>Un permis de travail, incluant l’examen des besoins économiques, est requis.</w:t>
            </w:r>
          </w:p>
        </w:tc>
      </w:tr>
      <w:tr>
        <w:tc>
          <w:tcPr>
            <w:tcW w:w="0" w:type="auto"/>
            <w:shd w:val="clear" w:color="auto" w:fill="auto"/>
          </w:tcPr>
          <w:p>
            <w:pPr>
              <w:autoSpaceDE w:val="0"/>
              <w:spacing w:beforeLines="60" w:before="144" w:afterLines="60" w:after="144" w:line="240" w:lineRule="auto"/>
              <w:rPr>
                <w:rFonts w:eastAsiaTheme="minorEastAsia"/>
                <w:b/>
                <w:noProof/>
                <w:sz w:val="20"/>
              </w:rPr>
            </w:pPr>
            <w:r>
              <w:rPr>
                <w:rFonts w:eastAsiaTheme="minorEastAsia"/>
                <w:b/>
                <w:noProof/>
                <w:sz w:val="20"/>
              </w:rPr>
              <w:t>Salons professionnels et expositions</w:t>
            </w:r>
          </w:p>
        </w:tc>
        <w:tc>
          <w:tcPr>
            <w:tcW w:w="0" w:type="auto"/>
            <w:shd w:val="clear" w:color="auto" w:fill="auto"/>
          </w:tcPr>
          <w:p>
            <w:pPr>
              <w:autoSpaceDE w:val="0"/>
              <w:spacing w:before="60" w:after="60" w:line="240" w:lineRule="auto"/>
              <w:rPr>
                <w:rFonts w:eastAsiaTheme="minorEastAsia"/>
                <w:b/>
                <w:noProof/>
                <w:sz w:val="20"/>
                <w:lang w:val="fr-CA"/>
              </w:rPr>
            </w:pPr>
            <w:r>
              <w:rPr>
                <w:rFonts w:eastAsiaTheme="minorEastAsia"/>
                <w:b/>
                <w:noProof/>
                <w:sz w:val="20"/>
                <w:lang w:val="fr-CA"/>
              </w:rPr>
              <w:t xml:space="preserve">AT : </w:t>
            </w:r>
            <w:r>
              <w:rPr>
                <w:rFonts w:eastAsiaTheme="minorEastAsia"/>
                <w:noProof/>
                <w:sz w:val="20"/>
                <w:lang w:val="fr-CA"/>
              </w:rPr>
              <w:t>Un permis de travail, incluant l’examen des besoins économiques, est requis pour les activités dépassant sept jours au cours d’un mois ou 30 jours au cours d’une année civile.</w:t>
            </w:r>
          </w:p>
        </w:tc>
      </w:tr>
    </w:tbl>
    <w:p>
      <w:pPr>
        <w:rPr>
          <w:noProof/>
        </w:rPr>
      </w:pPr>
    </w:p>
    <w:p>
      <w:pPr>
        <w:rPr>
          <w:noProof/>
        </w:rPr>
      </w:pPr>
    </w:p>
    <w:p>
      <w:pPr>
        <w:widowControl/>
        <w:spacing w:line="240" w:lineRule="auto"/>
        <w:rPr>
          <w:noProof/>
        </w:rPr>
      </w:pPr>
      <w:r>
        <w:rPr>
          <w:noProof/>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007"/>
      </w:tblGrid>
      <w:tr>
        <w:tc>
          <w:tcPr>
            <w:tcW w:w="2235" w:type="dxa"/>
            <w:shd w:val="clear" w:color="auto" w:fill="auto"/>
          </w:tcPr>
          <w:p>
            <w:pPr>
              <w:autoSpaceDE w:val="0"/>
              <w:spacing w:beforeLines="60" w:before="144" w:afterLines="60" w:after="144" w:line="240" w:lineRule="auto"/>
              <w:rPr>
                <w:rFonts w:eastAsiaTheme="minorEastAsia"/>
                <w:b/>
                <w:noProof/>
                <w:sz w:val="20"/>
                <w:lang w:val="fr-CA"/>
              </w:rPr>
            </w:pPr>
            <w:r>
              <w:rPr>
                <w:rFonts w:eastAsiaTheme="minorEastAsia"/>
                <w:b/>
                <w:noProof/>
                <w:sz w:val="20"/>
                <w:lang w:val="fr-CA"/>
              </w:rPr>
              <w:t>Service après-vente ou après-location</w:t>
            </w:r>
          </w:p>
        </w:tc>
        <w:tc>
          <w:tcPr>
            <w:tcW w:w="7007"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 xml:space="preserve">AT : </w:t>
            </w:r>
            <w:r>
              <w:rPr>
                <w:rFonts w:eastAsiaTheme="minorEastAsia"/>
                <w:noProof/>
                <w:sz w:val="20"/>
                <w:lang w:val="fr-CA"/>
              </w:rPr>
              <w:t>Un permis de travail, incluant l’examen des besoins économiques, est requis. L’examen des besoins économiques n’est pas requis dans le cas des personnes physiques qui forment des travailleurs pour la fourniture de services et qui possèdent des connaissances exceptionnelles.</w:t>
            </w:r>
          </w:p>
          <w:p>
            <w:pPr>
              <w:autoSpaceDE w:val="0"/>
              <w:spacing w:before="60" w:after="60" w:line="240" w:lineRule="auto"/>
              <w:rPr>
                <w:rFonts w:eastAsiaTheme="minorEastAsia"/>
                <w:noProof/>
                <w:sz w:val="20"/>
                <w:lang w:val="fr-CA"/>
              </w:rPr>
            </w:pPr>
            <w:r>
              <w:rPr>
                <w:rFonts w:eastAsiaTheme="minorEastAsia"/>
                <w:b/>
                <w:noProof/>
                <w:sz w:val="20"/>
                <w:lang w:val="fr-CA"/>
              </w:rPr>
              <w:t>CZ :</w:t>
            </w:r>
            <w:r>
              <w:rPr>
                <w:rFonts w:eastAsiaTheme="minorEastAsia"/>
                <w:noProof/>
                <w:sz w:val="20"/>
                <w:lang w:val="fr-CA"/>
              </w:rPr>
              <w:t xml:space="preserve"> Un permis de travail est requis pour les séjours dépassant sept jours au cours d’un mois ou 30 jours au cours d’une année civile.</w:t>
            </w:r>
          </w:p>
          <w:p>
            <w:pPr>
              <w:autoSpaceDE w:val="0"/>
              <w:spacing w:before="60" w:after="60" w:line="240" w:lineRule="auto"/>
              <w:rPr>
                <w:rFonts w:eastAsiaTheme="minorEastAsia"/>
                <w:noProof/>
                <w:sz w:val="20"/>
                <w:lang w:val="fr-CA"/>
              </w:rPr>
            </w:pPr>
            <w:r>
              <w:rPr>
                <w:rFonts w:eastAsiaTheme="minorEastAsia"/>
                <w:b/>
                <w:noProof/>
                <w:sz w:val="20"/>
                <w:lang w:val="fr-CA"/>
              </w:rPr>
              <w:t>FI :</w:t>
            </w:r>
            <w:r>
              <w:rPr>
                <w:rFonts w:eastAsiaTheme="minorEastAsia"/>
                <w:noProof/>
                <w:sz w:val="20"/>
                <w:lang w:val="fr-CA"/>
              </w:rPr>
              <w:t xml:space="preserve"> En fonction de l'activité, un permis de résidence peut être requis.</w:t>
            </w:r>
          </w:p>
          <w:p>
            <w:pPr>
              <w:autoSpaceDE w:val="0"/>
              <w:spacing w:before="60" w:after="60" w:line="240" w:lineRule="auto"/>
              <w:rPr>
                <w:rFonts w:eastAsiaTheme="minorEastAsia"/>
                <w:noProof/>
                <w:sz w:val="20"/>
                <w:lang w:val="fr-CA"/>
              </w:rPr>
            </w:pPr>
            <w:r>
              <w:rPr>
                <w:rFonts w:eastAsiaTheme="minorEastAsia"/>
                <w:b/>
                <w:noProof/>
                <w:sz w:val="20"/>
                <w:lang w:val="fr-CA"/>
              </w:rPr>
              <w:t>SE :</w:t>
            </w:r>
            <w:r>
              <w:rPr>
                <w:rFonts w:eastAsiaTheme="minorEastAsia"/>
                <w:noProof/>
                <w:sz w:val="20"/>
                <w:lang w:val="fr-CA"/>
              </w:rPr>
              <w:t xml:space="preserve"> Un permis de travail est requis, sauf dans le cas i) des personnes qui participent à de la formation, à des essais, à la préparation ou à l’exécution des livraisons ou à des activités similaires dans le cadre d’une transaction commerciale, ou ii) des ajusteurs ou des instructeurs techniques dans le contexte d’une installation ou d’une réparation de machinerie urgente pour une période ne dépassant pas deux mois, en situation d’urgence. Aucun examen des besoins économiques n’est effectué.</w:t>
            </w:r>
          </w:p>
        </w:tc>
      </w:tr>
      <w:tr>
        <w:tc>
          <w:tcPr>
            <w:tcW w:w="2235" w:type="dxa"/>
            <w:shd w:val="clear" w:color="auto" w:fill="auto"/>
          </w:tcPr>
          <w:p>
            <w:pPr>
              <w:autoSpaceDE w:val="0"/>
              <w:spacing w:beforeLines="60" w:before="144" w:afterLines="60" w:after="144" w:line="240" w:lineRule="auto"/>
              <w:rPr>
                <w:rFonts w:eastAsiaTheme="minorEastAsia"/>
                <w:b/>
                <w:noProof/>
                <w:sz w:val="20"/>
              </w:rPr>
            </w:pPr>
            <w:r>
              <w:rPr>
                <w:rFonts w:eastAsiaTheme="minorEastAsia"/>
                <w:b/>
                <w:noProof/>
                <w:sz w:val="20"/>
              </w:rPr>
              <w:t>Transactions commerciales</w:t>
            </w:r>
          </w:p>
        </w:tc>
        <w:tc>
          <w:tcPr>
            <w:tcW w:w="7007"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AT :</w:t>
            </w:r>
            <w:r>
              <w:rPr>
                <w:rFonts w:eastAsiaTheme="minorEastAsia"/>
                <w:noProof/>
                <w:sz w:val="20"/>
                <w:lang w:val="fr-CA"/>
              </w:rPr>
              <w:t xml:space="preserve"> Un permis de travail, incluant l’examen des besoins économiques, est requis dans le cas des activités dépassant sept jours au cours d’un mois ou 30 jours au cours d’une année civile.</w:t>
            </w:r>
          </w:p>
          <w:p>
            <w:pPr>
              <w:autoSpaceDE w:val="0"/>
              <w:spacing w:before="60" w:after="60" w:line="240" w:lineRule="auto"/>
              <w:rPr>
                <w:rFonts w:eastAsiaTheme="minorEastAsia"/>
                <w:noProof/>
                <w:sz w:val="20"/>
                <w:lang w:val="fr-CA"/>
              </w:rPr>
            </w:pPr>
            <w:r>
              <w:rPr>
                <w:rFonts w:eastAsiaTheme="minorEastAsia"/>
                <w:b/>
                <w:noProof/>
                <w:sz w:val="20"/>
                <w:lang w:val="fr-CA"/>
              </w:rPr>
              <w:t>FI :</w:t>
            </w:r>
            <w:r>
              <w:rPr>
                <w:rFonts w:eastAsiaTheme="minorEastAsia"/>
                <w:noProof/>
                <w:sz w:val="20"/>
                <w:lang w:val="fr-CA"/>
              </w:rPr>
              <w:t xml:space="preserve"> La personne physique doit fournir des services en tant qu’employé d’une entreprise située sur le territoire de l’autre Partie.</w:t>
            </w:r>
          </w:p>
          <w:p>
            <w:pPr>
              <w:autoSpaceDE w:val="0"/>
              <w:spacing w:before="60" w:after="60" w:line="240" w:lineRule="auto"/>
              <w:rPr>
                <w:rFonts w:eastAsiaTheme="minorEastAsia"/>
                <w:noProof/>
                <w:sz w:val="20"/>
                <w:lang w:val="fr-CA"/>
              </w:rPr>
            </w:pPr>
            <w:r>
              <w:rPr>
                <w:rFonts w:eastAsiaTheme="minorEastAsia"/>
                <w:b/>
                <w:noProof/>
                <w:sz w:val="20"/>
                <w:lang w:val="fr-CA"/>
              </w:rPr>
              <w:t xml:space="preserve">NL : </w:t>
            </w:r>
            <w:r>
              <w:rPr>
                <w:rFonts w:eastAsiaTheme="minorEastAsia"/>
                <w:noProof/>
                <w:sz w:val="20"/>
                <w:lang w:val="fr-CA"/>
              </w:rPr>
              <w:t>Un permis de travail, incluant l’examen des besoins économiques, est requis.</w:t>
            </w:r>
          </w:p>
        </w:tc>
      </w:tr>
      <w:tr>
        <w:tc>
          <w:tcPr>
            <w:tcW w:w="2235" w:type="dxa"/>
            <w:shd w:val="clear" w:color="auto" w:fill="auto"/>
          </w:tcPr>
          <w:p>
            <w:pPr>
              <w:autoSpaceDE w:val="0"/>
              <w:spacing w:beforeLines="60" w:before="144" w:afterLines="60" w:after="144" w:line="240" w:lineRule="auto"/>
              <w:rPr>
                <w:rFonts w:eastAsiaTheme="minorEastAsia"/>
                <w:b/>
                <w:noProof/>
                <w:sz w:val="20"/>
                <w:lang w:val="fr-CA"/>
              </w:rPr>
            </w:pPr>
            <w:r>
              <w:rPr>
                <w:rFonts w:eastAsiaTheme="minorEastAsia"/>
                <w:b/>
                <w:noProof/>
                <w:sz w:val="20"/>
                <w:lang w:val="fr-CA"/>
              </w:rPr>
              <w:t>Personnel du secteur du tourisme</w:t>
            </w:r>
          </w:p>
        </w:tc>
        <w:tc>
          <w:tcPr>
            <w:tcW w:w="7007"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NL :</w:t>
            </w:r>
            <w:r>
              <w:rPr>
                <w:rFonts w:eastAsiaTheme="minorEastAsia"/>
                <w:noProof/>
                <w:sz w:val="20"/>
                <w:lang w:val="fr-CA"/>
              </w:rPr>
              <w:t xml:space="preserve"> Un permis de travail, incluant l’examen des besoins économiques, est requis.</w:t>
            </w:r>
          </w:p>
          <w:p>
            <w:pPr>
              <w:autoSpaceDE w:val="0"/>
              <w:spacing w:before="60" w:after="60" w:line="240" w:lineRule="auto"/>
              <w:rPr>
                <w:rFonts w:eastAsiaTheme="minorEastAsia"/>
                <w:b/>
                <w:noProof/>
                <w:sz w:val="20"/>
                <w:lang w:val="fr-CA"/>
              </w:rPr>
            </w:pPr>
            <w:r>
              <w:rPr>
                <w:rFonts w:eastAsiaTheme="minorEastAsia"/>
                <w:b/>
                <w:noProof/>
                <w:sz w:val="20"/>
                <w:lang w:val="fr-CA"/>
              </w:rPr>
              <w:t>FI :</w:t>
            </w:r>
            <w:r>
              <w:rPr>
                <w:rFonts w:eastAsiaTheme="minorEastAsia"/>
                <w:noProof/>
                <w:sz w:val="20"/>
                <w:lang w:val="fr-CA"/>
              </w:rPr>
              <w:t xml:space="preserve"> La personne physique doit fournir des services en tant qu’employé d’une entreprise située sur le territoire de l’autre Partie.</w:t>
            </w:r>
          </w:p>
          <w:p>
            <w:pPr>
              <w:autoSpaceDE w:val="0"/>
              <w:spacing w:before="60" w:after="60" w:line="240" w:lineRule="auto"/>
              <w:rPr>
                <w:rFonts w:eastAsiaTheme="minorEastAsia"/>
                <w:noProof/>
                <w:sz w:val="20"/>
                <w:lang w:val="fr-CA"/>
              </w:rPr>
            </w:pPr>
            <w:r>
              <w:rPr>
                <w:rFonts w:eastAsiaTheme="minorEastAsia"/>
                <w:b/>
                <w:noProof/>
                <w:sz w:val="20"/>
                <w:lang w:val="fr-CA"/>
              </w:rPr>
              <w:t xml:space="preserve">PL : </w:t>
            </w:r>
            <w:r>
              <w:rPr>
                <w:rFonts w:eastAsiaTheme="minorEastAsia"/>
                <w:noProof/>
                <w:sz w:val="20"/>
                <w:lang w:val="fr-CA"/>
              </w:rPr>
              <w:t>Non consolidé.</w:t>
            </w:r>
          </w:p>
          <w:p>
            <w:pPr>
              <w:autoSpaceDE w:val="0"/>
              <w:spacing w:before="60" w:after="60" w:line="240" w:lineRule="auto"/>
              <w:rPr>
                <w:rFonts w:eastAsiaTheme="minorEastAsia"/>
                <w:noProof/>
                <w:sz w:val="20"/>
                <w:lang w:val="fr-CA"/>
              </w:rPr>
            </w:pPr>
            <w:r>
              <w:rPr>
                <w:rFonts w:eastAsiaTheme="minorEastAsia"/>
                <w:b/>
                <w:noProof/>
                <w:sz w:val="20"/>
                <w:lang w:val="fr-CA"/>
              </w:rPr>
              <w:t>SE :</w:t>
            </w:r>
            <w:r>
              <w:rPr>
                <w:rFonts w:eastAsiaTheme="minorEastAsia"/>
                <w:noProof/>
                <w:sz w:val="20"/>
                <w:lang w:val="fr-CA"/>
              </w:rPr>
              <w:t xml:space="preserve"> Un permis de travail est requis, sauf dans le cas des conducteurs et du personnel des autocars de tourisme. Aucun examen des besoins économiques n’est effectué.</w:t>
            </w:r>
          </w:p>
        </w:tc>
      </w:tr>
      <w:tr>
        <w:tc>
          <w:tcPr>
            <w:tcW w:w="2235" w:type="dxa"/>
            <w:shd w:val="clear" w:color="auto" w:fill="auto"/>
          </w:tcPr>
          <w:p>
            <w:pPr>
              <w:autoSpaceDE w:val="0"/>
              <w:spacing w:before="120" w:after="120" w:line="240" w:lineRule="auto"/>
              <w:rPr>
                <w:rFonts w:eastAsiaTheme="minorEastAsia"/>
                <w:b/>
                <w:noProof/>
                <w:sz w:val="20"/>
              </w:rPr>
            </w:pPr>
            <w:r>
              <w:rPr>
                <w:rFonts w:eastAsiaTheme="minorEastAsia"/>
                <w:b/>
                <w:noProof/>
                <w:sz w:val="20"/>
              </w:rPr>
              <w:t>Traduction et</w:t>
            </w:r>
          </w:p>
          <w:p>
            <w:pPr>
              <w:autoSpaceDE w:val="0"/>
              <w:spacing w:before="120" w:after="120" w:line="240" w:lineRule="auto"/>
              <w:rPr>
                <w:rFonts w:eastAsiaTheme="minorEastAsia"/>
                <w:b/>
                <w:noProof/>
                <w:sz w:val="20"/>
              </w:rPr>
            </w:pPr>
            <w:r>
              <w:rPr>
                <w:rFonts w:eastAsiaTheme="minorEastAsia"/>
                <w:b/>
                <w:noProof/>
                <w:sz w:val="20"/>
              </w:rPr>
              <w:t>interprétation</w:t>
            </w:r>
          </w:p>
        </w:tc>
        <w:tc>
          <w:tcPr>
            <w:tcW w:w="7007" w:type="dxa"/>
            <w:shd w:val="clear" w:color="auto" w:fill="auto"/>
          </w:tcPr>
          <w:p>
            <w:pPr>
              <w:autoSpaceDE w:val="0"/>
              <w:spacing w:before="60" w:after="60" w:line="240" w:lineRule="auto"/>
              <w:rPr>
                <w:rFonts w:eastAsiaTheme="minorEastAsia"/>
                <w:noProof/>
                <w:sz w:val="20"/>
                <w:lang w:val="fr-CA"/>
              </w:rPr>
            </w:pPr>
            <w:r>
              <w:rPr>
                <w:rFonts w:eastAsiaTheme="minorEastAsia"/>
                <w:b/>
                <w:noProof/>
                <w:sz w:val="20"/>
                <w:lang w:val="fr-CA"/>
              </w:rPr>
              <w:t>AT, NL :</w:t>
            </w:r>
            <w:r>
              <w:rPr>
                <w:rFonts w:eastAsiaTheme="minorEastAsia"/>
                <w:noProof/>
                <w:sz w:val="20"/>
                <w:lang w:val="fr-CA"/>
              </w:rPr>
              <w:t xml:space="preserve"> Un permis de travail, incluant l’examen des besoins économiques, est requis.</w:t>
            </w:r>
          </w:p>
          <w:p>
            <w:pPr>
              <w:tabs>
                <w:tab w:val="left" w:pos="2084"/>
              </w:tabs>
              <w:autoSpaceDE w:val="0"/>
              <w:spacing w:before="60" w:after="60" w:line="240" w:lineRule="auto"/>
              <w:rPr>
                <w:rFonts w:eastAsiaTheme="minorEastAsia"/>
                <w:noProof/>
                <w:sz w:val="20"/>
              </w:rPr>
            </w:pPr>
            <w:r>
              <w:rPr>
                <w:rFonts w:eastAsiaTheme="minorEastAsia"/>
                <w:b/>
                <w:noProof/>
                <w:sz w:val="20"/>
              </w:rPr>
              <w:t>PL :</w:t>
            </w:r>
            <w:r>
              <w:rPr>
                <w:rFonts w:eastAsiaTheme="minorEastAsia"/>
                <w:noProof/>
                <w:sz w:val="20"/>
              </w:rPr>
              <w:t xml:space="preserve"> Non consolidé.</w:t>
            </w:r>
            <w:r>
              <w:rPr>
                <w:rFonts w:eastAsiaTheme="minorEastAsia"/>
                <w:noProof/>
                <w:sz w:val="20"/>
              </w:rPr>
              <w:tab/>
            </w:r>
          </w:p>
        </w:tc>
      </w:tr>
    </w:tbl>
    <w:p>
      <w:pPr>
        <w:spacing w:line="240" w:lineRule="auto"/>
        <w:rPr>
          <w:rFonts w:eastAsia="Batang"/>
          <w:noProof/>
          <w:lang w:eastAsia="ar-SA"/>
        </w:rPr>
      </w:pPr>
    </w:p>
    <w:p>
      <w:pPr>
        <w:spacing w:line="240" w:lineRule="auto"/>
        <w:rPr>
          <w:rFonts w:eastAsia="Batang"/>
          <w:noProof/>
          <w:lang w:eastAsia="ar-SA"/>
        </w:rPr>
      </w:pPr>
    </w:p>
    <w:p>
      <w:pPr>
        <w:widowControl/>
        <w:spacing w:line="240" w:lineRule="auto"/>
        <w:rPr>
          <w:rFonts w:eastAsia="Batang"/>
          <w:b/>
          <w:noProof/>
          <w:szCs w:val="24"/>
          <w:u w:val="single"/>
          <w:lang w:eastAsia="ar-SA"/>
        </w:rPr>
      </w:pPr>
      <w:r>
        <w:rPr>
          <w:rFonts w:eastAsia="Batang"/>
          <w:b/>
          <w:noProof/>
          <w:szCs w:val="24"/>
          <w:u w:val="single"/>
          <w:lang w:eastAsia="ar-SA"/>
        </w:rPr>
        <w:br w:type="page"/>
      </w:r>
    </w:p>
    <w:p>
      <w:pPr>
        <w:suppressAutoHyphens/>
        <w:spacing w:after="240" w:line="240" w:lineRule="auto"/>
        <w:jc w:val="center"/>
        <w:rPr>
          <w:rFonts w:eastAsia="Batang"/>
          <w:b/>
          <w:i/>
          <w:iCs/>
          <w:noProof/>
          <w:color w:val="000000"/>
          <w:szCs w:val="24"/>
          <w:u w:val="single"/>
        </w:rPr>
      </w:pPr>
      <w:r>
        <w:rPr>
          <w:b/>
          <w:noProof/>
          <w:u w:val="single"/>
        </w:rPr>
        <w:t>ANNEXE 10-C</w:t>
      </w:r>
    </w:p>
    <w:p>
      <w:pPr>
        <w:suppressAutoHyphens/>
        <w:spacing w:after="240" w:line="240" w:lineRule="auto"/>
        <w:jc w:val="center"/>
        <w:rPr>
          <w:rFonts w:eastAsia="Batang"/>
          <w:b/>
          <w:noProof/>
          <w:szCs w:val="24"/>
          <w:lang w:val="fr-CA"/>
        </w:rPr>
      </w:pPr>
      <w:r>
        <w:rPr>
          <w:b/>
          <w:noProof/>
          <w:lang w:val="fr-CA"/>
        </w:rPr>
        <w:t>QUALIFICATIONS ÉQUIVALENTES POUR LES TECHNOLOGUES EN GÉNIE ET LES TECHNOLOGUES EN SCIENCES</w:t>
      </w:r>
    </w:p>
    <w:p>
      <w:pPr>
        <w:spacing w:line="240" w:lineRule="auto"/>
        <w:rPr>
          <w:noProof/>
          <w:lang w:val="fr-CA"/>
        </w:rPr>
      </w:pPr>
    </w:p>
    <w:p>
      <w:pPr>
        <w:spacing w:line="240" w:lineRule="auto"/>
        <w:rPr>
          <w:noProof/>
          <w:lang w:val="fr-CA"/>
        </w:rPr>
      </w:pPr>
      <w:r>
        <w:rPr>
          <w:noProof/>
          <w:lang w:val="fr-CA"/>
        </w:rPr>
        <w:t>Pour l’application du présent accord :</w:t>
      </w:r>
    </w:p>
    <w:p>
      <w:pPr>
        <w:spacing w:line="240" w:lineRule="auto"/>
        <w:rPr>
          <w:noProof/>
          <w:lang w:val="fr-CA"/>
        </w:rPr>
      </w:pPr>
    </w:p>
    <w:p>
      <w:pPr>
        <w:pStyle w:val="Point0"/>
        <w:spacing w:before="0" w:after="0"/>
        <w:ind w:left="600" w:hanging="600"/>
        <w:rPr>
          <w:noProof/>
          <w:lang w:val="fr-CA"/>
        </w:rPr>
      </w:pPr>
      <w:r>
        <w:rPr>
          <w:noProof/>
          <w:lang w:val="fr-CA"/>
        </w:rPr>
        <w:t>a)</w:t>
      </w:r>
      <w:r>
        <w:rPr>
          <w:noProof/>
          <w:lang w:val="fr-CA"/>
        </w:rPr>
        <w:tab/>
        <w:t xml:space="preserve">pour les technologues en génie (CPC 8672 et 8673), est considéré équivalent à un diplôme universitaire tout diplôme d’études postsecondaires délivré par un établissement officiellement reconnu qui sanctionne une formation de trois ans en technologie du génie. </w:t>
      </w:r>
    </w:p>
    <w:p>
      <w:pPr>
        <w:pStyle w:val="Point0"/>
        <w:spacing w:before="0" w:after="0"/>
        <w:ind w:left="600" w:hanging="600"/>
        <w:rPr>
          <w:noProof/>
          <w:lang w:val="fr-CA"/>
        </w:rPr>
      </w:pPr>
    </w:p>
    <w:p>
      <w:pPr>
        <w:spacing w:line="240" w:lineRule="auto"/>
        <w:ind w:left="600" w:hanging="600"/>
        <w:rPr>
          <w:rFonts w:eastAsiaTheme="minorHAnsi"/>
          <w:noProof/>
          <w:szCs w:val="22"/>
          <w:lang w:val="fr-FR" w:eastAsia="en-US"/>
        </w:rPr>
      </w:pPr>
      <w:r>
        <w:rPr>
          <w:noProof/>
          <w:lang w:val="fr-CA"/>
        </w:rPr>
        <w:t>b)</w:t>
      </w:r>
      <w:r>
        <w:rPr>
          <w:noProof/>
          <w:lang w:val="fr-CA"/>
        </w:rPr>
        <w:tab/>
        <w:t>pour les technologues en sciences (CPC 881, 8671, 8674, 8676, 851, 852, 853, 8675 et 883), est considéré équivalent à un diplôme universitaire tout diplôme d’études postsecondaires délivré par un établissement officiellement reconnu qui sanctionne une formation de trois ans dans les domaines de l’agriculture, de l’architecture, de la biologie, de la chimie, de la physique, de la sylviculture, de la géologie, de la géophysique, de l’exploitation minière et de l’énergie.</w:t>
      </w:r>
    </w:p>
    <w:p>
      <w:pPr>
        <w:widowControl/>
        <w:spacing w:line="240" w:lineRule="auto"/>
        <w:rPr>
          <w:rFonts w:eastAsia="Batang"/>
          <w:b/>
          <w:iCs/>
          <w:noProof/>
          <w:color w:val="000000"/>
          <w:szCs w:val="24"/>
          <w:u w:val="single"/>
          <w:lang w:val="fr-FR" w:eastAsia="ar-SA"/>
        </w:rPr>
      </w:pPr>
      <w:r>
        <w:rPr>
          <w:rFonts w:eastAsia="Batang"/>
          <w:b/>
          <w:iCs/>
          <w:noProof/>
          <w:color w:val="000000"/>
          <w:szCs w:val="24"/>
          <w:u w:val="single"/>
          <w:lang w:val="fr-FR" w:eastAsia="ar-SA"/>
        </w:rPr>
        <w:br w:type="page"/>
      </w:r>
    </w:p>
    <w:p>
      <w:pPr>
        <w:suppressAutoHyphens/>
        <w:spacing w:line="240" w:lineRule="auto"/>
        <w:jc w:val="center"/>
        <w:rPr>
          <w:b/>
          <w:noProof/>
          <w:color w:val="000000"/>
          <w:u w:val="single"/>
          <w:lang w:val="fr-CA"/>
        </w:rPr>
      </w:pPr>
      <w:r>
        <w:rPr>
          <w:b/>
          <w:noProof/>
          <w:color w:val="000000"/>
          <w:u w:val="single"/>
          <w:lang w:val="fr-CA"/>
        </w:rPr>
        <w:t>ANNEXE 10-D</w:t>
      </w:r>
    </w:p>
    <w:p>
      <w:pPr>
        <w:suppressAutoHyphens/>
        <w:spacing w:line="240" w:lineRule="auto"/>
        <w:jc w:val="center"/>
        <w:rPr>
          <w:b/>
          <w:noProof/>
          <w:color w:val="000000"/>
          <w:u w:val="single"/>
          <w:lang w:val="fr-CA"/>
        </w:rPr>
      </w:pPr>
    </w:p>
    <w:p>
      <w:pPr>
        <w:suppressAutoHyphens/>
        <w:spacing w:line="240" w:lineRule="auto"/>
        <w:jc w:val="center"/>
        <w:rPr>
          <w:rFonts w:eastAsia="Batang"/>
          <w:i/>
          <w:iCs/>
          <w:noProof/>
          <w:color w:val="000000"/>
          <w:szCs w:val="24"/>
          <w:u w:val="single"/>
          <w:lang w:val="fr-CA"/>
        </w:rPr>
      </w:pPr>
    </w:p>
    <w:p>
      <w:pPr>
        <w:suppressAutoHyphens/>
        <w:spacing w:line="240" w:lineRule="auto"/>
        <w:rPr>
          <w:b/>
          <w:noProof/>
          <w:color w:val="000000"/>
          <w:lang w:val="fr-CA"/>
        </w:rPr>
      </w:pPr>
      <w:r>
        <w:rPr>
          <w:b/>
          <w:noProof/>
          <w:color w:val="000000"/>
          <w:lang w:val="fr-CA"/>
        </w:rPr>
        <w:t>ACTIVITÉS DES VISITEURS EN DÉPLACEMENT D’AFFAIRES DE COURTE DURÉE</w:t>
      </w:r>
    </w:p>
    <w:p>
      <w:pPr>
        <w:suppressAutoHyphens/>
        <w:spacing w:line="240" w:lineRule="auto"/>
        <w:rPr>
          <w:rFonts w:eastAsia="Batang"/>
          <w:b/>
          <w:iCs/>
          <w:noProof/>
          <w:color w:val="000000"/>
          <w:szCs w:val="24"/>
          <w:lang w:val="fr-CA"/>
        </w:rPr>
      </w:pPr>
    </w:p>
    <w:p>
      <w:pPr>
        <w:pStyle w:val="Point0"/>
        <w:spacing w:before="0" w:after="0"/>
        <w:ind w:left="567" w:hanging="567"/>
        <w:jc w:val="left"/>
        <w:rPr>
          <w:noProof/>
          <w:lang w:val="fr-CA"/>
        </w:rPr>
      </w:pPr>
      <w:r>
        <w:rPr>
          <w:noProof/>
          <w:lang w:val="fr-CA"/>
        </w:rPr>
        <w:t>a)</w:t>
      </w:r>
      <w:r>
        <w:rPr>
          <w:noProof/>
          <w:lang w:val="fr-CA"/>
        </w:rPr>
        <w:tab/>
      </w:r>
      <w:r>
        <w:rPr>
          <w:b/>
          <w:noProof/>
          <w:lang w:val="fr-CA"/>
        </w:rPr>
        <w:t xml:space="preserve">réunions et consultations : </w:t>
      </w:r>
      <w:r>
        <w:rPr>
          <w:noProof/>
          <w:lang w:val="fr-CA"/>
        </w:rPr>
        <w:t>personnes physiques qui assistent à des réunions ou à des conférences, ou qui participent à des consultations avec des associés;</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b)</w:t>
      </w:r>
      <w:r>
        <w:rPr>
          <w:noProof/>
          <w:lang w:val="fr-CA"/>
        </w:rPr>
        <w:tab/>
      </w:r>
      <w:r>
        <w:rPr>
          <w:b/>
          <w:noProof/>
          <w:lang w:val="fr-CA"/>
        </w:rPr>
        <w:t xml:space="preserve">recherche et conception : </w:t>
      </w:r>
      <w:r>
        <w:rPr>
          <w:noProof/>
          <w:lang w:val="fr-CA"/>
        </w:rPr>
        <w:t>chercheurs qui, dans les domaines technique, scientifique ou statistique, effectuent des recherches pour leur propre compte ou pour celui d’une entreprise située sur le territoire de l’autre Partie;</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c)</w:t>
      </w:r>
      <w:r>
        <w:rPr>
          <w:noProof/>
          <w:lang w:val="fr-CA"/>
        </w:rPr>
        <w:tab/>
      </w:r>
      <w:r>
        <w:rPr>
          <w:b/>
          <w:noProof/>
          <w:lang w:val="fr-CA"/>
        </w:rPr>
        <w:t>recherche en commercialisation :</w:t>
      </w:r>
      <w:r>
        <w:rPr>
          <w:noProof/>
          <w:lang w:val="fr-CA"/>
        </w:rPr>
        <w:t xml:space="preserve"> chercheurs et analystes dans le domaine de la commercialisation qui effectuent des travaux de recherche ou d’analyse pour le compte d’une entreprise située sur le territoire de l’autre Partie;</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d)</w:t>
      </w:r>
      <w:r>
        <w:rPr>
          <w:noProof/>
          <w:lang w:val="fr-CA"/>
        </w:rPr>
        <w:tab/>
      </w:r>
      <w:r>
        <w:rPr>
          <w:b/>
          <w:noProof/>
          <w:lang w:val="fr-CA"/>
        </w:rPr>
        <w:t>séminaires de formation :</w:t>
      </w:r>
      <w:r>
        <w:rPr>
          <w:noProof/>
          <w:lang w:val="fr-CA"/>
        </w:rPr>
        <w:t xml:space="preserve"> personnel d’une entreprise qui entre sur le territoire de l’autre Partie pour suivre une formation sur des techniques et des méthodes de travail employées par des sociétés ou des organisations de cette autre Partie, pour autant que la formation se limite à l’observation, à la familiarisation et à l’enseignement en classe;</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e)</w:t>
      </w:r>
      <w:r>
        <w:rPr>
          <w:noProof/>
          <w:lang w:val="fr-CA"/>
        </w:rPr>
        <w:tab/>
      </w:r>
      <w:r>
        <w:rPr>
          <w:b/>
          <w:noProof/>
          <w:lang w:val="fr-CA"/>
        </w:rPr>
        <w:t>salons professionnels et expositions :</w:t>
      </w:r>
      <w:r>
        <w:rPr>
          <w:noProof/>
          <w:lang w:val="fr-CA"/>
        </w:rPr>
        <w:t xml:space="preserve"> personnel qui assiste à un salon professionnel dans le but de promouvoir leur société ou ses produits ou services;</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f)</w:t>
      </w:r>
      <w:r>
        <w:rPr>
          <w:noProof/>
          <w:lang w:val="fr-CA"/>
        </w:rPr>
        <w:tab/>
      </w:r>
      <w:r>
        <w:rPr>
          <w:b/>
          <w:noProof/>
          <w:lang w:val="fr-CA"/>
        </w:rPr>
        <w:t>ventes :</w:t>
      </w:r>
      <w:r>
        <w:rPr>
          <w:noProof/>
          <w:lang w:val="fr-CA"/>
        </w:rPr>
        <w:t xml:space="preserve"> représentants d’un fournisseur de services ou de marchandises qui prennent des commandes ou qui négocient la vente de services ou de marchandises ou qui concluent des accords en vue de vendre des services ou des marchandises pour le compte de ce fournisseur, mais qui ne livrent pas les marchandises et ne fournissent pas les services eux-mêmes. Les visiteurs en déplacement d’affaires de courte durée n'effectuent pas de vente directe au grand public;</w:t>
      </w:r>
    </w:p>
    <w:p>
      <w:pPr>
        <w:pStyle w:val="Point0"/>
        <w:spacing w:before="0" w:after="0"/>
        <w:ind w:left="567" w:hanging="567"/>
        <w:jc w:val="left"/>
        <w:rPr>
          <w:noProof/>
          <w:lang w:val="fr-CA"/>
        </w:rPr>
      </w:pPr>
    </w:p>
    <w:p>
      <w:pPr>
        <w:pStyle w:val="Point0"/>
        <w:spacing w:before="0" w:after="0"/>
        <w:ind w:left="567" w:hanging="567"/>
        <w:jc w:val="left"/>
        <w:rPr>
          <w:noProof/>
          <w:lang w:val="fr-CA"/>
        </w:rPr>
      </w:pPr>
      <w:r>
        <w:rPr>
          <w:noProof/>
          <w:lang w:val="fr-CA"/>
        </w:rPr>
        <w:t>g)</w:t>
      </w:r>
      <w:r>
        <w:rPr>
          <w:noProof/>
          <w:lang w:val="fr-CA"/>
        </w:rPr>
        <w:tab/>
      </w:r>
      <w:r>
        <w:rPr>
          <w:b/>
          <w:noProof/>
          <w:lang w:val="fr-CA"/>
        </w:rPr>
        <w:t>achats</w:t>
      </w:r>
      <w:r>
        <w:rPr>
          <w:noProof/>
          <w:lang w:val="fr-CA"/>
        </w:rPr>
        <w:t> : acheteurs qui achètent des marchandises ou des services pour le compte d’une entreprise, ou personnel de gestion et de supervision qui effectue une transaction commerciale sur le territoire de l’autre Partie;</w:t>
      </w:r>
    </w:p>
    <w:p>
      <w:pPr>
        <w:pStyle w:val="Point0"/>
        <w:spacing w:before="0" w:after="0"/>
        <w:ind w:left="567" w:hanging="567"/>
        <w:jc w:val="left"/>
        <w:rPr>
          <w:noProof/>
          <w:lang w:val="fr-CA"/>
        </w:rPr>
      </w:pPr>
    </w:p>
    <w:p>
      <w:pPr>
        <w:widowControl/>
        <w:spacing w:line="240" w:lineRule="auto"/>
        <w:rPr>
          <w:rFonts w:eastAsiaTheme="minorHAnsi"/>
          <w:noProof/>
          <w:szCs w:val="22"/>
          <w:lang w:val="fr-CA" w:eastAsia="en-US"/>
        </w:rPr>
      </w:pPr>
      <w:r>
        <w:rPr>
          <w:noProof/>
          <w:lang w:val="fr-CA"/>
        </w:rPr>
        <w:br w:type="page"/>
      </w:r>
    </w:p>
    <w:p>
      <w:pPr>
        <w:pStyle w:val="Point0"/>
        <w:spacing w:before="0" w:after="0"/>
        <w:ind w:left="567" w:hanging="567"/>
        <w:jc w:val="left"/>
        <w:rPr>
          <w:noProof/>
          <w:lang w:val="fr-CA"/>
        </w:rPr>
      </w:pPr>
      <w:r>
        <w:rPr>
          <w:noProof/>
          <w:lang w:val="fr-CA"/>
        </w:rPr>
        <w:t>h)</w:t>
      </w:r>
      <w:r>
        <w:rPr>
          <w:noProof/>
          <w:lang w:val="fr-CA"/>
        </w:rPr>
        <w:tab/>
      </w:r>
      <w:r>
        <w:rPr>
          <w:b/>
          <w:noProof/>
          <w:lang w:val="fr-CA"/>
        </w:rPr>
        <w:t xml:space="preserve">service après-vente ou après-location : </w:t>
      </w:r>
      <w:r>
        <w:rPr>
          <w:noProof/>
          <w:lang w:val="fr-CA"/>
        </w:rPr>
        <w:t>installateurs, réparateurs, préposés à l’entretien et superviseurs qui possèdent les compétences spécialisées essentielles à l’exécution des obligations contractuelles d’un vendeur et qui fournissent des services ou forment des travailleurs à cette fin, en exécution d’une garantie ou de tout autre contrat de services lié à la vente ou à la location de machines ou d’équipements commerciaux ou industriels, y compris les logiciels, achetés ou loués à une entreprise située hors du territoire de la Partie à laquelle s’adresse la demande d’admission temporaire, pendant la durée de cette garantie ou de ce contrat de services;</w:t>
      </w:r>
    </w:p>
    <w:p>
      <w:pPr>
        <w:pStyle w:val="Point0"/>
        <w:spacing w:before="0" w:after="0"/>
        <w:ind w:left="567" w:hanging="567"/>
        <w:jc w:val="left"/>
        <w:rPr>
          <w:rFonts w:eastAsia="Batang"/>
          <w:noProof/>
          <w:lang w:val="fr-CA"/>
        </w:rPr>
      </w:pPr>
    </w:p>
    <w:p>
      <w:pPr>
        <w:pStyle w:val="Point0"/>
        <w:spacing w:before="0" w:after="0"/>
        <w:ind w:left="567" w:hanging="567"/>
        <w:jc w:val="left"/>
        <w:rPr>
          <w:noProof/>
          <w:lang w:val="fr-CA"/>
        </w:rPr>
      </w:pPr>
      <w:r>
        <w:rPr>
          <w:noProof/>
          <w:lang w:val="fr-CA"/>
        </w:rPr>
        <w:t>i)</w:t>
      </w:r>
      <w:r>
        <w:rPr>
          <w:noProof/>
          <w:lang w:val="fr-CA"/>
        </w:rPr>
        <w:tab/>
      </w:r>
      <w:r>
        <w:rPr>
          <w:b/>
          <w:noProof/>
          <w:lang w:val="fr-CA"/>
        </w:rPr>
        <w:t xml:space="preserve">transactions commerciales : </w:t>
      </w:r>
      <w:r>
        <w:rPr>
          <w:noProof/>
          <w:lang w:val="fr-CA"/>
        </w:rPr>
        <w:t>personnel de gestion et de supervision et personnel des services financiers (y compris les assureurs, les banquiers et les courtiers en placements) qui effectuent une transaction commerciale pour le compte d’une entreprise située sur le territoire de l’autre Partie;</w:t>
      </w:r>
    </w:p>
    <w:p>
      <w:pPr>
        <w:pStyle w:val="Point0"/>
        <w:spacing w:before="0" w:after="0"/>
        <w:ind w:left="567" w:hanging="567"/>
        <w:jc w:val="left"/>
        <w:rPr>
          <w:rFonts w:eastAsia="Batang"/>
          <w:noProof/>
          <w:lang w:val="fr-CA"/>
        </w:rPr>
      </w:pPr>
    </w:p>
    <w:p>
      <w:pPr>
        <w:pStyle w:val="Point0"/>
        <w:spacing w:before="0" w:after="0"/>
        <w:ind w:left="567" w:hanging="567"/>
        <w:jc w:val="left"/>
        <w:rPr>
          <w:noProof/>
          <w:lang w:val="fr-CA"/>
        </w:rPr>
      </w:pPr>
      <w:r>
        <w:rPr>
          <w:noProof/>
          <w:lang w:val="fr-CA"/>
        </w:rPr>
        <w:t>j)</w:t>
      </w:r>
      <w:r>
        <w:rPr>
          <w:noProof/>
          <w:lang w:val="fr-CA"/>
        </w:rPr>
        <w:tab/>
      </w:r>
      <w:r>
        <w:rPr>
          <w:b/>
          <w:noProof/>
          <w:lang w:val="fr-CA"/>
        </w:rPr>
        <w:t>personnel du secteur du tourisme :</w:t>
      </w:r>
      <w:r>
        <w:rPr>
          <w:noProof/>
          <w:lang w:val="fr-CA"/>
        </w:rPr>
        <w:t xml:space="preserve"> agents de voyages, guides ou voyagistes qui assistent ou participent à des congrès ou accompagnent les participants à un voyage organisé ayant commencé sur le territoire de l’autre Partie;</w:t>
      </w:r>
    </w:p>
    <w:p>
      <w:pPr>
        <w:pStyle w:val="Point0"/>
        <w:spacing w:before="0" w:after="0"/>
        <w:ind w:left="567" w:hanging="567"/>
        <w:jc w:val="left"/>
        <w:rPr>
          <w:rFonts w:eastAsia="Batang"/>
          <w:noProof/>
          <w:lang w:val="fr-CA"/>
        </w:rPr>
      </w:pPr>
    </w:p>
    <w:p>
      <w:pPr>
        <w:spacing w:line="240" w:lineRule="auto"/>
        <w:ind w:left="567" w:hanging="567"/>
        <w:rPr>
          <w:rFonts w:eastAsia="Batang"/>
          <w:noProof/>
          <w:lang w:val="fr-FR" w:eastAsia="ar-SA"/>
        </w:rPr>
      </w:pPr>
      <w:r>
        <w:rPr>
          <w:noProof/>
          <w:lang w:val="fr-CA"/>
        </w:rPr>
        <w:t>k)</w:t>
      </w:r>
      <w:r>
        <w:rPr>
          <w:noProof/>
          <w:lang w:val="fr-CA"/>
        </w:rPr>
        <w:tab/>
      </w:r>
      <w:r>
        <w:rPr>
          <w:b/>
          <w:noProof/>
          <w:lang w:val="fr-CA"/>
        </w:rPr>
        <w:t xml:space="preserve">traduction et interprétation : </w:t>
      </w:r>
      <w:r>
        <w:rPr>
          <w:noProof/>
          <w:lang w:val="fr-CA"/>
        </w:rPr>
        <w:t>traducteurs ou interprètes qui fournissent des services en tant qu’employés d’une entreprise située sur le territoire de l’autre Partie</w:t>
      </w:r>
      <w:r>
        <w:rPr>
          <w:rFonts w:eastAsia="Batang"/>
          <w:noProof/>
          <w:lang w:val="fr-FR" w:eastAsia="ar-SA"/>
        </w:rPr>
        <w:t>.</w:t>
      </w:r>
    </w:p>
    <w:p>
      <w:pPr>
        <w:widowControl/>
        <w:spacing w:line="240" w:lineRule="auto"/>
        <w:ind w:left="567" w:hanging="567"/>
        <w:rPr>
          <w:rFonts w:eastAsia="Batang"/>
          <w:noProof/>
          <w:szCs w:val="22"/>
          <w:lang w:val="fr-FR" w:eastAsia="ar-SA"/>
        </w:rPr>
      </w:pPr>
    </w:p>
    <w:p>
      <w:pPr>
        <w:widowControl/>
        <w:spacing w:line="240" w:lineRule="auto"/>
        <w:ind w:left="567" w:hanging="567"/>
        <w:jc w:val="both"/>
        <w:rPr>
          <w:rFonts w:eastAsia="Batang"/>
          <w:noProof/>
          <w:szCs w:val="22"/>
          <w:lang w:val="fr-FR" w:eastAsia="ar-SA"/>
        </w:rPr>
      </w:pPr>
    </w:p>
    <w:p>
      <w:pPr>
        <w:widowControl/>
        <w:spacing w:line="240" w:lineRule="auto"/>
        <w:rPr>
          <w:b/>
          <w:noProof/>
          <w:szCs w:val="24"/>
          <w:u w:val="single"/>
          <w:lang w:val="fr-FR" w:eastAsia="de-DE"/>
        </w:rPr>
      </w:pPr>
      <w:r>
        <w:rPr>
          <w:b/>
          <w:noProof/>
          <w:szCs w:val="24"/>
          <w:u w:val="single"/>
          <w:lang w:val="fr-FR" w:eastAsia="de-DE"/>
        </w:rPr>
        <w:br w:type="page"/>
      </w:r>
    </w:p>
    <w:p>
      <w:pPr>
        <w:spacing w:line="240" w:lineRule="auto"/>
        <w:jc w:val="center"/>
        <w:outlineLvl w:val="0"/>
        <w:rPr>
          <w:b/>
          <w:noProof/>
          <w:u w:val="single"/>
          <w:lang w:val="fr-CA"/>
        </w:rPr>
      </w:pPr>
      <w:r>
        <w:rPr>
          <w:b/>
          <w:noProof/>
          <w:u w:val="single"/>
          <w:lang w:val="fr-CA"/>
        </w:rPr>
        <w:t>ANNEXE 10-E</w:t>
      </w:r>
    </w:p>
    <w:p>
      <w:pPr>
        <w:spacing w:line="240" w:lineRule="auto"/>
        <w:jc w:val="center"/>
        <w:outlineLvl w:val="0"/>
        <w:rPr>
          <w:b/>
          <w:noProof/>
          <w:u w:val="single"/>
          <w:lang w:val="fr-CA"/>
        </w:rPr>
      </w:pPr>
    </w:p>
    <w:p>
      <w:pPr>
        <w:spacing w:line="240" w:lineRule="auto"/>
        <w:jc w:val="center"/>
        <w:outlineLvl w:val="0"/>
        <w:rPr>
          <w:b/>
          <w:noProof/>
          <w:szCs w:val="24"/>
          <w:u w:val="single"/>
          <w:lang w:val="fr-CA"/>
        </w:rPr>
      </w:pPr>
    </w:p>
    <w:p>
      <w:pPr>
        <w:spacing w:line="240" w:lineRule="auto"/>
        <w:jc w:val="center"/>
        <w:rPr>
          <w:b/>
          <w:noProof/>
          <w:lang w:val="fr-CA"/>
        </w:rPr>
      </w:pPr>
      <w:r>
        <w:rPr>
          <w:b/>
          <w:noProof/>
          <w:lang w:val="fr-CA"/>
        </w:rPr>
        <w:t>ENGAGEMENTS SECTORIELS RELATIFS AUX FOURNISSEURS DE SERVICES CONTRACTUELS ET AUX PROFESSIONNELS INDÉPENDANTS</w:t>
      </w:r>
    </w:p>
    <w:p>
      <w:pPr>
        <w:spacing w:line="240" w:lineRule="auto"/>
        <w:jc w:val="center"/>
        <w:rPr>
          <w:rFonts w:eastAsia="SimSun"/>
          <w:b/>
          <w:noProof/>
          <w:szCs w:val="24"/>
          <w:lang w:val="fr-CA"/>
        </w:rPr>
      </w:pPr>
    </w:p>
    <w:p>
      <w:pPr>
        <w:pStyle w:val="ManualNumPar1"/>
        <w:spacing w:before="0" w:after="0"/>
        <w:ind w:left="567" w:hanging="567"/>
        <w:rPr>
          <w:noProof/>
          <w:color w:val="000000"/>
          <w:lang w:val="fr-CA"/>
        </w:rPr>
      </w:pPr>
      <w:r>
        <w:rPr>
          <w:noProof/>
          <w:lang w:val="fr-CA"/>
        </w:rPr>
        <w:t>1.</w:t>
      </w:r>
      <w:r>
        <w:rPr>
          <w:noProof/>
          <w:lang w:val="fr-CA"/>
        </w:rPr>
        <w:tab/>
        <w:t>Chaque Partie autorise la fourniture de services sur son territoire par des fournisseurs de services contractuels ou des professionnels indépendants de l’autre Partie par la présence de personnes physiques, conformément à l’article 10.8, pour les secteurs énumérés dans la présente annexe, sous réserve des limitations pertinentes</w:t>
      </w:r>
      <w:r>
        <w:rPr>
          <w:noProof/>
          <w:color w:val="000000"/>
          <w:lang w:val="fr-CA"/>
        </w:rPr>
        <w:t>.</w:t>
      </w:r>
    </w:p>
    <w:p>
      <w:pPr>
        <w:pStyle w:val="Text10"/>
        <w:spacing w:before="0" w:after="0"/>
        <w:rPr>
          <w:noProof/>
          <w:lang w:val="fr-CA"/>
        </w:rPr>
      </w:pPr>
    </w:p>
    <w:p>
      <w:pPr>
        <w:pStyle w:val="ManualNumPar1"/>
        <w:spacing w:before="0" w:after="0"/>
        <w:ind w:left="567" w:hanging="567"/>
        <w:jc w:val="left"/>
        <w:rPr>
          <w:noProof/>
          <w:lang w:val="fr-CA"/>
        </w:rPr>
      </w:pPr>
      <w:r>
        <w:rPr>
          <w:noProof/>
          <w:lang w:val="fr-CA"/>
        </w:rPr>
        <w:t>2.</w:t>
      </w:r>
      <w:r>
        <w:rPr>
          <w:noProof/>
          <w:lang w:val="fr-CA"/>
        </w:rPr>
        <w:tab/>
        <w:t>La liste des réserves se compose des éléments suivants :</w:t>
      </w:r>
    </w:p>
    <w:p>
      <w:pPr>
        <w:pStyle w:val="Text10"/>
        <w:spacing w:before="0" w:after="0"/>
        <w:rPr>
          <w:noProof/>
          <w:lang w:val="fr-CA"/>
        </w:rPr>
      </w:pPr>
    </w:p>
    <w:p>
      <w:pPr>
        <w:pStyle w:val="Point10"/>
        <w:spacing w:before="0" w:after="0"/>
        <w:ind w:left="1134"/>
        <w:jc w:val="left"/>
        <w:rPr>
          <w:noProof/>
          <w:lang w:val="fr-CA"/>
        </w:rPr>
      </w:pPr>
      <w:r>
        <w:rPr>
          <w:noProof/>
          <w:lang w:val="fr-CA"/>
        </w:rPr>
        <w:t>a)</w:t>
      </w:r>
      <w:r>
        <w:rPr>
          <w:noProof/>
          <w:lang w:val="fr-CA"/>
        </w:rPr>
        <w:tab/>
        <w:t>la première colonne indique le secteur ou le sous-secteur dans lequel s’appliquent les réserves;</w:t>
      </w:r>
    </w:p>
    <w:p>
      <w:pPr>
        <w:pStyle w:val="Point10"/>
        <w:spacing w:before="0" w:after="0"/>
        <w:ind w:left="1134"/>
        <w:jc w:val="left"/>
        <w:rPr>
          <w:rFonts w:eastAsia="SimSun"/>
          <w:noProof/>
          <w:szCs w:val="24"/>
          <w:lang w:val="fr-CA"/>
        </w:rPr>
      </w:pPr>
    </w:p>
    <w:p>
      <w:pPr>
        <w:pStyle w:val="Point10"/>
        <w:spacing w:before="0" w:after="0"/>
        <w:ind w:left="1134"/>
        <w:jc w:val="left"/>
        <w:rPr>
          <w:noProof/>
          <w:lang w:val="fr-CA"/>
        </w:rPr>
      </w:pPr>
      <w:r>
        <w:rPr>
          <w:noProof/>
          <w:lang w:val="fr-CA"/>
        </w:rPr>
        <w:t>b)</w:t>
      </w:r>
      <w:r>
        <w:rPr>
          <w:noProof/>
          <w:lang w:val="fr-CA"/>
        </w:rPr>
        <w:tab/>
        <w:t>la deuxième colonne décrit les limitations applicables.</w:t>
      </w:r>
    </w:p>
    <w:p>
      <w:pPr>
        <w:pStyle w:val="Point10"/>
        <w:spacing w:before="0" w:after="0"/>
        <w:ind w:left="1134"/>
        <w:jc w:val="left"/>
        <w:rPr>
          <w:rFonts w:eastAsia="SimSun"/>
          <w:noProof/>
          <w:szCs w:val="24"/>
          <w:lang w:val="fr-CA"/>
        </w:rPr>
      </w:pPr>
    </w:p>
    <w:p>
      <w:pPr>
        <w:pStyle w:val="ManualNumPar1"/>
        <w:spacing w:before="0" w:after="0"/>
        <w:ind w:left="567" w:hanging="567"/>
        <w:jc w:val="left"/>
        <w:rPr>
          <w:noProof/>
          <w:lang w:val="fr-CA"/>
        </w:rPr>
      </w:pPr>
      <w:r>
        <w:rPr>
          <w:noProof/>
          <w:lang w:val="fr-CA"/>
        </w:rPr>
        <w:t>3.</w:t>
      </w:r>
      <w:r>
        <w:rPr>
          <w:noProof/>
          <w:lang w:val="fr-CA"/>
        </w:rPr>
        <w:tab/>
        <w:t>Pour le Canada, les engagements sectoriels s’appliquent aux professions énumérées sous le niveau « 0 » et « A » de la Classification nationale des professions (CNP) du Canada.</w:t>
      </w:r>
    </w:p>
    <w:p>
      <w:pPr>
        <w:pStyle w:val="Text10"/>
        <w:spacing w:before="0" w:after="0"/>
        <w:rPr>
          <w:noProof/>
          <w:lang w:val="fr-CA"/>
        </w:rPr>
      </w:pPr>
    </w:p>
    <w:p>
      <w:pPr>
        <w:pStyle w:val="ManualNumPar1"/>
        <w:spacing w:before="0" w:after="0"/>
        <w:ind w:left="567" w:hanging="567"/>
        <w:jc w:val="left"/>
        <w:rPr>
          <w:noProof/>
          <w:lang w:val="fr-CA"/>
        </w:rPr>
      </w:pPr>
      <w:r>
        <w:rPr>
          <w:noProof/>
          <w:lang w:val="fr-CA"/>
        </w:rPr>
        <w:t>4.</w:t>
      </w:r>
      <w:r>
        <w:rPr>
          <w:noProof/>
          <w:lang w:val="fr-CA"/>
        </w:rPr>
        <w:tab/>
        <w:t>Outre la liste des réserves figurant à la présente annexe, chaque Partie peut adopter ou maintenir une mesure relative aux prescriptions et aux procédures en matière de qualifications, aux normes techniques ou aux prescriptions et aux procédures en matière de licences qui ne constitue pas une limitation au sens de l’article 10.8. Ces mesures, qui comprennent l’obligation d’obtenir une licence, l’obligation d’obtenir la reconnaissance des qualifications dans les secteurs réglementés ou l’obligation de réussir certains examens particuliers, par exemple des examens linguistiques, même si elles ne sont pas énumérées à la présente annexe, s’appliquent dans tous les cas aux fournisseurs de services contractuels et aux professionnels indépendants des Parties.</w:t>
      </w:r>
    </w:p>
    <w:p>
      <w:pPr>
        <w:pStyle w:val="Text10"/>
        <w:spacing w:before="0" w:after="0"/>
        <w:rPr>
          <w:noProof/>
          <w:lang w:val="fr-CA"/>
        </w:rPr>
      </w:pPr>
    </w:p>
    <w:p>
      <w:pPr>
        <w:widowControl/>
        <w:spacing w:line="240" w:lineRule="auto"/>
        <w:rPr>
          <w:rFonts w:eastAsiaTheme="minorHAnsi"/>
          <w:noProof/>
          <w:szCs w:val="22"/>
          <w:lang w:val="fr-CA" w:eastAsia="en-US"/>
        </w:rPr>
      </w:pPr>
      <w:r>
        <w:rPr>
          <w:noProof/>
          <w:lang w:val="fr-CA"/>
        </w:rPr>
        <w:br w:type="page"/>
      </w:r>
    </w:p>
    <w:p>
      <w:pPr>
        <w:pStyle w:val="ManualNumPar1"/>
        <w:spacing w:before="0" w:after="0"/>
        <w:ind w:left="567" w:hanging="567"/>
        <w:jc w:val="left"/>
        <w:rPr>
          <w:noProof/>
          <w:lang w:val="fr-CA"/>
        </w:rPr>
      </w:pPr>
      <w:r>
        <w:rPr>
          <w:noProof/>
          <w:lang w:val="fr-CA"/>
        </w:rPr>
        <w:t>5.</w:t>
      </w:r>
      <w:r>
        <w:rPr>
          <w:noProof/>
          <w:lang w:val="fr-CA"/>
        </w:rPr>
        <w:tab/>
        <w:t>Pour l’Union européenne, dans les secteurs où un examen des besoins économiques est appliqué, le principal critère est l’évaluation de la situation du marché concerné au sein de l’État membre de l’Union européenne ou de la région où le service est fourni, y compris le nombre de fournisseurs de services existants et les répercussions sur ces derniers.</w:t>
      </w:r>
    </w:p>
    <w:p>
      <w:pPr>
        <w:pStyle w:val="Text10"/>
        <w:spacing w:before="0" w:after="0"/>
        <w:rPr>
          <w:noProof/>
          <w:lang w:val="fr-CA"/>
        </w:rPr>
      </w:pPr>
    </w:p>
    <w:p>
      <w:pPr>
        <w:pStyle w:val="ManualNumPar1"/>
        <w:spacing w:before="0" w:after="0"/>
        <w:ind w:left="567" w:hanging="567"/>
        <w:jc w:val="left"/>
        <w:rPr>
          <w:noProof/>
          <w:lang w:val="fr-CA"/>
        </w:rPr>
      </w:pPr>
      <w:r>
        <w:rPr>
          <w:noProof/>
          <w:lang w:val="fr-CA"/>
        </w:rPr>
        <w:t>6.</w:t>
      </w:r>
      <w:r>
        <w:rPr>
          <w:noProof/>
          <w:lang w:val="fr-CA"/>
        </w:rPr>
        <w:tab/>
        <w:t>L’Union européenne prend des engagements au regard de l’article 10.8 qui diffèrent selon ses États membres, ainsi qu'il est prévu dans la liste de réserves figurant à la présente annexe.</w:t>
      </w:r>
    </w:p>
    <w:p>
      <w:pPr>
        <w:pStyle w:val="Text10"/>
        <w:spacing w:before="0" w:after="0"/>
        <w:rPr>
          <w:noProof/>
          <w:lang w:val="fr-CA"/>
        </w:rPr>
      </w:pPr>
    </w:p>
    <w:p>
      <w:pPr>
        <w:pStyle w:val="ManualNumPar1"/>
        <w:spacing w:before="0" w:after="0"/>
        <w:ind w:left="567" w:hanging="567"/>
        <w:jc w:val="left"/>
        <w:rPr>
          <w:noProof/>
          <w:lang w:val="fr-CA"/>
        </w:rPr>
      </w:pPr>
      <w:r>
        <w:rPr>
          <w:noProof/>
          <w:lang w:val="fr-CA"/>
        </w:rPr>
        <w:t>7.</w:t>
      </w:r>
      <w:r>
        <w:rPr>
          <w:noProof/>
          <w:lang w:val="fr-CA"/>
        </w:rPr>
        <w:tab/>
        <w:t>Les droits et obligations découlant de la présente annexe n'ont pas d'effet automatique et ne confèrent pas de droits directement aux personnes physiques ou morales.</w:t>
      </w:r>
    </w:p>
    <w:p>
      <w:pPr>
        <w:pStyle w:val="Text10"/>
        <w:spacing w:before="0" w:after="0"/>
        <w:rPr>
          <w:noProof/>
          <w:lang w:val="fr-CA"/>
        </w:rPr>
      </w:pPr>
    </w:p>
    <w:p>
      <w:pPr>
        <w:spacing w:line="240" w:lineRule="auto"/>
        <w:ind w:left="567" w:hanging="567"/>
        <w:rPr>
          <w:rFonts w:eastAsia="SimSun"/>
          <w:noProof/>
          <w:lang w:val="fr-FR" w:eastAsia="zh-CN"/>
        </w:rPr>
      </w:pPr>
      <w:r>
        <w:rPr>
          <w:noProof/>
          <w:lang w:val="fr-CA"/>
        </w:rPr>
        <w:t>8.</w:t>
      </w:r>
      <w:r>
        <w:rPr>
          <w:noProof/>
          <w:lang w:val="fr-CA"/>
        </w:rPr>
        <w:tab/>
        <w:t>Les abréviations suivantes sont utilisées dans la liste des réserves figurant à la présente annexe :</w:t>
      </w:r>
    </w:p>
    <w:p>
      <w:pPr>
        <w:widowControl/>
        <w:spacing w:line="240" w:lineRule="auto"/>
        <w:ind w:left="567" w:hanging="567"/>
        <w:jc w:val="both"/>
        <w:rPr>
          <w:rFonts w:eastAsia="SimSun"/>
          <w:noProof/>
          <w:spacing w:val="-2"/>
          <w:szCs w:val="24"/>
          <w:lang w:val="fr-FR" w:eastAsia="zh-CN"/>
        </w:rPr>
      </w:pPr>
    </w:p>
    <w:p>
      <w:pPr>
        <w:pStyle w:val="Point10"/>
        <w:spacing w:before="0" w:after="0"/>
        <w:ind w:left="1418"/>
        <w:rPr>
          <w:noProof/>
          <w:lang w:val="fr-CA"/>
        </w:rPr>
      </w:pPr>
      <w:r>
        <w:rPr>
          <w:noProof/>
          <w:lang w:val="fr-CA"/>
        </w:rPr>
        <w:t>AT</w:t>
      </w:r>
      <w:r>
        <w:rPr>
          <w:noProof/>
          <w:lang w:val="fr-CA"/>
        </w:rPr>
        <w:tab/>
        <w:t>Autriche</w:t>
      </w:r>
    </w:p>
    <w:p>
      <w:pPr>
        <w:pStyle w:val="Point10"/>
        <w:spacing w:before="0" w:after="0"/>
        <w:ind w:left="1418"/>
        <w:rPr>
          <w:rFonts w:eastAsia="SimSun"/>
          <w:noProof/>
          <w:szCs w:val="24"/>
          <w:lang w:val="fr-CA"/>
        </w:rPr>
      </w:pPr>
    </w:p>
    <w:p>
      <w:pPr>
        <w:pStyle w:val="Point10"/>
        <w:spacing w:before="0" w:after="0"/>
        <w:ind w:left="1418"/>
        <w:rPr>
          <w:rFonts w:eastAsia="SimSun"/>
          <w:noProof/>
          <w:szCs w:val="24"/>
          <w:lang w:val="fr-CA"/>
        </w:rPr>
      </w:pPr>
      <w:r>
        <w:rPr>
          <w:noProof/>
          <w:lang w:val="fr-CA"/>
        </w:rPr>
        <w:t>BE</w:t>
      </w:r>
      <w:r>
        <w:rPr>
          <w:noProof/>
          <w:lang w:val="fr-CA"/>
        </w:rPr>
        <w:tab/>
        <w:t>Belgique</w:t>
      </w:r>
    </w:p>
    <w:p>
      <w:pPr>
        <w:pStyle w:val="Point10"/>
        <w:spacing w:before="0" w:after="0"/>
        <w:ind w:left="1418"/>
        <w:rPr>
          <w:noProof/>
          <w:lang w:val="fr-CA"/>
        </w:rPr>
      </w:pPr>
    </w:p>
    <w:p>
      <w:pPr>
        <w:pStyle w:val="Point10"/>
        <w:spacing w:before="0" w:after="0"/>
        <w:ind w:left="1418"/>
        <w:rPr>
          <w:rFonts w:eastAsia="SimSun"/>
          <w:noProof/>
          <w:szCs w:val="24"/>
          <w:lang w:val="fr-CA"/>
        </w:rPr>
      </w:pPr>
      <w:r>
        <w:rPr>
          <w:noProof/>
          <w:lang w:val="fr-CA"/>
        </w:rPr>
        <w:t>BG</w:t>
      </w:r>
      <w:r>
        <w:rPr>
          <w:noProof/>
          <w:lang w:val="fr-CA"/>
        </w:rPr>
        <w:tab/>
        <w:t>Bulgarie</w:t>
      </w:r>
    </w:p>
    <w:p>
      <w:pPr>
        <w:pStyle w:val="Point10"/>
        <w:spacing w:before="0" w:after="0"/>
        <w:ind w:left="1418"/>
        <w:rPr>
          <w:noProof/>
          <w:lang w:val="fr-CA"/>
        </w:rPr>
      </w:pPr>
    </w:p>
    <w:p>
      <w:pPr>
        <w:pStyle w:val="Point10"/>
        <w:spacing w:before="0" w:after="0"/>
        <w:ind w:left="1418"/>
        <w:rPr>
          <w:noProof/>
          <w:lang w:val="fr-CA"/>
        </w:rPr>
      </w:pPr>
      <w:r>
        <w:rPr>
          <w:noProof/>
          <w:lang w:val="fr-CA"/>
        </w:rPr>
        <w:t>CY</w:t>
      </w:r>
      <w:r>
        <w:rPr>
          <w:noProof/>
          <w:lang w:val="fr-CA"/>
        </w:rPr>
        <w:tab/>
        <w:t>Chypre</w:t>
      </w:r>
    </w:p>
    <w:p>
      <w:pPr>
        <w:pStyle w:val="Point10"/>
        <w:spacing w:before="0" w:after="0"/>
        <w:ind w:left="1418"/>
        <w:rPr>
          <w:noProof/>
          <w:lang w:val="fr-CA"/>
        </w:rPr>
      </w:pPr>
    </w:p>
    <w:p>
      <w:pPr>
        <w:pStyle w:val="Point10"/>
        <w:spacing w:before="0" w:after="0"/>
        <w:ind w:left="1418"/>
        <w:rPr>
          <w:rFonts w:eastAsia="SimSun"/>
          <w:noProof/>
          <w:szCs w:val="24"/>
          <w:lang w:val="fr-CA"/>
        </w:rPr>
      </w:pPr>
      <w:r>
        <w:rPr>
          <w:noProof/>
          <w:lang w:val="fr-CA"/>
        </w:rPr>
        <w:t>CZ</w:t>
      </w:r>
      <w:r>
        <w:rPr>
          <w:noProof/>
          <w:lang w:val="fr-CA"/>
        </w:rPr>
        <w:tab/>
        <w:t>République tchèque</w:t>
      </w:r>
    </w:p>
    <w:p>
      <w:pPr>
        <w:pStyle w:val="Point10"/>
        <w:spacing w:before="0" w:after="0"/>
        <w:ind w:left="1418"/>
        <w:rPr>
          <w:noProof/>
          <w:lang w:val="fr-CA"/>
        </w:rPr>
      </w:pPr>
    </w:p>
    <w:p>
      <w:pPr>
        <w:pStyle w:val="Point10"/>
        <w:spacing w:before="0" w:after="0"/>
        <w:ind w:left="1418"/>
        <w:rPr>
          <w:rFonts w:eastAsia="SimSun"/>
          <w:noProof/>
          <w:szCs w:val="24"/>
          <w:lang w:val="fr-CA"/>
        </w:rPr>
      </w:pPr>
      <w:r>
        <w:rPr>
          <w:noProof/>
          <w:lang w:val="fr-CA"/>
        </w:rPr>
        <w:t>DE</w:t>
      </w:r>
      <w:r>
        <w:rPr>
          <w:noProof/>
          <w:lang w:val="fr-CA"/>
        </w:rPr>
        <w:tab/>
        <w:t>Allemagne</w:t>
      </w:r>
    </w:p>
    <w:p>
      <w:pPr>
        <w:pStyle w:val="Point10"/>
        <w:spacing w:before="0" w:after="0"/>
        <w:ind w:left="1418"/>
        <w:rPr>
          <w:noProof/>
          <w:lang w:val="fr-CA"/>
        </w:rPr>
      </w:pPr>
    </w:p>
    <w:p>
      <w:pPr>
        <w:pStyle w:val="Point10"/>
        <w:spacing w:before="0" w:after="0"/>
        <w:ind w:left="1418"/>
        <w:rPr>
          <w:rFonts w:eastAsia="SimSun"/>
          <w:noProof/>
          <w:szCs w:val="24"/>
          <w:lang w:val="fr-CA"/>
        </w:rPr>
      </w:pPr>
      <w:r>
        <w:rPr>
          <w:noProof/>
          <w:lang w:val="fr-CA"/>
        </w:rPr>
        <w:t>DK</w:t>
      </w:r>
      <w:r>
        <w:rPr>
          <w:noProof/>
          <w:lang w:val="fr-CA"/>
        </w:rPr>
        <w:tab/>
        <w:t>Danemark</w:t>
      </w:r>
    </w:p>
    <w:p>
      <w:pPr>
        <w:pStyle w:val="Point10"/>
        <w:spacing w:before="0" w:after="0"/>
        <w:ind w:left="1418"/>
        <w:rPr>
          <w:noProof/>
          <w:lang w:val="fr-CA"/>
        </w:rPr>
      </w:pPr>
    </w:p>
    <w:p>
      <w:pPr>
        <w:pStyle w:val="Point10"/>
        <w:spacing w:before="0" w:after="0"/>
        <w:ind w:left="1418"/>
        <w:rPr>
          <w:rFonts w:eastAsia="SimSun"/>
          <w:noProof/>
          <w:szCs w:val="24"/>
          <w:lang w:val="fr-CA"/>
        </w:rPr>
      </w:pPr>
      <w:r>
        <w:rPr>
          <w:noProof/>
          <w:lang w:val="fr-CA"/>
        </w:rPr>
        <w:t>EE</w:t>
      </w:r>
      <w:r>
        <w:rPr>
          <w:noProof/>
          <w:lang w:val="fr-CA"/>
        </w:rPr>
        <w:tab/>
        <w:t>Estonie</w:t>
      </w:r>
    </w:p>
    <w:p>
      <w:pPr>
        <w:pStyle w:val="Point10"/>
        <w:spacing w:before="0" w:after="0"/>
        <w:ind w:left="1418"/>
        <w:rPr>
          <w:noProof/>
          <w:lang w:val="fr-CA"/>
        </w:rPr>
      </w:pPr>
    </w:p>
    <w:p>
      <w:pPr>
        <w:pStyle w:val="Point10"/>
        <w:spacing w:before="0" w:after="0"/>
        <w:ind w:left="1418"/>
        <w:rPr>
          <w:noProof/>
          <w:lang w:val="fr-CA"/>
        </w:rPr>
      </w:pPr>
      <w:r>
        <w:rPr>
          <w:noProof/>
          <w:lang w:val="fr-CA"/>
        </w:rPr>
        <w:t>ES</w:t>
      </w:r>
      <w:r>
        <w:rPr>
          <w:noProof/>
          <w:lang w:val="fr-CA"/>
        </w:rPr>
        <w:tab/>
        <w:t>Espagne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UE</w:t>
      </w:r>
      <w:r>
        <w:rPr>
          <w:noProof/>
          <w:lang w:val="fr-CA"/>
        </w:rPr>
        <w:tab/>
        <w:t>Union européenne, y compris tous ses États membres</w:t>
      </w:r>
    </w:p>
    <w:p>
      <w:pPr>
        <w:pStyle w:val="Point10"/>
        <w:spacing w:before="0" w:after="0"/>
        <w:ind w:left="1418"/>
        <w:rPr>
          <w:noProof/>
          <w:lang w:val="fr-CA"/>
        </w:rPr>
      </w:pPr>
      <w:r>
        <w:rPr>
          <w:noProof/>
          <w:lang w:val="fr-CA"/>
        </w:rPr>
        <w:br w:type="page"/>
      </w:r>
    </w:p>
    <w:p>
      <w:pPr>
        <w:pStyle w:val="Point10"/>
        <w:spacing w:before="0" w:after="0"/>
        <w:rPr>
          <w:rFonts w:eastAsia="SimSun"/>
          <w:noProof/>
          <w:szCs w:val="24"/>
          <w:lang w:val="fr-CA"/>
        </w:rPr>
      </w:pPr>
    </w:p>
    <w:p>
      <w:pPr>
        <w:pStyle w:val="Point10"/>
        <w:spacing w:before="0" w:after="0"/>
        <w:ind w:left="1418"/>
        <w:rPr>
          <w:noProof/>
          <w:lang w:val="fr-CA"/>
        </w:rPr>
      </w:pPr>
      <w:r>
        <w:rPr>
          <w:noProof/>
          <w:lang w:val="fr-CA"/>
        </w:rPr>
        <w:t>FI</w:t>
      </w:r>
      <w:r>
        <w:rPr>
          <w:noProof/>
          <w:lang w:val="fr-CA"/>
        </w:rPr>
        <w:tab/>
        <w:t>Finlande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FR</w:t>
      </w:r>
      <w:r>
        <w:rPr>
          <w:noProof/>
          <w:lang w:val="fr-CA"/>
        </w:rPr>
        <w:tab/>
        <w:t>France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EL</w:t>
      </w:r>
      <w:r>
        <w:rPr>
          <w:noProof/>
          <w:lang w:val="fr-CA"/>
        </w:rPr>
        <w:tab/>
        <w:t>Grèce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HR</w:t>
      </w:r>
      <w:r>
        <w:rPr>
          <w:noProof/>
          <w:lang w:val="fr-CA"/>
        </w:rPr>
        <w:tab/>
        <w:t>Croatie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HU</w:t>
      </w:r>
      <w:r>
        <w:rPr>
          <w:noProof/>
          <w:lang w:val="fr-CA"/>
        </w:rPr>
        <w:tab/>
        <w:t>Hongrie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IE</w:t>
      </w:r>
      <w:r>
        <w:rPr>
          <w:noProof/>
          <w:lang w:val="fr-CA"/>
        </w:rPr>
        <w:tab/>
        <w:t>Irlande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IT</w:t>
      </w:r>
      <w:r>
        <w:rPr>
          <w:noProof/>
          <w:lang w:val="fr-CA"/>
        </w:rPr>
        <w:tab/>
        <w:t>Italie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LV</w:t>
      </w:r>
      <w:r>
        <w:rPr>
          <w:noProof/>
          <w:lang w:val="fr-CA"/>
        </w:rPr>
        <w:tab/>
        <w:t>Lettonie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LT</w:t>
      </w:r>
      <w:r>
        <w:rPr>
          <w:noProof/>
          <w:lang w:val="fr-CA"/>
        </w:rPr>
        <w:tab/>
        <w:t>Lituanie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LU</w:t>
      </w:r>
      <w:r>
        <w:rPr>
          <w:noProof/>
          <w:lang w:val="fr-CA"/>
        </w:rPr>
        <w:tab/>
        <w:t>Luxembourg</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MT</w:t>
      </w:r>
      <w:r>
        <w:rPr>
          <w:noProof/>
          <w:lang w:val="fr-CA"/>
        </w:rPr>
        <w:tab/>
        <w:t>Malte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NL</w:t>
      </w:r>
      <w:r>
        <w:rPr>
          <w:noProof/>
          <w:lang w:val="fr-CA"/>
        </w:rPr>
        <w:tab/>
        <w:t>Pays</w:t>
      </w:r>
      <w:r>
        <w:rPr>
          <w:noProof/>
          <w:lang w:val="fr-CA"/>
        </w:rPr>
        <w:noBreakHyphen/>
        <w:t>Bas</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PL</w:t>
      </w:r>
      <w:r>
        <w:rPr>
          <w:noProof/>
          <w:lang w:val="fr-CA"/>
        </w:rPr>
        <w:tab/>
        <w:t>Pologne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PT</w:t>
      </w:r>
      <w:r>
        <w:rPr>
          <w:noProof/>
          <w:lang w:val="fr-CA"/>
        </w:rPr>
        <w:tab/>
        <w:t>Portugal</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RO</w:t>
      </w:r>
      <w:r>
        <w:rPr>
          <w:noProof/>
          <w:lang w:val="fr-CA"/>
        </w:rPr>
        <w:tab/>
        <w:t>Roumanie</w:t>
      </w:r>
    </w:p>
    <w:p>
      <w:pPr>
        <w:pStyle w:val="Point10"/>
        <w:spacing w:before="0" w:after="0"/>
        <w:ind w:left="1418"/>
        <w:rPr>
          <w:rFonts w:eastAsia="SimSun"/>
          <w:noProof/>
          <w:szCs w:val="24"/>
          <w:lang w:val="fr-CA"/>
        </w:rPr>
      </w:pPr>
    </w:p>
    <w:p>
      <w:pPr>
        <w:pStyle w:val="Point10"/>
        <w:spacing w:before="0" w:after="0"/>
        <w:ind w:left="1418"/>
        <w:rPr>
          <w:noProof/>
          <w:lang w:val="fr-CA"/>
        </w:rPr>
      </w:pPr>
      <w:r>
        <w:rPr>
          <w:noProof/>
          <w:lang w:val="fr-CA"/>
        </w:rPr>
        <w:t>SK</w:t>
      </w:r>
      <w:r>
        <w:rPr>
          <w:noProof/>
          <w:lang w:val="fr-CA"/>
        </w:rPr>
        <w:tab/>
        <w:t>République slovaque</w:t>
      </w:r>
    </w:p>
    <w:p>
      <w:pPr>
        <w:pStyle w:val="Point10"/>
        <w:spacing w:before="0" w:after="0"/>
        <w:ind w:left="1418"/>
        <w:rPr>
          <w:noProof/>
          <w:lang w:val="fr-CA"/>
        </w:rPr>
      </w:pPr>
    </w:p>
    <w:p>
      <w:pPr>
        <w:pStyle w:val="Point10"/>
        <w:spacing w:before="0" w:after="0"/>
        <w:ind w:left="1418"/>
        <w:rPr>
          <w:noProof/>
          <w:lang w:val="fr-CA"/>
        </w:rPr>
      </w:pPr>
      <w:r>
        <w:rPr>
          <w:noProof/>
          <w:lang w:val="fr-CA"/>
        </w:rPr>
        <w:br w:type="page"/>
      </w:r>
    </w:p>
    <w:p>
      <w:pPr>
        <w:pStyle w:val="Point10"/>
        <w:spacing w:before="0" w:after="0"/>
        <w:rPr>
          <w:rFonts w:eastAsia="SimSun"/>
          <w:noProof/>
          <w:szCs w:val="24"/>
          <w:lang w:val="fr-CA"/>
        </w:rPr>
      </w:pPr>
    </w:p>
    <w:p>
      <w:pPr>
        <w:pStyle w:val="Point10"/>
        <w:spacing w:before="0" w:after="0"/>
        <w:rPr>
          <w:noProof/>
          <w:lang w:val="fr-CA"/>
        </w:rPr>
      </w:pPr>
      <w:r>
        <w:rPr>
          <w:noProof/>
          <w:lang w:val="fr-CA"/>
        </w:rPr>
        <w:t>SI</w:t>
      </w:r>
      <w:r>
        <w:rPr>
          <w:noProof/>
          <w:lang w:val="fr-CA"/>
        </w:rPr>
        <w:tab/>
        <w:t>Slovénie</w:t>
      </w:r>
    </w:p>
    <w:p>
      <w:pPr>
        <w:pStyle w:val="Point10"/>
        <w:spacing w:before="0" w:after="0"/>
        <w:rPr>
          <w:rFonts w:eastAsia="SimSun"/>
          <w:noProof/>
          <w:szCs w:val="24"/>
          <w:lang w:val="fr-CA"/>
        </w:rPr>
      </w:pPr>
    </w:p>
    <w:p>
      <w:pPr>
        <w:pStyle w:val="Point10"/>
        <w:spacing w:before="0" w:after="0"/>
        <w:rPr>
          <w:noProof/>
          <w:lang w:val="fr-CA"/>
        </w:rPr>
      </w:pPr>
      <w:r>
        <w:rPr>
          <w:noProof/>
          <w:lang w:val="fr-CA"/>
        </w:rPr>
        <w:t>SE</w:t>
      </w:r>
      <w:r>
        <w:rPr>
          <w:noProof/>
          <w:lang w:val="fr-CA"/>
        </w:rPr>
        <w:tab/>
        <w:t>Suède</w:t>
      </w:r>
    </w:p>
    <w:p>
      <w:pPr>
        <w:pStyle w:val="Point10"/>
        <w:spacing w:before="0" w:after="0"/>
        <w:rPr>
          <w:rFonts w:eastAsia="SimSun"/>
          <w:noProof/>
          <w:szCs w:val="24"/>
          <w:lang w:val="fr-CA"/>
        </w:rPr>
      </w:pPr>
    </w:p>
    <w:p>
      <w:pPr>
        <w:pStyle w:val="Point10"/>
        <w:spacing w:before="0" w:after="0"/>
        <w:rPr>
          <w:noProof/>
          <w:lang w:val="fr-CA"/>
        </w:rPr>
      </w:pPr>
      <w:r>
        <w:rPr>
          <w:noProof/>
          <w:lang w:val="fr-CA"/>
        </w:rPr>
        <w:t>UK</w:t>
      </w:r>
      <w:r>
        <w:rPr>
          <w:noProof/>
          <w:lang w:val="fr-CA"/>
        </w:rPr>
        <w:tab/>
        <w:t>Royaume</w:t>
      </w:r>
      <w:r>
        <w:rPr>
          <w:noProof/>
          <w:lang w:val="fr-CA"/>
        </w:rPr>
        <w:noBreakHyphen/>
        <w:t>Uni</w:t>
      </w:r>
    </w:p>
    <w:p>
      <w:pPr>
        <w:pStyle w:val="Point10"/>
        <w:spacing w:before="0" w:after="0"/>
        <w:rPr>
          <w:rFonts w:eastAsia="SimSun"/>
          <w:noProof/>
          <w:szCs w:val="24"/>
          <w:lang w:val="fr-CA"/>
        </w:rPr>
      </w:pPr>
    </w:p>
    <w:p>
      <w:pPr>
        <w:pStyle w:val="Point10"/>
        <w:spacing w:before="0" w:after="0"/>
        <w:rPr>
          <w:noProof/>
          <w:lang w:val="fr-CA"/>
        </w:rPr>
      </w:pPr>
      <w:r>
        <w:rPr>
          <w:noProof/>
          <w:lang w:val="fr-CA"/>
        </w:rPr>
        <w:t>CAN</w:t>
      </w:r>
      <w:r>
        <w:rPr>
          <w:noProof/>
          <w:lang w:val="fr-CA"/>
        </w:rPr>
        <w:tab/>
        <w:t>Canada</w:t>
      </w:r>
    </w:p>
    <w:p>
      <w:pPr>
        <w:pStyle w:val="Point10"/>
        <w:spacing w:before="0" w:after="0"/>
        <w:rPr>
          <w:rFonts w:eastAsia="SimSun"/>
          <w:noProof/>
          <w:szCs w:val="24"/>
          <w:lang w:val="fr-CA"/>
        </w:rPr>
      </w:pPr>
    </w:p>
    <w:p>
      <w:pPr>
        <w:pStyle w:val="Point10"/>
        <w:spacing w:before="0" w:after="0"/>
        <w:rPr>
          <w:noProof/>
          <w:lang w:val="fr-CA"/>
        </w:rPr>
      </w:pPr>
      <w:r>
        <w:rPr>
          <w:noProof/>
          <w:lang w:val="fr-CA"/>
        </w:rPr>
        <w:t>FSC : Fournisseurs de services contractuels</w:t>
      </w:r>
    </w:p>
    <w:p>
      <w:pPr>
        <w:pStyle w:val="Point10"/>
        <w:spacing w:before="0" w:after="0"/>
        <w:rPr>
          <w:rFonts w:eastAsia="SimSun"/>
          <w:noProof/>
          <w:szCs w:val="24"/>
          <w:lang w:val="fr-CA"/>
        </w:rPr>
      </w:pPr>
    </w:p>
    <w:p>
      <w:pPr>
        <w:pStyle w:val="Point10"/>
        <w:spacing w:before="0" w:after="0"/>
        <w:rPr>
          <w:noProof/>
          <w:color w:val="000000"/>
          <w:lang w:val="fr-CA"/>
        </w:rPr>
      </w:pPr>
      <w:r>
        <w:rPr>
          <w:noProof/>
          <w:lang w:val="fr-CA"/>
        </w:rPr>
        <w:t>PI : Professionnels</w:t>
      </w:r>
      <w:r>
        <w:rPr>
          <w:noProof/>
          <w:color w:val="000000"/>
          <w:lang w:val="fr-CA"/>
        </w:rPr>
        <w:t xml:space="preserve"> indépendants</w:t>
      </w:r>
    </w:p>
    <w:p>
      <w:pPr>
        <w:pStyle w:val="Point10"/>
        <w:spacing w:before="0" w:after="0"/>
        <w:rPr>
          <w:noProof/>
          <w:color w:val="000000"/>
          <w:lang w:val="fr-CA"/>
        </w:rPr>
      </w:pPr>
    </w:p>
    <w:p>
      <w:pPr>
        <w:spacing w:line="240" w:lineRule="auto"/>
        <w:ind w:left="567" w:hanging="567"/>
        <w:rPr>
          <w:noProof/>
          <w:lang w:val="fr-CA"/>
        </w:rPr>
      </w:pPr>
      <w:r>
        <w:rPr>
          <w:noProof/>
          <w:lang w:val="fr-CA"/>
        </w:rPr>
        <w:t>9.</w:t>
      </w:r>
      <w:r>
        <w:rPr>
          <w:noProof/>
          <w:lang w:val="fr-CA"/>
        </w:rPr>
        <w:tab/>
        <w:t>L’article 10.8.1</w:t>
      </w:r>
      <w:r>
        <w:rPr>
          <w:i/>
          <w:noProof/>
          <w:spacing w:val="-2"/>
          <w:lang w:val="fr-CA"/>
        </w:rPr>
        <w:t xml:space="preserve"> </w:t>
      </w:r>
      <w:r>
        <w:rPr>
          <w:noProof/>
          <w:lang w:val="fr-CA"/>
        </w:rPr>
        <w:t>s’applique aux secteurs ou sous-secteurs suivants :</w:t>
      </w:r>
    </w:p>
    <w:p>
      <w:pPr>
        <w:spacing w:line="240" w:lineRule="auto"/>
        <w:ind w:left="567" w:hanging="567"/>
        <w:rPr>
          <w:rFonts w:eastAsia="SimSun"/>
          <w:noProof/>
          <w:lang w:val="fr-FR" w:eastAsia="zh-CN"/>
        </w:rPr>
      </w:pPr>
    </w:p>
    <w:p>
      <w:pPr>
        <w:pStyle w:val="Point10"/>
        <w:spacing w:before="0" w:after="0"/>
        <w:ind w:left="960" w:hanging="360"/>
        <w:rPr>
          <w:noProof/>
          <w:lang w:val="fr-CA"/>
        </w:rPr>
      </w:pPr>
      <w:r>
        <w:rPr>
          <w:noProof/>
          <w:lang w:val="fr-CA"/>
        </w:rPr>
        <w:t>a)</w:t>
      </w:r>
      <w:r>
        <w:rPr>
          <w:noProof/>
          <w:lang w:val="fr-CA"/>
        </w:rPr>
        <w:tab/>
        <w:t>Services de conseils juridiques en matière de droit international public et de droit étranger</w:t>
      </w:r>
      <w:r>
        <w:rPr>
          <w:noProof/>
          <w:vertAlign w:val="superscript"/>
        </w:rPr>
        <w:footnoteReference w:id="3"/>
      </w:r>
    </w:p>
    <w:p>
      <w:pPr>
        <w:pStyle w:val="Point10"/>
        <w:spacing w:before="0" w:after="0"/>
        <w:ind w:left="960" w:hanging="360"/>
        <w:rPr>
          <w:rFonts w:eastAsia="SimSun"/>
          <w:noProof/>
          <w:szCs w:val="24"/>
          <w:lang w:val="fr-BE"/>
        </w:rPr>
      </w:pPr>
    </w:p>
    <w:p>
      <w:pPr>
        <w:pStyle w:val="Point10"/>
        <w:spacing w:before="0" w:after="0"/>
        <w:ind w:left="960" w:hanging="360"/>
        <w:rPr>
          <w:noProof/>
          <w:lang w:val="fr-CA"/>
        </w:rPr>
      </w:pPr>
      <w:r>
        <w:rPr>
          <w:noProof/>
          <w:lang w:val="fr-CA"/>
        </w:rPr>
        <w:t>b)</w:t>
      </w:r>
      <w:r>
        <w:rPr>
          <w:noProof/>
          <w:lang w:val="fr-CA"/>
        </w:rPr>
        <w:tab/>
        <w:t>Services comptables et de tenue de livres</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c)</w:t>
      </w:r>
      <w:r>
        <w:rPr>
          <w:noProof/>
          <w:lang w:val="fr-CA"/>
        </w:rPr>
        <w:tab/>
        <w:t>Services de conseil fiscal</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d)</w:t>
      </w:r>
      <w:r>
        <w:rPr>
          <w:noProof/>
          <w:lang w:val="fr-CA"/>
        </w:rPr>
        <w:tab/>
        <w:t>Services d’architecture et services d’aménagement urbain et d’architecture paysagère</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e)</w:t>
      </w:r>
      <w:r>
        <w:rPr>
          <w:noProof/>
          <w:lang w:val="fr-CA"/>
        </w:rPr>
        <w:tab/>
        <w:t>Services d’ingénierie et services intégrés d’ingénierie</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f)</w:t>
      </w:r>
      <w:r>
        <w:rPr>
          <w:noProof/>
          <w:lang w:val="fr-CA"/>
        </w:rPr>
        <w:tab/>
        <w:t>Services médicaux et dentaires</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g)</w:t>
      </w:r>
      <w:r>
        <w:rPr>
          <w:noProof/>
          <w:lang w:val="fr-CA"/>
        </w:rPr>
        <w:tab/>
        <w:t>Services vétérinaires</w:t>
      </w:r>
    </w:p>
    <w:p>
      <w:pPr>
        <w:pStyle w:val="Point10"/>
        <w:spacing w:before="0" w:after="0"/>
        <w:ind w:left="960" w:hanging="360"/>
        <w:rPr>
          <w:rFonts w:eastAsia="SimSun"/>
          <w:noProof/>
          <w:szCs w:val="24"/>
          <w:lang w:val="fr-CA"/>
        </w:rPr>
      </w:pPr>
    </w:p>
    <w:p>
      <w:pPr>
        <w:pStyle w:val="Point10"/>
        <w:spacing w:before="0" w:after="0"/>
        <w:ind w:left="960" w:hanging="360"/>
        <w:rPr>
          <w:noProof/>
          <w:lang w:val="fr-CA"/>
        </w:rPr>
      </w:pPr>
      <w:r>
        <w:rPr>
          <w:noProof/>
          <w:lang w:val="fr-CA"/>
        </w:rPr>
        <w:t>h)</w:t>
      </w:r>
      <w:r>
        <w:rPr>
          <w:noProof/>
          <w:lang w:val="fr-CA"/>
        </w:rPr>
        <w:tab/>
        <w:t>Services de sages</w:t>
      </w:r>
      <w:r>
        <w:rPr>
          <w:noProof/>
          <w:lang w:val="fr-CA"/>
        </w:rPr>
        <w:noBreakHyphen/>
        <w:t>femmes</w:t>
      </w:r>
    </w:p>
    <w:p>
      <w:pPr>
        <w:pStyle w:val="Point10"/>
        <w:spacing w:before="0" w:after="0"/>
        <w:ind w:left="960" w:hanging="360"/>
        <w:rPr>
          <w:rFonts w:eastAsia="SimSun"/>
          <w:noProof/>
          <w:szCs w:val="24"/>
          <w:lang w:val="fr-CA"/>
        </w:rPr>
      </w:pPr>
    </w:p>
    <w:p>
      <w:pPr>
        <w:spacing w:line="240" w:lineRule="auto"/>
        <w:ind w:left="960" w:hanging="360"/>
        <w:rPr>
          <w:rFonts w:eastAsia="SimSun"/>
          <w:noProof/>
          <w:lang w:val="fr-FR" w:eastAsia="ko-KR"/>
        </w:rPr>
      </w:pPr>
      <w:r>
        <w:rPr>
          <w:noProof/>
          <w:lang w:val="fr-CA"/>
        </w:rPr>
        <w:t>i)</w:t>
      </w:r>
      <w:r>
        <w:rPr>
          <w:noProof/>
          <w:lang w:val="fr-CA"/>
        </w:rPr>
        <w:tab/>
        <w:t>Services du personnel infirmier, des physiothérapeutes et du personnel paramédical</w:t>
      </w:r>
    </w:p>
    <w:p>
      <w:pPr>
        <w:spacing w:line="240" w:lineRule="auto"/>
        <w:ind w:left="1134" w:hanging="567"/>
        <w:rPr>
          <w:rFonts w:eastAsia="SimSun"/>
          <w:noProof/>
          <w:lang w:val="fr-FR" w:eastAsia="ko-KR"/>
        </w:rPr>
      </w:pPr>
    </w:p>
    <w:p>
      <w:pPr>
        <w:widowControl/>
        <w:spacing w:line="240" w:lineRule="auto"/>
        <w:rPr>
          <w:rFonts w:eastAsia="SimSun"/>
          <w:noProof/>
          <w:lang w:val="fr-FR" w:eastAsia="ko-KR"/>
        </w:rPr>
      </w:pPr>
      <w:r>
        <w:rPr>
          <w:rFonts w:eastAsia="SimSun"/>
          <w:noProof/>
          <w:lang w:val="fr-FR" w:eastAsia="ko-KR"/>
        </w:rPr>
        <w:br w:type="page"/>
      </w:r>
    </w:p>
    <w:p>
      <w:pPr>
        <w:pStyle w:val="Point10"/>
        <w:spacing w:before="0" w:after="0"/>
        <w:ind w:left="1202"/>
        <w:rPr>
          <w:noProof/>
          <w:lang w:val="fr-CA"/>
        </w:rPr>
      </w:pPr>
      <w:r>
        <w:rPr>
          <w:noProof/>
          <w:lang w:val="fr-CA"/>
        </w:rPr>
        <w:t>j)</w:t>
      </w:r>
      <w:r>
        <w:rPr>
          <w:noProof/>
          <w:lang w:val="fr-CA"/>
        </w:rPr>
        <w:tab/>
        <w:t>Services informatiques et services connexes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k)</w:t>
      </w:r>
      <w:r>
        <w:rPr>
          <w:noProof/>
          <w:lang w:val="fr-CA"/>
        </w:rPr>
        <w:tab/>
        <w:t>Services de recherche et de développement</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l)</w:t>
      </w:r>
      <w:r>
        <w:rPr>
          <w:noProof/>
          <w:lang w:val="fr-CA"/>
        </w:rPr>
        <w:tab/>
        <w:t>Services de publicité</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m)</w:t>
      </w:r>
      <w:r>
        <w:rPr>
          <w:noProof/>
          <w:lang w:val="fr-CA"/>
        </w:rPr>
        <w:tab/>
        <w:t>Services d’études de marché et de sondages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n)</w:t>
      </w:r>
      <w:r>
        <w:rPr>
          <w:noProof/>
          <w:lang w:val="fr-CA"/>
        </w:rPr>
        <w:tab/>
        <w:t>Services de conseil en gestion</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o)</w:t>
      </w:r>
      <w:r>
        <w:rPr>
          <w:noProof/>
          <w:lang w:val="fr-CA"/>
        </w:rPr>
        <w:tab/>
        <w:t>Services connexes aux services de consultation en matière de gestion</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p)</w:t>
      </w:r>
      <w:r>
        <w:rPr>
          <w:noProof/>
          <w:lang w:val="fr-CA"/>
        </w:rPr>
        <w:tab/>
        <w:t>Services d’essais et d’analyses techniques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q)</w:t>
      </w:r>
      <w:r>
        <w:rPr>
          <w:noProof/>
          <w:lang w:val="fr-CA"/>
        </w:rPr>
        <w:tab/>
        <w:t>Services connexes de consultations scientifiques et techniques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r)</w:t>
      </w:r>
      <w:r>
        <w:rPr>
          <w:noProof/>
          <w:lang w:val="fr-CA"/>
        </w:rPr>
        <w:tab/>
        <w:t>Industries extractives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s)</w:t>
      </w:r>
      <w:r>
        <w:rPr>
          <w:noProof/>
          <w:lang w:val="fr-CA"/>
        </w:rPr>
        <w:tab/>
        <w:t>Entretien et réparation de navires</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t)</w:t>
      </w:r>
      <w:r>
        <w:rPr>
          <w:noProof/>
          <w:lang w:val="fr-CA"/>
        </w:rPr>
        <w:tab/>
        <w:t>Entretien et réparation de matériel de transport ferroviaire</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u)</w:t>
      </w:r>
      <w:r>
        <w:rPr>
          <w:noProof/>
          <w:lang w:val="fr-CA"/>
        </w:rPr>
        <w:tab/>
        <w:t>Entretien et réparation de véhicules automobiles, de motocycles, de motoneiges et de matériel de transport routier</w:t>
      </w:r>
    </w:p>
    <w:p>
      <w:pPr>
        <w:pStyle w:val="Point10"/>
        <w:spacing w:before="0" w:after="0"/>
        <w:ind w:left="1202"/>
        <w:rPr>
          <w:rFonts w:eastAsia="SimSun"/>
          <w:noProof/>
          <w:szCs w:val="24"/>
          <w:lang w:val="fr-CA"/>
        </w:rPr>
      </w:pPr>
    </w:p>
    <w:p>
      <w:pPr>
        <w:pStyle w:val="Point10"/>
        <w:spacing w:before="0" w:after="0"/>
        <w:ind w:left="1202"/>
        <w:rPr>
          <w:noProof/>
          <w:lang w:val="fr-CA"/>
        </w:rPr>
      </w:pPr>
      <w:r>
        <w:rPr>
          <w:noProof/>
          <w:lang w:val="fr-CA"/>
        </w:rPr>
        <w:t>v)</w:t>
      </w:r>
      <w:r>
        <w:rPr>
          <w:noProof/>
          <w:lang w:val="fr-CA"/>
        </w:rPr>
        <w:tab/>
        <w:t>Entretien et réparation des aéronefs et de leurs parties</w:t>
      </w:r>
    </w:p>
    <w:p>
      <w:pPr>
        <w:pStyle w:val="Point10"/>
        <w:spacing w:before="0" w:after="0"/>
        <w:ind w:left="1202"/>
        <w:rPr>
          <w:rFonts w:eastAsia="SimSun"/>
          <w:noProof/>
          <w:szCs w:val="24"/>
          <w:lang w:val="fr-CA"/>
        </w:rPr>
      </w:pPr>
    </w:p>
    <w:p>
      <w:pPr>
        <w:spacing w:line="240" w:lineRule="auto"/>
        <w:ind w:left="1202" w:hanging="567"/>
        <w:rPr>
          <w:rFonts w:eastAsia="SimSun"/>
          <w:noProof/>
          <w:lang w:val="fr-FR" w:eastAsia="ko-KR"/>
        </w:rPr>
      </w:pPr>
      <w:r>
        <w:rPr>
          <w:noProof/>
          <w:lang w:val="fr-CA"/>
        </w:rPr>
        <w:t>w)</w:t>
      </w:r>
      <w:r>
        <w:rPr>
          <w:noProof/>
          <w:lang w:val="fr-CA"/>
        </w:rPr>
        <w:tab/>
        <w:t>Entretien et réparation d’ouvrages en métaux, de machines (autres que les machines de bureau), de matériel (autre que le matériel de transport et le matériel de bureau) et d’articles personnels et domestiques</w:t>
      </w:r>
    </w:p>
    <w:p>
      <w:pPr>
        <w:spacing w:line="240" w:lineRule="auto"/>
        <w:ind w:left="1134" w:hanging="567"/>
        <w:rPr>
          <w:rFonts w:eastAsia="SimSun"/>
          <w:noProof/>
          <w:lang w:val="fr-FR" w:eastAsia="ko-KR"/>
        </w:rPr>
      </w:pPr>
    </w:p>
    <w:p>
      <w:pPr>
        <w:widowControl/>
        <w:spacing w:line="240" w:lineRule="auto"/>
        <w:rPr>
          <w:rFonts w:eastAsia="SimSun"/>
          <w:noProof/>
          <w:lang w:val="fr-FR" w:eastAsia="ko-KR"/>
        </w:rPr>
      </w:pPr>
      <w:r>
        <w:rPr>
          <w:rFonts w:eastAsia="SimSun"/>
          <w:noProof/>
          <w:lang w:val="fr-FR" w:eastAsia="ko-KR"/>
        </w:rPr>
        <w:br w:type="page"/>
      </w:r>
    </w:p>
    <w:p>
      <w:pPr>
        <w:pStyle w:val="Point10"/>
        <w:spacing w:before="0" w:after="0"/>
        <w:ind w:left="1321" w:hanging="720"/>
        <w:rPr>
          <w:noProof/>
          <w:lang w:val="fr-CA"/>
        </w:rPr>
      </w:pPr>
      <w:r>
        <w:rPr>
          <w:noProof/>
          <w:lang w:val="fr-CA"/>
        </w:rPr>
        <w:t>x)</w:t>
      </w:r>
      <w:r>
        <w:rPr>
          <w:noProof/>
          <w:lang w:val="fr-CA"/>
        </w:rPr>
        <w:tab/>
        <w:t>Services de traduction et d’interprétation</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y)</w:t>
      </w:r>
      <w:r>
        <w:rPr>
          <w:noProof/>
          <w:lang w:val="fr-CA"/>
        </w:rPr>
        <w:tab/>
        <w:t>Services de télécommunications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z)</w:t>
      </w:r>
      <w:r>
        <w:rPr>
          <w:noProof/>
          <w:lang w:val="fr-CA"/>
        </w:rPr>
        <w:tab/>
        <w:t>Services de poste et de courrier</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aa)</w:t>
      </w:r>
      <w:r>
        <w:rPr>
          <w:noProof/>
          <w:lang w:val="fr-CA"/>
        </w:rPr>
        <w:tab/>
        <w:t>Services de construction et services d’ingénierie connexes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bb)</w:t>
      </w:r>
      <w:r>
        <w:rPr>
          <w:noProof/>
          <w:lang w:val="fr-CA"/>
        </w:rPr>
        <w:tab/>
        <w:t>Travaux d’étude de sites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cc)</w:t>
      </w:r>
      <w:r>
        <w:rPr>
          <w:noProof/>
          <w:lang w:val="fr-CA"/>
        </w:rPr>
        <w:tab/>
        <w:t xml:space="preserve">Services d’enseignement supérieur </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dd)</w:t>
      </w:r>
      <w:r>
        <w:rPr>
          <w:noProof/>
          <w:lang w:val="fr-CA"/>
        </w:rPr>
        <w:tab/>
        <w:t>Services liés à l’agriculture, à la chasse et à la sylviculture</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ee)</w:t>
      </w:r>
      <w:r>
        <w:rPr>
          <w:noProof/>
          <w:lang w:val="fr-CA"/>
        </w:rPr>
        <w:tab/>
        <w:t>Services environnementaux</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ff)</w:t>
      </w:r>
      <w:r>
        <w:rPr>
          <w:noProof/>
          <w:lang w:val="fr-CA"/>
        </w:rPr>
        <w:tab/>
        <w:t>Services de conseils et de consultation en matière d’assurances et de services connexes aux assurances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gg)</w:t>
      </w:r>
      <w:r>
        <w:rPr>
          <w:noProof/>
          <w:lang w:val="fr-CA"/>
        </w:rPr>
        <w:tab/>
        <w:t>Services de conseils et de consultation en matière d’autres services financiers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hh)</w:t>
      </w:r>
      <w:r>
        <w:rPr>
          <w:noProof/>
          <w:lang w:val="fr-CA"/>
        </w:rPr>
        <w:tab/>
        <w:t>Services de conseils et de consultation en matière de transports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ii)</w:t>
      </w:r>
      <w:r>
        <w:rPr>
          <w:noProof/>
          <w:lang w:val="fr-CA"/>
        </w:rPr>
        <w:tab/>
        <w:t>Services d’agences de voyages et d’organisateurs touristiques</w:t>
      </w:r>
    </w:p>
    <w:p>
      <w:pPr>
        <w:pStyle w:val="Point10"/>
        <w:spacing w:before="0" w:after="0"/>
        <w:ind w:left="1321" w:hanging="720"/>
        <w:rPr>
          <w:rFonts w:eastAsia="SimSun"/>
          <w:noProof/>
          <w:szCs w:val="24"/>
          <w:lang w:val="fr-CA"/>
        </w:rPr>
      </w:pPr>
    </w:p>
    <w:p>
      <w:pPr>
        <w:pStyle w:val="Point10"/>
        <w:spacing w:before="0" w:after="0"/>
        <w:ind w:left="1321" w:hanging="720"/>
        <w:rPr>
          <w:noProof/>
          <w:lang w:val="fr-CA"/>
        </w:rPr>
      </w:pPr>
      <w:r>
        <w:rPr>
          <w:noProof/>
          <w:lang w:val="fr-CA"/>
        </w:rPr>
        <w:t>jj)</w:t>
      </w:r>
      <w:r>
        <w:rPr>
          <w:noProof/>
          <w:lang w:val="fr-CA"/>
        </w:rPr>
        <w:tab/>
        <w:t>Services de guides touristiques</w:t>
      </w:r>
    </w:p>
    <w:p>
      <w:pPr>
        <w:pStyle w:val="Point10"/>
        <w:spacing w:before="0" w:after="0"/>
        <w:ind w:left="1321" w:hanging="720"/>
        <w:rPr>
          <w:rFonts w:eastAsia="SimSun"/>
          <w:noProof/>
          <w:szCs w:val="24"/>
          <w:lang w:val="fr-CA"/>
        </w:rPr>
      </w:pPr>
    </w:p>
    <w:p>
      <w:pPr>
        <w:spacing w:line="240" w:lineRule="auto"/>
        <w:ind w:left="1320" w:hanging="720"/>
        <w:rPr>
          <w:noProof/>
          <w:lang w:val="fr-FR" w:eastAsia="de-DE"/>
        </w:rPr>
      </w:pPr>
      <w:r>
        <w:rPr>
          <w:noProof/>
          <w:lang w:val="fr-CA"/>
        </w:rPr>
        <w:t>kk)</w:t>
      </w:r>
      <w:r>
        <w:rPr>
          <w:noProof/>
          <w:lang w:val="fr-CA"/>
        </w:rPr>
        <w:tab/>
        <w:t>Services de conseils et de consultation relatifs aux industries manufacturières</w:t>
      </w:r>
    </w:p>
    <w:p>
      <w:pPr>
        <w:widowControl/>
        <w:spacing w:line="240" w:lineRule="auto"/>
        <w:ind w:left="1134" w:hanging="567"/>
        <w:jc w:val="both"/>
        <w:rPr>
          <w:noProof/>
          <w:szCs w:val="24"/>
          <w:lang w:val="fr-FR" w:eastAsia="de-DE"/>
        </w:rPr>
      </w:pPr>
    </w:p>
    <w:p>
      <w:pPr>
        <w:spacing w:line="240" w:lineRule="auto"/>
        <w:ind w:left="567" w:hanging="567"/>
        <w:rPr>
          <w:rFonts w:eastAsia="SimSun"/>
          <w:noProof/>
          <w:lang w:val="fr-FR" w:eastAsia="zh-CN"/>
        </w:rPr>
      </w:pPr>
      <w:r>
        <w:rPr>
          <w:rFonts w:eastAsia="SimSun"/>
          <w:noProof/>
          <w:lang w:val="fr-FR" w:eastAsia="zh-CN"/>
        </w:rPr>
        <w:t>10.</w:t>
      </w:r>
      <w:r>
        <w:rPr>
          <w:rFonts w:eastAsia="SimSun"/>
          <w:noProof/>
          <w:lang w:val="fr-FR" w:eastAsia="zh-CN"/>
        </w:rPr>
        <w:tab/>
      </w:r>
      <w:r>
        <w:rPr>
          <w:noProof/>
          <w:lang w:val="fr-CA"/>
        </w:rPr>
        <w:t>L’article 10.8.2 s’applique aux secteurs ou sous-secteurs suivants :</w:t>
      </w:r>
    </w:p>
    <w:p>
      <w:pPr>
        <w:spacing w:line="240" w:lineRule="auto"/>
        <w:rPr>
          <w:rFonts w:eastAsia="SimSun"/>
          <w:noProof/>
          <w:lang w:val="fr-FR" w:eastAsia="zh-CN"/>
        </w:rPr>
      </w:pPr>
    </w:p>
    <w:p>
      <w:pPr>
        <w:pStyle w:val="Point10"/>
        <w:spacing w:before="0" w:after="0"/>
        <w:ind w:left="1202" w:hanging="601"/>
        <w:rPr>
          <w:rFonts w:eastAsia="SimSun"/>
          <w:noProof/>
          <w:szCs w:val="24"/>
          <w:lang w:val="fr-CA"/>
        </w:rPr>
      </w:pPr>
      <w:r>
        <w:rPr>
          <w:noProof/>
          <w:lang w:val="fr-CA"/>
        </w:rPr>
        <w:t>a)</w:t>
      </w:r>
      <w:r>
        <w:rPr>
          <w:noProof/>
          <w:lang w:val="fr-CA"/>
        </w:rPr>
        <w:tab/>
        <w:t>Services de conseils juridiques en matière de droit international public et de droit étranger</w:t>
      </w:r>
      <w:r>
        <w:rPr>
          <w:b/>
          <w:noProof/>
          <w:vertAlign w:val="superscript"/>
        </w:rPr>
        <w:footnoteReference w:id="4"/>
      </w:r>
      <w:r>
        <w:rPr>
          <w:b/>
          <w:noProof/>
          <w:vertAlign w:val="superscript"/>
          <w:lang w:val="fr-BE" w:bidi="fr-CA"/>
        </w:rPr>
        <w:t xml:space="preserve"> </w:t>
      </w:r>
    </w:p>
    <w:p>
      <w:pPr>
        <w:pStyle w:val="Point10"/>
        <w:spacing w:before="0" w:after="0"/>
        <w:ind w:left="1202" w:hanging="601"/>
        <w:rPr>
          <w:noProof/>
          <w:lang w:val="fr-CA"/>
        </w:rPr>
      </w:pPr>
    </w:p>
    <w:p>
      <w:pPr>
        <w:pStyle w:val="Point10"/>
        <w:spacing w:before="0" w:after="0"/>
        <w:ind w:left="1202" w:hanging="601"/>
        <w:rPr>
          <w:noProof/>
          <w:lang w:val="fr-CA"/>
        </w:rPr>
      </w:pPr>
      <w:r>
        <w:rPr>
          <w:noProof/>
          <w:lang w:val="fr-CA"/>
        </w:rPr>
        <w:t>b)</w:t>
      </w:r>
      <w:r>
        <w:rPr>
          <w:noProof/>
          <w:lang w:val="fr-CA"/>
        </w:rPr>
        <w:tab/>
        <w:t>Services d’architecture et services d’aménagement urbain et d’architecture paysagère</w:t>
      </w:r>
    </w:p>
    <w:p>
      <w:pPr>
        <w:pStyle w:val="Point10"/>
        <w:spacing w:before="0" w:after="0"/>
        <w:ind w:left="1202" w:hanging="601"/>
        <w:rPr>
          <w:noProof/>
          <w:lang w:val="fr-CA"/>
        </w:rPr>
      </w:pPr>
    </w:p>
    <w:p>
      <w:pPr>
        <w:widowControl/>
        <w:spacing w:line="240" w:lineRule="auto"/>
        <w:rPr>
          <w:rFonts w:eastAsiaTheme="minorHAnsi"/>
          <w:noProof/>
          <w:szCs w:val="22"/>
          <w:lang w:val="fr-CA" w:eastAsia="en-US"/>
        </w:rPr>
      </w:pPr>
      <w:r>
        <w:rPr>
          <w:noProof/>
          <w:lang w:val="fr-CA"/>
        </w:rPr>
        <w:br w:type="page"/>
      </w:r>
    </w:p>
    <w:p>
      <w:pPr>
        <w:pStyle w:val="Point10"/>
        <w:spacing w:before="0" w:after="0"/>
        <w:ind w:left="1200" w:hanging="600"/>
        <w:rPr>
          <w:rFonts w:eastAsia="SimSun"/>
          <w:noProof/>
          <w:szCs w:val="24"/>
          <w:lang w:val="fr-CA"/>
        </w:rPr>
      </w:pPr>
    </w:p>
    <w:p>
      <w:pPr>
        <w:pStyle w:val="Point10"/>
        <w:spacing w:before="0" w:after="0"/>
        <w:ind w:left="1202" w:hanging="601"/>
        <w:rPr>
          <w:noProof/>
          <w:lang w:val="fr-CA"/>
        </w:rPr>
      </w:pPr>
      <w:r>
        <w:rPr>
          <w:noProof/>
          <w:lang w:val="fr-CA"/>
        </w:rPr>
        <w:t>c)</w:t>
      </w:r>
      <w:r>
        <w:rPr>
          <w:noProof/>
          <w:lang w:val="fr-CA"/>
        </w:rPr>
        <w:tab/>
        <w:t>Services d’ingénierie et services intégrés d’ingénierie</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d)</w:t>
      </w:r>
      <w:r>
        <w:rPr>
          <w:noProof/>
          <w:lang w:val="fr-CA"/>
        </w:rPr>
        <w:tab/>
        <w:t>Services informatiques et services connexes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e)</w:t>
      </w:r>
      <w:r>
        <w:rPr>
          <w:noProof/>
          <w:lang w:val="fr-CA"/>
        </w:rPr>
        <w:tab/>
        <w:t>Services de recherche et de développement</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f)</w:t>
      </w:r>
      <w:r>
        <w:rPr>
          <w:noProof/>
          <w:lang w:val="fr-CA"/>
        </w:rPr>
        <w:tab/>
        <w:t>Services d’études de marché et de sondages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g)</w:t>
      </w:r>
      <w:r>
        <w:rPr>
          <w:noProof/>
          <w:lang w:val="fr-CA"/>
        </w:rPr>
        <w:tab/>
        <w:t>Services de conseil en gestion</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h)</w:t>
      </w:r>
      <w:r>
        <w:rPr>
          <w:noProof/>
          <w:lang w:val="fr-CA"/>
        </w:rPr>
        <w:tab/>
        <w:t xml:space="preserve">Services connexes aux services de consultation en matière de gestion </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i)</w:t>
      </w:r>
      <w:r>
        <w:rPr>
          <w:noProof/>
          <w:lang w:val="fr-CA"/>
        </w:rPr>
        <w:tab/>
        <w:t>Industries extractives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j)</w:t>
      </w:r>
      <w:r>
        <w:rPr>
          <w:noProof/>
          <w:lang w:val="fr-CA"/>
        </w:rPr>
        <w:tab/>
        <w:t xml:space="preserve">Services de traduction et d’interprétation </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k)</w:t>
      </w:r>
      <w:r>
        <w:rPr>
          <w:noProof/>
          <w:lang w:val="fr-CA"/>
        </w:rPr>
        <w:tab/>
        <w:t>Services de télécommunications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l)</w:t>
      </w:r>
      <w:r>
        <w:rPr>
          <w:noProof/>
          <w:lang w:val="fr-CA"/>
        </w:rPr>
        <w:tab/>
        <w:t>Services de poste et de courrier</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m)</w:t>
      </w:r>
      <w:r>
        <w:rPr>
          <w:noProof/>
          <w:lang w:val="fr-CA"/>
        </w:rPr>
        <w:tab/>
        <w:t>Services d’enseignement supérieur</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n)</w:t>
      </w:r>
      <w:r>
        <w:rPr>
          <w:noProof/>
          <w:lang w:val="fr-CA"/>
        </w:rPr>
        <w:tab/>
        <w:t>Services de conseils et de consultation en matière de services connexes aux assurances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o)</w:t>
      </w:r>
      <w:r>
        <w:rPr>
          <w:noProof/>
          <w:lang w:val="fr-CA"/>
        </w:rPr>
        <w:tab/>
        <w:t>Services de conseils et de consultation en matière d’autres services financiers</w:t>
      </w:r>
    </w:p>
    <w:p>
      <w:pPr>
        <w:pStyle w:val="Point10"/>
        <w:spacing w:before="0" w:after="0"/>
        <w:ind w:left="1202" w:hanging="601"/>
        <w:rPr>
          <w:rFonts w:eastAsia="SimSun"/>
          <w:noProof/>
          <w:szCs w:val="24"/>
          <w:lang w:val="fr-CA"/>
        </w:rPr>
      </w:pPr>
    </w:p>
    <w:p>
      <w:pPr>
        <w:pStyle w:val="Point10"/>
        <w:spacing w:before="0" w:after="0"/>
        <w:ind w:left="1202" w:hanging="601"/>
        <w:rPr>
          <w:noProof/>
          <w:lang w:val="fr-CA"/>
        </w:rPr>
      </w:pPr>
      <w:r>
        <w:rPr>
          <w:noProof/>
          <w:lang w:val="fr-CA"/>
        </w:rPr>
        <w:t>p)</w:t>
      </w:r>
      <w:r>
        <w:rPr>
          <w:noProof/>
          <w:lang w:val="fr-CA"/>
        </w:rPr>
        <w:tab/>
        <w:t>Services de conseils et de consultation en matière de transports</w:t>
      </w:r>
    </w:p>
    <w:p>
      <w:pPr>
        <w:pStyle w:val="Point10"/>
        <w:spacing w:before="0" w:after="0"/>
        <w:ind w:left="1202" w:hanging="601"/>
        <w:rPr>
          <w:rFonts w:eastAsia="SimSun"/>
          <w:noProof/>
          <w:szCs w:val="24"/>
          <w:lang w:val="fr-CA"/>
        </w:rPr>
      </w:pPr>
    </w:p>
    <w:p>
      <w:pPr>
        <w:spacing w:line="240" w:lineRule="auto"/>
        <w:ind w:left="1202" w:hanging="601"/>
        <w:rPr>
          <w:noProof/>
          <w:lang w:val="fr-CA"/>
        </w:rPr>
      </w:pPr>
      <w:r>
        <w:rPr>
          <w:noProof/>
          <w:lang w:val="fr-CA"/>
        </w:rPr>
        <w:t>q)</w:t>
      </w:r>
      <w:r>
        <w:rPr>
          <w:noProof/>
          <w:lang w:val="fr-CA"/>
        </w:rPr>
        <w:tab/>
        <w:t>Services de conseils et de consultation relatifs aux industries manufacturières</w:t>
      </w:r>
    </w:p>
    <w:p>
      <w:pPr>
        <w:spacing w:line="240" w:lineRule="auto"/>
        <w:ind w:left="1202" w:hanging="601"/>
        <w:rPr>
          <w:noProof/>
          <w:lang w:val="fr-FR" w:eastAsia="de-DE"/>
        </w:rPr>
      </w:pPr>
    </w:p>
    <w:p>
      <w:pPr>
        <w:spacing w:line="240" w:lineRule="auto"/>
        <w:rPr>
          <w:noProof/>
          <w:lang w:val="fr-FR" w:eastAsia="de-DE"/>
        </w:rPr>
      </w:pPr>
    </w:p>
    <w:p>
      <w:pPr>
        <w:spacing w:line="240" w:lineRule="auto"/>
        <w:rPr>
          <w:noProof/>
          <w:lang w:val="fr-FR" w:eastAsia="de-DE"/>
        </w:rPr>
      </w:pPr>
    </w:p>
    <w:p>
      <w:pPr>
        <w:widowControl/>
        <w:spacing w:line="240" w:lineRule="auto"/>
        <w:ind w:left="567" w:hanging="567"/>
        <w:jc w:val="both"/>
        <w:rPr>
          <w:b/>
          <w:noProof/>
          <w:szCs w:val="24"/>
          <w:u w:val="single"/>
          <w:lang w:eastAsia="de-DE"/>
        </w:rPr>
      </w:pPr>
      <w:r>
        <w:rPr>
          <w:noProof/>
          <w:szCs w:val="24"/>
          <w:lang w:val="fr-FR" w:eastAsia="de-DE"/>
        </w:rPr>
        <w:br w:type="page"/>
      </w:r>
      <w:r>
        <w:rPr>
          <w:noProof/>
          <w:szCs w:val="24"/>
          <w:lang w:eastAsia="de-DE"/>
        </w:rPr>
        <w:t>11.</w:t>
      </w:r>
      <w:r>
        <w:rPr>
          <w:noProof/>
          <w:szCs w:val="24"/>
          <w:lang w:eastAsia="de-DE"/>
        </w:rPr>
        <w:tab/>
      </w:r>
      <w:r>
        <w:rPr>
          <w:b/>
          <w:noProof/>
          <w:szCs w:val="24"/>
          <w:u w:val="single"/>
          <w:lang w:eastAsia="de-DE"/>
        </w:rPr>
        <w:t>Liste des réserves</w:t>
      </w:r>
    </w:p>
    <w:p>
      <w:pPr>
        <w:widowControl/>
        <w:spacing w:line="240" w:lineRule="auto"/>
        <w:ind w:left="567" w:hanging="567"/>
        <w:jc w:val="both"/>
        <w:rPr>
          <w:b/>
          <w:noProof/>
          <w:szCs w:val="24"/>
          <w:u w:val="single"/>
          <w:lang w:eastAsia="de-DE"/>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946"/>
      </w:tblGrid>
      <w:tr>
        <w:trPr>
          <w:cantSplit/>
          <w:tblHeader/>
          <w:jc w:val="center"/>
        </w:trPr>
        <w:tc>
          <w:tcPr>
            <w:tcW w:w="2977" w:type="dxa"/>
            <w:shd w:val="clear" w:color="auto" w:fill="auto"/>
          </w:tcPr>
          <w:p>
            <w:pPr>
              <w:spacing w:before="60" w:after="60" w:line="240" w:lineRule="auto"/>
              <w:jc w:val="center"/>
              <w:rPr>
                <w:rFonts w:eastAsia="SimSun"/>
                <w:b/>
                <w:bCs/>
                <w:noProof/>
                <w:u w:val="single"/>
                <w:lang w:eastAsia="zh-CN"/>
              </w:rPr>
            </w:pPr>
            <w:r>
              <w:rPr>
                <w:rFonts w:eastAsia="SimSun"/>
                <w:b/>
                <w:bCs/>
                <w:noProof/>
                <w:u w:val="single"/>
                <w:lang w:eastAsia="zh-CN"/>
              </w:rPr>
              <w:br w:type="page"/>
            </w:r>
            <w:r>
              <w:rPr>
                <w:rFonts w:eastAsia="SimSun"/>
                <w:b/>
                <w:bCs/>
                <w:noProof/>
                <w:lang w:eastAsia="zh-CN"/>
              </w:rPr>
              <w:t>Secteur ou sous-secteur</w:t>
            </w:r>
          </w:p>
        </w:tc>
        <w:tc>
          <w:tcPr>
            <w:tcW w:w="6946" w:type="dxa"/>
            <w:shd w:val="clear" w:color="auto" w:fill="auto"/>
          </w:tcPr>
          <w:p>
            <w:pPr>
              <w:spacing w:before="60" w:after="60" w:line="240" w:lineRule="auto"/>
              <w:jc w:val="center"/>
              <w:rPr>
                <w:rFonts w:eastAsia="SimSun"/>
                <w:b/>
                <w:bCs/>
                <w:noProof/>
                <w:lang w:eastAsia="zh-CN"/>
              </w:rPr>
            </w:pPr>
            <w:r>
              <w:rPr>
                <w:rFonts w:eastAsia="SimSun"/>
                <w:b/>
                <w:bCs/>
                <w:noProof/>
                <w:lang w:eastAsia="zh-CN"/>
              </w:rPr>
              <w:t>Description des réserves</w:t>
            </w:r>
          </w:p>
        </w:tc>
      </w:tr>
      <w:tr>
        <w:trPr>
          <w:cantSplit/>
          <w:jc w:val="center"/>
        </w:trPr>
        <w:tc>
          <w:tcPr>
            <w:tcW w:w="2977" w:type="dxa"/>
          </w:tcPr>
          <w:p>
            <w:pPr>
              <w:spacing w:before="60" w:after="60" w:line="240" w:lineRule="auto"/>
              <w:rPr>
                <w:rFonts w:eastAsia="SimSun"/>
                <w:noProof/>
                <w:szCs w:val="24"/>
              </w:rPr>
            </w:pPr>
            <w:r>
              <w:rPr>
                <w:noProof/>
                <w:szCs w:val="24"/>
              </w:rPr>
              <w:t>UE - TOUS LES SECTEURS</w:t>
            </w:r>
          </w:p>
        </w:tc>
        <w:tc>
          <w:tcPr>
            <w:tcW w:w="6946" w:type="dxa"/>
          </w:tcPr>
          <w:p>
            <w:pPr>
              <w:spacing w:before="60" w:after="60" w:line="240" w:lineRule="auto"/>
              <w:jc w:val="center"/>
              <w:rPr>
                <w:rFonts w:eastAsia="SimSun"/>
                <w:b/>
                <w:noProof/>
                <w:spacing w:val="-2"/>
                <w:szCs w:val="24"/>
                <w:u w:val="single"/>
                <w:lang w:val="fr-CA"/>
              </w:rPr>
            </w:pPr>
            <w:r>
              <w:rPr>
                <w:b/>
                <w:noProof/>
                <w:spacing w:val="-2"/>
                <w:szCs w:val="24"/>
                <w:u w:val="single"/>
                <w:lang w:val="fr-CA"/>
              </w:rPr>
              <w:t>Durée du séjour</w:t>
            </w:r>
          </w:p>
          <w:p>
            <w:pPr>
              <w:spacing w:before="60" w:after="60" w:line="240" w:lineRule="auto"/>
              <w:rPr>
                <w:rFonts w:eastAsia="SimSun"/>
                <w:noProof/>
                <w:szCs w:val="24"/>
                <w:lang w:val="fr-CA"/>
              </w:rPr>
            </w:pPr>
            <w:r>
              <w:rPr>
                <w:b/>
                <w:noProof/>
                <w:szCs w:val="24"/>
                <w:lang w:val="fr-CA"/>
              </w:rPr>
              <w:t>AT, UK :</w:t>
            </w:r>
            <w:r>
              <w:rPr>
                <w:noProof/>
                <w:szCs w:val="24"/>
                <w:lang w:val="fr-CA"/>
              </w:rPr>
              <w:t xml:space="preserve"> La durée maximale </w:t>
            </w:r>
            <w:r>
              <w:rPr>
                <w:noProof/>
                <w:szCs w:val="24"/>
                <w:lang w:val="fr-BE"/>
              </w:rPr>
              <w:t>cumulée</w:t>
            </w:r>
            <w:r>
              <w:rPr>
                <w:noProof/>
                <w:szCs w:val="24"/>
                <w:lang w:val="fr-CA"/>
              </w:rPr>
              <w:t xml:space="preserve"> du séjour des FSC et des PI ne dépasse pas six mois par période de 12 mois ou la durée du contrat si celle-ci est plus courte.</w:t>
            </w:r>
          </w:p>
          <w:p>
            <w:pPr>
              <w:spacing w:before="60" w:after="60" w:line="240" w:lineRule="auto"/>
              <w:rPr>
                <w:rFonts w:eastAsia="SimSun"/>
                <w:noProof/>
                <w:szCs w:val="24"/>
                <w:lang w:val="fr-CA"/>
              </w:rPr>
            </w:pPr>
            <w:r>
              <w:rPr>
                <w:b/>
                <w:noProof/>
                <w:szCs w:val="24"/>
                <w:lang w:val="fr-CA"/>
              </w:rPr>
              <w:t>LT</w:t>
            </w:r>
            <w:r>
              <w:rPr>
                <w:noProof/>
                <w:szCs w:val="24"/>
                <w:lang w:val="fr-CA"/>
              </w:rPr>
              <w:t> : La durée maximale du séjour des FSC et des PI ne dépasse pas six mois et peut être renouvelée une seule fois pour une période supplémentaire de six mois, ou la durée du contrat si celle-ci est plus courte.</w:t>
            </w:r>
          </w:p>
          <w:p>
            <w:pPr>
              <w:spacing w:before="60" w:after="60" w:line="240" w:lineRule="auto"/>
              <w:rPr>
                <w:rFonts w:eastAsia="SimSun"/>
                <w:noProof/>
                <w:szCs w:val="24"/>
                <w:lang w:val="fr-CA"/>
              </w:rPr>
            </w:pPr>
            <w:r>
              <w:rPr>
                <w:b/>
                <w:noProof/>
                <w:szCs w:val="24"/>
                <w:lang w:val="fr-CA"/>
              </w:rPr>
              <w:t>BE, CZ, MT, PT</w:t>
            </w:r>
            <w:r>
              <w:rPr>
                <w:noProof/>
                <w:szCs w:val="24"/>
                <w:lang w:val="fr-CA"/>
              </w:rPr>
              <w:t> : La durée maximale du séjour des FSC et des PI ne dépasse pas 12 mois consécutifs ou la durée du contrat si celle-ci est plus courte.</w:t>
            </w:r>
          </w:p>
          <w:p>
            <w:pPr>
              <w:spacing w:before="60" w:after="60" w:line="240" w:lineRule="auto"/>
              <w:jc w:val="center"/>
              <w:rPr>
                <w:rFonts w:eastAsia="SimSun"/>
                <w:b/>
                <w:noProof/>
                <w:szCs w:val="24"/>
                <w:u w:val="single"/>
                <w:lang w:val="fr-CA"/>
              </w:rPr>
            </w:pPr>
            <w:r>
              <w:rPr>
                <w:b/>
                <w:noProof/>
                <w:szCs w:val="24"/>
                <w:u w:val="single"/>
                <w:lang w:val="fr-CA"/>
              </w:rPr>
              <w:t>Technologues</w:t>
            </w:r>
          </w:p>
          <w:p>
            <w:pPr>
              <w:spacing w:before="60" w:after="60" w:line="240" w:lineRule="auto"/>
              <w:rPr>
                <w:rFonts w:eastAsia="SimSun"/>
                <w:noProof/>
                <w:szCs w:val="24"/>
                <w:lang w:val="fr-CA"/>
              </w:rPr>
            </w:pPr>
            <w:r>
              <w:rPr>
                <w:noProof/>
                <w:szCs w:val="24"/>
                <w:lang w:val="fr-CA"/>
              </w:rPr>
              <w:t>L’annexe 10-C s’applique à l’</w:t>
            </w:r>
            <w:r>
              <w:rPr>
                <w:b/>
                <w:noProof/>
                <w:szCs w:val="24"/>
                <w:lang w:val="fr-CA"/>
              </w:rPr>
              <w:t>UE</w:t>
            </w:r>
            <w:r>
              <w:rPr>
                <w:noProof/>
                <w:szCs w:val="24"/>
                <w:lang w:val="fr-CA"/>
              </w:rPr>
              <w:t xml:space="preserve"> à l’exception de : </w:t>
            </w:r>
            <w:r>
              <w:rPr>
                <w:b/>
                <w:noProof/>
                <w:szCs w:val="24"/>
                <w:lang w:val="fr-CA"/>
              </w:rPr>
              <w:t>AT</w:t>
            </w:r>
            <w:r>
              <w:rPr>
                <w:noProof/>
                <w:szCs w:val="24"/>
                <w:lang w:val="fr-CA"/>
              </w:rPr>
              <w:t xml:space="preserve">, </w:t>
            </w:r>
            <w:r>
              <w:rPr>
                <w:b/>
                <w:noProof/>
                <w:szCs w:val="24"/>
                <w:lang w:val="fr-CA"/>
              </w:rPr>
              <w:t>DE, EL, ES, HU, IT, LT, NL, PT, SK, UK</w:t>
            </w:r>
            <w:r>
              <w:rPr>
                <w:noProof/>
                <w:szCs w:val="24"/>
                <w:lang w:val="fr-CA"/>
              </w:rPr>
              <w:t>.</w:t>
            </w:r>
          </w:p>
          <w:p>
            <w:pPr>
              <w:spacing w:before="60" w:after="60" w:line="240" w:lineRule="auto"/>
              <w:rPr>
                <w:rFonts w:eastAsia="SimSun"/>
                <w:noProof/>
                <w:szCs w:val="24"/>
                <w:lang w:val="fr-CA"/>
              </w:rPr>
            </w:pPr>
            <w:r>
              <w:rPr>
                <w:b/>
                <w:noProof/>
                <w:szCs w:val="24"/>
                <w:lang w:val="fr-CA"/>
              </w:rPr>
              <w:t>CY</w:t>
            </w:r>
            <w:r>
              <w:rPr>
                <w:noProof/>
                <w:szCs w:val="24"/>
                <w:lang w:val="fr-CA"/>
              </w:rPr>
              <w:t xml:space="preserve"> : L’annexe 10-C s’applique uniquement en ce qui concerne les technologues exerçant dans les sous-secteurs CPC 8676, 851, 852, 853 et 883. </w:t>
            </w:r>
          </w:p>
          <w:p>
            <w:pPr>
              <w:spacing w:before="60" w:after="60" w:line="240" w:lineRule="auto"/>
              <w:rPr>
                <w:rFonts w:eastAsia="SimSun"/>
                <w:noProof/>
                <w:szCs w:val="24"/>
                <w:lang w:val="fr-CA"/>
              </w:rPr>
            </w:pPr>
            <w:r>
              <w:rPr>
                <w:b/>
                <w:noProof/>
                <w:szCs w:val="24"/>
                <w:lang w:val="fr-CA"/>
              </w:rPr>
              <w:t>FI</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FR :</w:t>
            </w:r>
            <w:r>
              <w:rPr>
                <w:noProof/>
                <w:szCs w:val="24"/>
                <w:lang w:val="fr-CA"/>
              </w:rPr>
              <w:t xml:space="preserve"> L’annexe 10-C s’applique uniquement en ce qui concerne les technologues exerçant dans le sous-secteur CPC 86721.</w:t>
            </w:r>
          </w:p>
          <w:p>
            <w:pPr>
              <w:spacing w:before="60" w:after="60" w:line="240" w:lineRule="auto"/>
              <w:rPr>
                <w:rFonts w:eastAsia="SimSun"/>
                <w:noProof/>
                <w:szCs w:val="24"/>
                <w:lang w:val="fr-CA"/>
              </w:rPr>
            </w:pPr>
            <w:r>
              <w:rPr>
                <w:b/>
                <w:noProof/>
                <w:szCs w:val="24"/>
                <w:lang w:val="fr-CA"/>
              </w:rPr>
              <w:t>PL</w:t>
            </w:r>
            <w:r>
              <w:rPr>
                <w:noProof/>
                <w:szCs w:val="24"/>
                <w:lang w:val="fr-CA"/>
              </w:rPr>
              <w:t> : Un technologue doit au moins être titulaire d’un diplôme équivalent à un diplôme de premier cycle universitaire.</w:t>
            </w:r>
          </w:p>
        </w:tc>
      </w:tr>
      <w:tr>
        <w:trPr>
          <w:cantSplit/>
          <w:jc w:val="center"/>
        </w:trPr>
        <w:tc>
          <w:tcPr>
            <w:tcW w:w="2977" w:type="dxa"/>
          </w:tcPr>
          <w:p>
            <w:pPr>
              <w:spacing w:before="60" w:after="60" w:line="240" w:lineRule="auto"/>
              <w:rPr>
                <w:rFonts w:eastAsia="SimSun"/>
                <w:noProof/>
                <w:szCs w:val="24"/>
              </w:rPr>
            </w:pPr>
            <w:r>
              <w:rPr>
                <w:noProof/>
                <w:szCs w:val="24"/>
              </w:rPr>
              <w:t>CAN – TOUS LES SECTEURS</w:t>
            </w:r>
          </w:p>
        </w:tc>
        <w:tc>
          <w:tcPr>
            <w:tcW w:w="6946" w:type="dxa"/>
          </w:tcPr>
          <w:p>
            <w:pPr>
              <w:spacing w:before="60" w:after="60" w:line="240" w:lineRule="auto"/>
              <w:jc w:val="center"/>
              <w:rPr>
                <w:rFonts w:eastAsia="SimSun"/>
                <w:b/>
                <w:noProof/>
                <w:szCs w:val="24"/>
                <w:u w:val="single"/>
                <w:lang w:val="fr-CA"/>
              </w:rPr>
            </w:pPr>
            <w:r>
              <w:rPr>
                <w:b/>
                <w:noProof/>
                <w:szCs w:val="24"/>
                <w:u w:val="single"/>
                <w:lang w:val="fr-CA"/>
              </w:rPr>
              <w:t>Technologues</w:t>
            </w:r>
          </w:p>
          <w:p>
            <w:pPr>
              <w:spacing w:before="60" w:after="60" w:line="240" w:lineRule="auto"/>
              <w:rPr>
                <w:i/>
                <w:iCs/>
                <w:noProof/>
                <w:spacing w:val="-2"/>
                <w:szCs w:val="24"/>
                <w:lang w:val="fr-CA"/>
              </w:rPr>
            </w:pPr>
            <w:r>
              <w:rPr>
                <w:b/>
                <w:noProof/>
                <w:szCs w:val="24"/>
                <w:lang w:val="fr-CA"/>
              </w:rPr>
              <w:t>CAN</w:t>
            </w:r>
            <w:r>
              <w:rPr>
                <w:noProof/>
                <w:szCs w:val="24"/>
                <w:lang w:val="fr-CA"/>
              </w:rPr>
              <w:t> : L’annexe 10-C s’applique.</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zCs w:val="24"/>
                <w:lang w:val="fr-CA"/>
              </w:rPr>
              <w:t>Services de conseils juridiques en matière de droit international public et de droit étranger</w:t>
            </w:r>
          </w:p>
          <w:p>
            <w:pPr>
              <w:spacing w:before="60" w:after="60" w:line="240" w:lineRule="auto"/>
              <w:rPr>
                <w:rFonts w:eastAsia="SimSun"/>
                <w:noProof/>
                <w:szCs w:val="24"/>
              </w:rPr>
            </w:pPr>
            <w:r>
              <w:rPr>
                <w:noProof/>
                <w:szCs w:val="24"/>
              </w:rPr>
              <w:t>(partie de CPC 861)</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90"/>
              </w:tabs>
              <w:spacing w:before="60" w:after="60" w:line="240" w:lineRule="auto"/>
              <w:rPr>
                <w:rFonts w:eastAsia="SimSun"/>
                <w:noProof/>
                <w:szCs w:val="24"/>
                <w:lang w:val="es-ES"/>
              </w:rPr>
            </w:pPr>
            <w:r>
              <w:rPr>
                <w:b/>
                <w:noProof/>
                <w:color w:val="000000"/>
                <w:szCs w:val="24"/>
                <w:lang w:val="es-ES"/>
              </w:rPr>
              <w:t>AT, BE, CY, DE, EE, EL, ES, FR, HR, IE, IT, LU, NL, PL, PT, SE, UK</w:t>
            </w:r>
            <w:r>
              <w:rPr>
                <w:noProof/>
                <w:szCs w:val="24"/>
                <w:lang w:val="es-ES"/>
              </w:rPr>
              <w:t xml:space="preserve"> : Néant. </w:t>
            </w:r>
          </w:p>
          <w:p>
            <w:pPr>
              <w:tabs>
                <w:tab w:val="left" w:pos="290"/>
              </w:tabs>
              <w:spacing w:before="60" w:after="60" w:line="240" w:lineRule="auto"/>
              <w:rPr>
                <w:rFonts w:eastAsia="SimSun"/>
                <w:noProof/>
                <w:szCs w:val="24"/>
                <w:lang w:val="fr-CA"/>
              </w:rPr>
            </w:pPr>
            <w:r>
              <w:rPr>
                <w:b/>
                <w:noProof/>
                <w:szCs w:val="24"/>
                <w:lang w:val="fr-CA"/>
              </w:rPr>
              <w:t>BG, CZ, DK, FI, HU, LT, LV, MT, RO, SI, SK :</w:t>
            </w:r>
            <w:r>
              <w:rPr>
                <w:noProof/>
                <w:szCs w:val="24"/>
                <w:lang w:val="fr-CA"/>
              </w:rPr>
              <w:t xml:space="preserve"> Examen des besoins économiques.</w:t>
            </w:r>
          </w:p>
          <w:p>
            <w:pPr>
              <w:tabs>
                <w:tab w:val="left" w:pos="290"/>
              </w:tabs>
              <w:spacing w:before="60" w:after="60" w:line="240" w:lineRule="auto"/>
              <w:rPr>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90"/>
              </w:tabs>
              <w:spacing w:before="60" w:after="60" w:line="240" w:lineRule="auto"/>
              <w:rPr>
                <w:rFonts w:eastAsia="SimSun"/>
                <w:noProof/>
                <w:szCs w:val="24"/>
                <w:lang w:val="fr-CA"/>
              </w:rPr>
            </w:pPr>
            <w:r>
              <w:rPr>
                <w:b/>
                <w:noProof/>
                <w:color w:val="000000"/>
                <w:szCs w:val="24"/>
                <w:lang w:val="fr-CA"/>
              </w:rPr>
              <w:t>AT, CY, DE, EE, FR, HR, IE, LU, LV, NL, PL, PT, SE, UK</w:t>
            </w:r>
            <w:r>
              <w:rPr>
                <w:noProof/>
                <w:szCs w:val="24"/>
                <w:lang w:val="fr-CA"/>
              </w:rPr>
              <w:t xml:space="preserve"> : Néant. </w:t>
            </w:r>
          </w:p>
          <w:p>
            <w:pPr>
              <w:tabs>
                <w:tab w:val="left" w:pos="290"/>
              </w:tabs>
              <w:spacing w:before="60" w:after="60" w:line="240" w:lineRule="auto"/>
              <w:rPr>
                <w:rFonts w:eastAsia="SimSun"/>
                <w:noProof/>
                <w:szCs w:val="24"/>
                <w:lang w:val="fr-CA"/>
              </w:rPr>
            </w:pPr>
            <w:r>
              <w:rPr>
                <w:b/>
                <w:noProof/>
                <w:szCs w:val="24"/>
                <w:lang w:val="fr-CA"/>
              </w:rPr>
              <w:t>BE,</w:t>
            </w:r>
            <w:r>
              <w:rPr>
                <w:noProof/>
                <w:szCs w:val="24"/>
                <w:lang w:val="fr-CA"/>
              </w:rPr>
              <w:t xml:space="preserve"> </w:t>
            </w:r>
            <w:r>
              <w:rPr>
                <w:b/>
                <w:noProof/>
                <w:szCs w:val="24"/>
                <w:lang w:val="fr-CA"/>
              </w:rPr>
              <w:t>BG, CZ, DK, EL, ES, FI, HU, IT, LT, MT, RO, SI, SK :</w:t>
            </w:r>
            <w:r>
              <w:rPr>
                <w:noProof/>
                <w:szCs w:val="24"/>
                <w:lang w:val="fr-CA"/>
              </w:rPr>
              <w:t xml:space="preserve"> Examen des besoins économiques.</w:t>
            </w:r>
          </w:p>
          <w:p>
            <w:pPr>
              <w:tabs>
                <w:tab w:val="left" w:pos="290"/>
              </w:tabs>
              <w:spacing w:before="60" w:after="60" w:line="240" w:lineRule="auto"/>
              <w:rPr>
                <w:rFonts w:eastAsia="SimSun"/>
                <w:noProof/>
                <w:szCs w:val="24"/>
              </w:rPr>
            </w:pPr>
            <w:r>
              <w:rPr>
                <w:b/>
                <w:noProof/>
                <w:szCs w:val="24"/>
              </w:rPr>
              <w:t>CAN :</w:t>
            </w:r>
            <w:r>
              <w:rPr>
                <w:noProof/>
                <w:szCs w:val="24"/>
              </w:rPr>
              <w:t xml:space="preserve"> Néant.</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comptables et de tenue de livres</w:t>
            </w:r>
          </w:p>
          <w:p>
            <w:pPr>
              <w:spacing w:before="60" w:after="60" w:line="240" w:lineRule="auto"/>
              <w:rPr>
                <w:rFonts w:eastAsia="SimSun"/>
                <w:noProof/>
                <w:szCs w:val="24"/>
                <w:lang w:val="fr-CA"/>
              </w:rPr>
            </w:pPr>
            <w:r>
              <w:rPr>
                <w:noProof/>
                <w:szCs w:val="24"/>
                <w:lang w:val="fr-CA"/>
              </w:rPr>
              <w:t>(CPC 86212 autres que « services d’audit », 86213, 86219 et 86220)</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noProof/>
                <w:szCs w:val="24"/>
                <w:lang w:val="fr-CA"/>
              </w:rPr>
            </w:pPr>
            <w:r>
              <w:rPr>
                <w:b/>
                <w:noProof/>
                <w:szCs w:val="24"/>
                <w:lang w:val="fr-CA"/>
              </w:rPr>
              <w:t xml:space="preserve">AT, </w:t>
            </w:r>
            <w:r>
              <w:rPr>
                <w:b/>
                <w:noProof/>
                <w:color w:val="000000"/>
                <w:szCs w:val="24"/>
                <w:lang w:val="fr-CA"/>
              </w:rPr>
              <w:t>BE, CY, DE, EE, ES, HR, IE, IT, LU, NL, PL, PT, SI, SE, UK</w:t>
            </w:r>
            <w:r>
              <w:rPr>
                <w:noProof/>
                <w:szCs w:val="24"/>
                <w:lang w:val="fr-CA"/>
              </w:rPr>
              <w:t xml:space="preserve"> : Néant. </w:t>
            </w:r>
          </w:p>
          <w:p>
            <w:pPr>
              <w:spacing w:before="60" w:after="60" w:line="240" w:lineRule="auto"/>
              <w:rPr>
                <w:rFonts w:eastAsia="SimSun"/>
                <w:noProof/>
                <w:szCs w:val="24"/>
                <w:lang w:val="fr-CA"/>
              </w:rPr>
            </w:pPr>
            <w:r>
              <w:rPr>
                <w:b/>
                <w:noProof/>
                <w:szCs w:val="24"/>
                <w:lang w:val="fr-CA"/>
              </w:rPr>
              <w:t>BG, CZ, DK, EL, FI, FR, HU, LT, LV, MT, RO, SK :</w:t>
            </w:r>
            <w:r>
              <w:rPr>
                <w:noProof/>
                <w:szCs w:val="24"/>
                <w:lang w:val="fr-CA"/>
              </w:rPr>
              <w:t xml:space="preserve"> Examen des besoins économiques.</w:t>
            </w:r>
          </w:p>
          <w:p>
            <w:pPr>
              <w:spacing w:before="60" w:after="60" w:line="240" w:lineRule="auto"/>
              <w:rPr>
                <w:rFonts w:eastAsia="SimSun"/>
                <w:noProof/>
                <w:szCs w:val="24"/>
                <w:lang w:val="fr-CA"/>
              </w:rPr>
            </w:pPr>
            <w:r>
              <w:rPr>
                <w:b/>
                <w:noProof/>
                <w:szCs w:val="24"/>
                <w:lang w:val="fr-CA"/>
              </w:rPr>
              <w:t>CAN</w:t>
            </w:r>
            <w:r>
              <w:rPr>
                <w:noProof/>
                <w:szCs w:val="24"/>
                <w:lang w:val="fr-CA"/>
              </w:rPr>
              <w:t> : Néant.</w:t>
            </w: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Services de conseil fiscal</w:t>
            </w:r>
          </w:p>
          <w:p>
            <w:pPr>
              <w:spacing w:before="60" w:after="60" w:line="240" w:lineRule="auto"/>
              <w:rPr>
                <w:rFonts w:eastAsia="SimSun"/>
                <w:b/>
                <w:noProof/>
                <w:szCs w:val="24"/>
                <w:lang w:val="fr-CA"/>
              </w:rPr>
            </w:pPr>
            <w:r>
              <w:rPr>
                <w:noProof/>
                <w:szCs w:val="24"/>
                <w:lang w:val="fr-CA"/>
              </w:rPr>
              <w:t>(CPC 863)</w:t>
            </w:r>
            <w:r>
              <w:rPr>
                <w:rStyle w:val="FootnoteReference"/>
                <w:rFonts w:eastAsiaTheme="minorHAnsi"/>
                <w:noProof/>
                <w:szCs w:val="24"/>
              </w:rPr>
              <w:footnoteReference w:id="5"/>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noProof/>
                <w:szCs w:val="24"/>
                <w:lang w:val="fr-CA"/>
              </w:rPr>
            </w:pPr>
            <w:r>
              <w:rPr>
                <w:b/>
                <w:noProof/>
                <w:szCs w:val="24"/>
                <w:lang w:val="fr-CA"/>
              </w:rPr>
              <w:t xml:space="preserve">AT, </w:t>
            </w:r>
            <w:r>
              <w:rPr>
                <w:b/>
                <w:noProof/>
                <w:color w:val="000000"/>
                <w:szCs w:val="24"/>
                <w:lang w:val="fr-CA"/>
              </w:rPr>
              <w:t>BE, CY, DE, EE, ES, FR, HR, IE, IT, LU, NL, PL, SI, SE, UK</w:t>
            </w:r>
            <w:r>
              <w:rPr>
                <w:noProof/>
                <w:szCs w:val="24"/>
                <w:lang w:val="fr-CA"/>
              </w:rPr>
              <w:t> : Néant.</w:t>
            </w:r>
          </w:p>
          <w:p>
            <w:pPr>
              <w:spacing w:before="60" w:after="60" w:line="240" w:lineRule="auto"/>
              <w:rPr>
                <w:rFonts w:eastAsia="SimSun"/>
                <w:noProof/>
                <w:szCs w:val="24"/>
                <w:lang w:val="fr-CA"/>
              </w:rPr>
            </w:pPr>
            <w:r>
              <w:rPr>
                <w:b/>
                <w:noProof/>
                <w:szCs w:val="24"/>
                <w:lang w:val="fr-CA"/>
              </w:rPr>
              <w:t>BG, CZ, DK, EL, FI, HU, LT, LV, MT, RO, SK :</w:t>
            </w:r>
            <w:r>
              <w:rPr>
                <w:noProof/>
                <w:szCs w:val="24"/>
                <w:lang w:val="fr-CA"/>
              </w:rPr>
              <w:t xml:space="preserve"> Examen des besoins économiques. </w:t>
            </w:r>
          </w:p>
          <w:p>
            <w:pPr>
              <w:spacing w:before="60" w:after="60" w:line="240" w:lineRule="auto"/>
              <w:rPr>
                <w:rFonts w:eastAsia="SimSun"/>
                <w:noProof/>
                <w:szCs w:val="24"/>
                <w:lang w:val="fr-CA"/>
              </w:rPr>
            </w:pPr>
            <w:r>
              <w:rPr>
                <w:b/>
                <w:noProof/>
                <w:szCs w:val="24"/>
                <w:lang w:val="fr-CA"/>
              </w:rPr>
              <w:t>PT</w:t>
            </w:r>
            <w:r>
              <w:rPr>
                <w:noProof/>
                <w:szCs w:val="24"/>
                <w:lang w:val="fr-CA"/>
              </w:rPr>
              <w:t> :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w:t>
            </w: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Services d’architecture</w:t>
            </w:r>
          </w:p>
          <w:p>
            <w:pPr>
              <w:spacing w:before="60" w:after="60" w:line="240" w:lineRule="auto"/>
              <w:rPr>
                <w:rFonts w:eastAsia="SimSun"/>
                <w:noProof/>
                <w:szCs w:val="24"/>
                <w:lang w:val="fr-CA"/>
              </w:rPr>
            </w:pPr>
            <w:r>
              <w:rPr>
                <w:noProof/>
                <w:szCs w:val="24"/>
                <w:lang w:val="fr-CA"/>
              </w:rPr>
              <w:t>et</w:t>
            </w:r>
          </w:p>
          <w:p>
            <w:pPr>
              <w:spacing w:before="60" w:after="60" w:line="240" w:lineRule="auto"/>
              <w:rPr>
                <w:rFonts w:eastAsia="SimSun"/>
                <w:b/>
                <w:noProof/>
                <w:szCs w:val="24"/>
                <w:lang w:val="fr-CA"/>
              </w:rPr>
            </w:pPr>
            <w:r>
              <w:rPr>
                <w:b/>
                <w:noProof/>
                <w:szCs w:val="24"/>
                <w:lang w:val="fr-CA"/>
              </w:rPr>
              <w:t>Services d’aménagement urbain et d’architecture paysagère</w:t>
            </w:r>
          </w:p>
          <w:p>
            <w:pPr>
              <w:spacing w:before="60" w:after="60" w:line="240" w:lineRule="auto"/>
              <w:rPr>
                <w:rFonts w:eastAsia="SimSun"/>
                <w:noProof/>
                <w:szCs w:val="24"/>
              </w:rPr>
            </w:pPr>
            <w:r>
              <w:rPr>
                <w:noProof/>
                <w:szCs w:val="24"/>
              </w:rPr>
              <w:t>(CPC 8671 et 8674)</w:t>
            </w:r>
          </w:p>
        </w:tc>
        <w:tc>
          <w:tcPr>
            <w:tcW w:w="6946" w:type="dxa"/>
            <w:shd w:val="clear" w:color="auto" w:fill="FFFFFF"/>
          </w:tcPr>
          <w:p>
            <w:pPr>
              <w:tabs>
                <w:tab w:val="left" w:pos="279"/>
              </w:tabs>
              <w:spacing w:before="60" w:after="60" w:line="240" w:lineRule="auto"/>
              <w:rPr>
                <w:rFonts w:eastAsia="SimSun"/>
                <w:noProof/>
                <w:szCs w:val="24"/>
                <w:u w:val="single"/>
              </w:rPr>
            </w:pPr>
            <w:r>
              <w:rPr>
                <w:noProof/>
                <w:szCs w:val="24"/>
                <w:u w:val="single"/>
              </w:rPr>
              <w:t>FSC</w:t>
            </w:r>
            <w:r>
              <w:rPr>
                <w:noProof/>
                <w:szCs w:val="24"/>
              </w:rPr>
              <w:t> :</w:t>
            </w:r>
          </w:p>
          <w:p>
            <w:pPr>
              <w:tabs>
                <w:tab w:val="left" w:pos="279"/>
              </w:tabs>
              <w:spacing w:before="60" w:after="60" w:line="240" w:lineRule="auto"/>
              <w:rPr>
                <w:rFonts w:eastAsia="SimSun"/>
                <w:noProof/>
                <w:szCs w:val="24"/>
              </w:rPr>
            </w:pPr>
            <w:r>
              <w:rPr>
                <w:b/>
                <w:noProof/>
                <w:szCs w:val="24"/>
              </w:rPr>
              <w:t xml:space="preserve">BE, </w:t>
            </w:r>
            <w:r>
              <w:rPr>
                <w:b/>
                <w:noProof/>
                <w:color w:val="000000"/>
                <w:szCs w:val="24"/>
              </w:rPr>
              <w:t>CY, EE, ES, EL, FR, HR, IE, IT, LU, MT, NL, PL, PT, SI, SE, UK :</w:t>
            </w:r>
            <w:r>
              <w:rPr>
                <w:noProof/>
                <w:szCs w:val="24"/>
              </w:rPr>
              <w:t xml:space="preserve"> 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spacing w:before="60" w:after="60" w:line="240" w:lineRule="auto"/>
              <w:rPr>
                <w:rFonts w:eastAsia="SimSun"/>
                <w:noProof/>
                <w:szCs w:val="24"/>
                <w:lang w:val="fr-CA"/>
              </w:rPr>
            </w:pPr>
            <w:r>
              <w:rPr>
                <w:b/>
                <w:noProof/>
                <w:szCs w:val="24"/>
                <w:lang w:val="fr-CA"/>
              </w:rPr>
              <w:t>BG, CZ, DE, HU, LT, LV, RO, SK</w:t>
            </w:r>
            <w:r>
              <w:rPr>
                <w:noProof/>
                <w:szCs w:val="24"/>
                <w:lang w:val="fr-CA"/>
              </w:rPr>
              <w:t xml:space="preserve"> : Examen des besoins économiques. </w:t>
            </w:r>
          </w:p>
          <w:p>
            <w:pPr>
              <w:tabs>
                <w:tab w:val="left" w:pos="290"/>
              </w:tabs>
              <w:spacing w:before="60" w:after="60" w:line="240" w:lineRule="auto"/>
              <w:rPr>
                <w:rFonts w:eastAsia="SimSun"/>
                <w:noProof/>
                <w:szCs w:val="24"/>
                <w:lang w:val="fr-CA"/>
              </w:rPr>
            </w:pPr>
            <w:r>
              <w:rPr>
                <w:b/>
                <w:noProof/>
                <w:szCs w:val="24"/>
                <w:lang w:val="fr-CA"/>
              </w:rPr>
              <w:t>DK</w:t>
            </w:r>
            <w:r>
              <w:rPr>
                <w:noProof/>
                <w:szCs w:val="24"/>
                <w:lang w:val="fr-CA"/>
              </w:rPr>
              <w:t> : Examen des besoins économiques, sauf pour les séjours des FSC d’au plus trois mois.</w:t>
            </w:r>
          </w:p>
          <w:p>
            <w:pPr>
              <w:spacing w:before="60" w:after="60" w:line="240" w:lineRule="auto"/>
              <w:rPr>
                <w:rFonts w:eastAsia="SimSun"/>
                <w:noProof/>
                <w:szCs w:val="24"/>
                <w:lang w:val="fr-CA"/>
              </w:rPr>
            </w:pPr>
            <w:r>
              <w:rPr>
                <w:b/>
                <w:noProof/>
                <w:szCs w:val="24"/>
                <w:lang w:val="fr-CA"/>
              </w:rPr>
              <w:t>AT</w:t>
            </w:r>
            <w:r>
              <w:rPr>
                <w:noProof/>
                <w:szCs w:val="24"/>
                <w:lang w:val="fr-CA"/>
              </w:rPr>
              <w:t> : Services d’aménagement urbain seulement, auquel cas : Examen des besoins économiques.</w:t>
            </w:r>
          </w:p>
          <w:p>
            <w:pPr>
              <w:tabs>
                <w:tab w:val="left" w:pos="290"/>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u w:val="single"/>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EL, FR, HR, IE, LU, LV, MT, NL, PL, PT, SI, SE, UK</w:t>
            </w:r>
            <w:r>
              <w:rPr>
                <w:noProof/>
                <w:szCs w:val="24"/>
                <w:lang w:val="fr-CA"/>
              </w:rPr>
              <w:t> : 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spacing w:before="60" w:after="60" w:line="240" w:lineRule="auto"/>
              <w:rPr>
                <w:rFonts w:eastAsia="SimSun"/>
                <w:noProof/>
                <w:szCs w:val="24"/>
                <w:lang w:val="fr-CA"/>
              </w:rPr>
            </w:pPr>
            <w:r>
              <w:rPr>
                <w:b/>
                <w:noProof/>
                <w:szCs w:val="24"/>
                <w:lang w:val="fr-CA"/>
              </w:rPr>
              <w:t>BE, BG, CZ, DK, ES, HU, IT,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AT</w:t>
            </w:r>
            <w:r>
              <w:rPr>
                <w:noProof/>
                <w:szCs w:val="24"/>
                <w:lang w:val="fr-CA"/>
              </w:rPr>
              <w:t> : Services d’aménagement urbain seulement, auquel cas : Examen des besoins économiques.</w:t>
            </w:r>
          </w:p>
          <w:p>
            <w:pPr>
              <w:spacing w:before="60" w:after="60" w:line="240" w:lineRule="auto"/>
              <w:rPr>
                <w:rFonts w:eastAsia="SimSun"/>
                <w:noProof/>
                <w:szCs w:val="24"/>
              </w:rPr>
            </w:pPr>
            <w:r>
              <w:rPr>
                <w:b/>
                <w:noProof/>
                <w:szCs w:val="24"/>
              </w:rPr>
              <w:t>CAN :</w:t>
            </w:r>
            <w:r>
              <w:rPr>
                <w:noProof/>
                <w:szCs w:val="24"/>
              </w:rPr>
              <w:t xml:space="preserve"> Néant.</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d’ingénierie</w:t>
            </w:r>
          </w:p>
          <w:p>
            <w:pPr>
              <w:spacing w:before="60" w:after="60" w:line="240" w:lineRule="auto"/>
              <w:rPr>
                <w:rFonts w:eastAsia="SimSun"/>
                <w:noProof/>
                <w:szCs w:val="24"/>
                <w:lang w:val="fr-CA"/>
              </w:rPr>
            </w:pPr>
            <w:r>
              <w:rPr>
                <w:noProof/>
                <w:szCs w:val="24"/>
                <w:lang w:val="fr-CA"/>
              </w:rPr>
              <w:t>et</w:t>
            </w:r>
          </w:p>
          <w:p>
            <w:pPr>
              <w:spacing w:before="60" w:after="60" w:line="240" w:lineRule="auto"/>
              <w:rPr>
                <w:rFonts w:eastAsia="SimSun"/>
                <w:b/>
                <w:noProof/>
                <w:szCs w:val="24"/>
                <w:lang w:val="fr-CA"/>
              </w:rPr>
            </w:pPr>
            <w:r>
              <w:rPr>
                <w:b/>
                <w:noProof/>
                <w:szCs w:val="24"/>
                <w:lang w:val="fr-CA"/>
              </w:rPr>
              <w:t>Services intégrés d’ingénierie</w:t>
            </w:r>
          </w:p>
          <w:p>
            <w:pPr>
              <w:spacing w:before="60" w:after="60" w:line="240" w:lineRule="auto"/>
              <w:rPr>
                <w:rFonts w:eastAsia="SimSun"/>
                <w:noProof/>
                <w:szCs w:val="24"/>
              </w:rPr>
            </w:pPr>
            <w:r>
              <w:rPr>
                <w:noProof/>
                <w:szCs w:val="24"/>
              </w:rPr>
              <w:t>(CPC 8672 et 8673)</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tabs>
                <w:tab w:val="left" w:pos="279"/>
              </w:tabs>
              <w:spacing w:before="60" w:after="60" w:line="240" w:lineRule="auto"/>
              <w:rPr>
                <w:rFonts w:eastAsia="SimSun"/>
                <w:noProof/>
                <w:szCs w:val="24"/>
              </w:rPr>
            </w:pPr>
            <w:r>
              <w:rPr>
                <w:b/>
                <w:noProof/>
                <w:szCs w:val="24"/>
              </w:rPr>
              <w:t xml:space="preserve">BE, </w:t>
            </w:r>
            <w:r>
              <w:rPr>
                <w:b/>
                <w:noProof/>
                <w:color w:val="000000"/>
                <w:szCs w:val="24"/>
              </w:rPr>
              <w:t>CY, EE, ES, EL, FR, HR, IE, IT, LU, MT, NL, PL, PT, SI, SE, UK :</w:t>
            </w:r>
            <w:r>
              <w:rPr>
                <w:noProof/>
                <w:szCs w:val="24"/>
              </w:rPr>
              <w:t xml:space="preserve"> 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tabs>
                <w:tab w:val="left" w:pos="279"/>
              </w:tabs>
              <w:spacing w:before="60" w:after="60" w:line="240" w:lineRule="auto"/>
              <w:rPr>
                <w:rFonts w:eastAsia="SimSun"/>
                <w:noProof/>
                <w:szCs w:val="24"/>
                <w:lang w:val="fr-CA"/>
              </w:rPr>
            </w:pPr>
            <w:r>
              <w:rPr>
                <w:b/>
                <w:noProof/>
                <w:szCs w:val="24"/>
                <w:lang w:val="fr-CA"/>
              </w:rPr>
              <w:t>BG, CZ, DE, LT, LV,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 Examen des besoins économiques, sauf pour les séjours des FSC d’au plus trois mois.</w:t>
            </w:r>
          </w:p>
          <w:p>
            <w:pPr>
              <w:tabs>
                <w:tab w:val="left" w:pos="290"/>
              </w:tabs>
              <w:spacing w:before="60" w:after="60" w:line="240" w:lineRule="auto"/>
              <w:rPr>
                <w:rFonts w:eastAsia="SimSun"/>
                <w:noProof/>
                <w:szCs w:val="24"/>
                <w:lang w:val="fr-CA"/>
              </w:rPr>
            </w:pPr>
            <w:r>
              <w:rPr>
                <w:b/>
                <w:noProof/>
                <w:szCs w:val="24"/>
                <w:lang w:val="fr-CA"/>
              </w:rPr>
              <w:t>AT</w:t>
            </w:r>
            <w:r>
              <w:rPr>
                <w:noProof/>
                <w:szCs w:val="24"/>
                <w:lang w:val="fr-CA"/>
              </w:rPr>
              <w:t> : Services de planification seulement, auquel cas : Examen des besoins économiques.</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 Examen des besoins économiques.</w:t>
            </w:r>
          </w:p>
          <w:p>
            <w:pPr>
              <w:tabs>
                <w:tab w:val="left" w:pos="290"/>
              </w:tabs>
              <w:spacing w:before="60" w:after="60" w:line="240" w:lineRule="auto"/>
              <w:rPr>
                <w:rFonts w:eastAsia="SimSun"/>
                <w:noProof/>
                <w:szCs w:val="24"/>
                <w:lang w:val="fr-CA"/>
              </w:rPr>
            </w:pPr>
            <w:r>
              <w:rPr>
                <w:b/>
                <w:noProof/>
                <w:szCs w:val="24"/>
                <w:lang w:val="fr-CA"/>
              </w:rPr>
              <w:t>CAN</w:t>
            </w:r>
            <w:r>
              <w:rPr>
                <w:noProof/>
                <w:szCs w:val="24"/>
                <w:lang w:val="fr-CA"/>
              </w:rPr>
              <w:t> : Néant.</w:t>
            </w:r>
          </w:p>
          <w:p>
            <w:pPr>
              <w:spacing w:before="60" w:after="60" w:line="240" w:lineRule="auto"/>
              <w:rPr>
                <w:rFonts w:eastAsia="SimSun"/>
                <w:noProof/>
                <w:szCs w:val="24"/>
                <w:u w:val="single"/>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EL, FR, HR, IE, LU, LV, MT, NL, PL, PT, SI, SE, UK</w:t>
            </w:r>
            <w:r>
              <w:rPr>
                <w:noProof/>
                <w:szCs w:val="24"/>
                <w:lang w:val="fr-CA"/>
              </w:rPr>
              <w:t> : 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tabs>
                <w:tab w:val="left" w:pos="279"/>
              </w:tabs>
              <w:spacing w:before="60" w:after="60" w:line="240" w:lineRule="auto"/>
              <w:rPr>
                <w:rFonts w:eastAsia="SimSun"/>
                <w:noProof/>
                <w:szCs w:val="24"/>
                <w:lang w:val="fr-CA"/>
              </w:rPr>
            </w:pPr>
            <w:r>
              <w:rPr>
                <w:b/>
                <w:noProof/>
                <w:szCs w:val="24"/>
                <w:lang w:val="fr-CA"/>
              </w:rPr>
              <w:t>BE</w:t>
            </w:r>
            <w:r>
              <w:rPr>
                <w:noProof/>
                <w:szCs w:val="24"/>
                <w:lang w:val="fr-CA"/>
              </w:rPr>
              <w:t xml:space="preserve">, </w:t>
            </w:r>
            <w:r>
              <w:rPr>
                <w:b/>
                <w:noProof/>
                <w:szCs w:val="24"/>
                <w:lang w:val="fr-CA"/>
              </w:rPr>
              <w:t>BG, CZ, DK, ES, IT, LT, RO, SK</w:t>
            </w:r>
            <w:r>
              <w:rPr>
                <w:noProof/>
                <w:szCs w:val="24"/>
                <w:lang w:val="fr-CA"/>
              </w:rPr>
              <w:t> : Examen des besoins économiques.</w:t>
            </w:r>
          </w:p>
          <w:p>
            <w:pPr>
              <w:tabs>
                <w:tab w:val="left" w:pos="290"/>
              </w:tabs>
              <w:spacing w:before="60" w:after="60" w:line="240" w:lineRule="auto"/>
              <w:rPr>
                <w:rFonts w:eastAsia="SimSun"/>
                <w:noProof/>
                <w:szCs w:val="24"/>
                <w:lang w:val="fr-CA"/>
              </w:rPr>
            </w:pPr>
            <w:r>
              <w:rPr>
                <w:b/>
                <w:noProof/>
                <w:szCs w:val="24"/>
                <w:lang w:val="fr-CA"/>
              </w:rPr>
              <w:t>AT</w:t>
            </w:r>
            <w:r>
              <w:rPr>
                <w:noProof/>
                <w:szCs w:val="24"/>
                <w:lang w:val="fr-CA"/>
              </w:rPr>
              <w:t> : Services de planification seulement, auquel cas : Examen des besoins économiques.</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 Examen des besoins économiques.</w:t>
            </w:r>
          </w:p>
          <w:p>
            <w:pPr>
              <w:tabs>
                <w:tab w:val="left" w:pos="279"/>
              </w:tabs>
              <w:spacing w:before="60" w:after="60" w:line="240" w:lineRule="auto"/>
              <w:rPr>
                <w:rFonts w:eastAsia="SimSun"/>
                <w:noProof/>
                <w:szCs w:val="24"/>
              </w:rPr>
            </w:pPr>
            <w:r>
              <w:rPr>
                <w:b/>
                <w:noProof/>
                <w:szCs w:val="24"/>
              </w:rPr>
              <w:t>CAN :</w:t>
            </w:r>
            <w:r>
              <w:rPr>
                <w:noProof/>
                <w:szCs w:val="24"/>
              </w:rPr>
              <w:t xml:space="preserve"> Néant.</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médicaux (y compris les psychologues) et dentaires</w:t>
            </w:r>
          </w:p>
          <w:p>
            <w:pPr>
              <w:spacing w:before="60" w:after="60" w:line="240" w:lineRule="auto"/>
              <w:rPr>
                <w:rFonts w:eastAsia="SimSun"/>
                <w:b/>
                <w:noProof/>
                <w:szCs w:val="24"/>
              </w:rPr>
            </w:pPr>
            <w:r>
              <w:rPr>
                <w:noProof/>
                <w:szCs w:val="24"/>
              </w:rPr>
              <w:t xml:space="preserve">(CPC 9312 et partie de 85201) </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b/>
                <w:noProof/>
                <w:color w:val="000000"/>
                <w:szCs w:val="24"/>
                <w:lang w:val="fr-CA"/>
              </w:rPr>
            </w:pPr>
            <w:r>
              <w:rPr>
                <w:b/>
                <w:noProof/>
                <w:color w:val="000000"/>
                <w:szCs w:val="24"/>
                <w:lang w:val="fr-CA"/>
              </w:rPr>
              <w:t>SE</w:t>
            </w:r>
            <w:r>
              <w:rPr>
                <w:noProof/>
                <w:color w:val="000000"/>
                <w:szCs w:val="24"/>
                <w:lang w:val="fr-CA"/>
              </w:rPr>
              <w:t> :</w:t>
            </w:r>
            <w:r>
              <w:rPr>
                <w:b/>
                <w:noProof/>
                <w:color w:val="000000"/>
                <w:szCs w:val="24"/>
                <w:lang w:val="fr-CA"/>
              </w:rPr>
              <w:t xml:space="preserve"> </w:t>
            </w:r>
            <w:r>
              <w:rPr>
                <w:noProof/>
                <w:color w:val="000000"/>
                <w:szCs w:val="24"/>
                <w:lang w:val="fr-CA"/>
              </w:rPr>
              <w:t>Néant.</w:t>
            </w:r>
          </w:p>
          <w:p>
            <w:pPr>
              <w:spacing w:before="60" w:after="60" w:line="240" w:lineRule="auto"/>
              <w:rPr>
                <w:rFonts w:eastAsia="SimSun"/>
                <w:noProof/>
                <w:spacing w:val="-2"/>
                <w:szCs w:val="24"/>
                <w:lang w:val="fr-CA"/>
              </w:rPr>
            </w:pPr>
            <w:r>
              <w:rPr>
                <w:b/>
                <w:noProof/>
                <w:color w:val="000000"/>
                <w:szCs w:val="24"/>
                <w:lang w:val="fr-CA"/>
              </w:rPr>
              <w:t>CY, CZ, DE, DK, EE, ES, IE, IT, LU, MT, NL, PL, PT, RO, SI</w:t>
            </w:r>
            <w:r>
              <w:rPr>
                <w:noProof/>
                <w:szCs w:val="24"/>
                <w:lang w:val="fr-CA"/>
              </w:rPr>
              <w:t> : Examen des besoins économiques.</w:t>
            </w:r>
          </w:p>
          <w:p>
            <w:pPr>
              <w:tabs>
                <w:tab w:val="left" w:pos="788"/>
              </w:tabs>
              <w:suppressAutoHyphens/>
              <w:spacing w:before="60" w:after="60" w:line="240" w:lineRule="auto"/>
              <w:rPr>
                <w:rFonts w:eastAsia="SimSun"/>
                <w:noProof/>
                <w:spacing w:val="-2"/>
                <w:szCs w:val="24"/>
                <w:lang w:val="fr-CA"/>
              </w:rPr>
            </w:pPr>
            <w:r>
              <w:rPr>
                <w:b/>
                <w:noProof/>
                <w:spacing w:val="-2"/>
                <w:szCs w:val="24"/>
                <w:lang w:val="fr-CA"/>
              </w:rPr>
              <w:t>FR :</w:t>
            </w:r>
            <w:r>
              <w:rPr>
                <w:noProof/>
                <w:szCs w:val="24"/>
                <w:lang w:val="fr-CA"/>
              </w:rPr>
              <w:t xml:space="preserve"> Examen des besoins économiques, sauf pour les psychologues, auquel cas : Non consolidé.</w:t>
            </w:r>
          </w:p>
          <w:p>
            <w:pPr>
              <w:tabs>
                <w:tab w:val="left" w:pos="788"/>
              </w:tabs>
              <w:suppressAutoHyphens/>
              <w:spacing w:before="60" w:after="60" w:line="240" w:lineRule="auto"/>
              <w:rPr>
                <w:rFonts w:eastAsia="SimSun"/>
                <w:noProof/>
                <w:spacing w:val="-2"/>
                <w:szCs w:val="24"/>
                <w:lang w:val="fr-CA"/>
              </w:rPr>
            </w:pPr>
            <w:r>
              <w:rPr>
                <w:b/>
                <w:noProof/>
                <w:spacing w:val="-2"/>
                <w:szCs w:val="24"/>
                <w:lang w:val="fr-CA"/>
              </w:rPr>
              <w:t>AT</w:t>
            </w:r>
            <w:r>
              <w:rPr>
                <w:noProof/>
                <w:szCs w:val="24"/>
                <w:lang w:val="fr-CA"/>
              </w:rPr>
              <w:t> : Non consolidé, sauf pour les psychologues et les services dentaires, auquel cas : Examen des besoins économiques.</w:t>
            </w:r>
          </w:p>
          <w:p>
            <w:pPr>
              <w:tabs>
                <w:tab w:val="left" w:pos="788"/>
              </w:tabs>
              <w:suppressAutoHyphens/>
              <w:spacing w:before="60" w:after="60" w:line="240" w:lineRule="auto"/>
              <w:rPr>
                <w:rFonts w:eastAsia="SimSun"/>
                <w:noProof/>
                <w:spacing w:val="-2"/>
                <w:szCs w:val="24"/>
                <w:lang w:val="fr-CA"/>
              </w:rPr>
            </w:pPr>
            <w:r>
              <w:rPr>
                <w:b/>
                <w:noProof/>
                <w:color w:val="000000"/>
                <w:szCs w:val="24"/>
                <w:lang w:val="fr-CA"/>
              </w:rPr>
              <w:t xml:space="preserve">BE, </w:t>
            </w:r>
            <w:r>
              <w:rPr>
                <w:b/>
                <w:noProof/>
                <w:spacing w:val="-2"/>
                <w:szCs w:val="24"/>
                <w:lang w:val="fr-CA"/>
              </w:rPr>
              <w:t>BG, EL, FI, HR, HU, LT, LV, SK, UK</w:t>
            </w:r>
            <w:r>
              <w:rPr>
                <w:noProof/>
                <w:szCs w:val="24"/>
                <w:lang w:val="fr-CA"/>
              </w:rPr>
              <w:t xml:space="preserve"> : Non consolidé. </w:t>
            </w:r>
          </w:p>
          <w:p>
            <w:pPr>
              <w:spacing w:before="60" w:after="60" w:line="240" w:lineRule="auto"/>
              <w:rPr>
                <w:rFonts w:eastAsia="SimSun"/>
                <w:noProof/>
                <w:szCs w:val="24"/>
                <w:lang w:val="it-IT"/>
              </w:rPr>
            </w:pPr>
            <w:r>
              <w:rPr>
                <w:b/>
                <w:noProof/>
                <w:spacing w:val="-2"/>
                <w:szCs w:val="24"/>
                <w:lang w:val="it-IT"/>
              </w:rPr>
              <w:t>CAN :</w:t>
            </w:r>
            <w:r>
              <w:rPr>
                <w:noProof/>
                <w:spacing w:val="-2"/>
                <w:szCs w:val="24"/>
                <w:lang w:val="it-IT"/>
              </w:rPr>
              <w:t xml:space="preserve"> Non consolidé. </w:t>
            </w:r>
          </w:p>
          <w:p>
            <w:pPr>
              <w:spacing w:before="60" w:after="60" w:line="240" w:lineRule="auto"/>
              <w:rPr>
                <w:rFonts w:eastAsia="SimSun"/>
                <w:noProof/>
                <w:szCs w:val="24"/>
                <w:lang w:val="it-IT"/>
              </w:rPr>
            </w:pPr>
          </w:p>
          <w:p>
            <w:pPr>
              <w:spacing w:before="60" w:after="60" w:line="240" w:lineRule="auto"/>
              <w:rPr>
                <w:rFonts w:eastAsia="SimSun"/>
                <w:noProof/>
                <w:szCs w:val="24"/>
                <w:lang w:val="it-IT"/>
              </w:rPr>
            </w:pPr>
            <w:r>
              <w:rPr>
                <w:noProof/>
                <w:szCs w:val="24"/>
                <w:u w:val="single"/>
                <w:lang w:val="it-IT"/>
              </w:rPr>
              <w:t>PI</w:t>
            </w:r>
            <w:r>
              <w:rPr>
                <w:noProof/>
                <w:szCs w:val="24"/>
                <w:lang w:val="it-IT"/>
              </w:rPr>
              <w:t> :</w:t>
            </w:r>
          </w:p>
          <w:p>
            <w:pPr>
              <w:spacing w:before="60" w:after="60" w:line="240" w:lineRule="auto"/>
              <w:rPr>
                <w:rFonts w:eastAsia="SimSun"/>
                <w:noProof/>
                <w:szCs w:val="24"/>
                <w:lang w:val="it-IT"/>
              </w:rPr>
            </w:pPr>
            <w:r>
              <w:rPr>
                <w:b/>
                <w:noProof/>
                <w:szCs w:val="24"/>
                <w:lang w:val="it-IT"/>
              </w:rPr>
              <w:t>UE :</w:t>
            </w:r>
            <w:r>
              <w:rPr>
                <w:noProof/>
                <w:szCs w:val="24"/>
                <w:lang w:val="it-IT"/>
              </w:rPr>
              <w:t xml:space="preserve"> Non consolidé.</w:t>
            </w:r>
          </w:p>
          <w:p>
            <w:pPr>
              <w:spacing w:before="60" w:after="60" w:line="240" w:lineRule="auto"/>
              <w:rPr>
                <w:rFonts w:eastAsia="SimSun"/>
                <w:noProof/>
                <w:spacing w:val="-2"/>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rPr>
            </w:pPr>
            <w:r>
              <w:rPr>
                <w:b/>
                <w:noProof/>
                <w:szCs w:val="24"/>
              </w:rPr>
              <w:t>Services vétérinaires</w:t>
            </w:r>
          </w:p>
          <w:p>
            <w:pPr>
              <w:spacing w:before="60" w:after="60" w:line="240" w:lineRule="auto"/>
              <w:rPr>
                <w:rFonts w:eastAsia="SimSun"/>
                <w:b/>
                <w:noProof/>
                <w:szCs w:val="24"/>
              </w:rPr>
            </w:pPr>
            <w:r>
              <w:rPr>
                <w:noProof/>
                <w:szCs w:val="24"/>
              </w:rPr>
              <w:t>(CPC 932)</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color w:val="000000"/>
                <w:szCs w:val="24"/>
              </w:rPr>
            </w:pPr>
            <w:r>
              <w:rPr>
                <w:b/>
                <w:noProof/>
                <w:color w:val="000000"/>
                <w:szCs w:val="24"/>
              </w:rPr>
              <w:t>SE</w:t>
            </w:r>
            <w:r>
              <w:rPr>
                <w:noProof/>
                <w:color w:val="000000"/>
                <w:szCs w:val="24"/>
              </w:rPr>
              <w:t> : Néant.</w:t>
            </w:r>
          </w:p>
          <w:p>
            <w:pPr>
              <w:spacing w:before="60" w:after="60" w:line="240" w:lineRule="auto"/>
              <w:rPr>
                <w:rFonts w:eastAsia="SimSun"/>
                <w:noProof/>
                <w:spacing w:val="-2"/>
                <w:szCs w:val="24"/>
              </w:rPr>
            </w:pPr>
            <w:r>
              <w:rPr>
                <w:b/>
                <w:noProof/>
                <w:color w:val="000000"/>
                <w:szCs w:val="24"/>
              </w:rPr>
              <w:t>CY, CZ, DE, DK, EE, EL, ES, FI, FR, IE, IT, LT, LU, MT, NL, PL, PT, RO, SI :</w:t>
            </w:r>
            <w:r>
              <w:rPr>
                <w:noProof/>
                <w:szCs w:val="24"/>
              </w:rPr>
              <w:t xml:space="preserve"> Examen des besoins économiques. </w:t>
            </w:r>
          </w:p>
          <w:p>
            <w:pPr>
              <w:spacing w:before="60" w:after="60" w:line="240" w:lineRule="auto"/>
              <w:rPr>
                <w:rFonts w:eastAsia="SimSun"/>
                <w:noProof/>
                <w:spacing w:val="-2"/>
                <w:szCs w:val="24"/>
                <w:lang w:val="en-US"/>
              </w:rPr>
            </w:pPr>
            <w:r>
              <w:rPr>
                <w:b/>
                <w:noProof/>
                <w:spacing w:val="-2"/>
                <w:szCs w:val="24"/>
                <w:lang w:val="en-US"/>
              </w:rPr>
              <w:t xml:space="preserve">AT, </w:t>
            </w:r>
            <w:r>
              <w:rPr>
                <w:b/>
                <w:noProof/>
                <w:color w:val="000000"/>
                <w:szCs w:val="24"/>
                <w:lang w:val="en-US"/>
              </w:rPr>
              <w:t xml:space="preserve">BE, </w:t>
            </w:r>
            <w:r>
              <w:rPr>
                <w:b/>
                <w:noProof/>
                <w:spacing w:val="-2"/>
                <w:szCs w:val="24"/>
                <w:lang w:val="en-US"/>
              </w:rPr>
              <w:t>BG, HR, HU, LV, SK, UK :</w:t>
            </w:r>
            <w:r>
              <w:rPr>
                <w:noProof/>
                <w:szCs w:val="24"/>
                <w:lang w:val="en-US"/>
              </w:rPr>
              <w:t xml:space="preserve"> Non consolidé. </w:t>
            </w:r>
          </w:p>
          <w:p>
            <w:pPr>
              <w:spacing w:before="60" w:after="60" w:line="240" w:lineRule="auto"/>
              <w:rPr>
                <w:rFonts w:eastAsia="SimSun"/>
                <w:noProof/>
                <w:szCs w:val="24"/>
                <w:lang w:val="it-IT"/>
              </w:rPr>
            </w:pPr>
            <w:r>
              <w:rPr>
                <w:b/>
                <w:noProof/>
                <w:spacing w:val="-2"/>
                <w:szCs w:val="24"/>
                <w:lang w:val="it-IT"/>
              </w:rPr>
              <w:t>CAN</w:t>
            </w:r>
            <w:r>
              <w:rPr>
                <w:noProof/>
                <w:spacing w:val="-2"/>
                <w:szCs w:val="24"/>
                <w:lang w:val="it-IT"/>
              </w:rPr>
              <w:t xml:space="preserve"> : Non consolidé. </w:t>
            </w:r>
          </w:p>
          <w:p>
            <w:pPr>
              <w:spacing w:before="60" w:after="60" w:line="240" w:lineRule="auto"/>
              <w:rPr>
                <w:rFonts w:eastAsia="SimSun"/>
                <w:noProof/>
                <w:szCs w:val="24"/>
                <w:lang w:val="it-IT"/>
              </w:rPr>
            </w:pPr>
          </w:p>
          <w:p>
            <w:pPr>
              <w:spacing w:before="60" w:after="60" w:line="240" w:lineRule="auto"/>
              <w:rPr>
                <w:rFonts w:eastAsia="SimSun"/>
                <w:noProof/>
                <w:szCs w:val="24"/>
                <w:lang w:val="it-IT"/>
              </w:rPr>
            </w:pPr>
            <w:r>
              <w:rPr>
                <w:noProof/>
                <w:szCs w:val="24"/>
                <w:u w:val="single"/>
                <w:lang w:val="it-IT"/>
              </w:rPr>
              <w:t>PI</w:t>
            </w:r>
            <w:r>
              <w:rPr>
                <w:noProof/>
                <w:szCs w:val="24"/>
                <w:lang w:val="it-IT"/>
              </w:rPr>
              <w:t> :</w:t>
            </w:r>
          </w:p>
          <w:p>
            <w:pPr>
              <w:spacing w:before="60" w:after="60" w:line="240" w:lineRule="auto"/>
              <w:rPr>
                <w:rFonts w:eastAsia="SimSun"/>
                <w:noProof/>
                <w:szCs w:val="24"/>
                <w:lang w:val="it-IT"/>
              </w:rPr>
            </w:pPr>
            <w:r>
              <w:rPr>
                <w:b/>
                <w:noProof/>
                <w:szCs w:val="24"/>
                <w:lang w:val="it-IT"/>
              </w:rPr>
              <w:t>UE :</w:t>
            </w:r>
            <w:r>
              <w:rPr>
                <w:noProof/>
                <w:szCs w:val="24"/>
                <w:lang w:val="it-IT"/>
              </w:rPr>
              <w:t xml:space="preserve"> Non consolidé.</w:t>
            </w:r>
          </w:p>
          <w:p>
            <w:pPr>
              <w:spacing w:before="60" w:after="60" w:line="240" w:lineRule="auto"/>
              <w:rPr>
                <w:rFonts w:eastAsia="SimSun"/>
                <w:noProof/>
                <w:spacing w:val="-2"/>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Services de sages</w:t>
            </w:r>
            <w:r>
              <w:rPr>
                <w:b/>
                <w:noProof/>
                <w:szCs w:val="24"/>
                <w:lang w:val="fr-CA"/>
              </w:rPr>
              <w:noBreakHyphen/>
              <w:t>femmes</w:t>
            </w:r>
          </w:p>
          <w:p>
            <w:pPr>
              <w:spacing w:before="60" w:after="60" w:line="240" w:lineRule="auto"/>
              <w:rPr>
                <w:rFonts w:eastAsia="SimSun"/>
                <w:noProof/>
                <w:szCs w:val="24"/>
                <w:lang w:val="fr-CA"/>
              </w:rPr>
            </w:pPr>
            <w:r>
              <w:rPr>
                <w:noProof/>
                <w:szCs w:val="24"/>
                <w:lang w:val="fr-CA"/>
              </w:rPr>
              <w:t>(partie de CPC 93191)</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b/>
                <w:noProof/>
                <w:color w:val="000000"/>
                <w:szCs w:val="24"/>
                <w:lang w:val="fr-CA"/>
              </w:rPr>
            </w:pPr>
            <w:r>
              <w:rPr>
                <w:b/>
                <w:noProof/>
                <w:color w:val="000000"/>
                <w:szCs w:val="24"/>
                <w:lang w:val="fr-CA"/>
              </w:rPr>
              <w:t>SE</w:t>
            </w:r>
            <w:r>
              <w:rPr>
                <w:noProof/>
                <w:szCs w:val="24"/>
                <w:lang w:val="fr-CA"/>
              </w:rPr>
              <w:t> :</w:t>
            </w:r>
            <w:r>
              <w:rPr>
                <w:b/>
                <w:noProof/>
                <w:color w:val="000000"/>
                <w:szCs w:val="24"/>
                <w:lang w:val="fr-CA"/>
              </w:rPr>
              <w:t xml:space="preserve"> </w:t>
            </w:r>
            <w:r>
              <w:rPr>
                <w:noProof/>
                <w:color w:val="000000"/>
                <w:szCs w:val="24"/>
                <w:lang w:val="fr-CA"/>
              </w:rPr>
              <w:t>Néant.</w:t>
            </w:r>
          </w:p>
          <w:p>
            <w:pPr>
              <w:spacing w:before="60" w:after="60" w:line="240" w:lineRule="auto"/>
              <w:rPr>
                <w:rFonts w:eastAsia="SimSun"/>
                <w:noProof/>
                <w:spacing w:val="-2"/>
                <w:szCs w:val="24"/>
                <w:lang w:val="fr-CA"/>
              </w:rPr>
            </w:pPr>
            <w:r>
              <w:rPr>
                <w:b/>
                <w:noProof/>
                <w:color w:val="000000"/>
                <w:szCs w:val="24"/>
                <w:lang w:val="fr-CA"/>
              </w:rPr>
              <w:t>AT, CY, CZ, DE, DK, EE, EL, ES, FR, IE, IT, LT, LV, LU, MT, NL, PL, PT, RO, SI :</w:t>
            </w:r>
            <w:r>
              <w:rPr>
                <w:b/>
                <w:noProof/>
                <w:spacing w:val="-2"/>
                <w:szCs w:val="24"/>
                <w:lang w:val="fr-CA"/>
              </w:rPr>
              <w:t xml:space="preserve"> </w:t>
            </w:r>
            <w:r>
              <w:rPr>
                <w:noProof/>
                <w:spacing w:val="-2"/>
                <w:szCs w:val="24"/>
                <w:lang w:val="fr-CA"/>
              </w:rPr>
              <w:t>E</w:t>
            </w:r>
            <w:r>
              <w:rPr>
                <w:noProof/>
                <w:szCs w:val="24"/>
                <w:lang w:val="fr-CA"/>
              </w:rPr>
              <w:t>xamen des besoins économiques.</w:t>
            </w:r>
          </w:p>
          <w:p>
            <w:pPr>
              <w:tabs>
                <w:tab w:val="left" w:pos="788"/>
              </w:tabs>
              <w:suppressAutoHyphens/>
              <w:spacing w:before="60" w:after="60" w:line="240" w:lineRule="auto"/>
              <w:rPr>
                <w:rFonts w:eastAsia="SimSun"/>
                <w:noProof/>
                <w:spacing w:val="-2"/>
                <w:szCs w:val="24"/>
                <w:lang w:val="fr-CA"/>
              </w:rPr>
            </w:pPr>
            <w:r>
              <w:rPr>
                <w:b/>
                <w:noProof/>
                <w:color w:val="000000"/>
                <w:szCs w:val="24"/>
                <w:lang w:val="fr-CA"/>
              </w:rPr>
              <w:t xml:space="preserve">BE, </w:t>
            </w:r>
            <w:r>
              <w:rPr>
                <w:b/>
                <w:noProof/>
                <w:spacing w:val="-2"/>
                <w:szCs w:val="24"/>
                <w:lang w:val="fr-CA"/>
              </w:rPr>
              <w:t>BG, FI, HR, HU, SK, UK :</w:t>
            </w:r>
            <w:r>
              <w:rPr>
                <w:noProof/>
                <w:szCs w:val="24"/>
                <w:lang w:val="fr-CA"/>
              </w:rPr>
              <w:t xml:space="preserve"> Non consolidé. </w:t>
            </w:r>
          </w:p>
          <w:p>
            <w:pPr>
              <w:spacing w:before="60" w:after="60" w:line="240" w:lineRule="auto"/>
              <w:rPr>
                <w:rFonts w:eastAsia="SimSun"/>
                <w:noProof/>
                <w:szCs w:val="24"/>
                <w:lang w:val="it-IT"/>
              </w:rPr>
            </w:pPr>
            <w:r>
              <w:rPr>
                <w:b/>
                <w:noProof/>
                <w:spacing w:val="-2"/>
                <w:szCs w:val="24"/>
                <w:lang w:val="it-IT"/>
              </w:rPr>
              <w:t>CAN :</w:t>
            </w:r>
            <w:r>
              <w:rPr>
                <w:noProof/>
                <w:spacing w:val="-2"/>
                <w:szCs w:val="24"/>
                <w:lang w:val="it-IT"/>
              </w:rPr>
              <w:t xml:space="preserve"> Non consolidé. </w:t>
            </w:r>
          </w:p>
          <w:p>
            <w:pPr>
              <w:spacing w:before="60" w:after="60" w:line="240" w:lineRule="auto"/>
              <w:rPr>
                <w:rFonts w:eastAsia="SimSun"/>
                <w:noProof/>
                <w:szCs w:val="24"/>
                <w:lang w:val="it-IT"/>
              </w:rPr>
            </w:pPr>
          </w:p>
          <w:p>
            <w:pPr>
              <w:spacing w:before="60" w:after="60" w:line="240" w:lineRule="auto"/>
              <w:rPr>
                <w:rFonts w:eastAsia="SimSun"/>
                <w:noProof/>
                <w:szCs w:val="24"/>
                <w:lang w:val="it-IT"/>
              </w:rPr>
            </w:pPr>
            <w:r>
              <w:rPr>
                <w:noProof/>
                <w:szCs w:val="24"/>
                <w:u w:val="single"/>
                <w:lang w:val="it-IT"/>
              </w:rPr>
              <w:t>PI</w:t>
            </w:r>
            <w:r>
              <w:rPr>
                <w:noProof/>
                <w:szCs w:val="24"/>
                <w:lang w:val="it-IT"/>
              </w:rPr>
              <w:t> :</w:t>
            </w:r>
          </w:p>
          <w:p>
            <w:pPr>
              <w:spacing w:before="60" w:after="60" w:line="240" w:lineRule="auto"/>
              <w:rPr>
                <w:rFonts w:eastAsia="SimSun"/>
                <w:noProof/>
                <w:szCs w:val="24"/>
                <w:lang w:val="it-IT"/>
              </w:rPr>
            </w:pPr>
            <w:r>
              <w:rPr>
                <w:b/>
                <w:noProof/>
                <w:szCs w:val="24"/>
                <w:lang w:val="it-IT"/>
              </w:rPr>
              <w:t>UE :</w:t>
            </w:r>
            <w:r>
              <w:rPr>
                <w:noProof/>
                <w:szCs w:val="24"/>
                <w:lang w:val="it-IT"/>
              </w:rPr>
              <w:t xml:space="preserve"> Non consolidé.</w:t>
            </w:r>
          </w:p>
          <w:p>
            <w:pPr>
              <w:spacing w:before="60" w:after="60" w:line="240" w:lineRule="auto"/>
              <w:rPr>
                <w:rFonts w:eastAsia="SimSun"/>
                <w:noProof/>
                <w:spacing w:val="-2"/>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du personnel infirmier, des physiothérapeutes et du personnel paramédical</w:t>
            </w:r>
          </w:p>
          <w:p>
            <w:pPr>
              <w:spacing w:before="60" w:after="60" w:line="240" w:lineRule="auto"/>
              <w:rPr>
                <w:rFonts w:eastAsia="SimSun"/>
                <w:noProof/>
                <w:szCs w:val="24"/>
              </w:rPr>
            </w:pPr>
            <w:r>
              <w:rPr>
                <w:noProof/>
                <w:szCs w:val="24"/>
              </w:rPr>
              <w:t>(partie de CPC 93191)</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tabs>
                <w:tab w:val="left" w:pos="788"/>
              </w:tabs>
              <w:suppressAutoHyphens/>
              <w:spacing w:before="60" w:after="60" w:line="240" w:lineRule="auto"/>
              <w:rPr>
                <w:rFonts w:eastAsia="SimSun"/>
                <w:noProof/>
                <w:color w:val="000000"/>
                <w:szCs w:val="24"/>
              </w:rPr>
            </w:pPr>
            <w:r>
              <w:rPr>
                <w:b/>
                <w:noProof/>
                <w:color w:val="000000"/>
                <w:szCs w:val="24"/>
              </w:rPr>
              <w:t>SE</w:t>
            </w:r>
            <w:r>
              <w:rPr>
                <w:noProof/>
                <w:color w:val="000000"/>
                <w:szCs w:val="24"/>
              </w:rPr>
              <w:t> : Néant.</w:t>
            </w:r>
          </w:p>
          <w:p>
            <w:pPr>
              <w:spacing w:before="60" w:after="60" w:line="240" w:lineRule="auto"/>
              <w:rPr>
                <w:rFonts w:eastAsia="SimSun"/>
                <w:noProof/>
                <w:spacing w:val="-2"/>
                <w:szCs w:val="24"/>
              </w:rPr>
            </w:pPr>
            <w:r>
              <w:rPr>
                <w:b/>
                <w:noProof/>
                <w:color w:val="000000"/>
                <w:szCs w:val="24"/>
              </w:rPr>
              <w:t>AT, CY, CZ, DE, DK, EE, EL, ES, FR, IE, IT, LT, LV, LU, MT, NL, PL, PT, RO, SI</w:t>
            </w:r>
            <w:r>
              <w:rPr>
                <w:noProof/>
                <w:szCs w:val="24"/>
              </w:rPr>
              <w:t> : Examen des besoins économiques.</w:t>
            </w:r>
          </w:p>
          <w:p>
            <w:pPr>
              <w:tabs>
                <w:tab w:val="left" w:pos="788"/>
              </w:tabs>
              <w:suppressAutoHyphens/>
              <w:spacing w:before="60" w:after="60" w:line="240" w:lineRule="auto"/>
              <w:rPr>
                <w:rFonts w:eastAsia="SimSun"/>
                <w:noProof/>
                <w:spacing w:val="-2"/>
                <w:szCs w:val="24"/>
              </w:rPr>
            </w:pPr>
            <w:r>
              <w:rPr>
                <w:b/>
                <w:noProof/>
                <w:color w:val="000000"/>
                <w:szCs w:val="24"/>
              </w:rPr>
              <w:t xml:space="preserve">BE, </w:t>
            </w:r>
            <w:r>
              <w:rPr>
                <w:b/>
                <w:noProof/>
                <w:spacing w:val="-2"/>
                <w:szCs w:val="24"/>
              </w:rPr>
              <w:t>BG, FI, HR, HU, SK, UK :</w:t>
            </w:r>
            <w:r>
              <w:rPr>
                <w:noProof/>
                <w:szCs w:val="24"/>
              </w:rPr>
              <w:t xml:space="preserve"> Non consolidé. </w:t>
            </w:r>
          </w:p>
          <w:p>
            <w:pPr>
              <w:spacing w:before="60" w:after="60" w:line="240" w:lineRule="auto"/>
              <w:rPr>
                <w:rFonts w:eastAsia="SimSun"/>
                <w:noProof/>
                <w:szCs w:val="24"/>
                <w:lang w:val="it-IT"/>
              </w:rPr>
            </w:pPr>
            <w:r>
              <w:rPr>
                <w:b/>
                <w:noProof/>
                <w:spacing w:val="-2"/>
                <w:szCs w:val="24"/>
                <w:lang w:val="it-IT"/>
              </w:rPr>
              <w:t>CAN</w:t>
            </w:r>
            <w:r>
              <w:rPr>
                <w:noProof/>
                <w:spacing w:val="-2"/>
                <w:szCs w:val="24"/>
                <w:lang w:val="it-IT"/>
              </w:rPr>
              <w:t xml:space="preserve"> : Non consolidé. </w:t>
            </w:r>
          </w:p>
          <w:p>
            <w:pPr>
              <w:spacing w:before="60" w:after="60" w:line="240" w:lineRule="auto"/>
              <w:rPr>
                <w:rFonts w:eastAsia="SimSun"/>
                <w:noProof/>
                <w:szCs w:val="24"/>
                <w:lang w:val="it-IT"/>
              </w:rPr>
            </w:pPr>
          </w:p>
          <w:p>
            <w:pPr>
              <w:spacing w:before="60" w:after="60" w:line="240" w:lineRule="auto"/>
              <w:rPr>
                <w:rFonts w:eastAsia="SimSun"/>
                <w:noProof/>
                <w:szCs w:val="24"/>
                <w:lang w:val="it-IT"/>
              </w:rPr>
            </w:pPr>
            <w:r>
              <w:rPr>
                <w:noProof/>
                <w:szCs w:val="24"/>
                <w:u w:val="single"/>
                <w:lang w:val="it-IT"/>
              </w:rPr>
              <w:t>PI</w:t>
            </w:r>
            <w:r>
              <w:rPr>
                <w:noProof/>
                <w:szCs w:val="24"/>
                <w:lang w:val="it-IT"/>
              </w:rPr>
              <w:t> :</w:t>
            </w:r>
          </w:p>
          <w:p>
            <w:pPr>
              <w:spacing w:before="60" w:after="60" w:line="240" w:lineRule="auto"/>
              <w:rPr>
                <w:rFonts w:eastAsia="SimSun"/>
                <w:noProof/>
                <w:szCs w:val="24"/>
                <w:lang w:val="it-IT"/>
              </w:rPr>
            </w:pPr>
            <w:r>
              <w:rPr>
                <w:b/>
                <w:noProof/>
                <w:szCs w:val="24"/>
                <w:lang w:val="it-IT"/>
              </w:rPr>
              <w:t>UE :</w:t>
            </w:r>
            <w:r>
              <w:rPr>
                <w:noProof/>
                <w:szCs w:val="24"/>
                <w:lang w:val="it-IT"/>
              </w:rPr>
              <w:t xml:space="preserve"> Non consolidé.</w:t>
            </w:r>
          </w:p>
          <w:p>
            <w:pPr>
              <w:spacing w:before="60" w:after="60" w:line="240" w:lineRule="auto"/>
              <w:rPr>
                <w:rFonts w:eastAsia="SimSun"/>
                <w:noProof/>
                <w:spacing w:val="-2"/>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informatiques et services connexes</w:t>
            </w:r>
          </w:p>
          <w:p>
            <w:pPr>
              <w:spacing w:before="60" w:after="60" w:line="240" w:lineRule="auto"/>
              <w:rPr>
                <w:rFonts w:eastAsia="SimSun"/>
                <w:noProof/>
                <w:szCs w:val="24"/>
                <w:lang w:val="fr-CA"/>
              </w:rPr>
            </w:pPr>
            <w:r>
              <w:rPr>
                <w:noProof/>
                <w:szCs w:val="24"/>
                <w:lang w:val="fr-CA"/>
              </w:rPr>
              <w:t>(CPC 84)</w:t>
            </w:r>
          </w:p>
        </w:tc>
        <w:tc>
          <w:tcPr>
            <w:tcW w:w="6946" w:type="dxa"/>
            <w:shd w:val="clear" w:color="auto" w:fill="FFFFFF"/>
          </w:tcPr>
          <w:p>
            <w:pPr>
              <w:tabs>
                <w:tab w:val="left" w:pos="317"/>
              </w:tabs>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79"/>
              </w:tabs>
              <w:spacing w:before="60" w:after="60" w:line="240" w:lineRule="auto"/>
              <w:rPr>
                <w:rFonts w:eastAsia="SimSun"/>
                <w:noProof/>
                <w:color w:val="000000"/>
                <w:szCs w:val="24"/>
                <w:lang w:val="es-ES"/>
              </w:rPr>
            </w:pPr>
            <w:r>
              <w:rPr>
                <w:b/>
                <w:noProof/>
                <w:szCs w:val="24"/>
                <w:lang w:val="es-ES"/>
              </w:rPr>
              <w:t xml:space="preserve">BE, </w:t>
            </w:r>
            <w:r>
              <w:rPr>
                <w:b/>
                <w:noProof/>
                <w:color w:val="000000"/>
                <w:szCs w:val="24"/>
                <w:lang w:val="es-ES"/>
              </w:rPr>
              <w:t xml:space="preserve">CY, DE, EE, EL, ES, FR, HR, IE, IT, LU, LV, MT, NL, PL, PT, SI, SE, UK : </w:t>
            </w:r>
            <w:r>
              <w:rPr>
                <w:noProof/>
                <w:color w:val="000000"/>
                <w:szCs w:val="24"/>
                <w:lang w:val="es-ES"/>
              </w:rPr>
              <w:t>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tabs>
                <w:tab w:val="left" w:pos="279"/>
              </w:tabs>
              <w:spacing w:before="60" w:after="60" w:line="240" w:lineRule="auto"/>
              <w:rPr>
                <w:rFonts w:eastAsia="SimSun"/>
                <w:noProof/>
                <w:color w:val="000000"/>
                <w:szCs w:val="24"/>
                <w:lang w:val="fr-CA"/>
              </w:rPr>
            </w:pPr>
            <w:r>
              <w:rPr>
                <w:b/>
                <w:noProof/>
                <w:color w:val="000000"/>
                <w:szCs w:val="24"/>
                <w:lang w:val="fr-CA"/>
              </w:rPr>
              <w:t xml:space="preserve">AT, BG, CZ, HU, LT, RO, SK : </w:t>
            </w:r>
            <w:r>
              <w:rPr>
                <w:noProof/>
                <w:color w:val="000000"/>
                <w:szCs w:val="24"/>
                <w:lang w:val="fr-CA"/>
              </w:rPr>
              <w:t>Examen des besoins économiques.</w:t>
            </w:r>
          </w:p>
          <w:p>
            <w:pPr>
              <w:tabs>
                <w:tab w:val="left" w:pos="279"/>
              </w:tabs>
              <w:spacing w:before="60" w:after="60" w:line="240" w:lineRule="auto"/>
              <w:rPr>
                <w:rFonts w:eastAsia="SimSun"/>
                <w:noProof/>
                <w:color w:val="000000"/>
                <w:szCs w:val="24"/>
                <w:lang w:val="fr-CA"/>
              </w:rPr>
            </w:pPr>
            <w:r>
              <w:rPr>
                <w:b/>
                <w:noProof/>
                <w:color w:val="000000"/>
                <w:szCs w:val="24"/>
                <w:lang w:val="fr-CA"/>
              </w:rPr>
              <w:t xml:space="preserve">DK : </w:t>
            </w:r>
            <w:r>
              <w:rPr>
                <w:noProof/>
                <w:color w:val="000000"/>
                <w:szCs w:val="24"/>
                <w:lang w:val="fr-CA"/>
              </w:rPr>
              <w:t xml:space="preserve">Examen des besoins économiques, sauf pour les séjours des FSC d’au plus trois mois. </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xml:space="preserve"> : </w:t>
            </w:r>
            <w:r>
              <w:rPr>
                <w:noProof/>
                <w:color w:val="000000"/>
                <w:szCs w:val="24"/>
                <w:lang w:val="fr-CA"/>
              </w:rPr>
              <w:t>Néant</w:t>
            </w:r>
            <w:r>
              <w:rPr>
                <w:noProof/>
                <w:szCs w:val="24"/>
                <w:lang w:val="fr-CA"/>
              </w:rPr>
              <w:t>.</w:t>
            </w:r>
          </w:p>
          <w:p>
            <w:pPr>
              <w:tabs>
                <w:tab w:val="left" w:pos="279"/>
              </w:tabs>
              <w:spacing w:before="60" w:after="60" w:line="240" w:lineRule="auto"/>
              <w:rPr>
                <w:rFonts w:eastAsia="SimSun"/>
                <w:noProof/>
                <w:szCs w:val="24"/>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color w:val="000000"/>
                <w:szCs w:val="24"/>
                <w:lang w:val="fr-CA"/>
              </w:rPr>
            </w:pPr>
            <w:r>
              <w:rPr>
                <w:b/>
                <w:noProof/>
                <w:color w:val="000000"/>
                <w:szCs w:val="24"/>
                <w:lang w:val="fr-CA"/>
              </w:rPr>
              <w:t xml:space="preserve">CY, DE, EE, EL, FR, IE, LU, LV, MT, NL, PL, PT, SI, SE, UK : </w:t>
            </w:r>
            <w:r>
              <w:rPr>
                <w:noProof/>
                <w:color w:val="000000"/>
                <w:szCs w:val="24"/>
                <w:lang w:val="fr-CA"/>
              </w:rPr>
              <w:t>Néant.</w:t>
            </w:r>
          </w:p>
          <w:p>
            <w:pPr>
              <w:tabs>
                <w:tab w:val="left" w:pos="279"/>
              </w:tabs>
              <w:spacing w:before="60" w:after="60" w:line="240" w:lineRule="auto"/>
              <w:rPr>
                <w:rFonts w:eastAsia="SimSun"/>
                <w:noProof/>
                <w:szCs w:val="24"/>
                <w:lang w:val="fr-CA"/>
              </w:rPr>
            </w:pPr>
            <w:r>
              <w:rPr>
                <w:b/>
                <w:noProof/>
                <w:szCs w:val="24"/>
                <w:lang w:val="fr-CA"/>
              </w:rPr>
              <w:t>FI</w:t>
            </w:r>
            <w:r>
              <w:rPr>
                <w:noProof/>
                <w:szCs w:val="24"/>
                <w:lang w:val="fr-CA"/>
              </w:rPr>
              <w:t> : Néant, sauf : La personne physique doit démontrer qu’elle possède les connaissances spécialisées pertinentes pour le service fourni.</w:t>
            </w:r>
          </w:p>
          <w:p>
            <w:pPr>
              <w:tabs>
                <w:tab w:val="left" w:pos="279"/>
              </w:tabs>
              <w:spacing w:before="60" w:after="60" w:line="240" w:lineRule="auto"/>
              <w:rPr>
                <w:rFonts w:eastAsia="SimSun"/>
                <w:noProof/>
                <w:color w:val="000000"/>
                <w:szCs w:val="24"/>
                <w:lang w:val="fr-CA"/>
              </w:rPr>
            </w:pPr>
            <w:r>
              <w:rPr>
                <w:b/>
                <w:noProof/>
                <w:color w:val="000000"/>
                <w:szCs w:val="24"/>
                <w:lang w:val="fr-CA"/>
              </w:rPr>
              <w:t xml:space="preserve">AT, BE, BG, CZ, DK, ES, HU, IT, LT, RO, SK : </w:t>
            </w:r>
            <w:r>
              <w:rPr>
                <w:noProof/>
                <w:color w:val="000000"/>
                <w:szCs w:val="24"/>
                <w:lang w:val="fr-CA"/>
              </w:rPr>
              <w:t>Examen des besoins économiques.</w:t>
            </w:r>
          </w:p>
          <w:p>
            <w:pPr>
              <w:tabs>
                <w:tab w:val="left" w:pos="279"/>
              </w:tabs>
              <w:spacing w:before="60" w:after="60" w:line="240" w:lineRule="auto"/>
              <w:rPr>
                <w:rFonts w:eastAsia="SimSun"/>
                <w:noProof/>
                <w:color w:val="000000"/>
                <w:szCs w:val="24"/>
                <w:lang w:val="fr-CA"/>
              </w:rPr>
            </w:pPr>
            <w:r>
              <w:rPr>
                <w:b/>
                <w:noProof/>
                <w:color w:val="000000"/>
                <w:szCs w:val="24"/>
                <w:lang w:val="fr-CA"/>
              </w:rPr>
              <w:t>HR</w:t>
            </w:r>
            <w:r>
              <w:rPr>
                <w:noProof/>
                <w:color w:val="000000"/>
                <w:szCs w:val="24"/>
                <w:lang w:val="fr-CA"/>
              </w:rPr>
              <w:t> : Non consolidé.</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xml:space="preserve"> : </w:t>
            </w:r>
            <w:r>
              <w:rPr>
                <w:noProof/>
                <w:color w:val="000000"/>
                <w:szCs w:val="24"/>
                <w:lang w:val="fr-CA"/>
              </w:rPr>
              <w:t>Néant</w:t>
            </w:r>
            <w:r>
              <w:rPr>
                <w:noProof/>
                <w:szCs w:val="24"/>
                <w:lang w:val="fr-CA"/>
              </w:rPr>
              <w:t>.</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zCs w:val="24"/>
                <w:lang w:val="fr-CA"/>
              </w:rPr>
              <w:t>Services de recherche et de développement</w:t>
            </w:r>
          </w:p>
          <w:p>
            <w:pPr>
              <w:spacing w:before="60" w:after="60" w:line="240" w:lineRule="auto"/>
              <w:rPr>
                <w:rFonts w:eastAsia="SimSun"/>
                <w:noProof/>
                <w:szCs w:val="24"/>
                <w:lang w:val="fr-CA"/>
              </w:rPr>
            </w:pPr>
            <w:r>
              <w:rPr>
                <w:noProof/>
                <w:szCs w:val="24"/>
                <w:lang w:val="fr-CA"/>
              </w:rPr>
              <w:t>(CPC 851, 852, à l’exception des services de psychologues</w:t>
            </w:r>
            <w:r>
              <w:rPr>
                <w:rStyle w:val="FootnoteReference"/>
                <w:rFonts w:eastAsiaTheme="minorHAnsi"/>
                <w:noProof/>
                <w:szCs w:val="24"/>
              </w:rPr>
              <w:footnoteReference w:id="6"/>
            </w:r>
            <w:r>
              <w:rPr>
                <w:noProof/>
                <w:szCs w:val="24"/>
                <w:lang w:val="fr-CA"/>
              </w:rPr>
              <w:t>, et 853)</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UE</w:t>
            </w:r>
            <w:r>
              <w:rPr>
                <w:noProof/>
                <w:szCs w:val="24"/>
                <w:lang w:val="fr-CA"/>
              </w:rPr>
              <w:t xml:space="preserve">, à l’exception de </w:t>
            </w:r>
            <w:r>
              <w:rPr>
                <w:b/>
                <w:noProof/>
                <w:szCs w:val="24"/>
                <w:lang w:val="fr-CA"/>
              </w:rPr>
              <w:t>SE</w:t>
            </w:r>
            <w:r>
              <w:rPr>
                <w:noProof/>
                <w:szCs w:val="24"/>
                <w:lang w:val="fr-CA"/>
              </w:rPr>
              <w:t> :</w:t>
            </w:r>
            <w:r>
              <w:rPr>
                <w:b/>
                <w:noProof/>
                <w:szCs w:val="24"/>
                <w:lang w:val="fr-CA"/>
              </w:rPr>
              <w:t xml:space="preserve"> </w:t>
            </w:r>
            <w:r>
              <w:rPr>
                <w:noProof/>
                <w:szCs w:val="24"/>
                <w:lang w:val="fr-CA"/>
              </w:rPr>
              <w:t xml:space="preserve">Une convention </w:t>
            </w:r>
            <w:r>
              <w:rPr>
                <w:noProof/>
                <w:color w:val="000000"/>
                <w:szCs w:val="24"/>
                <w:lang w:val="fr-CA"/>
              </w:rPr>
              <w:t xml:space="preserve">d’accueil </w:t>
            </w:r>
            <w:r>
              <w:rPr>
                <w:noProof/>
                <w:szCs w:val="24"/>
                <w:lang w:val="fr-CA"/>
              </w:rPr>
              <w:t>avec un organisme de recherche agréé est requise</w:t>
            </w:r>
            <w:r>
              <w:rPr>
                <w:rStyle w:val="FootnoteReference"/>
                <w:rFonts w:eastAsiaTheme="minorHAnsi"/>
                <w:noProof/>
                <w:szCs w:val="24"/>
              </w:rPr>
              <w:footnoteReference w:id="7"/>
            </w:r>
            <w:r>
              <w:rPr>
                <w:noProof/>
                <w:szCs w:val="24"/>
                <w:lang w:val="fr-CA"/>
              </w:rPr>
              <w:t>.</w:t>
            </w:r>
          </w:p>
          <w:p>
            <w:pPr>
              <w:tabs>
                <w:tab w:val="left" w:pos="279"/>
              </w:tabs>
              <w:spacing w:before="60" w:after="60" w:line="240" w:lineRule="auto"/>
              <w:rPr>
                <w:rFonts w:eastAsia="SimSun"/>
                <w:noProof/>
                <w:szCs w:val="24"/>
                <w:lang w:val="fr-CA"/>
              </w:rPr>
            </w:pPr>
            <w:r>
              <w:rPr>
                <w:b/>
                <w:noProof/>
                <w:szCs w:val="24"/>
                <w:lang w:val="fr-CA"/>
              </w:rPr>
              <w:t>UE</w:t>
            </w:r>
            <w:r>
              <w:rPr>
                <w:noProof/>
                <w:szCs w:val="24"/>
                <w:lang w:val="fr-CA"/>
              </w:rPr>
              <w:t xml:space="preserve">, à l’exception de </w:t>
            </w:r>
            <w:r>
              <w:rPr>
                <w:b/>
                <w:noProof/>
                <w:color w:val="000000"/>
                <w:szCs w:val="24"/>
                <w:lang w:val="fr-CA"/>
              </w:rPr>
              <w:t>CZ</w:t>
            </w:r>
            <w:r>
              <w:rPr>
                <w:b/>
                <w:noProof/>
                <w:szCs w:val="24"/>
                <w:lang w:val="fr-CA"/>
              </w:rPr>
              <w:t>, DK, SK</w:t>
            </w:r>
            <w:r>
              <w:rPr>
                <w:noProof/>
                <w:szCs w:val="24"/>
                <w:lang w:val="fr-CA"/>
              </w:rPr>
              <w:t> : Néant</w:t>
            </w:r>
          </w:p>
          <w:p>
            <w:pPr>
              <w:tabs>
                <w:tab w:val="left" w:pos="279"/>
              </w:tabs>
              <w:spacing w:before="60" w:after="60" w:line="240" w:lineRule="auto"/>
              <w:rPr>
                <w:rFonts w:eastAsia="SimSun"/>
                <w:noProof/>
                <w:szCs w:val="24"/>
                <w:lang w:val="fr-CA"/>
              </w:rPr>
            </w:pPr>
            <w:r>
              <w:rPr>
                <w:b/>
                <w:noProof/>
                <w:szCs w:val="24"/>
                <w:lang w:val="fr-CA"/>
              </w:rPr>
              <w:t xml:space="preserve">CZ, </w:t>
            </w:r>
            <w:r>
              <w:rPr>
                <w:b/>
                <w:noProof/>
                <w:color w:val="000000"/>
                <w:szCs w:val="24"/>
                <w:lang w:val="fr-CA"/>
              </w:rPr>
              <w:t>DK</w:t>
            </w:r>
            <w:r>
              <w:rPr>
                <w:b/>
                <w:noProof/>
                <w:szCs w:val="24"/>
                <w:lang w:val="fr-CA"/>
              </w:rPr>
              <w:t>,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xml:space="preserve"> : </w:t>
            </w:r>
            <w:r>
              <w:rPr>
                <w:noProof/>
                <w:color w:val="000000"/>
                <w:szCs w:val="24"/>
                <w:lang w:val="fr-CA"/>
              </w:rPr>
              <w:t>Néant</w:t>
            </w:r>
            <w:r>
              <w:rPr>
                <w:noProof/>
                <w:szCs w:val="24"/>
                <w:lang w:val="fr-CA"/>
              </w:rPr>
              <w:t>.</w:t>
            </w: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UE</w:t>
            </w:r>
            <w:r>
              <w:rPr>
                <w:noProof/>
                <w:szCs w:val="24"/>
                <w:lang w:val="fr-CA"/>
              </w:rPr>
              <w:t xml:space="preserve">, à l’exception de </w:t>
            </w:r>
            <w:r>
              <w:rPr>
                <w:b/>
                <w:noProof/>
                <w:szCs w:val="24"/>
                <w:lang w:val="fr-CA"/>
              </w:rPr>
              <w:t>SE</w:t>
            </w:r>
            <w:r>
              <w:rPr>
                <w:noProof/>
                <w:szCs w:val="24"/>
                <w:lang w:val="fr-CA"/>
              </w:rPr>
              <w:t> :</w:t>
            </w:r>
            <w:r>
              <w:rPr>
                <w:b/>
                <w:noProof/>
                <w:szCs w:val="24"/>
                <w:lang w:val="fr-CA"/>
              </w:rPr>
              <w:t xml:space="preserve"> </w:t>
            </w:r>
            <w:r>
              <w:rPr>
                <w:noProof/>
                <w:szCs w:val="24"/>
                <w:lang w:val="fr-CA"/>
              </w:rPr>
              <w:t xml:space="preserve">Une convention </w:t>
            </w:r>
            <w:r>
              <w:rPr>
                <w:noProof/>
                <w:color w:val="000000"/>
                <w:szCs w:val="24"/>
                <w:lang w:val="fr-CA"/>
              </w:rPr>
              <w:t xml:space="preserve">d’accueil </w:t>
            </w:r>
            <w:r>
              <w:rPr>
                <w:noProof/>
                <w:szCs w:val="24"/>
                <w:lang w:val="fr-CA"/>
              </w:rPr>
              <w:t>avec un organisme de recherche agréé est requise</w:t>
            </w:r>
            <w:r>
              <w:rPr>
                <w:rStyle w:val="FootnoteReference"/>
                <w:rFonts w:eastAsiaTheme="minorHAnsi"/>
                <w:noProof/>
                <w:szCs w:val="24"/>
              </w:rPr>
              <w:footnoteReference w:id="8"/>
            </w:r>
            <w:r>
              <w:rPr>
                <w:noProof/>
                <w:szCs w:val="24"/>
                <w:lang w:val="fr-CA"/>
              </w:rPr>
              <w:t>.</w:t>
            </w:r>
          </w:p>
          <w:p>
            <w:pPr>
              <w:tabs>
                <w:tab w:val="left" w:pos="279"/>
              </w:tabs>
              <w:spacing w:before="60" w:after="60" w:line="240" w:lineRule="auto"/>
              <w:rPr>
                <w:rFonts w:eastAsia="SimSun"/>
                <w:noProof/>
                <w:szCs w:val="24"/>
                <w:lang w:val="fr-CA"/>
              </w:rPr>
            </w:pPr>
            <w:r>
              <w:rPr>
                <w:b/>
                <w:noProof/>
                <w:szCs w:val="24"/>
                <w:lang w:val="fr-CA"/>
              </w:rPr>
              <w:t xml:space="preserve">UE, </w:t>
            </w:r>
            <w:r>
              <w:rPr>
                <w:noProof/>
                <w:szCs w:val="24"/>
                <w:lang w:val="fr-CA"/>
              </w:rPr>
              <w:t>à l’exception de</w:t>
            </w:r>
            <w:r>
              <w:rPr>
                <w:b/>
                <w:noProof/>
                <w:szCs w:val="24"/>
                <w:lang w:val="fr-CA"/>
              </w:rPr>
              <w:t xml:space="preserve"> BE, CZ, DK, IT, SK : </w:t>
            </w:r>
            <w:r>
              <w:rPr>
                <w:noProof/>
                <w:szCs w:val="24"/>
                <w:lang w:val="fr-CA"/>
              </w:rPr>
              <w:t>Néant</w:t>
            </w:r>
          </w:p>
          <w:p>
            <w:pPr>
              <w:tabs>
                <w:tab w:val="left" w:pos="279"/>
              </w:tabs>
              <w:spacing w:before="60" w:after="60" w:line="240" w:lineRule="auto"/>
              <w:rPr>
                <w:rFonts w:eastAsia="SimSun"/>
                <w:noProof/>
                <w:szCs w:val="24"/>
                <w:lang w:val="fr-CA"/>
              </w:rPr>
            </w:pPr>
            <w:r>
              <w:rPr>
                <w:b/>
                <w:noProof/>
                <w:szCs w:val="24"/>
                <w:lang w:val="fr-CA"/>
              </w:rPr>
              <w:t>BE, CZ, DK, IT, SK :</w:t>
            </w:r>
            <w:r>
              <w:rPr>
                <w:noProof/>
                <w:szCs w:val="24"/>
                <w:lang w:val="fr-CA"/>
              </w:rPr>
              <w:t xml:space="preserve"> Examen des besoins économiques.</w:t>
            </w:r>
          </w:p>
          <w:p>
            <w:pPr>
              <w:tabs>
                <w:tab w:val="left" w:pos="279"/>
              </w:tabs>
              <w:spacing w:before="60" w:after="60" w:line="240" w:lineRule="auto"/>
              <w:rPr>
                <w:rFonts w:eastAsia="SimSun"/>
                <w:noProof/>
                <w:szCs w:val="24"/>
              </w:rPr>
            </w:pPr>
            <w:r>
              <w:rPr>
                <w:b/>
                <w:noProof/>
                <w:szCs w:val="24"/>
              </w:rPr>
              <w:t>CAN</w:t>
            </w:r>
            <w:r>
              <w:rPr>
                <w:noProof/>
                <w:szCs w:val="24"/>
              </w:rPr>
              <w:t xml:space="preserve"> : </w:t>
            </w:r>
            <w:r>
              <w:rPr>
                <w:noProof/>
                <w:color w:val="000000"/>
                <w:szCs w:val="24"/>
              </w:rPr>
              <w:t>Néant</w:t>
            </w:r>
            <w:r>
              <w:rPr>
                <w:noProof/>
                <w:szCs w:val="24"/>
              </w:rPr>
              <w:t>.</w:t>
            </w:r>
          </w:p>
        </w:tc>
      </w:tr>
      <w:tr>
        <w:trPr>
          <w:cantSplit/>
          <w:jc w:val="center"/>
        </w:trPr>
        <w:tc>
          <w:tcPr>
            <w:tcW w:w="2977" w:type="dxa"/>
            <w:shd w:val="clear" w:color="auto" w:fill="FFFFFF"/>
          </w:tcPr>
          <w:p>
            <w:pPr>
              <w:spacing w:before="60" w:after="60" w:line="240" w:lineRule="auto"/>
              <w:rPr>
                <w:rFonts w:eastAsia="SimSun"/>
                <w:b/>
                <w:noProof/>
                <w:szCs w:val="24"/>
              </w:rPr>
            </w:pPr>
            <w:r>
              <w:rPr>
                <w:b/>
                <w:noProof/>
                <w:szCs w:val="24"/>
              </w:rPr>
              <w:t>Services de publicité</w:t>
            </w:r>
          </w:p>
          <w:p>
            <w:pPr>
              <w:spacing w:before="60" w:after="60" w:line="240" w:lineRule="auto"/>
              <w:rPr>
                <w:rFonts w:eastAsia="SimSun"/>
                <w:noProof/>
                <w:szCs w:val="24"/>
                <w:u w:val="single"/>
              </w:rPr>
            </w:pPr>
            <w:r>
              <w:rPr>
                <w:noProof/>
                <w:szCs w:val="24"/>
              </w:rPr>
              <w:t>(CPC 871)</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szCs w:val="24"/>
              </w:rPr>
            </w:pPr>
            <w:r>
              <w:rPr>
                <w:b/>
                <w:noProof/>
                <w:color w:val="000000"/>
                <w:szCs w:val="24"/>
              </w:rPr>
              <w:t>BE, CY, DE, EE, ES, FR, HR, IE, IT, LU, NL, PL, PT, SI, SE, UK :</w:t>
            </w:r>
            <w:r>
              <w:rPr>
                <w:noProof/>
                <w:szCs w:val="24"/>
              </w:rPr>
              <w:t xml:space="preserve"> Néant. </w:t>
            </w:r>
          </w:p>
          <w:p>
            <w:pPr>
              <w:spacing w:before="60" w:after="60" w:line="240" w:lineRule="auto"/>
              <w:rPr>
                <w:rFonts w:eastAsia="SimSun"/>
                <w:noProof/>
                <w:szCs w:val="24"/>
                <w:lang w:val="fr-CA"/>
              </w:rPr>
            </w:pPr>
            <w:r>
              <w:rPr>
                <w:b/>
                <w:noProof/>
                <w:szCs w:val="24"/>
                <w:lang w:val="fr-CA"/>
              </w:rPr>
              <w:t>AT, BG, CZ, DK, EL, FI, HU, LT, LV, MT, RO, SK :</w:t>
            </w:r>
            <w:r>
              <w:rPr>
                <w:noProof/>
                <w:szCs w:val="24"/>
                <w:lang w:val="fr-CA"/>
              </w:rPr>
              <w:t xml:space="preserve"> Examen des besoins économiques. </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d’études de marché et de sondages</w:t>
            </w:r>
          </w:p>
          <w:p>
            <w:pPr>
              <w:spacing w:before="60" w:after="60" w:line="240" w:lineRule="auto"/>
              <w:rPr>
                <w:rFonts w:eastAsia="SimSun"/>
                <w:noProof/>
                <w:szCs w:val="24"/>
              </w:rPr>
            </w:pPr>
            <w:r>
              <w:rPr>
                <w:noProof/>
                <w:szCs w:val="24"/>
              </w:rPr>
              <w:t>(CPC 864)</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79"/>
              </w:tabs>
              <w:spacing w:before="60" w:after="60" w:line="240" w:lineRule="auto"/>
              <w:rPr>
                <w:rFonts w:eastAsia="SimSun"/>
                <w:noProof/>
                <w:szCs w:val="24"/>
                <w:lang w:val="es-ES"/>
              </w:rPr>
            </w:pPr>
            <w:r>
              <w:rPr>
                <w:b/>
                <w:noProof/>
                <w:szCs w:val="24"/>
                <w:lang w:val="es-ES"/>
              </w:rPr>
              <w:t xml:space="preserve">BE, </w:t>
            </w:r>
            <w:r>
              <w:rPr>
                <w:b/>
                <w:noProof/>
                <w:color w:val="000000"/>
                <w:szCs w:val="24"/>
                <w:lang w:val="es-ES"/>
              </w:rPr>
              <w:t>CY, DE, EE, ES, FR, IE, IT, LU, NL, PL,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BG, CZ, DK, EL, FI, HR, LV, MT, RO, SI, SK :</w:t>
            </w:r>
            <w:r>
              <w:rPr>
                <w:noProof/>
                <w:szCs w:val="24"/>
                <w:lang w:val="fr-CA"/>
              </w:rPr>
              <w:t xml:space="preserve"> </w:t>
            </w:r>
            <w:bookmarkStart w:id="7" w:name="OLE_LINK1"/>
            <w:r>
              <w:rPr>
                <w:noProof/>
                <w:szCs w:val="24"/>
                <w:lang w:val="fr-CA"/>
              </w:rPr>
              <w:t>Examen des besoins économiques</w:t>
            </w:r>
            <w:bookmarkEnd w:id="7"/>
            <w:r>
              <w:rPr>
                <w:noProof/>
                <w:szCs w:val="24"/>
                <w:lang w:val="fr-CA"/>
              </w:rPr>
              <w:t>.</w:t>
            </w:r>
          </w:p>
          <w:p>
            <w:pPr>
              <w:tabs>
                <w:tab w:val="left" w:pos="279"/>
              </w:tabs>
              <w:spacing w:before="60" w:after="60" w:line="240" w:lineRule="auto"/>
              <w:rPr>
                <w:rFonts w:eastAsia="SimSun"/>
                <w:noProof/>
                <w:szCs w:val="24"/>
                <w:lang w:val="fr-CA"/>
              </w:rPr>
            </w:pPr>
            <w:r>
              <w:rPr>
                <w:b/>
                <w:noProof/>
                <w:szCs w:val="24"/>
                <w:lang w:val="fr-CA"/>
              </w:rPr>
              <w:t>PT</w:t>
            </w:r>
            <w:r>
              <w:rPr>
                <w:noProof/>
                <w:szCs w:val="24"/>
                <w:lang w:val="fr-CA"/>
              </w:rPr>
              <w:t xml:space="preserve"> : Néant, excepté pour les services de sondages (CPC 86402), auquel cas : Non consolidé. </w:t>
            </w:r>
          </w:p>
          <w:p>
            <w:pPr>
              <w:tabs>
                <w:tab w:val="left" w:pos="279"/>
              </w:tabs>
              <w:spacing w:before="60" w:after="60" w:line="240" w:lineRule="auto"/>
              <w:rPr>
                <w:rFonts w:eastAsia="SimSun"/>
                <w:noProof/>
                <w:szCs w:val="24"/>
                <w:lang w:val="fr-CA"/>
              </w:rPr>
            </w:pPr>
            <w:r>
              <w:rPr>
                <w:b/>
                <w:noProof/>
                <w:szCs w:val="24"/>
                <w:lang w:val="fr-CA"/>
              </w:rPr>
              <w:t>HU, LT</w:t>
            </w:r>
            <w:r>
              <w:rPr>
                <w:noProof/>
                <w:szCs w:val="24"/>
                <w:lang w:val="fr-CA"/>
              </w:rPr>
              <w:t> : Examen des besoins économiques, excepté pour les services de sondages (CPC 86402), auquel cas : Non consolidé.</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 Néant.</w:t>
            </w:r>
          </w:p>
          <w:p>
            <w:pPr>
              <w:tabs>
                <w:tab w:val="left" w:pos="279"/>
              </w:tabs>
              <w:spacing w:before="60" w:after="60" w:line="240" w:lineRule="auto"/>
              <w:rPr>
                <w:rFonts w:eastAsia="SimSun"/>
                <w:noProof/>
                <w:szCs w:val="24"/>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FR, IE, LU, NL, PL,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EL, ES, FI, HR, IT, LV, MT, RO, SI, SK</w:t>
            </w:r>
            <w:r>
              <w:rPr>
                <w:noProof/>
                <w:szCs w:val="24"/>
                <w:lang w:val="fr-CA"/>
              </w:rPr>
              <w:t xml:space="preserve"> : Examen des besoins économiques. </w:t>
            </w:r>
          </w:p>
          <w:p>
            <w:pPr>
              <w:tabs>
                <w:tab w:val="left" w:pos="279"/>
              </w:tabs>
              <w:spacing w:before="60" w:after="60" w:line="240" w:lineRule="auto"/>
              <w:rPr>
                <w:rFonts w:eastAsia="SimSun"/>
                <w:noProof/>
                <w:szCs w:val="24"/>
                <w:lang w:val="fr-CA"/>
              </w:rPr>
            </w:pPr>
            <w:r>
              <w:rPr>
                <w:b/>
                <w:noProof/>
                <w:szCs w:val="24"/>
                <w:lang w:val="fr-CA"/>
              </w:rPr>
              <w:t>PT</w:t>
            </w:r>
            <w:r>
              <w:rPr>
                <w:noProof/>
                <w:szCs w:val="24"/>
                <w:lang w:val="fr-CA"/>
              </w:rPr>
              <w:t xml:space="preserve"> : Néant, excepté pour les services de sondages (CPC 86402), auquel cas : Non consolidé. </w:t>
            </w:r>
          </w:p>
          <w:p>
            <w:pPr>
              <w:tabs>
                <w:tab w:val="left" w:pos="279"/>
              </w:tabs>
              <w:spacing w:before="60" w:after="60" w:line="240" w:lineRule="auto"/>
              <w:rPr>
                <w:rFonts w:eastAsia="SimSun"/>
                <w:noProof/>
                <w:szCs w:val="24"/>
                <w:lang w:val="fr-CA"/>
              </w:rPr>
            </w:pPr>
            <w:r>
              <w:rPr>
                <w:b/>
                <w:noProof/>
                <w:szCs w:val="24"/>
                <w:lang w:val="fr-CA"/>
              </w:rPr>
              <w:t>HU, LT</w:t>
            </w:r>
            <w:r>
              <w:rPr>
                <w:noProof/>
                <w:szCs w:val="24"/>
                <w:lang w:val="fr-CA"/>
              </w:rPr>
              <w:t> : Examen des besoins économiques, excepté pour les services de sondages (CPC 86402), auquel cas : Non consolidé.</w:t>
            </w:r>
          </w:p>
          <w:p>
            <w:pPr>
              <w:tabs>
                <w:tab w:val="left" w:pos="279"/>
              </w:tabs>
              <w:spacing w:before="60" w:after="60" w:line="240" w:lineRule="auto"/>
              <w:rPr>
                <w:rFonts w:eastAsia="SimSun"/>
                <w:noProof/>
                <w:szCs w:val="24"/>
              </w:rPr>
            </w:pPr>
            <w:r>
              <w:rPr>
                <w:b/>
                <w:noProof/>
                <w:szCs w:val="24"/>
              </w:rPr>
              <w:t>CAN</w:t>
            </w:r>
            <w:r>
              <w:rPr>
                <w:noProof/>
                <w:szCs w:val="24"/>
              </w:rPr>
              <w:t> : Néant.</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Services de conseil en gestion</w:t>
            </w:r>
          </w:p>
          <w:p>
            <w:pPr>
              <w:spacing w:before="60" w:after="60" w:line="240" w:lineRule="auto"/>
              <w:rPr>
                <w:rFonts w:eastAsia="SimSun"/>
                <w:b/>
                <w:noProof/>
                <w:szCs w:val="24"/>
                <w:lang w:val="fr-CA"/>
              </w:rPr>
            </w:pPr>
            <w:r>
              <w:rPr>
                <w:noProof/>
                <w:szCs w:val="24"/>
                <w:lang w:val="fr-CA"/>
              </w:rPr>
              <w:t>(CPC 865)</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 xml:space="preserve">BE, </w:t>
            </w:r>
            <w:r>
              <w:rPr>
                <w:b/>
                <w:noProof/>
                <w:color w:val="000000"/>
                <w:szCs w:val="24"/>
                <w:lang w:val="fr-CA"/>
              </w:rPr>
              <w:t>CY, DE, EE, EL, ES, FI, FR, HR, IE, IT, LV, LU, MT, NL, PL, PT, SI,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BG, CZ, HU,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 Néant.</w:t>
            </w:r>
          </w:p>
          <w:p>
            <w:pPr>
              <w:spacing w:before="60" w:after="60" w:line="240" w:lineRule="auto"/>
              <w:rPr>
                <w:rFonts w:eastAsia="SimSun"/>
                <w:b/>
                <w:noProof/>
                <w:szCs w:val="24"/>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EL, FI, FR, IE, LV, LU, MT, NL, PL, PT, SI,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ES, HR, HU, IT, LT, RO, SK</w:t>
            </w:r>
            <w:r>
              <w:rPr>
                <w:noProof/>
                <w:szCs w:val="24"/>
                <w:lang w:val="fr-CA"/>
              </w:rPr>
              <w:t> : Examen des besoins économiques.</w:t>
            </w:r>
          </w:p>
          <w:p>
            <w:pPr>
              <w:tabs>
                <w:tab w:val="left" w:pos="279"/>
              </w:tabs>
              <w:spacing w:before="60" w:after="60" w:line="240" w:lineRule="auto"/>
              <w:rPr>
                <w:rFonts w:eastAsia="SimSun"/>
                <w:noProof/>
                <w:szCs w:val="24"/>
              </w:rPr>
            </w:pPr>
            <w:r>
              <w:rPr>
                <w:b/>
                <w:noProof/>
                <w:szCs w:val="24"/>
              </w:rPr>
              <w:t>CAN</w:t>
            </w:r>
            <w:r>
              <w:rPr>
                <w:noProof/>
                <w:szCs w:val="24"/>
              </w:rPr>
              <w:t> : Néant.</w:t>
            </w:r>
          </w:p>
        </w:tc>
      </w:tr>
      <w:tr>
        <w:trPr>
          <w:cantSplit/>
          <w:jc w:val="center"/>
        </w:trPr>
        <w:tc>
          <w:tcPr>
            <w:tcW w:w="2977" w:type="dxa"/>
            <w:shd w:val="clear" w:color="auto" w:fill="FFFFFF"/>
          </w:tcPr>
          <w:p>
            <w:pPr>
              <w:pageBreakBefore/>
              <w:tabs>
                <w:tab w:val="left" w:pos="1843"/>
              </w:tabs>
              <w:spacing w:before="60" w:after="60" w:line="240" w:lineRule="auto"/>
              <w:rPr>
                <w:rFonts w:eastAsia="SimSun"/>
                <w:b/>
                <w:bCs/>
                <w:noProof/>
                <w:lang w:eastAsia="zh-CN"/>
              </w:rPr>
            </w:pPr>
            <w:r>
              <w:rPr>
                <w:rFonts w:eastAsia="SimSun"/>
                <w:b/>
                <w:bCs/>
                <w:noProof/>
                <w:lang w:val="fr-CA" w:eastAsia="zh-CN"/>
              </w:rPr>
              <w:t>Services connexes aux services de consultation en matière de gestion</w:t>
            </w:r>
            <w:r>
              <w:rPr>
                <w:rFonts w:eastAsia="SimSun"/>
                <w:b/>
                <w:bCs/>
                <w:noProof/>
                <w:lang w:eastAsia="zh-CN"/>
              </w:rPr>
              <w:t xml:space="preserve"> </w:t>
            </w:r>
          </w:p>
          <w:p>
            <w:pPr>
              <w:tabs>
                <w:tab w:val="left" w:pos="1843"/>
              </w:tabs>
              <w:spacing w:before="60" w:after="60" w:line="240" w:lineRule="auto"/>
              <w:rPr>
                <w:rFonts w:eastAsia="SimSun"/>
                <w:noProof/>
                <w:lang w:eastAsia="zh-CN"/>
              </w:rPr>
            </w:pPr>
            <w:r>
              <w:rPr>
                <w:rFonts w:eastAsia="SimSun"/>
                <w:noProof/>
                <w:lang w:eastAsia="zh-CN"/>
              </w:rPr>
              <w:t>(CPC 866)</w:t>
            </w:r>
          </w:p>
        </w:tc>
        <w:tc>
          <w:tcPr>
            <w:tcW w:w="6946" w:type="dxa"/>
            <w:shd w:val="clear" w:color="auto" w:fill="FFFFFF"/>
          </w:tcPr>
          <w:p>
            <w:pPr>
              <w:spacing w:before="60" w:after="60" w:line="240" w:lineRule="auto"/>
              <w:rPr>
                <w:rFonts w:eastAsia="SimSun"/>
                <w:noProof/>
                <w:lang w:val="es-ES" w:eastAsia="zh-CN"/>
              </w:rPr>
            </w:pPr>
            <w:r>
              <w:rPr>
                <w:rFonts w:eastAsia="SimSun"/>
                <w:noProof/>
                <w:u w:val="single"/>
                <w:lang w:val="es-ES" w:eastAsia="zh-CN"/>
              </w:rPr>
              <w:t>FSC</w:t>
            </w:r>
            <w:r>
              <w:rPr>
                <w:rFonts w:eastAsia="SimSun"/>
                <w:noProof/>
                <w:lang w:val="es-ES" w:eastAsia="zh-CN"/>
              </w:rPr>
              <w:t>:</w:t>
            </w:r>
          </w:p>
          <w:p>
            <w:pPr>
              <w:spacing w:before="60" w:after="60" w:line="240" w:lineRule="auto"/>
              <w:rPr>
                <w:rFonts w:eastAsia="SimSun"/>
                <w:noProof/>
                <w:lang w:val="es-ES" w:eastAsia="zh-CN"/>
              </w:rPr>
            </w:pPr>
            <w:r>
              <w:rPr>
                <w:rFonts w:eastAsia="SimSun"/>
                <w:b/>
                <w:noProof/>
                <w:lang w:val="fr-CA" w:eastAsia="zh-CN"/>
              </w:rPr>
              <w:t>BE, CY, DE, EE, EL, ES, FI, FR, HR, IE, IT, LV, LU, MT, NL, PL, PT, SI, SE, UK</w:t>
            </w:r>
            <w:r>
              <w:rPr>
                <w:rFonts w:eastAsia="SimSun"/>
                <w:noProof/>
                <w:lang w:val="fr-CA" w:eastAsia="zh-CN"/>
              </w:rPr>
              <w:t> </w:t>
            </w:r>
            <w:r>
              <w:rPr>
                <w:rFonts w:eastAsia="SimSun"/>
                <w:noProof/>
                <w:lang w:val="es-ES" w:eastAsia="zh-CN"/>
              </w:rPr>
              <w:t>: Néant.</w:t>
            </w:r>
          </w:p>
          <w:p>
            <w:pPr>
              <w:spacing w:before="60" w:after="60" w:line="240" w:lineRule="auto"/>
              <w:rPr>
                <w:rFonts w:eastAsia="SimSun"/>
                <w:noProof/>
                <w:lang w:eastAsia="zh-CN"/>
              </w:rPr>
            </w:pPr>
            <w:r>
              <w:rPr>
                <w:rFonts w:eastAsia="SimSun"/>
                <w:b/>
                <w:noProof/>
                <w:lang w:val="fr-CA" w:eastAsia="zh-CN"/>
              </w:rPr>
              <w:t>AT, BG, CZ, LT, RO, SK</w:t>
            </w:r>
            <w:r>
              <w:rPr>
                <w:rFonts w:eastAsia="SimSun"/>
                <w:noProof/>
                <w:lang w:val="fr-CA" w:eastAsia="zh-CN"/>
              </w:rPr>
              <w:t> </w:t>
            </w:r>
            <w:r>
              <w:rPr>
                <w:rFonts w:eastAsia="SimSun"/>
                <w:noProof/>
                <w:lang w:eastAsia="zh-CN"/>
              </w:rPr>
              <w:t xml:space="preserve">: </w:t>
            </w:r>
            <w:r>
              <w:rPr>
                <w:rFonts w:eastAsia="SimSun"/>
                <w:noProof/>
                <w:lang w:val="fr-CA" w:eastAsia="zh-CN"/>
              </w:rPr>
              <w:t>Examen des besoins économiques</w:t>
            </w:r>
            <w:r>
              <w:rPr>
                <w:rFonts w:eastAsia="SimSun"/>
                <w:noProof/>
                <w:lang w:eastAsia="zh-CN"/>
              </w:rPr>
              <w:t>.</w:t>
            </w:r>
          </w:p>
          <w:p>
            <w:pPr>
              <w:spacing w:before="60" w:after="60" w:line="240" w:lineRule="auto"/>
              <w:rPr>
                <w:rFonts w:eastAsia="SimSun"/>
                <w:noProof/>
                <w:lang w:eastAsia="zh-CN"/>
              </w:rPr>
            </w:pPr>
            <w:r>
              <w:rPr>
                <w:rFonts w:eastAsia="SimSun"/>
                <w:b/>
                <w:bCs/>
                <w:noProof/>
                <w:lang w:eastAsia="zh-CN"/>
              </w:rPr>
              <w:t xml:space="preserve">DK </w:t>
            </w:r>
            <w:r>
              <w:rPr>
                <w:rFonts w:eastAsia="SimSun"/>
                <w:noProof/>
                <w:lang w:eastAsia="zh-CN"/>
              </w:rPr>
              <w:t xml:space="preserve">: </w:t>
            </w:r>
            <w:r>
              <w:rPr>
                <w:rFonts w:eastAsia="SimSun"/>
                <w:noProof/>
                <w:lang w:val="fr-CA" w:eastAsia="zh-CN"/>
              </w:rPr>
              <w:t>Examen des besoins économiques, sauf pour les séjours des FSC d’au plus trois mois</w:t>
            </w:r>
            <w:r>
              <w:rPr>
                <w:rFonts w:eastAsia="SimSun"/>
                <w:noProof/>
                <w:lang w:eastAsia="zh-CN"/>
              </w:rPr>
              <w:t>.</w:t>
            </w:r>
          </w:p>
          <w:p>
            <w:pPr>
              <w:spacing w:before="60" w:after="60" w:line="240" w:lineRule="auto"/>
              <w:rPr>
                <w:rFonts w:eastAsia="SimSun"/>
                <w:noProof/>
                <w:lang w:eastAsia="zh-CN"/>
              </w:rPr>
            </w:pPr>
            <w:r>
              <w:rPr>
                <w:rFonts w:eastAsia="SimSun"/>
                <w:b/>
                <w:bCs/>
                <w:noProof/>
                <w:lang w:eastAsia="zh-CN"/>
              </w:rPr>
              <w:t xml:space="preserve">HU </w:t>
            </w:r>
            <w:r>
              <w:rPr>
                <w:rFonts w:eastAsia="SimSun"/>
                <w:noProof/>
                <w:lang w:eastAsia="zh-CN"/>
              </w:rPr>
              <w:t xml:space="preserve">: </w:t>
            </w:r>
            <w:r>
              <w:rPr>
                <w:rFonts w:eastAsia="SimSun"/>
                <w:noProof/>
                <w:lang w:val="fr-CA" w:eastAsia="zh-CN"/>
              </w:rPr>
              <w:t>Examen des besoins économiques, sauf pour les services d’arbitrage et de conciliation (CPC 86602), auquel cas : Non consolidé</w:t>
            </w:r>
            <w:r>
              <w:rPr>
                <w:rFonts w:eastAsia="SimSun"/>
                <w:noProof/>
                <w:lang w:eastAsia="zh-CN"/>
              </w:rPr>
              <w:t>.</w:t>
            </w:r>
          </w:p>
          <w:p>
            <w:pPr>
              <w:spacing w:before="60" w:after="60" w:line="240" w:lineRule="auto"/>
              <w:rPr>
                <w:rFonts w:eastAsia="SimSun"/>
                <w:noProof/>
                <w:lang w:eastAsia="zh-CN"/>
              </w:rPr>
            </w:pPr>
            <w:r>
              <w:rPr>
                <w:rFonts w:eastAsia="SimSun"/>
                <w:b/>
                <w:bCs/>
                <w:noProof/>
                <w:lang w:eastAsia="zh-CN"/>
              </w:rPr>
              <w:t xml:space="preserve">CAN </w:t>
            </w:r>
            <w:r>
              <w:rPr>
                <w:rFonts w:eastAsia="SimSun"/>
                <w:noProof/>
                <w:lang w:eastAsia="zh-CN"/>
              </w:rPr>
              <w:t xml:space="preserve">: </w:t>
            </w:r>
            <w:r>
              <w:rPr>
                <w:rFonts w:eastAsia="SimSun"/>
                <w:noProof/>
                <w:lang w:val="fr-CA" w:eastAsia="zh-CN"/>
              </w:rPr>
              <w:t>Néant</w:t>
            </w:r>
            <w:r>
              <w:rPr>
                <w:rFonts w:eastAsia="SimSun"/>
                <w:noProof/>
                <w:lang w:eastAsia="zh-CN"/>
              </w:rPr>
              <w:t>.</w:t>
            </w:r>
          </w:p>
          <w:p>
            <w:pPr>
              <w:spacing w:before="60" w:after="60" w:line="240" w:lineRule="auto"/>
              <w:rPr>
                <w:rFonts w:eastAsia="SimSun"/>
                <w:noProof/>
                <w:lang w:eastAsia="zh-CN"/>
              </w:rPr>
            </w:pPr>
          </w:p>
          <w:p>
            <w:pPr>
              <w:spacing w:before="60" w:after="60" w:line="240" w:lineRule="auto"/>
              <w:rPr>
                <w:rFonts w:eastAsia="SimSun"/>
                <w:noProof/>
                <w:lang w:eastAsia="zh-CN"/>
              </w:rPr>
            </w:pPr>
            <w:r>
              <w:rPr>
                <w:rFonts w:eastAsia="SimSun"/>
                <w:noProof/>
                <w:u w:val="single"/>
                <w:lang w:eastAsia="zh-CN"/>
              </w:rPr>
              <w:t xml:space="preserve">IP </w:t>
            </w:r>
            <w:r>
              <w:rPr>
                <w:rFonts w:eastAsia="SimSun"/>
                <w:noProof/>
                <w:lang w:eastAsia="zh-CN"/>
              </w:rPr>
              <w:t>:</w:t>
            </w:r>
          </w:p>
          <w:p>
            <w:pPr>
              <w:spacing w:before="60" w:after="60" w:line="240" w:lineRule="auto"/>
              <w:rPr>
                <w:rFonts w:eastAsia="SimSun"/>
                <w:noProof/>
                <w:lang w:eastAsia="zh-CN"/>
              </w:rPr>
            </w:pPr>
            <w:r>
              <w:rPr>
                <w:rFonts w:eastAsia="SimSun"/>
                <w:b/>
                <w:bCs/>
                <w:noProof/>
                <w:color w:val="000000"/>
                <w:lang w:eastAsia="zh-CN"/>
              </w:rPr>
              <w:t xml:space="preserve">CY, DE, EE, EL, FI, FR, IE, LV, LU, MT, NL, PL, PT, SI, SE, UK </w:t>
            </w:r>
            <w:r>
              <w:rPr>
                <w:rFonts w:eastAsia="SimSun"/>
                <w:noProof/>
                <w:lang w:eastAsia="zh-CN"/>
              </w:rPr>
              <w:t xml:space="preserve">: </w:t>
            </w:r>
            <w:r>
              <w:rPr>
                <w:rFonts w:eastAsia="SimSun"/>
                <w:noProof/>
                <w:lang w:val="fr-CA" w:eastAsia="zh-CN"/>
              </w:rPr>
              <w:t>Néant</w:t>
            </w:r>
            <w:r>
              <w:rPr>
                <w:rFonts w:eastAsia="SimSun"/>
                <w:noProof/>
                <w:lang w:eastAsia="zh-CN"/>
              </w:rPr>
              <w:t>.</w:t>
            </w:r>
          </w:p>
          <w:p>
            <w:pPr>
              <w:spacing w:before="60" w:after="60" w:line="240" w:lineRule="auto"/>
              <w:rPr>
                <w:rFonts w:eastAsia="SimSun"/>
                <w:noProof/>
                <w:lang w:eastAsia="zh-CN"/>
              </w:rPr>
            </w:pPr>
            <w:r>
              <w:rPr>
                <w:rFonts w:eastAsia="SimSun"/>
                <w:b/>
                <w:bCs/>
                <w:noProof/>
                <w:lang w:eastAsia="zh-CN"/>
              </w:rPr>
              <w:t xml:space="preserve">AT, BE, BG, CZ, DK, ES, HR, IT, LT, RO, SK </w:t>
            </w:r>
            <w:r>
              <w:rPr>
                <w:rFonts w:eastAsia="SimSun"/>
                <w:noProof/>
                <w:lang w:eastAsia="zh-CN"/>
              </w:rPr>
              <w:t xml:space="preserve">: </w:t>
            </w:r>
            <w:r>
              <w:rPr>
                <w:rFonts w:eastAsia="SimSun"/>
                <w:noProof/>
                <w:lang w:val="fr-CA" w:eastAsia="zh-CN"/>
              </w:rPr>
              <w:t>Examen des besoins économiques</w:t>
            </w:r>
          </w:p>
          <w:p>
            <w:pPr>
              <w:spacing w:before="60" w:after="60" w:line="240" w:lineRule="auto"/>
              <w:rPr>
                <w:rFonts w:eastAsia="SimSun"/>
                <w:noProof/>
                <w:lang w:eastAsia="zh-CN"/>
              </w:rPr>
            </w:pPr>
            <w:r>
              <w:rPr>
                <w:rFonts w:eastAsia="SimSun"/>
                <w:b/>
                <w:bCs/>
                <w:noProof/>
                <w:lang w:eastAsia="zh-CN"/>
              </w:rPr>
              <w:t xml:space="preserve">HU </w:t>
            </w:r>
            <w:r>
              <w:rPr>
                <w:rFonts w:eastAsia="SimSun"/>
                <w:noProof/>
                <w:lang w:eastAsia="zh-CN"/>
              </w:rPr>
              <w:t xml:space="preserve">: </w:t>
            </w:r>
            <w:r>
              <w:rPr>
                <w:rFonts w:eastAsia="SimSun"/>
                <w:noProof/>
                <w:lang w:val="fr-CA" w:eastAsia="zh-CN"/>
              </w:rPr>
              <w:t>Examen des besoins économiques, sauf pour les services d’arbitrage et de conciliation (CPC 86602), auquel cas : Non consolidé</w:t>
            </w:r>
            <w:r>
              <w:rPr>
                <w:rFonts w:eastAsia="SimSun"/>
                <w:noProof/>
                <w:lang w:eastAsia="zh-CN"/>
              </w:rPr>
              <w:t>.</w:t>
            </w:r>
          </w:p>
          <w:p>
            <w:pPr>
              <w:spacing w:before="60" w:after="60" w:line="240" w:lineRule="auto"/>
              <w:rPr>
                <w:rFonts w:eastAsia="SimSun"/>
                <w:noProof/>
                <w:lang w:eastAsia="zh-CN"/>
              </w:rPr>
            </w:pPr>
            <w:r>
              <w:rPr>
                <w:rFonts w:eastAsia="SimSun"/>
                <w:b/>
                <w:bCs/>
                <w:noProof/>
                <w:lang w:eastAsia="zh-CN"/>
              </w:rPr>
              <w:t xml:space="preserve">CAN </w:t>
            </w:r>
            <w:r>
              <w:rPr>
                <w:rFonts w:eastAsia="SimSun"/>
                <w:noProof/>
                <w:lang w:eastAsia="zh-CN"/>
              </w:rPr>
              <w:t>: Néant.</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Services d’essais et d’analyses techniques</w:t>
            </w:r>
          </w:p>
          <w:p>
            <w:pPr>
              <w:spacing w:before="60" w:after="60" w:line="240" w:lineRule="auto"/>
              <w:rPr>
                <w:rFonts w:eastAsia="SimSun"/>
                <w:noProof/>
                <w:szCs w:val="24"/>
                <w:lang w:val="fr-CA"/>
              </w:rPr>
            </w:pPr>
            <w:r>
              <w:rPr>
                <w:noProof/>
                <w:szCs w:val="24"/>
                <w:lang w:val="fr-CA"/>
              </w:rPr>
              <w:t>(CPC 8676)</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 :</w:t>
            </w:r>
          </w:p>
          <w:p>
            <w:pPr>
              <w:spacing w:before="60" w:after="60" w:line="240" w:lineRule="auto"/>
              <w:rPr>
                <w:rFonts w:eastAsia="SimSun"/>
                <w:noProof/>
                <w:szCs w:val="24"/>
                <w:lang w:val="es-ES"/>
              </w:rPr>
            </w:pPr>
            <w:r>
              <w:rPr>
                <w:b/>
                <w:noProof/>
                <w:color w:val="000000"/>
                <w:szCs w:val="24"/>
                <w:lang w:val="es-ES"/>
              </w:rPr>
              <w:t>BE, CY, DE, EE, EL, ES, FR, HR, IE, IT, LU, NL, PL, SI, SE, UK</w:t>
            </w:r>
            <w:r>
              <w:rPr>
                <w:noProof/>
                <w:szCs w:val="24"/>
                <w:lang w:val="es-ES"/>
              </w:rPr>
              <w:t xml:space="preserve"> : Néant. </w:t>
            </w:r>
          </w:p>
          <w:p>
            <w:pPr>
              <w:spacing w:before="60" w:after="60" w:line="240" w:lineRule="auto"/>
              <w:rPr>
                <w:rFonts w:eastAsia="SimSun"/>
                <w:noProof/>
                <w:szCs w:val="24"/>
                <w:lang w:val="fr-CA"/>
              </w:rPr>
            </w:pPr>
            <w:r>
              <w:rPr>
                <w:b/>
                <w:noProof/>
                <w:szCs w:val="24"/>
                <w:lang w:val="fr-CA"/>
              </w:rPr>
              <w:t>AT, BG, CZ, FI, HU, LT, LV, MT, PT,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spacing w:before="60" w:after="60" w:line="240" w:lineRule="auto"/>
              <w:rPr>
                <w:rFonts w:eastAsia="SimSun"/>
                <w:noProof/>
                <w:szCs w:val="24"/>
                <w:lang w:val="fr-CA"/>
              </w:rPr>
            </w:pPr>
            <w:r>
              <w:rPr>
                <w:b/>
                <w:noProof/>
                <w:szCs w:val="24"/>
                <w:lang w:val="fr-CA"/>
              </w:rPr>
              <w:t>CAN</w:t>
            </w:r>
            <w:r>
              <w:rPr>
                <w:noProof/>
                <w:szCs w:val="24"/>
                <w:lang w:val="fr-CA"/>
              </w:rPr>
              <w:t xml:space="preserve"> : Néant.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Services connexes de consultations scientifiques et techniques</w:t>
            </w:r>
          </w:p>
          <w:p>
            <w:pPr>
              <w:spacing w:before="60" w:after="60" w:line="240" w:lineRule="auto"/>
              <w:rPr>
                <w:rFonts w:eastAsia="SimSun"/>
                <w:noProof/>
                <w:szCs w:val="24"/>
              </w:rPr>
            </w:pPr>
            <w:r>
              <w:rPr>
                <w:noProof/>
                <w:szCs w:val="24"/>
              </w:rPr>
              <w:t>(CPC 8675)</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noProof/>
                <w:szCs w:val="24"/>
                <w:lang w:val="es-ES"/>
              </w:rPr>
            </w:pPr>
            <w:r>
              <w:rPr>
                <w:b/>
                <w:noProof/>
                <w:color w:val="000000"/>
                <w:szCs w:val="24"/>
                <w:lang w:val="es-ES"/>
              </w:rPr>
              <w:t>BE, CY, EE, EL, ES, HR, IE, IT, LU, NL, PL, SI, SE, UK</w:t>
            </w:r>
            <w:r>
              <w:rPr>
                <w:noProof/>
                <w:szCs w:val="24"/>
                <w:lang w:val="es-ES"/>
              </w:rPr>
              <w:t xml:space="preserve"> : Néant. </w:t>
            </w:r>
          </w:p>
          <w:p>
            <w:pPr>
              <w:spacing w:before="60" w:after="60" w:line="240" w:lineRule="auto"/>
              <w:rPr>
                <w:rFonts w:eastAsia="SimSun"/>
                <w:noProof/>
                <w:szCs w:val="24"/>
                <w:lang w:val="fr-CA"/>
              </w:rPr>
            </w:pPr>
            <w:r>
              <w:rPr>
                <w:b/>
                <w:noProof/>
                <w:szCs w:val="24"/>
                <w:lang w:val="fr-CA"/>
              </w:rPr>
              <w:t>AT, CZ, DE, DK, FI, HU, LT, LV, MT, PT, RO, SK</w:t>
            </w:r>
            <w:r>
              <w:rPr>
                <w:noProof/>
                <w:szCs w:val="24"/>
                <w:lang w:val="fr-CA"/>
              </w:rPr>
              <w:t xml:space="preserve"> : Examen des besoins économiques. </w:t>
            </w:r>
          </w:p>
          <w:p>
            <w:pPr>
              <w:keepNext/>
              <w:keepLines/>
              <w:suppressAutoHyphens/>
              <w:spacing w:before="60" w:after="60" w:line="240" w:lineRule="auto"/>
              <w:rPr>
                <w:rFonts w:eastAsia="SimSun"/>
                <w:noProof/>
                <w:color w:val="000000"/>
                <w:szCs w:val="24"/>
                <w:lang w:val="fr-CA"/>
              </w:rPr>
            </w:pPr>
            <w:r>
              <w:rPr>
                <w:b/>
                <w:noProof/>
                <w:color w:val="000000"/>
                <w:szCs w:val="24"/>
                <w:lang w:val="fr-CA"/>
              </w:rPr>
              <w:t>DE</w:t>
            </w:r>
            <w:r>
              <w:rPr>
                <w:noProof/>
                <w:color w:val="000000"/>
                <w:szCs w:val="24"/>
                <w:lang w:val="fr-CA"/>
              </w:rPr>
              <w:t> :</w:t>
            </w:r>
            <w:r>
              <w:rPr>
                <w:b/>
                <w:noProof/>
                <w:color w:val="000000"/>
                <w:szCs w:val="24"/>
                <w:lang w:val="fr-CA"/>
              </w:rPr>
              <w:t xml:space="preserve"> </w:t>
            </w:r>
            <w:r>
              <w:rPr>
                <w:noProof/>
                <w:color w:val="000000"/>
                <w:szCs w:val="24"/>
                <w:lang w:val="fr-CA"/>
              </w:rPr>
              <w:t>Néant, sauf pour les géomètres de l’administration publique, auquel cas : Non consolidé.</w:t>
            </w:r>
          </w:p>
          <w:p>
            <w:pPr>
              <w:keepNext/>
              <w:keepLines/>
              <w:suppressAutoHyphens/>
              <w:spacing w:before="60" w:after="60" w:line="240" w:lineRule="auto"/>
              <w:rPr>
                <w:rFonts w:eastAsia="SimSun"/>
                <w:noProof/>
                <w:szCs w:val="24"/>
                <w:lang w:val="fr-CA"/>
              </w:rPr>
            </w:pPr>
            <w:r>
              <w:rPr>
                <w:b/>
                <w:noProof/>
                <w:szCs w:val="24"/>
                <w:lang w:val="fr-CA"/>
              </w:rPr>
              <w:t>FR</w:t>
            </w:r>
            <w:r>
              <w:rPr>
                <w:noProof/>
                <w:szCs w:val="24"/>
                <w:lang w:val="fr-CA"/>
              </w:rPr>
              <w:t> :</w:t>
            </w:r>
            <w:r>
              <w:rPr>
                <w:b/>
                <w:noProof/>
                <w:szCs w:val="24"/>
                <w:lang w:val="fr-CA"/>
              </w:rPr>
              <w:t xml:space="preserve"> </w:t>
            </w:r>
            <w:r>
              <w:rPr>
                <w:noProof/>
                <w:szCs w:val="24"/>
                <w:lang w:val="fr-CA"/>
              </w:rPr>
              <w:t xml:space="preserve">Néant, sauf pour les opérations de « levés » liées à la détermination des droits de propriété ou au droit foncier, auquel cas : Non consolidé. </w:t>
            </w:r>
          </w:p>
          <w:p>
            <w:pPr>
              <w:keepNext/>
              <w:keepLines/>
              <w:suppressAutoHyphens/>
              <w:spacing w:before="60" w:after="60" w:line="240" w:lineRule="auto"/>
              <w:rPr>
                <w:rFonts w:eastAsia="SimSun"/>
                <w:noProof/>
                <w:szCs w:val="24"/>
                <w:lang w:val="fr-CA"/>
              </w:rPr>
            </w:pPr>
            <w:r>
              <w:rPr>
                <w:b/>
                <w:noProof/>
                <w:szCs w:val="24"/>
                <w:lang w:val="fr-CA"/>
              </w:rPr>
              <w:t>BG :</w:t>
            </w:r>
            <w:r>
              <w:rPr>
                <w:noProof/>
                <w:szCs w:val="24"/>
                <w:lang w:val="fr-CA"/>
              </w:rPr>
              <w:t xml:space="preserve">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zCs w:val="24"/>
                <w:lang w:val="fr-CA"/>
              </w:rPr>
              <w:t>Industries extractives</w:t>
            </w:r>
            <w:r>
              <w:rPr>
                <w:noProof/>
                <w:szCs w:val="24"/>
                <w:lang w:val="fr-CA"/>
              </w:rPr>
              <w:t xml:space="preserve"> (CPC 883, services de conseils et de consultation seulement)</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 xml:space="preserve">BE, </w:t>
            </w:r>
            <w:r>
              <w:rPr>
                <w:b/>
                <w:noProof/>
                <w:color w:val="000000"/>
                <w:szCs w:val="24"/>
                <w:lang w:val="fr-CA"/>
              </w:rPr>
              <w:t>CY, DE, EE, EL, ES, FI, FR, HR, IE, IT, LV, LU, MT, NL, PL, PT, SI,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BG, CZ, HU,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u w:val="single"/>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EL, FI, FR, HR, IE, LV, LU, MT, NL, PT, SI,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ES, HU, IT, LT, PL, RO, SK</w:t>
            </w:r>
            <w:r>
              <w:rPr>
                <w:noProof/>
                <w:szCs w:val="24"/>
                <w:lang w:val="fr-CA"/>
              </w:rPr>
              <w:t> : Examen des besoins économiques.</w:t>
            </w:r>
          </w:p>
          <w:p>
            <w:pPr>
              <w:tabs>
                <w:tab w:val="left" w:pos="279"/>
              </w:tabs>
              <w:spacing w:before="60" w:after="60" w:line="240" w:lineRule="auto"/>
              <w:rPr>
                <w:rFonts w:eastAsia="SimSun"/>
                <w:noProof/>
                <w:szCs w:val="24"/>
              </w:rPr>
            </w:pPr>
            <w:r>
              <w:rPr>
                <w:b/>
                <w:noProof/>
                <w:szCs w:val="24"/>
              </w:rPr>
              <w:t>CAN :</w:t>
            </w:r>
            <w:r>
              <w:rPr>
                <w:noProof/>
                <w:szCs w:val="24"/>
              </w:rPr>
              <w:t xml:space="preserve"> Néant.</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Entretien et réparation de navires</w:t>
            </w:r>
          </w:p>
          <w:p>
            <w:pPr>
              <w:spacing w:before="60" w:after="60" w:line="240" w:lineRule="auto"/>
              <w:rPr>
                <w:rFonts w:eastAsia="SimSun"/>
                <w:noProof/>
                <w:szCs w:val="24"/>
                <w:lang w:val="fr-CA"/>
              </w:rPr>
            </w:pPr>
            <w:r>
              <w:rPr>
                <w:noProof/>
                <w:spacing w:val="-2"/>
                <w:szCs w:val="24"/>
                <w:lang w:val="fr-CA"/>
              </w:rPr>
              <w:t>(partie de CPC 8868)</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b/>
                <w:noProof/>
                <w:szCs w:val="24"/>
                <w:lang w:val="es-ES"/>
              </w:rPr>
            </w:pPr>
            <w:r>
              <w:rPr>
                <w:b/>
                <w:noProof/>
                <w:color w:val="000000"/>
                <w:szCs w:val="24"/>
                <w:lang w:val="es-ES"/>
              </w:rPr>
              <w:t>BE, CY, EE, EL, ES, FR, HR, IT, LV, LU, NL, PL, PT, SI, SE, UK</w:t>
            </w:r>
            <w:r>
              <w:rPr>
                <w:noProof/>
                <w:szCs w:val="24"/>
                <w:lang w:val="es-ES"/>
              </w:rPr>
              <w:t> : Néant</w:t>
            </w:r>
          </w:p>
          <w:p>
            <w:pPr>
              <w:spacing w:before="60" w:after="60" w:line="240" w:lineRule="auto"/>
              <w:rPr>
                <w:rFonts w:eastAsia="SimSun"/>
                <w:noProof/>
                <w:szCs w:val="24"/>
                <w:lang w:val="fr-CA"/>
              </w:rPr>
            </w:pPr>
            <w:r>
              <w:rPr>
                <w:b/>
                <w:noProof/>
                <w:szCs w:val="24"/>
                <w:lang w:val="fr-CA"/>
              </w:rPr>
              <w:t>AT, BG, CZ, DE, DK, FI, HU, IE, LT, MT,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Entretien et réparation de matériel de transport ferroviaire</w:t>
            </w:r>
          </w:p>
          <w:p>
            <w:pPr>
              <w:spacing w:before="60" w:after="60" w:line="240" w:lineRule="auto"/>
              <w:rPr>
                <w:rFonts w:eastAsia="SimSun"/>
                <w:noProof/>
                <w:szCs w:val="24"/>
              </w:rPr>
            </w:pPr>
            <w:r>
              <w:rPr>
                <w:noProof/>
                <w:spacing w:val="-2"/>
                <w:szCs w:val="24"/>
              </w:rPr>
              <w:t>(partie de CPC 8868)</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szCs w:val="24"/>
              </w:rPr>
            </w:pPr>
            <w:r>
              <w:rPr>
                <w:b/>
                <w:noProof/>
                <w:color w:val="000000"/>
                <w:szCs w:val="24"/>
              </w:rPr>
              <w:t>BE, CY, EE, EL, ES, FR, HR, IT, LV, LU, MT, NL, PL, PT, SI, SE, UK</w:t>
            </w:r>
            <w:r>
              <w:rPr>
                <w:noProof/>
                <w:szCs w:val="24"/>
              </w:rPr>
              <w:t> : Néant.</w:t>
            </w:r>
          </w:p>
          <w:p>
            <w:pPr>
              <w:keepNext/>
              <w:keepLines/>
              <w:tabs>
                <w:tab w:val="left" w:pos="306"/>
              </w:tabs>
              <w:suppressAutoHyphens/>
              <w:spacing w:before="60" w:after="60" w:line="240" w:lineRule="auto"/>
              <w:rPr>
                <w:rFonts w:eastAsia="SimSun"/>
                <w:noProof/>
                <w:szCs w:val="24"/>
                <w:lang w:val="fr-CA"/>
              </w:rPr>
            </w:pPr>
            <w:r>
              <w:rPr>
                <w:b/>
                <w:noProof/>
                <w:szCs w:val="24"/>
                <w:lang w:val="fr-CA"/>
              </w:rPr>
              <w:t>AT, BG, CZ, DE, DK, FI, HU, IE,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i/>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Entretien et réparation de véhicules automobiles, de motocycles, de motoneiges et de matériel de transport routier</w:t>
            </w:r>
          </w:p>
          <w:p>
            <w:pPr>
              <w:spacing w:before="60" w:after="60" w:line="240" w:lineRule="auto"/>
              <w:rPr>
                <w:rFonts w:eastAsia="SimSun"/>
                <w:noProof/>
                <w:szCs w:val="24"/>
                <w:lang w:val="fr-CA"/>
              </w:rPr>
            </w:pPr>
            <w:r>
              <w:rPr>
                <w:noProof/>
                <w:spacing w:val="-2"/>
                <w:szCs w:val="24"/>
                <w:lang w:val="fr-CA"/>
              </w:rPr>
              <w:t>(CPC 6112, 6122, partie de 8867 et partie de 8868)</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noProof/>
                <w:szCs w:val="24"/>
                <w:lang w:val="es-ES"/>
              </w:rPr>
            </w:pPr>
            <w:r>
              <w:rPr>
                <w:b/>
                <w:noProof/>
                <w:color w:val="000000"/>
                <w:szCs w:val="24"/>
                <w:lang w:val="es-ES"/>
              </w:rPr>
              <w:t>BE, CY, EE, EL, ES, FR, HR, IT, LV, LU, NL, PL, PT, SI, SE, UK</w:t>
            </w:r>
            <w:r>
              <w:rPr>
                <w:noProof/>
                <w:szCs w:val="24"/>
                <w:lang w:val="es-ES"/>
              </w:rPr>
              <w:t> : Néant.</w:t>
            </w:r>
          </w:p>
          <w:p>
            <w:pPr>
              <w:keepNext/>
              <w:keepLines/>
              <w:tabs>
                <w:tab w:val="left" w:pos="306"/>
              </w:tabs>
              <w:suppressAutoHyphens/>
              <w:spacing w:before="60" w:after="60" w:line="240" w:lineRule="auto"/>
              <w:rPr>
                <w:rFonts w:eastAsia="SimSun"/>
                <w:noProof/>
                <w:szCs w:val="24"/>
                <w:lang w:val="fr-CA"/>
              </w:rPr>
            </w:pPr>
            <w:r>
              <w:rPr>
                <w:b/>
                <w:noProof/>
                <w:szCs w:val="24"/>
                <w:lang w:val="fr-CA"/>
              </w:rPr>
              <w:t>AT, BG, CZ, DE, DK, FI, HU, IE, LT, MT,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Entretien et réparation des aéronefs et de leurs parties</w:t>
            </w:r>
          </w:p>
          <w:p>
            <w:pPr>
              <w:spacing w:before="60" w:after="60" w:line="240" w:lineRule="auto"/>
              <w:rPr>
                <w:rFonts w:eastAsia="SimSun"/>
                <w:noProof/>
                <w:szCs w:val="24"/>
              </w:rPr>
            </w:pPr>
            <w:r>
              <w:rPr>
                <w:noProof/>
                <w:spacing w:val="-2"/>
                <w:szCs w:val="24"/>
              </w:rPr>
              <w:t>(partie de CPC 8868)</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szCs w:val="24"/>
              </w:rPr>
            </w:pPr>
            <w:r>
              <w:rPr>
                <w:b/>
                <w:noProof/>
                <w:color w:val="000000"/>
                <w:szCs w:val="24"/>
              </w:rPr>
              <w:t>BE, CY, EE, EL, ES, FR, HR, IT, LV, LU, MT, NL, PL, PT, SI, SE, UK</w:t>
            </w:r>
            <w:r>
              <w:rPr>
                <w:noProof/>
                <w:szCs w:val="24"/>
              </w:rPr>
              <w:t> : Néant.</w:t>
            </w:r>
          </w:p>
          <w:p>
            <w:pPr>
              <w:keepNext/>
              <w:keepLines/>
              <w:tabs>
                <w:tab w:val="left" w:pos="306"/>
              </w:tabs>
              <w:suppressAutoHyphens/>
              <w:spacing w:before="60" w:after="60" w:line="240" w:lineRule="auto"/>
              <w:rPr>
                <w:rFonts w:eastAsia="SimSun"/>
                <w:noProof/>
                <w:szCs w:val="24"/>
                <w:lang w:val="fr-CA"/>
              </w:rPr>
            </w:pPr>
            <w:r>
              <w:rPr>
                <w:b/>
                <w:noProof/>
                <w:szCs w:val="24"/>
                <w:lang w:val="fr-CA"/>
              </w:rPr>
              <w:t>AT, BG, CZ, DE, DK, FI, HU, IE,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Entretien et réparation d’ouvrages en métaux, de machines (autres que les machines de bureau), de matériel (autre que le matériel de transport et le matériel de bureau) et d’articles personnels et domestiques</w:t>
            </w:r>
            <w:r>
              <w:rPr>
                <w:rStyle w:val="FootnoteReference"/>
                <w:rFonts w:eastAsiaTheme="minorHAnsi"/>
                <w:noProof/>
                <w:szCs w:val="24"/>
              </w:rPr>
              <w:footnoteReference w:id="9"/>
            </w:r>
          </w:p>
          <w:p>
            <w:pPr>
              <w:spacing w:before="60" w:after="60" w:line="240" w:lineRule="auto"/>
              <w:rPr>
                <w:rFonts w:eastAsia="SimSun"/>
                <w:noProof/>
                <w:szCs w:val="24"/>
              </w:rPr>
            </w:pPr>
            <w:r>
              <w:rPr>
                <w:noProof/>
                <w:spacing w:val="-2"/>
                <w:szCs w:val="24"/>
              </w:rPr>
              <w:t>(CPC 633, 7545, 8861, 8862, 8864, 8865 et 8866)</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szCs w:val="24"/>
              </w:rPr>
            </w:pPr>
            <w:r>
              <w:rPr>
                <w:b/>
                <w:noProof/>
                <w:color w:val="000000"/>
                <w:szCs w:val="24"/>
              </w:rPr>
              <w:t>BE, CY, EE, EL, ES, FR, HR, IT, LV, LU, MT, NL, PL, PT, SI, SE, UK</w:t>
            </w:r>
            <w:r>
              <w:rPr>
                <w:noProof/>
                <w:szCs w:val="24"/>
              </w:rPr>
              <w:t> : Néant.</w:t>
            </w:r>
          </w:p>
          <w:p>
            <w:pPr>
              <w:keepNext/>
              <w:keepLines/>
              <w:tabs>
                <w:tab w:val="left" w:pos="306"/>
              </w:tabs>
              <w:suppressAutoHyphens/>
              <w:spacing w:before="60" w:after="60" w:line="240" w:lineRule="auto"/>
              <w:rPr>
                <w:rFonts w:eastAsia="SimSun"/>
                <w:noProof/>
                <w:szCs w:val="24"/>
                <w:lang w:val="fr-CA"/>
              </w:rPr>
            </w:pPr>
            <w:r>
              <w:rPr>
                <w:b/>
                <w:noProof/>
                <w:szCs w:val="24"/>
                <w:lang w:val="fr-CA"/>
              </w:rPr>
              <w:t>AT, BG, CZ, DE, DK, HU, IE, LT, RO, SK</w:t>
            </w:r>
            <w:r>
              <w:rPr>
                <w:noProof/>
                <w:szCs w:val="24"/>
                <w:lang w:val="fr-CA"/>
              </w:rPr>
              <w:t> : Examen des besoins économiques.</w:t>
            </w:r>
          </w:p>
          <w:p>
            <w:pPr>
              <w:keepNext/>
              <w:keepLines/>
              <w:tabs>
                <w:tab w:val="left" w:pos="306"/>
              </w:tabs>
              <w:suppressAutoHyphens/>
              <w:spacing w:before="60" w:after="60" w:line="240" w:lineRule="auto"/>
              <w:rPr>
                <w:rFonts w:eastAsia="SimSun"/>
                <w:noProof/>
                <w:szCs w:val="24"/>
                <w:lang w:val="fr-CA"/>
              </w:rPr>
            </w:pPr>
            <w:r>
              <w:rPr>
                <w:b/>
                <w:noProof/>
                <w:szCs w:val="24"/>
                <w:lang w:val="fr-CA"/>
              </w:rPr>
              <w:t>FI</w:t>
            </w:r>
            <w:r>
              <w:rPr>
                <w:noProof/>
                <w:szCs w:val="24"/>
                <w:lang w:val="fr-CA"/>
              </w:rPr>
              <w:t> : Non consolidé, sauf dans le contexte d’un contrat de service après-vente ou après-location, auquel cas : la durée du séjour est limitée à six mois; en ce qui concerne l’entretien et la réparation d’articles personnels et domestiques (CPC 633) : Examen des besoins économiques.</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des services publics,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noProof/>
                <w:szCs w:val="24"/>
                <w:lang w:val="fr-CA"/>
              </w:rPr>
            </w:pPr>
            <w:r>
              <w:rPr>
                <w:b/>
                <w:noProof/>
                <w:szCs w:val="24"/>
                <w:lang w:val="fr-CA"/>
              </w:rPr>
              <w:t>Services de traduction et d’interprétation</w:t>
            </w:r>
          </w:p>
          <w:p>
            <w:pPr>
              <w:spacing w:before="60" w:after="60" w:line="240" w:lineRule="auto"/>
              <w:rPr>
                <w:rFonts w:eastAsia="SimSun"/>
                <w:noProof/>
                <w:szCs w:val="24"/>
                <w:lang w:val="fr-CA"/>
              </w:rPr>
            </w:pPr>
            <w:r>
              <w:rPr>
                <w:noProof/>
                <w:szCs w:val="24"/>
                <w:lang w:val="fr-CA"/>
              </w:rPr>
              <w:t>(CPC 87905, à l’exclusion des activités officielles ou certifiées)</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79"/>
              </w:tabs>
              <w:spacing w:before="60" w:after="60" w:line="240" w:lineRule="auto"/>
              <w:rPr>
                <w:rFonts w:eastAsia="SimSun"/>
                <w:noProof/>
                <w:szCs w:val="24"/>
                <w:lang w:val="es-ES"/>
              </w:rPr>
            </w:pPr>
            <w:r>
              <w:rPr>
                <w:b/>
                <w:noProof/>
                <w:szCs w:val="24"/>
                <w:lang w:val="es-ES"/>
              </w:rPr>
              <w:t>BE,</w:t>
            </w:r>
            <w:r>
              <w:rPr>
                <w:noProof/>
                <w:szCs w:val="24"/>
                <w:lang w:val="es-ES"/>
              </w:rPr>
              <w:t xml:space="preserve"> </w:t>
            </w:r>
            <w:r>
              <w:rPr>
                <w:b/>
                <w:noProof/>
                <w:color w:val="000000"/>
                <w:szCs w:val="24"/>
                <w:lang w:val="es-ES"/>
              </w:rPr>
              <w:t>CY, DE, EE, EL, ES, FR, HR, IT, LU, MT, NL, PL, PT, SI, SE, UK</w:t>
            </w:r>
            <w:r>
              <w:rPr>
                <w:noProof/>
                <w:szCs w:val="24"/>
                <w:lang w:val="es-ES"/>
              </w:rPr>
              <w:t> : Néant.</w:t>
            </w:r>
          </w:p>
          <w:p>
            <w:pPr>
              <w:tabs>
                <w:tab w:val="left" w:pos="279"/>
              </w:tabs>
              <w:spacing w:before="60" w:after="60" w:line="240" w:lineRule="auto"/>
              <w:rPr>
                <w:rFonts w:eastAsia="SimSun"/>
                <w:noProof/>
                <w:szCs w:val="24"/>
                <w:lang w:val="fr-CA"/>
              </w:rPr>
            </w:pPr>
            <w:r>
              <w:rPr>
                <w:b/>
                <w:noProof/>
                <w:szCs w:val="24"/>
                <w:lang w:val="fr-CA"/>
              </w:rPr>
              <w:t>AT, BG, CZ, DK, FI, HU, IE, LT, LV,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tabs>
                <w:tab w:val="left" w:pos="279"/>
              </w:tabs>
              <w:spacing w:before="60" w:after="60" w:line="240" w:lineRule="auto"/>
              <w:rPr>
                <w:rFonts w:eastAsia="SimSun"/>
                <w:noProof/>
                <w:szCs w:val="24"/>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color w:val="000000"/>
                <w:szCs w:val="24"/>
                <w:lang w:val="fr-CA"/>
              </w:rPr>
              <w:t>CY, DE, EE, FR, LU, LV, MT, NL, PL, PT, SI, SE, UK</w:t>
            </w:r>
            <w:r>
              <w:rPr>
                <w:noProof/>
                <w:szCs w:val="24"/>
                <w:lang w:val="fr-CA"/>
              </w:rPr>
              <w:t> : Néant.</w:t>
            </w:r>
          </w:p>
          <w:p>
            <w:pPr>
              <w:tabs>
                <w:tab w:val="left" w:pos="279"/>
              </w:tabs>
              <w:spacing w:before="60" w:after="60" w:line="240" w:lineRule="auto"/>
              <w:rPr>
                <w:rFonts w:eastAsia="SimSun"/>
                <w:noProof/>
                <w:szCs w:val="24"/>
                <w:lang w:val="fr-CA"/>
              </w:rPr>
            </w:pPr>
            <w:r>
              <w:rPr>
                <w:b/>
                <w:noProof/>
                <w:szCs w:val="24"/>
                <w:lang w:val="fr-CA"/>
              </w:rPr>
              <w:t>AT, BE, BG, CZ, DK, EL, ES, FI, HU, IE, IT,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HR</w:t>
            </w:r>
            <w:r>
              <w:rPr>
                <w:noProof/>
                <w:szCs w:val="24"/>
                <w:lang w:val="fr-CA"/>
              </w:rPr>
              <w:t> :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pacing w:val="-2"/>
                <w:szCs w:val="24"/>
                <w:lang w:val="fr-CA"/>
              </w:rPr>
              <w:t xml:space="preserve">Services de télécommunications </w:t>
            </w:r>
            <w:r>
              <w:rPr>
                <w:noProof/>
                <w:szCs w:val="24"/>
                <w:lang w:val="fr-CA"/>
              </w:rPr>
              <w:t>(CPC 7544, services de conseils et de consultation seulement)</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 xml:space="preserve">BE, </w:t>
            </w:r>
            <w:r>
              <w:rPr>
                <w:b/>
                <w:noProof/>
                <w:color w:val="000000"/>
                <w:szCs w:val="24"/>
                <w:lang w:val="fr-CA"/>
              </w:rPr>
              <w:t>CY, DE, EE, EL, ES, FI, FR, HR, IE, IT, LV, LU, MT, NL, PL, PT, SI, SE, UK</w:t>
            </w:r>
            <w:r>
              <w:rPr>
                <w:noProof/>
                <w:szCs w:val="24"/>
                <w:lang w:val="fr-CA"/>
              </w:rPr>
              <w:t xml:space="preserve"> : Néant. </w:t>
            </w:r>
          </w:p>
          <w:p>
            <w:pPr>
              <w:tabs>
                <w:tab w:val="left" w:pos="279"/>
              </w:tabs>
              <w:spacing w:before="60" w:after="60" w:line="240" w:lineRule="auto"/>
              <w:rPr>
                <w:rFonts w:eastAsia="SimSun"/>
                <w:noProof/>
                <w:szCs w:val="24"/>
                <w:lang w:val="fr-CA"/>
              </w:rPr>
            </w:pPr>
            <w:r>
              <w:rPr>
                <w:b/>
                <w:noProof/>
                <w:szCs w:val="24"/>
                <w:lang w:val="fr-CA"/>
              </w:rPr>
              <w:t>AT, BG, CZ, HU,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 Examen des besoins économiques, sauf pour les séjours des FSC d’au plus trois mois.</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p>
            <w:pPr>
              <w:tabs>
                <w:tab w:val="left" w:pos="279"/>
              </w:tabs>
              <w:spacing w:before="60" w:after="60" w:line="240" w:lineRule="auto"/>
              <w:rPr>
                <w:rFonts w:eastAsia="SimSun"/>
                <w:noProof/>
                <w:szCs w:val="24"/>
                <w:lang w:val="fr-CA"/>
              </w:rPr>
            </w:pPr>
          </w:p>
          <w:p>
            <w:pPr>
              <w:spacing w:before="60" w:after="60" w:line="240" w:lineRule="auto"/>
              <w:rPr>
                <w:rFonts w:eastAsia="SimSun"/>
                <w:noProof/>
                <w:szCs w:val="24"/>
                <w:u w:val="single"/>
                <w:lang w:val="es-ES"/>
              </w:rPr>
            </w:pPr>
            <w:r>
              <w:rPr>
                <w:noProof/>
                <w:szCs w:val="24"/>
                <w:u w:val="single"/>
                <w:lang w:val="es-ES"/>
              </w:rPr>
              <w:t>PI</w:t>
            </w:r>
            <w:r>
              <w:rPr>
                <w:noProof/>
                <w:szCs w:val="24"/>
                <w:lang w:val="es-ES"/>
              </w:rPr>
              <w:t> :</w:t>
            </w:r>
          </w:p>
          <w:p>
            <w:pPr>
              <w:tabs>
                <w:tab w:val="left" w:pos="279"/>
              </w:tabs>
              <w:spacing w:before="60" w:after="60" w:line="240" w:lineRule="auto"/>
              <w:rPr>
                <w:rFonts w:eastAsia="SimSun"/>
                <w:noProof/>
                <w:szCs w:val="24"/>
                <w:lang w:val="es-ES"/>
              </w:rPr>
            </w:pPr>
            <w:r>
              <w:rPr>
                <w:b/>
                <w:noProof/>
                <w:color w:val="000000"/>
                <w:szCs w:val="24"/>
                <w:lang w:val="es-ES"/>
              </w:rPr>
              <w:t>CY, DE, EE, EL, FI, FR, HR, IE, LV, LU, MT, NL, PL, PT, SI,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ES, HU, IT,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pacing w:val="-2"/>
                <w:szCs w:val="24"/>
                <w:lang w:val="fr-CA"/>
              </w:rPr>
              <w:t xml:space="preserve">Services de poste et de courrier </w:t>
            </w:r>
            <w:r>
              <w:rPr>
                <w:noProof/>
                <w:szCs w:val="24"/>
                <w:lang w:val="fr-CA"/>
              </w:rPr>
              <w:t>(CPC 751, services de conseils et de consultation seulement)</w:t>
            </w:r>
          </w:p>
          <w:p>
            <w:pPr>
              <w:spacing w:before="60" w:after="60" w:line="240" w:lineRule="auto"/>
              <w:rPr>
                <w:rFonts w:eastAsia="SimSun"/>
                <w:noProof/>
                <w:szCs w:val="24"/>
                <w:lang w:val="fr-CA"/>
              </w:rPr>
            </w:pP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79"/>
              </w:tabs>
              <w:spacing w:before="60" w:after="60" w:line="240" w:lineRule="auto"/>
              <w:rPr>
                <w:rFonts w:eastAsia="SimSun"/>
                <w:noProof/>
                <w:szCs w:val="24"/>
                <w:lang w:val="es-ES"/>
              </w:rPr>
            </w:pPr>
            <w:r>
              <w:rPr>
                <w:b/>
                <w:noProof/>
                <w:szCs w:val="24"/>
                <w:lang w:val="es-ES"/>
              </w:rPr>
              <w:t>BE</w:t>
            </w:r>
            <w:r>
              <w:rPr>
                <w:noProof/>
                <w:szCs w:val="24"/>
                <w:lang w:val="es-ES"/>
              </w:rPr>
              <w:t xml:space="preserve">, </w:t>
            </w:r>
            <w:r>
              <w:rPr>
                <w:b/>
                <w:noProof/>
                <w:color w:val="000000"/>
                <w:szCs w:val="24"/>
                <w:lang w:val="es-ES"/>
              </w:rPr>
              <w:t>CY, DE, EE, EL, ES, FR, HR, IE, IT, LV, LU, MT, NL, PL, PT, SI,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BG, CZ, FI, HU,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 Examen des besoins économiques, sauf pour les séjours des FSC d’au plus trois mois.</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p>
            <w:pPr>
              <w:tabs>
                <w:tab w:val="left" w:pos="279"/>
              </w:tabs>
              <w:spacing w:before="60" w:after="60" w:line="240" w:lineRule="auto"/>
              <w:rPr>
                <w:rFonts w:eastAsia="SimSun"/>
                <w:noProof/>
                <w:szCs w:val="24"/>
                <w:lang w:val="fr-CA"/>
              </w:rPr>
            </w:pPr>
          </w:p>
          <w:p>
            <w:pPr>
              <w:spacing w:before="60" w:after="60" w:line="240" w:lineRule="auto"/>
              <w:rPr>
                <w:rFonts w:eastAsia="SimSun"/>
                <w:noProof/>
                <w:szCs w:val="24"/>
                <w:lang w:val="es-ES"/>
              </w:rPr>
            </w:pPr>
            <w:r>
              <w:rPr>
                <w:noProof/>
                <w:szCs w:val="24"/>
                <w:u w:val="single"/>
                <w:lang w:val="es-ES"/>
              </w:rPr>
              <w:t>PI</w:t>
            </w:r>
            <w:r>
              <w:rPr>
                <w:noProof/>
                <w:szCs w:val="24"/>
                <w:lang w:val="es-ES"/>
              </w:rPr>
              <w:t> :</w:t>
            </w:r>
          </w:p>
          <w:p>
            <w:pPr>
              <w:tabs>
                <w:tab w:val="left" w:pos="279"/>
              </w:tabs>
              <w:spacing w:before="60" w:after="60" w:line="240" w:lineRule="auto"/>
              <w:rPr>
                <w:rFonts w:eastAsia="SimSun"/>
                <w:noProof/>
                <w:szCs w:val="24"/>
                <w:lang w:val="es-ES"/>
              </w:rPr>
            </w:pPr>
            <w:r>
              <w:rPr>
                <w:b/>
                <w:noProof/>
                <w:color w:val="000000"/>
                <w:szCs w:val="24"/>
                <w:lang w:val="es-ES"/>
              </w:rPr>
              <w:t>CY, DE, EE, EL, FR, HR, IE, LV, LU, MT, NL, PL, PT, SI,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ES, FI, HU, IT,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tc>
      </w:tr>
      <w:tr>
        <w:trPr>
          <w:cantSplit/>
          <w:jc w:val="center"/>
        </w:trPr>
        <w:tc>
          <w:tcPr>
            <w:tcW w:w="2977" w:type="dxa"/>
            <w:shd w:val="clear" w:color="auto" w:fill="FFFFFF"/>
          </w:tcPr>
          <w:p>
            <w:pPr>
              <w:pageBreakBefore/>
              <w:suppressAutoHyphens/>
              <w:spacing w:before="60" w:after="60" w:line="240" w:lineRule="auto"/>
              <w:rPr>
                <w:rFonts w:eastAsia="SimSun"/>
                <w:b/>
                <w:noProof/>
                <w:spacing w:val="-2"/>
                <w:szCs w:val="24"/>
                <w:lang w:val="fr-CA"/>
              </w:rPr>
            </w:pPr>
            <w:r>
              <w:rPr>
                <w:b/>
                <w:noProof/>
                <w:spacing w:val="-2"/>
                <w:szCs w:val="24"/>
                <w:lang w:val="fr-CA"/>
              </w:rPr>
              <w:t>Services de construction et services d’ingénierie connexes</w:t>
            </w:r>
          </w:p>
          <w:p>
            <w:pPr>
              <w:spacing w:before="60" w:after="60" w:line="240" w:lineRule="auto"/>
              <w:rPr>
                <w:noProof/>
                <w:spacing w:val="-2"/>
                <w:szCs w:val="24"/>
                <w:lang w:val="fr-CA"/>
              </w:rPr>
            </w:pPr>
            <w:r>
              <w:rPr>
                <w:noProof/>
                <w:spacing w:val="-2"/>
                <w:szCs w:val="24"/>
                <w:lang w:val="fr-CA"/>
              </w:rPr>
              <w:t xml:space="preserve">(CPC 511, 512, 513, 514, 515, 516, 517 et 518. </w:t>
            </w:r>
          </w:p>
          <w:p>
            <w:pPr>
              <w:spacing w:before="60" w:after="60" w:line="240" w:lineRule="auto"/>
              <w:rPr>
                <w:rFonts w:eastAsia="SimSun"/>
                <w:noProof/>
                <w:szCs w:val="24"/>
                <w:lang w:val="fr-CA"/>
              </w:rPr>
            </w:pPr>
            <w:r>
              <w:rPr>
                <w:noProof/>
                <w:spacing w:val="-2"/>
                <w:szCs w:val="24"/>
                <w:lang w:val="fr-CA"/>
              </w:rPr>
              <w:t>BG : CPC 512, 5131, 5132, 5135, 514, 5161, 5162, 51641, 51643, 51644, 5165 et 517)</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1440"/>
                <w:tab w:val="left" w:pos="-720"/>
                <w:tab w:val="left" w:pos="0"/>
                <w:tab w:val="left" w:pos="306"/>
                <w:tab w:val="left" w:pos="731"/>
                <w:tab w:val="left" w:pos="1156"/>
                <w:tab w:val="left" w:pos="1678"/>
                <w:tab w:val="left" w:pos="5040"/>
              </w:tabs>
              <w:suppressAutoHyphens/>
              <w:spacing w:before="60" w:after="60" w:line="240" w:lineRule="auto"/>
              <w:rPr>
                <w:rFonts w:eastAsia="SimSun"/>
                <w:noProof/>
                <w:spacing w:val="-2"/>
                <w:szCs w:val="24"/>
                <w:lang w:val="fr-CA"/>
              </w:rPr>
            </w:pPr>
            <w:r>
              <w:rPr>
                <w:b/>
                <w:noProof/>
                <w:spacing w:val="-2"/>
                <w:szCs w:val="24"/>
                <w:lang w:val="fr-CA"/>
              </w:rPr>
              <w:t xml:space="preserve">UE : </w:t>
            </w:r>
            <w:r>
              <w:rPr>
                <w:noProof/>
                <w:spacing w:val="-2"/>
                <w:szCs w:val="24"/>
                <w:lang w:val="fr-CA"/>
              </w:rPr>
              <w:t xml:space="preserve">Non consolidé, à l’exception de </w:t>
            </w:r>
            <w:r>
              <w:rPr>
                <w:b/>
                <w:noProof/>
                <w:spacing w:val="-2"/>
                <w:szCs w:val="24"/>
                <w:lang w:val="fr-CA"/>
              </w:rPr>
              <w:t xml:space="preserve">BE, CZ, DK, ES, FR, NL </w:t>
            </w:r>
            <w:r>
              <w:rPr>
                <w:noProof/>
                <w:spacing w:val="-2"/>
                <w:szCs w:val="24"/>
                <w:lang w:val="fr-CA"/>
              </w:rPr>
              <w:t>et</w:t>
            </w:r>
            <w:r>
              <w:rPr>
                <w:b/>
                <w:noProof/>
                <w:spacing w:val="-2"/>
                <w:szCs w:val="24"/>
                <w:lang w:val="fr-CA"/>
              </w:rPr>
              <w:t xml:space="preserve"> SE</w:t>
            </w:r>
            <w:r>
              <w:rPr>
                <w:noProof/>
                <w:spacing w:val="-2"/>
                <w:szCs w:val="24"/>
                <w:lang w:val="fr-CA"/>
              </w:rPr>
              <w:t>.</w:t>
            </w:r>
          </w:p>
          <w:p>
            <w:pPr>
              <w:tabs>
                <w:tab w:val="left" w:pos="-1440"/>
                <w:tab w:val="left" w:pos="-720"/>
                <w:tab w:val="left" w:pos="0"/>
                <w:tab w:val="left" w:pos="306"/>
                <w:tab w:val="left" w:pos="731"/>
                <w:tab w:val="left" w:pos="1156"/>
                <w:tab w:val="left" w:pos="1678"/>
                <w:tab w:val="left" w:pos="5040"/>
              </w:tabs>
              <w:suppressAutoHyphens/>
              <w:spacing w:before="60" w:after="60" w:line="240" w:lineRule="auto"/>
              <w:rPr>
                <w:rFonts w:eastAsia="SimSun"/>
                <w:noProof/>
                <w:spacing w:val="-2"/>
                <w:szCs w:val="24"/>
                <w:lang w:val="fr-CA"/>
              </w:rPr>
            </w:pPr>
            <w:r>
              <w:rPr>
                <w:b/>
                <w:noProof/>
                <w:spacing w:val="-2"/>
                <w:szCs w:val="24"/>
                <w:lang w:val="fr-CA"/>
              </w:rPr>
              <w:t>BE, DK, ES, NL, SE :</w:t>
            </w:r>
            <w:r>
              <w:rPr>
                <w:noProof/>
                <w:spacing w:val="-2"/>
                <w:szCs w:val="24"/>
                <w:lang w:val="fr-CA"/>
              </w:rPr>
              <w:t xml:space="preserve"> Néant.</w:t>
            </w:r>
          </w:p>
          <w:p>
            <w:pPr>
              <w:tabs>
                <w:tab w:val="left" w:pos="-1440"/>
                <w:tab w:val="left" w:pos="-720"/>
                <w:tab w:val="left" w:pos="0"/>
                <w:tab w:val="left" w:pos="306"/>
                <w:tab w:val="left" w:pos="731"/>
                <w:tab w:val="left" w:pos="1156"/>
                <w:tab w:val="left" w:pos="1678"/>
                <w:tab w:val="left" w:pos="5040"/>
              </w:tabs>
              <w:suppressAutoHyphens/>
              <w:spacing w:before="60" w:after="60" w:line="240" w:lineRule="auto"/>
              <w:rPr>
                <w:rFonts w:eastAsia="SimSun"/>
                <w:noProof/>
                <w:spacing w:val="-2"/>
                <w:szCs w:val="24"/>
                <w:lang w:val="fr-CA"/>
              </w:rPr>
            </w:pPr>
            <w:r>
              <w:rPr>
                <w:b/>
                <w:noProof/>
                <w:spacing w:val="-2"/>
                <w:szCs w:val="24"/>
                <w:lang w:val="fr-CA"/>
              </w:rPr>
              <w:t>CZ</w:t>
            </w:r>
            <w:r>
              <w:rPr>
                <w:noProof/>
                <w:szCs w:val="24"/>
                <w:lang w:val="fr-CA"/>
              </w:rPr>
              <w:t> : Examen des besoins économiques.</w:t>
            </w:r>
          </w:p>
          <w:p>
            <w:pPr>
              <w:suppressAutoHyphens/>
              <w:spacing w:before="60" w:after="60" w:line="240" w:lineRule="auto"/>
              <w:rPr>
                <w:rFonts w:eastAsia="SimSun"/>
                <w:noProof/>
                <w:spacing w:val="-2"/>
                <w:szCs w:val="24"/>
                <w:lang w:val="fr-CA"/>
              </w:rPr>
            </w:pPr>
            <w:r>
              <w:rPr>
                <w:b/>
                <w:noProof/>
                <w:spacing w:val="-2"/>
                <w:szCs w:val="24"/>
                <w:lang w:val="fr-CA"/>
              </w:rPr>
              <w:t>FR</w:t>
            </w:r>
            <w:r>
              <w:rPr>
                <w:noProof/>
                <w:szCs w:val="24"/>
                <w:lang w:val="fr-CA"/>
              </w:rPr>
              <w:t> : Non consolidé, sauf pour les techniciens, auquel cas : le permis de travail est délivré pour une période ne dépassant pas six mois. Il doit y avoir conformité avec un examen des besoins économiques</w:t>
            </w:r>
          </w:p>
          <w:p>
            <w:pPr>
              <w:spacing w:before="60" w:after="60" w:line="240" w:lineRule="auto"/>
              <w:rPr>
                <w:rFonts w:eastAsia="SimSun"/>
                <w:noProof/>
                <w:szCs w:val="24"/>
                <w:lang w:val="fr-CA"/>
              </w:rPr>
            </w:pPr>
            <w:r>
              <w:rPr>
                <w:b/>
                <w:noProof/>
                <w:spacing w:val="-2"/>
                <w:szCs w:val="24"/>
                <w:lang w:val="fr-CA"/>
              </w:rPr>
              <w:t>CAN :</w:t>
            </w:r>
            <w:r>
              <w:rPr>
                <w:noProof/>
                <w:spacing w:val="-2"/>
                <w:szCs w:val="24"/>
                <w:lang w:val="fr-CA"/>
              </w:rPr>
              <w:t xml:space="preserve"> Néant, sauf pour les cadres supérieurs, auquel cas : Non consolidé.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Travaux d’étude de sites</w:t>
            </w:r>
          </w:p>
          <w:p>
            <w:pPr>
              <w:spacing w:before="60" w:after="60" w:line="240" w:lineRule="auto"/>
              <w:rPr>
                <w:rFonts w:eastAsia="SimSun"/>
                <w:noProof/>
                <w:szCs w:val="24"/>
                <w:lang w:val="fr-CA"/>
              </w:rPr>
            </w:pPr>
            <w:r>
              <w:rPr>
                <w:noProof/>
                <w:szCs w:val="24"/>
                <w:lang w:val="fr-CA"/>
              </w:rPr>
              <w:t>(CPC 5111)</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noProof/>
                <w:szCs w:val="24"/>
                <w:lang w:val="es-ES"/>
              </w:rPr>
            </w:pPr>
            <w:r>
              <w:rPr>
                <w:b/>
                <w:noProof/>
                <w:color w:val="000000"/>
                <w:szCs w:val="24"/>
                <w:lang w:val="es-ES"/>
              </w:rPr>
              <w:t>BE, CY, DE, EE, EL, ES, FR, HR, IE, IT, LU, MT, NL, PL, PT, SI, SE, UK</w:t>
            </w:r>
            <w:r>
              <w:rPr>
                <w:noProof/>
                <w:szCs w:val="24"/>
                <w:lang w:val="es-ES"/>
              </w:rPr>
              <w:t> : Néant.</w:t>
            </w:r>
          </w:p>
          <w:p>
            <w:pPr>
              <w:spacing w:before="60" w:after="60" w:line="240" w:lineRule="auto"/>
              <w:rPr>
                <w:rFonts w:eastAsia="SimSun"/>
                <w:noProof/>
                <w:szCs w:val="24"/>
                <w:lang w:val="fr-CA"/>
              </w:rPr>
            </w:pPr>
            <w:r>
              <w:rPr>
                <w:b/>
                <w:noProof/>
                <w:szCs w:val="24"/>
                <w:lang w:val="fr-CA"/>
              </w:rPr>
              <w:t>AT, BG, CZ, FI, HU, LT, LV,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rPr>
            </w:pPr>
            <w:r>
              <w:rPr>
                <w:b/>
                <w:noProof/>
                <w:szCs w:val="24"/>
              </w:rPr>
              <w:t>Services d’enseignement supérieur</w:t>
            </w:r>
          </w:p>
          <w:p>
            <w:pPr>
              <w:spacing w:before="60" w:after="60" w:line="240" w:lineRule="auto"/>
              <w:rPr>
                <w:rFonts w:eastAsia="SimSun"/>
                <w:noProof/>
                <w:szCs w:val="24"/>
              </w:rPr>
            </w:pPr>
            <w:r>
              <w:rPr>
                <w:noProof/>
                <w:szCs w:val="24"/>
              </w:rPr>
              <w:t>(CPC 923)</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UE,</w:t>
            </w:r>
            <w:r>
              <w:rPr>
                <w:noProof/>
                <w:szCs w:val="24"/>
                <w:lang w:val="fr-CA"/>
              </w:rPr>
              <w:t xml:space="preserve"> à l’exception de </w:t>
            </w:r>
            <w:r>
              <w:rPr>
                <w:b/>
                <w:noProof/>
                <w:szCs w:val="24"/>
                <w:lang w:val="fr-CA"/>
              </w:rPr>
              <w:t xml:space="preserve">LU </w:t>
            </w:r>
            <w:r>
              <w:rPr>
                <w:noProof/>
                <w:szCs w:val="24"/>
                <w:lang w:val="fr-CA"/>
              </w:rPr>
              <w:t>et</w:t>
            </w:r>
            <w:r>
              <w:rPr>
                <w:b/>
                <w:noProof/>
                <w:szCs w:val="24"/>
                <w:lang w:val="fr-CA"/>
              </w:rPr>
              <w:t xml:space="preserve"> SE :</w:t>
            </w:r>
            <w:r>
              <w:rPr>
                <w:noProof/>
                <w:szCs w:val="24"/>
                <w:lang w:val="fr-CA"/>
              </w:rPr>
              <w:t xml:space="preserve"> Non consolidé. </w:t>
            </w:r>
          </w:p>
          <w:p>
            <w:pPr>
              <w:tabs>
                <w:tab w:val="left" w:pos="279"/>
              </w:tabs>
              <w:spacing w:before="60" w:after="60" w:line="240" w:lineRule="auto"/>
              <w:rPr>
                <w:rFonts w:eastAsia="SimSun"/>
                <w:noProof/>
                <w:szCs w:val="24"/>
                <w:lang w:val="fr-CA"/>
              </w:rPr>
            </w:pPr>
            <w:r>
              <w:rPr>
                <w:b/>
                <w:noProof/>
                <w:szCs w:val="24"/>
                <w:lang w:val="fr-CA"/>
              </w:rPr>
              <w:t>LU</w:t>
            </w:r>
            <w:r>
              <w:rPr>
                <w:noProof/>
                <w:szCs w:val="24"/>
                <w:lang w:val="fr-CA"/>
              </w:rPr>
              <w:t> : Non consolidé, sauf pour les professeurs d’université, auquel cas : Néant.</w:t>
            </w:r>
          </w:p>
          <w:p>
            <w:pPr>
              <w:tabs>
                <w:tab w:val="left" w:pos="279"/>
              </w:tabs>
              <w:spacing w:before="60" w:after="60" w:line="240" w:lineRule="auto"/>
              <w:rPr>
                <w:rFonts w:eastAsia="SimSun"/>
                <w:b/>
                <w:noProof/>
                <w:szCs w:val="24"/>
                <w:lang w:val="fr-CA"/>
              </w:rPr>
            </w:pPr>
            <w:r>
              <w:rPr>
                <w:b/>
                <w:noProof/>
                <w:szCs w:val="24"/>
                <w:lang w:val="fr-CA"/>
              </w:rPr>
              <w:t>SE</w:t>
            </w:r>
            <w:r>
              <w:rPr>
                <w:noProof/>
                <w:szCs w:val="24"/>
                <w:lang w:val="fr-CA"/>
              </w:rPr>
              <w:t> : Néant, sauf pour les fournisseurs de services d’enseignement financés par des fonds publics et par des fonds privés qui reçoivent une certaine forme de soutien de l’État, auquel cas :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Non consolidé. </w:t>
            </w:r>
          </w:p>
          <w:p>
            <w:pPr>
              <w:spacing w:before="60" w:after="60" w:line="240" w:lineRule="auto"/>
              <w:rPr>
                <w:rFonts w:eastAsia="SimSun"/>
                <w:noProof/>
                <w:szCs w:val="24"/>
                <w:u w:val="single"/>
                <w:lang w:val="fr-CA"/>
              </w:rPr>
            </w:pPr>
          </w:p>
          <w:p>
            <w:pPr>
              <w:spacing w:before="60" w:after="60" w:line="240" w:lineRule="auto"/>
              <w:rPr>
                <w:rFonts w:eastAsia="SimSun"/>
                <w:noProof/>
                <w:szCs w:val="24"/>
                <w:u w:val="single"/>
                <w:lang w:val="fr-CA"/>
              </w:rPr>
            </w:pPr>
            <w:r>
              <w:rPr>
                <w:noProof/>
                <w:szCs w:val="24"/>
                <w:u w:val="single"/>
                <w:lang w:val="fr-CA"/>
              </w:rPr>
              <w:t>PI</w:t>
            </w:r>
            <w:r>
              <w:rPr>
                <w:noProof/>
                <w:szCs w:val="24"/>
                <w:lang w:val="fr-CA"/>
              </w:rPr>
              <w:t> :</w:t>
            </w:r>
          </w:p>
          <w:p>
            <w:pPr>
              <w:tabs>
                <w:tab w:val="left" w:pos="279"/>
              </w:tabs>
              <w:spacing w:before="60" w:after="60" w:line="240" w:lineRule="auto"/>
              <w:rPr>
                <w:rFonts w:eastAsia="SimSun"/>
                <w:noProof/>
                <w:szCs w:val="24"/>
                <w:lang w:val="fr-CA"/>
              </w:rPr>
            </w:pPr>
            <w:r>
              <w:rPr>
                <w:b/>
                <w:noProof/>
                <w:szCs w:val="24"/>
                <w:lang w:val="fr-CA"/>
              </w:rPr>
              <w:t xml:space="preserve">UE </w:t>
            </w:r>
            <w:r>
              <w:rPr>
                <w:noProof/>
                <w:szCs w:val="24"/>
                <w:lang w:val="fr-CA"/>
              </w:rPr>
              <w:t xml:space="preserve">sauf </w:t>
            </w:r>
            <w:r>
              <w:rPr>
                <w:b/>
                <w:noProof/>
                <w:szCs w:val="24"/>
                <w:lang w:val="fr-CA"/>
              </w:rPr>
              <w:t>SE</w:t>
            </w:r>
            <w:r>
              <w:rPr>
                <w:noProof/>
                <w:szCs w:val="24"/>
                <w:lang w:val="fr-CA"/>
              </w:rPr>
              <w:t> : Non consolidé.</w:t>
            </w:r>
          </w:p>
          <w:p>
            <w:pPr>
              <w:tabs>
                <w:tab w:val="left" w:pos="279"/>
              </w:tabs>
              <w:spacing w:before="60" w:after="60" w:line="240" w:lineRule="auto"/>
              <w:rPr>
                <w:rFonts w:eastAsia="SimSun"/>
                <w:b/>
                <w:noProof/>
                <w:szCs w:val="24"/>
                <w:lang w:val="fr-CA"/>
              </w:rPr>
            </w:pPr>
            <w:r>
              <w:rPr>
                <w:b/>
                <w:noProof/>
                <w:szCs w:val="24"/>
                <w:lang w:val="fr-CA"/>
              </w:rPr>
              <w:t>SE</w:t>
            </w:r>
            <w:r>
              <w:rPr>
                <w:noProof/>
                <w:szCs w:val="24"/>
                <w:lang w:val="fr-CA"/>
              </w:rPr>
              <w:t> : Néant, sauf pour les fournisseurs de services d’enseignement financés par des fonds publics et par des fonds privés qui reçoivent une certaine forme de soutien de l’État, auquel cas : Non consolidé.</w:t>
            </w:r>
          </w:p>
          <w:p>
            <w:pPr>
              <w:tabs>
                <w:tab w:val="left" w:pos="279"/>
              </w:tabs>
              <w:spacing w:before="60" w:after="60" w:line="240" w:lineRule="auto"/>
              <w:rPr>
                <w:rFonts w:eastAsia="SimSun"/>
                <w:noProof/>
                <w:szCs w:val="24"/>
              </w:rPr>
            </w:pPr>
            <w:r>
              <w:rPr>
                <w:b/>
                <w:noProof/>
                <w:szCs w:val="24"/>
              </w:rPr>
              <w:t>CAN :</w:t>
            </w:r>
            <w:r>
              <w:rPr>
                <w:noProof/>
                <w:szCs w:val="24"/>
              </w:rPr>
              <w:t xml:space="preserve"> Non consolidé. </w:t>
            </w:r>
          </w:p>
        </w:tc>
      </w:tr>
      <w:tr>
        <w:trPr>
          <w:cantSplit/>
          <w:jc w:val="center"/>
        </w:trPr>
        <w:tc>
          <w:tcPr>
            <w:tcW w:w="2977" w:type="dxa"/>
            <w:shd w:val="clear" w:color="auto" w:fill="FFFFFF"/>
          </w:tcPr>
          <w:p>
            <w:pPr>
              <w:suppressAutoHyphens/>
              <w:spacing w:before="60" w:after="60" w:line="240" w:lineRule="auto"/>
              <w:rPr>
                <w:rFonts w:eastAsia="SimSun"/>
                <w:noProof/>
                <w:spacing w:val="-2"/>
                <w:szCs w:val="24"/>
                <w:lang w:val="fr-CA"/>
              </w:rPr>
            </w:pPr>
            <w:r>
              <w:rPr>
                <w:b/>
                <w:noProof/>
                <w:spacing w:val="-2"/>
                <w:szCs w:val="24"/>
                <w:lang w:val="fr-CA"/>
              </w:rPr>
              <w:t xml:space="preserve">Agriculture, chasse et sylviculture </w:t>
            </w:r>
            <w:r>
              <w:rPr>
                <w:noProof/>
                <w:spacing w:val="-2"/>
                <w:szCs w:val="24"/>
                <w:lang w:val="fr-CA"/>
              </w:rPr>
              <w:t>(CPC 881, services de conseils et de consultation seulement)</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uppressAutoHyphens/>
              <w:spacing w:before="60" w:after="60" w:line="240" w:lineRule="auto"/>
              <w:rPr>
                <w:rFonts w:eastAsia="SimSun"/>
                <w:noProof/>
                <w:spacing w:val="-2"/>
                <w:szCs w:val="24"/>
                <w:lang w:val="fr-CA"/>
              </w:rPr>
            </w:pPr>
            <w:r>
              <w:rPr>
                <w:b/>
                <w:noProof/>
                <w:spacing w:val="-2"/>
                <w:szCs w:val="24"/>
                <w:lang w:val="fr-CA"/>
              </w:rPr>
              <w:t>UE</w:t>
            </w:r>
            <w:r>
              <w:rPr>
                <w:noProof/>
                <w:spacing w:val="-2"/>
                <w:szCs w:val="24"/>
                <w:lang w:val="fr-CA"/>
              </w:rPr>
              <w:t>, à l’exception de</w:t>
            </w:r>
            <w:r>
              <w:rPr>
                <w:b/>
                <w:noProof/>
                <w:spacing w:val="-2"/>
                <w:szCs w:val="24"/>
                <w:lang w:val="fr-CA"/>
              </w:rPr>
              <w:t xml:space="preserve"> BE, DE, DK,</w:t>
            </w:r>
            <w:r>
              <w:rPr>
                <w:noProof/>
                <w:spacing w:val="-2"/>
                <w:szCs w:val="24"/>
                <w:lang w:val="fr-CA"/>
              </w:rPr>
              <w:t xml:space="preserve"> </w:t>
            </w:r>
            <w:r>
              <w:rPr>
                <w:b/>
                <w:noProof/>
                <w:spacing w:val="-2"/>
                <w:szCs w:val="24"/>
                <w:lang w:val="fr-CA"/>
              </w:rPr>
              <w:t xml:space="preserve">ES, FI, HR </w:t>
            </w:r>
            <w:r>
              <w:rPr>
                <w:noProof/>
                <w:spacing w:val="-2"/>
                <w:szCs w:val="24"/>
                <w:lang w:val="fr-CA"/>
              </w:rPr>
              <w:t>et</w:t>
            </w:r>
            <w:r>
              <w:rPr>
                <w:b/>
                <w:noProof/>
                <w:spacing w:val="-2"/>
                <w:szCs w:val="24"/>
                <w:lang w:val="fr-CA"/>
              </w:rPr>
              <w:t xml:space="preserve"> SE</w:t>
            </w:r>
            <w:r>
              <w:rPr>
                <w:noProof/>
                <w:spacing w:val="-2"/>
                <w:szCs w:val="24"/>
                <w:lang w:val="fr-CA"/>
              </w:rPr>
              <w:t> : Non consolidé.</w:t>
            </w:r>
          </w:p>
          <w:p>
            <w:pPr>
              <w:suppressAutoHyphens/>
              <w:spacing w:before="60" w:after="60" w:line="240" w:lineRule="auto"/>
              <w:rPr>
                <w:rFonts w:eastAsia="SimSun"/>
                <w:noProof/>
                <w:spacing w:val="-2"/>
                <w:szCs w:val="24"/>
                <w:lang w:val="fr-CA"/>
              </w:rPr>
            </w:pPr>
            <w:r>
              <w:rPr>
                <w:b/>
                <w:noProof/>
                <w:spacing w:val="-2"/>
                <w:szCs w:val="24"/>
                <w:lang w:val="fr-CA"/>
              </w:rPr>
              <w:t>BE, DE, ES, HR, SE</w:t>
            </w:r>
            <w:r>
              <w:rPr>
                <w:noProof/>
                <w:szCs w:val="24"/>
                <w:lang w:val="fr-CA"/>
              </w:rPr>
              <w:t> : Néant</w:t>
            </w:r>
          </w:p>
          <w:p>
            <w:pPr>
              <w:suppressAutoHyphens/>
              <w:spacing w:before="60" w:after="60" w:line="240" w:lineRule="auto"/>
              <w:rPr>
                <w:rFonts w:eastAsia="SimSun"/>
                <w:noProof/>
                <w:spacing w:val="-2"/>
                <w:szCs w:val="24"/>
                <w:lang w:val="fr-CA"/>
              </w:rPr>
            </w:pPr>
            <w:r>
              <w:rPr>
                <w:b/>
                <w:noProof/>
                <w:spacing w:val="-2"/>
                <w:szCs w:val="24"/>
                <w:lang w:val="fr-CA"/>
              </w:rPr>
              <w:t>DK</w:t>
            </w:r>
            <w:r>
              <w:rPr>
                <w:noProof/>
                <w:szCs w:val="24"/>
                <w:lang w:val="fr-CA"/>
              </w:rPr>
              <w:t> : Examen des besoins économiques.</w:t>
            </w:r>
          </w:p>
          <w:p>
            <w:pPr>
              <w:suppressAutoHyphens/>
              <w:spacing w:before="60" w:after="60" w:line="240" w:lineRule="auto"/>
              <w:rPr>
                <w:rFonts w:eastAsia="SimSun"/>
                <w:noProof/>
                <w:spacing w:val="-2"/>
                <w:szCs w:val="24"/>
                <w:lang w:val="fr-CA"/>
              </w:rPr>
            </w:pPr>
            <w:r>
              <w:rPr>
                <w:b/>
                <w:noProof/>
                <w:spacing w:val="-2"/>
                <w:szCs w:val="24"/>
                <w:lang w:val="fr-CA"/>
              </w:rPr>
              <w:t>FI</w:t>
            </w:r>
            <w:r>
              <w:rPr>
                <w:noProof/>
                <w:szCs w:val="24"/>
                <w:lang w:val="fr-CA"/>
              </w:rPr>
              <w:t> :</w:t>
            </w:r>
            <w:r>
              <w:rPr>
                <w:b/>
                <w:noProof/>
                <w:spacing w:val="-2"/>
                <w:szCs w:val="24"/>
                <w:lang w:val="fr-CA"/>
              </w:rPr>
              <w:t xml:space="preserve"> </w:t>
            </w:r>
            <w:r>
              <w:rPr>
                <w:noProof/>
                <w:szCs w:val="24"/>
                <w:lang w:val="fr-CA"/>
              </w:rPr>
              <w:t>Non consolidé, sauf pour les services de conseils et de consultation en matière de sylviculture, auquel cas : Néant.</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zCs w:val="24"/>
                <w:lang w:val="fr-CA"/>
              </w:rPr>
              <w:t>Services environnementaux</w:t>
            </w:r>
          </w:p>
          <w:p>
            <w:pPr>
              <w:spacing w:before="60" w:after="60" w:line="240" w:lineRule="auto"/>
              <w:rPr>
                <w:rFonts w:eastAsia="SimSun"/>
                <w:noProof/>
                <w:szCs w:val="24"/>
                <w:lang w:val="fr-CA"/>
              </w:rPr>
            </w:pPr>
            <w:r>
              <w:rPr>
                <w:noProof/>
                <w:szCs w:val="24"/>
                <w:lang w:val="fr-CA"/>
              </w:rPr>
              <w:t xml:space="preserve">(CPC 9401, 9402, </w:t>
            </w:r>
            <w:r>
              <w:rPr>
                <w:noProof/>
                <w:color w:val="000000"/>
                <w:spacing w:val="-2"/>
                <w:szCs w:val="24"/>
                <w:lang w:val="fr-CA"/>
              </w:rPr>
              <w:t xml:space="preserve">9403, </w:t>
            </w:r>
            <w:r>
              <w:rPr>
                <w:noProof/>
                <w:szCs w:val="24"/>
                <w:lang w:val="fr-CA"/>
              </w:rPr>
              <w:t xml:space="preserve">9404, partie de 94060, 9405, </w:t>
            </w:r>
            <w:r>
              <w:rPr>
                <w:noProof/>
                <w:color w:val="000000"/>
                <w:spacing w:val="-2"/>
                <w:szCs w:val="24"/>
                <w:lang w:val="fr-CA"/>
              </w:rPr>
              <w:t xml:space="preserve">partie de 9406 </w:t>
            </w:r>
            <w:r>
              <w:rPr>
                <w:noProof/>
                <w:szCs w:val="24"/>
                <w:lang w:val="fr-CA"/>
              </w:rPr>
              <w:t>et 9409)</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noProof/>
                <w:szCs w:val="24"/>
                <w:lang w:val="fr-CA"/>
              </w:rPr>
            </w:pPr>
            <w:r>
              <w:rPr>
                <w:b/>
                <w:noProof/>
                <w:color w:val="000000"/>
                <w:szCs w:val="24"/>
                <w:lang w:val="fr-CA"/>
              </w:rPr>
              <w:t>BE, CY, EE, ES, FI, FR, HR, IE, IT, LU, MT, NL, PL, PT, SI, SE, UK</w:t>
            </w:r>
            <w:r>
              <w:rPr>
                <w:noProof/>
                <w:szCs w:val="24"/>
                <w:lang w:val="fr-CA"/>
              </w:rPr>
              <w:t xml:space="preserve"> : Néant. </w:t>
            </w:r>
          </w:p>
          <w:p>
            <w:pPr>
              <w:spacing w:before="60" w:after="60" w:line="240" w:lineRule="auto"/>
              <w:rPr>
                <w:rFonts w:eastAsia="SimSun"/>
                <w:noProof/>
                <w:szCs w:val="24"/>
                <w:lang w:val="fr-CA"/>
              </w:rPr>
            </w:pPr>
            <w:r>
              <w:rPr>
                <w:b/>
                <w:noProof/>
                <w:szCs w:val="24"/>
                <w:lang w:val="fr-CA"/>
              </w:rPr>
              <w:t>AT, BG, CZ, DE, DK, EL, HU, LT, LV, RO, SK</w:t>
            </w:r>
            <w:r>
              <w:rPr>
                <w:noProof/>
                <w:szCs w:val="24"/>
                <w:lang w:val="fr-CA"/>
              </w:rPr>
              <w:t xml:space="preserve"> : Examen des besoins économiques. </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pacing w:val="-2"/>
                <w:szCs w:val="24"/>
                <w:lang w:val="fr-CA"/>
              </w:rPr>
              <w:t xml:space="preserve">Services d’assurance et services connexes </w:t>
            </w:r>
            <w:r>
              <w:rPr>
                <w:noProof/>
                <w:szCs w:val="24"/>
                <w:lang w:val="fr-CA"/>
              </w:rPr>
              <w:t>(services de conseils et de consultation seulement)</w:t>
            </w:r>
          </w:p>
          <w:p>
            <w:pPr>
              <w:spacing w:before="60" w:after="60" w:line="240" w:lineRule="auto"/>
              <w:rPr>
                <w:rFonts w:eastAsia="SimSun"/>
                <w:noProof/>
                <w:szCs w:val="24"/>
                <w:lang w:val="fr-CA"/>
              </w:rPr>
            </w:pP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tabs>
                <w:tab w:val="left" w:pos="279"/>
              </w:tabs>
              <w:spacing w:before="60" w:after="60" w:line="240" w:lineRule="auto"/>
              <w:rPr>
                <w:rFonts w:eastAsia="SimSun"/>
                <w:noProof/>
                <w:szCs w:val="24"/>
                <w:lang w:val="es-ES"/>
              </w:rPr>
            </w:pPr>
            <w:r>
              <w:rPr>
                <w:b/>
                <w:noProof/>
                <w:szCs w:val="24"/>
                <w:lang w:val="es-ES"/>
              </w:rPr>
              <w:t>BE</w:t>
            </w:r>
            <w:r>
              <w:rPr>
                <w:noProof/>
                <w:szCs w:val="24"/>
                <w:lang w:val="es-ES"/>
              </w:rPr>
              <w:t xml:space="preserve">, </w:t>
            </w:r>
            <w:r>
              <w:rPr>
                <w:b/>
                <w:noProof/>
                <w:color w:val="000000"/>
                <w:szCs w:val="24"/>
                <w:lang w:val="es-ES"/>
              </w:rPr>
              <w:t>CY, DE, EE, EL, ES, FR, HR, IE, IT, LV, LU, MT, NL, PL, PT, SI,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BG, CZ, FI, LT,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DK</w:t>
            </w:r>
            <w:r>
              <w:rPr>
                <w:noProof/>
                <w:szCs w:val="24"/>
                <w:lang w:val="fr-CA"/>
              </w:rPr>
              <w:t> : Examen des besoins économiques, sauf pour les séjours des FSC d’au plus trois mois.</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xml:space="preserve"> : Non consolidé. </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 </w:t>
            </w:r>
          </w:p>
          <w:p>
            <w:pPr>
              <w:tabs>
                <w:tab w:val="left" w:pos="279"/>
              </w:tabs>
              <w:spacing w:before="60" w:after="60" w:line="240" w:lineRule="auto"/>
              <w:ind w:left="279"/>
              <w:rPr>
                <w:rFonts w:eastAsia="SimSun"/>
                <w:noProof/>
                <w:szCs w:val="24"/>
                <w:lang w:val="fr-CA"/>
              </w:rPr>
            </w:pPr>
          </w:p>
          <w:p>
            <w:pPr>
              <w:tabs>
                <w:tab w:val="left" w:pos="279"/>
              </w:tabs>
              <w:spacing w:before="60" w:after="60" w:line="240" w:lineRule="auto"/>
              <w:rPr>
                <w:rFonts w:eastAsia="SimSun"/>
                <w:b/>
                <w:bCs/>
                <w:noProof/>
                <w:szCs w:val="24"/>
                <w:u w:val="single"/>
                <w:lang w:val="es-ES"/>
              </w:rPr>
            </w:pPr>
            <w:r>
              <w:rPr>
                <w:noProof/>
                <w:szCs w:val="24"/>
                <w:u w:val="single"/>
                <w:lang w:val="es-ES"/>
              </w:rPr>
              <w:t>PI</w:t>
            </w:r>
            <w:r>
              <w:rPr>
                <w:i/>
                <w:noProof/>
                <w:szCs w:val="24"/>
                <w:lang w:val="es-ES"/>
              </w:rPr>
              <w:t> :</w:t>
            </w:r>
          </w:p>
          <w:p>
            <w:pPr>
              <w:tabs>
                <w:tab w:val="left" w:pos="279"/>
              </w:tabs>
              <w:spacing w:before="60" w:after="60" w:line="240" w:lineRule="auto"/>
              <w:rPr>
                <w:rFonts w:eastAsia="SimSun"/>
                <w:noProof/>
                <w:szCs w:val="24"/>
                <w:lang w:val="es-ES"/>
              </w:rPr>
            </w:pPr>
            <w:r>
              <w:rPr>
                <w:b/>
                <w:noProof/>
                <w:color w:val="000000"/>
                <w:szCs w:val="24"/>
                <w:lang w:val="es-ES"/>
              </w:rPr>
              <w:t>CY, DE, EE, EL, FR, HR, IE, LV, LU, MT, NL, PT, SI, SE, UK</w:t>
            </w:r>
            <w:r>
              <w:rPr>
                <w:noProof/>
                <w:szCs w:val="24"/>
                <w:lang w:val="es-ES"/>
              </w:rPr>
              <w:t xml:space="preserve"> : Néant. </w:t>
            </w:r>
          </w:p>
          <w:p>
            <w:pPr>
              <w:tabs>
                <w:tab w:val="left" w:pos="279"/>
              </w:tabs>
              <w:spacing w:before="60" w:after="60" w:line="240" w:lineRule="auto"/>
              <w:rPr>
                <w:rFonts w:eastAsia="SimSun"/>
                <w:noProof/>
                <w:szCs w:val="24"/>
                <w:lang w:val="fr-CA"/>
              </w:rPr>
            </w:pPr>
            <w:r>
              <w:rPr>
                <w:b/>
                <w:noProof/>
                <w:szCs w:val="24"/>
                <w:lang w:val="fr-CA"/>
              </w:rPr>
              <w:t>AT, BE, BG, CZ, DK, ES, FI, IT, LT, PL, RO, SK</w:t>
            </w:r>
            <w:r>
              <w:rPr>
                <w:noProof/>
                <w:szCs w:val="24"/>
                <w:lang w:val="fr-CA"/>
              </w:rPr>
              <w:t> : Examen des besoins économiques.</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tc>
      </w:tr>
      <w:tr>
        <w:trPr>
          <w:cantSplit/>
          <w:jc w:val="center"/>
        </w:trPr>
        <w:tc>
          <w:tcPr>
            <w:tcW w:w="2977" w:type="dxa"/>
            <w:shd w:val="clear" w:color="auto" w:fill="FFFFFF"/>
          </w:tcPr>
          <w:p>
            <w:pPr>
              <w:suppressAutoHyphens/>
              <w:spacing w:before="60" w:after="60" w:line="240" w:lineRule="auto"/>
              <w:rPr>
                <w:rFonts w:eastAsia="SimSun"/>
                <w:b/>
                <w:noProof/>
                <w:spacing w:val="-2"/>
                <w:szCs w:val="24"/>
                <w:lang w:val="fr-CA"/>
              </w:rPr>
            </w:pPr>
            <w:r>
              <w:rPr>
                <w:b/>
                <w:noProof/>
                <w:spacing w:val="-2"/>
                <w:szCs w:val="24"/>
                <w:lang w:val="fr-CA"/>
              </w:rPr>
              <w:t xml:space="preserve">Autres services financiers </w:t>
            </w:r>
            <w:r>
              <w:rPr>
                <w:noProof/>
                <w:szCs w:val="24"/>
                <w:lang w:val="fr-CA"/>
              </w:rPr>
              <w:t>(services de conseils et de consultation seulement)</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noProof/>
                <w:szCs w:val="24"/>
                <w:lang w:val="es-ES"/>
              </w:rPr>
            </w:pPr>
            <w:r>
              <w:rPr>
                <w:b/>
                <w:noProof/>
                <w:szCs w:val="24"/>
                <w:lang w:val="es-ES"/>
              </w:rPr>
              <w:t>BE</w:t>
            </w:r>
            <w:r>
              <w:rPr>
                <w:noProof/>
                <w:szCs w:val="24"/>
                <w:lang w:val="es-ES"/>
              </w:rPr>
              <w:t xml:space="preserve">, </w:t>
            </w:r>
            <w:r>
              <w:rPr>
                <w:b/>
                <w:noProof/>
                <w:color w:val="000000"/>
                <w:szCs w:val="24"/>
                <w:lang w:val="es-ES"/>
              </w:rPr>
              <w:t>CY, DE, ES, EE, EL, FR, HR, IE, IT, LV, LU, MT, NL, PL, PT, SI, SE, UK</w:t>
            </w:r>
            <w:r>
              <w:rPr>
                <w:noProof/>
                <w:szCs w:val="24"/>
                <w:lang w:val="es-ES"/>
              </w:rPr>
              <w:t xml:space="preserve"> : Néant. </w:t>
            </w:r>
          </w:p>
          <w:p>
            <w:pPr>
              <w:spacing w:before="60" w:after="60" w:line="240" w:lineRule="auto"/>
              <w:rPr>
                <w:rFonts w:eastAsia="SimSun"/>
                <w:noProof/>
                <w:szCs w:val="24"/>
                <w:lang w:val="fr-CA"/>
              </w:rPr>
            </w:pPr>
            <w:r>
              <w:rPr>
                <w:b/>
                <w:noProof/>
                <w:szCs w:val="24"/>
                <w:lang w:val="fr-CA"/>
              </w:rPr>
              <w:t>AT, BG, CZ, FI,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p>
            <w:pPr>
              <w:spacing w:before="60" w:after="60" w:line="240" w:lineRule="auto"/>
              <w:rPr>
                <w:rFonts w:eastAsia="SimSun"/>
                <w:noProof/>
                <w:szCs w:val="24"/>
                <w:lang w:val="fr-CA"/>
              </w:rPr>
            </w:pPr>
          </w:p>
          <w:p>
            <w:pPr>
              <w:spacing w:before="60" w:after="60" w:line="240" w:lineRule="auto"/>
              <w:rPr>
                <w:rFonts w:eastAsia="SimSun"/>
                <w:noProof/>
                <w:szCs w:val="24"/>
                <w:u w:val="single"/>
                <w:lang w:val="es-ES"/>
              </w:rPr>
            </w:pPr>
            <w:r>
              <w:rPr>
                <w:noProof/>
                <w:szCs w:val="24"/>
                <w:u w:val="single"/>
                <w:lang w:val="es-ES"/>
              </w:rPr>
              <w:t>PI</w:t>
            </w:r>
            <w:r>
              <w:rPr>
                <w:noProof/>
                <w:szCs w:val="24"/>
                <w:lang w:val="es-ES"/>
              </w:rPr>
              <w:t> :</w:t>
            </w:r>
          </w:p>
          <w:p>
            <w:pPr>
              <w:spacing w:before="60" w:after="60" w:line="240" w:lineRule="auto"/>
              <w:rPr>
                <w:rFonts w:eastAsia="SimSun"/>
                <w:noProof/>
                <w:szCs w:val="24"/>
                <w:lang w:val="es-ES"/>
              </w:rPr>
            </w:pPr>
            <w:r>
              <w:rPr>
                <w:b/>
                <w:noProof/>
                <w:color w:val="000000"/>
                <w:szCs w:val="24"/>
                <w:lang w:val="es-ES"/>
              </w:rPr>
              <w:t>CY, DE, EE, EL, FR, HR, IE, LV, LU, MT, PT, SI, SE, UK</w:t>
            </w:r>
            <w:r>
              <w:rPr>
                <w:noProof/>
                <w:szCs w:val="24"/>
                <w:lang w:val="es-ES"/>
              </w:rPr>
              <w:t xml:space="preserve"> : Néant. </w:t>
            </w:r>
          </w:p>
          <w:p>
            <w:pPr>
              <w:spacing w:before="60" w:after="60" w:line="240" w:lineRule="auto"/>
              <w:rPr>
                <w:rFonts w:eastAsia="SimSun"/>
                <w:noProof/>
                <w:szCs w:val="24"/>
                <w:lang w:val="es-ES"/>
              </w:rPr>
            </w:pPr>
            <w:r>
              <w:rPr>
                <w:b/>
                <w:noProof/>
                <w:szCs w:val="24"/>
                <w:lang w:val="es-ES"/>
              </w:rPr>
              <w:t>AT, BE, BG, CZ, DK, ES, FI, IT, LT, NL, PL, RO, SK</w:t>
            </w:r>
            <w:r>
              <w:rPr>
                <w:noProof/>
                <w:szCs w:val="24"/>
                <w:lang w:val="es-ES"/>
              </w:rPr>
              <w:t> : Examen des besoins économiques.</w:t>
            </w:r>
          </w:p>
          <w:p>
            <w:pPr>
              <w:tabs>
                <w:tab w:val="left" w:pos="279"/>
              </w:tabs>
              <w:spacing w:before="60" w:after="60" w:line="240" w:lineRule="auto"/>
              <w:rPr>
                <w:rFonts w:eastAsia="SimSun"/>
                <w:noProof/>
                <w:szCs w:val="24"/>
                <w:lang w:val="fr-CA"/>
              </w:rPr>
            </w:pPr>
            <w:r>
              <w:rPr>
                <w:b/>
                <w:noProof/>
                <w:szCs w:val="24"/>
                <w:lang w:val="fr-CA"/>
              </w:rPr>
              <w:t>HU</w:t>
            </w:r>
            <w:r>
              <w:rPr>
                <w:noProof/>
                <w:szCs w:val="24"/>
                <w:lang w:val="fr-CA"/>
              </w:rPr>
              <w:t> : Non consolidé.</w:t>
            </w:r>
          </w:p>
          <w:p>
            <w:pPr>
              <w:tabs>
                <w:tab w:val="left" w:pos="279"/>
              </w:tabs>
              <w:spacing w:before="60" w:after="60" w:line="240" w:lineRule="auto"/>
              <w:rPr>
                <w:rFonts w:eastAsia="SimSun"/>
                <w:noProof/>
                <w:szCs w:val="24"/>
                <w:lang w:val="fr-CA"/>
              </w:rPr>
            </w:pPr>
            <w:r>
              <w:rPr>
                <w:b/>
                <w:noProof/>
                <w:szCs w:val="24"/>
                <w:lang w:val="fr-CA"/>
              </w:rPr>
              <w:t>CAN :</w:t>
            </w:r>
            <w:r>
              <w:rPr>
                <w:noProof/>
                <w:szCs w:val="24"/>
                <w:lang w:val="fr-CA"/>
              </w:rPr>
              <w:t xml:space="preserve"> Néant.</w:t>
            </w:r>
          </w:p>
        </w:tc>
      </w:tr>
      <w:tr>
        <w:trPr>
          <w:cantSplit/>
          <w:jc w:val="center"/>
        </w:trPr>
        <w:tc>
          <w:tcPr>
            <w:tcW w:w="2977" w:type="dxa"/>
            <w:shd w:val="clear" w:color="auto" w:fill="FFFFFF"/>
          </w:tcPr>
          <w:p>
            <w:pPr>
              <w:pageBreakBefore/>
              <w:spacing w:before="60" w:after="60" w:line="240" w:lineRule="auto"/>
              <w:rPr>
                <w:rFonts w:eastAsia="SimSun"/>
                <w:noProof/>
                <w:szCs w:val="24"/>
                <w:lang w:val="fr-CA"/>
              </w:rPr>
            </w:pPr>
            <w:r>
              <w:rPr>
                <w:b/>
                <w:noProof/>
                <w:spacing w:val="-2"/>
                <w:szCs w:val="24"/>
                <w:lang w:val="fr-CA"/>
              </w:rPr>
              <w:t xml:space="preserve">Transports </w:t>
            </w:r>
            <w:r>
              <w:rPr>
                <w:noProof/>
                <w:szCs w:val="24"/>
                <w:lang w:val="fr-CA"/>
              </w:rPr>
              <w:t>(CPC 71, 72, 73 et 74, services de conseils et de consultation seulement)</w:t>
            </w:r>
          </w:p>
        </w:tc>
        <w:tc>
          <w:tcPr>
            <w:tcW w:w="6946" w:type="dxa"/>
            <w:shd w:val="clear" w:color="auto" w:fill="FFFFFF"/>
          </w:tcPr>
          <w:p>
            <w:pPr>
              <w:spacing w:before="60" w:after="60" w:line="240" w:lineRule="auto"/>
              <w:rPr>
                <w:rFonts w:eastAsia="SimSun"/>
                <w:noProof/>
                <w:szCs w:val="24"/>
                <w:u w:val="single"/>
                <w:lang w:val="es-ES"/>
              </w:rPr>
            </w:pPr>
            <w:r>
              <w:rPr>
                <w:noProof/>
                <w:szCs w:val="24"/>
                <w:u w:val="single"/>
                <w:lang w:val="es-ES"/>
              </w:rPr>
              <w:t>FSC</w:t>
            </w:r>
            <w:r>
              <w:rPr>
                <w:noProof/>
                <w:szCs w:val="24"/>
                <w:lang w:val="es-ES"/>
              </w:rPr>
              <w:t> :</w:t>
            </w:r>
          </w:p>
          <w:p>
            <w:pPr>
              <w:spacing w:before="60" w:after="60" w:line="240" w:lineRule="auto"/>
              <w:rPr>
                <w:rFonts w:eastAsia="SimSun"/>
                <w:noProof/>
                <w:szCs w:val="24"/>
                <w:lang w:val="es-ES"/>
              </w:rPr>
            </w:pPr>
            <w:r>
              <w:rPr>
                <w:b/>
                <w:noProof/>
                <w:color w:val="000000"/>
                <w:szCs w:val="24"/>
                <w:lang w:val="es-ES"/>
              </w:rPr>
              <w:t>CY, DE, EE, EL, ES, FI, FR, HR, IE, IT, LV, LU, MT, NL, PL, PT, SI, SE, UK</w:t>
            </w:r>
            <w:r>
              <w:rPr>
                <w:noProof/>
                <w:szCs w:val="24"/>
                <w:lang w:val="es-ES"/>
              </w:rPr>
              <w:t xml:space="preserve"> : Néant. </w:t>
            </w:r>
          </w:p>
          <w:p>
            <w:pPr>
              <w:spacing w:before="60" w:after="60" w:line="240" w:lineRule="auto"/>
              <w:rPr>
                <w:rFonts w:eastAsia="SimSun"/>
                <w:noProof/>
                <w:szCs w:val="24"/>
                <w:lang w:val="fr-CA"/>
              </w:rPr>
            </w:pPr>
            <w:r>
              <w:rPr>
                <w:b/>
                <w:noProof/>
                <w:szCs w:val="24"/>
                <w:lang w:val="fr-CA"/>
              </w:rPr>
              <w:t>AT, BG, CZ, HU,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spacing w:before="60" w:after="60" w:line="240" w:lineRule="auto"/>
              <w:rPr>
                <w:rFonts w:eastAsia="SimSun"/>
                <w:noProof/>
                <w:szCs w:val="24"/>
                <w:lang w:val="fr-CA"/>
              </w:rPr>
            </w:pPr>
            <w:r>
              <w:rPr>
                <w:b/>
                <w:noProof/>
                <w:szCs w:val="24"/>
                <w:lang w:val="fr-CA"/>
              </w:rPr>
              <w:t>BE</w:t>
            </w:r>
            <w:r>
              <w:rPr>
                <w:noProof/>
                <w:szCs w:val="24"/>
                <w:lang w:val="fr-CA"/>
              </w:rPr>
              <w:t> :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p>
            <w:pPr>
              <w:spacing w:before="60" w:after="60" w:line="240" w:lineRule="auto"/>
              <w:rPr>
                <w:rFonts w:eastAsia="SimSun"/>
                <w:noProof/>
                <w:szCs w:val="24"/>
                <w:lang w:val="fr-CA"/>
              </w:rPr>
            </w:pPr>
          </w:p>
          <w:p>
            <w:pPr>
              <w:spacing w:before="60" w:after="60" w:line="240" w:lineRule="auto"/>
              <w:rPr>
                <w:rFonts w:eastAsia="SimSun"/>
                <w:noProof/>
                <w:szCs w:val="24"/>
                <w:u w:val="single"/>
                <w:lang w:val="es-ES"/>
              </w:rPr>
            </w:pPr>
            <w:r>
              <w:rPr>
                <w:noProof/>
                <w:szCs w:val="24"/>
                <w:u w:val="single"/>
                <w:lang w:val="es-ES"/>
              </w:rPr>
              <w:t>PI</w:t>
            </w:r>
            <w:r>
              <w:rPr>
                <w:noProof/>
                <w:szCs w:val="24"/>
                <w:lang w:val="es-ES"/>
              </w:rPr>
              <w:t> :</w:t>
            </w:r>
          </w:p>
          <w:p>
            <w:pPr>
              <w:spacing w:before="60" w:after="60" w:line="240" w:lineRule="auto"/>
              <w:rPr>
                <w:rFonts w:eastAsia="SimSun"/>
                <w:noProof/>
                <w:szCs w:val="24"/>
                <w:lang w:val="es-ES"/>
              </w:rPr>
            </w:pPr>
            <w:r>
              <w:rPr>
                <w:b/>
                <w:noProof/>
                <w:szCs w:val="24"/>
                <w:lang w:val="es-ES"/>
              </w:rPr>
              <w:t>CY, DE, EE, EL, FI, FR, HR, IE, LV, LU, MT, NL, PT, SI, SE, UK</w:t>
            </w:r>
            <w:r>
              <w:rPr>
                <w:noProof/>
                <w:szCs w:val="24"/>
                <w:lang w:val="es-ES"/>
              </w:rPr>
              <w:t> : Néant.</w:t>
            </w:r>
          </w:p>
          <w:p>
            <w:pPr>
              <w:spacing w:before="60" w:after="60" w:line="240" w:lineRule="auto"/>
              <w:rPr>
                <w:rFonts w:eastAsia="SimSun"/>
                <w:noProof/>
                <w:szCs w:val="24"/>
                <w:lang w:val="fr-CA"/>
              </w:rPr>
            </w:pPr>
            <w:r>
              <w:rPr>
                <w:b/>
                <w:noProof/>
                <w:szCs w:val="24"/>
                <w:lang w:val="fr-CA"/>
              </w:rPr>
              <w:t>AT, BG, CZ, DK, ES, HU, IT, LT, RO, SK</w:t>
            </w:r>
            <w:r>
              <w:rPr>
                <w:noProof/>
                <w:szCs w:val="24"/>
                <w:lang w:val="fr-CA"/>
              </w:rPr>
              <w:t> : Examen des besoins économiques.</w:t>
            </w:r>
          </w:p>
          <w:p>
            <w:pPr>
              <w:spacing w:before="60" w:after="60" w:line="240" w:lineRule="auto"/>
              <w:rPr>
                <w:rFonts w:eastAsia="SimSun"/>
                <w:b/>
                <w:noProof/>
                <w:szCs w:val="24"/>
                <w:lang w:val="fr-CA"/>
              </w:rPr>
            </w:pPr>
            <w:r>
              <w:rPr>
                <w:b/>
                <w:noProof/>
                <w:szCs w:val="24"/>
                <w:lang w:val="fr-CA"/>
              </w:rPr>
              <w:t>PL</w:t>
            </w:r>
            <w:r>
              <w:rPr>
                <w:noProof/>
                <w:szCs w:val="24"/>
                <w:lang w:val="fr-CA"/>
              </w:rPr>
              <w:t> :</w:t>
            </w:r>
            <w:r>
              <w:rPr>
                <w:b/>
                <w:noProof/>
                <w:szCs w:val="24"/>
                <w:lang w:val="fr-CA"/>
              </w:rPr>
              <w:t xml:space="preserve"> </w:t>
            </w:r>
            <w:r>
              <w:rPr>
                <w:noProof/>
                <w:szCs w:val="24"/>
                <w:lang w:val="fr-CA"/>
              </w:rPr>
              <w:t>Examen des besoins économiques, sauf pour les transports aériens, auquel cas : Néant.</w:t>
            </w:r>
          </w:p>
          <w:p>
            <w:pPr>
              <w:spacing w:before="60" w:after="60" w:line="240" w:lineRule="auto"/>
              <w:rPr>
                <w:rFonts w:eastAsia="SimSun"/>
                <w:noProof/>
                <w:szCs w:val="24"/>
                <w:lang w:val="fr-CA"/>
              </w:rPr>
            </w:pPr>
            <w:r>
              <w:rPr>
                <w:b/>
                <w:noProof/>
                <w:szCs w:val="24"/>
                <w:lang w:val="fr-CA"/>
              </w:rPr>
              <w:t>BE</w:t>
            </w:r>
            <w:r>
              <w:rPr>
                <w:noProof/>
                <w:szCs w:val="24"/>
                <w:lang w:val="fr-CA"/>
              </w:rPr>
              <w:t> : Non consolidé.</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sauf pour les cadres supérieurs, auquel cas :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zCs w:val="24"/>
                <w:lang w:val="fr-CA"/>
              </w:rPr>
              <w:t xml:space="preserve">Services d’agences de voyages et d’organisateurs touristiques </w:t>
            </w:r>
            <w:r>
              <w:rPr>
                <w:noProof/>
                <w:szCs w:val="24"/>
                <w:lang w:val="fr-CA"/>
              </w:rPr>
              <w:t>(y compris les accompagnateurs</w:t>
            </w:r>
            <w:r>
              <w:rPr>
                <w:rStyle w:val="FootnoteReference"/>
                <w:rFonts w:eastAsiaTheme="minorHAnsi"/>
                <w:noProof/>
                <w:szCs w:val="24"/>
              </w:rPr>
              <w:footnoteReference w:id="10"/>
            </w:r>
            <w:r>
              <w:rPr>
                <w:noProof/>
                <w:szCs w:val="24"/>
                <w:lang w:val="fr-CA"/>
              </w:rPr>
              <w:t>)</w:t>
            </w:r>
          </w:p>
          <w:p>
            <w:pPr>
              <w:spacing w:before="60" w:after="60" w:line="240" w:lineRule="auto"/>
              <w:rPr>
                <w:rFonts w:eastAsia="SimSun"/>
                <w:noProof/>
                <w:szCs w:val="24"/>
                <w:u w:val="single"/>
              </w:rPr>
            </w:pPr>
            <w:r>
              <w:rPr>
                <w:noProof/>
                <w:szCs w:val="24"/>
              </w:rPr>
              <w:t>(CPC 7471)</w:t>
            </w:r>
          </w:p>
        </w:tc>
        <w:tc>
          <w:tcPr>
            <w:tcW w:w="6946" w:type="dxa"/>
            <w:shd w:val="clear" w:color="auto" w:fill="FFFFFF"/>
          </w:tcPr>
          <w:p>
            <w:pPr>
              <w:spacing w:before="60" w:after="60" w:line="240" w:lineRule="auto"/>
              <w:rPr>
                <w:rFonts w:eastAsia="SimSun"/>
                <w:noProof/>
                <w:szCs w:val="24"/>
                <w:u w:val="single"/>
              </w:rPr>
            </w:pPr>
            <w:r>
              <w:rPr>
                <w:noProof/>
                <w:szCs w:val="24"/>
                <w:u w:val="single"/>
              </w:rPr>
              <w:t>FSC</w:t>
            </w:r>
            <w:r>
              <w:rPr>
                <w:noProof/>
                <w:szCs w:val="24"/>
              </w:rPr>
              <w:t> :</w:t>
            </w:r>
          </w:p>
          <w:p>
            <w:pPr>
              <w:spacing w:before="60" w:after="60" w:line="240" w:lineRule="auto"/>
              <w:rPr>
                <w:rFonts w:eastAsia="SimSun"/>
                <w:noProof/>
                <w:szCs w:val="24"/>
              </w:rPr>
            </w:pPr>
            <w:r>
              <w:rPr>
                <w:b/>
                <w:noProof/>
                <w:color w:val="000000"/>
                <w:szCs w:val="24"/>
              </w:rPr>
              <w:t>AT, CY, CZ, DE, EE, ES, FR, HR, IT, LU, NL, PL, SI, SE, UK</w:t>
            </w:r>
            <w:r>
              <w:rPr>
                <w:noProof/>
                <w:szCs w:val="24"/>
              </w:rPr>
              <w:t> : Néant.</w:t>
            </w:r>
          </w:p>
          <w:p>
            <w:pPr>
              <w:spacing w:before="60" w:after="60" w:line="240" w:lineRule="auto"/>
              <w:rPr>
                <w:rFonts w:eastAsia="SimSun"/>
                <w:noProof/>
                <w:szCs w:val="24"/>
                <w:lang w:val="fr-CA"/>
              </w:rPr>
            </w:pPr>
            <w:r>
              <w:rPr>
                <w:b/>
                <w:noProof/>
                <w:szCs w:val="24"/>
                <w:lang w:val="fr-CA"/>
              </w:rPr>
              <w:t>BG, EL, FI, HU, LT, LV, MT, PT,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spacing w:before="60" w:after="60" w:line="240" w:lineRule="auto"/>
              <w:rPr>
                <w:rFonts w:eastAsia="SimSun"/>
                <w:noProof/>
                <w:szCs w:val="24"/>
                <w:lang w:val="fr-CA"/>
              </w:rPr>
            </w:pPr>
            <w:r>
              <w:rPr>
                <w:b/>
                <w:noProof/>
                <w:szCs w:val="24"/>
                <w:lang w:val="fr-CA"/>
              </w:rPr>
              <w:t>BE, IE</w:t>
            </w:r>
            <w:r>
              <w:rPr>
                <w:noProof/>
                <w:szCs w:val="24"/>
                <w:lang w:val="fr-CA"/>
              </w:rPr>
              <w:t> : Non consolidé, sauf pour les accompagnateurs, auquel cas : Néant.</w:t>
            </w:r>
          </w:p>
          <w:p>
            <w:pPr>
              <w:spacing w:before="60" w:after="60" w:line="240" w:lineRule="auto"/>
              <w:rPr>
                <w:rFonts w:eastAsia="SimSun"/>
                <w:noProof/>
                <w:szCs w:val="24"/>
                <w:lang w:val="fr-CA"/>
              </w:rPr>
            </w:pPr>
            <w:r>
              <w:rPr>
                <w:b/>
                <w:noProof/>
                <w:szCs w:val="24"/>
                <w:lang w:val="fr-CA"/>
              </w:rPr>
              <w:t>CAN :</w:t>
            </w:r>
            <w:r>
              <w:rPr>
                <w:noProof/>
                <w:szCs w:val="24"/>
                <w:lang w:val="fr-CA"/>
              </w:rPr>
              <w:t xml:space="preserve"> Néant.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spacing w:before="60" w:after="60" w:line="240" w:lineRule="auto"/>
              <w:rPr>
                <w:rFonts w:eastAsia="SimSun"/>
                <w:b/>
                <w:noProof/>
                <w:szCs w:val="24"/>
                <w:lang w:val="fr-CA"/>
              </w:rPr>
            </w:pPr>
            <w:r>
              <w:rPr>
                <w:b/>
                <w:noProof/>
                <w:szCs w:val="24"/>
                <w:lang w:val="fr-CA"/>
              </w:rPr>
              <w:t xml:space="preserve">Services de guides touristiques </w:t>
            </w:r>
          </w:p>
          <w:p>
            <w:pPr>
              <w:spacing w:before="60" w:after="60" w:line="240" w:lineRule="auto"/>
              <w:rPr>
                <w:rFonts w:eastAsia="SimSun"/>
                <w:noProof/>
                <w:szCs w:val="24"/>
                <w:lang w:val="fr-CA"/>
              </w:rPr>
            </w:pPr>
            <w:r>
              <w:rPr>
                <w:noProof/>
                <w:szCs w:val="24"/>
                <w:lang w:val="fr-CA"/>
              </w:rPr>
              <w:t>(CPC 7472)</w:t>
            </w: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b/>
                <w:noProof/>
                <w:color w:val="000000"/>
                <w:szCs w:val="24"/>
                <w:lang w:val="fr-CA"/>
              </w:rPr>
            </w:pPr>
            <w:r>
              <w:rPr>
                <w:b/>
                <w:noProof/>
                <w:color w:val="000000"/>
                <w:szCs w:val="24"/>
                <w:lang w:val="fr-CA"/>
              </w:rPr>
              <w:t xml:space="preserve">SE, UK : </w:t>
            </w:r>
            <w:r>
              <w:rPr>
                <w:noProof/>
                <w:color w:val="000000"/>
                <w:szCs w:val="24"/>
                <w:lang w:val="fr-CA"/>
              </w:rPr>
              <w:t>Néant.</w:t>
            </w:r>
          </w:p>
          <w:p>
            <w:pPr>
              <w:spacing w:before="60" w:after="60" w:line="240" w:lineRule="auto"/>
              <w:rPr>
                <w:rFonts w:eastAsia="SimSun"/>
                <w:noProof/>
                <w:color w:val="000000"/>
                <w:szCs w:val="24"/>
                <w:lang w:val="fr-CA"/>
              </w:rPr>
            </w:pPr>
            <w:r>
              <w:rPr>
                <w:b/>
                <w:noProof/>
                <w:color w:val="000000"/>
                <w:szCs w:val="24"/>
                <w:lang w:val="fr-CA"/>
              </w:rPr>
              <w:t>AT, BE, BG, CY, CZ, DE, DK, EE, FI, FR, EL, HU, IE, IT, LV, LU, MT, NL, RO, SK, SI</w:t>
            </w:r>
            <w:r>
              <w:rPr>
                <w:noProof/>
                <w:color w:val="000000"/>
                <w:szCs w:val="24"/>
                <w:lang w:val="fr-CA"/>
              </w:rPr>
              <w:t> :</w:t>
            </w:r>
            <w:r>
              <w:rPr>
                <w:b/>
                <w:noProof/>
                <w:color w:val="000000"/>
                <w:szCs w:val="24"/>
                <w:lang w:val="fr-CA"/>
              </w:rPr>
              <w:t xml:space="preserve"> </w:t>
            </w:r>
            <w:r>
              <w:rPr>
                <w:noProof/>
                <w:color w:val="000000"/>
                <w:szCs w:val="24"/>
                <w:lang w:val="fr-CA"/>
              </w:rPr>
              <w:t>Examen des besoins économiques.</w:t>
            </w:r>
          </w:p>
          <w:p>
            <w:pPr>
              <w:spacing w:before="60" w:after="60" w:line="240" w:lineRule="auto"/>
              <w:rPr>
                <w:rFonts w:eastAsia="SimSun"/>
                <w:noProof/>
                <w:color w:val="000000"/>
                <w:szCs w:val="24"/>
                <w:lang w:val="fr-CA"/>
              </w:rPr>
            </w:pPr>
            <w:r>
              <w:rPr>
                <w:b/>
                <w:noProof/>
                <w:color w:val="000000"/>
                <w:szCs w:val="24"/>
                <w:lang w:val="fr-CA"/>
              </w:rPr>
              <w:t>ES, HR, LT, PL, PT</w:t>
            </w:r>
            <w:r>
              <w:rPr>
                <w:noProof/>
                <w:color w:val="000000"/>
                <w:szCs w:val="24"/>
                <w:lang w:val="fr-CA"/>
              </w:rPr>
              <w:t> :</w:t>
            </w:r>
            <w:r>
              <w:rPr>
                <w:b/>
                <w:noProof/>
                <w:color w:val="000000"/>
                <w:szCs w:val="24"/>
                <w:lang w:val="fr-CA"/>
              </w:rPr>
              <w:t xml:space="preserve"> </w:t>
            </w:r>
            <w:r>
              <w:rPr>
                <w:noProof/>
                <w:color w:val="000000"/>
                <w:szCs w:val="24"/>
                <w:lang w:val="fr-CA"/>
              </w:rPr>
              <w:t>Non consolidé.</w:t>
            </w:r>
          </w:p>
          <w:p>
            <w:pPr>
              <w:tabs>
                <w:tab w:val="left" w:pos="279"/>
              </w:tabs>
              <w:spacing w:before="60" w:after="60" w:line="240" w:lineRule="auto"/>
              <w:rPr>
                <w:rFonts w:eastAsia="SimSun"/>
                <w:noProof/>
                <w:szCs w:val="24"/>
                <w:lang w:val="fr-CA"/>
              </w:rPr>
            </w:pPr>
            <w:r>
              <w:rPr>
                <w:b/>
                <w:noProof/>
                <w:szCs w:val="24"/>
                <w:lang w:val="fr-CA"/>
              </w:rPr>
              <w:t>CAN</w:t>
            </w:r>
            <w:r>
              <w:rPr>
                <w:noProof/>
                <w:szCs w:val="24"/>
                <w:lang w:val="fr-CA"/>
              </w:rPr>
              <w:t xml:space="preserve"> : Néant. </w:t>
            </w:r>
          </w:p>
          <w:p>
            <w:pPr>
              <w:spacing w:before="60" w:after="60" w:line="240" w:lineRule="auto"/>
              <w:rPr>
                <w:rFonts w:eastAsia="SimSun"/>
                <w:noProof/>
                <w:szCs w:val="24"/>
                <w:lang w:val="fr-CA"/>
              </w:rPr>
            </w:pPr>
          </w:p>
          <w:p>
            <w:pPr>
              <w:spacing w:before="60" w:after="60" w:line="240" w:lineRule="auto"/>
              <w:rPr>
                <w:rFonts w:eastAsia="SimSun"/>
                <w:noProof/>
                <w:szCs w:val="24"/>
                <w:lang w:val="fr-CA"/>
              </w:rPr>
            </w:pPr>
            <w:r>
              <w:rPr>
                <w:noProof/>
                <w:szCs w:val="24"/>
                <w:u w:val="single"/>
                <w:lang w:val="fr-CA"/>
              </w:rPr>
              <w:t>PI</w:t>
            </w:r>
            <w:r>
              <w:rPr>
                <w:noProof/>
                <w:szCs w:val="24"/>
                <w:lang w:val="fr-CA"/>
              </w:rPr>
              <w:t> :</w:t>
            </w:r>
          </w:p>
          <w:p>
            <w:pPr>
              <w:spacing w:before="60" w:after="60" w:line="240" w:lineRule="auto"/>
              <w:rPr>
                <w:rFonts w:eastAsia="SimSun"/>
                <w:noProof/>
                <w:szCs w:val="24"/>
                <w:lang w:val="fr-CA"/>
              </w:rPr>
            </w:pPr>
            <w:r>
              <w:rPr>
                <w:b/>
                <w:noProof/>
                <w:szCs w:val="24"/>
                <w:lang w:val="fr-CA"/>
              </w:rPr>
              <w:t>UE :</w:t>
            </w:r>
            <w:r>
              <w:rPr>
                <w:noProof/>
                <w:szCs w:val="24"/>
                <w:lang w:val="fr-CA"/>
              </w:rPr>
              <w:t xml:space="preserve"> Non consolidé.</w:t>
            </w:r>
          </w:p>
          <w:p>
            <w:pPr>
              <w:spacing w:before="60" w:after="60" w:line="240" w:lineRule="auto"/>
              <w:rPr>
                <w:rFonts w:eastAsia="SimSun"/>
                <w:noProof/>
                <w:szCs w:val="24"/>
              </w:rPr>
            </w:pPr>
            <w:r>
              <w:rPr>
                <w:b/>
                <w:noProof/>
                <w:szCs w:val="24"/>
              </w:rPr>
              <w:t>CAN :</w:t>
            </w:r>
            <w:r>
              <w:rPr>
                <w:noProof/>
                <w:szCs w:val="24"/>
              </w:rPr>
              <w:t xml:space="preserve"> Non consolidé.</w:t>
            </w:r>
          </w:p>
        </w:tc>
      </w:tr>
      <w:tr>
        <w:trPr>
          <w:cantSplit/>
          <w:jc w:val="center"/>
        </w:trPr>
        <w:tc>
          <w:tcPr>
            <w:tcW w:w="2977" w:type="dxa"/>
            <w:shd w:val="clear" w:color="auto" w:fill="FFFFFF"/>
          </w:tcPr>
          <w:p>
            <w:pPr>
              <w:pageBreakBefore/>
              <w:spacing w:before="60" w:after="60" w:line="240" w:lineRule="auto"/>
              <w:rPr>
                <w:rFonts w:eastAsia="SimSun"/>
                <w:b/>
                <w:noProof/>
                <w:szCs w:val="24"/>
                <w:lang w:val="fr-CA"/>
              </w:rPr>
            </w:pPr>
            <w:r>
              <w:rPr>
                <w:b/>
                <w:noProof/>
                <w:spacing w:val="-2"/>
                <w:szCs w:val="24"/>
                <w:lang w:val="fr-CA"/>
              </w:rPr>
              <w:t xml:space="preserve">Industries manufacturières </w:t>
            </w:r>
            <w:r>
              <w:rPr>
                <w:noProof/>
                <w:szCs w:val="24"/>
                <w:lang w:val="fr-CA"/>
              </w:rPr>
              <w:t>(CPC 884 et 885, services de conseils et de consultation seulement)</w:t>
            </w:r>
          </w:p>
          <w:p>
            <w:pPr>
              <w:spacing w:before="60" w:after="60" w:line="240" w:lineRule="auto"/>
              <w:rPr>
                <w:rFonts w:eastAsia="SimSun"/>
                <w:noProof/>
                <w:szCs w:val="24"/>
                <w:lang w:val="fr-CA"/>
              </w:rPr>
            </w:pPr>
          </w:p>
        </w:tc>
        <w:tc>
          <w:tcPr>
            <w:tcW w:w="6946" w:type="dxa"/>
            <w:shd w:val="clear" w:color="auto" w:fill="FFFFFF"/>
          </w:tcPr>
          <w:p>
            <w:pPr>
              <w:spacing w:before="60" w:after="60" w:line="240" w:lineRule="auto"/>
              <w:rPr>
                <w:rFonts w:eastAsia="SimSun"/>
                <w:noProof/>
                <w:szCs w:val="24"/>
                <w:u w:val="single"/>
                <w:lang w:val="fr-CA"/>
              </w:rPr>
            </w:pPr>
            <w:r>
              <w:rPr>
                <w:noProof/>
                <w:szCs w:val="24"/>
                <w:u w:val="single"/>
                <w:lang w:val="fr-CA"/>
              </w:rPr>
              <w:t>FSC</w:t>
            </w:r>
            <w:r>
              <w:rPr>
                <w:noProof/>
                <w:szCs w:val="24"/>
                <w:lang w:val="fr-CA"/>
              </w:rPr>
              <w:t> :</w:t>
            </w:r>
          </w:p>
          <w:p>
            <w:pPr>
              <w:spacing w:before="60" w:after="60" w:line="240" w:lineRule="auto"/>
              <w:rPr>
                <w:rFonts w:eastAsia="SimSun"/>
                <w:noProof/>
                <w:szCs w:val="24"/>
                <w:lang w:val="fr-CA"/>
              </w:rPr>
            </w:pPr>
            <w:r>
              <w:rPr>
                <w:b/>
                <w:noProof/>
                <w:szCs w:val="24"/>
                <w:lang w:val="fr-CA"/>
              </w:rPr>
              <w:t>BE</w:t>
            </w:r>
            <w:r>
              <w:rPr>
                <w:noProof/>
                <w:szCs w:val="24"/>
                <w:lang w:val="fr-CA"/>
              </w:rPr>
              <w:t xml:space="preserve">, </w:t>
            </w:r>
            <w:r>
              <w:rPr>
                <w:b/>
                <w:noProof/>
                <w:color w:val="000000"/>
                <w:szCs w:val="24"/>
                <w:lang w:val="fr-CA"/>
              </w:rPr>
              <w:t>CY, DE, EE, EL, ES, FI, FR, HR, IE, IT, LV, LU, MT, NL, PL, PT, SI, SE, UK</w:t>
            </w:r>
            <w:r>
              <w:rPr>
                <w:noProof/>
                <w:szCs w:val="24"/>
                <w:lang w:val="fr-CA"/>
              </w:rPr>
              <w:t xml:space="preserve"> : Néant. </w:t>
            </w:r>
          </w:p>
          <w:p>
            <w:pPr>
              <w:spacing w:before="60" w:after="60" w:line="240" w:lineRule="auto"/>
              <w:rPr>
                <w:rFonts w:eastAsia="SimSun"/>
                <w:noProof/>
                <w:szCs w:val="24"/>
                <w:lang w:val="fr-CA"/>
              </w:rPr>
            </w:pPr>
            <w:r>
              <w:rPr>
                <w:b/>
                <w:noProof/>
                <w:szCs w:val="24"/>
                <w:lang w:val="fr-CA"/>
              </w:rPr>
              <w:t>AT, BG, CZ, HU, LT,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DK</w:t>
            </w:r>
            <w:r>
              <w:rPr>
                <w:noProof/>
                <w:szCs w:val="24"/>
                <w:lang w:val="fr-CA"/>
              </w:rPr>
              <w:t xml:space="preserve"> : Examen des besoins économiques, sauf pour les séjours des FSC d’au plus trois mois. </w:t>
            </w:r>
          </w:p>
          <w:p>
            <w:pPr>
              <w:spacing w:before="60" w:after="60" w:line="240" w:lineRule="auto"/>
              <w:rPr>
                <w:rFonts w:eastAsia="SimSun"/>
                <w:noProof/>
                <w:szCs w:val="24"/>
                <w:lang w:val="fr-CA"/>
              </w:rPr>
            </w:pPr>
            <w:r>
              <w:rPr>
                <w:b/>
                <w:noProof/>
                <w:szCs w:val="24"/>
                <w:lang w:val="fr-CA"/>
              </w:rPr>
              <w:t>CAN</w:t>
            </w:r>
            <w:r>
              <w:rPr>
                <w:noProof/>
                <w:szCs w:val="24"/>
                <w:lang w:val="fr-CA"/>
              </w:rPr>
              <w:t> : Néant, sauf pour les cadres supérieurs, auquel cas : Non consolidé.</w:t>
            </w:r>
          </w:p>
          <w:p>
            <w:pPr>
              <w:spacing w:before="60" w:after="60" w:line="240" w:lineRule="auto"/>
              <w:rPr>
                <w:rFonts w:eastAsia="SimSun"/>
                <w:noProof/>
                <w:szCs w:val="24"/>
                <w:lang w:val="fr-CA"/>
              </w:rPr>
            </w:pPr>
          </w:p>
          <w:p>
            <w:pPr>
              <w:spacing w:before="60" w:after="60" w:line="240" w:lineRule="auto"/>
              <w:rPr>
                <w:rFonts w:eastAsia="SimSun"/>
                <w:noProof/>
                <w:szCs w:val="24"/>
                <w:u w:val="single"/>
                <w:lang w:val="es-ES"/>
              </w:rPr>
            </w:pPr>
            <w:r>
              <w:rPr>
                <w:noProof/>
                <w:szCs w:val="24"/>
                <w:u w:val="single"/>
                <w:lang w:val="es-ES"/>
              </w:rPr>
              <w:t>PI</w:t>
            </w:r>
            <w:r>
              <w:rPr>
                <w:noProof/>
                <w:szCs w:val="24"/>
                <w:lang w:val="es-ES"/>
              </w:rPr>
              <w:t> :</w:t>
            </w:r>
          </w:p>
          <w:p>
            <w:pPr>
              <w:spacing w:before="60" w:after="60" w:line="240" w:lineRule="auto"/>
              <w:rPr>
                <w:rFonts w:eastAsia="SimSun"/>
                <w:noProof/>
                <w:szCs w:val="24"/>
                <w:lang w:val="es-ES"/>
              </w:rPr>
            </w:pPr>
            <w:r>
              <w:rPr>
                <w:b/>
                <w:noProof/>
                <w:color w:val="000000"/>
                <w:szCs w:val="24"/>
                <w:lang w:val="es-ES"/>
              </w:rPr>
              <w:t>CY, DE, EE, EL, FI, FR, HR, IE, LV, LU, MT, NL, PT, SI, SE, UK</w:t>
            </w:r>
            <w:r>
              <w:rPr>
                <w:noProof/>
                <w:szCs w:val="24"/>
                <w:lang w:val="es-ES"/>
              </w:rPr>
              <w:t xml:space="preserve"> : Néant. </w:t>
            </w:r>
          </w:p>
          <w:p>
            <w:pPr>
              <w:spacing w:before="60" w:after="60" w:line="240" w:lineRule="auto"/>
              <w:rPr>
                <w:rFonts w:eastAsia="SimSun"/>
                <w:noProof/>
                <w:szCs w:val="24"/>
                <w:lang w:val="fr-CA"/>
              </w:rPr>
            </w:pPr>
            <w:r>
              <w:rPr>
                <w:b/>
                <w:noProof/>
                <w:szCs w:val="24"/>
                <w:lang w:val="fr-CA"/>
              </w:rPr>
              <w:t>AT, BE, BG, CZ, DK, ES, HU, IT, LT, PL, RO, SK</w:t>
            </w:r>
            <w:r>
              <w:rPr>
                <w:noProof/>
                <w:szCs w:val="24"/>
                <w:lang w:val="fr-CA"/>
              </w:rPr>
              <w:t> : Examen des besoins économiques.</w:t>
            </w:r>
          </w:p>
          <w:p>
            <w:pPr>
              <w:spacing w:before="60" w:after="60" w:line="240" w:lineRule="auto"/>
              <w:rPr>
                <w:rFonts w:eastAsia="SimSun"/>
                <w:noProof/>
                <w:szCs w:val="24"/>
                <w:lang w:val="fr-CA"/>
              </w:rPr>
            </w:pPr>
            <w:r>
              <w:rPr>
                <w:b/>
                <w:noProof/>
                <w:szCs w:val="24"/>
                <w:lang w:val="fr-CA"/>
              </w:rPr>
              <w:t>CAN</w:t>
            </w:r>
            <w:r>
              <w:rPr>
                <w:noProof/>
                <w:szCs w:val="24"/>
                <w:lang w:val="fr-CA"/>
              </w:rPr>
              <w:t> : Néant, sauf pour les cadres supérieurs, auquel cas : Non consolidé.</w:t>
            </w:r>
          </w:p>
        </w:tc>
      </w:tr>
    </w:tbl>
    <w:p>
      <w:pPr>
        <w:widowControl/>
        <w:spacing w:line="240" w:lineRule="auto"/>
        <w:jc w:val="both"/>
        <w:rPr>
          <w:b/>
          <w:noProof/>
          <w:szCs w:val="24"/>
          <w:lang w:val="fr-FR" w:eastAsia="en-CA"/>
        </w:rPr>
      </w:pPr>
    </w:p>
    <w:p>
      <w:pPr>
        <w:widowControl/>
        <w:spacing w:line="240" w:lineRule="auto"/>
        <w:jc w:val="both"/>
        <w:rPr>
          <w:b/>
          <w:noProof/>
          <w:szCs w:val="24"/>
          <w:lang w:val="fr-FR" w:eastAsia="en-CA"/>
        </w:rPr>
      </w:pPr>
    </w:p>
    <w:p>
      <w:pPr>
        <w:widowControl/>
        <w:spacing w:line="240" w:lineRule="auto"/>
        <w:rPr>
          <w:rFonts w:eastAsia="Calibri"/>
          <w:b/>
          <w:noProof/>
          <w:szCs w:val="24"/>
          <w:u w:val="single"/>
          <w:lang w:val="fr-FR" w:eastAsia="en-US"/>
        </w:rPr>
      </w:pPr>
      <w:r>
        <w:rPr>
          <w:rFonts w:eastAsia="Calibri"/>
          <w:b/>
          <w:noProof/>
          <w:szCs w:val="24"/>
          <w:u w:val="single"/>
          <w:lang w:val="fr-FR" w:eastAsia="en-US"/>
        </w:rPr>
        <w:br w:type="page"/>
      </w:r>
    </w:p>
    <w:p>
      <w:pPr>
        <w:spacing w:after="240"/>
        <w:jc w:val="center"/>
        <w:rPr>
          <w:rFonts w:eastAsia="Calibri"/>
          <w:b/>
          <w:noProof/>
          <w:szCs w:val="24"/>
          <w:u w:val="single"/>
          <w:lang w:val="fr-CA"/>
        </w:rPr>
      </w:pPr>
      <w:r>
        <w:rPr>
          <w:b/>
          <w:noProof/>
          <w:u w:val="single"/>
          <w:lang w:val="fr-CA"/>
        </w:rPr>
        <w:t>ANNEXE 10-F</w:t>
      </w:r>
    </w:p>
    <w:p>
      <w:pPr>
        <w:spacing w:line="240" w:lineRule="auto"/>
        <w:jc w:val="center"/>
        <w:rPr>
          <w:rFonts w:eastAsia="Calibri"/>
          <w:noProof/>
          <w:szCs w:val="24"/>
          <w:lang w:val="fr-CA"/>
        </w:rPr>
      </w:pPr>
      <w:r>
        <w:rPr>
          <w:b/>
          <w:noProof/>
          <w:lang w:val="fr-CA"/>
        </w:rPr>
        <w:t>ACCORD SUR LES CONJOINTS DES PERSONNES FAISANT L'OBJET D'UN TRANSFERT TEMPORAIRE INTRAGROUPE</w:t>
      </w:r>
    </w:p>
    <w:p>
      <w:pPr>
        <w:pStyle w:val="ManualNumPar1"/>
        <w:ind w:left="600" w:hanging="600"/>
        <w:rPr>
          <w:noProof/>
          <w:lang w:val="fr-CA"/>
        </w:rPr>
      </w:pPr>
      <w:r>
        <w:rPr>
          <w:noProof/>
          <w:lang w:val="fr-CA"/>
        </w:rPr>
        <w:t>1.</w:t>
      </w:r>
      <w:r>
        <w:rPr>
          <w:noProof/>
          <w:lang w:val="fr-CA"/>
        </w:rPr>
        <w:tab/>
        <w:t>Dans le cas des États membres de l’Union européenne soumis à l’application de la Directive 2014/66/UE du Parlement européen et du Conseil du 15 mai 2014 établissant les conditions d’entrée et de séjour des ressortissants de pays tiers dans le cadre d'un transfert temporaire intragroupe (la Directive sur le TTI), l’Union européenne permet l’admission et le séjour temporaires des conjoints des citoyens canadiens faisant l'objet d'un transfert temporaire intragroupe vers l’Union européenne selon des modalités équivalentes à celles qui s'appliquent aux conjoints des personnes faisant l'objet d'un transfert temporaire intragroupe au titre de la Directive sur le TTI.</w:t>
      </w:r>
    </w:p>
    <w:p>
      <w:pPr>
        <w:spacing w:line="240" w:lineRule="auto"/>
        <w:ind w:left="600" w:hanging="600"/>
        <w:rPr>
          <w:rFonts w:eastAsiaTheme="minorHAnsi"/>
          <w:noProof/>
          <w:szCs w:val="22"/>
          <w:lang w:val="fr-FR" w:eastAsia="en-US"/>
        </w:rPr>
      </w:pPr>
      <w:r>
        <w:rPr>
          <w:noProof/>
          <w:lang w:val="fr-CA"/>
        </w:rPr>
        <w:t>2.</w:t>
      </w:r>
      <w:r>
        <w:rPr>
          <w:noProof/>
          <w:lang w:val="fr-CA"/>
        </w:rPr>
        <w:tab/>
        <w:t>Le Canada accorde aux conjoints des citoyens de l’Union européenne faisant l'objet d'un transfert temporaire intragroupe au Canada un traitement équivalent à celui accordé aux conjoints des citoyens canadiens faisant l'objet d'un transfert temporaire intragroupe dans l’État membre dont sont originaires les personnes faisant l'objet d'un transfert temporaire intragroupe de l’Union européenne.</w:t>
      </w:r>
    </w:p>
    <w:p>
      <w:pPr>
        <w:spacing w:line="240" w:lineRule="auto"/>
        <w:rPr>
          <w:rFonts w:eastAsiaTheme="minorHAnsi"/>
          <w:noProof/>
          <w:szCs w:val="22"/>
          <w:lang w:val="fr-FR" w:eastAsia="en-US"/>
        </w:rPr>
      </w:pPr>
    </w:p>
    <w:p>
      <w:pPr>
        <w:spacing w:line="240" w:lineRule="auto"/>
        <w:rPr>
          <w:rFonts w:eastAsiaTheme="minorHAnsi"/>
          <w:noProof/>
          <w:szCs w:val="22"/>
          <w:lang w:val="fr-FR" w:eastAsia="en-US"/>
        </w:rPr>
      </w:pPr>
    </w:p>
    <w:p>
      <w:pPr>
        <w:widowControl/>
        <w:spacing w:line="240" w:lineRule="auto"/>
        <w:rPr>
          <w:b/>
          <w:noProof/>
          <w:szCs w:val="24"/>
          <w:u w:val="single"/>
          <w:lang w:val="fr-FR"/>
        </w:rPr>
      </w:pPr>
      <w:r>
        <w:rPr>
          <w:b/>
          <w:noProof/>
          <w:szCs w:val="24"/>
          <w:u w:val="single"/>
          <w:lang w:val="fr-FR"/>
        </w:rPr>
        <w:br w:type="page"/>
      </w:r>
    </w:p>
    <w:p>
      <w:pPr>
        <w:spacing w:line="240" w:lineRule="auto"/>
        <w:jc w:val="center"/>
        <w:rPr>
          <w:b/>
          <w:bCs/>
          <w:noProof/>
          <w:u w:val="single"/>
        </w:rPr>
      </w:pPr>
      <w:r>
        <w:rPr>
          <w:b/>
          <w:bCs/>
          <w:noProof/>
          <w:u w:val="single"/>
        </w:rPr>
        <w:t>ANNEXE 11</w:t>
      </w:r>
      <w:r>
        <w:rPr>
          <w:b/>
          <w:bCs/>
          <w:noProof/>
          <w:u w:val="single"/>
        </w:rPr>
        <w:noBreakHyphen/>
        <w:t>A</w:t>
      </w:r>
    </w:p>
    <w:p>
      <w:pPr>
        <w:spacing w:line="240" w:lineRule="auto"/>
        <w:rPr>
          <w:noProof/>
        </w:rPr>
      </w:pPr>
    </w:p>
    <w:p>
      <w:pPr>
        <w:spacing w:line="240" w:lineRule="auto"/>
        <w:rPr>
          <w:noProof/>
        </w:rPr>
      </w:pPr>
    </w:p>
    <w:p>
      <w:pPr>
        <w:spacing w:line="240" w:lineRule="auto"/>
        <w:jc w:val="center"/>
        <w:rPr>
          <w:b/>
          <w:bCs/>
          <w:noProof/>
        </w:rPr>
      </w:pPr>
      <w:r>
        <w:rPr>
          <w:b/>
          <w:bCs/>
          <w:noProof/>
          <w:lang w:val="fr-CA"/>
        </w:rPr>
        <w:t>LIGNES DIRECTRICES SUR LES ARM</w:t>
      </w:r>
    </w:p>
    <w:p>
      <w:pPr>
        <w:spacing w:line="240" w:lineRule="auto"/>
        <w:rPr>
          <w:noProof/>
        </w:rPr>
      </w:pPr>
    </w:p>
    <w:p>
      <w:pPr>
        <w:spacing w:line="240" w:lineRule="auto"/>
        <w:rPr>
          <w:b/>
          <w:noProof/>
        </w:rPr>
      </w:pPr>
      <w:r>
        <w:rPr>
          <w:b/>
          <w:noProof/>
        </w:rPr>
        <w:t>Introduction</w:t>
      </w:r>
    </w:p>
    <w:p>
      <w:pPr>
        <w:spacing w:line="240" w:lineRule="auto"/>
        <w:rPr>
          <w:noProof/>
        </w:rPr>
      </w:pPr>
    </w:p>
    <w:p>
      <w:pPr>
        <w:spacing w:line="240" w:lineRule="auto"/>
        <w:rPr>
          <w:noProof/>
        </w:rPr>
      </w:pPr>
      <w:r>
        <w:rPr>
          <w:noProof/>
          <w:lang w:val="fr-CA"/>
        </w:rPr>
        <w:t>La présente annexe contient des lignes directrices qui donnent des orientations pratiques visant à faciliter la négociation d’ARM concernant les professions réglementées. Ces lignes directrices ne sont pas contraignantes et elles ne modifient ni n’affectent en rien les droits et obligations d’une Partie au titre du présent accord</w:t>
      </w:r>
      <w:r>
        <w:rPr>
          <w:noProof/>
        </w:rPr>
        <w:t>.</w:t>
      </w:r>
    </w:p>
    <w:p>
      <w:pPr>
        <w:spacing w:line="240" w:lineRule="auto"/>
        <w:rPr>
          <w:bCs/>
          <w:noProof/>
        </w:rPr>
      </w:pPr>
    </w:p>
    <w:p>
      <w:pPr>
        <w:spacing w:line="240" w:lineRule="auto"/>
        <w:rPr>
          <w:b/>
          <w:noProof/>
        </w:rPr>
      </w:pPr>
      <w:r>
        <w:rPr>
          <w:b/>
          <w:noProof/>
        </w:rPr>
        <w:t>Définitions</w:t>
      </w:r>
    </w:p>
    <w:p>
      <w:pPr>
        <w:spacing w:line="240" w:lineRule="auto"/>
        <w:rPr>
          <w:noProof/>
        </w:rPr>
      </w:pPr>
    </w:p>
    <w:p>
      <w:pPr>
        <w:spacing w:line="240" w:lineRule="auto"/>
        <w:rPr>
          <w:noProof/>
        </w:rPr>
      </w:pPr>
      <w:r>
        <w:rPr>
          <w:noProof/>
          <w:lang w:val="fr-CA"/>
        </w:rPr>
        <w:t>Pour l’application de la présente annexe </w:t>
      </w:r>
      <w:r>
        <w:rPr>
          <w:noProof/>
        </w:rPr>
        <w:t>:</w:t>
      </w:r>
    </w:p>
    <w:p>
      <w:pPr>
        <w:spacing w:line="240" w:lineRule="auto"/>
        <w:rPr>
          <w:bCs/>
          <w:noProof/>
          <w:lang w:eastAsia="en-CA"/>
        </w:rPr>
      </w:pPr>
    </w:p>
    <w:p>
      <w:pPr>
        <w:spacing w:line="240" w:lineRule="auto"/>
        <w:rPr>
          <w:noProof/>
          <w:lang w:eastAsia="en-CA"/>
        </w:rPr>
      </w:pPr>
      <w:r>
        <w:rPr>
          <w:b/>
          <w:bCs/>
          <w:noProof/>
          <w:lang w:val="fr-CA" w:eastAsia="en-CA"/>
        </w:rPr>
        <w:t>période d’adaptation</w:t>
      </w:r>
      <w:r>
        <w:rPr>
          <w:b/>
          <w:noProof/>
          <w:lang w:val="fr-CA" w:eastAsia="en-CA"/>
        </w:rPr>
        <w:t xml:space="preserve"> </w:t>
      </w:r>
      <w:r>
        <w:rPr>
          <w:noProof/>
          <w:lang w:val="fr-CA" w:eastAsia="en-CA"/>
        </w:rPr>
        <w:t>désigne la période d’exercice supervisé, qui peut être accompagnée d’une formation complémentaire, d’une profession réglementée dans la juridiction hôte sous la responsabilité d’une personne qualifiée. Cette période d’exercice supervisé fait l’objet d’une évaluation. Les règles détaillées régissant la période d’adaptation, son évaluation et le statut professionnel de la personne faisant l’objet de la supervision sont énoncées, s’il y a lieu, dans le droit de la juridiction hôte</w:t>
      </w:r>
      <w:r>
        <w:rPr>
          <w:noProof/>
          <w:lang w:eastAsia="en-CA"/>
        </w:rPr>
        <w:t>;</w:t>
      </w:r>
    </w:p>
    <w:p>
      <w:pPr>
        <w:spacing w:line="240" w:lineRule="auto"/>
        <w:rPr>
          <w:bCs/>
          <w:noProof/>
          <w:lang w:eastAsia="en-CA"/>
        </w:rPr>
      </w:pPr>
    </w:p>
    <w:p>
      <w:pPr>
        <w:spacing w:line="240" w:lineRule="auto"/>
        <w:rPr>
          <w:noProof/>
          <w:lang w:eastAsia="en-CA"/>
        </w:rPr>
      </w:pPr>
      <w:r>
        <w:rPr>
          <w:b/>
          <w:bCs/>
          <w:noProof/>
          <w:lang w:val="fr-CA" w:eastAsia="en-CA"/>
        </w:rPr>
        <w:t>test d’aptitude</w:t>
      </w:r>
      <w:r>
        <w:rPr>
          <w:noProof/>
          <w:lang w:eastAsia="en-CA"/>
        </w:rPr>
        <w:t xml:space="preserve"> </w:t>
      </w:r>
      <w:r>
        <w:rPr>
          <w:noProof/>
          <w:lang w:val="fr-CA" w:eastAsia="en-CA"/>
        </w:rPr>
        <w:t>désigne un test concernant exclusivement les connaissances professionnelles des demandeurs, auquel procèdent les autorités compétentes de la juridiction hôte dans le but d’évaluer l’aptitude des demandeurs à exercer une profession réglementée dans cette juridiction;</w:t>
      </w:r>
    </w:p>
    <w:p>
      <w:pPr>
        <w:spacing w:line="240" w:lineRule="auto"/>
        <w:rPr>
          <w:bCs/>
          <w:noProof/>
          <w:lang w:eastAsia="en-CA"/>
        </w:rPr>
      </w:pPr>
    </w:p>
    <w:p>
      <w:pPr>
        <w:spacing w:line="240" w:lineRule="auto"/>
        <w:rPr>
          <w:noProof/>
          <w:lang w:eastAsia="en-CA"/>
        </w:rPr>
      </w:pPr>
      <w:r>
        <w:rPr>
          <w:b/>
          <w:bCs/>
          <w:noProof/>
          <w:lang w:val="fr-CA" w:eastAsia="en-CA"/>
        </w:rPr>
        <w:t xml:space="preserve">champ d’exercice </w:t>
      </w:r>
      <w:r>
        <w:rPr>
          <w:noProof/>
          <w:lang w:val="fr-CA" w:eastAsia="en-CA"/>
        </w:rPr>
        <w:t>désigne une activité ou un ensemble d’activités couvertes par une profession réglementée</w:t>
      </w:r>
      <w:r>
        <w:rPr>
          <w:noProof/>
          <w:lang w:eastAsia="en-CA"/>
        </w:rPr>
        <w:t>.</w:t>
      </w:r>
    </w:p>
    <w:p>
      <w:pPr>
        <w:spacing w:line="240" w:lineRule="auto"/>
        <w:rPr>
          <w:bCs/>
          <w:noProof/>
        </w:rPr>
      </w:pPr>
    </w:p>
    <w:p>
      <w:pPr>
        <w:widowControl/>
        <w:spacing w:line="240" w:lineRule="auto"/>
        <w:rPr>
          <w:b/>
          <w:bCs/>
          <w:noProof/>
        </w:rPr>
      </w:pPr>
      <w:r>
        <w:rPr>
          <w:b/>
          <w:bCs/>
          <w:noProof/>
        </w:rPr>
        <w:br w:type="page"/>
      </w:r>
    </w:p>
    <w:p>
      <w:pPr>
        <w:spacing w:line="240" w:lineRule="auto"/>
        <w:rPr>
          <w:b/>
          <w:bCs/>
          <w:strike/>
          <w:noProof/>
        </w:rPr>
      </w:pPr>
      <w:r>
        <w:rPr>
          <w:b/>
          <w:bCs/>
          <w:noProof/>
          <w:lang w:val="fr-CA"/>
        </w:rPr>
        <w:t>Forme et teneur de l’ARM</w:t>
      </w:r>
    </w:p>
    <w:p>
      <w:pPr>
        <w:spacing w:line="240" w:lineRule="auto"/>
        <w:rPr>
          <w:iCs/>
          <w:noProof/>
        </w:rPr>
      </w:pPr>
    </w:p>
    <w:p>
      <w:pPr>
        <w:spacing w:line="240" w:lineRule="auto"/>
        <w:rPr>
          <w:iCs/>
          <w:noProof/>
        </w:rPr>
      </w:pPr>
      <w:r>
        <w:rPr>
          <w:iCs/>
          <w:noProof/>
          <w:lang w:val="fr-CA"/>
        </w:rPr>
        <w:t>La présente section énumère diverses questions qui peuvent être traitées lors des négociations et, s’il en est ainsi convenu, incluses dans la version finale d’un ARM. Elle fait état d’éléments qui pourraient être exigés des professionnels étrangers qui souhaitent tirer parti d’un ARM</w:t>
      </w:r>
      <w:r>
        <w:rPr>
          <w:iCs/>
          <w:noProof/>
        </w:rPr>
        <w:t>.</w:t>
      </w:r>
    </w:p>
    <w:p>
      <w:pPr>
        <w:spacing w:line="240" w:lineRule="auto"/>
        <w:rPr>
          <w:rFonts w:eastAsiaTheme="minorHAnsi"/>
          <w:noProof/>
          <w:lang w:eastAsia="en-CA"/>
        </w:rPr>
      </w:pPr>
    </w:p>
    <w:p>
      <w:pPr>
        <w:spacing w:line="240" w:lineRule="auto"/>
        <w:ind w:left="567" w:hanging="567"/>
        <w:rPr>
          <w:rFonts w:eastAsiaTheme="minorHAnsi"/>
          <w:noProof/>
          <w:lang w:eastAsia="en-CA"/>
        </w:rPr>
      </w:pPr>
      <w:r>
        <w:rPr>
          <w:rFonts w:eastAsiaTheme="minorHAnsi"/>
          <w:noProof/>
          <w:lang w:eastAsia="en-CA"/>
        </w:rPr>
        <w:t>1.</w:t>
      </w:r>
      <w:r>
        <w:rPr>
          <w:rFonts w:eastAsiaTheme="minorHAnsi"/>
          <w:noProof/>
          <w:lang w:eastAsia="en-CA"/>
        </w:rPr>
        <w:tab/>
      </w:r>
      <w:r>
        <w:rPr>
          <w:rFonts w:eastAsiaTheme="minorHAnsi"/>
          <w:noProof/>
          <w:u w:val="single"/>
          <w:lang w:eastAsia="en-CA"/>
        </w:rPr>
        <w:t>Participants</w:t>
      </w:r>
    </w:p>
    <w:p>
      <w:pPr>
        <w:spacing w:line="240" w:lineRule="auto"/>
        <w:rPr>
          <w:rFonts w:eastAsiaTheme="minorHAnsi"/>
          <w:noProof/>
          <w:lang w:eastAsia="en-CA"/>
        </w:rPr>
      </w:pPr>
    </w:p>
    <w:p>
      <w:pPr>
        <w:spacing w:line="240" w:lineRule="auto"/>
        <w:rPr>
          <w:noProof/>
          <w:lang w:eastAsia="en-CA"/>
        </w:rPr>
      </w:pPr>
      <w:r>
        <w:rPr>
          <w:noProof/>
          <w:lang w:val="fr-CA" w:eastAsia="en-CA"/>
        </w:rPr>
        <w:t>Les parties à l’ARM devraient être clairement indiquées</w:t>
      </w:r>
      <w:r>
        <w:rPr>
          <w:noProof/>
          <w:lang w:eastAsia="en-CA"/>
        </w:rPr>
        <w:t>.</w:t>
      </w:r>
    </w:p>
    <w:p>
      <w:pPr>
        <w:spacing w:line="240" w:lineRule="auto"/>
        <w:rPr>
          <w:noProof/>
          <w:lang w:eastAsia="en-CA"/>
        </w:rPr>
      </w:pPr>
    </w:p>
    <w:p>
      <w:pPr>
        <w:spacing w:line="240" w:lineRule="auto"/>
        <w:ind w:left="567" w:hanging="567"/>
        <w:rPr>
          <w:noProof/>
          <w:szCs w:val="24"/>
        </w:rPr>
      </w:pPr>
      <w:r>
        <w:rPr>
          <w:noProof/>
          <w:szCs w:val="24"/>
        </w:rPr>
        <w:t>2.</w:t>
      </w:r>
      <w:r>
        <w:rPr>
          <w:noProof/>
          <w:szCs w:val="24"/>
        </w:rPr>
        <w:tab/>
      </w:r>
      <w:r>
        <w:rPr>
          <w:noProof/>
          <w:szCs w:val="24"/>
          <w:u w:val="single"/>
          <w:lang w:val="fr-CA"/>
        </w:rPr>
        <w:t>Objectif de l’ARM</w:t>
      </w:r>
    </w:p>
    <w:p>
      <w:pPr>
        <w:spacing w:line="240" w:lineRule="auto"/>
        <w:rPr>
          <w:noProof/>
          <w:szCs w:val="24"/>
        </w:rPr>
      </w:pPr>
    </w:p>
    <w:p>
      <w:pPr>
        <w:spacing w:line="240" w:lineRule="auto"/>
        <w:rPr>
          <w:noProof/>
          <w:szCs w:val="24"/>
        </w:rPr>
      </w:pPr>
      <w:r>
        <w:rPr>
          <w:noProof/>
          <w:szCs w:val="24"/>
          <w:lang w:val="fr-CA"/>
        </w:rPr>
        <w:t>L’objectif de l’ARM devrait être clairement exposé</w:t>
      </w:r>
      <w:r>
        <w:rPr>
          <w:noProof/>
          <w:szCs w:val="24"/>
        </w:rPr>
        <w:t>.</w:t>
      </w:r>
    </w:p>
    <w:p>
      <w:pPr>
        <w:spacing w:line="240" w:lineRule="auto"/>
        <w:rPr>
          <w:noProof/>
          <w:szCs w:val="24"/>
        </w:rPr>
      </w:pPr>
    </w:p>
    <w:p>
      <w:pPr>
        <w:spacing w:line="240" w:lineRule="auto"/>
        <w:ind w:left="567" w:hanging="567"/>
        <w:rPr>
          <w:noProof/>
          <w:szCs w:val="24"/>
        </w:rPr>
      </w:pPr>
      <w:r>
        <w:rPr>
          <w:noProof/>
          <w:szCs w:val="24"/>
        </w:rPr>
        <w:t>3.</w:t>
      </w:r>
      <w:r>
        <w:rPr>
          <w:noProof/>
          <w:szCs w:val="24"/>
        </w:rPr>
        <w:tab/>
      </w:r>
      <w:r>
        <w:rPr>
          <w:noProof/>
          <w:szCs w:val="24"/>
          <w:u w:val="single"/>
          <w:lang w:val="fr-CA"/>
        </w:rPr>
        <w:t>Champ d’application de l’ARM</w:t>
      </w:r>
    </w:p>
    <w:p>
      <w:pPr>
        <w:spacing w:line="240" w:lineRule="auto"/>
        <w:rPr>
          <w:noProof/>
          <w:szCs w:val="24"/>
        </w:rPr>
      </w:pPr>
    </w:p>
    <w:p>
      <w:pPr>
        <w:spacing w:line="240" w:lineRule="auto"/>
        <w:rPr>
          <w:noProof/>
          <w:szCs w:val="24"/>
        </w:rPr>
      </w:pPr>
      <w:r>
        <w:rPr>
          <w:noProof/>
          <w:szCs w:val="24"/>
          <w:lang w:val="fr-CA"/>
        </w:rPr>
        <w:t>L’ARM devrait indiquer clairement </w:t>
      </w:r>
      <w:r>
        <w:rPr>
          <w:noProof/>
          <w:szCs w:val="24"/>
        </w:rPr>
        <w:t>:</w:t>
      </w:r>
    </w:p>
    <w:p>
      <w:pPr>
        <w:spacing w:line="240" w:lineRule="auto"/>
        <w:rPr>
          <w:noProof/>
          <w:szCs w:val="24"/>
        </w:rPr>
      </w:pPr>
    </w:p>
    <w:p>
      <w:pPr>
        <w:spacing w:line="240" w:lineRule="auto"/>
        <w:ind w:left="1134" w:hanging="567"/>
        <w:rPr>
          <w:rFonts w:eastAsiaTheme="minorHAnsi"/>
          <w:noProof/>
        </w:rPr>
      </w:pPr>
      <w:r>
        <w:rPr>
          <w:rFonts w:eastAsiaTheme="minorHAnsi"/>
          <w:noProof/>
        </w:rPr>
        <w:t>a)</w:t>
      </w:r>
      <w:r>
        <w:rPr>
          <w:rFonts w:eastAsiaTheme="minorHAnsi"/>
          <w:noProof/>
        </w:rPr>
        <w:tab/>
      </w:r>
      <w:r>
        <w:rPr>
          <w:rFonts w:eastAsiaTheme="minorHAnsi"/>
          <w:noProof/>
          <w:lang w:val="fr-CA"/>
        </w:rPr>
        <w:t>le champ d’application de l’ARM en ce qui concerne les activités et les titres professionnels particuliers qu’il couvre</w:t>
      </w:r>
      <w:r>
        <w:rPr>
          <w:rFonts w:eastAsiaTheme="minorHAnsi"/>
          <w:noProof/>
        </w:rPr>
        <w:t>;</w:t>
      </w:r>
    </w:p>
    <w:p>
      <w:pPr>
        <w:spacing w:line="240" w:lineRule="auto"/>
        <w:ind w:left="1134" w:hanging="567"/>
        <w:rPr>
          <w:rFonts w:eastAsiaTheme="minorHAnsi"/>
          <w:noProof/>
        </w:rPr>
      </w:pPr>
    </w:p>
    <w:p>
      <w:pPr>
        <w:spacing w:line="240" w:lineRule="auto"/>
        <w:ind w:left="1134" w:hanging="567"/>
        <w:rPr>
          <w:rFonts w:eastAsiaTheme="minorHAnsi"/>
          <w:noProof/>
        </w:rPr>
      </w:pPr>
      <w:r>
        <w:rPr>
          <w:rFonts w:eastAsiaTheme="minorHAnsi"/>
          <w:noProof/>
        </w:rPr>
        <w:t>b)</w:t>
      </w:r>
      <w:r>
        <w:rPr>
          <w:rFonts w:eastAsiaTheme="minorHAnsi"/>
          <w:noProof/>
        </w:rPr>
        <w:tab/>
      </w:r>
      <w:r>
        <w:rPr>
          <w:rFonts w:eastAsiaTheme="minorHAnsi"/>
          <w:noProof/>
          <w:lang w:val="fr-CA"/>
        </w:rPr>
        <w:t>qui est habilité à utiliser les titres professionnels en question</w:t>
      </w:r>
      <w:r>
        <w:rPr>
          <w:rFonts w:eastAsiaTheme="minorHAnsi"/>
          <w:noProof/>
        </w:rPr>
        <w:t>;</w:t>
      </w:r>
    </w:p>
    <w:p>
      <w:pPr>
        <w:spacing w:line="240" w:lineRule="auto"/>
        <w:ind w:left="1134" w:hanging="567"/>
        <w:rPr>
          <w:rFonts w:eastAsiaTheme="minorHAnsi"/>
          <w:noProof/>
        </w:rPr>
      </w:pPr>
    </w:p>
    <w:p>
      <w:pPr>
        <w:spacing w:line="240" w:lineRule="auto"/>
        <w:ind w:left="1134" w:hanging="567"/>
        <w:rPr>
          <w:rFonts w:eastAsiaTheme="minorHAnsi"/>
          <w:noProof/>
        </w:rPr>
      </w:pPr>
      <w:r>
        <w:rPr>
          <w:rFonts w:eastAsiaTheme="minorHAnsi"/>
          <w:noProof/>
        </w:rPr>
        <w:t>c)</w:t>
      </w:r>
      <w:r>
        <w:rPr>
          <w:rFonts w:eastAsiaTheme="minorHAnsi"/>
          <w:noProof/>
        </w:rPr>
        <w:tab/>
      </w:r>
      <w:r>
        <w:rPr>
          <w:rFonts w:eastAsiaTheme="minorHAnsi"/>
          <w:noProof/>
          <w:lang w:val="fr-CA"/>
        </w:rPr>
        <w:t>si le mécanisme de reconnaissance est fondé sur les qualifications formelles, sur une licence obtenue dans la juridiction d’origine ou sur une autre exigence;</w:t>
      </w:r>
    </w:p>
    <w:p>
      <w:pPr>
        <w:spacing w:line="240" w:lineRule="auto"/>
        <w:ind w:left="1134" w:hanging="567"/>
        <w:rPr>
          <w:rFonts w:eastAsiaTheme="minorHAnsi"/>
          <w:noProof/>
        </w:rPr>
      </w:pPr>
    </w:p>
    <w:p>
      <w:pPr>
        <w:spacing w:line="240" w:lineRule="auto"/>
        <w:ind w:left="1134" w:hanging="567"/>
        <w:rPr>
          <w:rFonts w:eastAsiaTheme="minorHAnsi"/>
          <w:noProof/>
        </w:rPr>
      </w:pPr>
      <w:r>
        <w:rPr>
          <w:rFonts w:eastAsiaTheme="minorHAnsi"/>
          <w:noProof/>
        </w:rPr>
        <w:t>d)</w:t>
      </w:r>
      <w:r>
        <w:rPr>
          <w:rFonts w:eastAsiaTheme="minorHAnsi"/>
          <w:noProof/>
        </w:rPr>
        <w:tab/>
      </w:r>
      <w:r>
        <w:rPr>
          <w:rFonts w:eastAsiaTheme="minorHAnsi"/>
          <w:noProof/>
          <w:lang w:val="fr-CA"/>
        </w:rPr>
        <w:t>si l’ARM permet l’accès temporaire ou permanent à la profession en question</w:t>
      </w:r>
      <w:r>
        <w:rPr>
          <w:rFonts w:eastAsiaTheme="minorHAnsi"/>
          <w:noProof/>
        </w:rPr>
        <w:t>.</w:t>
      </w:r>
    </w:p>
    <w:p>
      <w:pPr>
        <w:spacing w:line="240" w:lineRule="auto"/>
        <w:rPr>
          <w:rFonts w:eastAsiaTheme="minorHAnsi"/>
          <w:noProof/>
        </w:rPr>
      </w:pPr>
    </w:p>
    <w:p>
      <w:pPr>
        <w:widowControl/>
        <w:spacing w:line="240" w:lineRule="auto"/>
        <w:rPr>
          <w:noProof/>
          <w:szCs w:val="24"/>
        </w:rPr>
      </w:pPr>
      <w:r>
        <w:rPr>
          <w:noProof/>
          <w:szCs w:val="24"/>
        </w:rPr>
        <w:br w:type="page"/>
      </w:r>
    </w:p>
    <w:p>
      <w:pPr>
        <w:spacing w:line="240" w:lineRule="auto"/>
        <w:ind w:left="567" w:hanging="567"/>
        <w:rPr>
          <w:noProof/>
          <w:szCs w:val="24"/>
        </w:rPr>
      </w:pPr>
      <w:r>
        <w:rPr>
          <w:noProof/>
          <w:szCs w:val="24"/>
        </w:rPr>
        <w:t>4.</w:t>
      </w:r>
      <w:r>
        <w:rPr>
          <w:noProof/>
          <w:szCs w:val="24"/>
        </w:rPr>
        <w:tab/>
      </w:r>
      <w:r>
        <w:rPr>
          <w:noProof/>
          <w:szCs w:val="24"/>
          <w:u w:val="single"/>
          <w:lang w:val="fr-CA"/>
        </w:rPr>
        <w:t>Dispositions relatives à la reconnaissance mutuelle</w:t>
      </w:r>
    </w:p>
    <w:p>
      <w:pPr>
        <w:spacing w:line="240" w:lineRule="auto"/>
        <w:rPr>
          <w:noProof/>
          <w:szCs w:val="24"/>
        </w:rPr>
      </w:pPr>
    </w:p>
    <w:p>
      <w:pPr>
        <w:spacing w:line="240" w:lineRule="auto"/>
        <w:rPr>
          <w:noProof/>
          <w:szCs w:val="24"/>
        </w:rPr>
      </w:pPr>
      <w:r>
        <w:rPr>
          <w:noProof/>
          <w:szCs w:val="24"/>
          <w:lang w:val="fr-CA"/>
        </w:rPr>
        <w:t>L’ARM devrait préciser clairement les conditions qui doivent être respectées pour la reconnaissance des qualifications dans chaque juridiction ainsi que le niveau d’équivalence convenu</w:t>
      </w:r>
      <w:r>
        <w:rPr>
          <w:noProof/>
          <w:szCs w:val="24"/>
        </w:rPr>
        <w:t>.</w:t>
      </w:r>
    </w:p>
    <w:p>
      <w:pPr>
        <w:spacing w:line="240" w:lineRule="auto"/>
        <w:rPr>
          <w:noProof/>
          <w:szCs w:val="24"/>
        </w:rPr>
      </w:pPr>
    </w:p>
    <w:p>
      <w:pPr>
        <w:spacing w:line="240" w:lineRule="auto"/>
        <w:rPr>
          <w:noProof/>
          <w:szCs w:val="24"/>
        </w:rPr>
      </w:pPr>
      <w:r>
        <w:rPr>
          <w:noProof/>
          <w:szCs w:val="24"/>
          <w:lang w:val="fr-CA"/>
        </w:rPr>
        <w:t>Le recours au processus en quatre étapes décrit ci-dessous devrait être envisagé afin de simplifier et de faciliter la reconnaissance des qualifications</w:t>
      </w:r>
      <w:r>
        <w:rPr>
          <w:noProof/>
          <w:szCs w:val="24"/>
        </w:rPr>
        <w:t>.</w:t>
      </w:r>
    </w:p>
    <w:p>
      <w:pPr>
        <w:spacing w:line="240" w:lineRule="auto"/>
        <w:rPr>
          <w:noProof/>
          <w:szCs w:val="24"/>
        </w:rPr>
      </w:pPr>
    </w:p>
    <w:p>
      <w:pPr>
        <w:spacing w:line="240" w:lineRule="auto"/>
        <w:rPr>
          <w:b/>
          <w:bCs/>
          <w:noProof/>
          <w:szCs w:val="24"/>
        </w:rPr>
      </w:pPr>
      <w:r>
        <w:rPr>
          <w:b/>
          <w:bCs/>
          <w:noProof/>
          <w:szCs w:val="24"/>
          <w:lang w:val="fr-CA"/>
        </w:rPr>
        <w:t>Processus de reconnaissance des qualifications en quatre étapes</w:t>
      </w:r>
    </w:p>
    <w:p>
      <w:pPr>
        <w:spacing w:line="240" w:lineRule="auto"/>
        <w:rPr>
          <w:noProof/>
          <w:szCs w:val="24"/>
        </w:rPr>
      </w:pPr>
    </w:p>
    <w:p>
      <w:pPr>
        <w:spacing w:line="240" w:lineRule="auto"/>
        <w:rPr>
          <w:noProof/>
          <w:szCs w:val="24"/>
          <w:u w:val="single"/>
        </w:rPr>
      </w:pPr>
      <w:r>
        <w:rPr>
          <w:noProof/>
          <w:szCs w:val="24"/>
          <w:u w:val="single"/>
          <w:lang w:val="fr-CA"/>
        </w:rPr>
        <w:t>Première étape : Vérification de l’équivalence</w:t>
      </w:r>
    </w:p>
    <w:p>
      <w:pPr>
        <w:spacing w:line="240" w:lineRule="auto"/>
        <w:rPr>
          <w:noProof/>
          <w:szCs w:val="24"/>
        </w:rPr>
      </w:pPr>
    </w:p>
    <w:p>
      <w:pPr>
        <w:spacing w:line="240" w:lineRule="auto"/>
        <w:rPr>
          <w:noProof/>
          <w:szCs w:val="24"/>
        </w:rPr>
      </w:pPr>
      <w:r>
        <w:rPr>
          <w:noProof/>
          <w:szCs w:val="24"/>
          <w:lang w:val="fr-CA"/>
        </w:rPr>
        <w:t>Les entités de négociation devraient vérifier l’équivalence globale entre les champs d’exercice ou les qualifications relatifs à la profession réglementée dans leurs juridictions respectives</w:t>
      </w:r>
      <w:r>
        <w:rPr>
          <w:noProof/>
          <w:szCs w:val="24"/>
        </w:rPr>
        <w:t>.</w:t>
      </w:r>
    </w:p>
    <w:p>
      <w:pPr>
        <w:spacing w:line="240" w:lineRule="auto"/>
        <w:rPr>
          <w:noProof/>
          <w:szCs w:val="24"/>
        </w:rPr>
      </w:pPr>
    </w:p>
    <w:p>
      <w:pPr>
        <w:spacing w:line="240" w:lineRule="auto"/>
        <w:rPr>
          <w:noProof/>
          <w:szCs w:val="24"/>
        </w:rPr>
      </w:pPr>
      <w:r>
        <w:rPr>
          <w:noProof/>
          <w:szCs w:val="24"/>
          <w:lang w:val="fr-CA"/>
        </w:rPr>
        <w:t>L’examen des qualifications devrait comporter la collecte de tous les renseignements pertinents sur la portée des droits d’exercer ayant trait à la compétence juridique ou aux qualifications requises pour exercer une profession réglementée particulière dans les juridictions respectives</w:t>
      </w:r>
      <w:r>
        <w:rPr>
          <w:noProof/>
          <w:szCs w:val="24"/>
        </w:rPr>
        <w:t>.</w:t>
      </w:r>
    </w:p>
    <w:p>
      <w:pPr>
        <w:spacing w:line="240" w:lineRule="auto"/>
        <w:rPr>
          <w:noProof/>
          <w:szCs w:val="24"/>
        </w:rPr>
      </w:pPr>
    </w:p>
    <w:p>
      <w:pPr>
        <w:spacing w:line="240" w:lineRule="auto"/>
        <w:rPr>
          <w:noProof/>
          <w:szCs w:val="24"/>
        </w:rPr>
      </w:pPr>
      <w:r>
        <w:rPr>
          <w:noProof/>
          <w:szCs w:val="24"/>
          <w:lang w:val="fr-CA"/>
        </w:rPr>
        <w:t>Par conséquent, les entités de négociation devraient </w:t>
      </w:r>
      <w:r>
        <w:rPr>
          <w:noProof/>
          <w:szCs w:val="24"/>
        </w:rPr>
        <w:t>:</w:t>
      </w:r>
    </w:p>
    <w:p>
      <w:pPr>
        <w:spacing w:line="240" w:lineRule="auto"/>
        <w:rPr>
          <w:noProof/>
          <w:szCs w:val="24"/>
        </w:rPr>
      </w:pPr>
    </w:p>
    <w:p>
      <w:pPr>
        <w:spacing w:line="240" w:lineRule="auto"/>
        <w:ind w:left="1134" w:hanging="567"/>
        <w:rPr>
          <w:rFonts w:eastAsiaTheme="minorHAnsi"/>
          <w:noProof/>
          <w:szCs w:val="22"/>
        </w:rPr>
      </w:pPr>
      <w:r>
        <w:rPr>
          <w:noProof/>
          <w:szCs w:val="24"/>
        </w:rPr>
        <w:t>a)</w:t>
      </w:r>
      <w:r>
        <w:rPr>
          <w:noProof/>
          <w:szCs w:val="24"/>
        </w:rPr>
        <w:tab/>
      </w:r>
      <w:r>
        <w:rPr>
          <w:rFonts w:eastAsiaTheme="minorHAnsi"/>
          <w:noProof/>
          <w:szCs w:val="22"/>
          <w:lang w:val="fr-CA"/>
        </w:rPr>
        <w:t>d’une part, déterminer les activités ou les ensembles d’activités entrant dans la portée des droits d’exercer la profession réglementée;</w:t>
      </w:r>
    </w:p>
    <w:p>
      <w:pPr>
        <w:spacing w:line="240" w:lineRule="auto"/>
        <w:ind w:left="1134" w:hanging="567"/>
        <w:rPr>
          <w:rFonts w:eastAsiaTheme="minorHAnsi"/>
          <w:noProof/>
          <w:szCs w:val="22"/>
        </w:rPr>
      </w:pPr>
    </w:p>
    <w:p>
      <w:pPr>
        <w:spacing w:line="240" w:lineRule="auto"/>
        <w:ind w:left="1134" w:hanging="567"/>
        <w:rPr>
          <w:noProof/>
          <w:szCs w:val="24"/>
        </w:rPr>
      </w:pPr>
      <w:r>
        <w:rPr>
          <w:rFonts w:eastAsiaTheme="minorHAnsi"/>
          <w:noProof/>
          <w:szCs w:val="22"/>
        </w:rPr>
        <w:t>b)</w:t>
      </w:r>
      <w:r>
        <w:rPr>
          <w:rFonts w:eastAsiaTheme="minorHAnsi"/>
          <w:noProof/>
          <w:szCs w:val="22"/>
        </w:rPr>
        <w:tab/>
      </w:r>
      <w:r>
        <w:rPr>
          <w:rFonts w:eastAsiaTheme="minorHAnsi"/>
          <w:noProof/>
          <w:szCs w:val="22"/>
          <w:lang w:val="fr-CA"/>
        </w:rPr>
        <w:t>d’autre part, déterminer les qualifications requises dans chaque juridiction. Ces qualifications peuvent comprendre les éléments suivants </w:t>
      </w:r>
      <w:r>
        <w:rPr>
          <w:noProof/>
          <w:szCs w:val="24"/>
        </w:rPr>
        <w:t>:</w:t>
      </w:r>
    </w:p>
    <w:p>
      <w:pPr>
        <w:spacing w:line="240" w:lineRule="auto"/>
        <w:rPr>
          <w:noProof/>
          <w:szCs w:val="24"/>
        </w:rPr>
      </w:pPr>
    </w:p>
    <w:p>
      <w:pPr>
        <w:spacing w:line="240" w:lineRule="auto"/>
        <w:ind w:left="1701" w:hanging="567"/>
        <w:rPr>
          <w:rFonts w:eastAsiaTheme="minorHAnsi"/>
          <w:noProof/>
          <w:szCs w:val="22"/>
          <w:lang w:eastAsia="en-CA"/>
        </w:rPr>
      </w:pPr>
      <w:r>
        <w:rPr>
          <w:rFonts w:eastAsiaTheme="minorHAnsi"/>
          <w:noProof/>
          <w:szCs w:val="22"/>
          <w:lang w:eastAsia="en-CA"/>
        </w:rPr>
        <w:t>i)</w:t>
      </w:r>
      <w:r>
        <w:rPr>
          <w:rFonts w:eastAsiaTheme="minorHAnsi"/>
          <w:noProof/>
          <w:szCs w:val="22"/>
          <w:lang w:eastAsia="en-CA"/>
        </w:rPr>
        <w:tab/>
      </w:r>
      <w:r>
        <w:rPr>
          <w:rFonts w:eastAsiaTheme="minorHAnsi"/>
          <w:noProof/>
          <w:szCs w:val="22"/>
          <w:lang w:val="fr-CA" w:eastAsia="en-CA"/>
        </w:rPr>
        <w:t>le niveau minimal d’études requis, par exemple les conditions d’admission, la durée des études et les matières étudiées</w:t>
      </w:r>
      <w:r>
        <w:rPr>
          <w:rFonts w:eastAsiaTheme="minorHAnsi"/>
          <w:noProof/>
          <w:szCs w:val="22"/>
          <w:lang w:eastAsia="en-CA"/>
        </w:rPr>
        <w:t>;</w:t>
      </w:r>
    </w:p>
    <w:p>
      <w:pPr>
        <w:spacing w:line="240" w:lineRule="auto"/>
        <w:ind w:left="1701" w:hanging="567"/>
        <w:rPr>
          <w:rFonts w:eastAsiaTheme="minorHAnsi"/>
          <w:noProof/>
          <w:szCs w:val="22"/>
          <w:lang w:eastAsia="en-CA"/>
        </w:rPr>
      </w:pPr>
    </w:p>
    <w:p>
      <w:pPr>
        <w:widowControl/>
        <w:spacing w:line="240" w:lineRule="auto"/>
        <w:rPr>
          <w:rFonts w:eastAsiaTheme="minorHAnsi"/>
          <w:noProof/>
          <w:szCs w:val="22"/>
          <w:lang w:eastAsia="en-CA"/>
        </w:rPr>
      </w:pPr>
      <w:r>
        <w:rPr>
          <w:rFonts w:eastAsiaTheme="minorHAnsi"/>
          <w:noProof/>
          <w:szCs w:val="22"/>
          <w:lang w:eastAsia="en-CA"/>
        </w:rPr>
        <w:br w:type="page"/>
      </w:r>
    </w:p>
    <w:p>
      <w:pPr>
        <w:spacing w:line="240" w:lineRule="auto"/>
        <w:ind w:left="1701" w:hanging="567"/>
        <w:rPr>
          <w:rFonts w:eastAsiaTheme="minorHAnsi"/>
          <w:noProof/>
          <w:szCs w:val="22"/>
          <w:lang w:eastAsia="en-CA"/>
        </w:rPr>
      </w:pPr>
      <w:r>
        <w:rPr>
          <w:rFonts w:eastAsiaTheme="minorHAnsi"/>
          <w:noProof/>
          <w:szCs w:val="22"/>
          <w:lang w:eastAsia="en-CA"/>
        </w:rPr>
        <w:t>ii)</w:t>
      </w:r>
      <w:r>
        <w:rPr>
          <w:rFonts w:eastAsiaTheme="minorHAnsi"/>
          <w:noProof/>
          <w:szCs w:val="22"/>
          <w:lang w:eastAsia="en-CA"/>
        </w:rPr>
        <w:tab/>
      </w:r>
      <w:r>
        <w:rPr>
          <w:rFonts w:eastAsiaTheme="minorHAnsi"/>
          <w:noProof/>
          <w:szCs w:val="22"/>
          <w:lang w:val="fr-CA" w:eastAsia="en-CA"/>
        </w:rPr>
        <w:t>le niveau minimal d’expérience requise, par exemple le lieu, la durée et les conditions de la formation pratique ou de l’exercice supervisé de la profession avant la délivrance de la licence, ou le cadre de normes éthiques et disciplinaires</w:t>
      </w:r>
      <w:r>
        <w:rPr>
          <w:rFonts w:eastAsiaTheme="minorHAnsi"/>
          <w:noProof/>
          <w:szCs w:val="22"/>
          <w:lang w:eastAsia="en-CA"/>
        </w:rPr>
        <w:t>;</w:t>
      </w:r>
    </w:p>
    <w:p>
      <w:pPr>
        <w:spacing w:line="240" w:lineRule="auto"/>
        <w:ind w:left="1701" w:hanging="567"/>
        <w:rPr>
          <w:rFonts w:eastAsiaTheme="minorHAnsi"/>
          <w:noProof/>
          <w:szCs w:val="22"/>
          <w:lang w:eastAsia="en-CA"/>
        </w:rPr>
      </w:pPr>
    </w:p>
    <w:p>
      <w:pPr>
        <w:spacing w:line="240" w:lineRule="auto"/>
        <w:ind w:left="1701" w:hanging="567"/>
        <w:rPr>
          <w:rFonts w:eastAsiaTheme="minorHAnsi"/>
          <w:noProof/>
          <w:szCs w:val="22"/>
          <w:lang w:eastAsia="en-CA"/>
        </w:rPr>
      </w:pPr>
      <w:r>
        <w:rPr>
          <w:rFonts w:eastAsiaTheme="minorHAnsi"/>
          <w:noProof/>
          <w:szCs w:val="22"/>
          <w:lang w:eastAsia="en-CA"/>
        </w:rPr>
        <w:t>iii)</w:t>
      </w:r>
      <w:r>
        <w:rPr>
          <w:rFonts w:eastAsiaTheme="minorHAnsi"/>
          <w:noProof/>
          <w:szCs w:val="22"/>
          <w:lang w:eastAsia="en-CA"/>
        </w:rPr>
        <w:tab/>
      </w:r>
      <w:r>
        <w:rPr>
          <w:rFonts w:eastAsiaTheme="minorHAnsi"/>
          <w:noProof/>
          <w:szCs w:val="22"/>
          <w:lang w:val="fr-CA" w:eastAsia="en-CA"/>
        </w:rPr>
        <w:t>les examens réussis, en particulier les examens portant sur la compétence professionnelle</w:t>
      </w:r>
      <w:r>
        <w:rPr>
          <w:rFonts w:eastAsiaTheme="minorHAnsi"/>
          <w:noProof/>
          <w:szCs w:val="22"/>
          <w:lang w:eastAsia="en-CA"/>
        </w:rPr>
        <w:t>;</w:t>
      </w:r>
    </w:p>
    <w:p>
      <w:pPr>
        <w:spacing w:line="240" w:lineRule="auto"/>
        <w:ind w:left="1701" w:hanging="567"/>
        <w:rPr>
          <w:rFonts w:eastAsiaTheme="minorHAnsi"/>
          <w:noProof/>
          <w:szCs w:val="22"/>
          <w:lang w:eastAsia="en-CA"/>
        </w:rPr>
      </w:pPr>
    </w:p>
    <w:p>
      <w:pPr>
        <w:spacing w:line="240" w:lineRule="auto"/>
        <w:ind w:left="1701" w:hanging="567"/>
        <w:rPr>
          <w:rFonts w:eastAsiaTheme="minorHAnsi"/>
          <w:noProof/>
          <w:szCs w:val="22"/>
          <w:lang w:eastAsia="en-CA"/>
        </w:rPr>
      </w:pPr>
      <w:r>
        <w:rPr>
          <w:rFonts w:eastAsiaTheme="minorHAnsi"/>
          <w:noProof/>
          <w:szCs w:val="22"/>
          <w:lang w:eastAsia="en-CA"/>
        </w:rPr>
        <w:t>iv)</w:t>
      </w:r>
      <w:r>
        <w:rPr>
          <w:rFonts w:eastAsiaTheme="minorHAnsi"/>
          <w:noProof/>
          <w:szCs w:val="22"/>
          <w:lang w:eastAsia="en-CA"/>
        </w:rPr>
        <w:tab/>
      </w:r>
      <w:r>
        <w:rPr>
          <w:rFonts w:eastAsiaTheme="minorHAnsi"/>
          <w:noProof/>
          <w:szCs w:val="22"/>
          <w:lang w:val="fr-CA" w:eastAsia="en-CA"/>
        </w:rPr>
        <w:t>la mesure dans laquelle les qualifications d’une juridiction sont reconnues dans l’autre juridiction;</w:t>
      </w:r>
    </w:p>
    <w:p>
      <w:pPr>
        <w:spacing w:line="240" w:lineRule="auto"/>
        <w:rPr>
          <w:rFonts w:eastAsiaTheme="minorHAnsi"/>
          <w:noProof/>
          <w:szCs w:val="22"/>
          <w:lang w:eastAsia="en-CA"/>
        </w:rPr>
      </w:pPr>
    </w:p>
    <w:p>
      <w:pPr>
        <w:spacing w:line="240" w:lineRule="auto"/>
        <w:ind w:left="1701" w:hanging="567"/>
        <w:rPr>
          <w:rFonts w:eastAsiaTheme="minorHAnsi"/>
          <w:noProof/>
          <w:szCs w:val="22"/>
          <w:lang w:eastAsia="en-CA"/>
        </w:rPr>
      </w:pPr>
      <w:r>
        <w:rPr>
          <w:rFonts w:eastAsiaTheme="minorHAnsi"/>
          <w:noProof/>
          <w:szCs w:val="22"/>
          <w:lang w:eastAsia="en-CA"/>
        </w:rPr>
        <w:t>v)</w:t>
      </w:r>
      <w:r>
        <w:rPr>
          <w:rFonts w:eastAsiaTheme="minorHAnsi"/>
          <w:noProof/>
          <w:szCs w:val="22"/>
          <w:lang w:eastAsia="en-CA"/>
        </w:rPr>
        <w:tab/>
      </w:r>
      <w:r>
        <w:rPr>
          <w:rFonts w:eastAsiaTheme="minorHAnsi"/>
          <w:noProof/>
          <w:szCs w:val="22"/>
          <w:lang w:val="fr-CA" w:eastAsia="en-CA"/>
        </w:rPr>
        <w:t>les qualifications que les autorités compétentes de chaque juridiction sont prêtes à reconnaître, par exemple en énumérant les diplômes ou certificats particuliers délivrés, ou en faisant référence à des exigences minimales particulières qui doivent être certifiées par les autorités compétentes de la juridiction d’origine, y compris en indiquant si la possession d’un certain niveau de qualifications permettrait la reconnaissance pour certaines activités entrant dans le champ d’exercice mais non pour d’autres (niveau et durée des études, principaux thèmes éducatifs, matières et domaines généraux)</w:t>
      </w:r>
      <w:r>
        <w:rPr>
          <w:rFonts w:eastAsiaTheme="minorHAnsi"/>
          <w:noProof/>
          <w:szCs w:val="22"/>
          <w:lang w:eastAsia="en-CA"/>
        </w:rPr>
        <w:t>.</w:t>
      </w:r>
    </w:p>
    <w:p>
      <w:pPr>
        <w:spacing w:line="240" w:lineRule="auto"/>
        <w:rPr>
          <w:rFonts w:eastAsiaTheme="minorHAnsi"/>
          <w:noProof/>
          <w:szCs w:val="22"/>
          <w:lang w:eastAsia="en-CA"/>
        </w:rPr>
      </w:pPr>
    </w:p>
    <w:p>
      <w:pPr>
        <w:spacing w:line="240" w:lineRule="auto"/>
        <w:rPr>
          <w:noProof/>
          <w:lang w:eastAsia="en-CA"/>
        </w:rPr>
      </w:pPr>
      <w:r>
        <w:rPr>
          <w:noProof/>
          <w:lang w:val="fr-CA" w:eastAsia="en-CA"/>
        </w:rPr>
        <w:t>Il existe une équivalence globale dans la portée des droits d’exercer ou les qualifications relatifs à la profession réglementée s’il n’y a pas de différences substantielles à cet égard entre les juridictions</w:t>
      </w:r>
      <w:r>
        <w:rPr>
          <w:noProof/>
          <w:lang w:eastAsia="en-CA"/>
        </w:rPr>
        <w:t>.</w:t>
      </w:r>
    </w:p>
    <w:p>
      <w:pPr>
        <w:spacing w:line="240" w:lineRule="auto"/>
        <w:rPr>
          <w:noProof/>
          <w:szCs w:val="24"/>
          <w:lang w:eastAsia="en-CA"/>
        </w:rPr>
      </w:pPr>
    </w:p>
    <w:p>
      <w:pPr>
        <w:spacing w:line="240" w:lineRule="auto"/>
        <w:rPr>
          <w:noProof/>
          <w:szCs w:val="24"/>
        </w:rPr>
      </w:pPr>
      <w:r>
        <w:rPr>
          <w:noProof/>
          <w:szCs w:val="24"/>
          <w:u w:val="single"/>
          <w:lang w:val="fr-CA"/>
        </w:rPr>
        <w:t>Deuxième étape : Évaluation des différences substantielles</w:t>
      </w:r>
    </w:p>
    <w:p>
      <w:pPr>
        <w:spacing w:line="240" w:lineRule="auto"/>
        <w:rPr>
          <w:noProof/>
          <w:szCs w:val="24"/>
        </w:rPr>
      </w:pPr>
    </w:p>
    <w:p>
      <w:pPr>
        <w:spacing w:line="240" w:lineRule="auto"/>
        <w:rPr>
          <w:noProof/>
          <w:szCs w:val="24"/>
        </w:rPr>
      </w:pPr>
      <w:r>
        <w:rPr>
          <w:noProof/>
          <w:szCs w:val="24"/>
          <w:lang w:val="fr-CA"/>
        </w:rPr>
        <w:t>Il existe une différence substantielle dans l'étendue des qualifications requises pour exercer une profession réglementée s’il y a, selon le cas </w:t>
      </w:r>
      <w:r>
        <w:rPr>
          <w:noProof/>
          <w:szCs w:val="24"/>
        </w:rPr>
        <w:t>:</w:t>
      </w:r>
    </w:p>
    <w:p>
      <w:pPr>
        <w:spacing w:line="240" w:lineRule="auto"/>
        <w:rPr>
          <w:noProof/>
          <w:szCs w:val="24"/>
        </w:rPr>
      </w:pPr>
    </w:p>
    <w:p>
      <w:pPr>
        <w:spacing w:line="240" w:lineRule="auto"/>
        <w:ind w:left="1134" w:hanging="567"/>
        <w:rPr>
          <w:noProof/>
          <w:szCs w:val="24"/>
        </w:rPr>
      </w:pPr>
      <w:r>
        <w:rPr>
          <w:noProof/>
          <w:szCs w:val="24"/>
        </w:rPr>
        <w:t>a)</w:t>
      </w:r>
      <w:r>
        <w:rPr>
          <w:noProof/>
          <w:szCs w:val="24"/>
        </w:rPr>
        <w:tab/>
      </w:r>
      <w:r>
        <w:rPr>
          <w:noProof/>
          <w:szCs w:val="24"/>
          <w:lang w:val="fr-CA"/>
        </w:rPr>
        <w:t>des différences importantes dans les connaissances essentielles;</w:t>
      </w:r>
    </w:p>
    <w:p>
      <w:pPr>
        <w:spacing w:line="240" w:lineRule="auto"/>
        <w:ind w:left="1134" w:hanging="567"/>
        <w:rPr>
          <w:noProof/>
          <w:szCs w:val="24"/>
        </w:rPr>
      </w:pPr>
    </w:p>
    <w:p>
      <w:pPr>
        <w:spacing w:line="240" w:lineRule="auto"/>
        <w:ind w:left="1134" w:hanging="567"/>
        <w:rPr>
          <w:noProof/>
          <w:szCs w:val="24"/>
        </w:rPr>
      </w:pPr>
      <w:r>
        <w:rPr>
          <w:noProof/>
          <w:szCs w:val="24"/>
        </w:rPr>
        <w:t>b)</w:t>
      </w:r>
      <w:r>
        <w:rPr>
          <w:noProof/>
          <w:szCs w:val="24"/>
        </w:rPr>
        <w:tab/>
      </w:r>
      <w:r>
        <w:rPr>
          <w:noProof/>
          <w:szCs w:val="24"/>
          <w:lang w:val="fr-CA"/>
        </w:rPr>
        <w:t>des différences notables dans la durée ou le contenu de la formation entre les juridictions</w:t>
      </w:r>
      <w:r>
        <w:rPr>
          <w:noProof/>
          <w:szCs w:val="24"/>
        </w:rPr>
        <w:t>.</w:t>
      </w:r>
    </w:p>
    <w:p>
      <w:pPr>
        <w:spacing w:line="240" w:lineRule="auto"/>
        <w:rPr>
          <w:noProof/>
          <w:szCs w:val="24"/>
        </w:rPr>
      </w:pPr>
    </w:p>
    <w:p>
      <w:pPr>
        <w:widowControl/>
        <w:spacing w:line="240" w:lineRule="auto"/>
        <w:rPr>
          <w:rFonts w:eastAsia="Batang"/>
          <w:noProof/>
          <w:szCs w:val="24"/>
          <w:lang w:eastAsia="ko-KR"/>
        </w:rPr>
      </w:pPr>
      <w:r>
        <w:rPr>
          <w:rFonts w:eastAsia="Batang"/>
          <w:noProof/>
          <w:szCs w:val="24"/>
          <w:lang w:eastAsia="ko-KR"/>
        </w:rPr>
        <w:br w:type="page"/>
      </w:r>
    </w:p>
    <w:p>
      <w:pPr>
        <w:spacing w:line="240" w:lineRule="auto"/>
        <w:rPr>
          <w:rFonts w:eastAsia="Batang"/>
          <w:noProof/>
          <w:szCs w:val="24"/>
          <w:lang w:eastAsia="ko-KR"/>
        </w:rPr>
      </w:pPr>
      <w:r>
        <w:rPr>
          <w:rFonts w:eastAsia="Batang"/>
          <w:noProof/>
          <w:szCs w:val="24"/>
          <w:lang w:val="fr-CA" w:eastAsia="ko-KR"/>
        </w:rPr>
        <w:t>Il existe une différence substantielle entre les champs d’exercice dans les cas suivants </w:t>
      </w:r>
      <w:r>
        <w:rPr>
          <w:rFonts w:eastAsia="Batang"/>
          <w:noProof/>
          <w:szCs w:val="24"/>
          <w:lang w:eastAsia="ko-KR"/>
        </w:rPr>
        <w:t>:</w:t>
      </w:r>
    </w:p>
    <w:p>
      <w:pPr>
        <w:spacing w:line="240" w:lineRule="auto"/>
        <w:rPr>
          <w:rFonts w:eastAsia="Batang"/>
          <w:noProof/>
          <w:szCs w:val="24"/>
          <w:lang w:eastAsia="ko-KR"/>
        </w:rPr>
      </w:pPr>
    </w:p>
    <w:p>
      <w:pPr>
        <w:spacing w:line="240" w:lineRule="auto"/>
        <w:ind w:left="1134" w:hanging="567"/>
        <w:rPr>
          <w:noProof/>
          <w:szCs w:val="24"/>
        </w:rPr>
      </w:pPr>
      <w:r>
        <w:rPr>
          <w:rFonts w:eastAsia="Batang"/>
          <w:noProof/>
          <w:szCs w:val="24"/>
          <w:lang w:eastAsia="ko-KR"/>
        </w:rPr>
        <w:t>a)</w:t>
      </w:r>
      <w:r>
        <w:rPr>
          <w:rFonts w:eastAsia="Batang"/>
          <w:noProof/>
          <w:szCs w:val="24"/>
          <w:lang w:eastAsia="ko-KR"/>
        </w:rPr>
        <w:tab/>
      </w:r>
      <w:r>
        <w:rPr>
          <w:rFonts w:eastAsia="Batang"/>
          <w:noProof/>
          <w:szCs w:val="24"/>
          <w:lang w:val="fr-CA" w:eastAsia="ko-KR"/>
        </w:rPr>
        <w:t>une ou plusieurs activités professionnelles ne font pas partie de la profession correspondante dans la juridiction d’origine</w:t>
      </w:r>
      <w:r>
        <w:rPr>
          <w:noProof/>
          <w:szCs w:val="24"/>
        </w:rPr>
        <w:t>;</w:t>
      </w:r>
    </w:p>
    <w:p>
      <w:pPr>
        <w:spacing w:line="240" w:lineRule="auto"/>
        <w:ind w:left="1134" w:hanging="567"/>
        <w:rPr>
          <w:noProof/>
          <w:szCs w:val="24"/>
        </w:rPr>
      </w:pPr>
    </w:p>
    <w:p>
      <w:pPr>
        <w:spacing w:line="240" w:lineRule="auto"/>
        <w:ind w:left="1134" w:hanging="567"/>
        <w:rPr>
          <w:noProof/>
          <w:szCs w:val="24"/>
        </w:rPr>
      </w:pPr>
      <w:r>
        <w:rPr>
          <w:noProof/>
          <w:szCs w:val="24"/>
        </w:rPr>
        <w:t>b)</w:t>
      </w:r>
      <w:r>
        <w:rPr>
          <w:noProof/>
          <w:szCs w:val="24"/>
        </w:rPr>
        <w:tab/>
      </w:r>
      <w:r>
        <w:rPr>
          <w:noProof/>
          <w:szCs w:val="24"/>
          <w:lang w:val="fr-CA"/>
        </w:rPr>
        <w:t>ces activités requièrent une formation particulière dans la juridiction hôte;</w:t>
      </w:r>
    </w:p>
    <w:p>
      <w:pPr>
        <w:spacing w:line="240" w:lineRule="auto"/>
        <w:ind w:left="1134" w:hanging="567"/>
        <w:rPr>
          <w:noProof/>
          <w:szCs w:val="24"/>
        </w:rPr>
      </w:pPr>
    </w:p>
    <w:p>
      <w:pPr>
        <w:spacing w:line="240" w:lineRule="auto"/>
        <w:ind w:left="1134" w:hanging="567"/>
        <w:rPr>
          <w:rFonts w:eastAsia="Batang"/>
          <w:noProof/>
          <w:szCs w:val="24"/>
          <w:lang w:eastAsia="ko-KR"/>
        </w:rPr>
      </w:pPr>
      <w:r>
        <w:rPr>
          <w:noProof/>
          <w:szCs w:val="24"/>
        </w:rPr>
        <w:t>c)</w:t>
      </w:r>
      <w:r>
        <w:rPr>
          <w:noProof/>
          <w:szCs w:val="24"/>
        </w:rPr>
        <w:tab/>
      </w:r>
      <w:r>
        <w:rPr>
          <w:noProof/>
          <w:szCs w:val="24"/>
          <w:lang w:val="fr-CA"/>
        </w:rPr>
        <w:t>la formation requise pour ces activités dans la juridiction hôte porte sur des matières substantiellement différentes de celles couvertes par la qualification du demandeur</w:t>
      </w:r>
      <w:r>
        <w:rPr>
          <w:rFonts w:eastAsia="Batang"/>
          <w:noProof/>
          <w:szCs w:val="24"/>
          <w:lang w:eastAsia="ko-KR"/>
        </w:rPr>
        <w:t>.</w:t>
      </w:r>
    </w:p>
    <w:p>
      <w:pPr>
        <w:spacing w:line="240" w:lineRule="auto"/>
        <w:rPr>
          <w:rFonts w:eastAsia="Batang"/>
          <w:noProof/>
          <w:lang w:eastAsia="ko-KR"/>
        </w:rPr>
      </w:pPr>
    </w:p>
    <w:p>
      <w:pPr>
        <w:spacing w:line="240" w:lineRule="auto"/>
        <w:rPr>
          <w:noProof/>
          <w:u w:val="single"/>
        </w:rPr>
      </w:pPr>
      <w:r>
        <w:rPr>
          <w:noProof/>
          <w:u w:val="single"/>
          <w:lang w:val="fr-CA"/>
        </w:rPr>
        <w:t>Troisième étape : Mesures compensatoires</w:t>
      </w:r>
    </w:p>
    <w:p>
      <w:pPr>
        <w:spacing w:line="240" w:lineRule="auto"/>
        <w:rPr>
          <w:noProof/>
        </w:rPr>
      </w:pPr>
    </w:p>
    <w:p>
      <w:pPr>
        <w:spacing w:line="240" w:lineRule="auto"/>
        <w:rPr>
          <w:noProof/>
        </w:rPr>
      </w:pPr>
      <w:r>
        <w:rPr>
          <w:noProof/>
          <w:lang w:val="fr-CA"/>
        </w:rPr>
        <w:t>Si les entités de négociation concluent qu’il existe une différence substantielle entre les juridictions en ce qui concerne la portée des droits d’exercer ou l’étendue des qualifications, elles peuvent déterminer des mesures compensatoires destinées à combler l’écart</w:t>
      </w:r>
      <w:r>
        <w:rPr>
          <w:noProof/>
        </w:rPr>
        <w:t>.</w:t>
      </w:r>
    </w:p>
    <w:p>
      <w:pPr>
        <w:spacing w:line="240" w:lineRule="auto"/>
        <w:rPr>
          <w:noProof/>
        </w:rPr>
      </w:pPr>
    </w:p>
    <w:p>
      <w:pPr>
        <w:spacing w:line="240" w:lineRule="auto"/>
        <w:rPr>
          <w:noProof/>
        </w:rPr>
      </w:pPr>
      <w:r>
        <w:rPr>
          <w:noProof/>
          <w:lang w:val="fr-CA"/>
        </w:rPr>
        <w:t>Une mesure compensatoire peut notamment prendre la forme d’une période d’adaptation ou, s’il y a lieu, d’un test d’aptitude</w:t>
      </w:r>
      <w:r>
        <w:rPr>
          <w:noProof/>
        </w:rPr>
        <w:t>.</w:t>
      </w:r>
    </w:p>
    <w:p>
      <w:pPr>
        <w:spacing w:line="240" w:lineRule="auto"/>
        <w:rPr>
          <w:noProof/>
        </w:rPr>
      </w:pPr>
    </w:p>
    <w:p>
      <w:pPr>
        <w:spacing w:line="240" w:lineRule="auto"/>
        <w:rPr>
          <w:noProof/>
        </w:rPr>
      </w:pPr>
      <w:r>
        <w:rPr>
          <w:noProof/>
          <w:lang w:val="fr-CA"/>
        </w:rPr>
        <w:t>Les mesures compensatoires devraient être proportionnelles à la différence substantielle qu’elles visent à combler. Avant de déterminer une mesure compensatoire, les entités de négociation devraient également évaluer toute expérience professionnelle pratique acquise dans la juridiction d’origine afin de décider si elle suffit à combler, en totalité ou en partie, la différence substantielle entre les juridictions en ce qui concerne la portée des droits d’exercer ou l’étendue des qualifications</w:t>
      </w:r>
      <w:r>
        <w:rPr>
          <w:noProof/>
        </w:rPr>
        <w:t>.</w:t>
      </w:r>
    </w:p>
    <w:p>
      <w:pPr>
        <w:spacing w:line="240" w:lineRule="auto"/>
        <w:rPr>
          <w:noProof/>
        </w:rPr>
      </w:pPr>
    </w:p>
    <w:p>
      <w:pPr>
        <w:widowControl/>
        <w:spacing w:line="240" w:lineRule="auto"/>
        <w:rPr>
          <w:noProof/>
          <w:u w:val="single"/>
        </w:rPr>
      </w:pPr>
      <w:r>
        <w:rPr>
          <w:noProof/>
          <w:u w:val="single"/>
        </w:rPr>
        <w:br w:type="page"/>
      </w:r>
    </w:p>
    <w:p>
      <w:pPr>
        <w:spacing w:line="240" w:lineRule="auto"/>
        <w:rPr>
          <w:noProof/>
          <w:u w:val="single"/>
        </w:rPr>
      </w:pPr>
      <w:r>
        <w:rPr>
          <w:noProof/>
          <w:u w:val="single"/>
          <w:lang w:val="fr-CA"/>
        </w:rPr>
        <w:t>Quatrième étape : Détermination des conditions à remplir pour la reconnaissance</w:t>
      </w:r>
    </w:p>
    <w:p>
      <w:pPr>
        <w:spacing w:line="240" w:lineRule="auto"/>
        <w:rPr>
          <w:noProof/>
          <w:u w:val="single"/>
        </w:rPr>
      </w:pPr>
    </w:p>
    <w:p>
      <w:pPr>
        <w:spacing w:line="240" w:lineRule="auto"/>
        <w:rPr>
          <w:noProof/>
        </w:rPr>
      </w:pPr>
      <w:r>
        <w:rPr>
          <w:noProof/>
          <w:lang w:val="fr-CA"/>
        </w:rPr>
        <w:t>Après avoir terminé l’évaluation de l’équivalence globale de la portée des droits d’exercer ou de l’étendue des qualifications relatifs à la profession réglementée, les entités de négociation devraient préciser dans l’ARM </w:t>
      </w:r>
      <w:r>
        <w:rPr>
          <w:noProof/>
        </w:rPr>
        <w:t>:</w:t>
      </w:r>
    </w:p>
    <w:p>
      <w:pPr>
        <w:spacing w:line="240" w:lineRule="auto"/>
        <w:rPr>
          <w:noProof/>
        </w:rPr>
      </w:pPr>
    </w:p>
    <w:p>
      <w:pPr>
        <w:spacing w:line="240" w:lineRule="auto"/>
        <w:ind w:left="1134" w:hanging="567"/>
        <w:rPr>
          <w:noProof/>
        </w:rPr>
      </w:pPr>
      <w:r>
        <w:rPr>
          <w:noProof/>
        </w:rPr>
        <w:t>a)</w:t>
      </w:r>
      <w:r>
        <w:rPr>
          <w:noProof/>
        </w:rPr>
        <w:tab/>
      </w:r>
      <w:r>
        <w:rPr>
          <w:noProof/>
          <w:lang w:val="fr-CA"/>
        </w:rPr>
        <w:t>la compétence juridique requise pour exercer la profession réglementée;</w:t>
      </w:r>
    </w:p>
    <w:p>
      <w:pPr>
        <w:spacing w:line="240" w:lineRule="auto"/>
        <w:ind w:left="1134" w:hanging="567"/>
        <w:rPr>
          <w:noProof/>
        </w:rPr>
      </w:pPr>
    </w:p>
    <w:p>
      <w:pPr>
        <w:spacing w:line="240" w:lineRule="auto"/>
        <w:ind w:left="1134" w:hanging="567"/>
        <w:rPr>
          <w:noProof/>
        </w:rPr>
      </w:pPr>
      <w:r>
        <w:rPr>
          <w:noProof/>
        </w:rPr>
        <w:t>b)</w:t>
      </w:r>
      <w:r>
        <w:rPr>
          <w:noProof/>
        </w:rPr>
        <w:tab/>
      </w:r>
      <w:r>
        <w:rPr>
          <w:noProof/>
          <w:lang w:val="fr-CA"/>
        </w:rPr>
        <w:t>les qualifications pour la profession réglementée</w:t>
      </w:r>
      <w:r>
        <w:rPr>
          <w:noProof/>
        </w:rPr>
        <w:t>;</w:t>
      </w:r>
    </w:p>
    <w:p>
      <w:pPr>
        <w:spacing w:line="240" w:lineRule="auto"/>
        <w:ind w:left="1134" w:hanging="567"/>
        <w:rPr>
          <w:noProof/>
        </w:rPr>
      </w:pPr>
    </w:p>
    <w:p>
      <w:pPr>
        <w:spacing w:line="240" w:lineRule="auto"/>
        <w:ind w:left="1134" w:hanging="567"/>
        <w:rPr>
          <w:noProof/>
        </w:rPr>
      </w:pPr>
      <w:r>
        <w:rPr>
          <w:noProof/>
        </w:rPr>
        <w:t>c)</w:t>
      </w:r>
      <w:r>
        <w:rPr>
          <w:noProof/>
        </w:rPr>
        <w:tab/>
      </w:r>
      <w:r>
        <w:rPr>
          <w:noProof/>
          <w:lang w:val="fr-CA"/>
        </w:rPr>
        <w:t>si des mesures compensatoires sont nécessaires</w:t>
      </w:r>
      <w:r>
        <w:rPr>
          <w:noProof/>
        </w:rPr>
        <w:t>;</w:t>
      </w:r>
    </w:p>
    <w:p>
      <w:pPr>
        <w:spacing w:line="240" w:lineRule="auto"/>
        <w:ind w:left="1134" w:hanging="567"/>
        <w:rPr>
          <w:noProof/>
        </w:rPr>
      </w:pPr>
    </w:p>
    <w:p>
      <w:pPr>
        <w:spacing w:line="240" w:lineRule="auto"/>
        <w:ind w:left="1134" w:hanging="567"/>
        <w:rPr>
          <w:noProof/>
        </w:rPr>
      </w:pPr>
      <w:r>
        <w:rPr>
          <w:noProof/>
        </w:rPr>
        <w:t>d)</w:t>
      </w:r>
      <w:r>
        <w:rPr>
          <w:noProof/>
        </w:rPr>
        <w:tab/>
      </w:r>
      <w:r>
        <w:rPr>
          <w:noProof/>
          <w:lang w:val="fr-CA"/>
        </w:rPr>
        <w:t>la mesure dans laquelle une expérience professionnelle peut compenser les différences substantielles</w:t>
      </w:r>
      <w:r>
        <w:rPr>
          <w:noProof/>
        </w:rPr>
        <w:t>;</w:t>
      </w:r>
    </w:p>
    <w:p>
      <w:pPr>
        <w:spacing w:line="240" w:lineRule="auto"/>
        <w:ind w:left="1134" w:hanging="567"/>
        <w:rPr>
          <w:noProof/>
        </w:rPr>
      </w:pPr>
    </w:p>
    <w:p>
      <w:pPr>
        <w:spacing w:line="240" w:lineRule="auto"/>
        <w:ind w:left="1134" w:hanging="567"/>
        <w:rPr>
          <w:noProof/>
        </w:rPr>
      </w:pPr>
      <w:r>
        <w:rPr>
          <w:noProof/>
        </w:rPr>
        <w:t>e)</w:t>
      </w:r>
      <w:r>
        <w:rPr>
          <w:noProof/>
        </w:rPr>
        <w:tab/>
      </w:r>
      <w:r>
        <w:rPr>
          <w:noProof/>
          <w:lang w:val="fr-CA"/>
        </w:rPr>
        <w:t>une description de toute mesure compensatoire, y compris le recours à toute période d’adaptation ou à tout test d’aptitude</w:t>
      </w:r>
      <w:r>
        <w:rPr>
          <w:noProof/>
        </w:rPr>
        <w:t>.</w:t>
      </w:r>
    </w:p>
    <w:p>
      <w:pPr>
        <w:spacing w:line="240" w:lineRule="auto"/>
        <w:rPr>
          <w:noProof/>
        </w:rPr>
      </w:pPr>
    </w:p>
    <w:p>
      <w:pPr>
        <w:spacing w:line="240" w:lineRule="auto"/>
        <w:ind w:left="567" w:hanging="567"/>
        <w:rPr>
          <w:noProof/>
          <w:u w:val="single"/>
          <w:lang w:eastAsia="en-CA"/>
        </w:rPr>
      </w:pPr>
      <w:r>
        <w:rPr>
          <w:noProof/>
          <w:lang w:eastAsia="en-CA"/>
        </w:rPr>
        <w:t>5.</w:t>
      </w:r>
      <w:r>
        <w:rPr>
          <w:noProof/>
          <w:lang w:eastAsia="en-CA"/>
        </w:rPr>
        <w:tab/>
      </w:r>
      <w:r>
        <w:rPr>
          <w:noProof/>
          <w:u w:val="single"/>
          <w:lang w:val="fr-CA" w:eastAsia="en-CA"/>
        </w:rPr>
        <w:t>Mécanismes de mise en œuvre</w:t>
      </w:r>
    </w:p>
    <w:p>
      <w:pPr>
        <w:spacing w:line="240" w:lineRule="auto"/>
        <w:rPr>
          <w:noProof/>
          <w:lang w:eastAsia="en-CA"/>
        </w:rPr>
      </w:pPr>
    </w:p>
    <w:p>
      <w:pPr>
        <w:spacing w:line="240" w:lineRule="auto"/>
        <w:rPr>
          <w:noProof/>
        </w:rPr>
      </w:pPr>
      <w:r>
        <w:rPr>
          <w:noProof/>
          <w:lang w:val="fr-CA"/>
        </w:rPr>
        <w:t>L’ARM devrait indiquer </w:t>
      </w:r>
      <w:r>
        <w:rPr>
          <w:noProof/>
        </w:rPr>
        <w:t>:</w:t>
      </w:r>
    </w:p>
    <w:p>
      <w:pPr>
        <w:spacing w:line="240" w:lineRule="auto"/>
        <w:rPr>
          <w:noProof/>
        </w:rPr>
      </w:pPr>
    </w:p>
    <w:p>
      <w:pPr>
        <w:spacing w:line="240" w:lineRule="auto"/>
        <w:ind w:left="1134" w:hanging="567"/>
        <w:rPr>
          <w:noProof/>
        </w:rPr>
      </w:pPr>
      <w:r>
        <w:rPr>
          <w:noProof/>
          <w:lang w:eastAsia="en-CA"/>
        </w:rPr>
        <w:t>a)</w:t>
      </w:r>
      <w:r>
        <w:rPr>
          <w:noProof/>
          <w:lang w:eastAsia="en-CA"/>
        </w:rPr>
        <w:tab/>
      </w:r>
      <w:r>
        <w:rPr>
          <w:noProof/>
          <w:lang w:val="fr-CA" w:eastAsia="en-CA"/>
        </w:rPr>
        <w:t>les règles et procédures à utiliser pour surveiller et appliquer les dispositions de l’accord</w:t>
      </w:r>
      <w:r>
        <w:rPr>
          <w:noProof/>
        </w:rPr>
        <w:t>;</w:t>
      </w:r>
    </w:p>
    <w:p>
      <w:pPr>
        <w:spacing w:line="240" w:lineRule="auto"/>
        <w:ind w:left="1134" w:hanging="567"/>
        <w:rPr>
          <w:noProof/>
        </w:rPr>
      </w:pPr>
    </w:p>
    <w:p>
      <w:pPr>
        <w:spacing w:line="240" w:lineRule="auto"/>
        <w:ind w:left="1134" w:hanging="567"/>
        <w:rPr>
          <w:noProof/>
        </w:rPr>
      </w:pPr>
      <w:r>
        <w:rPr>
          <w:noProof/>
        </w:rPr>
        <w:t>b)</w:t>
      </w:r>
      <w:r>
        <w:rPr>
          <w:noProof/>
        </w:rPr>
        <w:tab/>
      </w:r>
      <w:r>
        <w:rPr>
          <w:noProof/>
          <w:lang w:val="fr-CA"/>
        </w:rPr>
        <w:t>les mécanismes de dialogue et de coopération administrative entre les parties à l’ARM;</w:t>
      </w:r>
    </w:p>
    <w:p>
      <w:pPr>
        <w:spacing w:line="240" w:lineRule="auto"/>
        <w:ind w:left="1134" w:hanging="567"/>
        <w:rPr>
          <w:noProof/>
        </w:rPr>
      </w:pPr>
    </w:p>
    <w:p>
      <w:pPr>
        <w:spacing w:line="240" w:lineRule="auto"/>
        <w:ind w:left="1134" w:hanging="567"/>
        <w:rPr>
          <w:noProof/>
          <w:lang w:eastAsia="en-CA"/>
        </w:rPr>
      </w:pPr>
      <w:r>
        <w:rPr>
          <w:noProof/>
        </w:rPr>
        <w:t>c)</w:t>
      </w:r>
      <w:r>
        <w:rPr>
          <w:noProof/>
        </w:rPr>
        <w:tab/>
      </w:r>
      <w:r>
        <w:rPr>
          <w:noProof/>
          <w:lang w:val="fr-CA"/>
        </w:rPr>
        <w:t>les moyens ouverts aux demandeurs individuels lorsqu’il s’agit de régler toute question soulevée par l’interprétation ou la mise en œuvre de l’ARM</w:t>
      </w:r>
      <w:r>
        <w:rPr>
          <w:noProof/>
          <w:lang w:eastAsia="en-CA"/>
        </w:rPr>
        <w:t>.</w:t>
      </w:r>
    </w:p>
    <w:p>
      <w:pPr>
        <w:spacing w:line="240" w:lineRule="auto"/>
        <w:ind w:left="1134" w:hanging="567"/>
        <w:rPr>
          <w:noProof/>
          <w:lang w:eastAsia="en-CA"/>
        </w:rPr>
      </w:pPr>
    </w:p>
    <w:p>
      <w:pPr>
        <w:widowControl/>
        <w:spacing w:line="240" w:lineRule="auto"/>
        <w:rPr>
          <w:noProof/>
          <w:lang w:eastAsia="en-CA"/>
        </w:rPr>
      </w:pPr>
      <w:r>
        <w:rPr>
          <w:noProof/>
          <w:lang w:eastAsia="en-CA"/>
        </w:rPr>
        <w:br w:type="page"/>
      </w:r>
    </w:p>
    <w:p>
      <w:pPr>
        <w:spacing w:line="240" w:lineRule="auto"/>
        <w:rPr>
          <w:noProof/>
          <w:lang w:eastAsia="en-CA"/>
        </w:rPr>
      </w:pPr>
      <w:r>
        <w:rPr>
          <w:noProof/>
          <w:lang w:val="fr-CA" w:eastAsia="en-CA"/>
        </w:rPr>
        <w:t>À titre indicatif pour le traitement des demandes individuelles, l’ARM devrait comprendre des renseignements détaillés sur </w:t>
      </w:r>
      <w:r>
        <w:rPr>
          <w:noProof/>
          <w:lang w:eastAsia="en-CA"/>
        </w:rPr>
        <w:t>:</w:t>
      </w:r>
    </w:p>
    <w:p>
      <w:pPr>
        <w:spacing w:line="240" w:lineRule="auto"/>
        <w:rPr>
          <w:noProof/>
          <w:lang w:eastAsia="en-CA"/>
        </w:rPr>
      </w:pPr>
    </w:p>
    <w:p>
      <w:pPr>
        <w:spacing w:line="240" w:lineRule="auto"/>
        <w:ind w:left="1134" w:hanging="567"/>
        <w:rPr>
          <w:noProof/>
        </w:rPr>
      </w:pPr>
      <w:r>
        <w:rPr>
          <w:noProof/>
          <w:lang w:eastAsia="en-CA"/>
        </w:rPr>
        <w:t>a)</w:t>
      </w:r>
      <w:r>
        <w:rPr>
          <w:noProof/>
          <w:lang w:eastAsia="en-CA"/>
        </w:rPr>
        <w:tab/>
      </w:r>
      <w:r>
        <w:rPr>
          <w:noProof/>
          <w:lang w:val="fr-CA" w:eastAsia="en-CA"/>
        </w:rPr>
        <w:t>le point de contact où obtenir des renseignements sur toutes les questions en rapport avec la demande, par exemple le nom et l’adresse des autorités compétentes, les formalités à accomplir pour obtenir une licence, des renseignements sur les exigences additionnelles auxquelles il faut satisfaire dans la juridiction hôte</w:t>
      </w:r>
      <w:r>
        <w:rPr>
          <w:noProof/>
        </w:rPr>
        <w:t>;</w:t>
      </w:r>
    </w:p>
    <w:p>
      <w:pPr>
        <w:spacing w:line="240" w:lineRule="auto"/>
        <w:ind w:left="1134" w:hanging="567"/>
        <w:rPr>
          <w:noProof/>
        </w:rPr>
      </w:pPr>
    </w:p>
    <w:p>
      <w:pPr>
        <w:spacing w:line="240" w:lineRule="auto"/>
        <w:ind w:left="1134" w:hanging="567"/>
        <w:rPr>
          <w:noProof/>
        </w:rPr>
      </w:pPr>
      <w:r>
        <w:rPr>
          <w:noProof/>
        </w:rPr>
        <w:t>b)</w:t>
      </w:r>
      <w:r>
        <w:rPr>
          <w:noProof/>
        </w:rPr>
        <w:tab/>
      </w:r>
      <w:r>
        <w:rPr>
          <w:noProof/>
          <w:lang w:val="fr-CA"/>
        </w:rPr>
        <w:t>la durée des procédures de traitement des demandes par les autorités compétentes de la juridiction hôte</w:t>
      </w:r>
      <w:r>
        <w:rPr>
          <w:noProof/>
        </w:rPr>
        <w:t>;</w:t>
      </w:r>
    </w:p>
    <w:p>
      <w:pPr>
        <w:spacing w:line="240" w:lineRule="auto"/>
        <w:ind w:left="1134" w:hanging="567"/>
        <w:rPr>
          <w:noProof/>
        </w:rPr>
      </w:pPr>
    </w:p>
    <w:p>
      <w:pPr>
        <w:spacing w:line="240" w:lineRule="auto"/>
        <w:ind w:left="1134" w:hanging="567"/>
        <w:rPr>
          <w:noProof/>
        </w:rPr>
      </w:pPr>
      <w:r>
        <w:rPr>
          <w:noProof/>
        </w:rPr>
        <w:t>c)</w:t>
      </w:r>
      <w:r>
        <w:rPr>
          <w:noProof/>
        </w:rPr>
        <w:tab/>
      </w:r>
      <w:r>
        <w:rPr>
          <w:noProof/>
          <w:lang w:val="fr-CA"/>
        </w:rPr>
        <w:t>les documents exigés des demandeurs et la forme sous laquelle ils devraient être présentés</w:t>
      </w:r>
      <w:r>
        <w:rPr>
          <w:noProof/>
        </w:rPr>
        <w:t>;</w:t>
      </w:r>
    </w:p>
    <w:p>
      <w:pPr>
        <w:spacing w:line="240" w:lineRule="auto"/>
        <w:ind w:left="1134" w:hanging="567"/>
        <w:rPr>
          <w:noProof/>
        </w:rPr>
      </w:pPr>
    </w:p>
    <w:p>
      <w:pPr>
        <w:spacing w:line="240" w:lineRule="auto"/>
        <w:ind w:left="1134" w:hanging="567"/>
        <w:rPr>
          <w:noProof/>
        </w:rPr>
      </w:pPr>
      <w:r>
        <w:rPr>
          <w:noProof/>
        </w:rPr>
        <w:t>d)</w:t>
      </w:r>
      <w:r>
        <w:rPr>
          <w:noProof/>
        </w:rPr>
        <w:tab/>
      </w:r>
      <w:r>
        <w:rPr>
          <w:noProof/>
          <w:lang w:val="fr-CA"/>
        </w:rPr>
        <w:t>l’acceptation des documents et certificats délivrés dans la juridiction hôte en ce qui concerne les qualifications et la délivrance de licences</w:t>
      </w:r>
      <w:r>
        <w:rPr>
          <w:noProof/>
        </w:rPr>
        <w:t>;</w:t>
      </w:r>
    </w:p>
    <w:p>
      <w:pPr>
        <w:spacing w:line="240" w:lineRule="auto"/>
        <w:ind w:left="1134" w:hanging="567"/>
        <w:rPr>
          <w:noProof/>
        </w:rPr>
      </w:pPr>
    </w:p>
    <w:p>
      <w:pPr>
        <w:spacing w:line="240" w:lineRule="auto"/>
        <w:ind w:left="1134" w:hanging="567"/>
        <w:rPr>
          <w:noProof/>
          <w:lang w:eastAsia="en-CA"/>
        </w:rPr>
      </w:pPr>
      <w:r>
        <w:rPr>
          <w:noProof/>
        </w:rPr>
        <w:t>e)</w:t>
      </w:r>
      <w:r>
        <w:rPr>
          <w:noProof/>
        </w:rPr>
        <w:tab/>
      </w:r>
      <w:r>
        <w:rPr>
          <w:noProof/>
          <w:lang w:val="fr-CA"/>
        </w:rPr>
        <w:t>les procédures applicables en matière d’appel devant les autorités compétentes ou les procédures suivies par celles-ci en matière de révision</w:t>
      </w:r>
      <w:r>
        <w:rPr>
          <w:noProof/>
          <w:lang w:eastAsia="en-CA"/>
        </w:rPr>
        <w:t>.</w:t>
      </w:r>
    </w:p>
    <w:p>
      <w:pPr>
        <w:spacing w:line="240" w:lineRule="auto"/>
        <w:rPr>
          <w:noProof/>
          <w:lang w:eastAsia="en-CA"/>
        </w:rPr>
      </w:pPr>
    </w:p>
    <w:p>
      <w:pPr>
        <w:spacing w:line="240" w:lineRule="auto"/>
        <w:rPr>
          <w:noProof/>
          <w:lang w:eastAsia="en-CA"/>
        </w:rPr>
      </w:pPr>
      <w:r>
        <w:rPr>
          <w:noProof/>
          <w:lang w:val="fr-CA" w:eastAsia="en-CA"/>
        </w:rPr>
        <w:t>L’ARM devrait aussi comprendre des engagements des autorités compétentes sur les points suivants </w:t>
      </w:r>
      <w:r>
        <w:rPr>
          <w:noProof/>
          <w:lang w:eastAsia="en-CA"/>
        </w:rPr>
        <w:t>:</w:t>
      </w:r>
    </w:p>
    <w:p>
      <w:pPr>
        <w:spacing w:line="240" w:lineRule="auto"/>
        <w:ind w:left="1134" w:hanging="567"/>
        <w:rPr>
          <w:noProof/>
          <w:lang w:eastAsia="en-CA"/>
        </w:rPr>
      </w:pPr>
    </w:p>
    <w:p>
      <w:pPr>
        <w:spacing w:line="240" w:lineRule="auto"/>
        <w:ind w:left="1134" w:hanging="567"/>
        <w:rPr>
          <w:noProof/>
        </w:rPr>
      </w:pPr>
      <w:r>
        <w:rPr>
          <w:noProof/>
          <w:lang w:eastAsia="en-CA"/>
        </w:rPr>
        <w:t>a)</w:t>
      </w:r>
      <w:r>
        <w:rPr>
          <w:noProof/>
          <w:lang w:eastAsia="en-CA"/>
        </w:rPr>
        <w:tab/>
      </w:r>
      <w:r>
        <w:rPr>
          <w:noProof/>
          <w:lang w:val="fr-CA"/>
        </w:rPr>
        <w:t>les demandes concernant les exigences et les procédures relatives à la délivrance de licences et aux qualifications seront traitées dans les moindres délais</w:t>
      </w:r>
      <w:r>
        <w:rPr>
          <w:noProof/>
        </w:rPr>
        <w:t>;</w:t>
      </w:r>
    </w:p>
    <w:p>
      <w:pPr>
        <w:spacing w:line="240" w:lineRule="auto"/>
        <w:ind w:left="1134" w:hanging="567"/>
        <w:rPr>
          <w:noProof/>
        </w:rPr>
      </w:pPr>
    </w:p>
    <w:p>
      <w:pPr>
        <w:spacing w:line="240" w:lineRule="auto"/>
        <w:ind w:left="1134" w:hanging="567"/>
        <w:rPr>
          <w:noProof/>
        </w:rPr>
      </w:pPr>
      <w:r>
        <w:rPr>
          <w:noProof/>
        </w:rPr>
        <w:t>b)</w:t>
      </w:r>
      <w:r>
        <w:rPr>
          <w:noProof/>
        </w:rPr>
        <w:tab/>
      </w:r>
      <w:r>
        <w:rPr>
          <w:noProof/>
          <w:lang w:val="fr-CA"/>
        </w:rPr>
        <w:t>un délai de préparation adéquat sera prévu pour permettre aux demandeurs de satisfaire aux exigences du processus de demande et de toute procédure d’appel ou de révision devant les autorités compétentes</w:t>
      </w:r>
      <w:r>
        <w:rPr>
          <w:noProof/>
        </w:rPr>
        <w:t>;</w:t>
      </w:r>
    </w:p>
    <w:p>
      <w:pPr>
        <w:spacing w:line="240" w:lineRule="auto"/>
        <w:ind w:left="1134" w:hanging="567"/>
        <w:rPr>
          <w:noProof/>
        </w:rPr>
      </w:pPr>
    </w:p>
    <w:p>
      <w:pPr>
        <w:spacing w:line="240" w:lineRule="auto"/>
        <w:ind w:left="1134" w:hanging="567"/>
        <w:rPr>
          <w:noProof/>
        </w:rPr>
      </w:pPr>
      <w:r>
        <w:rPr>
          <w:noProof/>
        </w:rPr>
        <w:t>c)</w:t>
      </w:r>
      <w:r>
        <w:rPr>
          <w:noProof/>
        </w:rPr>
        <w:tab/>
      </w:r>
      <w:r>
        <w:rPr>
          <w:noProof/>
          <w:lang w:val="fr-CA"/>
        </w:rPr>
        <w:t>les examens ou tests seront organisés à des intervalles raisonnables</w:t>
      </w:r>
      <w:r>
        <w:rPr>
          <w:noProof/>
        </w:rPr>
        <w:t>;</w:t>
      </w:r>
    </w:p>
    <w:p>
      <w:pPr>
        <w:spacing w:line="240" w:lineRule="auto"/>
        <w:ind w:left="1134" w:hanging="567"/>
        <w:rPr>
          <w:noProof/>
        </w:rPr>
      </w:pPr>
    </w:p>
    <w:p>
      <w:pPr>
        <w:spacing w:line="240" w:lineRule="auto"/>
        <w:ind w:left="1134" w:hanging="567"/>
        <w:rPr>
          <w:noProof/>
        </w:rPr>
      </w:pPr>
      <w:r>
        <w:rPr>
          <w:noProof/>
        </w:rPr>
        <w:t>d)</w:t>
      </w:r>
      <w:r>
        <w:rPr>
          <w:noProof/>
        </w:rPr>
        <w:tab/>
      </w:r>
      <w:r>
        <w:rPr>
          <w:noProof/>
          <w:lang w:val="fr-CA"/>
        </w:rPr>
        <w:t>les frais payables par les demandeurs qui souhaitent tirer parti des dispositions de l’ARM seront proportionnels aux coûts engagés par la juridiction hôte;</w:t>
      </w:r>
    </w:p>
    <w:p>
      <w:pPr>
        <w:spacing w:line="240" w:lineRule="auto"/>
        <w:ind w:left="1134" w:hanging="567"/>
        <w:rPr>
          <w:noProof/>
        </w:rPr>
      </w:pPr>
    </w:p>
    <w:p>
      <w:pPr>
        <w:spacing w:line="240" w:lineRule="auto"/>
        <w:ind w:left="1134" w:hanging="567"/>
        <w:rPr>
          <w:noProof/>
          <w:lang w:eastAsia="en-CA"/>
        </w:rPr>
      </w:pPr>
      <w:r>
        <w:rPr>
          <w:noProof/>
        </w:rPr>
        <w:t>e)</w:t>
      </w:r>
      <w:r>
        <w:rPr>
          <w:noProof/>
        </w:rPr>
        <w:tab/>
      </w:r>
      <w:r>
        <w:rPr>
          <w:noProof/>
          <w:lang w:val="fr-CA"/>
        </w:rPr>
        <w:t>des renseignements seront communiqués sur tous les programmes d’assistance en matière de formation pratique qui pourraient exister dans la juridiction hôte et sur tous les engagements pris par la juridiction hôte dans ce contexte</w:t>
      </w:r>
      <w:r>
        <w:rPr>
          <w:noProof/>
          <w:lang w:eastAsia="en-CA"/>
        </w:rPr>
        <w:t>.</w:t>
      </w:r>
    </w:p>
    <w:p>
      <w:pPr>
        <w:spacing w:line="240" w:lineRule="auto"/>
        <w:rPr>
          <w:noProof/>
          <w:lang w:eastAsia="en-CA"/>
        </w:rPr>
      </w:pPr>
    </w:p>
    <w:p>
      <w:pPr>
        <w:widowControl/>
        <w:spacing w:line="240" w:lineRule="auto"/>
        <w:rPr>
          <w:noProof/>
          <w:szCs w:val="24"/>
          <w:lang w:eastAsia="en-CA"/>
        </w:rPr>
      </w:pPr>
      <w:r>
        <w:rPr>
          <w:noProof/>
          <w:szCs w:val="24"/>
          <w:lang w:eastAsia="en-CA"/>
        </w:rPr>
        <w:br w:type="page"/>
      </w:r>
    </w:p>
    <w:p>
      <w:pPr>
        <w:spacing w:line="240" w:lineRule="auto"/>
        <w:ind w:left="567" w:hanging="567"/>
        <w:rPr>
          <w:noProof/>
          <w:szCs w:val="24"/>
          <w:u w:val="single"/>
          <w:lang w:eastAsia="en-CA"/>
        </w:rPr>
      </w:pPr>
      <w:r>
        <w:rPr>
          <w:noProof/>
          <w:szCs w:val="24"/>
          <w:lang w:eastAsia="en-CA"/>
        </w:rPr>
        <w:t>6.</w:t>
      </w:r>
      <w:r>
        <w:rPr>
          <w:noProof/>
          <w:szCs w:val="24"/>
          <w:lang w:eastAsia="en-CA"/>
        </w:rPr>
        <w:tab/>
      </w:r>
      <w:r>
        <w:rPr>
          <w:noProof/>
          <w:szCs w:val="24"/>
          <w:u w:val="single"/>
          <w:lang w:val="fr-CA" w:eastAsia="en-CA"/>
        </w:rPr>
        <w:t>Délivrance de licences et autres dispositions appliquées dans la juridiction hôte</w:t>
      </w:r>
    </w:p>
    <w:p>
      <w:pPr>
        <w:spacing w:line="240" w:lineRule="auto"/>
        <w:rPr>
          <w:noProof/>
          <w:szCs w:val="24"/>
          <w:lang w:eastAsia="en-CA"/>
        </w:rPr>
      </w:pPr>
    </w:p>
    <w:p>
      <w:pPr>
        <w:spacing w:line="240" w:lineRule="auto"/>
        <w:rPr>
          <w:noProof/>
          <w:szCs w:val="24"/>
          <w:lang w:eastAsia="en-CA"/>
        </w:rPr>
      </w:pPr>
      <w:r>
        <w:rPr>
          <w:noProof/>
          <w:szCs w:val="24"/>
          <w:lang w:val="fr-CA" w:eastAsia="en-CA"/>
        </w:rPr>
        <w:t>Le cas échéant, l’ARM devrait aussi indiquer comment obtenir une licence et à quelles conditions après que l’admissibilité a été établie, et ce que cette licence signifie, par exemple la licence et sa teneur, l’adhésion à une association professionnelle, l’utilisation de titres professionnels ou universitaires. Toutes les exigences, autres qu’en matière de qualifications, auxquelles il faut satisfaire pour obtenir une licence devraient être expliquées, y compris les exigences concernant </w:t>
      </w:r>
      <w:r>
        <w:rPr>
          <w:noProof/>
          <w:szCs w:val="24"/>
          <w:lang w:eastAsia="en-CA"/>
        </w:rPr>
        <w:t>:</w:t>
      </w:r>
    </w:p>
    <w:p>
      <w:pPr>
        <w:spacing w:line="240" w:lineRule="auto"/>
        <w:rPr>
          <w:noProof/>
          <w:szCs w:val="24"/>
          <w:lang w:eastAsia="en-CA"/>
        </w:rPr>
      </w:pPr>
    </w:p>
    <w:p>
      <w:pPr>
        <w:spacing w:line="240" w:lineRule="auto"/>
        <w:ind w:left="1134" w:hanging="567"/>
        <w:rPr>
          <w:noProof/>
          <w:szCs w:val="24"/>
          <w:lang w:eastAsia="en-CA"/>
        </w:rPr>
      </w:pPr>
      <w:r>
        <w:rPr>
          <w:noProof/>
          <w:szCs w:val="24"/>
          <w:lang w:eastAsia="en-CA"/>
        </w:rPr>
        <w:t>a)</w:t>
      </w:r>
      <w:r>
        <w:rPr>
          <w:noProof/>
          <w:szCs w:val="24"/>
          <w:lang w:eastAsia="en-CA"/>
        </w:rPr>
        <w:tab/>
      </w:r>
      <w:r>
        <w:rPr>
          <w:noProof/>
          <w:szCs w:val="24"/>
          <w:lang w:val="fr-CA" w:eastAsia="en-CA"/>
        </w:rPr>
        <w:t>le fait d’avoir une adresse professionnelle, de maintenir un établissement ou d’être un résident</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b)</w:t>
      </w:r>
      <w:r>
        <w:rPr>
          <w:noProof/>
          <w:szCs w:val="24"/>
          <w:lang w:eastAsia="en-CA"/>
        </w:rPr>
        <w:tab/>
      </w:r>
      <w:r>
        <w:rPr>
          <w:noProof/>
          <w:szCs w:val="24"/>
          <w:lang w:val="fr-CA" w:eastAsia="en-CA"/>
        </w:rPr>
        <w:t>les compétences linguistiques</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c)</w:t>
      </w:r>
      <w:r>
        <w:rPr>
          <w:noProof/>
          <w:szCs w:val="24"/>
          <w:lang w:eastAsia="en-CA"/>
        </w:rPr>
        <w:tab/>
      </w:r>
      <w:r>
        <w:rPr>
          <w:noProof/>
          <w:szCs w:val="24"/>
          <w:lang w:val="fr-CA" w:eastAsia="en-CA"/>
        </w:rPr>
        <w:t>la preuve de bonne moralité</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d)</w:t>
      </w:r>
      <w:r>
        <w:rPr>
          <w:noProof/>
          <w:szCs w:val="24"/>
          <w:lang w:eastAsia="en-CA"/>
        </w:rPr>
        <w:tab/>
      </w:r>
      <w:r>
        <w:rPr>
          <w:noProof/>
          <w:szCs w:val="24"/>
          <w:lang w:val="fr-CA" w:eastAsia="en-CA"/>
        </w:rPr>
        <w:t>l’assurance</w:t>
      </w:r>
      <w:r>
        <w:rPr>
          <w:noProof/>
          <w:szCs w:val="24"/>
          <w:lang w:val="fr-CA" w:eastAsia="en-CA"/>
        </w:rPr>
        <w:noBreakHyphen/>
        <w:t>responsabilité professionnelle</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e)</w:t>
      </w:r>
      <w:r>
        <w:rPr>
          <w:noProof/>
          <w:szCs w:val="24"/>
          <w:lang w:eastAsia="en-CA"/>
        </w:rPr>
        <w:tab/>
      </w:r>
      <w:r>
        <w:rPr>
          <w:noProof/>
          <w:szCs w:val="24"/>
          <w:lang w:val="fr-CA" w:eastAsia="en-CA"/>
        </w:rPr>
        <w:t>le respect des exigences fixées par la juridiction hôte pour l’utilisation des dénominations commerciales ou des raisons sociales;</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f)</w:t>
      </w:r>
      <w:r>
        <w:rPr>
          <w:noProof/>
          <w:szCs w:val="24"/>
          <w:lang w:eastAsia="en-CA"/>
        </w:rPr>
        <w:tab/>
      </w:r>
      <w:r>
        <w:rPr>
          <w:noProof/>
          <w:szCs w:val="24"/>
          <w:lang w:val="fr-CA" w:eastAsia="en-CA"/>
        </w:rPr>
        <w:t>le respect des règles d’éthique applicables dans la juridiction hôte, par exemple l’indépendance et la bonne conduite</w:t>
      </w:r>
      <w:r>
        <w:rPr>
          <w:noProof/>
          <w:szCs w:val="24"/>
          <w:lang w:eastAsia="en-CA"/>
        </w:rPr>
        <w:t>.</w:t>
      </w:r>
    </w:p>
    <w:p>
      <w:pPr>
        <w:spacing w:line="240" w:lineRule="auto"/>
        <w:rPr>
          <w:noProof/>
          <w:szCs w:val="24"/>
          <w:lang w:eastAsia="en-CA"/>
        </w:rPr>
      </w:pPr>
    </w:p>
    <w:p>
      <w:pPr>
        <w:spacing w:line="240" w:lineRule="auto"/>
        <w:rPr>
          <w:noProof/>
          <w:szCs w:val="24"/>
          <w:lang w:eastAsia="en-CA"/>
        </w:rPr>
      </w:pPr>
      <w:r>
        <w:rPr>
          <w:noProof/>
          <w:szCs w:val="24"/>
          <w:lang w:val="fr-CA" w:eastAsia="en-CA"/>
        </w:rPr>
        <w:t>Pour assurer la transparence, l’ARM devrait inclure, pour chacune des juridictions hôtes, les détails suivants </w:t>
      </w:r>
      <w:r>
        <w:rPr>
          <w:noProof/>
          <w:szCs w:val="24"/>
          <w:lang w:eastAsia="en-CA"/>
        </w:rPr>
        <w:t>:</w:t>
      </w:r>
    </w:p>
    <w:p>
      <w:pPr>
        <w:spacing w:line="240" w:lineRule="auto"/>
        <w:rPr>
          <w:noProof/>
          <w:szCs w:val="24"/>
          <w:lang w:eastAsia="en-CA"/>
        </w:rPr>
      </w:pPr>
    </w:p>
    <w:p>
      <w:pPr>
        <w:spacing w:line="240" w:lineRule="auto"/>
        <w:ind w:left="1134" w:hanging="567"/>
        <w:rPr>
          <w:noProof/>
          <w:szCs w:val="24"/>
          <w:lang w:eastAsia="en-CA"/>
        </w:rPr>
      </w:pPr>
      <w:r>
        <w:rPr>
          <w:noProof/>
          <w:szCs w:val="24"/>
          <w:lang w:eastAsia="en-CA"/>
        </w:rPr>
        <w:t>a)</w:t>
      </w:r>
      <w:r>
        <w:rPr>
          <w:noProof/>
          <w:szCs w:val="24"/>
          <w:lang w:eastAsia="en-CA"/>
        </w:rPr>
        <w:tab/>
      </w:r>
      <w:r>
        <w:rPr>
          <w:noProof/>
          <w:szCs w:val="24"/>
          <w:lang w:val="fr-CA" w:eastAsia="en-CA"/>
        </w:rPr>
        <w:t>le droit pertinent à appliquer, par exemple en ce qui concerne les mesures disciplinaires, la responsabilité financière ou autre</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b)</w:t>
      </w:r>
      <w:r>
        <w:rPr>
          <w:noProof/>
          <w:szCs w:val="24"/>
          <w:lang w:eastAsia="en-CA"/>
        </w:rPr>
        <w:tab/>
      </w:r>
      <w:r>
        <w:rPr>
          <w:noProof/>
          <w:szCs w:val="24"/>
          <w:lang w:val="fr-CA" w:eastAsia="en-CA"/>
        </w:rPr>
        <w:t>les principes de discipline et d’application des normes professionnelles, y compris le pouvoir disciplinaire et toute incidence sur l’exercice d’activités professionnelles</w:t>
      </w:r>
      <w:r>
        <w:rPr>
          <w:noProof/>
          <w:szCs w:val="24"/>
          <w:lang w:eastAsia="en-CA"/>
        </w:rPr>
        <w:t>;</w:t>
      </w:r>
    </w:p>
    <w:p>
      <w:pPr>
        <w:spacing w:line="240" w:lineRule="auto"/>
        <w:ind w:left="1134" w:hanging="567"/>
        <w:rPr>
          <w:noProof/>
          <w:szCs w:val="24"/>
          <w:lang w:eastAsia="en-CA"/>
        </w:rPr>
      </w:pPr>
    </w:p>
    <w:p>
      <w:pPr>
        <w:spacing w:line="240" w:lineRule="auto"/>
        <w:ind w:left="1134" w:hanging="567"/>
        <w:rPr>
          <w:noProof/>
          <w:lang w:eastAsia="en-CA"/>
        </w:rPr>
      </w:pPr>
      <w:r>
        <w:rPr>
          <w:noProof/>
          <w:lang w:eastAsia="en-CA"/>
        </w:rPr>
        <w:t>c)</w:t>
      </w:r>
      <w:r>
        <w:rPr>
          <w:noProof/>
          <w:lang w:eastAsia="en-CA"/>
        </w:rPr>
        <w:tab/>
      </w:r>
      <w:r>
        <w:rPr>
          <w:noProof/>
          <w:lang w:val="fr-CA" w:eastAsia="en-CA"/>
        </w:rPr>
        <w:t>les moyens utilisés pour la vérification continue des compétences;</w:t>
      </w:r>
    </w:p>
    <w:p>
      <w:pPr>
        <w:spacing w:line="240" w:lineRule="auto"/>
        <w:ind w:left="1134" w:hanging="567"/>
        <w:rPr>
          <w:noProof/>
          <w:lang w:eastAsia="en-CA"/>
        </w:rPr>
      </w:pPr>
    </w:p>
    <w:p>
      <w:pPr>
        <w:spacing w:line="240" w:lineRule="auto"/>
        <w:ind w:left="1134" w:hanging="567"/>
        <w:rPr>
          <w:noProof/>
          <w:lang w:eastAsia="en-CA"/>
        </w:rPr>
      </w:pPr>
      <w:r>
        <w:rPr>
          <w:noProof/>
          <w:lang w:eastAsia="en-CA"/>
        </w:rPr>
        <w:t>d)</w:t>
      </w:r>
      <w:r>
        <w:rPr>
          <w:noProof/>
          <w:lang w:eastAsia="en-CA"/>
        </w:rPr>
        <w:tab/>
      </w:r>
      <w:r>
        <w:rPr>
          <w:noProof/>
          <w:lang w:val="fr-CA" w:eastAsia="en-CA"/>
        </w:rPr>
        <w:t>les critères pour la radiation des professionnels et les procédures relatives à celle-ci</w:t>
      </w:r>
      <w:r>
        <w:rPr>
          <w:noProof/>
          <w:lang w:eastAsia="en-CA"/>
        </w:rPr>
        <w:t>.</w:t>
      </w:r>
    </w:p>
    <w:p>
      <w:pPr>
        <w:spacing w:line="240" w:lineRule="auto"/>
        <w:rPr>
          <w:noProof/>
          <w:lang w:eastAsia="en-CA"/>
        </w:rPr>
      </w:pPr>
    </w:p>
    <w:p>
      <w:pPr>
        <w:widowControl/>
        <w:spacing w:line="240" w:lineRule="auto"/>
        <w:rPr>
          <w:noProof/>
          <w:szCs w:val="24"/>
          <w:lang w:eastAsia="en-CA"/>
        </w:rPr>
      </w:pPr>
      <w:r>
        <w:rPr>
          <w:noProof/>
          <w:szCs w:val="24"/>
          <w:lang w:eastAsia="en-CA"/>
        </w:rPr>
        <w:br w:type="page"/>
      </w:r>
    </w:p>
    <w:p>
      <w:pPr>
        <w:spacing w:line="240" w:lineRule="auto"/>
        <w:rPr>
          <w:noProof/>
          <w:szCs w:val="24"/>
          <w:u w:val="single"/>
          <w:lang w:eastAsia="en-CA"/>
        </w:rPr>
      </w:pPr>
      <w:r>
        <w:rPr>
          <w:noProof/>
          <w:szCs w:val="24"/>
          <w:lang w:eastAsia="en-CA"/>
        </w:rPr>
        <w:t>7.</w:t>
      </w:r>
      <w:r>
        <w:rPr>
          <w:noProof/>
          <w:szCs w:val="24"/>
          <w:lang w:eastAsia="en-CA"/>
        </w:rPr>
        <w:tab/>
      </w:r>
      <w:r>
        <w:rPr>
          <w:noProof/>
          <w:szCs w:val="24"/>
          <w:u w:val="single"/>
          <w:lang w:val="fr-CA" w:eastAsia="en-CA"/>
        </w:rPr>
        <w:t>Révision de l’ARM</w:t>
      </w:r>
    </w:p>
    <w:p>
      <w:pPr>
        <w:spacing w:line="240" w:lineRule="auto"/>
        <w:rPr>
          <w:noProof/>
          <w:szCs w:val="24"/>
          <w:u w:val="single"/>
          <w:lang w:eastAsia="en-CA"/>
        </w:rPr>
      </w:pPr>
    </w:p>
    <w:p>
      <w:pPr>
        <w:spacing w:line="240" w:lineRule="auto"/>
        <w:rPr>
          <w:noProof/>
          <w:szCs w:val="24"/>
          <w:lang w:eastAsia="en-CA"/>
        </w:rPr>
      </w:pPr>
      <w:r>
        <w:rPr>
          <w:noProof/>
          <w:szCs w:val="24"/>
          <w:lang w:val="fr-CA" w:eastAsia="en-CA"/>
        </w:rPr>
        <w:t>Si l’ARM prévoit les modalités à suivre pour sa révision ou son abrogation, les détails devraient être clairement exposés</w:t>
      </w:r>
      <w:r>
        <w:rPr>
          <w:noProof/>
          <w:szCs w:val="24"/>
          <w:lang w:eastAsia="en-CA"/>
        </w:rPr>
        <w:t>.</w:t>
      </w:r>
    </w:p>
    <w:p>
      <w:pPr>
        <w:spacing w:line="240" w:lineRule="auto"/>
        <w:rPr>
          <w:noProof/>
          <w:szCs w:val="24"/>
          <w:lang w:eastAsia="en-CA"/>
        </w:rPr>
      </w:pPr>
    </w:p>
    <w:p>
      <w:pPr>
        <w:spacing w:line="240" w:lineRule="auto"/>
        <w:rPr>
          <w:noProof/>
          <w:szCs w:val="24"/>
          <w:u w:val="single"/>
          <w:lang w:eastAsia="en-CA"/>
        </w:rPr>
      </w:pPr>
      <w:r>
        <w:rPr>
          <w:noProof/>
          <w:szCs w:val="24"/>
          <w:lang w:eastAsia="en-CA"/>
        </w:rPr>
        <w:t>8.</w:t>
      </w:r>
      <w:r>
        <w:rPr>
          <w:noProof/>
          <w:szCs w:val="24"/>
          <w:lang w:eastAsia="en-CA"/>
        </w:rPr>
        <w:tab/>
      </w:r>
      <w:r>
        <w:rPr>
          <w:noProof/>
          <w:szCs w:val="24"/>
          <w:u w:val="single"/>
          <w:lang w:eastAsia="en-CA"/>
        </w:rPr>
        <w:t>Transparence</w:t>
      </w:r>
    </w:p>
    <w:p>
      <w:pPr>
        <w:spacing w:line="240" w:lineRule="auto"/>
        <w:rPr>
          <w:noProof/>
          <w:szCs w:val="24"/>
          <w:lang w:eastAsia="en-CA"/>
        </w:rPr>
      </w:pPr>
    </w:p>
    <w:p>
      <w:pPr>
        <w:spacing w:line="240" w:lineRule="auto"/>
        <w:rPr>
          <w:noProof/>
          <w:szCs w:val="24"/>
          <w:lang w:eastAsia="en-CA"/>
        </w:rPr>
      </w:pPr>
      <w:r>
        <w:rPr>
          <w:noProof/>
          <w:szCs w:val="24"/>
          <w:lang w:val="fr-CA" w:eastAsia="en-CA"/>
        </w:rPr>
        <w:t>Les Parties devraient </w:t>
      </w:r>
      <w:r>
        <w:rPr>
          <w:noProof/>
          <w:szCs w:val="24"/>
          <w:lang w:eastAsia="en-CA"/>
        </w:rPr>
        <w:t>:</w:t>
      </w:r>
    </w:p>
    <w:p>
      <w:pPr>
        <w:spacing w:line="240" w:lineRule="auto"/>
        <w:rPr>
          <w:noProof/>
          <w:szCs w:val="24"/>
          <w:lang w:eastAsia="en-CA"/>
        </w:rPr>
      </w:pPr>
    </w:p>
    <w:p>
      <w:pPr>
        <w:spacing w:line="240" w:lineRule="auto"/>
        <w:ind w:left="1134" w:hanging="567"/>
        <w:rPr>
          <w:noProof/>
          <w:szCs w:val="24"/>
          <w:lang w:eastAsia="en-CA"/>
        </w:rPr>
      </w:pPr>
      <w:r>
        <w:rPr>
          <w:noProof/>
          <w:szCs w:val="24"/>
          <w:lang w:eastAsia="en-CA"/>
        </w:rPr>
        <w:t>a)</w:t>
      </w:r>
      <w:r>
        <w:rPr>
          <w:noProof/>
          <w:szCs w:val="24"/>
          <w:lang w:eastAsia="en-CA"/>
        </w:rPr>
        <w:tab/>
      </w:r>
      <w:r>
        <w:rPr>
          <w:noProof/>
          <w:szCs w:val="24"/>
          <w:lang w:val="fr-CA" w:eastAsia="en-CA"/>
        </w:rPr>
        <w:t>rendre accessibles au public les textes des ARM qui ont été conclus;</w:t>
      </w:r>
    </w:p>
    <w:p>
      <w:pPr>
        <w:spacing w:line="240" w:lineRule="auto"/>
        <w:ind w:left="1134" w:hanging="567"/>
        <w:rPr>
          <w:noProof/>
          <w:szCs w:val="24"/>
          <w:lang w:eastAsia="en-CA"/>
        </w:rPr>
      </w:pPr>
    </w:p>
    <w:p>
      <w:pPr>
        <w:spacing w:line="240" w:lineRule="auto"/>
        <w:ind w:left="1134" w:hanging="567"/>
        <w:rPr>
          <w:noProof/>
          <w:szCs w:val="24"/>
          <w:lang w:eastAsia="en-CA"/>
        </w:rPr>
      </w:pPr>
      <w:r>
        <w:rPr>
          <w:noProof/>
          <w:szCs w:val="24"/>
          <w:lang w:eastAsia="en-CA"/>
        </w:rPr>
        <w:t>b)</w:t>
      </w:r>
      <w:r>
        <w:rPr>
          <w:noProof/>
          <w:szCs w:val="24"/>
          <w:lang w:eastAsia="en-CA"/>
        </w:rPr>
        <w:tab/>
      </w:r>
      <w:r>
        <w:rPr>
          <w:noProof/>
          <w:szCs w:val="24"/>
          <w:lang w:val="fr-CA" w:eastAsia="en-CA"/>
        </w:rPr>
        <w:t>se notifier toutes les modifications apportées aux qualifications qui peuvent avoir une incidence sur l’application ou la mise en œuvre d’un ARM. Dans la mesure du possible, une Partie devrait ménager à l’autre Partie la possibilité de présenter ses observations sur les modifications</w:t>
      </w:r>
      <w:r>
        <w:rPr>
          <w:noProof/>
          <w:szCs w:val="24"/>
          <w:lang w:eastAsia="en-CA"/>
        </w:rPr>
        <w:t>.</w:t>
      </w:r>
    </w:p>
    <w:p>
      <w:pPr>
        <w:widowControl/>
        <w:spacing w:line="240" w:lineRule="auto"/>
        <w:ind w:left="1417" w:hanging="567"/>
        <w:jc w:val="both"/>
        <w:rPr>
          <w:noProof/>
          <w:szCs w:val="24"/>
          <w:lang w:eastAsia="en-CA"/>
        </w:rPr>
      </w:pPr>
    </w:p>
    <w:p>
      <w:pPr>
        <w:widowControl/>
        <w:spacing w:line="240" w:lineRule="auto"/>
        <w:ind w:left="1417" w:hanging="567"/>
        <w:jc w:val="both"/>
        <w:rPr>
          <w:noProof/>
          <w:szCs w:val="24"/>
          <w:lang w:eastAsia="en-CA"/>
        </w:rPr>
      </w:pPr>
    </w:p>
    <w:p>
      <w:pPr>
        <w:widowControl/>
        <w:spacing w:line="240" w:lineRule="auto"/>
        <w:rPr>
          <w:rFonts w:eastAsia="SimSun"/>
          <w:b/>
          <w:bCs/>
          <w:noProof/>
          <w:szCs w:val="24"/>
          <w:u w:val="single"/>
          <w:lang w:eastAsia="en-CA"/>
        </w:rPr>
      </w:pPr>
      <w:r>
        <w:rPr>
          <w:rFonts w:eastAsia="SimSun"/>
          <w:b/>
          <w:bCs/>
          <w:noProof/>
          <w:szCs w:val="24"/>
          <w:u w:val="single"/>
          <w:lang w:eastAsia="en-CA"/>
        </w:rPr>
        <w:br w:type="page"/>
      </w:r>
    </w:p>
    <w:p>
      <w:pPr>
        <w:spacing w:line="240" w:lineRule="auto"/>
        <w:jc w:val="center"/>
        <w:rPr>
          <w:rFonts w:eastAsia="SimSun"/>
          <w:b/>
          <w:bCs/>
          <w:noProof/>
          <w:u w:val="single"/>
          <w:lang w:val="fr-BE" w:eastAsia="en-CA"/>
        </w:rPr>
      </w:pPr>
      <w:r>
        <w:rPr>
          <w:rFonts w:eastAsia="SimSun"/>
          <w:b/>
          <w:bCs/>
          <w:noProof/>
          <w:szCs w:val="24"/>
          <w:u w:val="single"/>
          <w:lang w:val="fr-CA" w:eastAsia="en-CA"/>
        </w:rPr>
        <w:t>ANNEXE 13</w:t>
      </w:r>
      <w:r>
        <w:rPr>
          <w:rFonts w:eastAsia="SimSun"/>
          <w:b/>
          <w:bCs/>
          <w:noProof/>
          <w:szCs w:val="24"/>
          <w:u w:val="single"/>
          <w:lang w:val="fr-CA" w:eastAsia="en-CA"/>
        </w:rPr>
        <w:noBreakHyphen/>
        <w:t>A</w:t>
      </w:r>
    </w:p>
    <w:p>
      <w:pPr>
        <w:spacing w:line="240" w:lineRule="auto"/>
        <w:rPr>
          <w:rFonts w:eastAsia="SimSun"/>
          <w:noProof/>
          <w:lang w:val="fr-BE" w:eastAsia="en-CA"/>
        </w:rPr>
      </w:pPr>
    </w:p>
    <w:p>
      <w:pPr>
        <w:spacing w:line="240" w:lineRule="auto"/>
        <w:rPr>
          <w:rFonts w:eastAsia="SimSun"/>
          <w:noProof/>
          <w:lang w:val="fr-BE" w:eastAsia="en-CA"/>
        </w:rPr>
      </w:pPr>
    </w:p>
    <w:p>
      <w:pPr>
        <w:spacing w:line="240" w:lineRule="auto"/>
        <w:jc w:val="center"/>
        <w:rPr>
          <w:rFonts w:eastAsia="SimSun"/>
          <w:b/>
          <w:bCs/>
          <w:noProof/>
          <w:lang w:val="fr-BE" w:eastAsia="en-CA"/>
        </w:rPr>
      </w:pPr>
      <w:r>
        <w:rPr>
          <w:rFonts w:eastAsia="SimSun"/>
          <w:b/>
          <w:bCs/>
          <w:noProof/>
          <w:szCs w:val="24"/>
          <w:lang w:val="fr-CA" w:eastAsia="en-CA"/>
        </w:rPr>
        <w:t>COMMERCE TRANSFRONTIÈRES DES SERVICES FINANCIERS</w:t>
      </w:r>
    </w:p>
    <w:p>
      <w:pPr>
        <w:spacing w:line="240" w:lineRule="auto"/>
        <w:rPr>
          <w:rFonts w:eastAsia="SimSun"/>
          <w:noProof/>
          <w:lang w:val="fr-BE" w:eastAsia="en-CA"/>
        </w:rPr>
      </w:pPr>
    </w:p>
    <w:p>
      <w:pPr>
        <w:spacing w:line="240" w:lineRule="auto"/>
        <w:rPr>
          <w:rFonts w:eastAsia="SimSun"/>
          <w:b/>
          <w:bCs/>
          <w:noProof/>
          <w:lang w:val="fr-BE" w:eastAsia="en-CA"/>
        </w:rPr>
      </w:pPr>
      <w:r>
        <w:rPr>
          <w:rFonts w:eastAsia="SimSun"/>
          <w:b/>
          <w:bCs/>
          <w:noProof/>
          <w:szCs w:val="24"/>
          <w:lang w:val="fr-CA" w:eastAsia="en-CA"/>
        </w:rPr>
        <w:t>Liste du Canada</w:t>
      </w:r>
    </w:p>
    <w:p>
      <w:pPr>
        <w:spacing w:line="240" w:lineRule="auto"/>
        <w:rPr>
          <w:rFonts w:eastAsia="SimSun"/>
          <w:noProof/>
          <w:lang w:val="fr-BE" w:eastAsia="en-CA"/>
        </w:rPr>
      </w:pPr>
    </w:p>
    <w:p>
      <w:pPr>
        <w:spacing w:line="240" w:lineRule="auto"/>
        <w:rPr>
          <w:noProof/>
          <w:lang w:val="fr-BE" w:eastAsia="en-GB"/>
        </w:rPr>
      </w:pPr>
      <w:r>
        <w:rPr>
          <w:noProof/>
          <w:szCs w:val="24"/>
          <w:lang w:val="fr-CA" w:eastAsia="en-GB"/>
        </w:rPr>
        <w:t>Services d’assurance et services connexes</w:t>
      </w:r>
    </w:p>
    <w:p>
      <w:pPr>
        <w:spacing w:line="240" w:lineRule="auto"/>
        <w:rPr>
          <w:noProof/>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1.</w:t>
      </w:r>
      <w:r>
        <w:rPr>
          <w:rFonts w:eastAsiaTheme="minorHAnsi"/>
          <w:noProof/>
          <w:szCs w:val="22"/>
          <w:lang w:val="fr-BE" w:eastAsia="en-GB"/>
        </w:rPr>
        <w:tab/>
      </w:r>
      <w:r>
        <w:rPr>
          <w:noProof/>
          <w:lang w:val="fr-CA" w:eastAsia="en-GB"/>
        </w:rPr>
        <w:t xml:space="preserve">L’article 13.7.1 </w:t>
      </w:r>
      <w:r>
        <w:rPr>
          <w:noProof/>
          <w:lang w:val="fr-CA"/>
        </w:rPr>
        <w:t>s’applique à la fourniture transfrontières des services financiers ou au commerce transfrontières des services financiers, au sens de l’alinéa a) de la définition de « fourniture transfrontières des services financiers » qui figure à l’article 13.1, en ce qui concerne :</w:t>
      </w:r>
    </w:p>
    <w:p>
      <w:pPr>
        <w:spacing w:line="240" w:lineRule="auto"/>
        <w:rPr>
          <w:rFonts w:eastAsiaTheme="minorHAnsi"/>
          <w:noProof/>
          <w:szCs w:val="22"/>
          <w:lang w:val="fr-BE" w:eastAsia="en-GB"/>
        </w:rPr>
      </w:pPr>
    </w:p>
    <w:p>
      <w:pPr>
        <w:spacing w:line="240" w:lineRule="auto"/>
        <w:ind w:left="1134" w:hanging="567"/>
        <w:rPr>
          <w:rFonts w:eastAsiaTheme="minorHAnsi"/>
          <w:noProof/>
          <w:szCs w:val="22"/>
          <w:lang w:val="fr-BE" w:eastAsia="en-GB"/>
        </w:rPr>
      </w:pPr>
      <w:r>
        <w:rPr>
          <w:rFonts w:eastAsiaTheme="minorHAnsi"/>
          <w:noProof/>
          <w:szCs w:val="22"/>
          <w:lang w:val="fr-BE" w:eastAsia="en-GB"/>
        </w:rPr>
        <w:t>a)</w:t>
      </w:r>
      <w:r>
        <w:rPr>
          <w:rFonts w:eastAsiaTheme="minorHAnsi"/>
          <w:noProof/>
          <w:szCs w:val="22"/>
          <w:lang w:val="fr-BE" w:eastAsia="en-GB"/>
        </w:rPr>
        <w:tab/>
      </w:r>
      <w:r>
        <w:rPr>
          <w:noProof/>
          <w:lang w:val="fr-CA" w:eastAsia="ko-KR"/>
        </w:rPr>
        <w:t>l’assurance contre les risques touchant </w:t>
      </w:r>
      <w:r>
        <w:rPr>
          <w:noProof/>
          <w:lang w:val="fr-CA" w:eastAsia="en-GB"/>
        </w:rPr>
        <w:t>:</w:t>
      </w:r>
    </w:p>
    <w:p>
      <w:pPr>
        <w:spacing w:line="240" w:lineRule="auto"/>
        <w:ind w:left="1134"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w:t>
      </w:r>
      <w:r>
        <w:rPr>
          <w:rFonts w:eastAsiaTheme="minorHAnsi"/>
          <w:noProof/>
          <w:szCs w:val="22"/>
          <w:lang w:val="fr-BE" w:eastAsia="en-GB"/>
        </w:rPr>
        <w:tab/>
      </w:r>
      <w:r>
        <w:rPr>
          <w:noProof/>
          <w:lang w:val="fr-CA" w:eastAsia="ko-KR"/>
        </w:rPr>
        <w:t>le transport maritime, le transport aérien commercial, le lancement d’engins spatiaux et le transport effectué par ces engins, y compris les satellites, cette assurance couvrant les marchandises transportées, le véhicule transportant les marchandises et toute responsabilité découlant de ce transport,</w:t>
      </w:r>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r>
        <w:rPr>
          <w:noProof/>
          <w:lang w:val="fr-CA" w:eastAsia="en-GB"/>
        </w:rPr>
        <w:t>les marchandises en transit international;</w:t>
      </w:r>
    </w:p>
    <w:p>
      <w:pPr>
        <w:spacing w:line="240" w:lineRule="auto"/>
        <w:ind w:left="1134" w:hanging="567"/>
        <w:rPr>
          <w:rFonts w:eastAsiaTheme="minorHAnsi"/>
          <w:noProof/>
          <w:szCs w:val="22"/>
          <w:lang w:val="fr-BE" w:eastAsia="en-GB"/>
        </w:rPr>
      </w:pPr>
    </w:p>
    <w:p>
      <w:pPr>
        <w:spacing w:line="240" w:lineRule="auto"/>
        <w:ind w:left="1134" w:hanging="567"/>
        <w:rPr>
          <w:rFonts w:eastAsiaTheme="minorHAnsi"/>
          <w:noProof/>
          <w:szCs w:val="22"/>
          <w:lang w:val="fr-BE" w:eastAsia="en-GB"/>
        </w:rPr>
      </w:pPr>
      <w:r>
        <w:rPr>
          <w:noProof/>
          <w:lang w:val="fr-BE" w:eastAsia="en-GB"/>
        </w:rPr>
        <w:t>b)</w:t>
      </w:r>
      <w:r>
        <w:rPr>
          <w:noProof/>
          <w:lang w:val="fr-BE" w:eastAsia="en-GB"/>
        </w:rPr>
        <w:tab/>
      </w:r>
      <w:r>
        <w:rPr>
          <w:noProof/>
          <w:lang w:val="fr-CA" w:eastAsia="en-GB"/>
        </w:rPr>
        <w:t>la réassurance et la rétrocession;</w:t>
      </w:r>
    </w:p>
    <w:p>
      <w:pPr>
        <w:spacing w:line="240" w:lineRule="auto"/>
        <w:ind w:left="1134" w:hanging="567"/>
        <w:rPr>
          <w:rFonts w:eastAsiaTheme="minorHAnsi"/>
          <w:noProof/>
          <w:szCs w:val="22"/>
          <w:lang w:val="fr-BE" w:eastAsia="en-GB"/>
        </w:rPr>
      </w:pPr>
    </w:p>
    <w:p>
      <w:pPr>
        <w:spacing w:line="240" w:lineRule="auto"/>
        <w:ind w:left="1134" w:hanging="567"/>
        <w:rPr>
          <w:rFonts w:eastAsiaTheme="minorHAnsi"/>
          <w:noProof/>
          <w:szCs w:val="22"/>
          <w:lang w:val="fr-BE" w:eastAsia="en-GB"/>
        </w:rPr>
      </w:pPr>
      <w:r>
        <w:rPr>
          <w:noProof/>
          <w:lang w:val="fr-BE" w:eastAsia="en-GB"/>
        </w:rPr>
        <w:t>c)</w:t>
      </w:r>
      <w:r>
        <w:rPr>
          <w:noProof/>
          <w:lang w:val="fr-BE" w:eastAsia="en-GB"/>
        </w:rPr>
        <w:tab/>
      </w:r>
      <w:r>
        <w:rPr>
          <w:noProof/>
          <w:lang w:val="fr-CA" w:eastAsia="en-GB"/>
        </w:rPr>
        <w:t>les services auxiliaires de l’assurance visés au point iv) de la définition de « services d’assurance et services connexes » qui figure à l’article 13.1;</w:t>
      </w:r>
    </w:p>
    <w:p>
      <w:pPr>
        <w:spacing w:line="240" w:lineRule="auto"/>
        <w:ind w:left="1134" w:hanging="567"/>
        <w:rPr>
          <w:rFonts w:eastAsiaTheme="minorHAnsi"/>
          <w:noProof/>
          <w:szCs w:val="22"/>
          <w:lang w:val="fr-BE" w:eastAsia="en-GB"/>
        </w:rPr>
      </w:pPr>
    </w:p>
    <w:p>
      <w:pPr>
        <w:widowControl/>
        <w:spacing w:line="240" w:lineRule="auto"/>
        <w:rPr>
          <w:rFonts w:eastAsiaTheme="minorHAnsi"/>
          <w:noProof/>
          <w:szCs w:val="22"/>
          <w:lang w:val="fr-BE" w:eastAsia="en-GB"/>
        </w:rPr>
      </w:pPr>
      <w:r>
        <w:rPr>
          <w:rFonts w:eastAsiaTheme="minorHAnsi"/>
          <w:noProof/>
          <w:szCs w:val="22"/>
          <w:lang w:val="fr-BE" w:eastAsia="en-GB"/>
        </w:rPr>
        <w:br w:type="page"/>
      </w:r>
    </w:p>
    <w:p>
      <w:pPr>
        <w:spacing w:line="240" w:lineRule="auto"/>
        <w:ind w:left="1134" w:hanging="567"/>
        <w:rPr>
          <w:noProof/>
          <w:lang w:val="fr-BE" w:eastAsia="en-GB"/>
        </w:rPr>
      </w:pPr>
      <w:r>
        <w:rPr>
          <w:rFonts w:eastAsiaTheme="minorHAnsi"/>
          <w:noProof/>
          <w:szCs w:val="22"/>
          <w:lang w:val="fr-BE" w:eastAsia="en-GB"/>
        </w:rPr>
        <w:t>d)</w:t>
      </w:r>
      <w:r>
        <w:rPr>
          <w:rFonts w:eastAsiaTheme="minorHAnsi"/>
          <w:noProof/>
          <w:szCs w:val="22"/>
          <w:lang w:val="fr-BE" w:eastAsia="en-GB"/>
        </w:rPr>
        <w:tab/>
      </w:r>
      <w:r>
        <w:rPr>
          <w:noProof/>
          <w:lang w:val="fr-CA" w:eastAsia="en-GB"/>
        </w:rPr>
        <w:t>l’intermédiation en assurance, par exemple les activités de courtage et d’agence</w:t>
      </w:r>
      <w:r>
        <w:rPr>
          <w:noProof/>
          <w:szCs w:val="24"/>
          <w:lang w:val="fr-CA" w:eastAsia="en-GB"/>
        </w:rPr>
        <w:t xml:space="preserve">, </w:t>
      </w:r>
      <w:r>
        <w:rPr>
          <w:noProof/>
          <w:lang w:val="fr-CA" w:eastAsia="ko-KR"/>
        </w:rPr>
        <w:t>en ce qui concerne l’assurance contre les risques se rapportant aux services énumérés aux alinéas a) et b)</w:t>
      </w:r>
      <w:r>
        <w:rPr>
          <w:noProof/>
          <w:szCs w:val="24"/>
          <w:lang w:val="fr-CA" w:eastAsia="en-GB"/>
        </w:rPr>
        <w:t>.</w:t>
      </w:r>
    </w:p>
    <w:p>
      <w:pPr>
        <w:spacing w:line="240" w:lineRule="auto"/>
        <w:ind w:left="1134" w:hanging="567"/>
        <w:rPr>
          <w:noProof/>
          <w:lang w:val="fr-BE" w:eastAsia="en-GB"/>
        </w:rPr>
      </w:pPr>
    </w:p>
    <w:p>
      <w:pPr>
        <w:spacing w:line="240" w:lineRule="auto"/>
        <w:ind w:left="567" w:hanging="567"/>
        <w:rPr>
          <w:rFonts w:eastAsiaTheme="minorHAnsi"/>
          <w:noProof/>
          <w:szCs w:val="22"/>
          <w:lang w:val="fr-BE" w:eastAsia="en-GB"/>
        </w:rPr>
      </w:pPr>
      <w:r>
        <w:rPr>
          <w:noProof/>
          <w:lang w:val="fr-CA" w:eastAsia="en-GB"/>
        </w:rPr>
        <w:t>Services bancaires et autres services financiers (à l’exclusion de l’assurance)</w:t>
      </w:r>
    </w:p>
    <w:p>
      <w:pPr>
        <w:spacing w:line="240" w:lineRule="auto"/>
        <w:rPr>
          <w:rFonts w:eastAsiaTheme="minorHAnsi"/>
          <w:noProof/>
          <w:szCs w:val="22"/>
          <w:lang w:val="fr-BE" w:eastAsia="en-GB"/>
        </w:rPr>
      </w:pPr>
    </w:p>
    <w:p>
      <w:pPr>
        <w:spacing w:line="240" w:lineRule="auto"/>
        <w:ind w:left="567" w:hanging="567"/>
        <w:rPr>
          <w:noProof/>
          <w:lang w:val="fr-BE" w:eastAsia="en-GB"/>
        </w:rPr>
      </w:pPr>
      <w:r>
        <w:rPr>
          <w:noProof/>
          <w:lang w:val="fr-BE" w:eastAsia="en-GB"/>
        </w:rPr>
        <w:t>2.</w:t>
      </w:r>
      <w:r>
        <w:rPr>
          <w:noProof/>
          <w:lang w:val="fr-BE" w:eastAsia="en-GB"/>
        </w:rPr>
        <w:tab/>
      </w:r>
      <w:r>
        <w:rPr>
          <w:noProof/>
          <w:szCs w:val="24"/>
          <w:lang w:val="fr-CA" w:eastAsia="en-GB"/>
        </w:rPr>
        <w:t xml:space="preserve">L’article 13.7.1 s’applique à la fourniture </w:t>
      </w:r>
      <w:r>
        <w:rPr>
          <w:noProof/>
          <w:lang w:val="fr-CA"/>
        </w:rPr>
        <w:t>transfrontières des services financiers</w:t>
      </w:r>
      <w:r>
        <w:rPr>
          <w:noProof/>
          <w:szCs w:val="24"/>
          <w:lang w:val="fr-CA" w:eastAsia="en-GB"/>
        </w:rPr>
        <w:t xml:space="preserve"> ou au commerce transfrontières des services financiers, au sens de l’alinéa a) de </w:t>
      </w:r>
      <w:r>
        <w:rPr>
          <w:noProof/>
          <w:lang w:val="fr-CA"/>
        </w:rPr>
        <w:t>la définition de « fourniture transfrontières des services financiers » qui figure à l’article </w:t>
      </w:r>
      <w:r>
        <w:rPr>
          <w:noProof/>
          <w:szCs w:val="24"/>
          <w:lang w:val="fr-CA" w:eastAsia="en-GB"/>
        </w:rPr>
        <w:t>13.1, à l’égard de ce qui suit :</w:t>
      </w:r>
    </w:p>
    <w:p>
      <w:pPr>
        <w:spacing w:line="240" w:lineRule="auto"/>
        <w:rPr>
          <w:noProof/>
          <w:lang w:val="fr-BE" w:eastAsia="en-GB"/>
        </w:rPr>
      </w:pPr>
    </w:p>
    <w:p>
      <w:pPr>
        <w:spacing w:line="240" w:lineRule="auto"/>
        <w:ind w:left="1134" w:hanging="567"/>
        <w:rPr>
          <w:noProof/>
          <w:lang w:val="fr-BE" w:eastAsia="en-GB"/>
        </w:rPr>
      </w:pPr>
      <w:r>
        <w:rPr>
          <w:noProof/>
          <w:szCs w:val="24"/>
          <w:lang w:val="fr-BE" w:eastAsia="en-GB"/>
        </w:rPr>
        <w:t>a)</w:t>
      </w:r>
      <w:r>
        <w:rPr>
          <w:noProof/>
          <w:szCs w:val="24"/>
          <w:lang w:val="fr-BE" w:eastAsia="en-GB"/>
        </w:rPr>
        <w:tab/>
      </w:r>
      <w:r>
        <w:rPr>
          <w:noProof/>
          <w:lang w:val="fr-CA" w:eastAsia="ko-KR"/>
        </w:rPr>
        <w:t>la fourniture et le transfert d’informations financières, et le traitement de données financières et les logiciels y relatifs</w:t>
      </w:r>
      <w:r>
        <w:rPr>
          <w:noProof/>
          <w:szCs w:val="24"/>
          <w:lang w:val="fr-CA" w:eastAsia="en-GB"/>
        </w:rPr>
        <w:t>, visés au point xi) de la définition de « services bancaires et autres services financiers (à l’exclusion de l’assurance) » qui figure à l’article 13.1;</w:t>
      </w:r>
    </w:p>
    <w:p>
      <w:pPr>
        <w:spacing w:line="240" w:lineRule="auto"/>
        <w:ind w:left="1134" w:hanging="567"/>
        <w:rPr>
          <w:rFonts w:eastAsia="SimSun"/>
          <w:noProof/>
          <w:lang w:val="fr-BE" w:eastAsia="ar-SA"/>
        </w:rPr>
      </w:pPr>
    </w:p>
    <w:p>
      <w:pPr>
        <w:spacing w:line="240" w:lineRule="auto"/>
        <w:ind w:left="1134" w:hanging="567"/>
        <w:rPr>
          <w:noProof/>
          <w:lang w:val="fr-BE" w:eastAsia="en-GB"/>
        </w:rPr>
      </w:pPr>
      <w:r>
        <w:rPr>
          <w:noProof/>
          <w:szCs w:val="24"/>
          <w:lang w:val="fr-BE" w:eastAsia="en-GB"/>
        </w:rPr>
        <w:t>b)</w:t>
      </w:r>
      <w:r>
        <w:rPr>
          <w:noProof/>
          <w:szCs w:val="24"/>
          <w:lang w:val="fr-BE" w:eastAsia="en-GB"/>
        </w:rPr>
        <w:tab/>
      </w:r>
      <w:r>
        <w:rPr>
          <w:noProof/>
          <w:lang w:val="fr-CA" w:eastAsia="ko-KR"/>
        </w:rPr>
        <w:t>les services de conseil et autres services financiers auxiliaires</w:t>
      </w:r>
      <w:r>
        <w:rPr>
          <w:noProof/>
          <w:szCs w:val="24"/>
          <w:lang w:val="fr-CA"/>
        </w:rPr>
        <w:t xml:space="preserve">, visés </w:t>
      </w:r>
      <w:r>
        <w:rPr>
          <w:noProof/>
          <w:szCs w:val="24"/>
          <w:lang w:val="fr-CA" w:eastAsia="en-GB"/>
        </w:rPr>
        <w:t>au point</w:t>
      </w:r>
      <w:r>
        <w:rPr>
          <w:noProof/>
          <w:szCs w:val="24"/>
          <w:lang w:val="fr-CA"/>
        </w:rPr>
        <w:t> xii) de la définition de « services bancaires et autres services financiers (à l’exclusion de l’assurance) » qui figure à l’article 13.1, à l’exception de l’intermédiation visée à ce point</w:t>
      </w:r>
      <w:r>
        <w:rPr>
          <w:noProof/>
          <w:szCs w:val="24"/>
          <w:lang w:val="fr-CA" w:eastAsia="en-GB"/>
        </w:rPr>
        <w:t>.</w:t>
      </w:r>
    </w:p>
    <w:p>
      <w:pPr>
        <w:spacing w:line="240" w:lineRule="auto"/>
        <w:rPr>
          <w:noProof/>
          <w:lang w:val="fr-BE" w:eastAsia="en-GB"/>
        </w:rPr>
      </w:pPr>
    </w:p>
    <w:p>
      <w:pPr>
        <w:spacing w:line="240" w:lineRule="auto"/>
        <w:rPr>
          <w:noProof/>
          <w:lang w:eastAsia="en-GB"/>
        </w:rPr>
      </w:pPr>
      <w:r>
        <w:rPr>
          <w:noProof/>
          <w:lang w:val="fr-CA" w:eastAsia="en-GB"/>
        </w:rPr>
        <w:t>Services de gestion de portefeuille</w:t>
      </w:r>
    </w:p>
    <w:p>
      <w:pPr>
        <w:spacing w:line="240" w:lineRule="auto"/>
        <w:rPr>
          <w:noProof/>
          <w:lang w:eastAsia="en-GB"/>
        </w:rPr>
      </w:pPr>
    </w:p>
    <w:p>
      <w:pPr>
        <w:spacing w:line="240" w:lineRule="auto"/>
        <w:ind w:left="567" w:hanging="567"/>
        <w:rPr>
          <w:noProof/>
          <w:lang w:eastAsia="en-GB"/>
        </w:rPr>
      </w:pPr>
      <w:r>
        <w:rPr>
          <w:noProof/>
          <w:lang w:eastAsia="en-GB"/>
        </w:rPr>
        <w:t>3.</w:t>
      </w:r>
      <w:r>
        <w:rPr>
          <w:noProof/>
          <w:lang w:eastAsia="en-GB"/>
        </w:rPr>
        <w:tab/>
      </w:r>
      <w:r>
        <w:rPr>
          <w:noProof/>
          <w:lang w:val="fr-CA" w:eastAsia="en-GB"/>
        </w:rPr>
        <w:t>L’article 13.7.1 s’applique à la fourniture transfrontières des services financiers ou au commerce transfrontières des services financiers, au sens de l’alinéa a) de la définition de « fourniture transfrontières des services financiers » qui figure à l’article 13.1, à l’égard de la fourniture des services suivants à un fonds d’investissement collectif situé sur son territoire </w:t>
      </w:r>
      <w:r>
        <w:rPr>
          <w:noProof/>
          <w:lang w:eastAsia="en-GB"/>
        </w:rPr>
        <w:t>:</w:t>
      </w:r>
    </w:p>
    <w:p>
      <w:pPr>
        <w:spacing w:line="240" w:lineRule="auto"/>
        <w:ind w:left="567" w:hanging="567"/>
        <w:rPr>
          <w:noProof/>
          <w:lang w:eastAsia="en-GB"/>
        </w:rPr>
      </w:pPr>
    </w:p>
    <w:p>
      <w:pPr>
        <w:spacing w:line="240" w:lineRule="auto"/>
        <w:ind w:left="1134" w:hanging="567"/>
        <w:rPr>
          <w:noProof/>
          <w:lang w:val="fr-BE" w:eastAsia="en-GB"/>
        </w:rPr>
      </w:pPr>
      <w:r>
        <w:rPr>
          <w:noProof/>
          <w:lang w:val="fr-BE" w:eastAsia="en-GB"/>
        </w:rPr>
        <w:t>a)</w:t>
      </w:r>
      <w:r>
        <w:rPr>
          <w:noProof/>
          <w:lang w:val="fr-BE" w:eastAsia="en-GB"/>
        </w:rPr>
        <w:tab/>
      </w:r>
      <w:r>
        <w:rPr>
          <w:noProof/>
          <w:szCs w:val="24"/>
          <w:lang w:val="fr-CA" w:eastAsia="en-GB"/>
        </w:rPr>
        <w:t>les conseils en investissement;</w:t>
      </w:r>
    </w:p>
    <w:p>
      <w:pPr>
        <w:spacing w:line="240" w:lineRule="auto"/>
        <w:ind w:left="1134" w:hanging="567"/>
        <w:rPr>
          <w:noProof/>
          <w:lang w:val="fr-BE" w:eastAsia="en-GB"/>
        </w:rPr>
      </w:pPr>
    </w:p>
    <w:p>
      <w:pPr>
        <w:spacing w:line="240" w:lineRule="auto"/>
        <w:ind w:left="1134" w:hanging="567"/>
        <w:rPr>
          <w:noProof/>
          <w:lang w:val="fr-BE" w:eastAsia="en-GB"/>
        </w:rPr>
      </w:pPr>
      <w:r>
        <w:rPr>
          <w:noProof/>
          <w:lang w:val="fr-BE" w:eastAsia="en-GB"/>
        </w:rPr>
        <w:t>b)</w:t>
      </w:r>
      <w:r>
        <w:rPr>
          <w:noProof/>
          <w:lang w:val="fr-BE" w:eastAsia="en-GB"/>
        </w:rPr>
        <w:tab/>
      </w:r>
      <w:r>
        <w:rPr>
          <w:noProof/>
          <w:szCs w:val="24"/>
          <w:lang w:val="fr-CA" w:eastAsia="en-GB"/>
        </w:rPr>
        <w:t>les services de gestion de portefeuille, à l’exception des services suivants :</w:t>
      </w:r>
    </w:p>
    <w:p>
      <w:pPr>
        <w:spacing w:line="240" w:lineRule="auto"/>
        <w:ind w:left="1134" w:hanging="567"/>
        <w:rPr>
          <w:noProof/>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w:t>
      </w:r>
      <w:r>
        <w:rPr>
          <w:rFonts w:eastAsiaTheme="minorHAnsi"/>
          <w:noProof/>
          <w:szCs w:val="22"/>
          <w:lang w:val="fr-BE" w:eastAsia="en-GB"/>
        </w:rPr>
        <w:tab/>
      </w:r>
      <w:r>
        <w:rPr>
          <w:noProof/>
          <w:lang w:val="fr-CA" w:eastAsia="en-GB"/>
        </w:rPr>
        <w:t>les services de garde,</w:t>
      </w:r>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r>
        <w:rPr>
          <w:noProof/>
          <w:lang w:val="fr-CA"/>
        </w:rPr>
        <w:t>les services de fiducie,</w:t>
      </w:r>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iii)</w:t>
      </w:r>
      <w:r>
        <w:rPr>
          <w:rFonts w:eastAsiaTheme="minorHAnsi"/>
          <w:noProof/>
          <w:szCs w:val="22"/>
          <w:lang w:val="fr-BE" w:eastAsia="en-GB"/>
        </w:rPr>
        <w:tab/>
      </w:r>
      <w:r>
        <w:rPr>
          <w:noProof/>
          <w:lang w:val="fr-CA" w:eastAsia="en-GB"/>
        </w:rPr>
        <w:t>les services d’exécution.</w:t>
      </w:r>
    </w:p>
    <w:p>
      <w:pPr>
        <w:spacing w:line="240" w:lineRule="auto"/>
        <w:ind w:left="1701" w:hanging="567"/>
        <w:rPr>
          <w:rFonts w:eastAsiaTheme="minorHAnsi"/>
          <w:noProof/>
          <w:szCs w:val="22"/>
          <w:lang w:val="fr-BE" w:eastAsia="en-GB"/>
        </w:rPr>
      </w:pPr>
    </w:p>
    <w:p>
      <w:pPr>
        <w:widowControl/>
        <w:spacing w:line="240" w:lineRule="auto"/>
        <w:rPr>
          <w:noProof/>
          <w:lang w:val="fr-BE" w:eastAsia="en-GB"/>
        </w:rPr>
      </w:pPr>
      <w:r>
        <w:rPr>
          <w:noProof/>
          <w:lang w:val="fr-BE" w:eastAsia="en-GB"/>
        </w:rPr>
        <w:br w:type="page"/>
      </w:r>
    </w:p>
    <w:p>
      <w:pPr>
        <w:spacing w:line="240" w:lineRule="auto"/>
        <w:ind w:left="567" w:hanging="567"/>
        <w:rPr>
          <w:noProof/>
          <w:lang w:val="fr-BE" w:eastAsia="en-GB"/>
        </w:rPr>
      </w:pPr>
      <w:r>
        <w:rPr>
          <w:noProof/>
          <w:lang w:val="fr-BE" w:eastAsia="en-GB"/>
        </w:rPr>
        <w:t>4.</w:t>
      </w:r>
      <w:r>
        <w:rPr>
          <w:noProof/>
          <w:lang w:val="fr-BE" w:eastAsia="en-GB"/>
        </w:rPr>
        <w:tab/>
      </w:r>
      <w:r>
        <w:rPr>
          <w:noProof/>
          <w:szCs w:val="24"/>
          <w:lang w:val="fr-CA" w:eastAsia="en-GB"/>
        </w:rPr>
        <w:t>Aux fins du présent engagement, la « gestion de portefeuille » désigne la gestion de portefeuilles, conformément à des mandats donnés par des clients, de façon discrétionnaire et individualisée lorsque ces portefeuilles comprennent un ou plusieurs instruments financiers.</w:t>
      </w:r>
    </w:p>
    <w:p>
      <w:pPr>
        <w:spacing w:line="240" w:lineRule="auto"/>
        <w:ind w:left="567" w:hanging="567"/>
        <w:rPr>
          <w:noProof/>
          <w:lang w:val="fr-BE" w:eastAsia="en-GB"/>
        </w:rPr>
      </w:pPr>
    </w:p>
    <w:p>
      <w:pPr>
        <w:spacing w:line="240" w:lineRule="auto"/>
        <w:ind w:left="567" w:hanging="567"/>
        <w:rPr>
          <w:noProof/>
          <w:lang w:val="fr-BE" w:eastAsia="en-GB"/>
        </w:rPr>
      </w:pPr>
      <w:r>
        <w:rPr>
          <w:noProof/>
          <w:lang w:val="fr-BE" w:eastAsia="en-GB"/>
        </w:rPr>
        <w:t>5.</w:t>
      </w:r>
      <w:r>
        <w:rPr>
          <w:noProof/>
          <w:lang w:val="fr-BE" w:eastAsia="en-GB"/>
        </w:rPr>
        <w:tab/>
      </w:r>
      <w:r>
        <w:rPr>
          <w:noProof/>
          <w:szCs w:val="24"/>
          <w:lang w:val="fr-CA" w:eastAsia="en-GB"/>
        </w:rPr>
        <w:t>Un « fonds d’investissement collectif » désigne les fonds d’investissement ou les sociétés de gestion de fonds régis par les lois et règlements pertinents en matière de valeurs mobilières ou inscrits conformément à ces lois et règlements. Nonobstant le paragraphe 3, le Canada peut obliger un fonds d’investissement collectif situé au Canada à conserver la responsabilité ultime de la gestion du fonds d’investissement collectif ou des actifs qu’il gère.</w:t>
      </w:r>
    </w:p>
    <w:p>
      <w:pPr>
        <w:spacing w:line="240" w:lineRule="auto"/>
        <w:ind w:left="567" w:hanging="567"/>
        <w:rPr>
          <w:noProof/>
          <w:lang w:val="fr-BE" w:eastAsia="en-GB"/>
        </w:rPr>
      </w:pPr>
    </w:p>
    <w:p>
      <w:pPr>
        <w:spacing w:line="240" w:lineRule="auto"/>
        <w:ind w:left="567" w:hanging="567"/>
        <w:rPr>
          <w:noProof/>
          <w:lang w:val="fr-BE" w:eastAsia="en-GB"/>
        </w:rPr>
      </w:pPr>
      <w:r>
        <w:rPr>
          <w:noProof/>
          <w:lang w:val="fr-BE" w:eastAsia="en-GB"/>
        </w:rPr>
        <w:t>6.</w:t>
      </w:r>
      <w:r>
        <w:rPr>
          <w:noProof/>
          <w:lang w:val="fr-BE" w:eastAsia="en-GB"/>
        </w:rPr>
        <w:tab/>
      </w:r>
      <w:r>
        <w:rPr>
          <w:noProof/>
          <w:szCs w:val="24"/>
          <w:lang w:val="fr-CA" w:eastAsia="en-GB"/>
        </w:rPr>
        <w:t>Les réserves à l’égard des mesures non conformes énoncées par le Canada dans sa liste jointe à l’annexe III ne s’appliquent pas aux paragraphes 3 à 5.</w:t>
      </w:r>
    </w:p>
    <w:p>
      <w:pPr>
        <w:spacing w:line="240" w:lineRule="auto"/>
        <w:ind w:left="567" w:hanging="567"/>
        <w:rPr>
          <w:noProof/>
          <w:lang w:val="fr-BE" w:eastAsia="en-GB"/>
        </w:rPr>
      </w:pPr>
    </w:p>
    <w:p>
      <w:pPr>
        <w:widowControl/>
        <w:spacing w:line="240" w:lineRule="auto"/>
        <w:rPr>
          <w:rFonts w:eastAsia="SimSun"/>
          <w:b/>
          <w:bCs/>
          <w:noProof/>
          <w:lang w:val="fr-BE" w:eastAsia="en-CA"/>
        </w:rPr>
      </w:pPr>
      <w:r>
        <w:rPr>
          <w:rFonts w:eastAsia="SimSun"/>
          <w:b/>
          <w:bCs/>
          <w:noProof/>
          <w:lang w:val="fr-BE" w:eastAsia="en-CA"/>
        </w:rPr>
        <w:br w:type="page"/>
      </w:r>
    </w:p>
    <w:p>
      <w:pPr>
        <w:spacing w:line="240" w:lineRule="auto"/>
        <w:jc w:val="center"/>
        <w:rPr>
          <w:rFonts w:eastAsia="SimSun"/>
          <w:b/>
          <w:bCs/>
          <w:noProof/>
          <w:lang w:val="fr-BE" w:eastAsia="en-CA"/>
        </w:rPr>
      </w:pPr>
      <w:r>
        <w:rPr>
          <w:rFonts w:eastAsia="SimSun"/>
          <w:b/>
          <w:bCs/>
          <w:noProof/>
          <w:szCs w:val="24"/>
          <w:lang w:val="fr-CA" w:eastAsia="en-CA"/>
        </w:rPr>
        <w:t>Liste de l’Union européenne</w:t>
      </w:r>
      <w:r>
        <w:rPr>
          <w:rFonts w:eastAsia="SimSun"/>
          <w:b/>
          <w:bCs/>
          <w:noProof/>
          <w:szCs w:val="24"/>
          <w:lang w:val="fr-CA" w:eastAsia="en-CA"/>
        </w:rPr>
        <w:br/>
        <w:t>(applicable à tous les États membres de l’Union européenne, sauf indication contraire)</w:t>
      </w:r>
    </w:p>
    <w:p>
      <w:pPr>
        <w:spacing w:line="240" w:lineRule="auto"/>
        <w:jc w:val="center"/>
        <w:rPr>
          <w:rFonts w:eastAsia="SimSun"/>
          <w:b/>
          <w:bCs/>
          <w:noProof/>
          <w:lang w:val="fr-BE" w:eastAsia="en-CA"/>
        </w:rPr>
      </w:pPr>
    </w:p>
    <w:p>
      <w:pPr>
        <w:spacing w:line="240" w:lineRule="auto"/>
        <w:rPr>
          <w:iCs/>
          <w:noProof/>
          <w:lang w:val="fr-BE" w:eastAsia="en-GB"/>
        </w:rPr>
      </w:pPr>
      <w:r>
        <w:rPr>
          <w:iCs/>
          <w:noProof/>
          <w:szCs w:val="24"/>
          <w:lang w:val="fr-CA" w:eastAsia="en-GB"/>
        </w:rPr>
        <w:t>Services d’assurance et services connexes</w:t>
      </w:r>
    </w:p>
    <w:p>
      <w:pPr>
        <w:spacing w:line="240" w:lineRule="auto"/>
        <w:rPr>
          <w:iCs/>
          <w:noProof/>
          <w:lang w:val="fr-BE" w:eastAsia="en-GB"/>
        </w:rPr>
      </w:pPr>
    </w:p>
    <w:p>
      <w:pPr>
        <w:spacing w:line="240" w:lineRule="auto"/>
        <w:ind w:left="567" w:hanging="567"/>
        <w:rPr>
          <w:noProof/>
          <w:lang w:val="fr-BE" w:eastAsia="en-GB"/>
        </w:rPr>
      </w:pPr>
      <w:r>
        <w:rPr>
          <w:noProof/>
          <w:lang w:val="fr-BE" w:eastAsia="en-GB"/>
        </w:rPr>
        <w:t>1.</w:t>
      </w:r>
      <w:r>
        <w:rPr>
          <w:noProof/>
          <w:lang w:val="fr-BE" w:eastAsia="en-GB"/>
        </w:rPr>
        <w:tab/>
      </w:r>
      <w:r>
        <w:rPr>
          <w:noProof/>
          <w:szCs w:val="24"/>
          <w:lang w:val="fr-CA" w:eastAsia="en-GB"/>
        </w:rPr>
        <w:t xml:space="preserve">À l'exception de </w:t>
      </w:r>
      <w:r>
        <w:rPr>
          <w:b/>
          <w:noProof/>
          <w:szCs w:val="24"/>
          <w:lang w:val="fr-CA" w:eastAsia="en-GB"/>
        </w:rPr>
        <w:t>CY,</w:t>
      </w:r>
      <w:r>
        <w:rPr>
          <w:noProof/>
          <w:szCs w:val="24"/>
          <w:lang w:val="fr-CA" w:eastAsia="en-GB"/>
        </w:rPr>
        <w:t xml:space="preserve"> </w:t>
      </w:r>
      <w:r>
        <w:rPr>
          <w:b/>
          <w:noProof/>
          <w:szCs w:val="24"/>
          <w:lang w:val="fr-CA" w:eastAsia="en-GB"/>
        </w:rPr>
        <w:t>EE</w:t>
      </w:r>
      <w:r>
        <w:rPr>
          <w:noProof/>
          <w:szCs w:val="24"/>
          <w:lang w:val="fr-CA" w:eastAsia="en-GB"/>
        </w:rPr>
        <w:t xml:space="preserve">, </w:t>
      </w:r>
      <w:r>
        <w:rPr>
          <w:b/>
          <w:noProof/>
          <w:szCs w:val="24"/>
          <w:lang w:val="fr-CA" w:eastAsia="en-GB"/>
        </w:rPr>
        <w:t>LV</w:t>
      </w:r>
      <w:r>
        <w:rPr>
          <w:noProof/>
          <w:szCs w:val="24"/>
          <w:lang w:val="fr-CA" w:eastAsia="en-GB"/>
        </w:rPr>
        <w:t xml:space="preserve">, </w:t>
      </w:r>
      <w:r>
        <w:rPr>
          <w:b/>
          <w:noProof/>
          <w:szCs w:val="24"/>
          <w:lang w:val="fr-CA" w:eastAsia="en-GB"/>
        </w:rPr>
        <w:t>LT</w:t>
      </w:r>
      <w:r>
        <w:rPr>
          <w:noProof/>
          <w:szCs w:val="24"/>
          <w:lang w:val="fr-CA" w:eastAsia="en-GB"/>
        </w:rPr>
        <w:t xml:space="preserve">, </w:t>
      </w:r>
      <w:r>
        <w:rPr>
          <w:b/>
          <w:noProof/>
          <w:szCs w:val="24"/>
          <w:lang w:val="fr-CA" w:eastAsia="en-GB"/>
        </w:rPr>
        <w:t xml:space="preserve">MT </w:t>
      </w:r>
      <w:r>
        <w:rPr>
          <w:noProof/>
          <w:szCs w:val="24"/>
          <w:lang w:val="fr-CA" w:eastAsia="en-GB"/>
        </w:rPr>
        <w:t>et</w:t>
      </w:r>
      <w:r>
        <w:rPr>
          <w:b/>
          <w:noProof/>
          <w:szCs w:val="24"/>
          <w:lang w:val="fr-CA" w:eastAsia="en-GB"/>
        </w:rPr>
        <w:t xml:space="preserve"> PL</w:t>
      </w:r>
      <w:r>
        <w:rPr>
          <w:noProof/>
          <w:szCs w:val="24"/>
          <w:vertAlign w:val="superscript"/>
          <w:lang w:val="fr-CA" w:eastAsia="en-GB"/>
        </w:rPr>
        <w:footnoteReference w:id="11"/>
      </w:r>
      <w:r>
        <w:rPr>
          <w:noProof/>
          <w:szCs w:val="24"/>
          <w:lang w:val="fr-CA" w:eastAsia="en-GB"/>
        </w:rPr>
        <w:t xml:space="preserve">, l’article 13.7.1 </w:t>
      </w:r>
      <w:r>
        <w:rPr>
          <w:noProof/>
          <w:szCs w:val="24"/>
          <w:lang w:val="fr-FR" w:eastAsia="fr-CA"/>
        </w:rPr>
        <w:t xml:space="preserve">s’applique à la fourniture transfrontières des services financiers, au sens </w:t>
      </w:r>
      <w:r>
        <w:rPr>
          <w:rFonts w:eastAsiaTheme="minorHAnsi"/>
          <w:noProof/>
          <w:szCs w:val="22"/>
          <w:lang w:val="fr-CA" w:eastAsia="en-US"/>
        </w:rPr>
        <w:t>de l’alinéa</w:t>
      </w:r>
      <w:r>
        <w:rPr>
          <w:noProof/>
          <w:szCs w:val="24"/>
          <w:lang w:val="fr-FR" w:eastAsia="fr-CA"/>
        </w:rPr>
        <w:t> a</w:t>
      </w:r>
      <w:r>
        <w:rPr>
          <w:noProof/>
          <w:szCs w:val="24"/>
          <w:lang w:val="fr-CA" w:eastAsia="en-GB"/>
        </w:rPr>
        <w:t>) de la définition de « </w:t>
      </w:r>
      <w:r>
        <w:rPr>
          <w:noProof/>
          <w:szCs w:val="24"/>
          <w:lang w:val="fr-FR" w:eastAsia="fr-CA"/>
        </w:rPr>
        <w:t>fourniture transfrontières des services financiers » qui figure à l’article</w:t>
      </w:r>
      <w:r>
        <w:rPr>
          <w:noProof/>
          <w:szCs w:val="24"/>
          <w:lang w:val="fr-CA" w:eastAsia="en-GB"/>
        </w:rPr>
        <w:t> 13.1, à l’égard de ce qui suit :</w:t>
      </w:r>
    </w:p>
    <w:p>
      <w:pPr>
        <w:spacing w:line="240" w:lineRule="auto"/>
        <w:ind w:left="567" w:hanging="567"/>
        <w:rPr>
          <w:noProof/>
          <w:lang w:val="fr-BE" w:eastAsia="en-GB"/>
        </w:rPr>
      </w:pPr>
    </w:p>
    <w:p>
      <w:pPr>
        <w:spacing w:line="240" w:lineRule="auto"/>
        <w:ind w:left="1134" w:hanging="567"/>
        <w:rPr>
          <w:noProof/>
          <w:lang w:val="fr-BE" w:eastAsia="en-GB"/>
        </w:rPr>
      </w:pPr>
      <w:r>
        <w:rPr>
          <w:noProof/>
          <w:lang w:val="fr-BE" w:eastAsia="en-GB"/>
        </w:rPr>
        <w:t>a)</w:t>
      </w:r>
      <w:r>
        <w:rPr>
          <w:noProof/>
          <w:lang w:val="fr-BE" w:eastAsia="en-GB"/>
        </w:rPr>
        <w:tab/>
      </w:r>
      <w:r>
        <w:rPr>
          <w:noProof/>
          <w:lang w:val="fr-CA"/>
        </w:rPr>
        <w:t>l’assurance contre les risques touchant </w:t>
      </w:r>
      <w:r>
        <w:rPr>
          <w:noProof/>
          <w:szCs w:val="24"/>
          <w:lang w:val="fr-CA" w:eastAsia="en-GB"/>
        </w:rPr>
        <w:t>:</w:t>
      </w:r>
    </w:p>
    <w:p>
      <w:pPr>
        <w:spacing w:line="240" w:lineRule="auto"/>
        <w:ind w:left="1134" w:hanging="567"/>
        <w:rPr>
          <w:noProof/>
          <w:lang w:val="fr-BE" w:eastAsia="en-GB"/>
        </w:rPr>
      </w:pPr>
    </w:p>
    <w:p>
      <w:pPr>
        <w:spacing w:line="240" w:lineRule="auto"/>
        <w:ind w:left="1701" w:hanging="567"/>
        <w:rPr>
          <w:rFonts w:eastAsiaTheme="minorHAnsi"/>
          <w:noProof/>
          <w:szCs w:val="22"/>
          <w:lang w:val="fr-BE" w:eastAsia="en-GB"/>
        </w:rPr>
      </w:pPr>
      <w:r>
        <w:rPr>
          <w:noProof/>
          <w:lang w:val="fr-BE" w:eastAsia="en-GB"/>
        </w:rPr>
        <w:t>i)</w:t>
      </w:r>
      <w:r>
        <w:rPr>
          <w:noProof/>
          <w:lang w:val="fr-BE" w:eastAsia="en-GB"/>
        </w:rPr>
        <w:tab/>
      </w:r>
      <w:r>
        <w:rPr>
          <w:noProof/>
          <w:lang w:val="fr-CA" w:eastAsia="ko-KR"/>
        </w:rPr>
        <w:t>le transport maritime, le transport aérien commercial, le lancement d’engins spatiaux et le transport effectué par ces engins, y compris les satellites, cette assurance couvrant les marchandises transportées, le véhicule transportant les marchandises ou toute responsabilité découlant de ce transport,</w:t>
      </w:r>
    </w:p>
    <w:p>
      <w:pPr>
        <w:spacing w:line="240" w:lineRule="auto"/>
        <w:ind w:left="1701" w:hanging="567"/>
        <w:rPr>
          <w:rFonts w:eastAsiaTheme="minorHAnsi"/>
          <w:noProof/>
          <w:szCs w:val="22"/>
          <w:lang w:val="fr-BE" w:eastAsia="en-GB"/>
        </w:rPr>
      </w:pPr>
    </w:p>
    <w:p>
      <w:pPr>
        <w:spacing w:line="240" w:lineRule="auto"/>
        <w:ind w:left="1701" w:hanging="567"/>
        <w:rPr>
          <w:noProof/>
          <w:lang w:val="fr-BE" w:eastAsia="en-GB"/>
        </w:rPr>
      </w:pPr>
      <w:r>
        <w:rPr>
          <w:rFonts w:eastAsiaTheme="minorHAnsi"/>
          <w:noProof/>
          <w:szCs w:val="22"/>
          <w:lang w:val="fr-BE" w:eastAsia="en-GB"/>
        </w:rPr>
        <w:t>ii)</w:t>
      </w:r>
      <w:r>
        <w:rPr>
          <w:rFonts w:eastAsiaTheme="minorHAnsi"/>
          <w:noProof/>
          <w:szCs w:val="22"/>
          <w:lang w:val="fr-BE" w:eastAsia="en-GB"/>
        </w:rPr>
        <w:tab/>
      </w:r>
      <w:r>
        <w:rPr>
          <w:noProof/>
          <w:lang w:val="fr-CA" w:eastAsia="en-GB"/>
        </w:rPr>
        <w:t>les marchandises en transit international</w:t>
      </w:r>
      <w:r>
        <w:rPr>
          <w:noProof/>
          <w:szCs w:val="24"/>
          <w:lang w:val="fr-CA" w:eastAsia="en-GB"/>
        </w:rPr>
        <w:t>;</w:t>
      </w:r>
    </w:p>
    <w:p>
      <w:pPr>
        <w:spacing w:line="240" w:lineRule="auto"/>
        <w:ind w:left="1701" w:hanging="567"/>
        <w:rPr>
          <w:noProof/>
          <w:lang w:val="fr-BE" w:eastAsia="en-GB"/>
        </w:rPr>
      </w:pPr>
    </w:p>
    <w:p>
      <w:pPr>
        <w:spacing w:line="240" w:lineRule="auto"/>
        <w:ind w:left="1134" w:hanging="567"/>
        <w:rPr>
          <w:noProof/>
          <w:lang w:val="fr-BE" w:eastAsia="en-GB"/>
        </w:rPr>
      </w:pPr>
      <w:r>
        <w:rPr>
          <w:noProof/>
          <w:lang w:val="fr-BE" w:eastAsia="en-GB"/>
        </w:rPr>
        <w:t>b)</w:t>
      </w:r>
      <w:r>
        <w:rPr>
          <w:noProof/>
          <w:lang w:val="fr-BE" w:eastAsia="en-GB"/>
        </w:rPr>
        <w:tab/>
      </w:r>
      <w:r>
        <w:rPr>
          <w:noProof/>
          <w:szCs w:val="24"/>
          <w:lang w:val="fr-CA" w:eastAsia="en-GB"/>
        </w:rPr>
        <w:t>la réassurance et la rétrocession;</w:t>
      </w:r>
    </w:p>
    <w:p>
      <w:pPr>
        <w:spacing w:line="240" w:lineRule="auto"/>
        <w:ind w:left="1134" w:hanging="567"/>
        <w:rPr>
          <w:noProof/>
          <w:lang w:val="fr-BE" w:eastAsia="en-GB"/>
        </w:rPr>
      </w:pPr>
    </w:p>
    <w:p>
      <w:pPr>
        <w:spacing w:line="240" w:lineRule="auto"/>
        <w:ind w:left="1134" w:hanging="567"/>
        <w:rPr>
          <w:noProof/>
          <w:lang w:val="fr-BE" w:eastAsia="en-GB"/>
        </w:rPr>
      </w:pPr>
      <w:r>
        <w:rPr>
          <w:noProof/>
          <w:lang w:val="fr-BE" w:eastAsia="en-GB"/>
        </w:rPr>
        <w:t>c)</w:t>
      </w:r>
      <w:r>
        <w:rPr>
          <w:noProof/>
          <w:lang w:val="fr-BE" w:eastAsia="en-GB"/>
        </w:rPr>
        <w:tab/>
      </w:r>
      <w:r>
        <w:rPr>
          <w:noProof/>
          <w:lang w:val="fr-CA"/>
        </w:rPr>
        <w:t>les services auxiliaires de l’assurance visés au point</w:t>
      </w:r>
      <w:r>
        <w:rPr>
          <w:noProof/>
          <w:szCs w:val="24"/>
          <w:lang w:val="fr-CA" w:eastAsia="en-GB"/>
        </w:rPr>
        <w:t> iv) de la définition de « services d’assurance et services connexes » qui figure à l’article 13.1;</w:t>
      </w:r>
    </w:p>
    <w:p>
      <w:pPr>
        <w:spacing w:line="240" w:lineRule="auto"/>
        <w:ind w:left="1134" w:hanging="567"/>
        <w:rPr>
          <w:noProof/>
          <w:lang w:val="fr-BE" w:eastAsia="en-GB"/>
        </w:rPr>
      </w:pPr>
    </w:p>
    <w:p>
      <w:pPr>
        <w:spacing w:line="240" w:lineRule="auto"/>
        <w:ind w:left="1134" w:hanging="567"/>
        <w:rPr>
          <w:noProof/>
          <w:lang w:val="fr-BE" w:eastAsia="en-GB"/>
        </w:rPr>
      </w:pPr>
      <w:r>
        <w:rPr>
          <w:noProof/>
          <w:lang w:val="fr-BE" w:eastAsia="en-GB"/>
        </w:rPr>
        <w:t>d)</w:t>
      </w:r>
      <w:r>
        <w:rPr>
          <w:noProof/>
          <w:lang w:val="fr-BE" w:eastAsia="en-GB"/>
        </w:rPr>
        <w:tab/>
      </w:r>
      <w:r>
        <w:rPr>
          <w:noProof/>
          <w:szCs w:val="24"/>
          <w:lang w:val="fr-CA" w:eastAsia="en-GB"/>
        </w:rPr>
        <w:t xml:space="preserve">l’intermédiation en assurance, par exemple les activités de courtage et d’agence, </w:t>
      </w:r>
      <w:r>
        <w:rPr>
          <w:noProof/>
          <w:lang w:val="fr-CA" w:eastAsia="ko-KR"/>
        </w:rPr>
        <w:t>en ce qui concerne l’assurance contre les risques se rapportant aux services énumérés aux alinéas </w:t>
      </w:r>
      <w:r>
        <w:rPr>
          <w:noProof/>
          <w:szCs w:val="24"/>
          <w:lang w:val="fr-CA" w:eastAsia="en-GB"/>
        </w:rPr>
        <w:t>a) et b).</w:t>
      </w:r>
    </w:p>
    <w:p>
      <w:pPr>
        <w:spacing w:line="240" w:lineRule="auto"/>
        <w:ind w:left="1134" w:hanging="567"/>
        <w:rPr>
          <w:noProof/>
          <w:lang w:val="fr-BE" w:eastAsia="en-GB"/>
        </w:rPr>
      </w:pPr>
    </w:p>
    <w:p>
      <w:pPr>
        <w:widowControl/>
        <w:spacing w:line="240" w:lineRule="auto"/>
        <w:rPr>
          <w:noProof/>
          <w:lang w:val="fr-BE" w:eastAsia="en-GB"/>
        </w:rPr>
      </w:pPr>
      <w:r>
        <w:rPr>
          <w:noProof/>
          <w:lang w:val="fr-BE" w:eastAsia="en-GB"/>
        </w:rPr>
        <w:br w:type="page"/>
      </w:r>
    </w:p>
    <w:p>
      <w:pPr>
        <w:spacing w:line="240" w:lineRule="auto"/>
        <w:ind w:left="567" w:hanging="567"/>
        <w:rPr>
          <w:noProof/>
          <w:lang w:val="fr-BE" w:eastAsia="en-GB"/>
        </w:rPr>
      </w:pPr>
      <w:r>
        <w:rPr>
          <w:noProof/>
          <w:lang w:val="fr-BE" w:eastAsia="en-GB"/>
        </w:rPr>
        <w:t>2.</w:t>
      </w:r>
      <w:r>
        <w:rPr>
          <w:noProof/>
          <w:lang w:val="fr-BE" w:eastAsia="en-GB"/>
        </w:rPr>
        <w:tab/>
      </w:r>
      <w:r>
        <w:rPr>
          <w:noProof/>
          <w:szCs w:val="24"/>
          <w:lang w:val="fr-CA" w:eastAsia="en-GB"/>
        </w:rPr>
        <w:t xml:space="preserve">En ce qui concerne </w:t>
      </w:r>
      <w:r>
        <w:rPr>
          <w:b/>
          <w:noProof/>
          <w:szCs w:val="24"/>
          <w:lang w:val="fr-CA" w:eastAsia="en-GB"/>
        </w:rPr>
        <w:t>CY</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lang w:val="fr-BE" w:eastAsia="en-GB"/>
        </w:rPr>
      </w:pPr>
    </w:p>
    <w:p>
      <w:pPr>
        <w:spacing w:line="240" w:lineRule="auto"/>
        <w:ind w:left="1134" w:hanging="567"/>
        <w:rPr>
          <w:noProof/>
          <w:lang w:val="fr-BE" w:eastAsia="en-GB"/>
        </w:rPr>
      </w:pPr>
      <w:r>
        <w:rPr>
          <w:noProof/>
          <w:lang w:val="fr-BE" w:eastAsia="en-GB"/>
        </w:rPr>
        <w:t>a)</w:t>
      </w:r>
      <w:r>
        <w:rPr>
          <w:noProof/>
          <w:lang w:val="fr-BE" w:eastAsia="en-GB"/>
        </w:rPr>
        <w:tab/>
      </w:r>
      <w:r>
        <w:rPr>
          <w:noProof/>
          <w:szCs w:val="24"/>
          <w:lang w:val="fr-CA" w:eastAsia="en-GB"/>
        </w:rPr>
        <w:t>services d</w:t>
      </w:r>
      <w:r>
        <w:rPr>
          <w:noProof/>
          <w:szCs w:val="24"/>
          <w:lang w:val="fr-FR" w:eastAsia="fr-CA"/>
        </w:rPr>
        <w:t>’assurance directe (y compris la coassurance) pour l’assurance contre les risques</w:t>
      </w:r>
      <w:r>
        <w:rPr>
          <w:noProof/>
          <w:szCs w:val="24"/>
          <w:lang w:val="fr-CA" w:eastAsia="en-GB"/>
        </w:rPr>
        <w:t xml:space="preserve"> touchant :</w:t>
      </w:r>
    </w:p>
    <w:p>
      <w:pPr>
        <w:spacing w:line="240" w:lineRule="auto"/>
        <w:ind w:left="1134" w:hanging="567"/>
        <w:rPr>
          <w:noProof/>
          <w:lang w:val="fr-BE" w:eastAsia="en-GB"/>
        </w:rPr>
      </w:pPr>
    </w:p>
    <w:p>
      <w:pPr>
        <w:spacing w:line="240" w:lineRule="auto"/>
        <w:ind w:left="1701" w:hanging="567"/>
        <w:rPr>
          <w:noProof/>
          <w:lang w:val="fr-BE" w:eastAsia="en-GB"/>
        </w:rPr>
      </w:pPr>
      <w:r>
        <w:rPr>
          <w:noProof/>
          <w:lang w:val="fr-BE" w:eastAsia="en-GB"/>
        </w:rPr>
        <w:t>i)</w:t>
      </w:r>
      <w:r>
        <w:rPr>
          <w:noProof/>
          <w:lang w:val="fr-BE" w:eastAsia="en-GB"/>
        </w:rPr>
        <w:tab/>
      </w:r>
      <w:r>
        <w:rPr>
          <w:noProof/>
          <w:lang w:val="fr-CA" w:eastAsia="ko-KR"/>
        </w:rPr>
        <w:t>le transport maritime, le transport aérien commercial, le lancement d’engins spatiaux et le transport effectué par ces engins, y compris les satellites, cette assurance couvrant les marchandises transportées, le véhicule transportant les marchandises ou toute responsabilité découlant de ce transport,</w:t>
      </w:r>
    </w:p>
    <w:p>
      <w:pPr>
        <w:spacing w:line="240" w:lineRule="auto"/>
        <w:ind w:left="1701" w:hanging="567"/>
        <w:rPr>
          <w:noProof/>
          <w:lang w:val="fr-BE" w:eastAsia="en-GB"/>
        </w:rPr>
      </w:pPr>
    </w:p>
    <w:p>
      <w:pPr>
        <w:spacing w:line="240" w:lineRule="auto"/>
        <w:ind w:left="1701" w:hanging="567"/>
        <w:rPr>
          <w:noProof/>
          <w:lang w:val="fr-BE" w:eastAsia="en-GB"/>
        </w:rPr>
      </w:pPr>
      <w:r>
        <w:rPr>
          <w:noProof/>
          <w:lang w:val="fr-BE" w:eastAsia="en-GB"/>
        </w:rPr>
        <w:t>ii)</w:t>
      </w:r>
      <w:r>
        <w:rPr>
          <w:noProof/>
          <w:lang w:val="fr-BE" w:eastAsia="en-GB"/>
        </w:rPr>
        <w:tab/>
      </w:r>
      <w:r>
        <w:rPr>
          <w:noProof/>
          <w:szCs w:val="24"/>
          <w:lang w:val="fr-CA" w:eastAsia="en-GB"/>
        </w:rPr>
        <w:t>les marchandises en transit international;</w:t>
      </w:r>
    </w:p>
    <w:p>
      <w:pPr>
        <w:spacing w:line="240" w:lineRule="auto"/>
        <w:ind w:left="1701" w:hanging="567"/>
        <w:rPr>
          <w:noProof/>
          <w:lang w:val="fr-BE" w:eastAsia="en-GB"/>
        </w:rPr>
      </w:pPr>
    </w:p>
    <w:p>
      <w:pPr>
        <w:spacing w:line="240" w:lineRule="auto"/>
        <w:ind w:left="1134" w:hanging="567"/>
        <w:rPr>
          <w:noProof/>
          <w:lang w:val="fr-BE" w:eastAsia="en-GB"/>
        </w:rPr>
      </w:pPr>
      <w:r>
        <w:rPr>
          <w:noProof/>
          <w:lang w:val="fr-BE" w:eastAsia="en-GB"/>
        </w:rPr>
        <w:t>b)</w:t>
      </w:r>
      <w:r>
        <w:rPr>
          <w:noProof/>
          <w:lang w:val="fr-BE" w:eastAsia="en-GB"/>
        </w:rPr>
        <w:tab/>
      </w:r>
      <w:r>
        <w:rPr>
          <w:noProof/>
          <w:szCs w:val="24"/>
          <w:lang w:val="fr-CA" w:eastAsia="en-GB"/>
        </w:rPr>
        <w:t>l’intermédiation en assurance;</w:t>
      </w:r>
    </w:p>
    <w:p>
      <w:pPr>
        <w:spacing w:line="240" w:lineRule="auto"/>
        <w:ind w:left="1134" w:hanging="567"/>
        <w:rPr>
          <w:noProof/>
          <w:lang w:val="fr-BE" w:eastAsia="en-GB"/>
        </w:rPr>
      </w:pPr>
    </w:p>
    <w:p>
      <w:pPr>
        <w:spacing w:line="240" w:lineRule="auto"/>
        <w:ind w:left="1134" w:hanging="567"/>
        <w:rPr>
          <w:noProof/>
          <w:lang w:val="fr-BE" w:eastAsia="en-GB"/>
        </w:rPr>
      </w:pPr>
      <w:r>
        <w:rPr>
          <w:noProof/>
          <w:lang w:val="fr-BE" w:eastAsia="en-GB"/>
        </w:rPr>
        <w:t>c)</w:t>
      </w:r>
      <w:r>
        <w:rPr>
          <w:noProof/>
          <w:lang w:val="fr-BE" w:eastAsia="en-GB"/>
        </w:rPr>
        <w:tab/>
      </w:r>
      <w:r>
        <w:rPr>
          <w:noProof/>
          <w:szCs w:val="24"/>
          <w:lang w:val="fr-CA" w:eastAsia="en-GB"/>
        </w:rPr>
        <w:t>la réassurance et la rétrocession;</w:t>
      </w:r>
    </w:p>
    <w:p>
      <w:pPr>
        <w:spacing w:line="240" w:lineRule="auto"/>
        <w:ind w:left="1134" w:hanging="567"/>
        <w:rPr>
          <w:noProof/>
          <w:lang w:val="fr-BE" w:eastAsia="en-GB"/>
        </w:rPr>
      </w:pPr>
    </w:p>
    <w:p>
      <w:pPr>
        <w:spacing w:line="240" w:lineRule="auto"/>
        <w:ind w:left="1134" w:hanging="567"/>
        <w:rPr>
          <w:noProof/>
          <w:lang w:val="fr-BE" w:eastAsia="en-GB"/>
        </w:rPr>
      </w:pPr>
      <w:r>
        <w:rPr>
          <w:noProof/>
          <w:lang w:val="fr-BE" w:eastAsia="en-GB"/>
        </w:rPr>
        <w:t>d)</w:t>
      </w:r>
      <w:r>
        <w:rPr>
          <w:noProof/>
          <w:lang w:val="fr-BE" w:eastAsia="en-GB"/>
        </w:rPr>
        <w:tab/>
      </w:r>
      <w:r>
        <w:rPr>
          <w:noProof/>
          <w:lang w:val="fr-CA"/>
        </w:rPr>
        <w:t>les services auxiliaires de l’assurance visés au point </w:t>
      </w:r>
      <w:r>
        <w:rPr>
          <w:noProof/>
          <w:szCs w:val="24"/>
          <w:lang w:val="fr-CA" w:eastAsia="en-GB"/>
        </w:rPr>
        <w:t>iv) de la définition de « services d’assurance et services connexes » qui figure à l’article 13.1.</w:t>
      </w:r>
    </w:p>
    <w:p>
      <w:pPr>
        <w:spacing w:line="240" w:lineRule="auto"/>
        <w:rPr>
          <w:noProof/>
          <w:lang w:val="fr-BE" w:eastAsia="en-GB"/>
        </w:rPr>
      </w:pPr>
    </w:p>
    <w:p>
      <w:pPr>
        <w:spacing w:line="240" w:lineRule="auto"/>
        <w:ind w:left="567" w:hanging="567"/>
        <w:rPr>
          <w:noProof/>
          <w:szCs w:val="24"/>
          <w:lang w:eastAsia="en-GB"/>
        </w:rPr>
      </w:pPr>
      <w:r>
        <w:rPr>
          <w:noProof/>
          <w:szCs w:val="24"/>
          <w:lang w:eastAsia="en-GB"/>
        </w:rPr>
        <w:t>3.</w:t>
      </w:r>
      <w:r>
        <w:rPr>
          <w:noProof/>
          <w:szCs w:val="24"/>
          <w:lang w:eastAsia="en-GB"/>
        </w:rPr>
        <w:tab/>
      </w:r>
      <w:r>
        <w:rPr>
          <w:noProof/>
          <w:szCs w:val="24"/>
          <w:lang w:val="fr-CA" w:eastAsia="en-GB"/>
        </w:rPr>
        <w:t xml:space="preserve">En ce qui concerne </w:t>
      </w:r>
      <w:r>
        <w:rPr>
          <w:b/>
          <w:noProof/>
          <w:szCs w:val="24"/>
          <w:lang w:val="fr-CA" w:eastAsia="en-GB"/>
        </w:rPr>
        <w:t>EE</w:t>
      </w:r>
      <w:r>
        <w:rPr>
          <w:noProof/>
          <w:szCs w:val="24"/>
          <w:lang w:val="fr-CA" w:eastAsia="en-GB"/>
        </w:rPr>
        <w:t xml:space="preserve">, l’article 13.7.1 </w:t>
      </w:r>
      <w:r>
        <w:rPr>
          <w:noProof/>
          <w:szCs w:val="24"/>
          <w:lang w:val="fr-FR" w:eastAsia="en-GB"/>
        </w:rPr>
        <w:t xml:space="preserve">s’applique à la fourniture transfrontières des services financiers, au sens </w:t>
      </w:r>
      <w:r>
        <w:rPr>
          <w:noProof/>
          <w:szCs w:val="24"/>
          <w:lang w:val="fr-CA" w:eastAsia="en-GB"/>
        </w:rPr>
        <w:t>de l’alinéa</w:t>
      </w:r>
      <w:r>
        <w:rPr>
          <w:noProof/>
          <w:szCs w:val="24"/>
          <w:lang w:val="fr-FR" w:eastAsia="en-GB"/>
        </w:rPr>
        <w:t> a</w:t>
      </w:r>
      <w:r>
        <w:rPr>
          <w:noProof/>
          <w:szCs w:val="24"/>
          <w:lang w:val="fr-CA" w:eastAsia="en-GB"/>
        </w:rPr>
        <w:t>) de la définition de « </w:t>
      </w:r>
      <w:r>
        <w:rPr>
          <w:noProof/>
          <w:szCs w:val="24"/>
          <w:lang w:val="fr-FR" w:eastAsia="en-GB"/>
        </w:rPr>
        <w:t>fourniture transfrontières des services financiers » qui figure à l’a</w:t>
      </w:r>
      <w:r>
        <w:rPr>
          <w:noProof/>
          <w:szCs w:val="24"/>
          <w:lang w:val="fr-CA" w:eastAsia="en-GB"/>
        </w:rPr>
        <w:t>rticle 13.1, à l’égard de ce qui suit </w:t>
      </w:r>
      <w:r>
        <w:rPr>
          <w:noProof/>
          <w:szCs w:val="24"/>
          <w:lang w:eastAsia="en-GB"/>
        </w:rPr>
        <w:t>:</w:t>
      </w:r>
    </w:p>
    <w:p>
      <w:pPr>
        <w:spacing w:line="240" w:lineRule="auto"/>
        <w:ind w:left="567" w:hanging="567"/>
        <w:rPr>
          <w:noProof/>
          <w:szCs w:val="24"/>
          <w:lang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CA" w:eastAsia="en-GB"/>
        </w:rPr>
        <w:t>l’assurance directe (y compris la coassurance);</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CA" w:eastAsia="en-GB"/>
        </w:rPr>
        <w:t>la réassurance et la rétrocession;</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szCs w:val="24"/>
          <w:lang w:val="fr-CA" w:eastAsia="en-GB"/>
        </w:rPr>
        <w:t>l’intermédiation en assurance;</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d)</w:t>
      </w:r>
      <w:r>
        <w:rPr>
          <w:noProof/>
          <w:szCs w:val="24"/>
          <w:lang w:val="fr-BE" w:eastAsia="en-GB"/>
        </w:rPr>
        <w:tab/>
      </w:r>
      <w:r>
        <w:rPr>
          <w:noProof/>
          <w:lang w:val="fr-CA"/>
        </w:rPr>
        <w:t xml:space="preserve">les services auxiliaires de l’assurance visés </w:t>
      </w:r>
      <w:r>
        <w:rPr>
          <w:noProof/>
          <w:szCs w:val="24"/>
          <w:lang w:val="fr-CA" w:eastAsia="en-GB"/>
        </w:rPr>
        <w:t>au point</w:t>
      </w:r>
      <w:r>
        <w:rPr>
          <w:noProof/>
          <w:lang w:val="fr-CA"/>
        </w:rPr>
        <w:t> </w:t>
      </w:r>
      <w:r>
        <w:rPr>
          <w:noProof/>
          <w:szCs w:val="24"/>
          <w:lang w:val="fr-CA" w:eastAsia="en-GB"/>
        </w:rPr>
        <w:t>iv) de la définition de « services d’assurance et services connexes » qui figure à l’article 13.1.</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567" w:hanging="567"/>
        <w:rPr>
          <w:noProof/>
          <w:szCs w:val="24"/>
          <w:lang w:val="fr-BE" w:eastAsia="en-GB"/>
        </w:rPr>
      </w:pPr>
      <w:r>
        <w:rPr>
          <w:noProof/>
          <w:szCs w:val="24"/>
          <w:lang w:val="fr-BE" w:eastAsia="en-GB"/>
        </w:rPr>
        <w:t>4.</w:t>
      </w:r>
      <w:r>
        <w:rPr>
          <w:noProof/>
          <w:szCs w:val="24"/>
          <w:lang w:val="fr-BE" w:eastAsia="en-GB"/>
        </w:rPr>
        <w:tab/>
      </w:r>
      <w:r>
        <w:rPr>
          <w:noProof/>
          <w:szCs w:val="24"/>
          <w:lang w:val="fr-CA" w:eastAsia="en-GB"/>
        </w:rPr>
        <w:t xml:space="preserve">En ce qui concerne </w:t>
      </w:r>
      <w:r>
        <w:rPr>
          <w:b/>
          <w:noProof/>
          <w:szCs w:val="24"/>
          <w:lang w:val="fr-CA" w:eastAsia="en-GB"/>
        </w:rPr>
        <w:t xml:space="preserve">LV </w:t>
      </w:r>
      <w:r>
        <w:rPr>
          <w:noProof/>
          <w:szCs w:val="24"/>
          <w:lang w:val="fr-CA" w:eastAsia="en-GB"/>
        </w:rPr>
        <w:t xml:space="preserve">et </w:t>
      </w:r>
      <w:r>
        <w:rPr>
          <w:b/>
          <w:noProof/>
          <w:szCs w:val="24"/>
          <w:lang w:val="fr-CA" w:eastAsia="en-GB"/>
        </w:rPr>
        <w:t>LT</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CA" w:eastAsia="en-GB"/>
        </w:rPr>
        <w:t>l’assurance contre les risques touchant :</w:t>
      </w:r>
    </w:p>
    <w:p>
      <w:pPr>
        <w:spacing w:line="240" w:lineRule="auto"/>
        <w:ind w:left="1134" w:hanging="567"/>
        <w:rPr>
          <w:noProof/>
          <w:szCs w:val="24"/>
          <w:lang w:val="fr-BE" w:eastAsia="en-GB"/>
        </w:rPr>
      </w:pPr>
    </w:p>
    <w:p>
      <w:pPr>
        <w:spacing w:line="240" w:lineRule="auto"/>
        <w:ind w:left="1701" w:hanging="567"/>
        <w:rPr>
          <w:noProof/>
          <w:szCs w:val="24"/>
          <w:lang w:val="fr-BE" w:eastAsia="en-GB"/>
        </w:rPr>
      </w:pPr>
      <w:r>
        <w:rPr>
          <w:noProof/>
          <w:szCs w:val="24"/>
          <w:lang w:val="fr-BE" w:eastAsia="en-GB"/>
        </w:rPr>
        <w:t>i)</w:t>
      </w:r>
      <w:r>
        <w:rPr>
          <w:noProof/>
          <w:szCs w:val="24"/>
          <w:lang w:val="fr-BE" w:eastAsia="en-GB"/>
        </w:rPr>
        <w:tab/>
      </w:r>
      <w:r>
        <w:rPr>
          <w:noProof/>
          <w:lang w:val="fr-CA" w:eastAsia="ko-KR"/>
        </w:rPr>
        <w:t>le transport maritime, le transport aérien commercial, le lancement d’engins spatiaux et le transport effectué par ces engins, y compris les satellites, cette assurance couvrant les marchandises transportées, le véhicule transportant les marchandises ou toute responsabilité découlant de ce transport,</w:t>
      </w:r>
    </w:p>
    <w:p>
      <w:pPr>
        <w:spacing w:line="240" w:lineRule="auto"/>
        <w:ind w:left="1701" w:hanging="567"/>
        <w:rPr>
          <w:noProof/>
          <w:szCs w:val="24"/>
          <w:lang w:val="fr-BE" w:eastAsia="en-GB"/>
        </w:rPr>
      </w:pPr>
    </w:p>
    <w:p>
      <w:pPr>
        <w:spacing w:line="240" w:lineRule="auto"/>
        <w:ind w:left="1701" w:hanging="567"/>
        <w:rPr>
          <w:noProof/>
          <w:szCs w:val="24"/>
          <w:lang w:val="fr-BE" w:eastAsia="en-GB"/>
        </w:rPr>
      </w:pPr>
      <w:r>
        <w:rPr>
          <w:noProof/>
          <w:szCs w:val="24"/>
          <w:lang w:val="fr-BE" w:eastAsia="en-GB"/>
        </w:rPr>
        <w:t>ii)</w:t>
      </w:r>
      <w:r>
        <w:rPr>
          <w:noProof/>
          <w:szCs w:val="24"/>
          <w:lang w:val="fr-BE" w:eastAsia="en-GB"/>
        </w:rPr>
        <w:tab/>
      </w:r>
      <w:r>
        <w:rPr>
          <w:noProof/>
          <w:szCs w:val="24"/>
          <w:lang w:val="fr-CA" w:eastAsia="en-GB"/>
        </w:rPr>
        <w:t>les marchandises en transit international;</w:t>
      </w:r>
    </w:p>
    <w:p>
      <w:pPr>
        <w:spacing w:line="240" w:lineRule="auto"/>
        <w:ind w:left="1701"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CA" w:eastAsia="en-GB"/>
        </w:rPr>
        <w:t>la réassurance et la rétrocession;</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les services auxiliaires de l’assurance visés </w:t>
      </w:r>
      <w:r>
        <w:rPr>
          <w:noProof/>
          <w:szCs w:val="24"/>
          <w:lang w:val="fr-CA" w:eastAsia="en-GB"/>
        </w:rPr>
        <w:t>au point</w:t>
      </w:r>
      <w:r>
        <w:rPr>
          <w:noProof/>
          <w:lang w:val="fr-CA"/>
        </w:rPr>
        <w:t> </w:t>
      </w:r>
      <w:r>
        <w:rPr>
          <w:noProof/>
          <w:szCs w:val="24"/>
          <w:lang w:val="fr-CA" w:eastAsia="en-GB"/>
        </w:rPr>
        <w:t>iv) de la définition de « services d’assurance et services connexes » qui figure à l’article 13.1.</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5.</w:t>
      </w:r>
      <w:r>
        <w:rPr>
          <w:noProof/>
          <w:szCs w:val="24"/>
          <w:lang w:val="fr-BE" w:eastAsia="en-GB"/>
        </w:rPr>
        <w:tab/>
      </w:r>
      <w:r>
        <w:rPr>
          <w:noProof/>
          <w:szCs w:val="24"/>
          <w:lang w:val="fr-CA" w:eastAsia="en-GB"/>
        </w:rPr>
        <w:t xml:space="preserve">En ce qui concerne </w:t>
      </w:r>
      <w:r>
        <w:rPr>
          <w:b/>
          <w:noProof/>
          <w:szCs w:val="24"/>
          <w:lang w:val="fr-CA" w:eastAsia="en-GB"/>
        </w:rPr>
        <w:t>MT</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CA" w:eastAsia="en-GB"/>
        </w:rPr>
        <w:t>l’assurance contre les risques touchant :</w:t>
      </w:r>
    </w:p>
    <w:p>
      <w:pPr>
        <w:spacing w:line="240" w:lineRule="auto"/>
        <w:ind w:left="1134" w:hanging="567"/>
        <w:rPr>
          <w:noProof/>
          <w:szCs w:val="24"/>
          <w:lang w:val="fr-BE" w:eastAsia="en-GB"/>
        </w:rPr>
      </w:pPr>
    </w:p>
    <w:p>
      <w:pPr>
        <w:spacing w:line="240" w:lineRule="auto"/>
        <w:ind w:left="1701" w:hanging="567"/>
        <w:rPr>
          <w:noProof/>
          <w:szCs w:val="24"/>
          <w:lang w:val="fr-BE" w:eastAsia="en-GB"/>
        </w:rPr>
      </w:pPr>
      <w:r>
        <w:rPr>
          <w:noProof/>
          <w:szCs w:val="24"/>
          <w:lang w:val="fr-BE" w:eastAsia="en-GB"/>
        </w:rPr>
        <w:t>i)</w:t>
      </w:r>
      <w:r>
        <w:rPr>
          <w:noProof/>
          <w:szCs w:val="24"/>
          <w:lang w:val="fr-BE" w:eastAsia="en-GB"/>
        </w:rPr>
        <w:tab/>
      </w:r>
      <w:r>
        <w:rPr>
          <w:noProof/>
          <w:lang w:val="fr-CA" w:eastAsia="ko-KR"/>
        </w:rPr>
        <w:t>le transport maritime, le transport aérien commercial, le lancement d’engins spatiaux et le transport effectué par ces engins, y compris les satellites, cette assurance couvrant les marchandises transportées, le véhicule transportant les marchandises ou toute responsabilité découlant de ce transport,</w:t>
      </w:r>
    </w:p>
    <w:p>
      <w:pPr>
        <w:spacing w:line="240" w:lineRule="auto"/>
        <w:ind w:left="1701" w:hanging="567"/>
        <w:rPr>
          <w:noProof/>
          <w:szCs w:val="24"/>
          <w:lang w:val="fr-BE" w:eastAsia="en-GB"/>
        </w:rPr>
      </w:pPr>
    </w:p>
    <w:p>
      <w:pPr>
        <w:spacing w:line="240" w:lineRule="auto"/>
        <w:ind w:left="1701" w:hanging="567"/>
        <w:rPr>
          <w:noProof/>
          <w:szCs w:val="24"/>
          <w:lang w:val="fr-BE" w:eastAsia="en-GB"/>
        </w:rPr>
      </w:pPr>
      <w:r>
        <w:rPr>
          <w:noProof/>
          <w:szCs w:val="24"/>
          <w:lang w:val="fr-BE" w:eastAsia="en-GB"/>
        </w:rPr>
        <w:t>ii)</w:t>
      </w:r>
      <w:r>
        <w:rPr>
          <w:noProof/>
          <w:szCs w:val="24"/>
          <w:lang w:val="fr-BE" w:eastAsia="en-GB"/>
        </w:rPr>
        <w:tab/>
      </w:r>
      <w:r>
        <w:rPr>
          <w:noProof/>
          <w:szCs w:val="24"/>
          <w:lang w:val="fr-CA" w:eastAsia="en-GB"/>
        </w:rPr>
        <w:t>les marchandises en transit international;</w:t>
      </w:r>
    </w:p>
    <w:p>
      <w:pPr>
        <w:spacing w:line="240" w:lineRule="auto"/>
        <w:ind w:left="1701"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CA" w:eastAsia="en-GB"/>
        </w:rPr>
        <w:t>la réassurance et la rétrocession;</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les services auxiliaires de l’assurance visés </w:t>
      </w:r>
      <w:r>
        <w:rPr>
          <w:noProof/>
          <w:szCs w:val="24"/>
          <w:lang w:val="fr-CA" w:eastAsia="en-GB"/>
        </w:rPr>
        <w:t>au point</w:t>
      </w:r>
      <w:r>
        <w:rPr>
          <w:noProof/>
          <w:lang w:val="fr-CA"/>
        </w:rPr>
        <w:t> </w:t>
      </w:r>
      <w:r>
        <w:rPr>
          <w:noProof/>
          <w:szCs w:val="24"/>
          <w:lang w:val="fr-CA" w:eastAsia="en-GB"/>
        </w:rPr>
        <w:t>iv) de la définition de « services d’assurance et services connexes » qui figure à l’article 13.1.</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6.</w:t>
      </w:r>
      <w:r>
        <w:rPr>
          <w:noProof/>
          <w:szCs w:val="24"/>
          <w:lang w:val="fr-BE" w:eastAsia="en-GB"/>
        </w:rPr>
        <w:tab/>
      </w:r>
      <w:r>
        <w:rPr>
          <w:noProof/>
          <w:szCs w:val="24"/>
          <w:lang w:val="fr-CA" w:eastAsia="en-GB"/>
        </w:rPr>
        <w:t xml:space="preserve">En ce qui concerne </w:t>
      </w:r>
      <w:r>
        <w:rPr>
          <w:b/>
          <w:noProof/>
          <w:szCs w:val="24"/>
          <w:lang w:val="fr-CA" w:eastAsia="en-GB"/>
        </w:rPr>
        <w:t>PL</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CA" w:eastAsia="en-GB"/>
        </w:rPr>
        <w:t>l’assurance contre les risques touchant les marchandises faisant l’objet d’échanges commerciaux internationaux;</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CA" w:eastAsia="en-GB"/>
        </w:rPr>
        <w:t>la réassurance contre les risques touchant les marchandises faisant l’objet d’échanges commerciaux internationaux et la rétrocession de ces risques.</w:t>
      </w:r>
    </w:p>
    <w:p>
      <w:pPr>
        <w:spacing w:line="240" w:lineRule="auto"/>
        <w:ind w:left="1134" w:hanging="567"/>
        <w:rPr>
          <w:noProof/>
          <w:szCs w:val="24"/>
          <w:lang w:val="fr-BE" w:eastAsia="en-GB"/>
        </w:rPr>
      </w:pPr>
    </w:p>
    <w:p>
      <w:pPr>
        <w:spacing w:line="240" w:lineRule="auto"/>
        <w:rPr>
          <w:noProof/>
          <w:szCs w:val="24"/>
          <w:lang w:val="fr-BE" w:eastAsia="sv-SE"/>
        </w:rPr>
      </w:pPr>
      <w:r>
        <w:rPr>
          <w:noProof/>
          <w:lang w:val="fr-CA" w:eastAsia="sv-SE"/>
        </w:rPr>
        <w:t>Services bancaires et autres services financiers (à l’exclusion de l’assurance et des services connexes)</w:t>
      </w:r>
    </w:p>
    <w:p>
      <w:pPr>
        <w:spacing w:line="240" w:lineRule="auto"/>
        <w:rPr>
          <w:noProof/>
          <w:szCs w:val="24"/>
          <w:lang w:val="fr-BE" w:eastAsia="sv-SE"/>
        </w:rPr>
      </w:pPr>
    </w:p>
    <w:p>
      <w:pPr>
        <w:spacing w:line="240" w:lineRule="auto"/>
        <w:ind w:left="567" w:hanging="567"/>
        <w:rPr>
          <w:noProof/>
          <w:szCs w:val="24"/>
          <w:lang w:val="fr-BE" w:eastAsia="en-GB"/>
        </w:rPr>
      </w:pPr>
      <w:r>
        <w:rPr>
          <w:noProof/>
          <w:szCs w:val="24"/>
          <w:lang w:val="fr-BE" w:eastAsia="en-GB"/>
        </w:rPr>
        <w:t>7.</w:t>
      </w:r>
      <w:r>
        <w:rPr>
          <w:noProof/>
          <w:szCs w:val="24"/>
          <w:lang w:val="fr-BE" w:eastAsia="en-GB"/>
        </w:rPr>
        <w:tab/>
      </w:r>
      <w:r>
        <w:rPr>
          <w:noProof/>
          <w:szCs w:val="24"/>
          <w:lang w:val="fr-CA" w:eastAsia="en-GB"/>
        </w:rPr>
        <w:t xml:space="preserve">À l'exception de </w:t>
      </w:r>
      <w:r>
        <w:rPr>
          <w:b/>
          <w:noProof/>
          <w:szCs w:val="24"/>
          <w:lang w:val="fr-CA" w:eastAsia="en-GB"/>
        </w:rPr>
        <w:t>BE,</w:t>
      </w:r>
      <w:r>
        <w:rPr>
          <w:noProof/>
          <w:szCs w:val="24"/>
          <w:lang w:val="fr-CA" w:eastAsia="en-GB"/>
        </w:rPr>
        <w:t xml:space="preserve"> </w:t>
      </w:r>
      <w:r>
        <w:rPr>
          <w:b/>
          <w:noProof/>
          <w:szCs w:val="24"/>
          <w:lang w:val="fr-CA" w:eastAsia="en-GB"/>
        </w:rPr>
        <w:t>CY,</w:t>
      </w:r>
      <w:r>
        <w:rPr>
          <w:noProof/>
          <w:szCs w:val="24"/>
          <w:lang w:val="fr-CA" w:eastAsia="en-GB"/>
        </w:rPr>
        <w:t xml:space="preserve"> </w:t>
      </w:r>
      <w:r>
        <w:rPr>
          <w:b/>
          <w:noProof/>
          <w:szCs w:val="24"/>
          <w:lang w:val="fr-CA" w:eastAsia="en-GB"/>
        </w:rPr>
        <w:t>EE</w:t>
      </w:r>
      <w:r>
        <w:rPr>
          <w:noProof/>
          <w:szCs w:val="24"/>
          <w:lang w:val="fr-CA" w:eastAsia="en-GB"/>
        </w:rPr>
        <w:t xml:space="preserve">, </w:t>
      </w:r>
      <w:r>
        <w:rPr>
          <w:b/>
          <w:noProof/>
          <w:szCs w:val="24"/>
          <w:lang w:val="fr-CA" w:eastAsia="en-GB"/>
        </w:rPr>
        <w:t>LV,</w:t>
      </w:r>
      <w:r>
        <w:rPr>
          <w:noProof/>
          <w:szCs w:val="24"/>
          <w:lang w:val="fr-CA" w:eastAsia="en-GB"/>
        </w:rPr>
        <w:t xml:space="preserve"> </w:t>
      </w:r>
      <w:r>
        <w:rPr>
          <w:b/>
          <w:noProof/>
          <w:szCs w:val="24"/>
          <w:lang w:val="fr-CA" w:eastAsia="en-GB"/>
        </w:rPr>
        <w:t>LT</w:t>
      </w:r>
      <w:r>
        <w:rPr>
          <w:noProof/>
          <w:szCs w:val="24"/>
          <w:lang w:val="fr-CA" w:eastAsia="en-GB"/>
        </w:rPr>
        <w:t xml:space="preserve">, </w:t>
      </w:r>
      <w:r>
        <w:rPr>
          <w:b/>
          <w:noProof/>
          <w:szCs w:val="24"/>
          <w:lang w:val="fr-CA" w:eastAsia="en-GB"/>
        </w:rPr>
        <w:t>MT,</w:t>
      </w:r>
      <w:r>
        <w:rPr>
          <w:noProof/>
          <w:szCs w:val="24"/>
          <w:lang w:val="fr-CA" w:eastAsia="en-GB"/>
        </w:rPr>
        <w:t xml:space="preserve"> </w:t>
      </w:r>
      <w:r>
        <w:rPr>
          <w:b/>
          <w:noProof/>
          <w:szCs w:val="24"/>
          <w:lang w:val="fr-CA" w:eastAsia="en-GB"/>
        </w:rPr>
        <w:t xml:space="preserve">SI </w:t>
      </w:r>
      <w:r>
        <w:rPr>
          <w:noProof/>
          <w:szCs w:val="24"/>
          <w:lang w:val="fr-CA" w:eastAsia="en-GB"/>
        </w:rPr>
        <w:t>et</w:t>
      </w:r>
      <w:r>
        <w:rPr>
          <w:b/>
          <w:noProof/>
          <w:szCs w:val="24"/>
          <w:lang w:val="fr-CA" w:eastAsia="en-GB"/>
        </w:rPr>
        <w:t xml:space="preserve"> RO</w:t>
      </w:r>
      <w:r>
        <w:rPr>
          <w:noProof/>
          <w:szCs w:val="24"/>
          <w:lang w:val="fr-CA" w:eastAsia="en-GB"/>
        </w:rPr>
        <w:t>,</w:t>
      </w:r>
      <w:r>
        <w:rPr>
          <w:b/>
          <w:noProof/>
          <w:szCs w:val="24"/>
          <w:lang w:val="fr-CA" w:eastAsia="en-GB"/>
        </w:rPr>
        <w:t xml:space="preserve"> </w:t>
      </w:r>
      <w:r>
        <w:rPr>
          <w:noProof/>
          <w:szCs w:val="24"/>
          <w:lang w:val="fr-CA" w:eastAsia="en-GB"/>
        </w:rPr>
        <w:t xml:space="preserve">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8.</w:t>
      </w:r>
      <w:r>
        <w:rPr>
          <w:noProof/>
          <w:szCs w:val="24"/>
          <w:lang w:val="fr-BE" w:eastAsia="en-GB"/>
        </w:rPr>
        <w:tab/>
      </w:r>
      <w:r>
        <w:rPr>
          <w:noProof/>
          <w:szCs w:val="24"/>
          <w:lang w:val="fr-CA" w:eastAsia="en-GB"/>
        </w:rPr>
        <w:t xml:space="preserve">En ce qui concerne </w:t>
      </w:r>
      <w:r>
        <w:rPr>
          <w:b/>
          <w:noProof/>
          <w:szCs w:val="24"/>
          <w:lang w:val="fr-CA" w:eastAsia="en-GB"/>
        </w:rPr>
        <w:t>BE</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567" w:hanging="567"/>
        <w:rPr>
          <w:noProof/>
          <w:szCs w:val="24"/>
          <w:lang w:val="fr-BE" w:eastAsia="en-GB"/>
        </w:rPr>
      </w:pPr>
      <w:r>
        <w:rPr>
          <w:noProof/>
          <w:szCs w:val="24"/>
          <w:lang w:val="fr-BE" w:eastAsia="en-GB"/>
        </w:rPr>
        <w:t>9.</w:t>
      </w:r>
      <w:r>
        <w:rPr>
          <w:noProof/>
          <w:szCs w:val="24"/>
          <w:lang w:val="fr-BE" w:eastAsia="en-GB"/>
        </w:rPr>
        <w:tab/>
      </w:r>
      <w:r>
        <w:rPr>
          <w:noProof/>
          <w:szCs w:val="24"/>
          <w:lang w:val="fr-CA" w:eastAsia="en-GB"/>
        </w:rPr>
        <w:t xml:space="preserve">En ce qui concerne </w:t>
      </w:r>
      <w:r>
        <w:rPr>
          <w:b/>
          <w:noProof/>
          <w:szCs w:val="24"/>
          <w:lang w:val="fr-CA" w:eastAsia="en-GB"/>
        </w:rPr>
        <w:t>CY</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les opérations pour compte propre ou pour compte de clients, que ce soit dans une bourse, sur un marché hors cote ou autre, sur les valeurs mobilières négociables;</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10.</w:t>
      </w:r>
      <w:r>
        <w:rPr>
          <w:noProof/>
          <w:szCs w:val="24"/>
          <w:lang w:val="fr-BE" w:eastAsia="en-GB"/>
        </w:rPr>
        <w:tab/>
      </w:r>
      <w:r>
        <w:rPr>
          <w:noProof/>
          <w:szCs w:val="24"/>
          <w:lang w:val="fr-CA" w:eastAsia="en-GB"/>
        </w:rPr>
        <w:t xml:space="preserve">En ce qui concerne </w:t>
      </w:r>
      <w:r>
        <w:rPr>
          <w:b/>
          <w:noProof/>
          <w:szCs w:val="24"/>
          <w:lang w:val="fr-CA" w:eastAsia="en-GB"/>
        </w:rPr>
        <w:t xml:space="preserve">EE </w:t>
      </w:r>
      <w:r>
        <w:rPr>
          <w:noProof/>
          <w:szCs w:val="24"/>
          <w:lang w:val="fr-CA" w:eastAsia="en-GB"/>
        </w:rPr>
        <w:t xml:space="preserve">et </w:t>
      </w:r>
      <w:r>
        <w:rPr>
          <w:b/>
          <w:noProof/>
          <w:szCs w:val="24"/>
          <w:lang w:val="fr-CA" w:eastAsia="en-GB"/>
        </w:rPr>
        <w:t>LT</w:t>
      </w:r>
      <w:r>
        <w:rPr>
          <w:noProof/>
          <w:szCs w:val="24"/>
          <w:lang w:val="fr-CA" w:eastAsia="en-GB"/>
        </w:rPr>
        <w:t>,</w:t>
      </w:r>
      <w:r>
        <w:rPr>
          <w:b/>
          <w:noProof/>
          <w:szCs w:val="24"/>
          <w:lang w:val="fr-CA" w:eastAsia="en-GB"/>
        </w:rPr>
        <w:t xml:space="preserve"> </w:t>
      </w:r>
      <w:r>
        <w:rPr>
          <w:noProof/>
          <w:szCs w:val="24"/>
          <w:lang w:val="fr-CA" w:eastAsia="en-GB"/>
        </w:rPr>
        <w:t xml:space="preserve">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l’acceptation de dépôts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FR" w:eastAsia="fr-CA"/>
        </w:rPr>
        <w:t>les prêts de tout type</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eastAsia="en-GB"/>
        </w:rPr>
      </w:pPr>
      <w:r>
        <w:rPr>
          <w:noProof/>
          <w:szCs w:val="24"/>
          <w:lang w:eastAsia="en-GB"/>
        </w:rPr>
        <w:t>c)</w:t>
      </w:r>
      <w:r>
        <w:rPr>
          <w:noProof/>
          <w:szCs w:val="24"/>
          <w:lang w:eastAsia="en-GB"/>
        </w:rPr>
        <w:tab/>
        <w:t>le crédit-bail;</w:t>
      </w:r>
    </w:p>
    <w:p>
      <w:pPr>
        <w:spacing w:line="240" w:lineRule="auto"/>
        <w:ind w:left="1134" w:hanging="567"/>
        <w:rPr>
          <w:noProof/>
          <w:szCs w:val="24"/>
          <w:lang w:eastAsia="en-GB"/>
        </w:rPr>
      </w:pPr>
    </w:p>
    <w:p>
      <w:pPr>
        <w:spacing w:line="240" w:lineRule="auto"/>
        <w:ind w:left="1134" w:hanging="567"/>
        <w:rPr>
          <w:noProof/>
          <w:szCs w:val="24"/>
          <w:lang w:val="fr-BE" w:eastAsia="en-GB"/>
        </w:rPr>
      </w:pPr>
      <w:r>
        <w:rPr>
          <w:noProof/>
          <w:szCs w:val="24"/>
          <w:lang w:val="fr-BE" w:eastAsia="en-GB"/>
        </w:rPr>
        <w:t>d)</w:t>
      </w:r>
      <w:r>
        <w:rPr>
          <w:noProof/>
          <w:szCs w:val="24"/>
          <w:lang w:val="fr-BE" w:eastAsia="en-GB"/>
        </w:rPr>
        <w:tab/>
      </w:r>
      <w:r>
        <w:rPr>
          <w:noProof/>
          <w:szCs w:val="24"/>
          <w:lang w:val="fr-FR" w:eastAsia="fr-CA"/>
        </w:rPr>
        <w:t>tous les services de règlement et de transferts monétaires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e)</w:t>
      </w:r>
      <w:r>
        <w:rPr>
          <w:noProof/>
          <w:szCs w:val="24"/>
          <w:lang w:val="fr-BE" w:eastAsia="en-GB"/>
        </w:rPr>
        <w:tab/>
      </w:r>
      <w:r>
        <w:rPr>
          <w:noProof/>
          <w:szCs w:val="24"/>
          <w:lang w:val="fr-FR" w:eastAsia="fr-CA"/>
        </w:rPr>
        <w:t>les garanties et les engagements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f)</w:t>
      </w:r>
      <w:r>
        <w:rPr>
          <w:noProof/>
          <w:szCs w:val="24"/>
          <w:lang w:val="fr-BE" w:eastAsia="en-GB"/>
        </w:rPr>
        <w:tab/>
      </w:r>
      <w:r>
        <w:rPr>
          <w:noProof/>
          <w:szCs w:val="24"/>
          <w:lang w:val="fr-FR" w:eastAsia="fr-CA"/>
        </w:rPr>
        <w:t>les opérations pour compte propre ou pour compte de clients, que ce soit dans une bourse ou sur un marché hors cote</w:t>
      </w:r>
      <w:r>
        <w:rPr>
          <w:noProof/>
          <w:szCs w:val="24"/>
          <w:lang w:val="fr-CA" w:eastAsia="en-GB"/>
        </w:rPr>
        <w:t>;</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1134" w:hanging="567"/>
        <w:rPr>
          <w:noProof/>
          <w:szCs w:val="24"/>
          <w:lang w:val="fr-CA" w:eastAsia="en-GB"/>
        </w:rPr>
      </w:pPr>
      <w:r>
        <w:rPr>
          <w:noProof/>
          <w:szCs w:val="24"/>
          <w:lang w:val="fr-BE" w:eastAsia="en-GB"/>
        </w:rPr>
        <w:t>g)</w:t>
      </w:r>
      <w:r>
        <w:rPr>
          <w:noProof/>
          <w:szCs w:val="24"/>
          <w:lang w:val="fr-BE" w:eastAsia="en-GB"/>
        </w:rPr>
        <w:tab/>
      </w:r>
      <w:r>
        <w:rPr>
          <w:noProof/>
          <w:szCs w:val="24"/>
          <w:lang w:val="fr-FR" w:eastAsia="fr-CA"/>
        </w:rPr>
        <w:t>la participation à des émissions de tout type de valeurs mobilières, y compris la garantie et le placement en qualité d’agent (dans le public ou à titre privé) et la fourniture de services relatifs à ces émissions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h)</w:t>
      </w:r>
      <w:r>
        <w:rPr>
          <w:noProof/>
          <w:szCs w:val="24"/>
          <w:lang w:val="fr-BE" w:eastAsia="en-GB"/>
        </w:rPr>
        <w:tab/>
      </w:r>
      <w:r>
        <w:rPr>
          <w:noProof/>
          <w:szCs w:val="24"/>
          <w:lang w:val="fr-CA" w:eastAsia="en-GB"/>
        </w:rPr>
        <w:t>le courtage monétaire;</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i)</w:t>
      </w:r>
      <w:r>
        <w:rPr>
          <w:noProof/>
          <w:szCs w:val="24"/>
          <w:lang w:val="fr-BE" w:eastAsia="en-GB"/>
        </w:rPr>
        <w:tab/>
      </w:r>
      <w:r>
        <w:rPr>
          <w:noProof/>
          <w:szCs w:val="24"/>
          <w:lang w:val="fr-FR" w:eastAsia="fr-CA"/>
        </w:rPr>
        <w:t>la gestion d’actifs, par exemple la gestion de trésorerie ou de portefeuille, toutes formes de gestion d’investissement collectif, les services de garde, les services de dépositaire et les services fiduciaires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j)</w:t>
      </w:r>
      <w:r>
        <w:rPr>
          <w:noProof/>
          <w:szCs w:val="24"/>
          <w:lang w:val="fr-BE" w:eastAsia="en-GB"/>
        </w:rPr>
        <w:tab/>
      </w:r>
      <w:r>
        <w:rPr>
          <w:noProof/>
          <w:szCs w:val="24"/>
          <w:lang w:val="fr-FR" w:eastAsia="fr-CA"/>
        </w:rPr>
        <w:t>les services de règlement et de compensation afférents à des actifs financiers, y compris les valeurs mobilières, les produits dérivés et les autres instruments négociables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k)</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l)</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11.</w:t>
      </w:r>
      <w:r>
        <w:rPr>
          <w:noProof/>
          <w:szCs w:val="24"/>
          <w:lang w:val="fr-BE" w:eastAsia="en-GB"/>
        </w:rPr>
        <w:tab/>
      </w:r>
      <w:r>
        <w:rPr>
          <w:noProof/>
          <w:szCs w:val="24"/>
          <w:lang w:val="fr-CA" w:eastAsia="en-GB"/>
        </w:rPr>
        <w:t xml:space="preserve">En ce qui concerne </w:t>
      </w:r>
      <w:r>
        <w:rPr>
          <w:b/>
          <w:noProof/>
          <w:szCs w:val="24"/>
          <w:lang w:val="fr-CA" w:eastAsia="en-GB"/>
        </w:rPr>
        <w:t>LV</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la participation à des émissions de tout type de valeurs mobilières, y compris la garantie et le placement en qualité d’agent (dans le public ou à titre privé) et la fourniture de services relatifs à ces émissions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12.</w:t>
      </w:r>
      <w:r>
        <w:rPr>
          <w:noProof/>
          <w:szCs w:val="24"/>
          <w:lang w:val="fr-BE" w:eastAsia="en-GB"/>
        </w:rPr>
        <w:tab/>
      </w:r>
      <w:r>
        <w:rPr>
          <w:noProof/>
          <w:szCs w:val="24"/>
          <w:lang w:val="fr-CA" w:eastAsia="en-GB"/>
        </w:rPr>
        <w:t xml:space="preserve">En ce qui concerne </w:t>
      </w:r>
      <w:r>
        <w:rPr>
          <w:b/>
          <w:noProof/>
          <w:szCs w:val="24"/>
          <w:lang w:val="fr-CA" w:eastAsia="en-GB"/>
        </w:rPr>
        <w:t>MT</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l’acceptation de dépôts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FR" w:eastAsia="fr-CA"/>
        </w:rPr>
        <w:t>les prêts de tout type</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d)</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13.</w:t>
      </w:r>
      <w:r>
        <w:rPr>
          <w:noProof/>
          <w:szCs w:val="24"/>
          <w:lang w:val="fr-BE" w:eastAsia="en-GB"/>
        </w:rPr>
        <w:tab/>
      </w:r>
      <w:r>
        <w:rPr>
          <w:noProof/>
          <w:szCs w:val="24"/>
          <w:lang w:val="fr-CA" w:eastAsia="en-GB"/>
        </w:rPr>
        <w:t xml:space="preserve">En ce qui concerne </w:t>
      </w:r>
      <w:r>
        <w:rPr>
          <w:b/>
          <w:noProof/>
          <w:szCs w:val="24"/>
          <w:lang w:val="fr-CA" w:eastAsia="en-GB"/>
        </w:rPr>
        <w:t>RO</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l’acceptation de dépôts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FR" w:eastAsia="fr-CA"/>
        </w:rPr>
        <w:t>les prêts de tout type</w:t>
      </w:r>
      <w:r>
        <w:rPr>
          <w:noProof/>
          <w:szCs w:val="24"/>
          <w:lang w:val="fr-CA" w:eastAsia="en-GB"/>
        </w:rPr>
        <w:t>;</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szCs w:val="24"/>
          <w:lang w:val="fr-FR" w:eastAsia="fr-CA"/>
        </w:rPr>
        <w:t>les garanties et les engagements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d)</w:t>
      </w:r>
      <w:r>
        <w:rPr>
          <w:noProof/>
          <w:szCs w:val="24"/>
          <w:lang w:val="fr-BE" w:eastAsia="en-GB"/>
        </w:rPr>
        <w:tab/>
      </w:r>
      <w:r>
        <w:rPr>
          <w:noProof/>
          <w:szCs w:val="24"/>
          <w:lang w:val="fr-FR" w:eastAsia="fr-CA"/>
        </w:rPr>
        <w:t>le courtage monétaire</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e)</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f)</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14.</w:t>
      </w:r>
      <w:r>
        <w:rPr>
          <w:noProof/>
          <w:szCs w:val="24"/>
          <w:lang w:val="fr-BE" w:eastAsia="en-GB"/>
        </w:rPr>
        <w:tab/>
      </w:r>
      <w:r>
        <w:rPr>
          <w:noProof/>
          <w:szCs w:val="24"/>
          <w:lang w:val="fr-CA" w:eastAsia="en-GB"/>
        </w:rPr>
        <w:t xml:space="preserve">En ce qui concerne </w:t>
      </w:r>
      <w:r>
        <w:rPr>
          <w:b/>
          <w:noProof/>
          <w:szCs w:val="24"/>
          <w:lang w:val="fr-CA" w:eastAsia="en-GB"/>
        </w:rPr>
        <w:t>SI</w:t>
      </w:r>
      <w:r>
        <w:rPr>
          <w:noProof/>
          <w:szCs w:val="24"/>
          <w:lang w:val="fr-CA" w:eastAsia="en-GB"/>
        </w:rPr>
        <w:t xml:space="preserve">, 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rticle 13.1, à l’égard de ce qui suit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FR" w:eastAsia="fr-CA"/>
        </w:rPr>
        <w:t>les prêts de tout type</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FR" w:eastAsia="fr-CA"/>
        </w:rPr>
        <w:t>l’acceptation de garanties et d’engagements d’établissements de crédit étrangers par des entités juridiques et des entreprises individuelles nationales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lang w:val="fr-CA"/>
        </w:rPr>
        <w:t xml:space="preserve">la fourniture et le transfert d’informations financières, et le traitement de données financières et les logiciels y relatifs, visés </w:t>
      </w:r>
      <w:r>
        <w:rPr>
          <w:noProof/>
          <w:szCs w:val="24"/>
          <w:lang w:val="fr-CA" w:eastAsia="en-GB"/>
        </w:rPr>
        <w:t>au point xi) de la définition de « services bancaires et autres services financiers (à l’exclusion de l’assurance) » qui figure à l’article 13.1;</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d)</w:t>
      </w:r>
      <w:r>
        <w:rPr>
          <w:noProof/>
          <w:szCs w:val="24"/>
          <w:lang w:val="fr-BE" w:eastAsia="en-GB"/>
        </w:rPr>
        <w:tab/>
      </w:r>
      <w:r>
        <w:rPr>
          <w:noProof/>
          <w:lang w:val="fr-CA"/>
        </w:rPr>
        <w:t xml:space="preserve">les services de conseil et autres services financiers auxiliaires se rapportant aux services bancaires et aux autres services financiers visés </w:t>
      </w:r>
      <w:r>
        <w:rPr>
          <w:noProof/>
          <w:szCs w:val="24"/>
          <w:lang w:val="fr-CA" w:eastAsia="en-GB"/>
        </w:rPr>
        <w:t>au point</w:t>
      </w:r>
      <w:r>
        <w:rPr>
          <w:noProof/>
          <w:lang w:val="fr-CA"/>
        </w:rPr>
        <w:t> xii) de la définition de « </w:t>
      </w:r>
      <w:r>
        <w:rPr>
          <w:noProof/>
          <w:szCs w:val="24"/>
          <w:lang w:val="fr-CA" w:eastAsia="en-GB"/>
        </w:rPr>
        <w:t>services bancaires et autres services financiers (à l’exclusion de l’assurance)</w:t>
      </w:r>
      <w:r>
        <w:rPr>
          <w:noProof/>
          <w:lang w:val="fr-CA"/>
        </w:rPr>
        <w:t> » qui figure à l’article 13.1, à l’exclusion de l’intermédiation visée à ce point</w:t>
      </w:r>
      <w:r>
        <w:rPr>
          <w:noProof/>
          <w:szCs w:val="24"/>
          <w:lang w:val="fr-CA" w:eastAsia="en-GB"/>
        </w:rPr>
        <w:t>.</w:t>
      </w: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rPr>
          <w:noProof/>
          <w:szCs w:val="24"/>
          <w:lang w:val="fr-BE" w:eastAsia="en-GB"/>
        </w:rPr>
      </w:pPr>
      <w:r>
        <w:rPr>
          <w:noProof/>
          <w:szCs w:val="24"/>
          <w:lang w:val="fr-CA" w:eastAsia="en-GB"/>
        </w:rPr>
        <w:t>Services de gestion de portefeuille</w:t>
      </w:r>
    </w:p>
    <w:p>
      <w:pPr>
        <w:spacing w:line="240" w:lineRule="auto"/>
        <w:rPr>
          <w:noProof/>
          <w:szCs w:val="24"/>
          <w:lang w:val="fr-BE" w:eastAsia="en-GB"/>
        </w:rPr>
      </w:pPr>
    </w:p>
    <w:p>
      <w:pPr>
        <w:spacing w:line="240" w:lineRule="auto"/>
        <w:ind w:left="567" w:hanging="567"/>
        <w:rPr>
          <w:noProof/>
          <w:szCs w:val="24"/>
          <w:lang w:val="fr-BE" w:eastAsia="en-GB"/>
        </w:rPr>
      </w:pPr>
      <w:r>
        <w:rPr>
          <w:noProof/>
          <w:szCs w:val="24"/>
          <w:lang w:val="fr-BE" w:eastAsia="en-GB"/>
        </w:rPr>
        <w:t>15.</w:t>
      </w:r>
      <w:r>
        <w:rPr>
          <w:noProof/>
          <w:szCs w:val="24"/>
          <w:lang w:val="fr-BE" w:eastAsia="en-GB"/>
        </w:rPr>
        <w:tab/>
      </w:r>
      <w:r>
        <w:rPr>
          <w:noProof/>
          <w:szCs w:val="24"/>
          <w:lang w:val="fr-CA" w:eastAsia="en-GB"/>
        </w:rPr>
        <w:t xml:space="preserve">L’article 13.7.1 </w:t>
      </w:r>
      <w:r>
        <w:rPr>
          <w:noProof/>
          <w:szCs w:val="24"/>
          <w:lang w:val="fr-FR" w:eastAsia="fr-CA"/>
        </w:rPr>
        <w:t>s’applique à la fourniture transfrontières des services financiers, au sens de l’alinéa a</w:t>
      </w:r>
      <w:r>
        <w:rPr>
          <w:noProof/>
          <w:szCs w:val="24"/>
          <w:lang w:val="fr-CA" w:eastAsia="en-GB"/>
        </w:rPr>
        <w:t>) de la définition de « </w:t>
      </w:r>
      <w:r>
        <w:rPr>
          <w:noProof/>
          <w:szCs w:val="24"/>
          <w:lang w:val="fr-FR" w:eastAsia="fr-CA"/>
        </w:rPr>
        <w:t>fourniture transfrontières des services financiers » qui figure à l’a</w:t>
      </w:r>
      <w:r>
        <w:rPr>
          <w:noProof/>
          <w:szCs w:val="24"/>
          <w:lang w:val="fr-CA" w:eastAsia="en-GB"/>
        </w:rPr>
        <w:t xml:space="preserve">rticle 13.1, à l’égard des </w:t>
      </w:r>
      <w:r>
        <w:rPr>
          <w:noProof/>
          <w:szCs w:val="24"/>
          <w:lang w:val="fr-FR" w:eastAsia="fr-CA"/>
        </w:rPr>
        <w:t>services de gestion de portefeuille fournis à un client professionnel de l’Union européenne situé dans l’Union européenne par une institution financière canadienne constituée au Canada, suivant une période de transition de quatre ans débutant à la date d’entrée en vigueur du présent accord. Il est entendu que cet engagement est assujetti au régime de réglementation prudentielle de l’Union européenne, y compris l’évaluation de l’équivalence</w:t>
      </w:r>
      <w:r>
        <w:rPr>
          <w:rFonts w:eastAsiaTheme="minorHAnsi"/>
          <w:noProof/>
          <w:szCs w:val="22"/>
          <w:vertAlign w:val="superscript"/>
          <w:lang w:val="fr-CA" w:eastAsia="en-US"/>
        </w:rPr>
        <w:footnoteReference w:id="12"/>
      </w:r>
      <w:r>
        <w:rPr>
          <w:noProof/>
          <w:szCs w:val="24"/>
          <w:lang w:val="fr-FR" w:eastAsia="fr-CA"/>
        </w:rPr>
        <w:t>.</w:t>
      </w:r>
    </w:p>
    <w:p>
      <w:pPr>
        <w:spacing w:line="240" w:lineRule="auto"/>
        <w:ind w:left="567" w:hanging="567"/>
        <w:rPr>
          <w:noProof/>
          <w:szCs w:val="24"/>
          <w:lang w:val="fr-BE" w:eastAsia="en-GB"/>
        </w:rPr>
      </w:pPr>
    </w:p>
    <w:p>
      <w:pPr>
        <w:spacing w:line="240" w:lineRule="auto"/>
        <w:ind w:left="567" w:hanging="567"/>
        <w:rPr>
          <w:noProof/>
          <w:szCs w:val="24"/>
          <w:lang w:val="fr-BE" w:eastAsia="en-GB"/>
        </w:rPr>
      </w:pPr>
      <w:r>
        <w:rPr>
          <w:noProof/>
          <w:szCs w:val="24"/>
          <w:lang w:val="fr-BE" w:eastAsia="en-GB"/>
        </w:rPr>
        <w:t>16.</w:t>
      </w:r>
      <w:r>
        <w:rPr>
          <w:noProof/>
          <w:szCs w:val="24"/>
          <w:lang w:val="fr-BE" w:eastAsia="en-GB"/>
        </w:rPr>
        <w:tab/>
      </w:r>
      <w:r>
        <w:rPr>
          <w:noProof/>
          <w:szCs w:val="24"/>
          <w:lang w:val="fr-CA" w:eastAsia="en-GB"/>
        </w:rPr>
        <w:t>Aux fins du présent engagement :</w:t>
      </w:r>
    </w:p>
    <w:p>
      <w:pPr>
        <w:spacing w:line="240" w:lineRule="auto"/>
        <w:ind w:left="567"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a)</w:t>
      </w:r>
      <w:r>
        <w:rPr>
          <w:noProof/>
          <w:szCs w:val="24"/>
          <w:lang w:val="fr-BE" w:eastAsia="en-GB"/>
        </w:rPr>
        <w:tab/>
      </w:r>
      <w:r>
        <w:rPr>
          <w:noProof/>
          <w:szCs w:val="24"/>
          <w:lang w:val="fr-CA" w:eastAsia="en-GB"/>
        </w:rPr>
        <w:t>la « gestion de portefeuille » désigne la gestion de portefeuilles, conformément à des mandats donnés par des clients, de façon discrétionnaire et individualisée lorsque ces portefeuilles comprennent un ou plusieurs instruments financiers;</w:t>
      </w:r>
    </w:p>
    <w:p>
      <w:pPr>
        <w:spacing w:line="240" w:lineRule="auto"/>
        <w:ind w:left="1134" w:hanging="567"/>
        <w:rPr>
          <w:noProof/>
          <w:szCs w:val="24"/>
          <w:lang w:val="fr-BE" w:eastAsia="en-GB"/>
        </w:rPr>
      </w:pPr>
    </w:p>
    <w:p>
      <w:pPr>
        <w:spacing w:line="240" w:lineRule="auto"/>
        <w:ind w:left="1134" w:hanging="567"/>
        <w:rPr>
          <w:noProof/>
          <w:szCs w:val="24"/>
          <w:lang w:val="fr-BE" w:eastAsia="en-GB"/>
        </w:rPr>
      </w:pPr>
      <w:r>
        <w:rPr>
          <w:noProof/>
          <w:szCs w:val="24"/>
          <w:lang w:val="fr-BE" w:eastAsia="en-GB"/>
        </w:rPr>
        <w:t>b)</w:t>
      </w:r>
      <w:r>
        <w:rPr>
          <w:noProof/>
          <w:szCs w:val="24"/>
          <w:lang w:val="fr-BE" w:eastAsia="en-GB"/>
        </w:rPr>
        <w:tab/>
      </w:r>
      <w:r>
        <w:rPr>
          <w:noProof/>
          <w:szCs w:val="24"/>
          <w:lang w:val="fr-CA" w:eastAsia="en-GB"/>
        </w:rPr>
        <w:t>les services de gestion de portefeuille ne comprennent pas :</w:t>
      </w:r>
    </w:p>
    <w:p>
      <w:pPr>
        <w:spacing w:line="240" w:lineRule="auto"/>
        <w:ind w:left="1134" w:hanging="567"/>
        <w:rPr>
          <w:noProof/>
          <w:szCs w:val="24"/>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w:t>
      </w:r>
      <w:r>
        <w:rPr>
          <w:rFonts w:eastAsiaTheme="minorHAnsi"/>
          <w:noProof/>
          <w:szCs w:val="22"/>
          <w:lang w:val="fr-BE" w:eastAsia="en-GB"/>
        </w:rPr>
        <w:tab/>
      </w:r>
      <w:r>
        <w:rPr>
          <w:noProof/>
          <w:lang w:val="fr-CA" w:eastAsia="en-GB"/>
        </w:rPr>
        <w:t>les services de garde,</w:t>
      </w:r>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r>
        <w:rPr>
          <w:noProof/>
          <w:lang w:val="fr-CA" w:eastAsia="en-GB"/>
        </w:rPr>
        <w:t>les services de fiducie,</w:t>
      </w:r>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r>
        <w:rPr>
          <w:noProof/>
          <w:lang w:val="fr-CA" w:eastAsia="en-GB"/>
        </w:rPr>
        <w:t>les services d’exécution;</w:t>
      </w:r>
    </w:p>
    <w:p>
      <w:pPr>
        <w:spacing w:line="240" w:lineRule="auto"/>
        <w:ind w:left="1701" w:hanging="567"/>
        <w:rPr>
          <w:rFonts w:eastAsiaTheme="minorHAnsi"/>
          <w:noProof/>
          <w:szCs w:val="22"/>
          <w:lang w:val="fr-BE" w:eastAsia="en-GB"/>
        </w:rPr>
      </w:pPr>
    </w:p>
    <w:p>
      <w:pPr>
        <w:spacing w:line="240" w:lineRule="auto"/>
        <w:ind w:left="1134" w:hanging="567"/>
        <w:rPr>
          <w:noProof/>
          <w:szCs w:val="24"/>
          <w:lang w:val="fr-BE" w:eastAsia="en-GB"/>
        </w:rPr>
      </w:pPr>
      <w:r>
        <w:rPr>
          <w:noProof/>
          <w:szCs w:val="24"/>
          <w:lang w:val="fr-BE" w:eastAsia="en-GB"/>
        </w:rPr>
        <w:t>c)</w:t>
      </w:r>
      <w:r>
        <w:rPr>
          <w:noProof/>
          <w:szCs w:val="24"/>
          <w:lang w:val="fr-BE" w:eastAsia="en-GB"/>
        </w:rPr>
        <w:tab/>
      </w:r>
      <w:r>
        <w:rPr>
          <w:noProof/>
          <w:szCs w:val="24"/>
          <w:lang w:val="fr-CA" w:eastAsia="en-GB"/>
        </w:rPr>
        <w:t xml:space="preserve">dans l’Union européenne, </w:t>
      </w:r>
      <w:r>
        <w:rPr>
          <w:noProof/>
          <w:szCs w:val="24"/>
          <w:lang w:val="fr-FR" w:eastAsia="fr-CA"/>
        </w:rPr>
        <w:t>les clients professionnels sont définis au point 1, lettre e) de la section I de l’annexe II de la Directive 2004/39/CE du 21 avril 2004 concernant les marchés d’instruments financiers</w:t>
      </w:r>
      <w:r>
        <w:rPr>
          <w:noProof/>
          <w:szCs w:val="24"/>
          <w:lang w:val="fr-CA" w:eastAsia="en-GB"/>
        </w:rPr>
        <w:t>.</w:t>
      </w:r>
    </w:p>
    <w:p>
      <w:pPr>
        <w:spacing w:line="240" w:lineRule="auto"/>
        <w:ind w:left="1134" w:hanging="567"/>
        <w:rPr>
          <w:noProof/>
          <w:szCs w:val="24"/>
          <w:lang w:val="fr-BE" w:eastAsia="en-GB"/>
        </w:rPr>
      </w:pPr>
    </w:p>
    <w:p>
      <w:pPr>
        <w:spacing w:line="240" w:lineRule="auto"/>
        <w:ind w:left="1134" w:hanging="567"/>
        <w:rPr>
          <w:noProof/>
          <w:szCs w:val="24"/>
          <w:lang w:val="fr-BE" w:eastAsia="en-GB"/>
        </w:rPr>
      </w:pPr>
    </w:p>
    <w:p>
      <w:pPr>
        <w:widowControl/>
        <w:spacing w:line="240" w:lineRule="auto"/>
        <w:rPr>
          <w:noProof/>
          <w:szCs w:val="24"/>
          <w:lang w:val="fr-BE" w:eastAsia="en-GB"/>
        </w:rPr>
      </w:pPr>
      <w:r>
        <w:rPr>
          <w:noProof/>
          <w:szCs w:val="24"/>
          <w:lang w:val="fr-BE" w:eastAsia="en-GB"/>
        </w:rPr>
        <w:br w:type="page"/>
      </w:r>
    </w:p>
    <w:p>
      <w:pPr>
        <w:spacing w:line="240" w:lineRule="auto"/>
        <w:jc w:val="center"/>
        <w:rPr>
          <w:rFonts w:eastAsia="Calibri"/>
          <w:b/>
          <w:bCs/>
          <w:noProof/>
          <w:u w:val="single"/>
          <w:lang w:val="fr-BE" w:eastAsia="en-GB"/>
        </w:rPr>
      </w:pPr>
      <w:bookmarkStart w:id="8" w:name="lt_pId000"/>
      <w:r>
        <w:rPr>
          <w:rFonts w:eastAsia="Calibri"/>
          <w:b/>
          <w:bCs/>
          <w:noProof/>
          <w:szCs w:val="24"/>
          <w:u w:val="single"/>
          <w:lang w:val="fr-CA" w:eastAsia="en-GB"/>
        </w:rPr>
        <w:t>ANNEXE 13</w:t>
      </w:r>
      <w:r>
        <w:rPr>
          <w:rFonts w:eastAsia="Calibri"/>
          <w:b/>
          <w:bCs/>
          <w:noProof/>
          <w:szCs w:val="24"/>
          <w:u w:val="single"/>
          <w:lang w:val="fr-CA" w:eastAsia="en-GB"/>
        </w:rPr>
        <w:noBreakHyphen/>
        <w:t>B</w:t>
      </w:r>
      <w:bookmarkEnd w:id="8"/>
    </w:p>
    <w:p>
      <w:pPr>
        <w:spacing w:line="240" w:lineRule="auto"/>
        <w:jc w:val="center"/>
        <w:rPr>
          <w:rFonts w:eastAsia="Calibri"/>
          <w:b/>
          <w:bCs/>
          <w:noProof/>
          <w:lang w:val="fr-BE" w:eastAsia="en-GB"/>
        </w:rPr>
      </w:pPr>
    </w:p>
    <w:p>
      <w:pPr>
        <w:spacing w:line="240" w:lineRule="auto"/>
        <w:jc w:val="center"/>
        <w:rPr>
          <w:rFonts w:eastAsia="Calibri"/>
          <w:b/>
          <w:bCs/>
          <w:noProof/>
          <w:lang w:val="fr-BE" w:eastAsia="en-GB"/>
        </w:rPr>
      </w:pPr>
    </w:p>
    <w:p>
      <w:pPr>
        <w:spacing w:line="240" w:lineRule="auto"/>
        <w:jc w:val="center"/>
        <w:rPr>
          <w:rFonts w:eastAsia="Calibri"/>
          <w:b/>
          <w:bCs/>
          <w:noProof/>
          <w:lang w:val="fr-BE" w:eastAsia="en-GB"/>
        </w:rPr>
      </w:pPr>
      <w:bookmarkStart w:id="9" w:name="lt_pId001"/>
      <w:r>
        <w:rPr>
          <w:rFonts w:eastAsia="Calibri"/>
          <w:b/>
          <w:bCs/>
          <w:noProof/>
          <w:szCs w:val="24"/>
          <w:lang w:val="fr-CA" w:eastAsia="en-GB"/>
        </w:rPr>
        <w:t>ACCORD CONCERNANT L’APPLICATION DES ARTICLES 13.16.1 ET 13.21</w:t>
      </w:r>
      <w:bookmarkEnd w:id="9"/>
    </w:p>
    <w:p>
      <w:pPr>
        <w:spacing w:line="240" w:lineRule="auto"/>
        <w:rPr>
          <w:rFonts w:eastAsiaTheme="minorHAnsi"/>
          <w:noProof/>
          <w:szCs w:val="22"/>
          <w:lang w:val="fr-BE" w:eastAsia="en-US"/>
        </w:rPr>
      </w:pPr>
    </w:p>
    <w:p>
      <w:pPr>
        <w:spacing w:line="240" w:lineRule="auto"/>
        <w:rPr>
          <w:rFonts w:eastAsiaTheme="minorHAnsi"/>
          <w:noProof/>
          <w:szCs w:val="22"/>
          <w:lang w:val="fr-BE" w:eastAsia="en-US"/>
        </w:rPr>
      </w:pPr>
      <w:bookmarkStart w:id="10" w:name="lt_pId002"/>
      <w:r>
        <w:rPr>
          <w:noProof/>
          <w:lang w:val="fr-CA"/>
        </w:rPr>
        <w:t>Les Parties reconnaissent que les mesures prudentielles renforcent les systèmes financiers nationaux, favorisent la bonne santé, l’efficience et la solidité des institutions, des marchés et de l’infrastructure ainsi que la stabilité financière internationale en facilitant la prise de décisions éclairées en matière de prêts et d’investissement, en rehaussant l’intégrité des marchés et en réduisant les risques de difficultés financières et de propagation de ces difficultés.</w:t>
      </w:r>
      <w:bookmarkEnd w:id="10"/>
    </w:p>
    <w:p>
      <w:pPr>
        <w:spacing w:line="240" w:lineRule="auto"/>
        <w:rPr>
          <w:rFonts w:eastAsiaTheme="minorHAnsi"/>
          <w:noProof/>
          <w:szCs w:val="22"/>
          <w:lang w:val="fr-BE" w:eastAsia="en-US"/>
        </w:rPr>
      </w:pPr>
    </w:p>
    <w:p>
      <w:pPr>
        <w:spacing w:line="240" w:lineRule="auto"/>
        <w:rPr>
          <w:rFonts w:eastAsiaTheme="minorHAnsi"/>
          <w:noProof/>
          <w:szCs w:val="22"/>
          <w:lang w:val="fr-BE" w:eastAsia="en-US"/>
        </w:rPr>
      </w:pPr>
      <w:bookmarkStart w:id="11" w:name="lt_pId003"/>
      <w:r>
        <w:rPr>
          <w:noProof/>
          <w:lang w:val="fr-CA"/>
        </w:rPr>
        <w:t>En conséquence, les Parties ont convenu d’inclure à l’article 13.16.1 une exception prudentielle les autorisant à adopter ou à maintenir des mesures pour des raisons prudentielles, et ont confié au Comité sur les services financiers, établi au titre de l’article 26.2.1f), le rôle de déterminer si et, le cas échéant, dans quelle mesure l’exception prudentielle s’applique en cas de différends relatifs aux investissements dans les services financiers au titre de l’article 13.21.</w:t>
      </w:r>
      <w:bookmarkEnd w:id="11"/>
    </w:p>
    <w:p>
      <w:pPr>
        <w:spacing w:line="240" w:lineRule="auto"/>
        <w:rPr>
          <w:rFonts w:eastAsia="Calibri"/>
          <w:noProof/>
          <w:lang w:val="fr-BE" w:eastAsia="en-US"/>
        </w:rPr>
      </w:pPr>
    </w:p>
    <w:p>
      <w:pPr>
        <w:spacing w:line="240" w:lineRule="auto"/>
        <w:rPr>
          <w:rFonts w:eastAsia="Calibri"/>
          <w:b/>
          <w:bCs/>
          <w:noProof/>
          <w:lang w:val="fr-BE" w:eastAsia="en-US"/>
        </w:rPr>
      </w:pPr>
      <w:bookmarkStart w:id="12" w:name="lt_pId004"/>
      <w:r>
        <w:rPr>
          <w:rFonts w:eastAsia="Calibri"/>
          <w:b/>
          <w:noProof/>
          <w:szCs w:val="24"/>
          <w:lang w:val="fr-CA"/>
        </w:rPr>
        <w:t>Processus relatif à l’article 13.21</w:t>
      </w:r>
      <w:bookmarkEnd w:id="12"/>
    </w:p>
    <w:p>
      <w:pPr>
        <w:spacing w:line="240" w:lineRule="auto"/>
        <w:rPr>
          <w:rFonts w:eastAsia="Calibri"/>
          <w:noProof/>
          <w:lang w:val="fr-BE" w:eastAsia="en-US"/>
        </w:rPr>
      </w:pPr>
    </w:p>
    <w:p>
      <w:pPr>
        <w:spacing w:line="240" w:lineRule="auto"/>
        <w:ind w:left="567" w:hanging="567"/>
        <w:rPr>
          <w:rFonts w:eastAsiaTheme="minorHAnsi"/>
          <w:noProof/>
          <w:szCs w:val="22"/>
          <w:lang w:val="fr-BE" w:eastAsia="en-GB"/>
        </w:rPr>
      </w:pPr>
      <w:r>
        <w:rPr>
          <w:rFonts w:eastAsiaTheme="minorHAnsi"/>
          <w:noProof/>
          <w:szCs w:val="22"/>
          <w:lang w:val="fr-BE" w:eastAsia="en-GB"/>
        </w:rPr>
        <w:t>1.</w:t>
      </w:r>
      <w:r>
        <w:rPr>
          <w:rFonts w:eastAsiaTheme="minorHAnsi"/>
          <w:noProof/>
          <w:szCs w:val="22"/>
          <w:lang w:val="fr-BE" w:eastAsia="en-GB"/>
        </w:rPr>
        <w:tab/>
      </w:r>
      <w:bookmarkStart w:id="13" w:name="lt_pId006"/>
      <w:r>
        <w:rPr>
          <w:noProof/>
          <w:lang w:val="fr-CA" w:eastAsia="en-GB"/>
        </w:rPr>
        <w:t>Le Comité sur les services financiers, en exerçant son rôle en cas de différends relatifs aux investissements au titre de l’article 13.21, décide si et, le cas échéant, dans quelle mesure l’exception prudentielle peut être valablement opposée à une plainte.</w:t>
      </w:r>
      <w:bookmarkEnd w:id="13"/>
    </w:p>
    <w:p>
      <w:pPr>
        <w:spacing w:line="240" w:lineRule="auto"/>
        <w:ind w:left="567" w:hanging="567"/>
        <w:rPr>
          <w:rFonts w:eastAsiaTheme="minorHAnsi"/>
          <w:noProof/>
          <w:szCs w:val="22"/>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2.</w:t>
      </w:r>
      <w:r>
        <w:rPr>
          <w:rFonts w:eastAsiaTheme="minorHAnsi"/>
          <w:noProof/>
          <w:szCs w:val="22"/>
          <w:lang w:val="fr-BE" w:eastAsia="en-GB"/>
        </w:rPr>
        <w:tab/>
      </w:r>
      <w:bookmarkStart w:id="14" w:name="lt_pId008"/>
      <w:r>
        <w:rPr>
          <w:noProof/>
          <w:lang w:val="fr-CA" w:eastAsia="en-GB"/>
        </w:rPr>
        <w:t>Les Parties s’engagent à agir de bonne foi.</w:t>
      </w:r>
      <w:bookmarkEnd w:id="14"/>
      <w:r>
        <w:rPr>
          <w:noProof/>
          <w:lang w:val="fr-CA" w:eastAsia="en-GB"/>
        </w:rPr>
        <w:t xml:space="preserve"> </w:t>
      </w:r>
      <w:bookmarkStart w:id="15" w:name="lt_pId009"/>
      <w:r>
        <w:rPr>
          <w:noProof/>
          <w:lang w:val="fr-CA" w:eastAsia="en-GB"/>
        </w:rPr>
        <w:t>Chaque Partie présente sa position au Comité sur les services financiers dans les 60 jours suivant la date où la question a été soumise au Comité sur les services financiers.</w:t>
      </w:r>
      <w:bookmarkEnd w:id="15"/>
    </w:p>
    <w:p>
      <w:pPr>
        <w:spacing w:line="240" w:lineRule="auto"/>
        <w:ind w:left="567" w:hanging="567"/>
        <w:rPr>
          <w:rFonts w:eastAsiaTheme="minorHAnsi"/>
          <w:noProof/>
          <w:szCs w:val="22"/>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3.</w:t>
      </w:r>
      <w:r>
        <w:rPr>
          <w:rFonts w:eastAsiaTheme="minorHAnsi"/>
          <w:noProof/>
          <w:szCs w:val="22"/>
          <w:lang w:val="fr-BE" w:eastAsia="en-GB"/>
        </w:rPr>
        <w:tab/>
      </w:r>
      <w:bookmarkStart w:id="16" w:name="lt_pId011"/>
      <w:r>
        <w:rPr>
          <w:noProof/>
          <w:lang w:val="fr-CA" w:eastAsia="en-GB"/>
        </w:rPr>
        <w:t>Si la Partie non partie au différend notifie au Comité sur les services financiers, pendant la période de 60 jours prévue au paragraphe 2, qu’elle a lancé un processus de détermination interne concernant cette question, le délai prévu au paragraphe 2 est suspendu jusqu’à ce que cette Partie notifie sa position au Comité sur les services financiers.</w:t>
      </w:r>
      <w:bookmarkEnd w:id="16"/>
      <w:r>
        <w:rPr>
          <w:noProof/>
          <w:lang w:val="fr-CA" w:eastAsia="en-GB"/>
        </w:rPr>
        <w:t xml:space="preserve"> </w:t>
      </w:r>
      <w:bookmarkStart w:id="17" w:name="lt_pId012"/>
      <w:r>
        <w:rPr>
          <w:noProof/>
          <w:lang w:val="fr-CA" w:eastAsia="en-GB"/>
        </w:rPr>
        <w:t>Une suspension de plus de six mois est considérée comme une violation de l’engagement à agir de bonne foi.</w:t>
      </w:r>
      <w:bookmarkEnd w:id="17"/>
    </w:p>
    <w:p>
      <w:pPr>
        <w:spacing w:line="240" w:lineRule="auto"/>
        <w:ind w:left="567" w:hanging="567"/>
        <w:rPr>
          <w:rFonts w:eastAsiaTheme="minorHAnsi"/>
          <w:noProof/>
          <w:szCs w:val="22"/>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4.</w:t>
      </w:r>
      <w:r>
        <w:rPr>
          <w:rFonts w:eastAsiaTheme="minorHAnsi"/>
          <w:noProof/>
          <w:szCs w:val="22"/>
          <w:lang w:val="fr-BE" w:eastAsia="en-GB"/>
        </w:rPr>
        <w:tab/>
      </w:r>
      <w:bookmarkStart w:id="18" w:name="lt_pId014"/>
      <w:r>
        <w:rPr>
          <w:noProof/>
          <w:lang w:val="fr-CA" w:eastAsia="en-GB"/>
        </w:rPr>
        <w:t>Si le défendeur ne présente pas sa position au Comité sur les services financiers dans le délai prescrit au paragraphe 2, la suspension des délais ou des procédures visée à l’article 13.21.3 ne s’applique plus, et l’investisseur peut poursuivre l’instance.</w:t>
      </w:r>
      <w:bookmarkEnd w:id="18"/>
    </w:p>
    <w:p>
      <w:pPr>
        <w:spacing w:line="240" w:lineRule="auto"/>
        <w:ind w:left="567" w:hanging="567"/>
        <w:rPr>
          <w:rFonts w:eastAsiaTheme="minorHAnsi"/>
          <w:noProof/>
          <w:szCs w:val="22"/>
          <w:lang w:val="fr-BE" w:eastAsia="en-GB"/>
        </w:rPr>
      </w:pPr>
    </w:p>
    <w:p>
      <w:pPr>
        <w:widowControl/>
        <w:spacing w:line="240" w:lineRule="auto"/>
        <w:rPr>
          <w:rFonts w:eastAsiaTheme="minorHAnsi"/>
          <w:noProof/>
          <w:szCs w:val="22"/>
          <w:lang w:val="fr-BE" w:eastAsia="en-GB"/>
        </w:rPr>
      </w:pPr>
      <w:r>
        <w:rPr>
          <w:rFonts w:eastAsiaTheme="minorHAnsi"/>
          <w:noProof/>
          <w:szCs w:val="22"/>
          <w:lang w:val="fr-BE" w:eastAsia="en-GB"/>
        </w:rPr>
        <w:br w:type="page"/>
      </w:r>
    </w:p>
    <w:p>
      <w:pPr>
        <w:spacing w:line="240" w:lineRule="auto"/>
        <w:ind w:left="567" w:hanging="567"/>
        <w:rPr>
          <w:rFonts w:eastAsiaTheme="minorHAnsi"/>
          <w:noProof/>
          <w:szCs w:val="22"/>
          <w:lang w:val="fr-BE" w:eastAsia="en-GB"/>
        </w:rPr>
      </w:pPr>
      <w:r>
        <w:rPr>
          <w:rFonts w:eastAsiaTheme="minorHAnsi"/>
          <w:noProof/>
          <w:szCs w:val="22"/>
          <w:lang w:val="fr-BE" w:eastAsia="en-GB"/>
        </w:rPr>
        <w:t>5.</w:t>
      </w:r>
      <w:r>
        <w:rPr>
          <w:rFonts w:eastAsiaTheme="minorHAnsi"/>
          <w:noProof/>
          <w:szCs w:val="22"/>
          <w:lang w:val="fr-BE" w:eastAsia="en-GB"/>
        </w:rPr>
        <w:tab/>
      </w:r>
      <w:bookmarkStart w:id="19" w:name="lt_pId016"/>
      <w:r>
        <w:rPr>
          <w:rFonts w:eastAsiaTheme="minorHAnsi"/>
          <w:noProof/>
          <w:szCs w:val="22"/>
          <w:lang w:val="fr-CA" w:eastAsia="en-GB"/>
        </w:rPr>
        <w:t>Si le Comité sur les services financiers ne parvient pas à adopter une décision quant à une détermination conjointe dans un délai de 60 jours au sujet d’un différend particulier entre un investisseur et un État concernant une mesure prudentielle, le Comité sur les services financiers soumet la question au Comité mixte de l’AECG</w:t>
      </w:r>
      <w:r>
        <w:rPr>
          <w:rFonts w:eastAsiaTheme="minorHAnsi"/>
          <w:noProof/>
          <w:szCs w:val="22"/>
          <w:vertAlign w:val="superscript"/>
          <w:lang w:eastAsia="en-GB"/>
        </w:rPr>
        <w:footnoteReference w:id="13"/>
      </w:r>
      <w:r>
        <w:rPr>
          <w:rFonts w:eastAsiaTheme="minorHAnsi"/>
          <w:noProof/>
          <w:szCs w:val="22"/>
          <w:lang w:val="fr-CA" w:eastAsia="en-GB"/>
        </w:rPr>
        <w:t>.</w:t>
      </w:r>
      <w:bookmarkEnd w:id="19"/>
      <w:r>
        <w:rPr>
          <w:rFonts w:eastAsiaTheme="minorHAnsi"/>
          <w:noProof/>
          <w:szCs w:val="22"/>
          <w:lang w:val="fr-CA" w:eastAsia="en-GB"/>
        </w:rPr>
        <w:t xml:space="preserve"> </w:t>
      </w:r>
      <w:bookmarkStart w:id="20" w:name="lt_pId017"/>
      <w:r>
        <w:rPr>
          <w:rFonts w:eastAsiaTheme="minorHAnsi"/>
          <w:noProof/>
          <w:szCs w:val="22"/>
          <w:lang w:val="fr-CA" w:eastAsia="en-GB"/>
        </w:rPr>
        <w:t>Ce délai de 60 jours commence à la réception par le Comité sur les services financiers des positions des Parties conformément au paragraphe 2.</w:t>
      </w:r>
      <w:bookmarkEnd w:id="20"/>
    </w:p>
    <w:p>
      <w:pPr>
        <w:spacing w:line="240" w:lineRule="auto"/>
        <w:ind w:left="567" w:hanging="567"/>
        <w:rPr>
          <w:rFonts w:eastAsiaTheme="minorHAnsi"/>
          <w:noProof/>
          <w:szCs w:val="22"/>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6.</w:t>
      </w:r>
      <w:r>
        <w:rPr>
          <w:rFonts w:eastAsiaTheme="minorHAnsi"/>
          <w:noProof/>
          <w:szCs w:val="22"/>
          <w:lang w:val="fr-BE" w:eastAsia="en-GB"/>
        </w:rPr>
        <w:tab/>
      </w:r>
      <w:bookmarkStart w:id="21" w:name="lt_pId019"/>
      <w:r>
        <w:rPr>
          <w:noProof/>
          <w:lang w:val="fr-CA" w:eastAsia="en-GB"/>
        </w:rPr>
        <w:t>La détermination conjointe du Comité sur les services financiers ou du Comité mixte de l’AECG ne lie le Tribunal que pour le différend en question.</w:t>
      </w:r>
      <w:bookmarkEnd w:id="21"/>
      <w:r>
        <w:rPr>
          <w:noProof/>
          <w:lang w:val="fr-CA" w:eastAsia="en-GB"/>
        </w:rPr>
        <w:t xml:space="preserve"> </w:t>
      </w:r>
      <w:bookmarkStart w:id="22" w:name="lt_pId020"/>
      <w:r>
        <w:rPr>
          <w:noProof/>
          <w:lang w:val="fr-CA" w:eastAsia="en-GB"/>
        </w:rPr>
        <w:t>La détermination conjointe ne constitue pas un précédent contraignant pour les Parties quant à la portée et à l’application de l’exception prudentielle ou d’autres termes du présent accord.</w:t>
      </w:r>
      <w:bookmarkEnd w:id="22"/>
    </w:p>
    <w:p>
      <w:pPr>
        <w:spacing w:line="240" w:lineRule="auto"/>
        <w:ind w:left="567" w:hanging="567"/>
        <w:rPr>
          <w:rFonts w:eastAsiaTheme="minorHAnsi"/>
          <w:noProof/>
          <w:szCs w:val="22"/>
          <w:lang w:val="fr-BE" w:eastAsia="en-GB"/>
        </w:rPr>
      </w:pPr>
    </w:p>
    <w:p>
      <w:pPr>
        <w:spacing w:line="240" w:lineRule="auto"/>
        <w:ind w:left="567" w:hanging="567"/>
        <w:rPr>
          <w:rFonts w:eastAsiaTheme="minorHAnsi"/>
          <w:noProof/>
          <w:szCs w:val="22"/>
          <w:lang w:val="fr-BE" w:eastAsia="en-GB"/>
        </w:rPr>
      </w:pPr>
      <w:r>
        <w:rPr>
          <w:rFonts w:eastAsiaTheme="minorHAnsi"/>
          <w:noProof/>
          <w:szCs w:val="22"/>
          <w:lang w:val="fr-BE" w:eastAsia="en-GB"/>
        </w:rPr>
        <w:t>7.</w:t>
      </w:r>
      <w:r>
        <w:rPr>
          <w:rFonts w:eastAsiaTheme="minorHAnsi"/>
          <w:noProof/>
          <w:szCs w:val="22"/>
          <w:lang w:val="fr-BE" w:eastAsia="en-GB"/>
        </w:rPr>
        <w:tab/>
      </w:r>
      <w:bookmarkStart w:id="23" w:name="lt_pId022"/>
      <w:r>
        <w:rPr>
          <w:noProof/>
          <w:lang w:val="fr-CA" w:eastAsia="en-GB"/>
        </w:rPr>
        <w:t>À moins que le Comité mixte de l’AECG n’en décide autrement, si le Comité mixte de l’AECG ne parvient pas à un accord dans les trois mois suivant la date où la question lui a été soumise par le Comité sur les services financiers en application du paragraphe 5, chaque Partie fait connaître sa position au Tribunal qui arbitre le différend en question.</w:t>
      </w:r>
      <w:bookmarkEnd w:id="23"/>
      <w:r>
        <w:rPr>
          <w:noProof/>
          <w:lang w:val="fr-CA" w:eastAsia="en-GB"/>
        </w:rPr>
        <w:t xml:space="preserve"> </w:t>
      </w:r>
      <w:bookmarkStart w:id="24" w:name="lt_pId023"/>
      <w:r>
        <w:rPr>
          <w:noProof/>
          <w:lang w:val="fr-CA" w:eastAsia="en-GB"/>
        </w:rPr>
        <w:t>Le Tribunal prend en considération ces éléments du dossier pour rendre sa décision.</w:t>
      </w:r>
      <w:bookmarkEnd w:id="24"/>
    </w:p>
    <w:p>
      <w:pPr>
        <w:spacing w:line="240" w:lineRule="auto"/>
        <w:ind w:left="567" w:hanging="567"/>
        <w:rPr>
          <w:rFonts w:eastAsiaTheme="minorHAnsi"/>
          <w:noProof/>
          <w:szCs w:val="22"/>
          <w:lang w:val="fr-BE" w:eastAsia="en-GB"/>
        </w:rPr>
      </w:pPr>
    </w:p>
    <w:p>
      <w:pPr>
        <w:spacing w:line="240" w:lineRule="auto"/>
        <w:ind w:left="567" w:hanging="567"/>
        <w:rPr>
          <w:rFonts w:eastAsia="Calibri"/>
          <w:b/>
          <w:bCs/>
          <w:noProof/>
          <w:lang w:val="fr-BE" w:eastAsia="en-US"/>
        </w:rPr>
      </w:pPr>
      <w:bookmarkStart w:id="25" w:name="lt_pId024"/>
      <w:r>
        <w:rPr>
          <w:rFonts w:eastAsia="Calibri"/>
          <w:b/>
          <w:noProof/>
          <w:szCs w:val="24"/>
          <w:lang w:val="fr-CA"/>
        </w:rPr>
        <w:t>Principes de haut niveau</w:t>
      </w:r>
      <w:bookmarkEnd w:id="25"/>
    </w:p>
    <w:p>
      <w:pPr>
        <w:spacing w:line="240" w:lineRule="auto"/>
        <w:ind w:left="567" w:hanging="567"/>
        <w:rPr>
          <w:rFonts w:eastAsia="Calibri"/>
          <w:b/>
          <w:bCs/>
          <w:noProof/>
          <w:lang w:val="fr-BE" w:eastAsia="en-US"/>
        </w:rPr>
      </w:pPr>
    </w:p>
    <w:p>
      <w:pPr>
        <w:spacing w:line="240" w:lineRule="auto"/>
        <w:ind w:left="567" w:hanging="567"/>
        <w:rPr>
          <w:rFonts w:eastAsia="Calibri"/>
          <w:noProof/>
          <w:lang w:val="fr-BE" w:eastAsia="en-US"/>
        </w:rPr>
      </w:pPr>
      <w:r>
        <w:rPr>
          <w:rFonts w:eastAsia="Calibri"/>
          <w:noProof/>
          <w:lang w:val="fr-BE" w:eastAsia="en-US"/>
        </w:rPr>
        <w:t>8.</w:t>
      </w:r>
      <w:r>
        <w:rPr>
          <w:rFonts w:eastAsia="Calibri"/>
          <w:noProof/>
          <w:lang w:val="fr-BE" w:eastAsia="en-US"/>
        </w:rPr>
        <w:tab/>
      </w:r>
      <w:bookmarkStart w:id="26" w:name="lt_pId026"/>
      <w:r>
        <w:rPr>
          <w:rFonts w:eastAsia="Calibri"/>
          <w:noProof/>
          <w:szCs w:val="24"/>
          <w:lang w:val="fr-CA"/>
        </w:rPr>
        <w:t>Les Parties conviennent que l’application de l’article 13.16.1 par les Parties et par les tribunaux devrait reposer notamment sur les principes suivants :</w:t>
      </w:r>
      <w:bookmarkEnd w:id="26"/>
    </w:p>
    <w:p>
      <w:pPr>
        <w:spacing w:line="240" w:lineRule="auto"/>
        <w:ind w:left="567" w:hanging="567"/>
        <w:rPr>
          <w:rFonts w:eastAsia="Calibri"/>
          <w:noProof/>
          <w:lang w:val="fr-BE" w:eastAsia="en-US"/>
        </w:rPr>
      </w:pPr>
    </w:p>
    <w:p>
      <w:pPr>
        <w:spacing w:line="240" w:lineRule="auto"/>
        <w:ind w:left="1134" w:hanging="567"/>
        <w:rPr>
          <w:rFonts w:eastAsiaTheme="minorHAnsi"/>
          <w:noProof/>
          <w:szCs w:val="22"/>
          <w:lang w:val="fr-BE" w:eastAsia="en-GB"/>
        </w:rPr>
      </w:pPr>
      <w:r>
        <w:rPr>
          <w:rFonts w:eastAsiaTheme="minorHAnsi"/>
          <w:noProof/>
          <w:szCs w:val="22"/>
          <w:lang w:val="fr-BE" w:eastAsia="en-GB"/>
        </w:rPr>
        <w:t>a)</w:t>
      </w:r>
      <w:r>
        <w:rPr>
          <w:rFonts w:eastAsiaTheme="minorHAnsi"/>
          <w:noProof/>
          <w:szCs w:val="22"/>
          <w:lang w:val="fr-BE" w:eastAsia="en-GB"/>
        </w:rPr>
        <w:tab/>
      </w:r>
      <w:bookmarkStart w:id="27" w:name="lt_pId028"/>
      <w:r>
        <w:rPr>
          <w:noProof/>
          <w:lang w:val="fr-CA" w:eastAsia="en-GB"/>
        </w:rPr>
        <w:t>une Partie peut définir son propre niveau approprié de réglementation prudentielle.</w:t>
      </w:r>
      <w:bookmarkEnd w:id="27"/>
      <w:r>
        <w:rPr>
          <w:noProof/>
          <w:lang w:val="fr-CA" w:eastAsia="en-GB"/>
        </w:rPr>
        <w:t xml:space="preserve"> </w:t>
      </w:r>
      <w:bookmarkStart w:id="28" w:name="lt_pId029"/>
      <w:r>
        <w:rPr>
          <w:noProof/>
          <w:lang w:val="fr-CA" w:eastAsia="en-GB"/>
        </w:rPr>
        <w:t>Plus particulièrement, une Partie peut établir et appliquer des mesures qui confèrent un niveau de protection prudentielle supérieur à ceux qui sont établis dans les engagements prudentiels internationaux communs;</w:t>
      </w:r>
      <w:bookmarkEnd w:id="28"/>
    </w:p>
    <w:p>
      <w:pPr>
        <w:spacing w:line="240" w:lineRule="auto"/>
        <w:ind w:left="1134" w:hanging="567"/>
        <w:rPr>
          <w:rFonts w:eastAsiaTheme="minorHAnsi"/>
          <w:noProof/>
          <w:szCs w:val="22"/>
          <w:lang w:val="fr-BE" w:eastAsia="en-GB"/>
        </w:rPr>
      </w:pPr>
    </w:p>
    <w:p>
      <w:pPr>
        <w:spacing w:line="240" w:lineRule="auto"/>
        <w:ind w:left="1134" w:hanging="567"/>
        <w:rPr>
          <w:rFonts w:eastAsiaTheme="minorHAnsi"/>
          <w:noProof/>
          <w:szCs w:val="22"/>
          <w:lang w:val="fr-BE" w:eastAsia="en-GB"/>
        </w:rPr>
      </w:pPr>
      <w:r>
        <w:rPr>
          <w:rFonts w:eastAsiaTheme="minorHAnsi"/>
          <w:noProof/>
          <w:szCs w:val="22"/>
          <w:lang w:val="fr-BE" w:eastAsia="en-GB"/>
        </w:rPr>
        <w:t>b)</w:t>
      </w:r>
      <w:r>
        <w:rPr>
          <w:rFonts w:eastAsiaTheme="minorHAnsi"/>
          <w:noProof/>
          <w:szCs w:val="22"/>
          <w:lang w:val="fr-BE" w:eastAsia="en-GB"/>
        </w:rPr>
        <w:tab/>
      </w:r>
      <w:bookmarkStart w:id="29" w:name="lt_pId031"/>
      <w:r>
        <w:rPr>
          <w:noProof/>
          <w:lang w:val="fr-CA" w:eastAsia="en-GB"/>
        </w:rPr>
        <w:t>les éléments pertinents à prendre en considération pour déterminer si une mesure satisfait aux exigences énoncées à l’article 13.16.1 incluent le degré dans lequel une mesure peut être requise selon l’urgence de la situation et l’information à la disposition de la Partie au moment où la mesure a été adoptée;</w:t>
      </w:r>
      <w:bookmarkEnd w:id="29"/>
    </w:p>
    <w:p>
      <w:pPr>
        <w:spacing w:line="240" w:lineRule="auto"/>
        <w:ind w:left="1134" w:hanging="567"/>
        <w:rPr>
          <w:rFonts w:eastAsiaTheme="minorHAnsi"/>
          <w:noProof/>
          <w:szCs w:val="22"/>
          <w:lang w:val="fr-BE" w:eastAsia="en-GB"/>
        </w:rPr>
      </w:pPr>
    </w:p>
    <w:p>
      <w:pPr>
        <w:widowControl/>
        <w:spacing w:line="240" w:lineRule="auto"/>
        <w:rPr>
          <w:rFonts w:eastAsiaTheme="minorHAnsi"/>
          <w:noProof/>
          <w:szCs w:val="22"/>
          <w:lang w:val="fr-BE" w:eastAsia="en-GB"/>
        </w:rPr>
      </w:pPr>
      <w:r>
        <w:rPr>
          <w:rFonts w:eastAsiaTheme="minorHAnsi"/>
          <w:noProof/>
          <w:szCs w:val="22"/>
          <w:lang w:val="fr-BE" w:eastAsia="en-GB"/>
        </w:rPr>
        <w:br w:type="page"/>
      </w:r>
    </w:p>
    <w:p>
      <w:pPr>
        <w:spacing w:line="240" w:lineRule="auto"/>
        <w:ind w:left="1134" w:hanging="567"/>
        <w:rPr>
          <w:rFonts w:eastAsiaTheme="minorHAnsi"/>
          <w:noProof/>
          <w:szCs w:val="22"/>
          <w:lang w:val="fr-BE" w:eastAsia="en-GB"/>
        </w:rPr>
      </w:pPr>
      <w:r>
        <w:rPr>
          <w:rFonts w:eastAsiaTheme="minorHAnsi"/>
          <w:noProof/>
          <w:szCs w:val="22"/>
          <w:lang w:val="fr-BE" w:eastAsia="en-GB"/>
        </w:rPr>
        <w:t>c)</w:t>
      </w:r>
      <w:r>
        <w:rPr>
          <w:rFonts w:eastAsiaTheme="minorHAnsi"/>
          <w:noProof/>
          <w:szCs w:val="22"/>
          <w:lang w:val="fr-BE" w:eastAsia="en-GB"/>
        </w:rPr>
        <w:tab/>
      </w:r>
      <w:bookmarkStart w:id="30" w:name="lt_pId033"/>
      <w:r>
        <w:rPr>
          <w:noProof/>
          <w:lang w:val="fr-CA" w:eastAsia="en-GB"/>
        </w:rPr>
        <w:t>compte tenu de la nature hautement spécialisée de la réglementation prudentielle, ceux qui appliquent ces principes accordent le plus haut degré de déférence possible à la réglementation et aux pratiques dans les juridictions respectives des Parties ainsi qu’aux décisions et déterminations de fait, y compris les évaluations du risque, établies par les autorités de réglementation financière</w:t>
      </w:r>
      <w:bookmarkEnd w:id="30"/>
      <w:r>
        <w:rPr>
          <w:noProof/>
          <w:lang w:val="fr-CA" w:eastAsia="en-GB"/>
        </w:rPr>
        <w:t>;</w:t>
      </w:r>
    </w:p>
    <w:p>
      <w:pPr>
        <w:spacing w:line="240" w:lineRule="auto"/>
        <w:ind w:left="1134" w:hanging="567"/>
        <w:rPr>
          <w:rFonts w:eastAsiaTheme="minorHAnsi"/>
          <w:noProof/>
          <w:szCs w:val="22"/>
          <w:lang w:val="fr-BE" w:eastAsia="en-GB"/>
        </w:rPr>
      </w:pPr>
    </w:p>
    <w:p>
      <w:pPr>
        <w:tabs>
          <w:tab w:val="left" w:pos="1134"/>
        </w:tabs>
        <w:spacing w:line="240" w:lineRule="auto"/>
        <w:ind w:left="1701" w:hanging="1134"/>
        <w:rPr>
          <w:rFonts w:eastAsiaTheme="minorHAnsi"/>
          <w:noProof/>
          <w:szCs w:val="22"/>
          <w:lang w:val="fr-BE" w:eastAsia="en-GB"/>
        </w:rPr>
      </w:pPr>
      <w:r>
        <w:rPr>
          <w:rFonts w:eastAsiaTheme="minorHAnsi"/>
          <w:noProof/>
          <w:szCs w:val="22"/>
          <w:lang w:val="fr-BE" w:eastAsia="en-GB"/>
        </w:rPr>
        <w:t>d)</w:t>
      </w:r>
      <w:r>
        <w:rPr>
          <w:rFonts w:eastAsiaTheme="minorHAnsi"/>
          <w:noProof/>
          <w:szCs w:val="22"/>
          <w:lang w:val="fr-BE" w:eastAsia="en-GB"/>
        </w:rPr>
        <w:tab/>
        <w:t>i)</w:t>
      </w:r>
      <w:r>
        <w:rPr>
          <w:rFonts w:eastAsiaTheme="minorHAnsi"/>
          <w:noProof/>
          <w:szCs w:val="22"/>
          <w:lang w:val="fr-BE" w:eastAsia="en-GB"/>
        </w:rPr>
        <w:tab/>
      </w:r>
      <w:bookmarkStart w:id="31" w:name="lt_pId036"/>
      <w:r>
        <w:rPr>
          <w:noProof/>
          <w:lang w:val="fr-CA" w:eastAsia="en-GB"/>
        </w:rPr>
        <w:t>à l’exception de ce qui est prévu au point ii), une mesure est réputée satisfaire aux exigences de l’article 13.16.1 lorsqu’elle :</w:t>
      </w:r>
      <w:bookmarkEnd w:id="31"/>
    </w:p>
    <w:p>
      <w:pPr>
        <w:tabs>
          <w:tab w:val="left" w:pos="1134"/>
        </w:tabs>
        <w:spacing w:line="240" w:lineRule="auto"/>
        <w:ind w:left="1701" w:hanging="1134"/>
        <w:rPr>
          <w:rFonts w:eastAsiaTheme="minorHAnsi"/>
          <w:noProof/>
          <w:szCs w:val="22"/>
          <w:lang w:val="fr-BE" w:eastAsia="en-GB"/>
        </w:rPr>
      </w:pPr>
    </w:p>
    <w:p>
      <w:pPr>
        <w:spacing w:line="240" w:lineRule="auto"/>
        <w:ind w:left="2268" w:hanging="567"/>
        <w:rPr>
          <w:rFonts w:eastAsiaTheme="minorHAnsi"/>
          <w:noProof/>
          <w:szCs w:val="22"/>
          <w:lang w:val="fr-BE" w:eastAsia="en-US"/>
        </w:rPr>
      </w:pPr>
      <w:r>
        <w:rPr>
          <w:rFonts w:eastAsiaTheme="minorHAnsi"/>
          <w:noProof/>
          <w:szCs w:val="22"/>
          <w:lang w:val="fr-BE" w:eastAsia="en-US"/>
        </w:rPr>
        <w:t>A)</w:t>
      </w:r>
      <w:r>
        <w:rPr>
          <w:rFonts w:eastAsiaTheme="minorHAnsi"/>
          <w:noProof/>
          <w:szCs w:val="22"/>
          <w:lang w:val="fr-BE" w:eastAsia="en-US"/>
        </w:rPr>
        <w:tab/>
      </w:r>
      <w:bookmarkStart w:id="32" w:name="lt_pId038"/>
      <w:r>
        <w:rPr>
          <w:noProof/>
          <w:lang w:val="fr-CA"/>
        </w:rPr>
        <w:t>a un objectif prudentiel,</w:t>
      </w:r>
      <w:bookmarkEnd w:id="32"/>
    </w:p>
    <w:p>
      <w:pPr>
        <w:spacing w:line="240" w:lineRule="auto"/>
        <w:ind w:left="2268" w:hanging="567"/>
        <w:rPr>
          <w:rFonts w:eastAsiaTheme="minorHAnsi"/>
          <w:noProof/>
          <w:szCs w:val="22"/>
          <w:lang w:val="fr-BE" w:eastAsia="en-US"/>
        </w:rPr>
      </w:pPr>
    </w:p>
    <w:p>
      <w:pPr>
        <w:spacing w:line="240" w:lineRule="auto"/>
        <w:ind w:left="2268" w:hanging="567"/>
        <w:rPr>
          <w:rFonts w:eastAsiaTheme="minorHAnsi"/>
          <w:noProof/>
          <w:szCs w:val="22"/>
          <w:lang w:val="fr-BE" w:eastAsia="en-US"/>
        </w:rPr>
      </w:pPr>
      <w:r>
        <w:rPr>
          <w:rFonts w:eastAsiaTheme="minorHAnsi"/>
          <w:noProof/>
          <w:szCs w:val="22"/>
          <w:lang w:val="fr-BE" w:eastAsia="en-US"/>
        </w:rPr>
        <w:t>B)</w:t>
      </w:r>
      <w:r>
        <w:rPr>
          <w:rFonts w:eastAsiaTheme="minorHAnsi"/>
          <w:noProof/>
          <w:szCs w:val="22"/>
          <w:lang w:val="fr-BE" w:eastAsia="en-US"/>
        </w:rPr>
        <w:tab/>
      </w:r>
      <w:bookmarkStart w:id="33" w:name="lt_pId040"/>
      <w:r>
        <w:rPr>
          <w:noProof/>
          <w:lang w:val="fr-CA"/>
        </w:rPr>
        <w:t>n’est pas si stricte, compte tenu de sa finalité, qu’elle est manifestement disproportionnée au regard de l’atteinte de son objectif,</w:t>
      </w:r>
      <w:bookmarkEnd w:id="33"/>
    </w:p>
    <w:p>
      <w:pPr>
        <w:spacing w:line="240" w:lineRule="auto"/>
        <w:ind w:left="2268" w:hanging="567"/>
        <w:rPr>
          <w:rFonts w:eastAsiaTheme="minorHAnsi"/>
          <w:noProof/>
          <w:szCs w:val="22"/>
          <w:lang w:val="fr-BE" w:eastAsia="en-US"/>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bookmarkStart w:id="34" w:name="lt_pId042"/>
      <w:r>
        <w:rPr>
          <w:noProof/>
          <w:lang w:val="fr-CA" w:eastAsia="en-GB"/>
        </w:rPr>
        <w:t>une mesure qui par ailleurs satisfait aux exigences énoncées au point i) ne satisfait pas aux exigences de l’article 13.16.1 lorsqu’elle constitue une restriction déguisée à l’investissement étranger ou une discrimination arbitraire ou injustifiable entre des investisseurs dans des situations similaires;</w:t>
      </w:r>
      <w:bookmarkEnd w:id="34"/>
    </w:p>
    <w:p>
      <w:pPr>
        <w:spacing w:line="240" w:lineRule="auto"/>
        <w:ind w:left="1701" w:hanging="567"/>
        <w:rPr>
          <w:rFonts w:eastAsiaTheme="minorHAnsi"/>
          <w:noProof/>
          <w:szCs w:val="22"/>
          <w:lang w:val="fr-BE" w:eastAsia="en-GB"/>
        </w:rPr>
      </w:pPr>
    </w:p>
    <w:p>
      <w:pPr>
        <w:spacing w:line="240" w:lineRule="auto"/>
        <w:ind w:left="1134" w:hanging="567"/>
        <w:rPr>
          <w:noProof/>
          <w:lang w:val="fr-BE" w:eastAsia="en-GB"/>
        </w:rPr>
      </w:pPr>
      <w:r>
        <w:rPr>
          <w:noProof/>
          <w:lang w:val="fr-BE" w:eastAsia="en-GB"/>
        </w:rPr>
        <w:t>e)</w:t>
      </w:r>
      <w:r>
        <w:rPr>
          <w:noProof/>
          <w:lang w:val="fr-BE" w:eastAsia="en-GB"/>
        </w:rPr>
        <w:tab/>
      </w:r>
      <w:bookmarkStart w:id="35" w:name="lt_pId044"/>
      <w:r>
        <w:rPr>
          <w:noProof/>
          <w:szCs w:val="24"/>
          <w:lang w:val="fr-CA" w:eastAsia="en-GB"/>
        </w:rPr>
        <w:t>à la condition qu’elle ne soit pas appliquée de façon à constituer un moyen de discrimination arbitraire ou injustifiable entre des investisseurs dans des situations similaires, ou une restriction déguisée à l’investissement étranger, une mesure est réputée satisfaire aux exigences de l’article 13.16.1 si, selon le cas :</w:t>
      </w:r>
      <w:bookmarkEnd w:id="35"/>
    </w:p>
    <w:p>
      <w:pPr>
        <w:spacing w:line="240" w:lineRule="auto"/>
        <w:ind w:left="1134" w:hanging="567"/>
        <w:rPr>
          <w:noProof/>
          <w:lang w:val="fr-BE" w:eastAsia="en-GB"/>
        </w:rPr>
      </w:pPr>
    </w:p>
    <w:p>
      <w:pPr>
        <w:spacing w:line="240" w:lineRule="auto"/>
        <w:ind w:left="1701" w:hanging="567"/>
        <w:rPr>
          <w:rFonts w:eastAsiaTheme="minorHAnsi"/>
          <w:noProof/>
          <w:szCs w:val="22"/>
          <w:lang w:val="fr-BE" w:eastAsia="en-GB"/>
        </w:rPr>
      </w:pPr>
      <w:r>
        <w:rPr>
          <w:rFonts w:eastAsia="Calibri"/>
          <w:noProof/>
          <w:lang w:val="fr-BE" w:eastAsia="en-US"/>
        </w:rPr>
        <w:t>i)</w:t>
      </w:r>
      <w:r>
        <w:rPr>
          <w:rFonts w:eastAsia="Calibri"/>
          <w:noProof/>
          <w:lang w:val="fr-BE" w:eastAsia="en-US"/>
        </w:rPr>
        <w:tab/>
      </w:r>
      <w:bookmarkStart w:id="36" w:name="lt_pId046"/>
      <w:r>
        <w:rPr>
          <w:rFonts w:eastAsia="Calibri"/>
          <w:noProof/>
          <w:szCs w:val="24"/>
          <w:lang w:val="fr-CA"/>
        </w:rPr>
        <w:t>elle est conforme aux engagements prudentiels internationaux qui sont communs aux Parties,</w:t>
      </w:r>
      <w:bookmarkEnd w:id="36"/>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w:t>
      </w:r>
      <w:r>
        <w:rPr>
          <w:rFonts w:eastAsiaTheme="minorHAnsi"/>
          <w:noProof/>
          <w:szCs w:val="22"/>
          <w:lang w:val="fr-BE" w:eastAsia="en-GB"/>
        </w:rPr>
        <w:tab/>
      </w:r>
      <w:bookmarkStart w:id="37" w:name="lt_pId048"/>
      <w:r>
        <w:rPr>
          <w:noProof/>
          <w:lang w:val="fr-CA" w:eastAsia="en-GB"/>
        </w:rPr>
        <w:t>elle vise la résolution d’une institution financière qui n’est plus viable ou qui ne le sera sans doute plus,</w:t>
      </w:r>
      <w:bookmarkEnd w:id="37"/>
    </w:p>
    <w:p>
      <w:pPr>
        <w:spacing w:line="240" w:lineRule="auto"/>
        <w:ind w:left="1701" w:hanging="567"/>
        <w:rPr>
          <w:rFonts w:eastAsiaTheme="minorHAnsi"/>
          <w:noProof/>
          <w:szCs w:val="22"/>
          <w:lang w:val="fr-BE" w:eastAsia="en-GB"/>
        </w:rPr>
      </w:pPr>
    </w:p>
    <w:p>
      <w:pPr>
        <w:spacing w:line="240" w:lineRule="auto"/>
        <w:ind w:left="1701" w:hanging="567"/>
        <w:rPr>
          <w:rFonts w:eastAsiaTheme="minorHAnsi"/>
          <w:noProof/>
          <w:szCs w:val="22"/>
          <w:lang w:val="fr-BE" w:eastAsia="en-GB"/>
        </w:rPr>
      </w:pPr>
      <w:r>
        <w:rPr>
          <w:rFonts w:eastAsiaTheme="minorHAnsi"/>
          <w:noProof/>
          <w:szCs w:val="22"/>
          <w:lang w:val="fr-BE" w:eastAsia="en-GB"/>
        </w:rPr>
        <w:t>iii)</w:t>
      </w:r>
      <w:r>
        <w:rPr>
          <w:rFonts w:eastAsiaTheme="minorHAnsi"/>
          <w:noProof/>
          <w:szCs w:val="22"/>
          <w:lang w:val="fr-BE" w:eastAsia="en-GB"/>
        </w:rPr>
        <w:tab/>
      </w:r>
      <w:bookmarkStart w:id="38" w:name="lt_pId050"/>
      <w:r>
        <w:rPr>
          <w:noProof/>
          <w:lang w:val="fr-CA" w:eastAsia="en-GB"/>
        </w:rPr>
        <w:t>elle vise le redressement d’une institution financière ou la gestion d’une institution financière en difficulté,</w:t>
      </w:r>
      <w:bookmarkEnd w:id="38"/>
    </w:p>
    <w:p>
      <w:pPr>
        <w:spacing w:line="240" w:lineRule="auto"/>
        <w:ind w:left="1701" w:hanging="567"/>
        <w:rPr>
          <w:rFonts w:eastAsiaTheme="minorHAnsi"/>
          <w:noProof/>
          <w:szCs w:val="22"/>
          <w:lang w:val="fr-BE" w:eastAsia="en-GB"/>
        </w:rPr>
      </w:pPr>
    </w:p>
    <w:p>
      <w:pPr>
        <w:spacing w:line="240" w:lineRule="auto"/>
        <w:ind w:left="1701" w:hanging="567"/>
        <w:rPr>
          <w:rFonts w:eastAsia="Calibri"/>
          <w:noProof/>
          <w:lang w:val="fr-BE" w:eastAsia="en-US"/>
        </w:rPr>
      </w:pPr>
      <w:r>
        <w:rPr>
          <w:rFonts w:eastAsiaTheme="minorHAnsi"/>
          <w:noProof/>
          <w:szCs w:val="22"/>
          <w:lang w:val="fr-BE" w:eastAsia="en-GB"/>
        </w:rPr>
        <w:t>iv)</w:t>
      </w:r>
      <w:r>
        <w:rPr>
          <w:rFonts w:eastAsiaTheme="minorHAnsi"/>
          <w:noProof/>
          <w:szCs w:val="22"/>
          <w:lang w:val="fr-BE" w:eastAsia="en-GB"/>
        </w:rPr>
        <w:tab/>
      </w:r>
      <w:bookmarkStart w:id="39" w:name="lt_pId052"/>
      <w:r>
        <w:rPr>
          <w:noProof/>
          <w:lang w:val="fr-CA" w:eastAsia="en-GB"/>
        </w:rPr>
        <w:t>elle vise le maintien ou le retour de la stabilité financière, à la suite d’une crise financière systémique.</w:t>
      </w:r>
      <w:bookmarkEnd w:id="39"/>
    </w:p>
    <w:p>
      <w:pPr>
        <w:spacing w:line="240" w:lineRule="auto"/>
        <w:ind w:left="1701" w:hanging="567"/>
        <w:rPr>
          <w:rFonts w:eastAsia="Calibri"/>
          <w:noProof/>
          <w:lang w:val="fr-BE" w:eastAsia="en-US"/>
        </w:rPr>
      </w:pPr>
    </w:p>
    <w:p>
      <w:pPr>
        <w:widowControl/>
        <w:spacing w:line="240" w:lineRule="auto"/>
        <w:rPr>
          <w:rFonts w:eastAsia="Calibri"/>
          <w:b/>
          <w:bCs/>
          <w:noProof/>
          <w:lang w:val="fr-BE" w:eastAsia="en-US"/>
        </w:rPr>
      </w:pPr>
      <w:r>
        <w:rPr>
          <w:rFonts w:eastAsia="Calibri"/>
          <w:b/>
          <w:bCs/>
          <w:noProof/>
          <w:lang w:val="fr-BE" w:eastAsia="en-US"/>
        </w:rPr>
        <w:br w:type="page"/>
      </w:r>
    </w:p>
    <w:p>
      <w:pPr>
        <w:spacing w:line="240" w:lineRule="auto"/>
        <w:rPr>
          <w:rFonts w:eastAsia="Calibri"/>
          <w:b/>
          <w:bCs/>
          <w:noProof/>
          <w:lang w:val="fr-BE" w:eastAsia="en-US"/>
        </w:rPr>
      </w:pPr>
      <w:bookmarkStart w:id="40" w:name="lt_pId053"/>
      <w:r>
        <w:rPr>
          <w:rFonts w:eastAsia="Calibri"/>
          <w:b/>
          <w:noProof/>
          <w:szCs w:val="24"/>
          <w:lang w:val="fr-CA"/>
        </w:rPr>
        <w:t>Examen périodique</w:t>
      </w:r>
      <w:bookmarkEnd w:id="40"/>
    </w:p>
    <w:p>
      <w:pPr>
        <w:spacing w:line="240" w:lineRule="auto"/>
        <w:rPr>
          <w:rFonts w:eastAsia="Calibri"/>
          <w:b/>
          <w:bCs/>
          <w:noProof/>
          <w:lang w:val="fr-BE" w:eastAsia="en-US"/>
        </w:rPr>
      </w:pPr>
    </w:p>
    <w:p>
      <w:pPr>
        <w:spacing w:line="240" w:lineRule="auto"/>
        <w:ind w:left="567" w:hanging="567"/>
        <w:rPr>
          <w:rFonts w:eastAsia="Calibri"/>
          <w:noProof/>
          <w:lang w:val="fr-BE" w:eastAsia="en-US"/>
        </w:rPr>
      </w:pPr>
      <w:r>
        <w:rPr>
          <w:rFonts w:eastAsia="Calibri"/>
          <w:noProof/>
          <w:lang w:val="fr-BE" w:eastAsia="en-US"/>
        </w:rPr>
        <w:t>9.</w:t>
      </w:r>
      <w:r>
        <w:rPr>
          <w:rFonts w:eastAsia="Calibri"/>
          <w:noProof/>
          <w:lang w:val="fr-BE" w:eastAsia="en-US"/>
        </w:rPr>
        <w:tab/>
      </w:r>
      <w:bookmarkStart w:id="41" w:name="lt_pId055"/>
      <w:r>
        <w:rPr>
          <w:rFonts w:eastAsia="Calibri"/>
          <w:noProof/>
          <w:szCs w:val="24"/>
          <w:lang w:val="fr-CA"/>
        </w:rPr>
        <w:t>Le Comité sur les services financiers peut, sur consentement des deux Parties, modifier le présent accord à tout moment.</w:t>
      </w:r>
      <w:bookmarkEnd w:id="41"/>
      <w:r>
        <w:rPr>
          <w:rFonts w:eastAsia="Calibri"/>
          <w:noProof/>
          <w:szCs w:val="24"/>
          <w:lang w:val="fr-CA"/>
        </w:rPr>
        <w:t xml:space="preserve"> </w:t>
      </w:r>
      <w:bookmarkStart w:id="42" w:name="lt_pId056"/>
      <w:r>
        <w:rPr>
          <w:rFonts w:eastAsia="Calibri"/>
          <w:noProof/>
          <w:szCs w:val="24"/>
          <w:lang w:val="fr-CA"/>
        </w:rPr>
        <w:t>Le Comité sur les services financiers devrait examiner le présent accord au moins tous les deux ans.</w:t>
      </w:r>
      <w:bookmarkEnd w:id="42"/>
    </w:p>
    <w:p>
      <w:pPr>
        <w:spacing w:line="240" w:lineRule="auto"/>
        <w:ind w:left="567" w:hanging="567"/>
        <w:rPr>
          <w:rFonts w:eastAsia="Calibri"/>
          <w:noProof/>
          <w:lang w:val="fr-BE" w:eastAsia="en-US"/>
        </w:rPr>
      </w:pPr>
    </w:p>
    <w:p>
      <w:pPr>
        <w:spacing w:line="240" w:lineRule="auto"/>
        <w:ind w:left="567"/>
        <w:rPr>
          <w:rFonts w:eastAsiaTheme="minorHAnsi"/>
          <w:noProof/>
          <w:szCs w:val="22"/>
          <w:lang w:val="fr-BE" w:eastAsia="en-US"/>
        </w:rPr>
      </w:pPr>
      <w:r>
        <w:rPr>
          <w:noProof/>
          <w:lang w:val="fr-CA"/>
        </w:rPr>
        <w:t>Dans ce contexte, le Comité sur les services financiers peut développer une compréhension commune de l’application de l’article 13.16.1, en se fondant sur le dialogue et les discussions poursuivis au sein du Comité dans le cadre de différends particuliers et en tenant compte des engagements prudentiels internationaux qui sont communs aux Parties.</w:t>
      </w:r>
    </w:p>
    <w:p>
      <w:pPr>
        <w:spacing w:line="240" w:lineRule="auto"/>
        <w:ind w:left="567"/>
        <w:rPr>
          <w:rFonts w:eastAsiaTheme="minorHAnsi"/>
          <w:noProof/>
          <w:szCs w:val="22"/>
          <w:lang w:val="fr-BE" w:eastAsia="en-US"/>
        </w:rPr>
      </w:pPr>
    </w:p>
    <w:p>
      <w:pPr>
        <w:spacing w:line="240" w:lineRule="auto"/>
        <w:ind w:left="567"/>
        <w:rPr>
          <w:rFonts w:eastAsiaTheme="minorHAnsi"/>
          <w:noProof/>
          <w:szCs w:val="22"/>
          <w:lang w:val="fr-BE" w:eastAsia="en-US"/>
        </w:rPr>
      </w:pPr>
    </w:p>
    <w:p>
      <w:pPr>
        <w:widowControl/>
        <w:spacing w:line="240" w:lineRule="auto"/>
        <w:rPr>
          <w:bCs/>
          <w:noProof/>
          <w:szCs w:val="24"/>
          <w:u w:val="single"/>
          <w:lang w:val="fr-BE" w:eastAsia="en-US"/>
        </w:rPr>
      </w:pPr>
      <w:r>
        <w:rPr>
          <w:bCs/>
          <w:noProof/>
          <w:szCs w:val="24"/>
          <w:u w:val="single"/>
          <w:lang w:val="fr-BE" w:eastAsia="en-US"/>
        </w:rPr>
        <w:br w:type="page"/>
      </w:r>
    </w:p>
    <w:p>
      <w:pPr>
        <w:spacing w:line="240" w:lineRule="auto"/>
        <w:jc w:val="center"/>
        <w:rPr>
          <w:b/>
          <w:bCs/>
          <w:noProof/>
          <w:u w:val="single"/>
          <w:lang w:val="fr-BE" w:eastAsia="en-US"/>
        </w:rPr>
      </w:pPr>
      <w:bookmarkStart w:id="43" w:name="lt_pId058"/>
      <w:r>
        <w:rPr>
          <w:b/>
          <w:bCs/>
          <w:noProof/>
          <w:szCs w:val="24"/>
          <w:u w:val="single"/>
          <w:lang w:val="fr-CA"/>
        </w:rPr>
        <w:t>ANNEXE 13</w:t>
      </w:r>
      <w:r>
        <w:rPr>
          <w:b/>
          <w:bCs/>
          <w:noProof/>
          <w:szCs w:val="24"/>
          <w:u w:val="single"/>
          <w:lang w:val="fr-CA"/>
        </w:rPr>
        <w:noBreakHyphen/>
        <w:t>C</w:t>
      </w:r>
      <w:bookmarkEnd w:id="43"/>
    </w:p>
    <w:p>
      <w:pPr>
        <w:spacing w:line="240" w:lineRule="auto"/>
        <w:jc w:val="center"/>
        <w:rPr>
          <w:b/>
          <w:noProof/>
          <w:lang w:val="fr-BE" w:eastAsia="en-US"/>
        </w:rPr>
      </w:pPr>
    </w:p>
    <w:p>
      <w:pPr>
        <w:spacing w:line="240" w:lineRule="auto"/>
        <w:jc w:val="center"/>
        <w:rPr>
          <w:b/>
          <w:noProof/>
          <w:lang w:val="fr-BE" w:eastAsia="en-US"/>
        </w:rPr>
      </w:pPr>
    </w:p>
    <w:p>
      <w:pPr>
        <w:spacing w:line="240" w:lineRule="auto"/>
        <w:jc w:val="center"/>
        <w:rPr>
          <w:b/>
          <w:noProof/>
          <w:lang w:val="fr-BE" w:eastAsia="en-US"/>
        </w:rPr>
      </w:pPr>
      <w:bookmarkStart w:id="44" w:name="lt_pId059"/>
      <w:r>
        <w:rPr>
          <w:b/>
          <w:bCs/>
          <w:noProof/>
          <w:szCs w:val="24"/>
          <w:u w:color="1B3A69"/>
          <w:lang w:val="fr-CA"/>
        </w:rPr>
        <w:t>ACCORD</w:t>
      </w:r>
      <w:r>
        <w:rPr>
          <w:b/>
          <w:bCs/>
          <w:noProof/>
          <w:szCs w:val="24"/>
          <w:lang w:val="fr-CA"/>
        </w:rPr>
        <w:t xml:space="preserve"> </w:t>
      </w:r>
      <w:r>
        <w:rPr>
          <w:rFonts w:eastAsia="Calibri"/>
          <w:b/>
          <w:bCs/>
          <w:noProof/>
          <w:szCs w:val="24"/>
          <w:lang w:val="fr-CA" w:eastAsia="en-GB"/>
        </w:rPr>
        <w:t xml:space="preserve">CONCERNANT </w:t>
      </w:r>
      <w:r>
        <w:rPr>
          <w:b/>
          <w:bCs/>
          <w:noProof/>
          <w:szCs w:val="24"/>
          <w:lang w:val="fr-CA"/>
        </w:rPr>
        <w:t>LE DIALOGUE SUR LA RÉGLEMENTATION DU SECTEUR DES SERVICES FINANCIERS</w:t>
      </w:r>
      <w:bookmarkEnd w:id="44"/>
    </w:p>
    <w:p>
      <w:pPr>
        <w:spacing w:line="240" w:lineRule="auto"/>
        <w:rPr>
          <w:noProof/>
          <w:u w:color="1B3A69"/>
          <w:lang w:val="fr-BE" w:eastAsia="en-US"/>
        </w:rPr>
      </w:pPr>
    </w:p>
    <w:p>
      <w:pPr>
        <w:spacing w:line="240" w:lineRule="auto"/>
        <w:rPr>
          <w:rFonts w:eastAsiaTheme="minorHAnsi"/>
          <w:b/>
          <w:noProof/>
          <w:szCs w:val="22"/>
          <w:lang w:val="fr-BE" w:eastAsia="en-GB"/>
        </w:rPr>
      </w:pPr>
      <w:bookmarkStart w:id="45" w:name="lt_pId060"/>
      <w:r>
        <w:rPr>
          <w:bCs/>
          <w:noProof/>
          <w:szCs w:val="24"/>
          <w:u w:color="1B3A69"/>
          <w:lang w:val="fr-CA"/>
        </w:rPr>
        <w:t>Les Parties réaffirment leur engagement à renforcer la stabilité financière.</w:t>
      </w:r>
      <w:bookmarkEnd w:id="45"/>
      <w:r>
        <w:rPr>
          <w:bCs/>
          <w:noProof/>
          <w:szCs w:val="24"/>
          <w:u w:color="1B3A69"/>
          <w:lang w:val="fr-CA"/>
        </w:rPr>
        <w:t xml:space="preserve"> </w:t>
      </w:r>
      <w:bookmarkStart w:id="46" w:name="lt_pId061"/>
      <w:r>
        <w:rPr>
          <w:bCs/>
          <w:noProof/>
          <w:szCs w:val="24"/>
          <w:u w:color="1B3A69"/>
          <w:lang w:val="fr-CA"/>
        </w:rPr>
        <w:t>Le dialogue au sein du Comité sur les services financiers sur la réglementation du secteur des services financiers est fondé sur les principes et les normes prudentielles convenus au niveau multilatéral.</w:t>
      </w:r>
      <w:bookmarkEnd w:id="46"/>
      <w:r>
        <w:rPr>
          <w:bCs/>
          <w:noProof/>
          <w:szCs w:val="24"/>
          <w:u w:color="1B3A69"/>
          <w:lang w:val="fr-CA"/>
        </w:rPr>
        <w:t xml:space="preserve"> </w:t>
      </w:r>
      <w:bookmarkStart w:id="47" w:name="lt_pId062"/>
      <w:r>
        <w:rPr>
          <w:bCs/>
          <w:noProof/>
          <w:szCs w:val="24"/>
          <w:u w:color="1B3A69"/>
          <w:lang w:val="fr-CA"/>
        </w:rPr>
        <w:t>Les Parties s’engagent à axer les discussions sur des questions ayant une incidence transfrontières, par exemple le commerce transfrontières de valeurs mobilières (y compris la possibilité de prendre d’autres engagements en ce qui a trait à la gestion de portefeuille) et les cadres respectifs qui s’appliquent aux obligations sécurisées et aux exigences en matière de garanties dans le domaine de la réassurance, et à traiter de questions concernant l’exploitation de succursales.</w:t>
      </w:r>
      <w:bookmarkEnd w:id="47"/>
    </w:p>
    <w:p>
      <w:pPr>
        <w:spacing w:line="240" w:lineRule="auto"/>
        <w:rPr>
          <w:rFonts w:eastAsiaTheme="minorHAnsi"/>
          <w:noProof/>
          <w:szCs w:val="22"/>
          <w:lang w:val="fr-BE" w:eastAsia="en-US"/>
        </w:rPr>
      </w:pPr>
    </w:p>
    <w:p>
      <w:pPr>
        <w:spacing w:line="240" w:lineRule="auto"/>
        <w:rPr>
          <w:rFonts w:eastAsiaTheme="minorHAnsi"/>
          <w:noProof/>
          <w:szCs w:val="22"/>
          <w:lang w:val="fr-BE" w:eastAsia="en-US"/>
        </w:rPr>
      </w:pPr>
    </w:p>
    <w:sectPr>
      <w:headerReference w:type="even" r:id="rId28"/>
      <w:headerReference w:type="default" r:id="rId29"/>
      <w:footerReference w:type="even" r:id="rId30"/>
      <w:footerReference w:type="default" r:id="rId31"/>
      <w:headerReference w:type="first" r:id="rId32"/>
      <w:footerReference w:type="first" r:id="rId33"/>
      <w:footnotePr>
        <w:numRestart w:val="eachPage"/>
      </w:footnotePr>
      <w:pgSz w:w="12240" w:h="15840" w:code="1"/>
      <w:pgMar w:top="1134" w:right="1134" w:bottom="1134" w:left="1134"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Bold">
    <w:altName w:val="Trebuchet MS"/>
    <w:panose1 w:val="020B0703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
    <w:altName w:val="EU Albertina"/>
    <w:panose1 w:val="00000000000000000000"/>
    <w:charset w:val="00"/>
    <w:family w:val="swiss"/>
    <w:notTrueType/>
    <w:pitch w:val="default"/>
    <w:sig w:usb0="00000003" w:usb1="00000000" w:usb2="00000000" w:usb3="00000000" w:csb0="00000001" w:csb1="00000000"/>
  </w:font>
  <w:font w:name="Sabon-Roman">
    <w:panose1 w:val="00000000000000000000"/>
    <w:charset w:val="00"/>
    <w:family w:val="roman"/>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EU/CA/Annexe/fr </w:t>
    </w:r>
    <w:r>
      <w:fldChar w:fldCharType="begin"/>
    </w:r>
    <w:r>
      <w:instrText xml:space="preserve"> PAGE   \* MERGEFORMAT </w:instrText>
    </w:r>
    <w:r>
      <w:fldChar w:fldCharType="separate"/>
    </w:r>
    <w:r>
      <w:rPr>
        <w:noProof/>
      </w:rPr>
      <w:t>79</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rPr>
        <w:lang w:val="en-CA"/>
      </w:rPr>
      <w:t xml:space="preserve">– </w:t>
    </w:r>
    <w:r>
      <w:fldChar w:fldCharType="begin"/>
    </w:r>
    <w:r>
      <w:instrText xml:space="preserve"> PAGE   \* MERGEFORMAT </w:instrText>
    </w:r>
    <w:r>
      <w:fldChar w:fldCharType="separate"/>
    </w:r>
    <w:r>
      <w:rPr>
        <w:noProof/>
      </w:rPr>
      <w:t>3</w:t>
    </w:r>
    <w:r>
      <w:rPr>
        <w:noProof/>
      </w:rPr>
      <w:fldChar w:fldCharType="end"/>
    </w:r>
    <w:r>
      <w:rPr>
        <w:noProof/>
      </w:rPr>
      <w:t xml:space="preserve"> </w:t>
    </w:r>
    <w:r>
      <w:rPr>
        <w:lang w:val="en-CA"/>
      </w:rPr>
      <w:t>–</w:t>
    </w:r>
  </w:p>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EU/CA/Annexe/fr </w:t>
    </w:r>
    <w:r>
      <w:fldChar w:fldCharType="begin"/>
    </w:r>
    <w:r>
      <w:instrText xml:space="preserve"> PAGE   \* MERGEFORMAT </w:instrText>
    </w:r>
    <w:r>
      <w:fldChar w:fldCharType="separate"/>
    </w:r>
    <w:r>
      <w:rPr>
        <w:noProof/>
      </w:rPr>
      <w:t>121</w:t>
    </w:r>
    <w:r>
      <w:rPr>
        <w:noProof/>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rPr>
        <w:lang w:val="en-CA"/>
      </w:rPr>
      <w:t xml:space="preserve">– </w:t>
    </w:r>
    <w:r>
      <w:fldChar w:fldCharType="begin"/>
    </w:r>
    <w:r>
      <w:instrText xml:space="preserve"> PAGE   \* MERGEFORMAT </w:instrText>
    </w:r>
    <w:r>
      <w:fldChar w:fldCharType="separate"/>
    </w:r>
    <w:r>
      <w:rPr>
        <w:noProof/>
      </w:rPr>
      <w:t>3</w:t>
    </w:r>
    <w:r>
      <w:rPr>
        <w:noProof/>
      </w:rPr>
      <w:fldChar w:fldCharType="end"/>
    </w:r>
    <w:r>
      <w:rPr>
        <w:noProof/>
      </w:rPr>
      <w:t xml:space="preserve"> </w:t>
    </w:r>
    <w:r>
      <w:rPr>
        <w:lang w:val="en-CA"/>
      </w:rPr>
      <w:t>–</w:t>
    </w:r>
  </w:p>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p>
    <w:pPr>
      <w:pStyle w:val="Footer"/>
      <w:jc w:val="center"/>
    </w:pPr>
    <w:r>
      <w:t xml:space="preserve">EU/CA/Annexe/fr </w:t>
    </w:r>
    <w:r>
      <w:fldChar w:fldCharType="begin"/>
    </w:r>
    <w:r>
      <w:instrText xml:space="preserve"> PAGE   \* MERGEFORMAT </w:instrText>
    </w:r>
    <w:r>
      <w:fldChar w:fldCharType="separate"/>
    </w:r>
    <w:r>
      <w:rPr>
        <w:noProof/>
      </w:rPr>
      <w:t>217</w:t>
    </w:r>
    <w:r>
      <w:rPr>
        <w:noProof/>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jc w:val="both"/>
        <w:rPr>
          <w:lang w:val="fr-CA"/>
        </w:rPr>
      </w:pPr>
      <w:r>
        <w:rPr>
          <w:rStyle w:val="FootnoteReference"/>
          <w:lang w:val="fr-CA"/>
        </w:rPr>
        <w:footnoteRef/>
      </w:r>
      <w:r>
        <w:rPr>
          <w:lang w:val="fr-CA"/>
        </w:rPr>
        <w:t xml:space="preserve"> </w:t>
      </w:r>
      <w:r>
        <w:rPr>
          <w:lang w:val="fr-CA"/>
        </w:rPr>
        <w:tab/>
        <w:t>Il est entendu que de simples différences dans le traitement accordé par une Partie à certains investisseurs ou investissements sur la base d’objectifs légitimes en matière de politique dans le contexte d’une crise de la dette ou d’une menace d’une telle crise, y compris les différences de traitement résultant de l’éligibilité à la restructuration de la dette, ne constituent pas une violation de l’article 8.6 ou 8.7.</w:t>
      </w:r>
    </w:p>
    <w:p>
      <w:pPr>
        <w:pStyle w:val="FootnoteText"/>
        <w:rPr>
          <w:i/>
          <w:lang w:val="fr-CA"/>
        </w:rPr>
      </w:pPr>
    </w:p>
  </w:footnote>
  <w:footnote w:id="2">
    <w:p>
      <w:pPr>
        <w:pStyle w:val="FootnoteText"/>
        <w:rPr>
          <w:lang w:val="fr-BE"/>
        </w:rPr>
      </w:pPr>
      <w:r>
        <w:rPr>
          <w:rStyle w:val="FootnoteReference"/>
        </w:rPr>
        <w:footnoteRef/>
      </w:r>
      <w:r>
        <w:t xml:space="preserve"> </w:t>
      </w:r>
      <w:r>
        <w:tab/>
      </w:r>
      <w:r>
        <w:rPr>
          <w:lang w:val="fr-CA"/>
        </w:rPr>
        <w:t>Le présent paragraphe ne s’applique pas aux réserves du Royaume-Uni.</w:t>
      </w:r>
    </w:p>
  </w:footnote>
  <w:footnote w:id="3">
    <w:p>
      <w:pPr>
        <w:pStyle w:val="FootnoteText"/>
        <w:rPr>
          <w:lang w:val="fr-CA"/>
        </w:rPr>
      </w:pPr>
      <w:r>
        <w:rPr>
          <w:rStyle w:val="FootnoteReference"/>
          <w:rFonts w:eastAsiaTheme="minorHAnsi"/>
        </w:rPr>
        <w:footnoteRef/>
      </w:r>
      <w:r>
        <w:rPr>
          <w:lang w:val="fr-CA"/>
        </w:rPr>
        <w:tab/>
        <w:t xml:space="preserve">Une réserve concernant les services juridiques décrite à l’annexe I ou II, formulée par un État membre de l’Union européenne, selon laquelle le « droit interne » comprend « le droit de l’Union européenne et des États membres » s’applique à la présente annexe. </w:t>
      </w:r>
    </w:p>
  </w:footnote>
  <w:footnote w:id="4">
    <w:p>
      <w:pPr>
        <w:pStyle w:val="FootnoteText"/>
        <w:rPr>
          <w:lang w:val="fr-CA"/>
        </w:rPr>
      </w:pPr>
      <w:r>
        <w:rPr>
          <w:rStyle w:val="FootnoteReference"/>
          <w:rFonts w:eastAsiaTheme="minorHAnsi"/>
        </w:rPr>
        <w:footnoteRef/>
      </w:r>
      <w:r>
        <w:rPr>
          <w:lang w:val="fr-CA"/>
        </w:rPr>
        <w:tab/>
        <w:t>Une réserve concernant les services juridiques décrite à l’annexe I ou II, formulée par un État membre de l’Union européenne, selon laquelle le « droit interne » comprend « le droit de l’Union européenne et des États membres » s’applique à la présente annexe.</w:t>
      </w:r>
    </w:p>
  </w:footnote>
  <w:footnote w:id="5">
    <w:p>
      <w:pPr>
        <w:pStyle w:val="FootnoteText"/>
        <w:rPr>
          <w:lang w:val="fr-CA"/>
        </w:rPr>
      </w:pPr>
      <w:r>
        <w:rPr>
          <w:rStyle w:val="FootnoteReference"/>
          <w:rFonts w:eastAsiaTheme="minorHAnsi"/>
        </w:rPr>
        <w:footnoteRef/>
      </w:r>
      <w:r>
        <w:rPr>
          <w:lang w:val="fr-CA"/>
        </w:rPr>
        <w:tab/>
        <w:t>Ne sont pas inclus les services de conseils juridiques et de représentation juridique relatifs à des questions d’ordre fiscal, lesquels s’inscrivent dans les services de conseils juridiques relatifs en matière de droit international public et de droit étranger.</w:t>
      </w:r>
    </w:p>
  </w:footnote>
  <w:footnote w:id="6">
    <w:p>
      <w:pPr>
        <w:pStyle w:val="FootnoteText"/>
        <w:rPr>
          <w:lang w:val="fr-CA"/>
        </w:rPr>
      </w:pPr>
      <w:r>
        <w:rPr>
          <w:rStyle w:val="FootnoteReference"/>
          <w:rFonts w:eastAsiaTheme="minorHAnsi"/>
        </w:rPr>
        <w:footnoteRef/>
      </w:r>
      <w:r>
        <w:rPr>
          <w:lang w:val="fr-CA"/>
        </w:rPr>
        <w:tab/>
        <w:t xml:space="preserve">Partie de CPC 85201 qui est classée sous les services médicaux et dentaires. </w:t>
      </w:r>
    </w:p>
  </w:footnote>
  <w:footnote w:id="7">
    <w:p>
      <w:pPr>
        <w:pStyle w:val="FootnoteText"/>
        <w:rPr>
          <w:lang w:val="fr-CA"/>
        </w:rPr>
      </w:pPr>
      <w:r>
        <w:rPr>
          <w:rStyle w:val="FootnoteReference"/>
          <w:rFonts w:eastAsiaTheme="minorHAnsi"/>
        </w:rPr>
        <w:footnoteRef/>
      </w:r>
      <w:r>
        <w:rPr>
          <w:lang w:val="fr-CA"/>
        </w:rPr>
        <w:tab/>
        <w:t>Pour l’ensemble des États membres de l’Union européenne, à l’exception de UK et DK, l’agrément accordé à l’organisme de recherche et la convention d’accueil doivent remplir les conditions énoncées dans la directive 2005/71/CE de l’UE du 12 octobre 2005.</w:t>
      </w:r>
    </w:p>
  </w:footnote>
  <w:footnote w:id="8">
    <w:p>
      <w:pPr>
        <w:pStyle w:val="FootnoteText"/>
        <w:rPr>
          <w:lang w:val="fr-CA"/>
        </w:rPr>
      </w:pPr>
      <w:r>
        <w:rPr>
          <w:rStyle w:val="FootnoteReference"/>
          <w:rFonts w:eastAsiaTheme="minorHAnsi"/>
        </w:rPr>
        <w:footnoteRef/>
      </w:r>
      <w:r>
        <w:rPr>
          <w:lang w:val="fr-CA"/>
        </w:rPr>
        <w:tab/>
        <w:t>Pour l’ensemble des États membres de l’Union européenne, à l’exception de UK et DK, l’agrément accordé à l’organisme de recherche et la convention d’accueil doivent remplir les conditions énoncées dans la directive 2005/71/CE de l’UE du 12 octobre 2005.</w:t>
      </w:r>
    </w:p>
  </w:footnote>
  <w:footnote w:id="9">
    <w:p>
      <w:pPr>
        <w:pStyle w:val="FootnoteText"/>
        <w:rPr>
          <w:lang w:val="fr-CA"/>
        </w:rPr>
      </w:pPr>
      <w:r>
        <w:rPr>
          <w:rStyle w:val="FootnoteReference"/>
          <w:rFonts w:eastAsiaTheme="minorHAnsi"/>
        </w:rPr>
        <w:footnoteRef/>
      </w:r>
      <w:r>
        <w:rPr>
          <w:lang w:val="fr-CA"/>
        </w:rPr>
        <w:tab/>
      </w:r>
      <w:r>
        <w:rPr>
          <w:color w:val="000000"/>
          <w:lang w:val="fr-CA"/>
        </w:rPr>
        <w:t>Les services d’entretien et de réparation des machines et du matériel de bureau, y compris les ordinateurs (CPC 845), sont classés sous les services informatiques.</w:t>
      </w:r>
    </w:p>
  </w:footnote>
  <w:footnote w:id="10">
    <w:p>
      <w:pPr>
        <w:pStyle w:val="FootnoteText"/>
        <w:rPr>
          <w:lang w:val="fr-CA"/>
        </w:rPr>
      </w:pPr>
      <w:r>
        <w:rPr>
          <w:rStyle w:val="FootnoteReference"/>
          <w:rFonts w:eastAsiaTheme="minorHAnsi"/>
        </w:rPr>
        <w:footnoteRef/>
      </w:r>
      <w:r>
        <w:rPr>
          <w:lang w:val="fr-CA"/>
        </w:rPr>
        <w:tab/>
        <w:t>Fournisseurs de services dont la fonction consiste à accompagner des groupes de touristes constitués d’au moins dix personnes physiques et qui ne font pas office de guides dans des endroits particuliers.</w:t>
      </w:r>
    </w:p>
  </w:footnote>
  <w:footnote w:id="11">
    <w:p>
      <w:pPr>
        <w:pStyle w:val="FootnoteText"/>
        <w:rPr>
          <w:lang w:val="fr-CA"/>
        </w:rPr>
      </w:pPr>
      <w:r>
        <w:rPr>
          <w:rStyle w:val="FootnoteReference"/>
          <w:lang w:val="fr-CA"/>
        </w:rPr>
        <w:footnoteRef/>
      </w:r>
      <w:r>
        <w:rPr>
          <w:lang w:val="fr-CA"/>
        </w:rPr>
        <w:tab/>
        <w:t>Les abréviations utilisées dans la présente annexe sont définies au paragraphe 8 de la note introductive de l’annexe I (Réserves au regard des mesures existantes et engagements de libéralisation).</w:t>
      </w:r>
    </w:p>
  </w:footnote>
  <w:footnote w:id="12">
    <w:p>
      <w:pPr>
        <w:pStyle w:val="FootnoteText"/>
        <w:rPr>
          <w:lang w:val="fr-CA"/>
        </w:rPr>
      </w:pPr>
      <w:r>
        <w:rPr>
          <w:rStyle w:val="FootnoteReference"/>
          <w:lang w:val="fr-CA"/>
        </w:rPr>
        <w:footnoteRef/>
      </w:r>
      <w:r>
        <w:rPr>
          <w:lang w:val="fr-CA"/>
        </w:rPr>
        <w:tab/>
      </w:r>
      <w:r>
        <w:rPr>
          <w:lang w:val="fr-CA" w:eastAsia="fr-CA"/>
        </w:rPr>
        <w:t>Ainsi, lorsque la Commission européenne a adopté une décision sur l’équivalence relative à la gestion de portefeuille et qu’une institution financière canadienne a satisfait aux autres exigences prudentielles de l’Union européenne, l’institution financière en question peut offrir des services discrétionnaires de gestion de portefeuille à un client professionnel de l’Union européenne sans être établie dans l’Union européenne. De plus, les mesures des États membres de l’Union européenne qui limitent ou interdisent la gestion transfrontières de portefeuille, y compris les réserves dans ses listes jointes aux annexes I et II, ne s’appliquent plus à cet engagement.</w:t>
      </w:r>
    </w:p>
  </w:footnote>
  <w:footnote w:id="13">
    <w:p>
      <w:pPr>
        <w:pStyle w:val="FootnoteText"/>
        <w:rPr>
          <w:lang w:val="fr-CA"/>
        </w:rPr>
      </w:pPr>
      <w:r>
        <w:rPr>
          <w:rStyle w:val="FootnoteReference"/>
          <w:b w:val="0"/>
        </w:rPr>
        <w:footnoteRef/>
      </w:r>
      <w:r>
        <w:rPr>
          <w:b/>
          <w:lang w:val="fr-CA"/>
        </w:rPr>
        <w:t xml:space="preserve"> </w:t>
      </w:r>
      <w:r>
        <w:rPr>
          <w:lang w:val="fr-CA"/>
        </w:rPr>
        <w:tab/>
        <w:t>Chaque Partie fait en sorte que sa représentation à cette fin au sein du Comité mixte de l’AECG inclue les autorités des services financiers.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center"/>
      <w:rPr>
        <w:lang w:val="en-CA"/>
      </w:rPr>
    </w:pPr>
    <w:r>
      <w:rPr>
        <w:lang w:val="en-C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570" w:type="dxa"/>
      <w:tblInd w:w="-51" w:type="dxa"/>
      <w:tblLayout w:type="fixed"/>
      <w:tblCellMar>
        <w:left w:w="91" w:type="dxa"/>
        <w:right w:w="91" w:type="dxa"/>
      </w:tblCellMar>
      <w:tblLook w:val="0000" w:firstRow="0" w:lastRow="0" w:firstColumn="0" w:lastColumn="0" w:noHBand="0" w:noVBand="0"/>
    </w:tblPr>
    <w:tblGrid>
      <w:gridCol w:w="1560"/>
      <w:gridCol w:w="19"/>
      <w:gridCol w:w="2107"/>
      <w:gridCol w:w="2268"/>
      <w:gridCol w:w="3402"/>
      <w:gridCol w:w="2410"/>
      <w:gridCol w:w="2410"/>
      <w:gridCol w:w="4394"/>
    </w:tblGrid>
    <w:tr>
      <w:trPr>
        <w:cantSplit/>
        <w:tblHeader/>
      </w:trPr>
      <w:tc>
        <w:tcPr>
          <w:tcW w:w="1579" w:type="dxa"/>
          <w:gridSpan w:val="2"/>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jc w:val="center"/>
            <w:rPr>
              <w:sz w:val="14"/>
              <w:szCs w:val="14"/>
            </w:rPr>
          </w:pPr>
          <w:r>
            <w:rPr>
              <w:rFonts w:ascii="Arial" w:hAnsi="Arial" w:cs="Arial"/>
              <w:sz w:val="14"/>
              <w:szCs w:val="14"/>
            </w:rPr>
            <w:t>Area</w:t>
          </w:r>
        </w:p>
      </w:tc>
      <w:tc>
        <w:tcPr>
          <w:tcW w:w="7777" w:type="dxa"/>
          <w:gridSpan w:val="3"/>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s>
            <w:spacing w:before="132"/>
            <w:jc w:val="center"/>
            <w:rPr>
              <w:sz w:val="22"/>
            </w:rPr>
          </w:pPr>
          <w:r>
            <w:rPr>
              <w:sz w:val="22"/>
            </w:rPr>
            <w:t>European Union Exports to Canada</w:t>
          </w:r>
        </w:p>
      </w:tc>
      <w:tc>
        <w:tcPr>
          <w:tcW w:w="9214" w:type="dxa"/>
          <w:gridSpan w:val="3"/>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sz w:val="22"/>
            </w:rPr>
          </w:pPr>
          <w:r>
            <w:rPr>
              <w:sz w:val="22"/>
            </w:rPr>
            <w:t>Canadian Union Exports to the European Union</w:t>
          </w:r>
        </w:p>
      </w:tc>
    </w:tr>
    <w:tr>
      <w:trPr>
        <w:cantSplit/>
        <w:tblHeader/>
      </w:trPr>
      <w:tc>
        <w:tcPr>
          <w:tcW w:w="1560" w:type="dxa"/>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rPr>
              <w:sz w:val="14"/>
              <w:szCs w:val="14"/>
            </w:rPr>
          </w:pPr>
        </w:p>
      </w:tc>
      <w:tc>
        <w:tcPr>
          <w:tcW w:w="2126" w:type="dxa"/>
          <w:gridSpan w:val="2"/>
          <w:tcBorders>
            <w:top w:val="double" w:sz="6" w:space="0" w:color="000000"/>
            <w:left w:val="double" w:sz="6" w:space="0" w:color="000000"/>
            <w:bottom w:val="double" w:sz="6" w:space="0" w:color="000000"/>
            <w:right w:val="single" w:sz="6" w:space="0" w:color="000000"/>
          </w:tcBorders>
        </w:tcPr>
        <w:p>
          <w:pPr>
            <w:tabs>
              <w:tab w:val="left" w:pos="-1440"/>
              <w:tab w:val="left" w:pos="-720"/>
              <w:tab w:val="left" w:pos="163"/>
              <w:tab w:val="left" w:pos="720"/>
            </w:tabs>
            <w:spacing w:before="132"/>
            <w:jc w:val="center"/>
            <w:rPr>
              <w:rFonts w:ascii="Arial" w:hAnsi="Arial" w:cs="Arial"/>
              <w:sz w:val="14"/>
              <w:szCs w:val="14"/>
            </w:rPr>
          </w:pPr>
          <w:r>
            <w:rPr>
              <w:rFonts w:ascii="Arial" w:hAnsi="Arial" w:cs="Arial"/>
              <w:sz w:val="14"/>
              <w:szCs w:val="14"/>
            </w:rPr>
            <w:t>EU Standards</w:t>
          </w:r>
        </w:p>
      </w:tc>
      <w:tc>
        <w:tcPr>
          <w:tcW w:w="2268" w:type="dxa"/>
          <w:tcBorders>
            <w:top w:val="double" w:sz="6" w:space="0" w:color="000000"/>
            <w:left w:val="single" w:sz="6" w:space="0" w:color="000000"/>
            <w:bottom w:val="double" w:sz="6" w:space="0" w:color="000000"/>
            <w:right w:val="single" w:sz="6" w:space="0" w:color="000000"/>
          </w:tcBorders>
        </w:tcPr>
        <w:p>
          <w:pPr>
            <w:tabs>
              <w:tab w:val="left" w:pos="-1440"/>
              <w:tab w:val="left" w:pos="-720"/>
              <w:tab w:val="left" w:pos="163"/>
              <w:tab w:val="left" w:pos="720"/>
              <w:tab w:val="left" w:pos="1440"/>
            </w:tabs>
            <w:spacing w:before="132"/>
            <w:jc w:val="center"/>
            <w:rPr>
              <w:rFonts w:ascii="Arial" w:hAnsi="Arial" w:cs="Arial"/>
              <w:sz w:val="14"/>
              <w:szCs w:val="14"/>
            </w:rPr>
          </w:pPr>
          <w:r>
            <w:rPr>
              <w:rFonts w:ascii="Arial" w:hAnsi="Arial" w:cs="Arial"/>
              <w:sz w:val="14"/>
              <w:szCs w:val="14"/>
            </w:rPr>
            <w:t>Canadian Standards</w:t>
          </w:r>
        </w:p>
      </w:tc>
      <w:tc>
        <w:tcPr>
          <w:tcW w:w="3402" w:type="dxa"/>
          <w:tcBorders>
            <w:top w:val="double" w:sz="6" w:space="0" w:color="000000"/>
            <w:left w:val="sing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rFonts w:ascii="Arial" w:hAnsi="Arial" w:cs="Arial"/>
              <w:sz w:val="14"/>
              <w:szCs w:val="14"/>
            </w:rPr>
          </w:pPr>
          <w:r>
            <w:rPr>
              <w:rFonts w:ascii="Arial" w:hAnsi="Arial" w:cs="Arial"/>
              <w:sz w:val="14"/>
              <w:szCs w:val="14"/>
            </w:rPr>
            <w:t>Special Conditions</w:t>
          </w:r>
        </w:p>
      </w:tc>
      <w:tc>
        <w:tcPr>
          <w:tcW w:w="2410" w:type="dxa"/>
          <w:tcBorders>
            <w:top w:val="double" w:sz="6" w:space="0" w:color="000000"/>
            <w:left w:val="double" w:sz="6" w:space="0" w:color="000000"/>
            <w:bottom w:val="double" w:sz="6" w:space="0" w:color="000000"/>
            <w:right w:val="nil"/>
          </w:tcBorders>
        </w:tcPr>
        <w:p>
          <w:pPr>
            <w:tabs>
              <w:tab w:val="left" w:pos="-1440"/>
              <w:tab w:val="left" w:pos="-720"/>
              <w:tab w:val="left" w:pos="163"/>
              <w:tab w:val="left" w:pos="720"/>
              <w:tab w:val="left" w:pos="1440"/>
            </w:tabs>
            <w:spacing w:before="132"/>
            <w:jc w:val="center"/>
            <w:rPr>
              <w:sz w:val="14"/>
              <w:szCs w:val="14"/>
            </w:rPr>
          </w:pPr>
          <w:r>
            <w:rPr>
              <w:rFonts w:ascii="Arial" w:hAnsi="Arial" w:cs="Arial"/>
              <w:sz w:val="14"/>
              <w:szCs w:val="14"/>
            </w:rPr>
            <w:t>Canadian Standards</w:t>
          </w:r>
        </w:p>
      </w:tc>
      <w:tc>
        <w:tcPr>
          <w:tcW w:w="2410" w:type="dxa"/>
          <w:tcBorders>
            <w:top w:val="double" w:sz="6" w:space="0" w:color="000000"/>
            <w:left w:val="single" w:sz="6" w:space="0" w:color="000000"/>
            <w:bottom w:val="double" w:sz="6" w:space="0" w:color="000000"/>
            <w:right w:val="nil"/>
          </w:tcBorders>
        </w:tcPr>
        <w:p>
          <w:pPr>
            <w:tabs>
              <w:tab w:val="left" w:pos="-1440"/>
              <w:tab w:val="left" w:pos="-720"/>
              <w:tab w:val="left" w:pos="163"/>
              <w:tab w:val="left" w:pos="720"/>
            </w:tabs>
            <w:spacing w:before="132"/>
            <w:jc w:val="center"/>
            <w:rPr>
              <w:sz w:val="14"/>
              <w:szCs w:val="14"/>
            </w:rPr>
          </w:pPr>
          <w:r>
            <w:rPr>
              <w:rFonts w:ascii="Arial" w:hAnsi="Arial" w:cs="Arial"/>
              <w:sz w:val="14"/>
              <w:szCs w:val="14"/>
            </w:rPr>
            <w:t>EU Standards</w:t>
          </w:r>
        </w:p>
      </w:tc>
      <w:tc>
        <w:tcPr>
          <w:tcW w:w="4394" w:type="dxa"/>
          <w:tcBorders>
            <w:top w:val="double" w:sz="6" w:space="0" w:color="000000"/>
            <w:left w:val="sing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sz w:val="14"/>
              <w:szCs w:val="14"/>
            </w:rPr>
          </w:pPr>
          <w:r>
            <w:rPr>
              <w:rFonts w:ascii="Arial" w:hAnsi="Arial" w:cs="Arial"/>
              <w:sz w:val="14"/>
              <w:szCs w:val="14"/>
            </w:rPr>
            <w:t>Special Conditions</w:t>
          </w:r>
        </w:p>
      </w:tc>
    </w:tr>
  </w:tbl>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jc w:val="center"/>
      <w:rPr>
        <w:lang w:val="en-CA"/>
      </w:rPr>
    </w:pPr>
    <w:r>
      <w:rPr>
        <w:lang w:val="en-CA"/>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570" w:type="dxa"/>
      <w:tblInd w:w="-51" w:type="dxa"/>
      <w:tblLayout w:type="fixed"/>
      <w:tblCellMar>
        <w:left w:w="91" w:type="dxa"/>
        <w:right w:w="91" w:type="dxa"/>
      </w:tblCellMar>
      <w:tblLook w:val="0000" w:firstRow="0" w:lastRow="0" w:firstColumn="0" w:lastColumn="0" w:noHBand="0" w:noVBand="0"/>
    </w:tblPr>
    <w:tblGrid>
      <w:gridCol w:w="1560"/>
      <w:gridCol w:w="19"/>
      <w:gridCol w:w="2107"/>
      <w:gridCol w:w="2268"/>
      <w:gridCol w:w="3402"/>
      <w:gridCol w:w="2410"/>
      <w:gridCol w:w="2410"/>
      <w:gridCol w:w="4394"/>
    </w:tblGrid>
    <w:tr>
      <w:trPr>
        <w:cantSplit/>
        <w:tblHeader/>
      </w:trPr>
      <w:tc>
        <w:tcPr>
          <w:tcW w:w="1579" w:type="dxa"/>
          <w:gridSpan w:val="2"/>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rPr>
              <w:rFonts w:ascii="Arial" w:hAnsi="Arial" w:cs="Arial"/>
              <w:sz w:val="14"/>
              <w:szCs w:val="14"/>
            </w:rPr>
          </w:pPr>
        </w:p>
        <w:p>
          <w:pPr>
            <w:tabs>
              <w:tab w:val="left" w:pos="-1440"/>
              <w:tab w:val="left" w:pos="-720"/>
              <w:tab w:val="left" w:pos="163"/>
              <w:tab w:val="left" w:pos="720"/>
              <w:tab w:val="left" w:pos="1440"/>
            </w:tabs>
            <w:ind w:left="312" w:hanging="312"/>
            <w:jc w:val="center"/>
            <w:rPr>
              <w:sz w:val="14"/>
              <w:szCs w:val="14"/>
            </w:rPr>
          </w:pPr>
          <w:r>
            <w:rPr>
              <w:rFonts w:ascii="Arial" w:hAnsi="Arial" w:cs="Arial"/>
              <w:sz w:val="14"/>
              <w:szCs w:val="14"/>
            </w:rPr>
            <w:t>Area</w:t>
          </w:r>
        </w:p>
      </w:tc>
      <w:tc>
        <w:tcPr>
          <w:tcW w:w="7777" w:type="dxa"/>
          <w:gridSpan w:val="3"/>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s>
            <w:spacing w:before="132"/>
            <w:jc w:val="center"/>
            <w:rPr>
              <w:sz w:val="22"/>
            </w:rPr>
          </w:pPr>
          <w:r>
            <w:rPr>
              <w:sz w:val="22"/>
            </w:rPr>
            <w:t>European Union Exports to Canada</w:t>
          </w:r>
        </w:p>
      </w:tc>
      <w:tc>
        <w:tcPr>
          <w:tcW w:w="9214" w:type="dxa"/>
          <w:gridSpan w:val="3"/>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sz w:val="22"/>
            </w:rPr>
          </w:pPr>
          <w:r>
            <w:rPr>
              <w:sz w:val="22"/>
            </w:rPr>
            <w:t>Canadian Union Exports to the European Union</w:t>
          </w:r>
        </w:p>
      </w:tc>
    </w:tr>
    <w:tr>
      <w:trPr>
        <w:cantSplit/>
        <w:tblHeader/>
      </w:trPr>
      <w:tc>
        <w:tcPr>
          <w:tcW w:w="1560" w:type="dxa"/>
          <w:tcBorders>
            <w:top w:val="double" w:sz="6" w:space="0" w:color="000000"/>
            <w:left w:val="doub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rPr>
              <w:sz w:val="14"/>
              <w:szCs w:val="14"/>
            </w:rPr>
          </w:pPr>
        </w:p>
      </w:tc>
      <w:tc>
        <w:tcPr>
          <w:tcW w:w="2126" w:type="dxa"/>
          <w:gridSpan w:val="2"/>
          <w:tcBorders>
            <w:top w:val="double" w:sz="6" w:space="0" w:color="000000"/>
            <w:left w:val="double" w:sz="6" w:space="0" w:color="000000"/>
            <w:bottom w:val="double" w:sz="6" w:space="0" w:color="000000"/>
            <w:right w:val="single" w:sz="6" w:space="0" w:color="000000"/>
          </w:tcBorders>
        </w:tcPr>
        <w:p>
          <w:pPr>
            <w:tabs>
              <w:tab w:val="left" w:pos="-1440"/>
              <w:tab w:val="left" w:pos="-720"/>
              <w:tab w:val="left" w:pos="163"/>
              <w:tab w:val="left" w:pos="720"/>
            </w:tabs>
            <w:spacing w:before="132"/>
            <w:jc w:val="center"/>
            <w:rPr>
              <w:rFonts w:ascii="Arial" w:hAnsi="Arial" w:cs="Arial"/>
              <w:sz w:val="14"/>
              <w:szCs w:val="14"/>
            </w:rPr>
          </w:pPr>
          <w:r>
            <w:rPr>
              <w:rFonts w:ascii="Arial" w:hAnsi="Arial" w:cs="Arial"/>
              <w:sz w:val="14"/>
              <w:szCs w:val="14"/>
            </w:rPr>
            <w:t>EU Standards</w:t>
          </w:r>
        </w:p>
      </w:tc>
      <w:tc>
        <w:tcPr>
          <w:tcW w:w="2268" w:type="dxa"/>
          <w:tcBorders>
            <w:top w:val="double" w:sz="6" w:space="0" w:color="000000"/>
            <w:left w:val="single" w:sz="6" w:space="0" w:color="000000"/>
            <w:bottom w:val="double" w:sz="6" w:space="0" w:color="000000"/>
            <w:right w:val="single" w:sz="6" w:space="0" w:color="000000"/>
          </w:tcBorders>
        </w:tcPr>
        <w:p>
          <w:pPr>
            <w:tabs>
              <w:tab w:val="left" w:pos="-1440"/>
              <w:tab w:val="left" w:pos="-720"/>
              <w:tab w:val="left" w:pos="163"/>
              <w:tab w:val="left" w:pos="720"/>
              <w:tab w:val="left" w:pos="1440"/>
            </w:tabs>
            <w:spacing w:before="132"/>
            <w:jc w:val="center"/>
            <w:rPr>
              <w:rFonts w:ascii="Arial" w:hAnsi="Arial" w:cs="Arial"/>
              <w:sz w:val="14"/>
              <w:szCs w:val="14"/>
            </w:rPr>
          </w:pPr>
          <w:r>
            <w:rPr>
              <w:rFonts w:ascii="Arial" w:hAnsi="Arial" w:cs="Arial"/>
              <w:sz w:val="14"/>
              <w:szCs w:val="14"/>
            </w:rPr>
            <w:t>Canadian Standards</w:t>
          </w:r>
        </w:p>
      </w:tc>
      <w:tc>
        <w:tcPr>
          <w:tcW w:w="3402" w:type="dxa"/>
          <w:tcBorders>
            <w:top w:val="double" w:sz="6" w:space="0" w:color="000000"/>
            <w:left w:val="sing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rFonts w:ascii="Arial" w:hAnsi="Arial" w:cs="Arial"/>
              <w:sz w:val="14"/>
              <w:szCs w:val="14"/>
            </w:rPr>
          </w:pPr>
          <w:r>
            <w:rPr>
              <w:rFonts w:ascii="Arial" w:hAnsi="Arial" w:cs="Arial"/>
              <w:sz w:val="14"/>
              <w:szCs w:val="14"/>
            </w:rPr>
            <w:t>Special Conditions</w:t>
          </w:r>
        </w:p>
      </w:tc>
      <w:tc>
        <w:tcPr>
          <w:tcW w:w="2410" w:type="dxa"/>
          <w:tcBorders>
            <w:top w:val="double" w:sz="6" w:space="0" w:color="000000"/>
            <w:left w:val="double" w:sz="6" w:space="0" w:color="000000"/>
            <w:bottom w:val="double" w:sz="6" w:space="0" w:color="000000"/>
            <w:right w:val="nil"/>
          </w:tcBorders>
        </w:tcPr>
        <w:p>
          <w:pPr>
            <w:tabs>
              <w:tab w:val="left" w:pos="-1440"/>
              <w:tab w:val="left" w:pos="-720"/>
              <w:tab w:val="left" w:pos="163"/>
              <w:tab w:val="left" w:pos="720"/>
              <w:tab w:val="left" w:pos="1440"/>
            </w:tabs>
            <w:spacing w:before="132"/>
            <w:jc w:val="center"/>
            <w:rPr>
              <w:sz w:val="14"/>
              <w:szCs w:val="14"/>
            </w:rPr>
          </w:pPr>
          <w:r>
            <w:rPr>
              <w:rFonts w:ascii="Arial" w:hAnsi="Arial" w:cs="Arial"/>
              <w:sz w:val="14"/>
              <w:szCs w:val="14"/>
            </w:rPr>
            <w:t>Canadian Standards</w:t>
          </w:r>
        </w:p>
      </w:tc>
      <w:tc>
        <w:tcPr>
          <w:tcW w:w="2410" w:type="dxa"/>
          <w:tcBorders>
            <w:top w:val="double" w:sz="6" w:space="0" w:color="000000"/>
            <w:left w:val="single" w:sz="6" w:space="0" w:color="000000"/>
            <w:bottom w:val="double" w:sz="6" w:space="0" w:color="000000"/>
            <w:right w:val="nil"/>
          </w:tcBorders>
        </w:tcPr>
        <w:p>
          <w:pPr>
            <w:tabs>
              <w:tab w:val="left" w:pos="-1440"/>
              <w:tab w:val="left" w:pos="-720"/>
              <w:tab w:val="left" w:pos="163"/>
              <w:tab w:val="left" w:pos="720"/>
            </w:tabs>
            <w:spacing w:before="132"/>
            <w:jc w:val="center"/>
            <w:rPr>
              <w:sz w:val="14"/>
              <w:szCs w:val="14"/>
            </w:rPr>
          </w:pPr>
          <w:r>
            <w:rPr>
              <w:rFonts w:ascii="Arial" w:hAnsi="Arial" w:cs="Arial"/>
              <w:sz w:val="14"/>
              <w:szCs w:val="14"/>
            </w:rPr>
            <w:t>EU Standards</w:t>
          </w:r>
        </w:p>
      </w:tc>
      <w:tc>
        <w:tcPr>
          <w:tcW w:w="4394" w:type="dxa"/>
          <w:tcBorders>
            <w:top w:val="double" w:sz="6" w:space="0" w:color="000000"/>
            <w:left w:val="single" w:sz="6" w:space="0" w:color="000000"/>
            <w:bottom w:val="double" w:sz="6" w:space="0" w:color="000000"/>
            <w:right w:val="double" w:sz="6" w:space="0" w:color="000000"/>
          </w:tcBorders>
        </w:tcPr>
        <w:p>
          <w:pPr>
            <w:tabs>
              <w:tab w:val="left" w:pos="-1440"/>
              <w:tab w:val="left" w:pos="-720"/>
              <w:tab w:val="left" w:pos="163"/>
              <w:tab w:val="left" w:pos="720"/>
              <w:tab w:val="left" w:pos="1440"/>
            </w:tabs>
            <w:spacing w:before="132"/>
            <w:jc w:val="center"/>
            <w:rPr>
              <w:sz w:val="14"/>
              <w:szCs w:val="14"/>
            </w:rPr>
          </w:pPr>
          <w:r>
            <w:rPr>
              <w:rFonts w:ascii="Arial" w:hAnsi="Arial" w:cs="Arial"/>
              <w:sz w:val="14"/>
              <w:szCs w:val="14"/>
            </w:rPr>
            <w:t>Special Conditions</w:t>
          </w:r>
        </w:p>
      </w:tc>
    </w:tr>
  </w:tbl>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2DA2F6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B7426B6"/>
    <w:lvl w:ilvl="0">
      <w:start w:val="1"/>
      <w:numFmt w:val="decimal"/>
      <w:pStyle w:val="ListNumber3"/>
      <w:lvlText w:val="%1."/>
      <w:lvlJc w:val="left"/>
      <w:pPr>
        <w:tabs>
          <w:tab w:val="num" w:pos="926"/>
        </w:tabs>
        <w:ind w:left="926" w:hanging="360"/>
      </w:pPr>
    </w:lvl>
  </w:abstractNum>
  <w:abstractNum w:abstractNumId="3">
    <w:nsid w:val="FFFFFF7F"/>
    <w:multiLevelType w:val="singleLevel"/>
    <w:tmpl w:val="DE8663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748442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20C56E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63ED9C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8BEEC7E"/>
    <w:lvl w:ilvl="0">
      <w:start w:val="1"/>
      <w:numFmt w:val="decimal"/>
      <w:pStyle w:val="ListNumber"/>
      <w:lvlText w:val="%1."/>
      <w:lvlJc w:val="left"/>
      <w:pPr>
        <w:tabs>
          <w:tab w:val="num" w:pos="360"/>
        </w:tabs>
        <w:ind w:left="360" w:hanging="360"/>
      </w:pPr>
    </w:lvl>
  </w:abstractNum>
  <w:abstractNum w:abstractNumId="9">
    <w:nsid w:val="FFFFFF89"/>
    <w:multiLevelType w:val="singleLevel"/>
    <w:tmpl w:val="2E7832A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33193B"/>
    <w:multiLevelType w:val="hybridMultilevel"/>
    <w:tmpl w:val="030A07A0"/>
    <w:lvl w:ilvl="0" w:tplc="B0C612C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9D26212"/>
    <w:multiLevelType w:val="multilevel"/>
    <w:tmpl w:val="537E8FF6"/>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0B5C0823"/>
    <w:multiLevelType w:val="multilevel"/>
    <w:tmpl w:val="990E35A0"/>
    <w:styleLink w:val="List0"/>
    <w:lvl w:ilvl="0">
      <w:start w:val="1"/>
      <w:numFmt w:val="decimal"/>
      <w:lvlText w:val="%1."/>
      <w:lvlJc w:val="left"/>
      <w:rPr>
        <w:rFonts w:ascii="Trebuchet MS Bold" w:eastAsia="Trebuchet MS Bold" w:hAnsi="Trebuchet MS Bold" w:cs="Trebuchet MS Bold"/>
        <w:b/>
        <w:bCs/>
        <w:position w:val="0"/>
      </w:rPr>
    </w:lvl>
    <w:lvl w:ilvl="1">
      <w:start w:val="1"/>
      <w:numFmt w:val="lowerLetter"/>
      <w:lvlText w:val="%2."/>
      <w:lvlJc w:val="left"/>
      <w:rPr>
        <w:rFonts w:ascii="Calibri" w:eastAsia="Calibri" w:hAnsi="Calibri" w:cs="Calibri"/>
        <w:b/>
        <w:bCs/>
        <w:position w:val="0"/>
      </w:rPr>
    </w:lvl>
    <w:lvl w:ilvl="2">
      <w:start w:val="1"/>
      <w:numFmt w:val="lowerRoman"/>
      <w:lvlText w:val="%3."/>
      <w:lvlJc w:val="left"/>
      <w:rPr>
        <w:rFonts w:ascii="Calibri" w:eastAsia="Calibri" w:hAnsi="Calibri" w:cs="Calibri"/>
        <w:b/>
        <w:bCs/>
        <w:position w:val="0"/>
      </w:rPr>
    </w:lvl>
    <w:lvl w:ilvl="3">
      <w:start w:val="1"/>
      <w:numFmt w:val="decimal"/>
      <w:lvlText w:val="%4."/>
      <w:lvlJc w:val="left"/>
      <w:rPr>
        <w:rFonts w:ascii="Calibri" w:eastAsia="Calibri" w:hAnsi="Calibri" w:cs="Calibri"/>
        <w:b/>
        <w:bCs/>
        <w:position w:val="0"/>
      </w:rPr>
    </w:lvl>
    <w:lvl w:ilvl="4">
      <w:start w:val="1"/>
      <w:numFmt w:val="lowerLetter"/>
      <w:lvlText w:val="%5."/>
      <w:lvlJc w:val="left"/>
      <w:rPr>
        <w:rFonts w:ascii="Calibri" w:eastAsia="Calibri" w:hAnsi="Calibri" w:cs="Calibri"/>
        <w:b/>
        <w:bCs/>
        <w:position w:val="0"/>
      </w:rPr>
    </w:lvl>
    <w:lvl w:ilvl="5">
      <w:start w:val="1"/>
      <w:numFmt w:val="lowerRoman"/>
      <w:lvlText w:val="%6."/>
      <w:lvlJc w:val="left"/>
      <w:rPr>
        <w:rFonts w:ascii="Calibri" w:eastAsia="Calibri" w:hAnsi="Calibri" w:cs="Calibri"/>
        <w:b/>
        <w:bCs/>
        <w:position w:val="0"/>
      </w:rPr>
    </w:lvl>
    <w:lvl w:ilvl="6">
      <w:start w:val="1"/>
      <w:numFmt w:val="decimal"/>
      <w:lvlText w:val="%7."/>
      <w:lvlJc w:val="left"/>
      <w:rPr>
        <w:rFonts w:ascii="Calibri" w:eastAsia="Calibri" w:hAnsi="Calibri" w:cs="Calibri"/>
        <w:b/>
        <w:bCs/>
        <w:position w:val="0"/>
      </w:rPr>
    </w:lvl>
    <w:lvl w:ilvl="7">
      <w:start w:val="1"/>
      <w:numFmt w:val="lowerLetter"/>
      <w:lvlText w:val="%8."/>
      <w:lvlJc w:val="left"/>
      <w:rPr>
        <w:rFonts w:ascii="Calibri" w:eastAsia="Calibri" w:hAnsi="Calibri" w:cs="Calibri"/>
        <w:b/>
        <w:bCs/>
        <w:position w:val="0"/>
      </w:rPr>
    </w:lvl>
    <w:lvl w:ilvl="8">
      <w:start w:val="1"/>
      <w:numFmt w:val="lowerRoman"/>
      <w:lvlText w:val="%9."/>
      <w:lvlJc w:val="left"/>
      <w:rPr>
        <w:rFonts w:ascii="Calibri" w:eastAsia="Calibri" w:hAnsi="Calibri" w:cs="Calibri"/>
        <w:b/>
        <w:bCs/>
        <w:position w:val="0"/>
      </w:rPr>
    </w:lvl>
  </w:abstractNum>
  <w:abstractNum w:abstractNumId="13">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14">
    <w:nsid w:val="102226A5"/>
    <w:multiLevelType w:val="multilevel"/>
    <w:tmpl w:val="8A9646CE"/>
    <w:styleLink w:val="List21"/>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abstractNum w:abstractNumId="15">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6">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7">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2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2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22">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23">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24">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5">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6">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7">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9">
    <w:nsid w:val="429F04F7"/>
    <w:multiLevelType w:val="hybridMultilevel"/>
    <w:tmpl w:val="94AC3552"/>
    <w:lvl w:ilvl="0" w:tplc="EC4EFE5C">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0">
    <w:nsid w:val="42D107BB"/>
    <w:multiLevelType w:val="hybridMultilevel"/>
    <w:tmpl w:val="7982E6FA"/>
    <w:lvl w:ilvl="0" w:tplc="62DE5C4E">
      <w:start w:val="2"/>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32">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33">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34">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34136A7"/>
    <w:multiLevelType w:val="hybridMultilevel"/>
    <w:tmpl w:val="B30AFA5A"/>
    <w:styleLink w:val="List01"/>
    <w:lvl w:ilvl="0" w:tplc="08090017">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7">
    <w:nsid w:val="59C35D6C"/>
    <w:multiLevelType w:val="multilevel"/>
    <w:tmpl w:val="7E3E732A"/>
    <w:styleLink w:val="List1"/>
    <w:lvl w:ilvl="0">
      <w:start w:val="1"/>
      <w:numFmt w:val="bullet"/>
      <w:lvlText w:val="-"/>
      <w:lvlJc w:val="left"/>
      <w:rPr>
        <w:rFonts w:ascii="Trebuchet MS" w:eastAsia="Trebuchet MS" w:hAnsi="Trebuchet MS" w:cs="Trebuchet MS"/>
        <w:position w:val="0"/>
      </w:rPr>
    </w:lvl>
    <w:lvl w:ilvl="1">
      <w:numFmt w:val="bullet"/>
      <w:lvlText w:val="o"/>
      <w:lvlJc w:val="left"/>
      <w:rPr>
        <w:rFonts w:ascii="Trebuchet MS Bold" w:eastAsia="Trebuchet MS Bold" w:hAnsi="Trebuchet MS Bold" w:cs="Trebuchet MS Bold"/>
        <w:position w:val="0"/>
      </w:rPr>
    </w:lvl>
    <w:lvl w:ilvl="2">
      <w:start w:val="1"/>
      <w:numFmt w:val="bullet"/>
      <w:lvlText w:val="▪"/>
      <w:lvlJc w:val="left"/>
      <w:rPr>
        <w:rFonts w:ascii="Trebuchet MS" w:eastAsia="Trebuchet MS" w:hAnsi="Trebuchet MS" w:cs="Trebuchet MS"/>
        <w:position w:val="0"/>
      </w:rPr>
    </w:lvl>
    <w:lvl w:ilvl="3">
      <w:start w:val="1"/>
      <w:numFmt w:val="bullet"/>
      <w:lvlText w:val="•"/>
      <w:lvlJc w:val="left"/>
      <w:rPr>
        <w:rFonts w:ascii="Trebuchet MS" w:eastAsia="Trebuchet MS" w:hAnsi="Trebuchet MS" w:cs="Trebuchet MS"/>
        <w:position w:val="0"/>
      </w:rPr>
    </w:lvl>
    <w:lvl w:ilvl="4">
      <w:start w:val="1"/>
      <w:numFmt w:val="bullet"/>
      <w:lvlText w:val="o"/>
      <w:lvlJc w:val="left"/>
      <w:rPr>
        <w:rFonts w:ascii="Trebuchet MS" w:eastAsia="Trebuchet MS" w:hAnsi="Trebuchet MS" w:cs="Trebuchet MS"/>
        <w:position w:val="0"/>
      </w:rPr>
    </w:lvl>
    <w:lvl w:ilvl="5">
      <w:start w:val="1"/>
      <w:numFmt w:val="bullet"/>
      <w:lvlText w:val="▪"/>
      <w:lvlJc w:val="left"/>
      <w:rPr>
        <w:rFonts w:ascii="Trebuchet MS" w:eastAsia="Trebuchet MS" w:hAnsi="Trebuchet MS" w:cs="Trebuchet MS"/>
        <w:position w:val="0"/>
      </w:rPr>
    </w:lvl>
    <w:lvl w:ilvl="6">
      <w:start w:val="1"/>
      <w:numFmt w:val="bullet"/>
      <w:lvlText w:val="•"/>
      <w:lvlJc w:val="left"/>
      <w:rPr>
        <w:rFonts w:ascii="Trebuchet MS" w:eastAsia="Trebuchet MS" w:hAnsi="Trebuchet MS" w:cs="Trebuchet MS"/>
        <w:position w:val="0"/>
      </w:rPr>
    </w:lvl>
    <w:lvl w:ilvl="7">
      <w:start w:val="1"/>
      <w:numFmt w:val="bullet"/>
      <w:lvlText w:val="o"/>
      <w:lvlJc w:val="left"/>
      <w:rPr>
        <w:rFonts w:ascii="Trebuchet MS" w:eastAsia="Trebuchet MS" w:hAnsi="Trebuchet MS" w:cs="Trebuchet MS"/>
        <w:position w:val="0"/>
      </w:rPr>
    </w:lvl>
    <w:lvl w:ilvl="8">
      <w:start w:val="1"/>
      <w:numFmt w:val="bullet"/>
      <w:lvlText w:val="▪"/>
      <w:lvlJc w:val="left"/>
      <w:rPr>
        <w:rFonts w:ascii="Trebuchet MS" w:eastAsia="Trebuchet MS" w:hAnsi="Trebuchet MS" w:cs="Trebuchet MS"/>
        <w:position w:val="0"/>
      </w:rPr>
    </w:lvl>
  </w:abstractNum>
  <w:abstractNum w:abstractNumId="3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1">
    <w:nsid w:val="60781CC4"/>
    <w:multiLevelType w:val="hybridMultilevel"/>
    <w:tmpl w:val="BF4E92EE"/>
    <w:lvl w:ilvl="0" w:tplc="DB481910">
      <w:start w:val="1"/>
      <w:numFmt w:val="lowerLetter"/>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abstractNum w:abstractNumId="42">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4">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5">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6">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47">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48">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9">
    <w:nsid w:val="76304E8E"/>
    <w:multiLevelType w:val="hybridMultilevel"/>
    <w:tmpl w:val="0630CC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5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52">
    <w:nsid w:val="7DF57601"/>
    <w:multiLevelType w:val="hybridMultilevel"/>
    <w:tmpl w:val="8722C7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26"/>
  </w:num>
  <w:num w:numId="3">
    <w:abstractNumId w:val="50"/>
  </w:num>
  <w:num w:numId="4">
    <w:abstractNumId w:val="16"/>
  </w:num>
  <w:num w:numId="5">
    <w:abstractNumId w:val="32"/>
  </w:num>
  <w:num w:numId="6">
    <w:abstractNumId w:val="24"/>
  </w:num>
  <w:num w:numId="7">
    <w:abstractNumId w:val="27"/>
  </w:num>
  <w:num w:numId="8">
    <w:abstractNumId w:val="47"/>
  </w:num>
  <w:num w:numId="9">
    <w:abstractNumId w:val="22"/>
  </w:num>
  <w:num w:numId="10">
    <w:abstractNumId w:val="13"/>
  </w:num>
  <w:num w:numId="11">
    <w:abstractNumId w:val="17"/>
  </w:num>
  <w:num w:numId="12">
    <w:abstractNumId w:val="17"/>
  </w:num>
  <w:num w:numId="13">
    <w:abstractNumId w:val="17"/>
  </w:num>
  <w:num w:numId="14">
    <w:abstractNumId w:val="17"/>
  </w:num>
  <w:num w:numId="15">
    <w:abstractNumId w:val="9"/>
  </w:num>
  <w:num w:numId="16">
    <w:abstractNumId w:val="7"/>
  </w:num>
  <w:num w:numId="17">
    <w:abstractNumId w:val="6"/>
  </w:num>
  <w:num w:numId="18">
    <w:abstractNumId w:val="5"/>
  </w:num>
  <w:num w:numId="19">
    <w:abstractNumId w:val="8"/>
  </w:num>
  <w:num w:numId="20">
    <w:abstractNumId w:val="3"/>
  </w:num>
  <w:num w:numId="21">
    <w:abstractNumId w:val="2"/>
  </w:num>
  <w:num w:numId="22">
    <w:abstractNumId w:val="1"/>
  </w:num>
  <w:num w:numId="23">
    <w:abstractNumId w:val="35"/>
  </w:num>
  <w:num w:numId="24">
    <w:abstractNumId w:val="12"/>
  </w:num>
  <w:num w:numId="25">
    <w:abstractNumId w:val="14"/>
  </w:num>
  <w:num w:numId="26">
    <w:abstractNumId w:val="11"/>
  </w:num>
  <w:num w:numId="27">
    <w:abstractNumId w:val="4"/>
  </w:num>
  <w:num w:numId="28">
    <w:abstractNumId w:val="0"/>
  </w:num>
  <w:num w:numId="29">
    <w:abstractNumId w:val="37"/>
  </w:num>
  <w:num w:numId="30">
    <w:abstractNumId w:val="25"/>
  </w:num>
  <w:num w:numId="31">
    <w:abstractNumId w:val="43"/>
  </w:num>
  <w:num w:numId="32">
    <w:abstractNumId w:val="45"/>
  </w:num>
  <w:num w:numId="33">
    <w:abstractNumId w:val="44"/>
  </w:num>
  <w:num w:numId="34">
    <w:abstractNumId w:val="48"/>
  </w:num>
  <w:num w:numId="35">
    <w:abstractNumId w:val="19"/>
  </w:num>
  <w:num w:numId="36">
    <w:abstractNumId w:val="34"/>
  </w:num>
  <w:num w:numId="37">
    <w:abstractNumId w:val="28"/>
  </w:num>
  <w:num w:numId="38">
    <w:abstractNumId w:val="46"/>
  </w:num>
  <w:num w:numId="39">
    <w:abstractNumId w:val="41"/>
  </w:num>
  <w:num w:numId="40">
    <w:abstractNumId w:val="28"/>
    <w:lvlOverride w:ilvl="0">
      <w:startOverride w:val="1"/>
    </w:lvlOverride>
  </w:num>
  <w:num w:numId="41">
    <w:abstractNumId w:val="46"/>
    <w:lvlOverride w:ilvl="0">
      <w:startOverride w:val="1"/>
    </w:lvlOverride>
  </w:num>
  <w:num w:numId="42">
    <w:abstractNumId w:val="40"/>
  </w:num>
  <w:num w:numId="43">
    <w:abstractNumId w:val="21"/>
  </w:num>
  <w:num w:numId="44">
    <w:abstractNumId w:val="31"/>
  </w:num>
  <w:num w:numId="45">
    <w:abstractNumId w:val="18"/>
  </w:num>
  <w:num w:numId="46">
    <w:abstractNumId w:val="15"/>
  </w:num>
  <w:num w:numId="47">
    <w:abstractNumId w:val="33"/>
  </w:num>
  <w:num w:numId="48">
    <w:abstractNumId w:val="38"/>
  </w:num>
  <w:num w:numId="49">
    <w:abstractNumId w:val="39"/>
  </w:num>
  <w:num w:numId="50">
    <w:abstractNumId w:val="20"/>
  </w:num>
  <w:num w:numId="51">
    <w:abstractNumId w:val="36"/>
  </w:num>
  <w:num w:numId="52">
    <w:abstractNumId w:val="51"/>
  </w:num>
  <w:num w:numId="53">
    <w:abstractNumId w:val="42"/>
  </w:num>
  <w:num w:numId="54">
    <w:abstractNumId w:val="52"/>
  </w:num>
  <w:num w:numId="55">
    <w:abstractNumId w:val="49"/>
  </w:num>
  <w:num w:numId="56">
    <w:abstractNumId w:val="10"/>
  </w:num>
  <w:num w:numId="57">
    <w:abstractNumId w:val="30"/>
  </w:num>
  <w:num w:numId="5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pt-PT" w:vendorID="13" w:dllVersion="513"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Num" w:val="0"/>
    <w:docVar w:name="COVERPAGE_EXISTS" w:val="True"/>
    <w:docVar w:name="DocStatus" w:val="Green"/>
    <w:docVar w:name="DW_DocType" w:val="_GENEN"/>
    <w:docVar w:name="LW_ACCOMPAGNANT.CP" w:val="à la"/>
    <w:docVar w:name="LW_ANNEX_NBR_FIRST" w:val="2"/>
    <w:docVar w:name="LW_ANNEX_NBR_LAST" w:val="2"/>
    <w:docVar w:name="LW_CONFIDENCE" w:val=" "/>
    <w:docVar w:name="LW_CONST_RESTREINT_UE" w:val="RESTREINT UE"/>
    <w:docVar w:name="LW_CORRIGENDUM" w:val="&lt;UNUSED&gt;"/>
    <w:docVar w:name="LW_COVERPAGE_GUID" w:val="23E67FF7EF3F4935BD43E4DDB96CABFD"/>
    <w:docVar w:name="LW_CROSSREFERENCE" w:val="&lt;UNUSED&gt;"/>
    <w:docVar w:name="LW_DocType" w:val="_GENEN"/>
    <w:docVar w:name="LW_EMISSION" w:val="5.7.2016"/>
    <w:docVar w:name="LW_EMISSION_ISODATE" w:val="2016-07-05"/>
    <w:docVar w:name="LW_EMISSION_LOCATION" w:val="STR"/>
    <w:docVar w:name="LW_EMISSION_PREFIX" w:val="Strasbourg, le "/>
    <w:docVar w:name="LW_EMISSION_SUFFIX" w:val=" "/>
    <w:docVar w:name="LW_ID_DOCTYPE_NONLW" w:val="CP-036"/>
    <w:docVar w:name="LW_LANGUE" w:val="FR"/>
    <w:docVar w:name="LW_MARKING" w:val="&lt;UNUSED&gt;"/>
    <w:docVar w:name="LW_NOM.INST" w:val="COMMISSION EUROPÉENNE"/>
    <w:docVar w:name="LW_NOM.INST_JOINTDOC" w:val="&lt;EMPTY&gt;"/>
    <w:docVar w:name="LW_OBJETACTEPRINCIPAL.CP" w:val="relative à la conclusion de l\u8217?accord économique et commercial global entre le Canada, d\u8217?une part, et l\u8217?Union européenne et ses États membres, d\u8217?autre part"/>
    <w:docVar w:name="LW_PART_NBR" w:val="3"/>
    <w:docVar w:name="LW_PART_NBR_TOTAL" w:val="3"/>
    <w:docVar w:name="LW_REF.INST.NEW" w:val="COM"/>
    <w:docVar w:name="LW_REF.INST.NEW_ADOPTED" w:val="final"/>
    <w:docVar w:name="LW_REF.INST.NEW_TEXT" w:val="(2016) 443"/>
    <w:docVar w:name="LW_REF.INTERNE" w:val="&lt;UNUSED&gt;"/>
    <w:docVar w:name="LW_SUPERTITRE" w:val="&lt;UNUSED&gt;"/>
    <w:docVar w:name="LW_TITRE.OBJ.CP" w:val="&lt;UNUSED&gt;"/>
    <w:docVar w:name="LW_TYPE.DOC.CP" w:val="ANNEXE_x000b_"/>
    <w:docVar w:name="LW_TYPEACTEPRINCIPAL.CP" w:val="proposition de décision du Conseil "/>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envelope address" w:uiPriority="0"/>
    <w:lsdException w:name="envelope return"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2" w:uiPriority="0"/>
    <w:lsdException w:name="List 3" w:uiPriority="0"/>
    <w:lsdException w:name="List 4" w:uiPriority="0"/>
    <w:lsdException w:name="List 5" w:uiPriority="0"/>
    <w:lsdException w:name="List Bullet 3" w:uiPriority="0"/>
    <w:lsdException w:name="List Bullet 5"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uiPriority w:val="9"/>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aliases w:val="BVI fnr, BVI fnr,(Footnote Reference),Footnote Reference/,Ref,de nota al pie"/>
    <w:uiPriority w:val="99"/>
    <w:rPr>
      <w:b/>
      <w:vertAlign w:val="superscript"/>
    </w:rPr>
  </w:style>
  <w:style w:type="paragraph" w:styleId="FootnoteText">
    <w:name w:val="footnote text"/>
    <w:aliases w:val="Final Footnote Text,Final Footnote Text Char Char,GM_Fußnotentext,Footnote text,fn,Schriftart: 9 pt,Schriftart: 10 pt,Schriftart: 8 pt,WB-Fußnoten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numbering" w:customStyle="1" w:styleId="NoList1">
    <w:name w:val="No List1"/>
    <w:next w:val="No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character" w:customStyle="1" w:styleId="Heading5Char">
    <w:name w:val="Heading 5 Char"/>
    <w:basedOn w:val="DefaultParagraphFont"/>
    <w:link w:val="Heading5"/>
    <w:uiPriority w:val="9"/>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iPriority w:val="99"/>
    <w:unhideWhenUsed/>
    <w:pPr>
      <w:widowControl/>
      <w:spacing w:before="120" w:line="240" w:lineRule="auto"/>
      <w:jc w:val="both"/>
    </w:pPr>
    <w:rPr>
      <w:rFonts w:eastAsiaTheme="minorHAnsi"/>
      <w:szCs w:val="22"/>
      <w:lang w:eastAsia="en-US"/>
    </w:rPr>
  </w:style>
  <w:style w:type="paragraph" w:styleId="ListBullet">
    <w:name w:val="List Bullet"/>
    <w:basedOn w:val="Normal"/>
    <w:uiPriority w:val="99"/>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iPriority w:val="99"/>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iPriority w:val="99"/>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iPriority w:val="99"/>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iPriority w:val="99"/>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iPriority w:val="99"/>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iPriority w:val="99"/>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rPr>
      <w:rFonts w:ascii="Tahoma" w:hAnsi="Tahoma" w:cs="Tahoma"/>
      <w:sz w:val="16"/>
      <w:szCs w:val="16"/>
      <w:lang w:eastAsia="fr-BE"/>
    </w:rPr>
  </w:style>
  <w:style w:type="paragraph" w:styleId="ListParagraph">
    <w:name w:val="List Paragraph"/>
    <w:basedOn w:val="Normal"/>
    <w:uiPriority w:val="34"/>
    <w:qFormat/>
    <w:pPr>
      <w:widowControl/>
      <w:spacing w:after="200" w:line="276" w:lineRule="auto"/>
      <w:ind w:left="720"/>
      <w:contextualSpacing/>
    </w:pPr>
    <w:rPr>
      <w:rFonts w:asciiTheme="minorHAnsi" w:eastAsiaTheme="minorHAnsi" w:hAnsiTheme="minorHAnsi" w:cstheme="minorBidi"/>
      <w:sz w:val="22"/>
      <w:szCs w:val="22"/>
      <w:lang w:val="en-CA" w:eastAsia="en-US"/>
    </w:rPr>
  </w:style>
  <w:style w:type="character" w:styleId="FollowedHyperlink">
    <w:name w:val="FollowedHyperlink"/>
    <w:basedOn w:val="DefaultParagraphFont"/>
    <w:unhideWhenUsed/>
    <w:rPr>
      <w:color w:val="800080"/>
      <w:u w:val="single"/>
    </w:rPr>
  </w:style>
  <w:style w:type="paragraph" w:customStyle="1" w:styleId="xl63">
    <w:name w:val="xl63"/>
    <w:basedOn w:val="Normal"/>
    <w:pPr>
      <w:widowControl/>
      <w:spacing w:before="100" w:beforeAutospacing="1" w:after="100" w:afterAutospacing="1" w:line="240" w:lineRule="auto"/>
      <w:textAlignment w:val="top"/>
    </w:pPr>
    <w:rPr>
      <w:szCs w:val="24"/>
      <w:lang w:eastAsia="en-GB"/>
    </w:rPr>
  </w:style>
  <w:style w:type="paragraph" w:customStyle="1" w:styleId="xl64">
    <w:name w:val="xl64"/>
    <w:basedOn w:val="Normal"/>
    <w:pPr>
      <w:widowControl/>
      <w:spacing w:before="100" w:beforeAutospacing="1" w:after="100" w:afterAutospacing="1" w:line="240" w:lineRule="auto"/>
      <w:textAlignment w:val="top"/>
    </w:pPr>
    <w:rPr>
      <w:b/>
      <w:bCs/>
      <w:szCs w:val="24"/>
      <w:lang w:eastAsia="en-GB"/>
    </w:rPr>
  </w:style>
  <w:style w:type="paragraph" w:customStyle="1" w:styleId="xl65">
    <w:name w:val="xl65"/>
    <w:basedOn w:val="Normal"/>
    <w:pPr>
      <w:widowControl/>
      <w:spacing w:before="100" w:beforeAutospacing="1" w:after="100" w:afterAutospacing="1" w:line="240" w:lineRule="auto"/>
      <w:textAlignment w:val="top"/>
    </w:pPr>
    <w:rPr>
      <w:szCs w:val="24"/>
      <w:lang w:eastAsia="en-GB"/>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b/>
      <w:bCs/>
      <w:color w:val="000000"/>
      <w:szCs w:val="24"/>
      <w:lang w:eastAsia="en-GB"/>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b/>
      <w:bCs/>
      <w:color w:val="000000"/>
      <w:szCs w:val="24"/>
      <w:lang w:eastAsia="en-GB"/>
    </w:rPr>
  </w:style>
  <w:style w:type="paragraph" w:customStyle="1" w:styleId="xl68">
    <w:name w:val="xl68"/>
    <w:basedOn w:val="Normal"/>
    <w:pPr>
      <w:widowControl/>
      <w:spacing w:before="100" w:beforeAutospacing="1" w:after="100" w:afterAutospacing="1" w:line="240" w:lineRule="auto"/>
    </w:pPr>
    <w:rPr>
      <w:szCs w:val="24"/>
      <w:lang w:eastAsia="en-GB"/>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b/>
      <w:bCs/>
      <w:color w:val="000000"/>
      <w:szCs w:val="24"/>
      <w:lang w:eastAsia="en-GB"/>
    </w:rPr>
  </w:style>
  <w:style w:type="paragraph" w:customStyle="1" w:styleId="xl70">
    <w:name w:val="xl70"/>
    <w:basedOn w:val="Normal"/>
    <w:pPr>
      <w:widowControl/>
      <w:spacing w:before="100" w:beforeAutospacing="1" w:after="100" w:afterAutospacing="1" w:line="240" w:lineRule="auto"/>
      <w:jc w:val="center"/>
      <w:textAlignment w:val="top"/>
    </w:pPr>
    <w:rPr>
      <w:szCs w:val="24"/>
      <w:lang w:eastAsia="en-GB"/>
    </w:rPr>
  </w:style>
  <w:style w:type="paragraph" w:customStyle="1" w:styleId="xl71">
    <w:name w:val="xl71"/>
    <w:basedOn w:val="Normal"/>
    <w:pPr>
      <w:widowControl/>
      <w:spacing w:before="100" w:beforeAutospacing="1" w:after="100" w:afterAutospacing="1" w:line="240" w:lineRule="auto"/>
      <w:jc w:val="center"/>
      <w:textAlignment w:val="top"/>
    </w:pPr>
    <w:rPr>
      <w:szCs w:val="24"/>
      <w:lang w:eastAsia="en-GB"/>
    </w:rPr>
  </w:style>
  <w:style w:type="paragraph" w:customStyle="1" w:styleId="xl72">
    <w:name w:val="xl72"/>
    <w:basedOn w:val="Normal"/>
    <w:pPr>
      <w:widowControl/>
      <w:spacing w:before="100" w:beforeAutospacing="1" w:after="100" w:afterAutospacing="1" w:line="240" w:lineRule="auto"/>
      <w:jc w:val="center"/>
      <w:textAlignment w:val="top"/>
    </w:pPr>
    <w:rPr>
      <w:szCs w:val="24"/>
      <w:lang w:eastAsia="en-GB"/>
    </w:rPr>
  </w:style>
  <w:style w:type="paragraph" w:customStyle="1" w:styleId="xl73">
    <w:name w:val="xl73"/>
    <w:basedOn w:val="Normal"/>
    <w:pPr>
      <w:widowControl/>
      <w:spacing w:before="100" w:beforeAutospacing="1" w:after="100" w:afterAutospacing="1" w:line="240" w:lineRule="auto"/>
      <w:jc w:val="center"/>
      <w:textAlignment w:val="top"/>
    </w:pPr>
    <w:rPr>
      <w:szCs w:val="24"/>
      <w:lang w:eastAsia="en-GB"/>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Cs w:val="24"/>
      <w:lang w:eastAsia="en-GB"/>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Cs w:val="24"/>
      <w:lang w:eastAsia="en-GB"/>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Cs w:val="24"/>
      <w:lang w:eastAsia="en-GB"/>
    </w:rPr>
  </w:style>
  <w:style w:type="paragraph" w:customStyle="1" w:styleId="xl77">
    <w:name w:val="xl7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Cs w:val="24"/>
      <w:lang w:eastAsia="en-GB"/>
    </w:rPr>
  </w:style>
  <w:style w:type="paragraph" w:customStyle="1" w:styleId="xl78">
    <w:name w:val="xl78"/>
    <w:basedOn w:val="Normal"/>
    <w:pPr>
      <w:widowControl/>
      <w:spacing w:before="100" w:beforeAutospacing="1" w:after="100" w:afterAutospacing="1" w:line="240" w:lineRule="auto"/>
      <w:textAlignment w:val="top"/>
    </w:pPr>
    <w:rPr>
      <w:b/>
      <w:bCs/>
      <w:szCs w:val="24"/>
      <w:lang w:eastAsia="en-GB"/>
    </w:rPr>
  </w:style>
  <w:style w:type="numbering" w:customStyle="1" w:styleId="NoList11">
    <w:name w:val="No List11"/>
    <w:next w:val="NoList"/>
    <w:semiHidden/>
    <w:unhideWhenUsed/>
  </w:style>
  <w:style w:type="paragraph" w:customStyle="1" w:styleId="Car">
    <w:name w:val="Car"/>
    <w:basedOn w:val="Normal"/>
    <w:uiPriority w:val="99"/>
    <w:pPr>
      <w:widowControl/>
      <w:spacing w:line="240" w:lineRule="auto"/>
    </w:pPr>
    <w:rPr>
      <w:szCs w:val="24"/>
      <w:lang w:val="pl-PL" w:eastAsia="pl-PL"/>
    </w:rPr>
  </w:style>
  <w:style w:type="paragraph" w:customStyle="1" w:styleId="Blockquote">
    <w:name w:val="Blockquote"/>
    <w:basedOn w:val="Normal"/>
    <w:uiPriority w:val="99"/>
    <w:pPr>
      <w:widowControl/>
      <w:pBdr>
        <w:top w:val="dashSmallGap" w:sz="6" w:space="7" w:color="DDDDDD"/>
        <w:left w:val="dashSmallGap" w:sz="6" w:space="7" w:color="DDDDDD"/>
        <w:bottom w:val="dashSmallGap" w:sz="6" w:space="7" w:color="DDDDDD"/>
        <w:right w:val="dashSmallGap" w:sz="6" w:space="7" w:color="DDDDDD"/>
      </w:pBdr>
      <w:shd w:val="solid" w:color="FFFFFF" w:fill="auto"/>
      <w:spacing w:line="240" w:lineRule="auto"/>
    </w:pPr>
    <w:rPr>
      <w:rFonts w:ascii="Verdana" w:hAnsi="Verdana" w:cs="Verdana"/>
      <w:sz w:val="20"/>
      <w:szCs w:val="24"/>
      <w:bdr w:val="dashSmallGap" w:sz="6" w:space="0" w:color="DDDDDD"/>
      <w:shd w:val="solid" w:color="FFFFFF" w:fill="auto"/>
      <w:lang w:val="ru-RU" w:eastAsia="ru-RU"/>
    </w:rPr>
  </w:style>
  <w:style w:type="paragraph" w:customStyle="1" w:styleId="Preformatted">
    <w:name w:val="Preformatted"/>
    <w:basedOn w:val="Normal"/>
    <w:uiPriority w:val="99"/>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sz w:val="20"/>
      <w:lang w:val="es-GT" w:eastAsia="en-US"/>
    </w:rPr>
  </w:style>
  <w:style w:type="character" w:customStyle="1" w:styleId="Point1Char">
    <w:name w:val="Point 1 Char"/>
    <w:basedOn w:val="DefaultParagraphFont"/>
    <w:uiPriority w:val="99"/>
    <w:locked/>
    <w:rPr>
      <w:rFonts w:ascii="Times New Roman" w:hAnsi="Times New Roman" w:cs="Times New Roman"/>
      <w:sz w:val="24"/>
      <w:lang w:val="en-GB"/>
    </w:rPr>
  </w:style>
  <w:style w:type="paragraph" w:customStyle="1" w:styleId="ListDash">
    <w:name w:val="List Dash"/>
    <w:basedOn w:val="Normal"/>
    <w:pPr>
      <w:widowControl/>
      <w:numPr>
        <w:numId w:val="31"/>
      </w:numPr>
      <w:spacing w:after="240" w:line="240" w:lineRule="auto"/>
      <w:jc w:val="both"/>
    </w:pPr>
    <w:rPr>
      <w:lang w:eastAsia="en-US"/>
    </w:rPr>
  </w:style>
  <w:style w:type="character" w:styleId="Strong">
    <w:name w:val="Strong"/>
    <w:basedOn w:val="DefaultParagraphFont"/>
    <w:uiPriority w:val="22"/>
    <w:qFormat/>
    <w:rPr>
      <w:rFonts w:cs="Times New Roman"/>
      <w:b/>
      <w:bCs/>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H5">
    <w:name w:val="H5"/>
    <w:basedOn w:val="Normal"/>
    <w:next w:val="Normal"/>
    <w:uiPriority w:val="99"/>
    <w:pPr>
      <w:keepNext/>
      <w:widowControl/>
      <w:spacing w:before="100" w:after="100" w:line="240" w:lineRule="auto"/>
      <w:outlineLvl w:val="5"/>
    </w:pPr>
    <w:rPr>
      <w:b/>
      <w:bCs/>
      <w:sz w:val="20"/>
      <w:lang w:val="es-GT" w:eastAsia="en-US"/>
    </w:rPr>
  </w:style>
  <w:style w:type="paragraph" w:styleId="DocumentMap">
    <w:name w:val="Document Map"/>
    <w:basedOn w:val="Normal"/>
    <w:link w:val="DocumentMapChar"/>
    <w:pPr>
      <w:widowControl/>
      <w:shd w:val="clear" w:color="auto" w:fill="000080"/>
      <w:spacing w:line="240" w:lineRule="auto"/>
    </w:pPr>
    <w:rPr>
      <w:rFonts w:ascii="Tahoma" w:hAnsi="Tahoma" w:cs="Tahoma"/>
      <w:szCs w:val="24"/>
      <w:lang w:eastAsia="en-GB"/>
    </w:rPr>
  </w:style>
  <w:style w:type="character" w:customStyle="1" w:styleId="DocumentMapChar">
    <w:name w:val="Document Map Char"/>
    <w:basedOn w:val="DefaultParagraphFont"/>
    <w:link w:val="DocumentMap"/>
    <w:rPr>
      <w:rFonts w:ascii="Tahoma" w:hAnsi="Tahoma" w:cs="Tahoma"/>
      <w:sz w:val="24"/>
      <w:szCs w:val="24"/>
      <w:shd w:val="clear" w:color="auto" w:fill="000080"/>
    </w:rPr>
  </w:style>
  <w:style w:type="paragraph" w:styleId="Revision">
    <w:name w:val="Revision"/>
    <w:hidden/>
    <w:uiPriority w:val="99"/>
    <w:semiHidden/>
    <w:rPr>
      <w:sz w:val="24"/>
      <w:szCs w:val="24"/>
    </w:rPr>
  </w:style>
  <w:style w:type="character" w:styleId="Emphasis">
    <w:name w:val="Emphasis"/>
    <w:basedOn w:val="DefaultParagraphFont"/>
    <w:uiPriority w:val="20"/>
    <w:qFormat/>
    <w:rPr>
      <w:i/>
      <w:iCs/>
    </w:rPr>
  </w:style>
  <w:style w:type="numbering" w:customStyle="1" w:styleId="List0">
    <w:name w:val="List 0"/>
    <w:basedOn w:val="NoList"/>
    <w:pPr>
      <w:numPr>
        <w:numId w:val="24"/>
      </w:numPr>
    </w:pPr>
  </w:style>
  <w:style w:type="numbering" w:customStyle="1" w:styleId="List21">
    <w:name w:val="List 21"/>
    <w:basedOn w:val="NoList"/>
    <w:pPr>
      <w:numPr>
        <w:numId w:val="25"/>
      </w:numPr>
    </w:pPr>
  </w:style>
  <w:style w:type="numbering" w:customStyle="1" w:styleId="List31">
    <w:name w:val="List 31"/>
    <w:basedOn w:val="NoList"/>
    <w:pPr>
      <w:numPr>
        <w:numId w:val="26"/>
      </w:numPr>
    </w:pPr>
  </w:style>
  <w:style w:type="paragraph" w:customStyle="1" w:styleId="font5">
    <w:name w:val="font5"/>
    <w:basedOn w:val="Normal"/>
    <w:pPr>
      <w:widowControl/>
      <w:spacing w:before="100" w:beforeAutospacing="1" w:after="100" w:afterAutospacing="1" w:line="240" w:lineRule="auto"/>
    </w:pPr>
    <w:rPr>
      <w:rFonts w:ascii="Arial" w:hAnsi="Arial" w:cs="Arial"/>
      <w:color w:val="000000"/>
      <w:sz w:val="20"/>
      <w:lang w:eastAsia="en-GB"/>
    </w:rPr>
  </w:style>
  <w:style w:type="paragraph" w:customStyle="1" w:styleId="xl79">
    <w:name w:val="xl79"/>
    <w:basedOn w:val="Normal"/>
    <w:pPr>
      <w:widowControl/>
      <w:spacing w:before="100" w:beforeAutospacing="1" w:after="100" w:afterAutospacing="1" w:line="240" w:lineRule="auto"/>
    </w:pPr>
    <w:rPr>
      <w:rFonts w:ascii="Arial" w:hAnsi="Arial" w:cs="Arial"/>
      <w:b/>
      <w:bCs/>
      <w:color w:val="000000"/>
      <w:sz w:val="20"/>
      <w:lang w:eastAsia="en-GB"/>
    </w:rPr>
  </w:style>
  <w:style w:type="paragraph" w:customStyle="1" w:styleId="xl80">
    <w:name w:val="xl80"/>
    <w:basedOn w:val="Normal"/>
    <w:pPr>
      <w:widowControl/>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1">
    <w:name w:val="xl81"/>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2">
    <w:name w:val="xl82"/>
    <w:basedOn w:val="Normal"/>
    <w:pPr>
      <w:widowControl/>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numbering" w:customStyle="1" w:styleId="NoList2">
    <w:name w:val="No List2"/>
    <w:next w:val="NoList"/>
    <w:uiPriority w:val="99"/>
    <w:semiHidden/>
    <w:unhideWhenUsed/>
  </w:style>
  <w:style w:type="character" w:customStyle="1" w:styleId="WW8Num1z0">
    <w:name w:val="WW8Num1z0"/>
    <w:rPr>
      <w:sz w:val="24"/>
      <w:szCs w:val="24"/>
    </w:rPr>
  </w:style>
  <w:style w:type="character" w:customStyle="1" w:styleId="WW8Num2z0">
    <w:name w:val="WW8Num2z0"/>
    <w:rPr>
      <w:sz w:val="24"/>
      <w:szCs w:val="24"/>
    </w:rPr>
  </w:style>
  <w:style w:type="character" w:customStyle="1" w:styleId="WW8Num4z0">
    <w:name w:val="WW8Num4z0"/>
    <w:rPr>
      <w:sz w:val="24"/>
      <w:szCs w:val="24"/>
    </w:rPr>
  </w:style>
  <w:style w:type="character" w:customStyle="1" w:styleId="WW8Num5z0">
    <w:name w:val="WW8Num5z0"/>
    <w:rPr>
      <w:sz w:val="24"/>
      <w:szCs w:val="24"/>
    </w:rPr>
  </w:style>
  <w:style w:type="character" w:customStyle="1" w:styleId="WW8Num6z0">
    <w:name w:val="WW8Num6z0"/>
    <w:rPr>
      <w:sz w:val="24"/>
      <w:szCs w:val="24"/>
    </w:rPr>
  </w:style>
  <w:style w:type="character" w:customStyle="1" w:styleId="WW8Num7z0">
    <w:name w:val="WW8Num7z0"/>
    <w:rPr>
      <w:sz w:val="24"/>
      <w:szCs w:val="24"/>
    </w:rPr>
  </w:style>
  <w:style w:type="character" w:customStyle="1" w:styleId="WW8Num9z0">
    <w:name w:val="WW8Num9z0"/>
    <w:rPr>
      <w:sz w:val="24"/>
      <w:szCs w:val="24"/>
    </w:rPr>
  </w:style>
  <w:style w:type="character" w:customStyle="1" w:styleId="WW8Num10z0">
    <w:name w:val="WW8Num10z0"/>
    <w:rPr>
      <w:sz w:val="24"/>
      <w:szCs w:val="24"/>
    </w:rPr>
  </w:style>
  <w:style w:type="character" w:customStyle="1" w:styleId="WW8Num11z0">
    <w:name w:val="WW8Num11z0"/>
    <w:rPr>
      <w:sz w:val="24"/>
      <w:szCs w:val="24"/>
    </w:rPr>
  </w:style>
  <w:style w:type="character" w:customStyle="1" w:styleId="WW8Num12z0">
    <w:name w:val="WW8Num12z0"/>
    <w:rPr>
      <w:sz w:val="24"/>
      <w:szCs w:val="24"/>
    </w:rPr>
  </w:style>
  <w:style w:type="character" w:customStyle="1" w:styleId="WW8Num17z0">
    <w:name w:val="WW8Num17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1z0">
    <w:name w:val="WW8Num21z0"/>
    <w:rPr>
      <w:sz w:val="24"/>
      <w:szCs w:val="24"/>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DefaultParagraphFont">
    <w:name w:val="WW-Default Paragraph Font"/>
  </w:style>
  <w:style w:type="character" w:customStyle="1" w:styleId="WW-Absatz-Standardschriftart1">
    <w:name w:val="WW-Absatz-Standardschriftart1"/>
  </w:style>
  <w:style w:type="character" w:customStyle="1" w:styleId="WW-DefaultParagraphFont1">
    <w:name w:val="WW-Default Paragraph Font1"/>
  </w:style>
  <w:style w:type="character" w:customStyle="1" w:styleId="ListLabel1">
    <w:name w:val="ListLabel 1"/>
    <w:rPr>
      <w:sz w:val="24"/>
      <w:szCs w:val="24"/>
    </w:rPr>
  </w:style>
  <w:style w:type="character" w:customStyle="1" w:styleId="WW-DefaultParagraphFont11">
    <w:name w:val="WW-Default Paragraph Font11"/>
  </w:style>
  <w:style w:type="character" w:customStyle="1" w:styleId="PageNumber1">
    <w:name w:val="Page Number1"/>
    <w:basedOn w:val="WW-DefaultParagraphFont11"/>
  </w:style>
  <w:style w:type="character" w:customStyle="1" w:styleId="apple-style-span">
    <w:name w:val="apple-style-span"/>
    <w:basedOn w:val="WW-DefaultParagraphFont11"/>
  </w:style>
  <w:style w:type="character" w:customStyle="1" w:styleId="NumberingSymbols">
    <w:name w:val="Numbering Symbols"/>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paragraph" w:customStyle="1" w:styleId="Heading">
    <w:name w:val="Heading"/>
    <w:basedOn w:val="Normal"/>
    <w:next w:val="BodyText"/>
    <w:pPr>
      <w:keepNext/>
      <w:widowControl/>
      <w:suppressAutoHyphens/>
      <w:spacing w:before="240" w:after="120" w:line="240" w:lineRule="auto"/>
    </w:pPr>
    <w:rPr>
      <w:rFonts w:ascii="Arial" w:eastAsia="SimSun" w:hAnsi="Arial" w:cs="Mangal"/>
      <w:kern w:val="1"/>
      <w:sz w:val="28"/>
      <w:szCs w:val="28"/>
      <w:lang w:eastAsia="ar-SA"/>
    </w:rPr>
  </w:style>
  <w:style w:type="paragraph" w:styleId="BodyText">
    <w:name w:val="Body Text"/>
    <w:basedOn w:val="Normal"/>
    <w:link w:val="BodyTextChar"/>
    <w:uiPriority w:val="99"/>
    <w:pPr>
      <w:widowControl/>
      <w:suppressAutoHyphens/>
      <w:spacing w:after="120" w:line="240" w:lineRule="auto"/>
    </w:pPr>
    <w:rPr>
      <w:kern w:val="1"/>
      <w:szCs w:val="24"/>
      <w:lang w:eastAsia="ar-SA"/>
    </w:rPr>
  </w:style>
  <w:style w:type="character" w:customStyle="1" w:styleId="BodyTextChar">
    <w:name w:val="Body Text Char"/>
    <w:basedOn w:val="DefaultParagraphFont"/>
    <w:link w:val="BodyText"/>
    <w:uiPriority w:val="99"/>
    <w:rPr>
      <w:kern w:val="1"/>
      <w:sz w:val="24"/>
      <w:szCs w:val="24"/>
      <w:lang w:eastAsia="ar-SA"/>
    </w:rPr>
  </w:style>
  <w:style w:type="paragraph" w:styleId="List">
    <w:name w:val="List"/>
    <w:basedOn w:val="BodyText"/>
    <w:rPr>
      <w:rFonts w:cs="Mangal"/>
    </w:rPr>
  </w:style>
  <w:style w:type="paragraph" w:customStyle="1" w:styleId="Index">
    <w:name w:val="Index"/>
    <w:basedOn w:val="Normal"/>
    <w:pPr>
      <w:widowControl/>
      <w:suppressLineNumbers/>
      <w:suppressAutoHyphens/>
      <w:spacing w:line="240" w:lineRule="auto"/>
    </w:pPr>
    <w:rPr>
      <w:rFonts w:cs="Mangal"/>
      <w:kern w:val="1"/>
      <w:szCs w:val="24"/>
      <w:lang w:eastAsia="ar-SA"/>
    </w:rPr>
  </w:style>
  <w:style w:type="paragraph" w:styleId="NormalWeb">
    <w:name w:val="Normal (Web)"/>
    <w:basedOn w:val="Normal"/>
    <w:uiPriority w:val="99"/>
    <w:pPr>
      <w:widowControl/>
      <w:suppressAutoHyphens/>
      <w:spacing w:line="240" w:lineRule="auto"/>
    </w:pPr>
    <w:rPr>
      <w:kern w:val="1"/>
      <w:szCs w:val="24"/>
      <w:lang w:eastAsia="ar-SA"/>
    </w:rPr>
  </w:style>
  <w:style w:type="paragraph" w:customStyle="1" w:styleId="div">
    <w:name w:val="div"/>
    <w:basedOn w:val="Normal"/>
    <w:pPr>
      <w:widowControl/>
      <w:suppressAutoHyphens/>
      <w:spacing w:line="240" w:lineRule="auto"/>
    </w:pPr>
    <w:rPr>
      <w:kern w:val="1"/>
      <w:szCs w:val="24"/>
      <w:lang w:eastAsia="ar-SA"/>
    </w:rPr>
  </w:style>
  <w:style w:type="paragraph" w:customStyle="1" w:styleId="text1">
    <w:name w:val="text1"/>
    <w:basedOn w:val="Normal"/>
    <w:pPr>
      <w:widowControl/>
      <w:suppressAutoHyphens/>
      <w:spacing w:line="240" w:lineRule="auto"/>
    </w:pPr>
    <w:rPr>
      <w:kern w:val="1"/>
      <w:szCs w:val="24"/>
      <w:lang w:eastAsia="ar-SA"/>
    </w:rPr>
  </w:style>
  <w:style w:type="paragraph" w:customStyle="1" w:styleId="preformatted0">
    <w:name w:val="preformatted"/>
    <w:basedOn w:val="Normal"/>
    <w:pPr>
      <w:widowControl/>
      <w:suppressAutoHyphens/>
      <w:spacing w:line="240" w:lineRule="auto"/>
    </w:pPr>
    <w:rPr>
      <w:kern w:val="1"/>
      <w:szCs w:val="24"/>
      <w:lang w:eastAsia="ar-SA"/>
    </w:rPr>
  </w:style>
  <w:style w:type="paragraph" w:customStyle="1" w:styleId="subsectiontitle">
    <w:name w:val="subsectiontitle"/>
    <w:basedOn w:val="Normal"/>
    <w:pPr>
      <w:widowControl/>
      <w:suppressAutoHyphens/>
      <w:spacing w:line="240" w:lineRule="auto"/>
    </w:pPr>
    <w:rPr>
      <w:kern w:val="1"/>
      <w:szCs w:val="24"/>
      <w:lang w:eastAsia="ar-SA"/>
    </w:rPr>
  </w:style>
  <w:style w:type="paragraph" w:customStyle="1" w:styleId="point1">
    <w:name w:val="point1"/>
    <w:basedOn w:val="Normal"/>
    <w:pPr>
      <w:widowControl/>
      <w:suppressAutoHyphens/>
      <w:spacing w:line="240" w:lineRule="auto"/>
    </w:pPr>
    <w:rPr>
      <w:kern w:val="1"/>
      <w:szCs w:val="24"/>
      <w:lang w:eastAsia="ar-SA"/>
    </w:rPr>
  </w:style>
  <w:style w:type="paragraph" w:customStyle="1" w:styleId="Framecontents">
    <w:name w:val="Frame contents"/>
    <w:basedOn w:val="BodyText"/>
  </w:style>
  <w:style w:type="paragraph" w:customStyle="1" w:styleId="TableContents">
    <w:name w:val="Table Contents"/>
    <w:basedOn w:val="Normal"/>
    <w:pPr>
      <w:widowControl/>
      <w:suppressLineNumbers/>
      <w:suppressAutoHyphens/>
      <w:spacing w:line="240" w:lineRule="auto"/>
    </w:pPr>
    <w:rPr>
      <w:kern w:val="1"/>
      <w:szCs w:val="24"/>
      <w:lang w:eastAsia="ar-SA"/>
    </w:rPr>
  </w:style>
  <w:style w:type="paragraph" w:customStyle="1" w:styleId="TableHeading">
    <w:name w:val="Table Heading"/>
    <w:basedOn w:val="TableContents"/>
    <w:pPr>
      <w:jc w:val="center"/>
    </w:pPr>
    <w:rPr>
      <w:b/>
      <w:bCs/>
    </w:rPr>
  </w:style>
  <w:style w:type="paragraph" w:customStyle="1" w:styleId="a">
    <w:name w:val="목록 단락"/>
    <w:basedOn w:val="Normal"/>
    <w:pPr>
      <w:widowControl/>
      <w:suppressAutoHyphens/>
      <w:spacing w:before="120" w:after="120" w:line="240" w:lineRule="auto"/>
      <w:ind w:left="800"/>
      <w:jc w:val="both"/>
    </w:pPr>
    <w:rPr>
      <w:rFonts w:eastAsia="Batang"/>
      <w:kern w:val="1"/>
      <w:lang w:eastAsia="ar-SA"/>
    </w:rPr>
  </w:style>
  <w:style w:type="paragraph" w:customStyle="1" w:styleId="NormalWeb6">
    <w:name w:val="Normal (Web)6"/>
    <w:basedOn w:val="Normal"/>
    <w:pPr>
      <w:widowControl/>
      <w:suppressAutoHyphens/>
      <w:spacing w:line="240" w:lineRule="auto"/>
    </w:pPr>
    <w:rPr>
      <w:kern w:val="1"/>
      <w:szCs w:val="24"/>
      <w:lang w:eastAsia="ar-SA"/>
    </w:rPr>
  </w:style>
  <w:style w:type="character" w:customStyle="1" w:styleId="EndnoteTextChar">
    <w:name w:val="Endnote Text Char"/>
    <w:basedOn w:val="DefaultParagraphFont"/>
    <w:link w:val="EndnoteText"/>
    <w:rPr>
      <w:sz w:val="24"/>
      <w:lang w:eastAsia="fr-BE"/>
    </w:rPr>
  </w:style>
  <w:style w:type="paragraph" w:styleId="BodyTextIndent2">
    <w:name w:val="Body Text Indent 2"/>
    <w:basedOn w:val="Normal"/>
    <w:link w:val="BodyTextIndent2Char"/>
    <w:unhideWhenUsed/>
    <w:pPr>
      <w:widowControl/>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DefaultParagraphFont"/>
    <w:link w:val="BodyTextIndent2"/>
    <w:rPr>
      <w:rFonts w:asciiTheme="minorHAnsi" w:eastAsiaTheme="minorHAnsi" w:hAnsiTheme="minorHAnsi" w:cstheme="minorBidi"/>
      <w:sz w:val="22"/>
      <w:szCs w:val="22"/>
      <w:lang w:eastAsia="en-US"/>
    </w:rPr>
  </w:style>
  <w:style w:type="paragraph" w:styleId="BodyTextIndent">
    <w:name w:val="Body Text Indent"/>
    <w:basedOn w:val="Normal"/>
    <w:link w:val="BodyTextIndentChar"/>
    <w:unhideWhenUsed/>
    <w:pPr>
      <w:widowControl/>
      <w:spacing w:after="120" w:line="276" w:lineRule="auto"/>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DefaultParagraphFont"/>
    <w:link w:val="BodyTextIndent"/>
    <w:rPr>
      <w:rFonts w:asciiTheme="minorHAnsi" w:eastAsiaTheme="minorHAnsi" w:hAnsiTheme="minorHAnsi" w:cstheme="minorBidi"/>
      <w:sz w:val="22"/>
      <w:szCs w:val="22"/>
      <w:lang w:eastAsia="en-US"/>
    </w:rPr>
  </w:style>
  <w:style w:type="numbering" w:customStyle="1" w:styleId="NoList3">
    <w:name w:val="No List3"/>
    <w:next w:val="NoList"/>
    <w:semiHidden/>
  </w:style>
  <w:style w:type="paragraph" w:styleId="BlockText">
    <w:name w:val="Block Text"/>
    <w:basedOn w:val="Normal"/>
    <w:pPr>
      <w:widowControl/>
      <w:tabs>
        <w:tab w:val="left" w:pos="720"/>
      </w:tabs>
      <w:spacing w:after="240" w:line="240" w:lineRule="auto"/>
      <w:ind w:left="1440" w:right="1440"/>
      <w:jc w:val="both"/>
    </w:pPr>
    <w:rPr>
      <w:sz w:val="22"/>
      <w:lang w:eastAsia="en-GB"/>
    </w:rPr>
  </w:style>
  <w:style w:type="paragraph" w:styleId="BodyText2">
    <w:name w:val="Body Text 2"/>
    <w:basedOn w:val="Normal"/>
    <w:link w:val="BodyText2Char"/>
    <w:uiPriority w:val="99"/>
    <w:pPr>
      <w:widowControl/>
      <w:tabs>
        <w:tab w:val="num" w:pos="1440"/>
      </w:tabs>
      <w:spacing w:after="240" w:line="240" w:lineRule="auto"/>
      <w:ind w:left="1440" w:hanging="720"/>
      <w:jc w:val="both"/>
    </w:pPr>
    <w:rPr>
      <w:sz w:val="22"/>
      <w:lang w:eastAsia="en-US"/>
    </w:rPr>
  </w:style>
  <w:style w:type="character" w:customStyle="1" w:styleId="BodyText2Char">
    <w:name w:val="Body Text 2 Char"/>
    <w:basedOn w:val="DefaultParagraphFont"/>
    <w:link w:val="BodyText2"/>
    <w:uiPriority w:val="99"/>
    <w:rPr>
      <w:sz w:val="22"/>
      <w:lang w:eastAsia="en-US"/>
    </w:rPr>
  </w:style>
  <w:style w:type="paragraph" w:styleId="BodyText3">
    <w:name w:val="Body Text 3"/>
    <w:basedOn w:val="Normal"/>
    <w:link w:val="BodyText3Char"/>
    <w:uiPriority w:val="99"/>
    <w:pPr>
      <w:widowControl/>
      <w:tabs>
        <w:tab w:val="num" w:pos="2160"/>
      </w:tabs>
      <w:spacing w:after="240" w:line="240" w:lineRule="auto"/>
      <w:ind w:left="2160" w:hanging="720"/>
      <w:jc w:val="both"/>
    </w:pPr>
    <w:rPr>
      <w:sz w:val="22"/>
      <w:lang w:eastAsia="en-US"/>
    </w:rPr>
  </w:style>
  <w:style w:type="character" w:customStyle="1" w:styleId="BodyText3Char">
    <w:name w:val="Body Text 3 Char"/>
    <w:basedOn w:val="DefaultParagraphFont"/>
    <w:link w:val="BodyText3"/>
    <w:uiPriority w:val="99"/>
    <w:rPr>
      <w:sz w:val="22"/>
      <w:lang w:eastAsia="en-US"/>
    </w:rPr>
  </w:style>
  <w:style w:type="paragraph" w:customStyle="1" w:styleId="BodyText4">
    <w:name w:val="Body Text 4"/>
    <w:basedOn w:val="Normal"/>
    <w:pPr>
      <w:widowControl/>
      <w:tabs>
        <w:tab w:val="num" w:pos="2160"/>
      </w:tabs>
      <w:spacing w:after="240" w:line="240" w:lineRule="auto"/>
      <w:ind w:left="2160" w:hanging="720"/>
      <w:jc w:val="both"/>
    </w:pPr>
    <w:rPr>
      <w:sz w:val="22"/>
      <w:lang w:eastAsia="en-US"/>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lang w:eastAsia="en-US"/>
    </w:rPr>
  </w:style>
  <w:style w:type="character" w:customStyle="1" w:styleId="PlainTextChar">
    <w:name w:val="Plain Text Char"/>
    <w:basedOn w:val="DefaultParagraphFont"/>
    <w:link w:val="PlainText"/>
    <w:rPr>
      <w:rFonts w:ascii="Courier New" w:hAnsi="Courier New"/>
      <w:lang w:eastAsia="en-US"/>
    </w:rPr>
  </w:style>
  <w:style w:type="paragraph" w:styleId="Subtitle">
    <w:name w:val="Subtitle"/>
    <w:basedOn w:val="Normal"/>
    <w:link w:val="SubtitleChar"/>
    <w:qFormat/>
    <w:pPr>
      <w:widowControl/>
      <w:tabs>
        <w:tab w:val="left" w:pos="720"/>
      </w:tabs>
      <w:spacing w:line="240" w:lineRule="auto"/>
      <w:jc w:val="center"/>
      <w:outlineLvl w:val="1"/>
    </w:pPr>
    <w:rPr>
      <w:sz w:val="22"/>
      <w:lang w:eastAsia="en-US"/>
    </w:rPr>
  </w:style>
  <w:style w:type="character" w:customStyle="1" w:styleId="SubtitleChar">
    <w:name w:val="Subtitle Char"/>
    <w:basedOn w:val="DefaultParagraphFont"/>
    <w:link w:val="Subtitle"/>
    <w:rPr>
      <w:sz w:val="22"/>
      <w:lang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itle">
    <w:name w:val="Title"/>
    <w:basedOn w:val="Normal"/>
    <w:link w:val="TitleChar"/>
    <w:qFormat/>
    <w:pPr>
      <w:widowControl/>
      <w:tabs>
        <w:tab w:val="left" w:pos="720"/>
      </w:tabs>
      <w:spacing w:line="240" w:lineRule="auto"/>
      <w:jc w:val="center"/>
    </w:pPr>
    <w:rPr>
      <w:b/>
      <w:caps/>
      <w:kern w:val="28"/>
      <w:sz w:val="22"/>
      <w:lang w:eastAsia="en-US"/>
    </w:rPr>
  </w:style>
  <w:style w:type="character" w:customStyle="1" w:styleId="TitleChar">
    <w:name w:val="Title Char"/>
    <w:basedOn w:val="DefaultParagraphFont"/>
    <w:link w:val="Title"/>
    <w:rPr>
      <w:b/>
      <w:caps/>
      <w:kern w:val="28"/>
      <w:sz w:val="22"/>
      <w:lang w:eastAsia="en-US"/>
    </w:rPr>
  </w:style>
  <w:style w:type="paragraph" w:customStyle="1" w:styleId="Title2">
    <w:name w:val="Title 2"/>
    <w:basedOn w:val="Normal"/>
    <w:pPr>
      <w:widowControl/>
      <w:tabs>
        <w:tab w:val="left" w:pos="720"/>
      </w:tabs>
      <w:spacing w:line="240" w:lineRule="auto"/>
      <w:jc w:val="center"/>
    </w:pPr>
    <w:rPr>
      <w:sz w:val="22"/>
      <w:u w:val="single"/>
      <w:lang w:eastAsia="en-US"/>
    </w:rPr>
  </w:style>
  <w:style w:type="paragraph" w:customStyle="1" w:styleId="Title3">
    <w:name w:val="Title 3"/>
    <w:basedOn w:val="Normal"/>
    <w:pPr>
      <w:widowControl/>
      <w:tabs>
        <w:tab w:val="left" w:pos="720"/>
      </w:tabs>
      <w:spacing w:line="240" w:lineRule="auto"/>
      <w:jc w:val="center"/>
    </w:pPr>
    <w:rPr>
      <w:i/>
      <w:sz w:val="22"/>
      <w:lang w:eastAsia="en-US"/>
    </w:rPr>
  </w:style>
  <w:style w:type="paragraph" w:customStyle="1" w:styleId="TitleCountry">
    <w:name w:val="Title Country"/>
    <w:basedOn w:val="Normal"/>
    <w:pPr>
      <w:widowControl/>
      <w:tabs>
        <w:tab w:val="left" w:pos="720"/>
      </w:tabs>
      <w:spacing w:line="240" w:lineRule="auto"/>
      <w:jc w:val="center"/>
    </w:pPr>
    <w:rPr>
      <w:caps/>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customStyle="1" w:styleId="Quotation">
    <w:name w:val="Quotation"/>
    <w:basedOn w:val="Normal"/>
    <w:pPr>
      <w:widowControl/>
      <w:tabs>
        <w:tab w:val="left" w:pos="720"/>
      </w:tabs>
      <w:spacing w:after="240" w:line="240" w:lineRule="auto"/>
      <w:ind w:left="720" w:right="720"/>
      <w:jc w:val="both"/>
    </w:pPr>
    <w:rPr>
      <w:sz w:val="22"/>
      <w:lang w:eastAsia="en-US"/>
    </w:rPr>
  </w:style>
  <w:style w:type="paragraph" w:customStyle="1" w:styleId="QuotationDouble">
    <w:name w:val="Quotation Double"/>
    <w:basedOn w:val="Normal"/>
    <w:pPr>
      <w:widowControl/>
      <w:tabs>
        <w:tab w:val="left" w:pos="720"/>
      </w:tabs>
      <w:spacing w:after="240" w:line="240" w:lineRule="auto"/>
      <w:ind w:left="1440" w:right="1440"/>
      <w:jc w:val="both"/>
    </w:pPr>
    <w:rPr>
      <w:sz w:val="22"/>
      <w:lang w:eastAsia="en-US"/>
    </w:rPr>
  </w:style>
  <w:style w:type="paragraph" w:customStyle="1" w:styleId="FootnoteQuotation">
    <w:name w:val="Footnote Quotation"/>
    <w:basedOn w:val="Normal"/>
    <w:pPr>
      <w:widowControl/>
      <w:tabs>
        <w:tab w:val="left" w:pos="720"/>
      </w:tabs>
      <w:spacing w:line="240" w:lineRule="auto"/>
      <w:ind w:left="720" w:right="720"/>
      <w:jc w:val="both"/>
    </w:pPr>
    <w:rPr>
      <w:sz w:val="20"/>
      <w:lang w:eastAsia="en-US"/>
    </w:rPr>
  </w:style>
  <w:style w:type="paragraph" w:customStyle="1" w:styleId="BodyText5">
    <w:name w:val="Body Text 5"/>
    <w:basedOn w:val="Normal"/>
    <w:pPr>
      <w:widowControl/>
      <w:tabs>
        <w:tab w:val="left" w:pos="720"/>
        <w:tab w:val="num" w:pos="2880"/>
      </w:tabs>
      <w:spacing w:after="240" w:line="240" w:lineRule="auto"/>
      <w:ind w:left="2160"/>
      <w:jc w:val="both"/>
    </w:pPr>
    <w:rPr>
      <w:lang w:eastAsia="en-GB"/>
    </w:rPr>
  </w:style>
  <w:style w:type="paragraph" w:styleId="BodyTextIndent3">
    <w:name w:val="Body Text Indent 3"/>
    <w:basedOn w:val="Normal"/>
    <w:link w:val="BodyTextIndent3Char"/>
    <w:pPr>
      <w:widowControl/>
      <w:tabs>
        <w:tab w:val="left" w:pos="-1440"/>
        <w:tab w:val="left" w:pos="720"/>
      </w:tabs>
      <w:spacing w:line="240" w:lineRule="auto"/>
      <w:ind w:left="2160" w:hanging="720"/>
      <w:jc w:val="both"/>
    </w:pPr>
    <w:rPr>
      <w:sz w:val="20"/>
      <w:lang w:eastAsia="en-GB"/>
    </w:rPr>
  </w:style>
  <w:style w:type="character" w:customStyle="1" w:styleId="BodyTextIndent3Char">
    <w:name w:val="Body Text Indent 3 Char"/>
    <w:basedOn w:val="DefaultParagraphFont"/>
    <w:link w:val="BodyTextIndent3"/>
  </w:style>
  <w:style w:type="character" w:customStyle="1" w:styleId="BodyTextChar1">
    <w:name w:val="Body Text Char1"/>
    <w:rPr>
      <w:sz w:val="22"/>
      <w:lang w:val="en-GB" w:eastAsia="en-US" w:bidi="ar-SA"/>
    </w:rPr>
  </w:style>
  <w:style w:type="numbering" w:customStyle="1" w:styleId="NoList4">
    <w:name w:val="No List4"/>
    <w:next w:val="NoList"/>
    <w:uiPriority w:val="99"/>
    <w:semiHidden/>
    <w:unhideWhenUsed/>
  </w:style>
  <w:style w:type="character" w:customStyle="1" w:styleId="WW8Num15z3">
    <w:name w:val="WW8Num15z3"/>
    <w:rPr>
      <w:rFonts w:ascii="Symbol" w:hAnsi="Symbol"/>
    </w:rPr>
  </w:style>
  <w:style w:type="paragraph" w:customStyle="1" w:styleId="AddressTL">
    <w:name w:val="AddressTL"/>
    <w:basedOn w:val="Normal"/>
    <w:next w:val="Normal"/>
    <w:pPr>
      <w:widowControl/>
      <w:spacing w:after="720" w:line="240" w:lineRule="auto"/>
    </w:pPr>
    <w:rPr>
      <w:lang w:eastAsia="en-US"/>
    </w:rPr>
  </w:style>
  <w:style w:type="paragraph" w:customStyle="1" w:styleId="AddressTR">
    <w:name w:val="AddressTR"/>
    <w:basedOn w:val="Normal"/>
    <w:next w:val="Normal"/>
    <w:pPr>
      <w:widowControl/>
      <w:spacing w:after="720" w:line="240" w:lineRule="auto"/>
      <w:ind w:left="5103"/>
    </w:pPr>
    <w:rPr>
      <w:lang w:eastAsia="en-US"/>
    </w:rPr>
  </w:style>
  <w:style w:type="paragraph" w:styleId="BodyTextFirstIndent">
    <w:name w:val="Body Text First Indent"/>
    <w:basedOn w:val="BodyText"/>
    <w:link w:val="BodyTextFirstIndentChar"/>
    <w:pPr>
      <w:suppressAutoHyphens w:val="0"/>
      <w:ind w:firstLine="210"/>
      <w:jc w:val="both"/>
    </w:pPr>
    <w:rPr>
      <w:kern w:val="0"/>
      <w:szCs w:val="20"/>
      <w:lang w:eastAsia="en-US"/>
    </w:rPr>
  </w:style>
  <w:style w:type="character" w:customStyle="1" w:styleId="BodyTextFirstIndentChar">
    <w:name w:val="Body Text First Indent Char"/>
    <w:basedOn w:val="BodyTextChar"/>
    <w:link w:val="BodyTextFirstIndent"/>
    <w:rPr>
      <w:kern w:val="1"/>
      <w:sz w:val="24"/>
      <w:szCs w:val="24"/>
      <w:lang w:eastAsia="en-US"/>
    </w:rPr>
  </w:style>
  <w:style w:type="paragraph" w:styleId="BodyTextFirstIndent2">
    <w:name w:val="Body Text First Indent 2"/>
    <w:basedOn w:val="BodyTextIndent"/>
    <w:link w:val="BodyTextFirstIndent2Char"/>
    <w:pPr>
      <w:spacing w:line="240" w:lineRule="auto"/>
      <w:ind w:firstLine="210"/>
      <w:jc w:val="both"/>
    </w:pPr>
    <w:rPr>
      <w:rFonts w:ascii="Times New Roman" w:eastAsia="Times New Roman" w:hAnsi="Times New Roman" w:cs="Times New Roman"/>
      <w:sz w:val="24"/>
      <w:szCs w:val="20"/>
    </w:rPr>
  </w:style>
  <w:style w:type="character" w:customStyle="1" w:styleId="BodyTextFirstIndent2Char">
    <w:name w:val="Body Text First Indent 2 Char"/>
    <w:basedOn w:val="BodyTextIndentChar"/>
    <w:link w:val="BodyTextFirstIndent2"/>
    <w:rPr>
      <w:rFonts w:asciiTheme="minorHAnsi" w:eastAsiaTheme="minorHAnsi" w:hAnsiTheme="minorHAnsi" w:cstheme="minorBidi"/>
      <w:sz w:val="24"/>
      <w:szCs w:val="22"/>
      <w:lang w:eastAsia="en-US"/>
    </w:rPr>
  </w:style>
  <w:style w:type="paragraph" w:styleId="Closing">
    <w:name w:val="Closing"/>
    <w:basedOn w:val="Normal"/>
    <w:next w:val="Signature"/>
    <w:link w:val="ClosingChar"/>
    <w:pPr>
      <w:widowControl/>
      <w:tabs>
        <w:tab w:val="left" w:pos="5103"/>
      </w:tabs>
      <w:spacing w:before="240" w:after="240" w:line="240" w:lineRule="auto"/>
      <w:ind w:left="5103"/>
    </w:pPr>
    <w:rPr>
      <w:lang w:eastAsia="en-US"/>
    </w:rPr>
  </w:style>
  <w:style w:type="character" w:customStyle="1" w:styleId="ClosingChar">
    <w:name w:val="Closing Char"/>
    <w:basedOn w:val="DefaultParagraphFont"/>
    <w:link w:val="Closing"/>
    <w:rPr>
      <w:sz w:val="24"/>
      <w:lang w:eastAsia="en-US"/>
    </w:rPr>
  </w:style>
  <w:style w:type="paragraph" w:styleId="Signature">
    <w:name w:val="Signature"/>
    <w:basedOn w:val="Normal"/>
    <w:next w:val="Contact"/>
    <w:link w:val="SignatureChar"/>
    <w:pPr>
      <w:widowControl/>
      <w:tabs>
        <w:tab w:val="left" w:pos="5103"/>
      </w:tabs>
      <w:spacing w:before="1200" w:line="240" w:lineRule="auto"/>
      <w:ind w:left="5103"/>
      <w:jc w:val="center"/>
    </w:pPr>
    <w:rPr>
      <w:lang w:eastAsia="en-US"/>
    </w:rPr>
  </w:style>
  <w:style w:type="character" w:customStyle="1" w:styleId="SignatureChar">
    <w:name w:val="Signature Char"/>
    <w:basedOn w:val="DefaultParagraphFont"/>
    <w:link w:val="Signature"/>
    <w:rPr>
      <w:sz w:val="24"/>
      <w:lang w:eastAsia="en-US"/>
    </w:rPr>
  </w:style>
  <w:style w:type="paragraph" w:customStyle="1" w:styleId="Enclosures">
    <w:name w:val="Enclosures"/>
    <w:basedOn w:val="Normal"/>
    <w:next w:val="Participants"/>
    <w:pPr>
      <w:keepNext/>
      <w:keepLines/>
      <w:widowControl/>
      <w:tabs>
        <w:tab w:val="left" w:pos="5670"/>
      </w:tabs>
      <w:spacing w:before="480" w:line="240" w:lineRule="auto"/>
      <w:ind w:left="1985" w:hanging="1985"/>
    </w:pPr>
    <w:rPr>
      <w:lang w:eastAsia="en-US"/>
    </w:rPr>
  </w:style>
  <w:style w:type="paragraph" w:customStyle="1" w:styleId="Participants">
    <w:name w:val="Participants"/>
    <w:basedOn w:val="Normal"/>
    <w:next w:val="Copies"/>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customStyle="1" w:styleId="Copies">
    <w:name w:val="Copies"/>
    <w:basedOn w:val="Normal"/>
    <w:next w:val="Normal"/>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styleId="Date">
    <w:name w:val="Date"/>
    <w:basedOn w:val="Normal"/>
    <w:next w:val="References"/>
    <w:link w:val="DateChar"/>
    <w:uiPriority w:val="99"/>
    <w:pPr>
      <w:widowControl/>
      <w:spacing w:line="240" w:lineRule="auto"/>
      <w:ind w:left="5103" w:right="-567"/>
    </w:pPr>
    <w:rPr>
      <w:lang w:eastAsia="en-US"/>
    </w:rPr>
  </w:style>
  <w:style w:type="character" w:customStyle="1" w:styleId="DateChar">
    <w:name w:val="Date Char"/>
    <w:basedOn w:val="DefaultParagraphFont"/>
    <w:link w:val="Date"/>
    <w:uiPriority w:val="99"/>
    <w:rPr>
      <w:sz w:val="24"/>
      <w:lang w:eastAsia="en-US"/>
    </w:rPr>
  </w:style>
  <w:style w:type="paragraph" w:customStyle="1" w:styleId="References">
    <w:name w:val="References"/>
    <w:basedOn w:val="Normal"/>
    <w:next w:val="AddressTR"/>
    <w:uiPriority w:val="99"/>
    <w:pPr>
      <w:widowControl/>
      <w:spacing w:after="240" w:line="240" w:lineRule="auto"/>
      <w:ind w:left="5103"/>
    </w:pPr>
    <w:rPr>
      <w:sz w:val="20"/>
      <w:lang w:eastAsia="en-US"/>
    </w:rPr>
  </w:style>
  <w:style w:type="paragraph" w:customStyle="1" w:styleId="DoubSign">
    <w:name w:val="DoubSign"/>
    <w:basedOn w:val="Normal"/>
    <w:next w:val="Contact"/>
    <w:pPr>
      <w:widowControl/>
      <w:tabs>
        <w:tab w:val="left" w:pos="5103"/>
      </w:tabs>
      <w:spacing w:before="1200" w:line="240" w:lineRule="auto"/>
    </w:pPr>
    <w:rPr>
      <w:lang w:eastAsia="en-US"/>
    </w:rPr>
  </w:style>
  <w:style w:type="paragraph" w:styleId="EnvelopeReturn">
    <w:name w:val="envelope return"/>
    <w:basedOn w:val="Normal"/>
    <w:pPr>
      <w:widowControl/>
      <w:spacing w:line="240" w:lineRule="auto"/>
      <w:jc w:val="both"/>
    </w:pPr>
    <w:rPr>
      <w:sz w:val="20"/>
      <w:lang w:eastAsia="en-US"/>
    </w:rPr>
  </w:style>
  <w:style w:type="paragraph" w:styleId="Index2">
    <w:name w:val="index 2"/>
    <w:basedOn w:val="Normal"/>
    <w:next w:val="Normal"/>
    <w:autoRedefine/>
    <w:pPr>
      <w:widowControl/>
      <w:spacing w:after="240" w:line="240" w:lineRule="auto"/>
      <w:ind w:left="480" w:hanging="240"/>
      <w:jc w:val="both"/>
    </w:pPr>
    <w:rPr>
      <w:lang w:eastAsia="en-US"/>
    </w:rPr>
  </w:style>
  <w:style w:type="paragraph" w:styleId="Index3">
    <w:name w:val="index 3"/>
    <w:basedOn w:val="Normal"/>
    <w:next w:val="Normal"/>
    <w:autoRedefine/>
    <w:pPr>
      <w:widowControl/>
      <w:spacing w:after="240" w:line="240" w:lineRule="auto"/>
      <w:ind w:left="720" w:hanging="240"/>
      <w:jc w:val="both"/>
    </w:pPr>
    <w:rPr>
      <w:lang w:eastAsia="en-US"/>
    </w:rPr>
  </w:style>
  <w:style w:type="paragraph" w:styleId="Index4">
    <w:name w:val="index 4"/>
    <w:basedOn w:val="Normal"/>
    <w:next w:val="Normal"/>
    <w:autoRedefine/>
    <w:pPr>
      <w:widowControl/>
      <w:spacing w:after="240" w:line="240" w:lineRule="auto"/>
      <w:ind w:left="960" w:hanging="240"/>
      <w:jc w:val="both"/>
    </w:pPr>
    <w:rPr>
      <w:lang w:eastAsia="en-US"/>
    </w:rPr>
  </w:style>
  <w:style w:type="paragraph" w:styleId="Index5">
    <w:name w:val="index 5"/>
    <w:basedOn w:val="Normal"/>
    <w:next w:val="Normal"/>
    <w:autoRedefine/>
    <w:pPr>
      <w:widowControl/>
      <w:spacing w:after="240" w:line="240" w:lineRule="auto"/>
      <w:ind w:left="1200" w:hanging="240"/>
      <w:jc w:val="both"/>
    </w:pPr>
    <w:rPr>
      <w:lang w:eastAsia="en-US"/>
    </w:rPr>
  </w:style>
  <w:style w:type="paragraph" w:styleId="Index6">
    <w:name w:val="index 6"/>
    <w:basedOn w:val="Normal"/>
    <w:next w:val="Normal"/>
    <w:autoRedefine/>
    <w:pPr>
      <w:widowControl/>
      <w:spacing w:after="240" w:line="240" w:lineRule="auto"/>
      <w:ind w:left="1440" w:hanging="240"/>
      <w:jc w:val="both"/>
    </w:pPr>
    <w:rPr>
      <w:lang w:eastAsia="en-US"/>
    </w:rPr>
  </w:style>
  <w:style w:type="paragraph" w:styleId="Index7">
    <w:name w:val="index 7"/>
    <w:basedOn w:val="Normal"/>
    <w:next w:val="Normal"/>
    <w:autoRedefine/>
    <w:pPr>
      <w:widowControl/>
      <w:spacing w:after="240" w:line="240" w:lineRule="auto"/>
      <w:ind w:left="1680" w:hanging="240"/>
      <w:jc w:val="both"/>
    </w:pPr>
    <w:rPr>
      <w:lang w:eastAsia="en-US"/>
    </w:rPr>
  </w:style>
  <w:style w:type="paragraph" w:styleId="Index8">
    <w:name w:val="index 8"/>
    <w:basedOn w:val="Normal"/>
    <w:next w:val="Normal"/>
    <w:autoRedefine/>
    <w:pPr>
      <w:widowControl/>
      <w:spacing w:after="240" w:line="240" w:lineRule="auto"/>
      <w:ind w:left="1920" w:hanging="240"/>
      <w:jc w:val="both"/>
    </w:pPr>
    <w:rPr>
      <w:lang w:eastAsia="en-US"/>
    </w:rPr>
  </w:style>
  <w:style w:type="paragraph" w:styleId="Index9">
    <w:name w:val="index 9"/>
    <w:basedOn w:val="Normal"/>
    <w:next w:val="Normal"/>
    <w:autoRedefine/>
    <w:pPr>
      <w:widowControl/>
      <w:spacing w:after="240" w:line="240" w:lineRule="auto"/>
      <w:ind w:left="2160" w:hanging="240"/>
      <w:jc w:val="both"/>
    </w:pPr>
    <w:rPr>
      <w:lang w:eastAsia="en-US"/>
    </w:rPr>
  </w:style>
  <w:style w:type="paragraph" w:styleId="List2">
    <w:name w:val="List 2"/>
    <w:basedOn w:val="Normal"/>
    <w:pPr>
      <w:widowControl/>
      <w:spacing w:after="240" w:line="240" w:lineRule="auto"/>
      <w:ind w:left="566" w:hanging="283"/>
      <w:jc w:val="both"/>
    </w:pPr>
    <w:rPr>
      <w:lang w:eastAsia="en-US"/>
    </w:rPr>
  </w:style>
  <w:style w:type="paragraph" w:styleId="List3">
    <w:name w:val="List 3"/>
    <w:basedOn w:val="Normal"/>
    <w:pPr>
      <w:widowControl/>
      <w:spacing w:after="240" w:line="240" w:lineRule="auto"/>
      <w:ind w:left="849" w:hanging="283"/>
      <w:jc w:val="both"/>
    </w:pPr>
    <w:rPr>
      <w:lang w:eastAsia="en-US"/>
    </w:rPr>
  </w:style>
  <w:style w:type="paragraph" w:styleId="List4">
    <w:name w:val="List 4"/>
    <w:basedOn w:val="Normal"/>
    <w:pPr>
      <w:widowControl/>
      <w:spacing w:after="240" w:line="240" w:lineRule="auto"/>
      <w:ind w:left="1132" w:hanging="283"/>
      <w:jc w:val="both"/>
    </w:pPr>
    <w:rPr>
      <w:lang w:eastAsia="en-US"/>
    </w:rPr>
  </w:style>
  <w:style w:type="paragraph" w:styleId="List5">
    <w:name w:val="List 5"/>
    <w:basedOn w:val="Normal"/>
    <w:pPr>
      <w:widowControl/>
      <w:spacing w:after="240" w:line="240" w:lineRule="auto"/>
      <w:ind w:left="1415" w:hanging="283"/>
      <w:jc w:val="both"/>
    </w:pPr>
    <w:rPr>
      <w:lang w:eastAsia="en-US"/>
    </w:rPr>
  </w:style>
  <w:style w:type="paragraph" w:styleId="ListBullet5">
    <w:name w:val="List Bullet 5"/>
    <w:basedOn w:val="Normal"/>
    <w:autoRedefine/>
    <w:pPr>
      <w:widowControl/>
      <w:numPr>
        <w:numId w:val="27"/>
      </w:numPr>
      <w:spacing w:after="240" w:line="240" w:lineRule="auto"/>
      <w:jc w:val="both"/>
    </w:pPr>
    <w:rPr>
      <w:lang w:eastAsia="en-US"/>
    </w:rPr>
  </w:style>
  <w:style w:type="paragraph" w:styleId="ListContinue">
    <w:name w:val="List Continue"/>
    <w:basedOn w:val="Normal"/>
    <w:pPr>
      <w:widowControl/>
      <w:spacing w:after="120" w:line="240" w:lineRule="auto"/>
      <w:ind w:left="283"/>
      <w:jc w:val="both"/>
    </w:pPr>
    <w:rPr>
      <w:lang w:eastAsia="en-US"/>
    </w:rPr>
  </w:style>
  <w:style w:type="paragraph" w:styleId="ListContinue2">
    <w:name w:val="List Continue 2"/>
    <w:basedOn w:val="Normal"/>
    <w:pPr>
      <w:widowControl/>
      <w:spacing w:after="120" w:line="240" w:lineRule="auto"/>
      <w:ind w:left="566"/>
      <w:jc w:val="both"/>
    </w:pPr>
    <w:rPr>
      <w:lang w:eastAsia="en-US"/>
    </w:rPr>
  </w:style>
  <w:style w:type="paragraph" w:styleId="ListContinue3">
    <w:name w:val="List Continue 3"/>
    <w:basedOn w:val="Normal"/>
    <w:pPr>
      <w:widowControl/>
      <w:spacing w:after="120" w:line="240" w:lineRule="auto"/>
      <w:ind w:left="849"/>
      <w:jc w:val="both"/>
    </w:pPr>
    <w:rPr>
      <w:lang w:eastAsia="en-US"/>
    </w:rPr>
  </w:style>
  <w:style w:type="paragraph" w:styleId="ListContinue4">
    <w:name w:val="List Continue 4"/>
    <w:basedOn w:val="Normal"/>
    <w:pPr>
      <w:widowControl/>
      <w:spacing w:after="120" w:line="240" w:lineRule="auto"/>
      <w:ind w:left="1132"/>
      <w:jc w:val="both"/>
    </w:pPr>
    <w:rPr>
      <w:lang w:eastAsia="en-US"/>
    </w:rPr>
  </w:style>
  <w:style w:type="paragraph" w:styleId="ListContinue5">
    <w:name w:val="List Continue 5"/>
    <w:basedOn w:val="Normal"/>
    <w:pPr>
      <w:widowControl/>
      <w:spacing w:after="120" w:line="240" w:lineRule="auto"/>
      <w:ind w:left="1415"/>
      <w:jc w:val="both"/>
    </w:pPr>
    <w:rPr>
      <w:lang w:eastAsia="en-US"/>
    </w:rPr>
  </w:style>
  <w:style w:type="paragraph" w:styleId="ListNumber5">
    <w:name w:val="List Number 5"/>
    <w:basedOn w:val="Normal"/>
    <w:pPr>
      <w:widowControl/>
      <w:numPr>
        <w:numId w:val="28"/>
      </w:numPr>
      <w:spacing w:after="240" w:line="240" w:lineRule="auto"/>
      <w:jc w:val="both"/>
    </w:pPr>
    <w:rPr>
      <w:lang w:eastAsia="en-US"/>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character" w:customStyle="1" w:styleId="MacroTextChar">
    <w:name w:val="Macro Text Char"/>
    <w:basedOn w:val="DefaultParagraphFont"/>
    <w:link w:val="MacroText"/>
    <w:rPr>
      <w:rFonts w:ascii="Courier New" w:hAnsi="Courier New"/>
      <w:lang w:eastAsia="en-US"/>
    </w:rPr>
  </w:style>
  <w:style w:type="paragraph" w:styleId="MessageHeader">
    <w:name w:val="Message Header"/>
    <w:basedOn w:val="Normal"/>
    <w:link w:val="MessageHeaderChar"/>
    <w:pPr>
      <w:widowControl/>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hAnsi="Arial"/>
      <w:lang w:eastAsia="en-US"/>
    </w:rPr>
  </w:style>
  <w:style w:type="character" w:customStyle="1" w:styleId="MessageHeaderChar">
    <w:name w:val="Message Header Char"/>
    <w:basedOn w:val="DefaultParagraphFont"/>
    <w:link w:val="MessageHeader"/>
    <w:rPr>
      <w:rFonts w:ascii="Arial" w:hAnsi="Arial"/>
      <w:sz w:val="24"/>
      <w:shd w:val="pct20" w:color="auto" w:fill="auto"/>
      <w:lang w:eastAsia="en-US"/>
    </w:rPr>
  </w:style>
  <w:style w:type="paragraph" w:styleId="NormalIndent">
    <w:name w:val="Normal Indent"/>
    <w:basedOn w:val="Normal"/>
    <w:pPr>
      <w:widowControl/>
      <w:spacing w:after="240" w:line="240" w:lineRule="auto"/>
      <w:ind w:left="720"/>
      <w:jc w:val="both"/>
    </w:pPr>
    <w:rPr>
      <w:lang w:eastAsia="en-US"/>
    </w:rPr>
  </w:style>
  <w:style w:type="paragraph" w:styleId="NoteHeading">
    <w:name w:val="Note Heading"/>
    <w:basedOn w:val="Normal"/>
    <w:next w:val="Normal"/>
    <w:link w:val="NoteHeadingChar"/>
    <w:pPr>
      <w:widowControl/>
      <w:spacing w:after="240" w:line="240" w:lineRule="auto"/>
      <w:jc w:val="both"/>
    </w:pPr>
    <w:rPr>
      <w:lang w:eastAsia="en-US"/>
    </w:rPr>
  </w:style>
  <w:style w:type="character" w:customStyle="1" w:styleId="NoteHeadingChar">
    <w:name w:val="Note Heading Char"/>
    <w:basedOn w:val="DefaultParagraphFont"/>
    <w:link w:val="NoteHeading"/>
    <w:rPr>
      <w:sz w:val="24"/>
      <w:lang w:eastAsia="en-US"/>
    </w:rPr>
  </w:style>
  <w:style w:type="paragraph" w:customStyle="1" w:styleId="NoteHead">
    <w:name w:val="NoteHead"/>
    <w:basedOn w:val="Normal"/>
    <w:next w:val="Subject"/>
    <w:pPr>
      <w:widowControl/>
      <w:spacing w:before="720" w:after="720" w:line="240" w:lineRule="auto"/>
      <w:jc w:val="center"/>
    </w:pPr>
    <w:rPr>
      <w:b/>
      <w:smallCaps/>
      <w:lang w:eastAsia="en-US"/>
    </w:rPr>
  </w:style>
  <w:style w:type="paragraph" w:customStyle="1" w:styleId="Subject">
    <w:name w:val="Subject"/>
    <w:basedOn w:val="Normal"/>
    <w:next w:val="Normal"/>
    <w:pPr>
      <w:widowControl/>
      <w:spacing w:after="480" w:line="240" w:lineRule="auto"/>
      <w:ind w:left="1531" w:hanging="1531"/>
    </w:pPr>
    <w:rPr>
      <w:b/>
      <w:lang w:eastAsia="en-US"/>
    </w:rPr>
  </w:style>
  <w:style w:type="paragraph" w:customStyle="1" w:styleId="NoteList">
    <w:name w:val="NoteList"/>
    <w:basedOn w:val="Normal"/>
    <w:next w:val="Subject"/>
    <w:pPr>
      <w:widowControl/>
      <w:tabs>
        <w:tab w:val="left" w:pos="5823"/>
      </w:tabs>
      <w:spacing w:before="720" w:after="720" w:line="240" w:lineRule="auto"/>
      <w:ind w:left="5104" w:hanging="3119"/>
    </w:pPr>
    <w:rPr>
      <w:b/>
      <w:smallCaps/>
      <w:lang w:eastAsia="en-US"/>
    </w:rPr>
  </w:style>
  <w:style w:type="paragraph" w:styleId="Salutation">
    <w:name w:val="Salutation"/>
    <w:basedOn w:val="Normal"/>
    <w:next w:val="Normal"/>
    <w:link w:val="SalutationChar"/>
    <w:pPr>
      <w:widowControl/>
      <w:spacing w:after="240" w:line="240" w:lineRule="auto"/>
      <w:jc w:val="both"/>
    </w:pPr>
    <w:rPr>
      <w:lang w:eastAsia="en-US"/>
    </w:rPr>
  </w:style>
  <w:style w:type="character" w:customStyle="1" w:styleId="SalutationChar">
    <w:name w:val="Salutation Char"/>
    <w:basedOn w:val="DefaultParagraphFont"/>
    <w:link w:val="Salutation"/>
    <w:rPr>
      <w:sz w:val="24"/>
      <w:lang w:eastAsia="en-US"/>
    </w:rPr>
  </w:style>
  <w:style w:type="paragraph" w:customStyle="1" w:styleId="YReferences">
    <w:name w:val="YReferences"/>
    <w:basedOn w:val="Normal"/>
    <w:next w:val="Normal"/>
    <w:pPr>
      <w:widowControl/>
      <w:spacing w:after="480" w:line="240" w:lineRule="auto"/>
      <w:ind w:left="1531" w:hanging="1531"/>
      <w:jc w:val="both"/>
    </w:pPr>
    <w:rPr>
      <w:lang w:eastAsia="en-US"/>
    </w:rPr>
  </w:style>
  <w:style w:type="paragraph" w:customStyle="1" w:styleId="ListBullet1">
    <w:name w:val="List Bullet 1"/>
    <w:basedOn w:val="Text10"/>
    <w:pPr>
      <w:numPr>
        <w:numId w:val="30"/>
      </w:numPr>
      <w:spacing w:before="0" w:after="240"/>
    </w:pPr>
    <w:rPr>
      <w:rFonts w:eastAsia="Times New Roman"/>
      <w:szCs w:val="20"/>
    </w:rPr>
  </w:style>
  <w:style w:type="paragraph" w:customStyle="1" w:styleId="ListDash1">
    <w:name w:val="List Dash 1"/>
    <w:basedOn w:val="Text10"/>
    <w:pPr>
      <w:numPr>
        <w:numId w:val="32"/>
      </w:numPr>
      <w:spacing w:before="0" w:after="240"/>
    </w:pPr>
    <w:rPr>
      <w:rFonts w:eastAsia="Times New Roman"/>
      <w:szCs w:val="20"/>
    </w:rPr>
  </w:style>
  <w:style w:type="paragraph" w:customStyle="1" w:styleId="ListDash2">
    <w:name w:val="List Dash 2"/>
    <w:basedOn w:val="Text2"/>
    <w:pPr>
      <w:numPr>
        <w:numId w:val="33"/>
      </w:numPr>
      <w:spacing w:before="0" w:after="240"/>
    </w:pPr>
    <w:rPr>
      <w:rFonts w:eastAsia="Times New Roman"/>
      <w:szCs w:val="20"/>
    </w:rPr>
  </w:style>
  <w:style w:type="paragraph" w:customStyle="1" w:styleId="ListDash3">
    <w:name w:val="List Dash 3"/>
    <w:basedOn w:val="Text3"/>
    <w:pPr>
      <w:numPr>
        <w:numId w:val="34"/>
      </w:numPr>
      <w:spacing w:before="0" w:after="240"/>
    </w:pPr>
    <w:rPr>
      <w:rFonts w:eastAsia="Times New Roman"/>
      <w:szCs w:val="20"/>
    </w:rPr>
  </w:style>
  <w:style w:type="paragraph" w:customStyle="1" w:styleId="ListDash4">
    <w:name w:val="List Dash 4"/>
    <w:basedOn w:val="Text4"/>
    <w:pPr>
      <w:numPr>
        <w:numId w:val="35"/>
      </w:numPr>
      <w:spacing w:before="0" w:after="240"/>
    </w:pPr>
    <w:rPr>
      <w:rFonts w:eastAsia="Times New Roman"/>
      <w:szCs w:val="20"/>
    </w:rPr>
  </w:style>
  <w:style w:type="paragraph" w:customStyle="1" w:styleId="ListNumberLevel2">
    <w:name w:val="List Number (Level 2)"/>
    <w:basedOn w:val="Normal"/>
    <w:pPr>
      <w:widowControl/>
      <w:tabs>
        <w:tab w:val="num" w:pos="1417"/>
      </w:tabs>
      <w:spacing w:after="240" w:line="240" w:lineRule="auto"/>
      <w:ind w:left="1417" w:hanging="708"/>
      <w:jc w:val="both"/>
    </w:pPr>
    <w:rPr>
      <w:lang w:eastAsia="en-US"/>
    </w:rPr>
  </w:style>
  <w:style w:type="paragraph" w:customStyle="1" w:styleId="ListNumberLevel3">
    <w:name w:val="List Number (Level 3)"/>
    <w:basedOn w:val="Normal"/>
    <w:pPr>
      <w:widowControl/>
      <w:tabs>
        <w:tab w:val="num" w:pos="2126"/>
      </w:tabs>
      <w:spacing w:after="240" w:line="240" w:lineRule="auto"/>
      <w:ind w:left="2126" w:hanging="709"/>
      <w:jc w:val="both"/>
    </w:pPr>
    <w:rPr>
      <w:lang w:eastAsia="en-US"/>
    </w:rPr>
  </w:style>
  <w:style w:type="paragraph" w:customStyle="1" w:styleId="ListNumberLevel4">
    <w:name w:val="List Number (Level 4)"/>
    <w:basedOn w:val="Normal"/>
    <w:pPr>
      <w:widowControl/>
      <w:tabs>
        <w:tab w:val="num" w:pos="2835"/>
      </w:tabs>
      <w:spacing w:after="240" w:line="240" w:lineRule="auto"/>
      <w:ind w:left="2835" w:hanging="709"/>
      <w:jc w:val="both"/>
    </w:pPr>
    <w:rPr>
      <w:lang w:eastAsia="en-US"/>
    </w:rPr>
  </w:style>
  <w:style w:type="paragraph" w:customStyle="1" w:styleId="ListNumber1">
    <w:name w:val="List Number 1"/>
    <w:basedOn w:val="Text10"/>
    <w:pPr>
      <w:numPr>
        <w:numId w:val="36"/>
      </w:numPr>
      <w:spacing w:before="0" w:after="240"/>
    </w:pPr>
    <w:rPr>
      <w:rFonts w:eastAsia="Times New Roman"/>
      <w:szCs w:val="20"/>
    </w:rPr>
  </w:style>
  <w:style w:type="paragraph" w:customStyle="1" w:styleId="ListNumber1Level2">
    <w:name w:val="List Number 1 (Level 2)"/>
    <w:basedOn w:val="Text10"/>
    <w:pPr>
      <w:numPr>
        <w:ilvl w:val="1"/>
        <w:numId w:val="36"/>
      </w:numPr>
      <w:spacing w:before="0" w:after="240"/>
    </w:pPr>
    <w:rPr>
      <w:rFonts w:eastAsia="Times New Roman"/>
      <w:szCs w:val="20"/>
    </w:rPr>
  </w:style>
  <w:style w:type="paragraph" w:customStyle="1" w:styleId="ListNumber1Level3">
    <w:name w:val="List Number 1 (Level 3)"/>
    <w:basedOn w:val="Text10"/>
    <w:pPr>
      <w:numPr>
        <w:ilvl w:val="2"/>
        <w:numId w:val="36"/>
      </w:numPr>
      <w:spacing w:before="0" w:after="240"/>
    </w:pPr>
    <w:rPr>
      <w:rFonts w:eastAsia="Times New Roman"/>
      <w:szCs w:val="20"/>
    </w:rPr>
  </w:style>
  <w:style w:type="paragraph" w:customStyle="1" w:styleId="ListNumber1Level4">
    <w:name w:val="List Number 1 (Level 4)"/>
    <w:basedOn w:val="Text10"/>
    <w:pPr>
      <w:numPr>
        <w:ilvl w:val="3"/>
        <w:numId w:val="36"/>
      </w:numPr>
      <w:spacing w:before="0" w:after="240"/>
    </w:pPr>
    <w:rPr>
      <w:rFonts w:eastAsia="Times New Roman"/>
      <w:szCs w:val="20"/>
    </w:rPr>
  </w:style>
  <w:style w:type="paragraph" w:customStyle="1" w:styleId="ListNumber2Level2">
    <w:name w:val="List Number 2 (Level 2)"/>
    <w:basedOn w:val="Text2"/>
    <w:pPr>
      <w:tabs>
        <w:tab w:val="num" w:pos="2494"/>
      </w:tabs>
      <w:spacing w:before="0" w:after="240"/>
      <w:ind w:left="2494" w:hanging="708"/>
    </w:pPr>
    <w:rPr>
      <w:rFonts w:eastAsia="Times New Roman"/>
      <w:szCs w:val="20"/>
    </w:rPr>
  </w:style>
  <w:style w:type="paragraph" w:customStyle="1" w:styleId="ListNumber2Level3">
    <w:name w:val="List Number 2 (Level 3)"/>
    <w:basedOn w:val="Text2"/>
    <w:pPr>
      <w:tabs>
        <w:tab w:val="num" w:pos="3203"/>
      </w:tabs>
      <w:spacing w:before="0" w:after="240"/>
      <w:ind w:left="3203" w:hanging="709"/>
    </w:pPr>
    <w:rPr>
      <w:rFonts w:eastAsia="Times New Roman"/>
      <w:szCs w:val="20"/>
    </w:rPr>
  </w:style>
  <w:style w:type="paragraph" w:customStyle="1" w:styleId="ListNumber2Level4">
    <w:name w:val="List Number 2 (Level 4)"/>
    <w:basedOn w:val="Text2"/>
    <w:pPr>
      <w:tabs>
        <w:tab w:val="num" w:pos="3912"/>
      </w:tabs>
      <w:spacing w:before="0" w:after="240"/>
      <w:ind w:left="3912" w:hanging="709"/>
    </w:pPr>
    <w:rPr>
      <w:rFonts w:eastAsia="Times New Roman"/>
      <w:szCs w:val="20"/>
    </w:rPr>
  </w:style>
  <w:style w:type="paragraph" w:customStyle="1" w:styleId="ListNumber3Level2">
    <w:name w:val="List Number 3 (Level 2)"/>
    <w:basedOn w:val="Text3"/>
    <w:pPr>
      <w:tabs>
        <w:tab w:val="num" w:pos="3333"/>
      </w:tabs>
      <w:spacing w:before="0" w:after="240"/>
      <w:ind w:left="3333" w:hanging="708"/>
    </w:pPr>
    <w:rPr>
      <w:rFonts w:eastAsia="Times New Roman"/>
      <w:szCs w:val="20"/>
    </w:rPr>
  </w:style>
  <w:style w:type="paragraph" w:customStyle="1" w:styleId="ListNumber3Level3">
    <w:name w:val="List Number 3 (Level 3)"/>
    <w:basedOn w:val="Text3"/>
    <w:pPr>
      <w:tabs>
        <w:tab w:val="num" w:pos="4042"/>
      </w:tabs>
      <w:spacing w:before="0" w:after="240"/>
      <w:ind w:left="4042" w:hanging="709"/>
    </w:pPr>
    <w:rPr>
      <w:rFonts w:eastAsia="Times New Roman"/>
      <w:szCs w:val="20"/>
    </w:rPr>
  </w:style>
  <w:style w:type="paragraph" w:customStyle="1" w:styleId="ListNumber3Level4">
    <w:name w:val="List Number 3 (Level 4)"/>
    <w:basedOn w:val="Text3"/>
    <w:pPr>
      <w:tabs>
        <w:tab w:val="num" w:pos="4751"/>
      </w:tabs>
      <w:spacing w:before="0" w:after="240"/>
      <w:ind w:left="4751" w:hanging="709"/>
    </w:pPr>
    <w:rPr>
      <w:rFonts w:eastAsia="Times New Roman"/>
      <w:szCs w:val="20"/>
    </w:rPr>
  </w:style>
  <w:style w:type="paragraph" w:customStyle="1" w:styleId="ListNumber4Level2">
    <w:name w:val="List Number 4 (Level 2)"/>
    <w:basedOn w:val="Text4"/>
    <w:pPr>
      <w:tabs>
        <w:tab w:val="num" w:pos="4297"/>
      </w:tabs>
      <w:spacing w:before="0" w:after="240"/>
      <w:ind w:left="4297" w:hanging="708"/>
    </w:pPr>
    <w:rPr>
      <w:rFonts w:eastAsia="Times New Roman"/>
      <w:szCs w:val="20"/>
    </w:rPr>
  </w:style>
  <w:style w:type="paragraph" w:customStyle="1" w:styleId="ListNumber4Level3">
    <w:name w:val="List Number 4 (Level 3)"/>
    <w:basedOn w:val="Text4"/>
    <w:pPr>
      <w:tabs>
        <w:tab w:val="num" w:pos="5006"/>
      </w:tabs>
      <w:spacing w:before="0" w:after="240"/>
      <w:ind w:left="5006" w:hanging="709"/>
    </w:pPr>
    <w:rPr>
      <w:rFonts w:eastAsia="Times New Roman"/>
      <w:szCs w:val="20"/>
    </w:rPr>
  </w:style>
  <w:style w:type="paragraph" w:customStyle="1" w:styleId="ListNumber4Level4">
    <w:name w:val="List Number 4 (Level 4)"/>
    <w:basedOn w:val="Text4"/>
    <w:pPr>
      <w:tabs>
        <w:tab w:val="num" w:pos="5715"/>
      </w:tabs>
      <w:spacing w:before="0" w:after="240"/>
      <w:ind w:left="5715" w:hanging="709"/>
    </w:pPr>
    <w:rPr>
      <w:rFonts w:eastAsia="Times New Roman"/>
      <w:szCs w:val="20"/>
    </w:rPr>
  </w:style>
  <w:style w:type="paragraph" w:customStyle="1" w:styleId="Contact">
    <w:name w:val="Contact"/>
    <w:basedOn w:val="Normal"/>
    <w:next w:val="Normal"/>
    <w:pPr>
      <w:widowControl/>
      <w:spacing w:before="480" w:line="240" w:lineRule="auto"/>
      <w:ind w:left="567" w:hanging="567"/>
    </w:pPr>
    <w:rPr>
      <w:lang w:eastAsia="en-US"/>
    </w:rPr>
  </w:style>
  <w:style w:type="paragraph" w:customStyle="1" w:styleId="DisclaimerNotice">
    <w:name w:val="Disclaimer Notice"/>
    <w:basedOn w:val="Normal"/>
    <w:next w:val="AddressTR"/>
    <w:pPr>
      <w:widowControl/>
      <w:spacing w:after="240" w:line="240" w:lineRule="auto"/>
      <w:ind w:left="5103"/>
    </w:pPr>
    <w:rPr>
      <w:i/>
      <w:sz w:val="20"/>
      <w:lang w:eastAsia="en-US"/>
    </w:rPr>
  </w:style>
  <w:style w:type="paragraph" w:customStyle="1" w:styleId="Disclaimer">
    <w:name w:val="Disclaimer"/>
    <w:basedOn w:val="Normal"/>
    <w:pPr>
      <w:keepLines/>
      <w:widowControl/>
      <w:pBdr>
        <w:top w:val="single" w:sz="4" w:space="1" w:color="auto"/>
      </w:pBdr>
      <w:spacing w:before="480" w:line="240" w:lineRule="auto"/>
      <w:jc w:val="both"/>
    </w:pPr>
    <w:rPr>
      <w:i/>
      <w:lang w:eastAsia="en-US"/>
    </w:rPr>
  </w:style>
  <w:style w:type="paragraph" w:customStyle="1" w:styleId="DisclaimerSJ">
    <w:name w:val="Disclaimer_SJ"/>
    <w:basedOn w:val="Normal"/>
    <w:next w:val="Normal"/>
    <w:pPr>
      <w:widowControl/>
      <w:spacing w:line="240" w:lineRule="auto"/>
      <w:jc w:val="both"/>
    </w:pPr>
    <w:rPr>
      <w:rFonts w:ascii="Arial" w:hAnsi="Arial"/>
      <w:b/>
      <w:sz w:val="16"/>
      <w:lang w:eastAsia="en-US"/>
    </w:rPr>
  </w:style>
  <w:style w:type="paragraph" w:customStyle="1" w:styleId="Designator">
    <w:name w:val="Designator"/>
    <w:basedOn w:val="Normal"/>
    <w:pPr>
      <w:widowControl/>
      <w:spacing w:line="240" w:lineRule="auto"/>
      <w:jc w:val="center"/>
    </w:pPr>
    <w:rPr>
      <w:b/>
      <w:caps/>
      <w:sz w:val="32"/>
      <w:lang w:eastAsia="en-US"/>
    </w:rPr>
  </w:style>
  <w:style w:type="paragraph" w:customStyle="1" w:styleId="Releasable">
    <w:name w:val="Releasable"/>
    <w:basedOn w:val="Normal"/>
    <w:qFormat/>
    <w:pPr>
      <w:widowControl/>
      <w:spacing w:line="240" w:lineRule="auto"/>
      <w:jc w:val="center"/>
    </w:pPr>
    <w:rPr>
      <w:b/>
      <w:caps/>
      <w:sz w:val="32"/>
      <w:lang w:val="de-DE" w:eastAsia="en-US"/>
    </w:rPr>
  </w:style>
  <w:style w:type="paragraph" w:customStyle="1" w:styleId="RUE">
    <w:name w:val="RUE"/>
    <w:basedOn w:val="Normal"/>
    <w:pPr>
      <w:widowControl/>
      <w:spacing w:line="240" w:lineRule="auto"/>
      <w:jc w:val="center"/>
    </w:pPr>
    <w:rPr>
      <w:b/>
      <w:caps/>
      <w:sz w:val="32"/>
      <w:bdr w:val="single" w:sz="18" w:space="0" w:color="auto"/>
      <w:lang w:val="de-DE" w:eastAsia="en-US"/>
    </w:rPr>
  </w:style>
  <w:style w:type="paragraph" w:customStyle="1" w:styleId="ConfidentialUE">
    <w:name w:val="Confidential UE"/>
    <w:basedOn w:val="Normal"/>
    <w:pPr>
      <w:widowControl/>
      <w:spacing w:line="240" w:lineRule="auto"/>
      <w:jc w:val="center"/>
    </w:pPr>
    <w:rPr>
      <w:b/>
      <w:caps/>
      <w:sz w:val="32"/>
      <w:bdr w:val="single" w:sz="18" w:space="0" w:color="auto"/>
      <w:lang w:eastAsia="en-US"/>
    </w:rPr>
  </w:style>
  <w:style w:type="paragraph" w:customStyle="1" w:styleId="TrsSecretUE">
    <w:name w:val="Très Secret UE"/>
    <w:basedOn w:val="Normal"/>
    <w:pPr>
      <w:widowControl/>
      <w:spacing w:line="240" w:lineRule="auto"/>
      <w:jc w:val="center"/>
    </w:pPr>
    <w:rPr>
      <w:b/>
      <w:caps/>
      <w:color w:val="FF0000"/>
      <w:sz w:val="32"/>
      <w:bdr w:val="single" w:sz="18" w:space="0" w:color="FF0000"/>
      <w:lang w:eastAsia="en-US"/>
    </w:rPr>
  </w:style>
  <w:style w:type="paragraph" w:customStyle="1" w:styleId="SecretUE">
    <w:name w:val="Secret UE"/>
    <w:basedOn w:val="Normal"/>
    <w:pPr>
      <w:widowControl/>
      <w:spacing w:line="240" w:lineRule="auto"/>
      <w:jc w:val="center"/>
    </w:pPr>
    <w:rPr>
      <w:b/>
      <w:caps/>
      <w:color w:val="FF0000"/>
      <w:sz w:val="32"/>
      <w:bdr w:val="single" w:sz="18" w:space="0" w:color="FF0000"/>
      <w:lang w:eastAsia="en-US"/>
    </w:rPr>
  </w:style>
  <w:style w:type="numbering" w:customStyle="1" w:styleId="NoList111">
    <w:name w:val="No List111"/>
    <w:next w:val="NoList"/>
    <w:semiHidden/>
  </w:style>
  <w:style w:type="paragraph" w:customStyle="1" w:styleId="Listecouleur-Accent11">
    <w:name w:val="Liste couleur - Accent 11"/>
    <w:basedOn w:val="Normal"/>
    <w:pPr>
      <w:widowControl/>
      <w:spacing w:after="200" w:line="276" w:lineRule="auto"/>
      <w:ind w:left="720"/>
      <w:contextualSpacing/>
    </w:pPr>
    <w:rPr>
      <w:rFonts w:ascii="Calibri" w:eastAsia="Calibri" w:hAnsi="Calibri" w:cs="Calibri"/>
      <w:sz w:val="22"/>
      <w:szCs w:val="22"/>
      <w:lang w:val="en-US" w:eastAsia="en-US"/>
    </w:rPr>
  </w:style>
  <w:style w:type="table" w:customStyle="1" w:styleId="TableGrid1">
    <w:name w:val="Table Grid1"/>
    <w:basedOn w:val="TableNormal"/>
    <w:next w:val="TableGrid"/>
    <w:rPr>
      <w:rFonts w:ascii="Calibri" w:eastAsia="Calibri" w:hAnsi="Calibri" w:cs="Calibri"/>
      <w:lang w:val="fr-BE" w:eastAsia="fr-B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Style1"/>
    <w:basedOn w:val="Normal"/>
    <w:pPr>
      <w:widowControl/>
      <w:spacing w:after="200" w:line="276" w:lineRule="auto"/>
    </w:pPr>
    <w:rPr>
      <w:rFonts w:ascii="Calibri" w:eastAsia="Calibri" w:hAnsi="Calibri" w:cs="Calibri"/>
      <w:szCs w:val="24"/>
      <w:lang w:val="en-US" w:eastAsia="en-US"/>
    </w:rPr>
  </w:style>
  <w:style w:type="paragraph" w:customStyle="1" w:styleId="Style2">
    <w:name w:val="Style2"/>
    <w:basedOn w:val="Normal"/>
    <w:pPr>
      <w:widowControl/>
      <w:spacing w:after="200" w:line="276" w:lineRule="auto"/>
    </w:pPr>
    <w:rPr>
      <w:rFonts w:ascii="Calibri" w:eastAsia="Calibri" w:hAnsi="Calibri" w:cs="Calibri"/>
      <w:szCs w:val="24"/>
      <w:lang w:val="en-US" w:eastAsia="en-US"/>
    </w:rPr>
  </w:style>
  <w:style w:type="paragraph" w:customStyle="1" w:styleId="Listecouleur-Accent12">
    <w:name w:val="Liste couleur - Accent 12"/>
    <w:basedOn w:val="Normal"/>
    <w:pPr>
      <w:widowControl/>
      <w:spacing w:after="200" w:line="276" w:lineRule="auto"/>
      <w:ind w:left="720"/>
    </w:pPr>
    <w:rPr>
      <w:rFonts w:ascii="Calibri" w:eastAsia="Calibri" w:hAnsi="Calibri" w:cs="Calibri"/>
      <w:sz w:val="22"/>
      <w:szCs w:val="22"/>
      <w:lang w:val="en-US" w:eastAsia="en-US"/>
    </w:rPr>
  </w:style>
  <w:style w:type="character" w:customStyle="1" w:styleId="CommentTextChar1">
    <w:name w:val="Comment Text Char1"/>
    <w:semiHidden/>
    <w:rPr>
      <w:rFonts w:ascii="Times New Roman" w:eastAsia="Times New Roman" w:hAnsi="Times New Roman" w:cs="Times New Roman"/>
      <w:sz w:val="20"/>
      <w:szCs w:val="20"/>
      <w:lang w:val="en-GB"/>
    </w:rPr>
  </w:style>
  <w:style w:type="numbering" w:customStyle="1" w:styleId="NoList21">
    <w:name w:val="No List21"/>
    <w:next w:val="NoList"/>
    <w:semiHidden/>
  </w:style>
  <w:style w:type="numbering" w:customStyle="1" w:styleId="NoList5">
    <w:name w:val="No List5"/>
    <w:next w:val="NoList"/>
    <w:uiPriority w:val="99"/>
    <w:semiHidden/>
    <w:unhideWhenUsed/>
  </w:style>
  <w:style w:type="character" w:styleId="HTMLDefinition">
    <w:name w:val="HTML Definition"/>
    <w:basedOn w:val="DefaultParagraphFont"/>
    <w:uiPriority w:val="99"/>
    <w:unhideWhenUsed/>
    <w:rPr>
      <w:i/>
      <w:iCs/>
    </w:rPr>
  </w:style>
  <w:style w:type="character" w:customStyle="1" w:styleId="msoins0">
    <w:name w:val="msoins"/>
    <w:basedOn w:val="DefaultParagraphFont"/>
  </w:style>
  <w:style w:type="numbering" w:customStyle="1" w:styleId="NoList6">
    <w:name w:val="No List6"/>
    <w:next w:val="NoList"/>
    <w:uiPriority w:val="99"/>
    <w:semiHidden/>
    <w:unhideWhenUsed/>
  </w:style>
  <w:style w:type="table" w:customStyle="1" w:styleId="TableGrid2">
    <w:name w:val="Table Grid2"/>
    <w:basedOn w:val="TableNormal"/>
    <w:next w:val="TableGrid"/>
    <w:uiPriority w:val="59"/>
    <w:rPr>
      <w:rFonts w:eastAsiaTheme="minorHAnsi" w:cstheme="minorBidi"/>
      <w:sz w:val="24"/>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style>
  <w:style w:type="character" w:customStyle="1" w:styleId="formreadable1">
    <w:name w:val="formreadable1"/>
    <w:basedOn w:val="DefaultParagraphFont"/>
    <w:rPr>
      <w:rFonts w:ascii="Arial" w:hAnsi="Arial" w:cs="Arial" w:hint="default"/>
      <w:b/>
      <w:bCs/>
      <w:i w:val="0"/>
      <w:iCs w:val="0"/>
      <w:strike w:val="0"/>
      <w:dstrike w:val="0"/>
      <w:color w:val="000000"/>
      <w:sz w:val="17"/>
      <w:szCs w:val="17"/>
      <w:u w:val="none"/>
      <w:effect w:val="none"/>
      <w:shd w:val="clear" w:color="auto" w:fill="E6E6E6"/>
    </w:rPr>
  </w:style>
  <w:style w:type="numbering" w:customStyle="1" w:styleId="NoList7">
    <w:name w:val="No List7"/>
    <w:next w:val="NoList"/>
    <w:uiPriority w:val="99"/>
    <w:semiHidden/>
    <w:unhideWhenUsed/>
  </w:style>
  <w:style w:type="paragraph" w:customStyle="1" w:styleId="CM4">
    <w:name w:val="CM4"/>
    <w:basedOn w:val="Normal"/>
    <w:next w:val="Normal"/>
    <w:uiPriority w:val="99"/>
    <w:pPr>
      <w:widowControl/>
      <w:autoSpaceDE w:val="0"/>
      <w:autoSpaceDN w:val="0"/>
      <w:adjustRightInd w:val="0"/>
      <w:spacing w:before="60" w:after="60" w:line="240" w:lineRule="auto"/>
    </w:pPr>
    <w:rPr>
      <w:rFonts w:ascii="EUAlbertina" w:hAnsi="EUAlbertina"/>
      <w:szCs w:val="24"/>
      <w:lang w:eastAsia="en-CA"/>
    </w:rPr>
  </w:style>
  <w:style w:type="numbering" w:customStyle="1" w:styleId="List01">
    <w:name w:val="List 01"/>
    <w:basedOn w:val="NoList"/>
    <w:pPr>
      <w:numPr>
        <w:numId w:val="23"/>
      </w:numPr>
    </w:pPr>
  </w:style>
  <w:style w:type="numbering" w:customStyle="1" w:styleId="List1">
    <w:name w:val="List 1"/>
    <w:basedOn w:val="NoList"/>
    <w:pPr>
      <w:numPr>
        <w:numId w:val="29"/>
      </w:numPr>
    </w:p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A">
    <w:name w:val="Body A"/>
    <w:pPr>
      <w:pBdr>
        <w:top w:val="nil"/>
        <w:left w:val="nil"/>
        <w:bottom w:val="nil"/>
        <w:right w:val="nil"/>
        <w:between w:val="nil"/>
        <w:bar w:val="nil"/>
      </w:pBdr>
    </w:pPr>
    <w:rPr>
      <w:rFonts w:ascii="Calibri" w:eastAsia="Calibri" w:hAnsi="Calibri" w:cs="Calibri"/>
      <w:color w:val="000000"/>
      <w:sz w:val="22"/>
      <w:szCs w:val="22"/>
      <w:u w:color="000000"/>
      <w:bdr w:val="nil"/>
      <w:lang w:val="en-US" w:eastAsia="en-CA"/>
    </w:rPr>
  </w:style>
  <w:style w:type="numbering" w:customStyle="1" w:styleId="NoList8">
    <w:name w:val="No List8"/>
    <w:next w:val="NoList"/>
    <w:uiPriority w:val="99"/>
    <w:semiHidden/>
    <w:unhideWhenUsed/>
  </w:style>
  <w:style w:type="paragraph" w:customStyle="1" w:styleId="Level1">
    <w:name w:val="Level 1"/>
    <w:uiPriority w:val="99"/>
    <w:pPr>
      <w:ind w:left="720"/>
      <w:jc w:val="both"/>
    </w:pPr>
    <w:rPr>
      <w:sz w:val="24"/>
      <w:lang w:val="en-US" w:eastAsia="en-US"/>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BodyTextIn">
    <w:name w:val="Body Text In"/>
    <w:uiPriority w:val="99"/>
    <w:pPr>
      <w:tabs>
        <w:tab w:val="left" w:pos="28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ind w:left="282"/>
    </w:pPr>
    <w:rPr>
      <w:lang w:val="en-CA" w:eastAsia="en-US"/>
    </w:rPr>
  </w:style>
  <w:style w:type="paragraph" w:customStyle="1" w:styleId="Clause">
    <w:name w:val="Clause"/>
    <w:basedOn w:val="Normal"/>
    <w:uiPriority w:val="99"/>
    <w:pPr>
      <w:widowControl/>
      <w:tabs>
        <w:tab w:val="left" w:pos="720"/>
        <w:tab w:val="left" w:pos="1440"/>
        <w:tab w:val="left" w:pos="2160"/>
      </w:tabs>
      <w:spacing w:after="240" w:line="240" w:lineRule="auto"/>
      <w:ind w:left="2160" w:hanging="720"/>
    </w:pPr>
    <w:rPr>
      <w:lang w:val="en-US" w:eastAsia="en-US"/>
    </w:rPr>
  </w:style>
  <w:style w:type="paragraph" w:customStyle="1" w:styleId="num">
    <w:name w:val="num"/>
    <w:basedOn w:val="Normal"/>
    <w:pPr>
      <w:widowControl/>
      <w:spacing w:after="240" w:line="240" w:lineRule="auto"/>
      <w:ind w:left="850" w:hanging="850"/>
      <w:jc w:val="both"/>
    </w:pPr>
    <w:rPr>
      <w:rFonts w:eastAsia="Batang"/>
      <w:lang w:eastAsia="en-GB"/>
    </w:rPr>
  </w:style>
  <w:style w:type="paragraph" w:customStyle="1" w:styleId="para">
    <w:name w:val="para"/>
    <w:basedOn w:val="Normal"/>
    <w:pPr>
      <w:widowControl/>
      <w:spacing w:after="240" w:line="240" w:lineRule="auto"/>
    </w:pPr>
    <w:rPr>
      <w:rFonts w:eastAsia="Batang"/>
      <w:lang w:val="en-US" w:eastAsia="en-US"/>
    </w:rPr>
  </w:style>
  <w:style w:type="paragraph" w:customStyle="1" w:styleId="body0">
    <w:name w:val="body"/>
    <w:basedOn w:val="Normal"/>
    <w:uiPriority w:val="99"/>
    <w:pPr>
      <w:widowControl/>
      <w:spacing w:before="100" w:beforeAutospacing="1" w:after="100" w:afterAutospacing="1" w:line="240" w:lineRule="auto"/>
    </w:pPr>
    <w:rPr>
      <w:rFonts w:eastAsiaTheme="minorHAnsi"/>
      <w:szCs w:val="24"/>
      <w:lang w:eastAsia="en-CA"/>
    </w:rPr>
  </w:style>
  <w:style w:type="numbering" w:customStyle="1" w:styleId="NoList9">
    <w:name w:val="No List9"/>
    <w:next w:val="NoList"/>
    <w:uiPriority w:val="99"/>
    <w:semiHidden/>
    <w:unhideWhenUsed/>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character" w:customStyle="1" w:styleId="hps">
    <w:name w:val="hps"/>
  </w:style>
  <w:style w:type="numbering" w:customStyle="1" w:styleId="NoList10">
    <w:name w:val="No List10"/>
    <w:next w:val="NoList"/>
    <w:uiPriority w:val="99"/>
    <w:semiHidden/>
    <w:unhideWhenUsed/>
  </w:style>
  <w:style w:type="numbering" w:customStyle="1" w:styleId="NoList12">
    <w:name w:val="No List12"/>
    <w:next w:val="NoList"/>
    <w:uiPriority w:val="99"/>
    <w:semiHidden/>
    <w:unhideWhenUsed/>
  </w:style>
  <w:style w:type="paragraph" w:customStyle="1" w:styleId="Point10">
    <w:name w:val="Point 1"/>
    <w:basedOn w:val="Normal"/>
    <w:pPr>
      <w:widowControl/>
      <w:spacing w:before="120" w:after="120" w:line="240" w:lineRule="auto"/>
      <w:ind w:left="1417" w:hanging="567"/>
      <w:jc w:val="both"/>
    </w:pPr>
    <w:rPr>
      <w:rFonts w:eastAsiaTheme="minorHAnsi"/>
      <w:szCs w:val="22"/>
      <w:lang w:eastAsia="en-US"/>
    </w:rPr>
  </w:style>
  <w:style w:type="paragraph" w:styleId="NoSpacing">
    <w:name w:val="No Spacing"/>
    <w:uiPriority w:val="1"/>
    <w:qFormat/>
    <w:rPr>
      <w:rFonts w:asciiTheme="minorHAnsi" w:eastAsiaTheme="minorHAnsi" w:hAnsiTheme="minorHAnsi" w:cstheme="minorBidi"/>
      <w:sz w:val="22"/>
      <w:szCs w:val="22"/>
      <w:lang w:val="en-CA"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aliases w:val="Final Footnote Text Char,Final Footnote Text Char Char Char,GM_Fußnotentext Char,Footnote text Char,fn Char,Schriftart: 9 pt Char,Schriftart: 10 pt Char,Schriftart: 8 pt Char,WB-Fußnoten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0">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42"/>
      </w:numPr>
    </w:pPr>
  </w:style>
  <w:style w:type="paragraph" w:customStyle="1" w:styleId="Tiret1">
    <w:name w:val="Tiret 1"/>
    <w:basedOn w:val="Point10"/>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43"/>
      </w:numPr>
    </w:pPr>
  </w:style>
  <w:style w:type="paragraph" w:customStyle="1" w:styleId="Tiret4">
    <w:name w:val="Tiret 4"/>
    <w:basedOn w:val="Point4"/>
    <w:pPr>
      <w:numPr>
        <w:numId w:val="44"/>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0"/>
    <w:pPr>
      <w:widowControl/>
      <w:numPr>
        <w:numId w:val="45"/>
      </w:numPr>
      <w:spacing w:before="120" w:after="120" w:line="240" w:lineRule="auto"/>
      <w:jc w:val="both"/>
    </w:pPr>
    <w:rPr>
      <w:rFonts w:eastAsiaTheme="minorHAnsi"/>
      <w:szCs w:val="22"/>
      <w:lang w:eastAsia="en-US"/>
    </w:rPr>
  </w:style>
  <w:style w:type="paragraph" w:customStyle="1" w:styleId="NumPar2">
    <w:name w:val="NumPar 2"/>
    <w:basedOn w:val="Normal"/>
    <w:next w:val="Text10"/>
    <w:pPr>
      <w:widowControl/>
      <w:numPr>
        <w:ilvl w:val="1"/>
        <w:numId w:val="45"/>
      </w:numPr>
      <w:spacing w:before="120" w:after="120" w:line="240" w:lineRule="auto"/>
      <w:jc w:val="both"/>
    </w:pPr>
    <w:rPr>
      <w:rFonts w:eastAsiaTheme="minorHAnsi"/>
      <w:szCs w:val="22"/>
      <w:lang w:eastAsia="en-US"/>
    </w:rPr>
  </w:style>
  <w:style w:type="paragraph" w:customStyle="1" w:styleId="NumPar3">
    <w:name w:val="NumPar 3"/>
    <w:basedOn w:val="Normal"/>
    <w:next w:val="Text10"/>
    <w:pPr>
      <w:widowControl/>
      <w:numPr>
        <w:ilvl w:val="2"/>
        <w:numId w:val="45"/>
      </w:numPr>
      <w:spacing w:before="120" w:after="120" w:line="240" w:lineRule="auto"/>
      <w:jc w:val="both"/>
    </w:pPr>
    <w:rPr>
      <w:rFonts w:eastAsiaTheme="minorHAnsi"/>
      <w:szCs w:val="22"/>
      <w:lang w:eastAsia="en-US"/>
    </w:rPr>
  </w:style>
  <w:style w:type="paragraph" w:customStyle="1" w:styleId="NumPar4">
    <w:name w:val="NumPar 4"/>
    <w:basedOn w:val="Normal"/>
    <w:next w:val="Text10"/>
    <w:pPr>
      <w:widowControl/>
      <w:numPr>
        <w:ilvl w:val="3"/>
        <w:numId w:val="45"/>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0"/>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0"/>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0"/>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0"/>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46"/>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46"/>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46"/>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46"/>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46"/>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46"/>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46"/>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46"/>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46"/>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47"/>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48"/>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49"/>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50"/>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51"/>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52"/>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boxtab">
    <w:name w:val="boxtab"/>
    <w:basedOn w:val="Normal"/>
    <w:pPr>
      <w:widowControl/>
      <w:spacing w:line="240" w:lineRule="auto"/>
      <w:ind w:left="113" w:hanging="113"/>
    </w:pPr>
    <w:rPr>
      <w:sz w:val="16"/>
      <w:lang w:eastAsia="en-GB"/>
    </w:rPr>
  </w:style>
  <w:style w:type="paragraph" w:customStyle="1" w:styleId="CharChar">
    <w:name w:val="(文字) (文字) Char (文字) (文字) Char"/>
    <w:basedOn w:val="Normal"/>
    <w:pPr>
      <w:widowControl/>
      <w:spacing w:after="160" w:line="240" w:lineRule="exact"/>
    </w:pPr>
    <w:rPr>
      <w:rFonts w:ascii="Tahoma" w:eastAsia="MS Mincho" w:hAnsi="Tahoma" w:cs="Tahoma"/>
      <w:sz w:val="20"/>
      <w:lang w:val="en-US" w:eastAsia="en-US"/>
    </w:rPr>
  </w:style>
  <w:style w:type="paragraph" w:customStyle="1" w:styleId="CM1">
    <w:name w:val="CM1"/>
    <w:basedOn w:val="Normal"/>
    <w:next w:val="Normal"/>
    <w:uiPriority w:val="99"/>
    <w:pPr>
      <w:widowControl/>
      <w:autoSpaceDE w:val="0"/>
      <w:autoSpaceDN w:val="0"/>
      <w:adjustRightInd w:val="0"/>
      <w:spacing w:before="200" w:after="200" w:line="240" w:lineRule="auto"/>
    </w:pPr>
    <w:rPr>
      <w:rFonts w:ascii="EUAlbertina" w:hAnsi="EUAlbertina"/>
      <w:szCs w:val="24"/>
      <w:lang w:val="en-CA" w:eastAsia="en-CA"/>
    </w:rPr>
  </w:style>
  <w:style w:type="paragraph" w:customStyle="1" w:styleId="CM3">
    <w:name w:val="CM3"/>
    <w:basedOn w:val="Normal"/>
    <w:next w:val="Normal"/>
    <w:uiPriority w:val="99"/>
    <w:pPr>
      <w:widowControl/>
      <w:autoSpaceDE w:val="0"/>
      <w:autoSpaceDN w:val="0"/>
      <w:adjustRightInd w:val="0"/>
      <w:spacing w:before="60" w:after="60" w:line="240" w:lineRule="auto"/>
    </w:pPr>
    <w:rPr>
      <w:rFonts w:ascii="EUAlbertina" w:hAnsi="EUAlbertina"/>
      <w:szCs w:val="24"/>
      <w:lang w:val="en-CA" w:eastAsia="en-CA"/>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bCs/>
      <w:shd w:val="solid" w:color="FFFFFF" w:fill="auto"/>
      <w:lang w:eastAsia="ru-RU"/>
    </w:rPr>
  </w:style>
  <w:style w:type="character" w:customStyle="1" w:styleId="FooterCoverPageChar">
    <w:name w:val="Footer Cover Page Char"/>
    <w:basedOn w:val="DefaultParagraphFont"/>
    <w:link w:val="FooterCoverPage"/>
    <w:rPr>
      <w:bCs/>
      <w:sz w:val="24"/>
      <w:lang w:eastAsia="ru-RU"/>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bCs/>
      <w:shd w:val="solid" w:color="FFFFFF" w:fill="auto"/>
      <w:lang w:eastAsia="ru-RU"/>
    </w:rPr>
  </w:style>
  <w:style w:type="character" w:customStyle="1" w:styleId="HeaderCoverPageChar">
    <w:name w:val="Header Cover Page Char"/>
    <w:basedOn w:val="DefaultParagraphFont"/>
    <w:link w:val="HeaderCoverPage"/>
    <w:rPr>
      <w:bCs/>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envelope address" w:uiPriority="0"/>
    <w:lsdException w:name="envelope return"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2" w:uiPriority="0"/>
    <w:lsdException w:name="List 3" w:uiPriority="0"/>
    <w:lsdException w:name="List 4" w:uiPriority="0"/>
    <w:lsdException w:name="List 5" w:uiPriority="0"/>
    <w:lsdException w:name="List Bullet 3" w:uiPriority="0"/>
    <w:lsdException w:name="List Bullet 5"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uiPriority w:val="9"/>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aliases w:val="BVI fnr, BVI fnr,(Footnote Reference),Footnote Reference/,Ref,de nota al pie"/>
    <w:uiPriority w:val="99"/>
    <w:rPr>
      <w:b/>
      <w:vertAlign w:val="superscript"/>
    </w:rPr>
  </w:style>
  <w:style w:type="paragraph" w:styleId="FootnoteText">
    <w:name w:val="footnote text"/>
    <w:aliases w:val="Final Footnote Text,Final Footnote Text Char Char,GM_Fußnotentext,Footnote text,fn,Schriftart: 9 pt,Schriftart: 10 pt,Schriftart: 8 pt,WB-Fußnoten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link w:val="EndnoteTextChar"/>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numbering" w:customStyle="1" w:styleId="NoList1">
    <w:name w:val="No List1"/>
    <w:next w:val="No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character" w:customStyle="1" w:styleId="Heading5Char">
    <w:name w:val="Heading 5 Char"/>
    <w:basedOn w:val="DefaultParagraphFont"/>
    <w:link w:val="Heading5"/>
    <w:uiPriority w:val="9"/>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iPriority w:val="99"/>
    <w:unhideWhenUsed/>
    <w:pPr>
      <w:widowControl/>
      <w:spacing w:before="120" w:line="240" w:lineRule="auto"/>
      <w:jc w:val="both"/>
    </w:pPr>
    <w:rPr>
      <w:rFonts w:eastAsiaTheme="minorHAnsi"/>
      <w:szCs w:val="22"/>
      <w:lang w:eastAsia="en-US"/>
    </w:rPr>
  </w:style>
  <w:style w:type="paragraph" w:styleId="ListBullet">
    <w:name w:val="List Bullet"/>
    <w:basedOn w:val="Normal"/>
    <w:uiPriority w:val="99"/>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iPriority w:val="99"/>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iPriority w:val="99"/>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iPriority w:val="99"/>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iPriority w:val="99"/>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iPriority w:val="99"/>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iPriority w:val="99"/>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rPr>
      <w:rFonts w:ascii="Tahoma" w:hAnsi="Tahoma" w:cs="Tahoma"/>
      <w:sz w:val="16"/>
      <w:szCs w:val="16"/>
      <w:lang w:eastAsia="fr-BE"/>
    </w:rPr>
  </w:style>
  <w:style w:type="paragraph" w:styleId="ListParagraph">
    <w:name w:val="List Paragraph"/>
    <w:basedOn w:val="Normal"/>
    <w:uiPriority w:val="34"/>
    <w:qFormat/>
    <w:pPr>
      <w:widowControl/>
      <w:spacing w:after="200" w:line="276" w:lineRule="auto"/>
      <w:ind w:left="720"/>
      <w:contextualSpacing/>
    </w:pPr>
    <w:rPr>
      <w:rFonts w:asciiTheme="minorHAnsi" w:eastAsiaTheme="minorHAnsi" w:hAnsiTheme="minorHAnsi" w:cstheme="minorBidi"/>
      <w:sz w:val="22"/>
      <w:szCs w:val="22"/>
      <w:lang w:val="en-CA" w:eastAsia="en-US"/>
    </w:rPr>
  </w:style>
  <w:style w:type="character" w:styleId="FollowedHyperlink">
    <w:name w:val="FollowedHyperlink"/>
    <w:basedOn w:val="DefaultParagraphFont"/>
    <w:unhideWhenUsed/>
    <w:rPr>
      <w:color w:val="800080"/>
      <w:u w:val="single"/>
    </w:rPr>
  </w:style>
  <w:style w:type="paragraph" w:customStyle="1" w:styleId="xl63">
    <w:name w:val="xl63"/>
    <w:basedOn w:val="Normal"/>
    <w:pPr>
      <w:widowControl/>
      <w:spacing w:before="100" w:beforeAutospacing="1" w:after="100" w:afterAutospacing="1" w:line="240" w:lineRule="auto"/>
      <w:textAlignment w:val="top"/>
    </w:pPr>
    <w:rPr>
      <w:szCs w:val="24"/>
      <w:lang w:eastAsia="en-GB"/>
    </w:rPr>
  </w:style>
  <w:style w:type="paragraph" w:customStyle="1" w:styleId="xl64">
    <w:name w:val="xl64"/>
    <w:basedOn w:val="Normal"/>
    <w:pPr>
      <w:widowControl/>
      <w:spacing w:before="100" w:beforeAutospacing="1" w:after="100" w:afterAutospacing="1" w:line="240" w:lineRule="auto"/>
      <w:textAlignment w:val="top"/>
    </w:pPr>
    <w:rPr>
      <w:b/>
      <w:bCs/>
      <w:szCs w:val="24"/>
      <w:lang w:eastAsia="en-GB"/>
    </w:rPr>
  </w:style>
  <w:style w:type="paragraph" w:customStyle="1" w:styleId="xl65">
    <w:name w:val="xl65"/>
    <w:basedOn w:val="Normal"/>
    <w:pPr>
      <w:widowControl/>
      <w:spacing w:before="100" w:beforeAutospacing="1" w:after="100" w:afterAutospacing="1" w:line="240" w:lineRule="auto"/>
      <w:textAlignment w:val="top"/>
    </w:pPr>
    <w:rPr>
      <w:szCs w:val="24"/>
      <w:lang w:eastAsia="en-GB"/>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b/>
      <w:bCs/>
      <w:color w:val="000000"/>
      <w:szCs w:val="24"/>
      <w:lang w:eastAsia="en-GB"/>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b/>
      <w:bCs/>
      <w:color w:val="000000"/>
      <w:szCs w:val="24"/>
      <w:lang w:eastAsia="en-GB"/>
    </w:rPr>
  </w:style>
  <w:style w:type="paragraph" w:customStyle="1" w:styleId="xl68">
    <w:name w:val="xl68"/>
    <w:basedOn w:val="Normal"/>
    <w:pPr>
      <w:widowControl/>
      <w:spacing w:before="100" w:beforeAutospacing="1" w:after="100" w:afterAutospacing="1" w:line="240" w:lineRule="auto"/>
    </w:pPr>
    <w:rPr>
      <w:szCs w:val="24"/>
      <w:lang w:eastAsia="en-GB"/>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b/>
      <w:bCs/>
      <w:color w:val="000000"/>
      <w:szCs w:val="24"/>
      <w:lang w:eastAsia="en-GB"/>
    </w:rPr>
  </w:style>
  <w:style w:type="paragraph" w:customStyle="1" w:styleId="xl70">
    <w:name w:val="xl70"/>
    <w:basedOn w:val="Normal"/>
    <w:pPr>
      <w:widowControl/>
      <w:spacing w:before="100" w:beforeAutospacing="1" w:after="100" w:afterAutospacing="1" w:line="240" w:lineRule="auto"/>
      <w:jc w:val="center"/>
      <w:textAlignment w:val="top"/>
    </w:pPr>
    <w:rPr>
      <w:szCs w:val="24"/>
      <w:lang w:eastAsia="en-GB"/>
    </w:rPr>
  </w:style>
  <w:style w:type="paragraph" w:customStyle="1" w:styleId="xl71">
    <w:name w:val="xl71"/>
    <w:basedOn w:val="Normal"/>
    <w:pPr>
      <w:widowControl/>
      <w:spacing w:before="100" w:beforeAutospacing="1" w:after="100" w:afterAutospacing="1" w:line="240" w:lineRule="auto"/>
      <w:jc w:val="center"/>
      <w:textAlignment w:val="top"/>
    </w:pPr>
    <w:rPr>
      <w:szCs w:val="24"/>
      <w:lang w:eastAsia="en-GB"/>
    </w:rPr>
  </w:style>
  <w:style w:type="paragraph" w:customStyle="1" w:styleId="xl72">
    <w:name w:val="xl72"/>
    <w:basedOn w:val="Normal"/>
    <w:pPr>
      <w:widowControl/>
      <w:spacing w:before="100" w:beforeAutospacing="1" w:after="100" w:afterAutospacing="1" w:line="240" w:lineRule="auto"/>
      <w:jc w:val="center"/>
      <w:textAlignment w:val="top"/>
    </w:pPr>
    <w:rPr>
      <w:szCs w:val="24"/>
      <w:lang w:eastAsia="en-GB"/>
    </w:rPr>
  </w:style>
  <w:style w:type="paragraph" w:customStyle="1" w:styleId="xl73">
    <w:name w:val="xl73"/>
    <w:basedOn w:val="Normal"/>
    <w:pPr>
      <w:widowControl/>
      <w:spacing w:before="100" w:beforeAutospacing="1" w:after="100" w:afterAutospacing="1" w:line="240" w:lineRule="auto"/>
      <w:jc w:val="center"/>
      <w:textAlignment w:val="top"/>
    </w:pPr>
    <w:rPr>
      <w:szCs w:val="24"/>
      <w:lang w:eastAsia="en-GB"/>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Cs w:val="24"/>
      <w:lang w:eastAsia="en-GB"/>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color w:val="000000"/>
      <w:szCs w:val="24"/>
      <w:lang w:eastAsia="en-GB"/>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Cs w:val="24"/>
      <w:lang w:eastAsia="en-GB"/>
    </w:rPr>
  </w:style>
  <w:style w:type="paragraph" w:customStyle="1" w:styleId="xl77">
    <w:name w:val="xl7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00"/>
      <w:szCs w:val="24"/>
      <w:lang w:eastAsia="en-GB"/>
    </w:rPr>
  </w:style>
  <w:style w:type="paragraph" w:customStyle="1" w:styleId="xl78">
    <w:name w:val="xl78"/>
    <w:basedOn w:val="Normal"/>
    <w:pPr>
      <w:widowControl/>
      <w:spacing w:before="100" w:beforeAutospacing="1" w:after="100" w:afterAutospacing="1" w:line="240" w:lineRule="auto"/>
      <w:textAlignment w:val="top"/>
    </w:pPr>
    <w:rPr>
      <w:b/>
      <w:bCs/>
      <w:szCs w:val="24"/>
      <w:lang w:eastAsia="en-GB"/>
    </w:rPr>
  </w:style>
  <w:style w:type="numbering" w:customStyle="1" w:styleId="NoList11">
    <w:name w:val="No List11"/>
    <w:next w:val="NoList"/>
    <w:semiHidden/>
    <w:unhideWhenUsed/>
  </w:style>
  <w:style w:type="paragraph" w:customStyle="1" w:styleId="Car">
    <w:name w:val="Car"/>
    <w:basedOn w:val="Normal"/>
    <w:uiPriority w:val="99"/>
    <w:pPr>
      <w:widowControl/>
      <w:spacing w:line="240" w:lineRule="auto"/>
    </w:pPr>
    <w:rPr>
      <w:szCs w:val="24"/>
      <w:lang w:val="pl-PL" w:eastAsia="pl-PL"/>
    </w:rPr>
  </w:style>
  <w:style w:type="paragraph" w:customStyle="1" w:styleId="Blockquote">
    <w:name w:val="Blockquote"/>
    <w:basedOn w:val="Normal"/>
    <w:uiPriority w:val="99"/>
    <w:pPr>
      <w:widowControl/>
      <w:pBdr>
        <w:top w:val="dashSmallGap" w:sz="6" w:space="7" w:color="DDDDDD"/>
        <w:left w:val="dashSmallGap" w:sz="6" w:space="7" w:color="DDDDDD"/>
        <w:bottom w:val="dashSmallGap" w:sz="6" w:space="7" w:color="DDDDDD"/>
        <w:right w:val="dashSmallGap" w:sz="6" w:space="7" w:color="DDDDDD"/>
      </w:pBdr>
      <w:shd w:val="solid" w:color="FFFFFF" w:fill="auto"/>
      <w:spacing w:line="240" w:lineRule="auto"/>
    </w:pPr>
    <w:rPr>
      <w:rFonts w:ascii="Verdana" w:hAnsi="Verdana" w:cs="Verdana"/>
      <w:sz w:val="20"/>
      <w:szCs w:val="24"/>
      <w:bdr w:val="dashSmallGap" w:sz="6" w:space="0" w:color="DDDDDD"/>
      <w:shd w:val="solid" w:color="FFFFFF" w:fill="auto"/>
      <w:lang w:val="ru-RU" w:eastAsia="ru-RU"/>
    </w:rPr>
  </w:style>
  <w:style w:type="paragraph" w:customStyle="1" w:styleId="Preformatted">
    <w:name w:val="Preformatted"/>
    <w:basedOn w:val="Normal"/>
    <w:uiPriority w:val="99"/>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pPr>
    <w:rPr>
      <w:rFonts w:ascii="Courier New" w:hAnsi="Courier New"/>
      <w:sz w:val="20"/>
      <w:lang w:val="es-GT" w:eastAsia="en-US"/>
    </w:rPr>
  </w:style>
  <w:style w:type="character" w:customStyle="1" w:styleId="Point1Char">
    <w:name w:val="Point 1 Char"/>
    <w:basedOn w:val="DefaultParagraphFont"/>
    <w:uiPriority w:val="99"/>
    <w:locked/>
    <w:rPr>
      <w:rFonts w:ascii="Times New Roman" w:hAnsi="Times New Roman" w:cs="Times New Roman"/>
      <w:sz w:val="24"/>
      <w:lang w:val="en-GB"/>
    </w:rPr>
  </w:style>
  <w:style w:type="paragraph" w:customStyle="1" w:styleId="ListDash">
    <w:name w:val="List Dash"/>
    <w:basedOn w:val="Normal"/>
    <w:pPr>
      <w:widowControl/>
      <w:numPr>
        <w:numId w:val="31"/>
      </w:numPr>
      <w:spacing w:after="240" w:line="240" w:lineRule="auto"/>
      <w:jc w:val="both"/>
    </w:pPr>
    <w:rPr>
      <w:lang w:eastAsia="en-US"/>
    </w:rPr>
  </w:style>
  <w:style w:type="character" w:styleId="Strong">
    <w:name w:val="Strong"/>
    <w:basedOn w:val="DefaultParagraphFont"/>
    <w:uiPriority w:val="22"/>
    <w:qFormat/>
    <w:rPr>
      <w:rFonts w:cs="Times New Roman"/>
      <w:b/>
      <w:bCs/>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H5">
    <w:name w:val="H5"/>
    <w:basedOn w:val="Normal"/>
    <w:next w:val="Normal"/>
    <w:uiPriority w:val="99"/>
    <w:pPr>
      <w:keepNext/>
      <w:widowControl/>
      <w:spacing w:before="100" w:after="100" w:line="240" w:lineRule="auto"/>
      <w:outlineLvl w:val="5"/>
    </w:pPr>
    <w:rPr>
      <w:b/>
      <w:bCs/>
      <w:sz w:val="20"/>
      <w:lang w:val="es-GT" w:eastAsia="en-US"/>
    </w:rPr>
  </w:style>
  <w:style w:type="paragraph" w:styleId="DocumentMap">
    <w:name w:val="Document Map"/>
    <w:basedOn w:val="Normal"/>
    <w:link w:val="DocumentMapChar"/>
    <w:pPr>
      <w:widowControl/>
      <w:shd w:val="clear" w:color="auto" w:fill="000080"/>
      <w:spacing w:line="240" w:lineRule="auto"/>
    </w:pPr>
    <w:rPr>
      <w:rFonts w:ascii="Tahoma" w:hAnsi="Tahoma" w:cs="Tahoma"/>
      <w:szCs w:val="24"/>
      <w:lang w:eastAsia="en-GB"/>
    </w:rPr>
  </w:style>
  <w:style w:type="character" w:customStyle="1" w:styleId="DocumentMapChar">
    <w:name w:val="Document Map Char"/>
    <w:basedOn w:val="DefaultParagraphFont"/>
    <w:link w:val="DocumentMap"/>
    <w:rPr>
      <w:rFonts w:ascii="Tahoma" w:hAnsi="Tahoma" w:cs="Tahoma"/>
      <w:sz w:val="24"/>
      <w:szCs w:val="24"/>
      <w:shd w:val="clear" w:color="auto" w:fill="000080"/>
    </w:rPr>
  </w:style>
  <w:style w:type="paragraph" w:styleId="Revision">
    <w:name w:val="Revision"/>
    <w:hidden/>
    <w:uiPriority w:val="99"/>
    <w:semiHidden/>
    <w:rPr>
      <w:sz w:val="24"/>
      <w:szCs w:val="24"/>
    </w:rPr>
  </w:style>
  <w:style w:type="character" w:styleId="Emphasis">
    <w:name w:val="Emphasis"/>
    <w:basedOn w:val="DefaultParagraphFont"/>
    <w:uiPriority w:val="20"/>
    <w:qFormat/>
    <w:rPr>
      <w:i/>
      <w:iCs/>
    </w:rPr>
  </w:style>
  <w:style w:type="numbering" w:customStyle="1" w:styleId="List0">
    <w:name w:val="List 0"/>
    <w:basedOn w:val="NoList"/>
    <w:pPr>
      <w:numPr>
        <w:numId w:val="24"/>
      </w:numPr>
    </w:pPr>
  </w:style>
  <w:style w:type="numbering" w:customStyle="1" w:styleId="List21">
    <w:name w:val="List 21"/>
    <w:basedOn w:val="NoList"/>
    <w:pPr>
      <w:numPr>
        <w:numId w:val="25"/>
      </w:numPr>
    </w:pPr>
  </w:style>
  <w:style w:type="numbering" w:customStyle="1" w:styleId="List31">
    <w:name w:val="List 31"/>
    <w:basedOn w:val="NoList"/>
    <w:pPr>
      <w:numPr>
        <w:numId w:val="26"/>
      </w:numPr>
    </w:pPr>
  </w:style>
  <w:style w:type="paragraph" w:customStyle="1" w:styleId="font5">
    <w:name w:val="font5"/>
    <w:basedOn w:val="Normal"/>
    <w:pPr>
      <w:widowControl/>
      <w:spacing w:before="100" w:beforeAutospacing="1" w:after="100" w:afterAutospacing="1" w:line="240" w:lineRule="auto"/>
    </w:pPr>
    <w:rPr>
      <w:rFonts w:ascii="Arial" w:hAnsi="Arial" w:cs="Arial"/>
      <w:color w:val="000000"/>
      <w:sz w:val="20"/>
      <w:lang w:eastAsia="en-GB"/>
    </w:rPr>
  </w:style>
  <w:style w:type="paragraph" w:customStyle="1" w:styleId="xl79">
    <w:name w:val="xl79"/>
    <w:basedOn w:val="Normal"/>
    <w:pPr>
      <w:widowControl/>
      <w:spacing w:before="100" w:beforeAutospacing="1" w:after="100" w:afterAutospacing="1" w:line="240" w:lineRule="auto"/>
    </w:pPr>
    <w:rPr>
      <w:rFonts w:ascii="Arial" w:hAnsi="Arial" w:cs="Arial"/>
      <w:b/>
      <w:bCs/>
      <w:color w:val="000000"/>
      <w:sz w:val="20"/>
      <w:lang w:eastAsia="en-GB"/>
    </w:rPr>
  </w:style>
  <w:style w:type="paragraph" w:customStyle="1" w:styleId="xl80">
    <w:name w:val="xl80"/>
    <w:basedOn w:val="Normal"/>
    <w:pPr>
      <w:widowControl/>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1">
    <w:name w:val="xl81"/>
    <w:basedOn w:val="Normal"/>
    <w:pPr>
      <w:widowControl/>
      <w:pBdr>
        <w:top w:val="single" w:sz="4" w:space="0" w:color="auto"/>
        <w:bottom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paragraph" w:customStyle="1" w:styleId="xl82">
    <w:name w:val="xl82"/>
    <w:basedOn w:val="Normal"/>
    <w:pPr>
      <w:widowControl/>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20"/>
      <w:lang w:eastAsia="en-GB"/>
    </w:rPr>
  </w:style>
  <w:style w:type="numbering" w:customStyle="1" w:styleId="NoList2">
    <w:name w:val="No List2"/>
    <w:next w:val="NoList"/>
    <w:uiPriority w:val="99"/>
    <w:semiHidden/>
    <w:unhideWhenUsed/>
  </w:style>
  <w:style w:type="character" w:customStyle="1" w:styleId="WW8Num1z0">
    <w:name w:val="WW8Num1z0"/>
    <w:rPr>
      <w:sz w:val="24"/>
      <w:szCs w:val="24"/>
    </w:rPr>
  </w:style>
  <w:style w:type="character" w:customStyle="1" w:styleId="WW8Num2z0">
    <w:name w:val="WW8Num2z0"/>
    <w:rPr>
      <w:sz w:val="24"/>
      <w:szCs w:val="24"/>
    </w:rPr>
  </w:style>
  <w:style w:type="character" w:customStyle="1" w:styleId="WW8Num4z0">
    <w:name w:val="WW8Num4z0"/>
    <w:rPr>
      <w:sz w:val="24"/>
      <w:szCs w:val="24"/>
    </w:rPr>
  </w:style>
  <w:style w:type="character" w:customStyle="1" w:styleId="WW8Num5z0">
    <w:name w:val="WW8Num5z0"/>
    <w:rPr>
      <w:sz w:val="24"/>
      <w:szCs w:val="24"/>
    </w:rPr>
  </w:style>
  <w:style w:type="character" w:customStyle="1" w:styleId="WW8Num6z0">
    <w:name w:val="WW8Num6z0"/>
    <w:rPr>
      <w:sz w:val="24"/>
      <w:szCs w:val="24"/>
    </w:rPr>
  </w:style>
  <w:style w:type="character" w:customStyle="1" w:styleId="WW8Num7z0">
    <w:name w:val="WW8Num7z0"/>
    <w:rPr>
      <w:sz w:val="24"/>
      <w:szCs w:val="24"/>
    </w:rPr>
  </w:style>
  <w:style w:type="character" w:customStyle="1" w:styleId="WW8Num9z0">
    <w:name w:val="WW8Num9z0"/>
    <w:rPr>
      <w:sz w:val="24"/>
      <w:szCs w:val="24"/>
    </w:rPr>
  </w:style>
  <w:style w:type="character" w:customStyle="1" w:styleId="WW8Num10z0">
    <w:name w:val="WW8Num10z0"/>
    <w:rPr>
      <w:sz w:val="24"/>
      <w:szCs w:val="24"/>
    </w:rPr>
  </w:style>
  <w:style w:type="character" w:customStyle="1" w:styleId="WW8Num11z0">
    <w:name w:val="WW8Num11z0"/>
    <w:rPr>
      <w:sz w:val="24"/>
      <w:szCs w:val="24"/>
    </w:rPr>
  </w:style>
  <w:style w:type="character" w:customStyle="1" w:styleId="WW8Num12z0">
    <w:name w:val="WW8Num12z0"/>
    <w:rPr>
      <w:sz w:val="24"/>
      <w:szCs w:val="24"/>
    </w:rPr>
  </w:style>
  <w:style w:type="character" w:customStyle="1" w:styleId="WW8Num17z0">
    <w:name w:val="WW8Num17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1z0">
    <w:name w:val="WW8Num21z0"/>
    <w:rPr>
      <w:sz w:val="24"/>
      <w:szCs w:val="24"/>
    </w:rPr>
  </w:style>
  <w:style w:type="character" w:customStyle="1" w:styleId="WW8Num18z0">
    <w:name w:val="WW8Num18z0"/>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DefaultParagraphFont">
    <w:name w:val="WW-Default Paragraph Font"/>
  </w:style>
  <w:style w:type="character" w:customStyle="1" w:styleId="WW-Absatz-Standardschriftart1">
    <w:name w:val="WW-Absatz-Standardschriftart1"/>
  </w:style>
  <w:style w:type="character" w:customStyle="1" w:styleId="WW-DefaultParagraphFont1">
    <w:name w:val="WW-Default Paragraph Font1"/>
  </w:style>
  <w:style w:type="character" w:customStyle="1" w:styleId="ListLabel1">
    <w:name w:val="ListLabel 1"/>
    <w:rPr>
      <w:sz w:val="24"/>
      <w:szCs w:val="24"/>
    </w:rPr>
  </w:style>
  <w:style w:type="character" w:customStyle="1" w:styleId="WW-DefaultParagraphFont11">
    <w:name w:val="WW-Default Paragraph Font11"/>
  </w:style>
  <w:style w:type="character" w:customStyle="1" w:styleId="PageNumber1">
    <w:name w:val="Page Number1"/>
    <w:basedOn w:val="WW-DefaultParagraphFont11"/>
  </w:style>
  <w:style w:type="character" w:customStyle="1" w:styleId="apple-style-span">
    <w:name w:val="apple-style-span"/>
    <w:basedOn w:val="WW-DefaultParagraphFont11"/>
  </w:style>
  <w:style w:type="character" w:customStyle="1" w:styleId="NumberingSymbols">
    <w:name w:val="Numbering Symbols"/>
  </w:style>
  <w:style w:type="character" w:customStyle="1" w:styleId="FootnoteCharacters">
    <w:name w:val="Footnote Characters"/>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paragraph" w:customStyle="1" w:styleId="Heading">
    <w:name w:val="Heading"/>
    <w:basedOn w:val="Normal"/>
    <w:next w:val="BodyText"/>
    <w:pPr>
      <w:keepNext/>
      <w:widowControl/>
      <w:suppressAutoHyphens/>
      <w:spacing w:before="240" w:after="120" w:line="240" w:lineRule="auto"/>
    </w:pPr>
    <w:rPr>
      <w:rFonts w:ascii="Arial" w:eastAsia="SimSun" w:hAnsi="Arial" w:cs="Mangal"/>
      <w:kern w:val="1"/>
      <w:sz w:val="28"/>
      <w:szCs w:val="28"/>
      <w:lang w:eastAsia="ar-SA"/>
    </w:rPr>
  </w:style>
  <w:style w:type="paragraph" w:styleId="BodyText">
    <w:name w:val="Body Text"/>
    <w:basedOn w:val="Normal"/>
    <w:link w:val="BodyTextChar"/>
    <w:uiPriority w:val="99"/>
    <w:pPr>
      <w:widowControl/>
      <w:suppressAutoHyphens/>
      <w:spacing w:after="120" w:line="240" w:lineRule="auto"/>
    </w:pPr>
    <w:rPr>
      <w:kern w:val="1"/>
      <w:szCs w:val="24"/>
      <w:lang w:eastAsia="ar-SA"/>
    </w:rPr>
  </w:style>
  <w:style w:type="character" w:customStyle="1" w:styleId="BodyTextChar">
    <w:name w:val="Body Text Char"/>
    <w:basedOn w:val="DefaultParagraphFont"/>
    <w:link w:val="BodyText"/>
    <w:uiPriority w:val="99"/>
    <w:rPr>
      <w:kern w:val="1"/>
      <w:sz w:val="24"/>
      <w:szCs w:val="24"/>
      <w:lang w:eastAsia="ar-SA"/>
    </w:rPr>
  </w:style>
  <w:style w:type="paragraph" w:styleId="List">
    <w:name w:val="List"/>
    <w:basedOn w:val="BodyText"/>
    <w:rPr>
      <w:rFonts w:cs="Mangal"/>
    </w:rPr>
  </w:style>
  <w:style w:type="paragraph" w:customStyle="1" w:styleId="Index">
    <w:name w:val="Index"/>
    <w:basedOn w:val="Normal"/>
    <w:pPr>
      <w:widowControl/>
      <w:suppressLineNumbers/>
      <w:suppressAutoHyphens/>
      <w:spacing w:line="240" w:lineRule="auto"/>
    </w:pPr>
    <w:rPr>
      <w:rFonts w:cs="Mangal"/>
      <w:kern w:val="1"/>
      <w:szCs w:val="24"/>
      <w:lang w:eastAsia="ar-SA"/>
    </w:rPr>
  </w:style>
  <w:style w:type="paragraph" w:styleId="NormalWeb">
    <w:name w:val="Normal (Web)"/>
    <w:basedOn w:val="Normal"/>
    <w:uiPriority w:val="99"/>
    <w:pPr>
      <w:widowControl/>
      <w:suppressAutoHyphens/>
      <w:spacing w:line="240" w:lineRule="auto"/>
    </w:pPr>
    <w:rPr>
      <w:kern w:val="1"/>
      <w:szCs w:val="24"/>
      <w:lang w:eastAsia="ar-SA"/>
    </w:rPr>
  </w:style>
  <w:style w:type="paragraph" w:customStyle="1" w:styleId="div">
    <w:name w:val="div"/>
    <w:basedOn w:val="Normal"/>
    <w:pPr>
      <w:widowControl/>
      <w:suppressAutoHyphens/>
      <w:spacing w:line="240" w:lineRule="auto"/>
    </w:pPr>
    <w:rPr>
      <w:kern w:val="1"/>
      <w:szCs w:val="24"/>
      <w:lang w:eastAsia="ar-SA"/>
    </w:rPr>
  </w:style>
  <w:style w:type="paragraph" w:customStyle="1" w:styleId="text1">
    <w:name w:val="text1"/>
    <w:basedOn w:val="Normal"/>
    <w:pPr>
      <w:widowControl/>
      <w:suppressAutoHyphens/>
      <w:spacing w:line="240" w:lineRule="auto"/>
    </w:pPr>
    <w:rPr>
      <w:kern w:val="1"/>
      <w:szCs w:val="24"/>
      <w:lang w:eastAsia="ar-SA"/>
    </w:rPr>
  </w:style>
  <w:style w:type="paragraph" w:customStyle="1" w:styleId="preformatted0">
    <w:name w:val="preformatted"/>
    <w:basedOn w:val="Normal"/>
    <w:pPr>
      <w:widowControl/>
      <w:suppressAutoHyphens/>
      <w:spacing w:line="240" w:lineRule="auto"/>
    </w:pPr>
    <w:rPr>
      <w:kern w:val="1"/>
      <w:szCs w:val="24"/>
      <w:lang w:eastAsia="ar-SA"/>
    </w:rPr>
  </w:style>
  <w:style w:type="paragraph" w:customStyle="1" w:styleId="subsectiontitle">
    <w:name w:val="subsectiontitle"/>
    <w:basedOn w:val="Normal"/>
    <w:pPr>
      <w:widowControl/>
      <w:suppressAutoHyphens/>
      <w:spacing w:line="240" w:lineRule="auto"/>
    </w:pPr>
    <w:rPr>
      <w:kern w:val="1"/>
      <w:szCs w:val="24"/>
      <w:lang w:eastAsia="ar-SA"/>
    </w:rPr>
  </w:style>
  <w:style w:type="paragraph" w:customStyle="1" w:styleId="point1">
    <w:name w:val="point1"/>
    <w:basedOn w:val="Normal"/>
    <w:pPr>
      <w:widowControl/>
      <w:suppressAutoHyphens/>
      <w:spacing w:line="240" w:lineRule="auto"/>
    </w:pPr>
    <w:rPr>
      <w:kern w:val="1"/>
      <w:szCs w:val="24"/>
      <w:lang w:eastAsia="ar-SA"/>
    </w:rPr>
  </w:style>
  <w:style w:type="paragraph" w:customStyle="1" w:styleId="Framecontents">
    <w:name w:val="Frame contents"/>
    <w:basedOn w:val="BodyText"/>
  </w:style>
  <w:style w:type="paragraph" w:customStyle="1" w:styleId="TableContents">
    <w:name w:val="Table Contents"/>
    <w:basedOn w:val="Normal"/>
    <w:pPr>
      <w:widowControl/>
      <w:suppressLineNumbers/>
      <w:suppressAutoHyphens/>
      <w:spacing w:line="240" w:lineRule="auto"/>
    </w:pPr>
    <w:rPr>
      <w:kern w:val="1"/>
      <w:szCs w:val="24"/>
      <w:lang w:eastAsia="ar-SA"/>
    </w:rPr>
  </w:style>
  <w:style w:type="paragraph" w:customStyle="1" w:styleId="TableHeading">
    <w:name w:val="Table Heading"/>
    <w:basedOn w:val="TableContents"/>
    <w:pPr>
      <w:jc w:val="center"/>
    </w:pPr>
    <w:rPr>
      <w:b/>
      <w:bCs/>
    </w:rPr>
  </w:style>
  <w:style w:type="paragraph" w:customStyle="1" w:styleId="a">
    <w:name w:val="목록 단락"/>
    <w:basedOn w:val="Normal"/>
    <w:pPr>
      <w:widowControl/>
      <w:suppressAutoHyphens/>
      <w:spacing w:before="120" w:after="120" w:line="240" w:lineRule="auto"/>
      <w:ind w:left="800"/>
      <w:jc w:val="both"/>
    </w:pPr>
    <w:rPr>
      <w:rFonts w:eastAsia="Batang"/>
      <w:kern w:val="1"/>
      <w:lang w:eastAsia="ar-SA"/>
    </w:rPr>
  </w:style>
  <w:style w:type="paragraph" w:customStyle="1" w:styleId="NormalWeb6">
    <w:name w:val="Normal (Web)6"/>
    <w:basedOn w:val="Normal"/>
    <w:pPr>
      <w:widowControl/>
      <w:suppressAutoHyphens/>
      <w:spacing w:line="240" w:lineRule="auto"/>
    </w:pPr>
    <w:rPr>
      <w:kern w:val="1"/>
      <w:szCs w:val="24"/>
      <w:lang w:eastAsia="ar-SA"/>
    </w:rPr>
  </w:style>
  <w:style w:type="character" w:customStyle="1" w:styleId="EndnoteTextChar">
    <w:name w:val="Endnote Text Char"/>
    <w:basedOn w:val="DefaultParagraphFont"/>
    <w:link w:val="EndnoteText"/>
    <w:rPr>
      <w:sz w:val="24"/>
      <w:lang w:eastAsia="fr-BE"/>
    </w:rPr>
  </w:style>
  <w:style w:type="paragraph" w:styleId="BodyTextIndent2">
    <w:name w:val="Body Text Indent 2"/>
    <w:basedOn w:val="Normal"/>
    <w:link w:val="BodyTextIndent2Char"/>
    <w:unhideWhenUsed/>
    <w:pPr>
      <w:widowControl/>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DefaultParagraphFont"/>
    <w:link w:val="BodyTextIndent2"/>
    <w:rPr>
      <w:rFonts w:asciiTheme="minorHAnsi" w:eastAsiaTheme="minorHAnsi" w:hAnsiTheme="minorHAnsi" w:cstheme="minorBidi"/>
      <w:sz w:val="22"/>
      <w:szCs w:val="22"/>
      <w:lang w:eastAsia="en-US"/>
    </w:rPr>
  </w:style>
  <w:style w:type="paragraph" w:styleId="BodyTextIndent">
    <w:name w:val="Body Text Indent"/>
    <w:basedOn w:val="Normal"/>
    <w:link w:val="BodyTextIndentChar"/>
    <w:unhideWhenUsed/>
    <w:pPr>
      <w:widowControl/>
      <w:spacing w:after="120" w:line="276" w:lineRule="auto"/>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DefaultParagraphFont"/>
    <w:link w:val="BodyTextIndent"/>
    <w:rPr>
      <w:rFonts w:asciiTheme="minorHAnsi" w:eastAsiaTheme="minorHAnsi" w:hAnsiTheme="minorHAnsi" w:cstheme="minorBidi"/>
      <w:sz w:val="22"/>
      <w:szCs w:val="22"/>
      <w:lang w:eastAsia="en-US"/>
    </w:rPr>
  </w:style>
  <w:style w:type="numbering" w:customStyle="1" w:styleId="NoList3">
    <w:name w:val="No List3"/>
    <w:next w:val="NoList"/>
    <w:semiHidden/>
  </w:style>
  <w:style w:type="paragraph" w:styleId="BlockText">
    <w:name w:val="Block Text"/>
    <w:basedOn w:val="Normal"/>
    <w:pPr>
      <w:widowControl/>
      <w:tabs>
        <w:tab w:val="left" w:pos="720"/>
      </w:tabs>
      <w:spacing w:after="240" w:line="240" w:lineRule="auto"/>
      <w:ind w:left="1440" w:right="1440"/>
      <w:jc w:val="both"/>
    </w:pPr>
    <w:rPr>
      <w:sz w:val="22"/>
      <w:lang w:eastAsia="en-GB"/>
    </w:rPr>
  </w:style>
  <w:style w:type="paragraph" w:styleId="BodyText2">
    <w:name w:val="Body Text 2"/>
    <w:basedOn w:val="Normal"/>
    <w:link w:val="BodyText2Char"/>
    <w:uiPriority w:val="99"/>
    <w:pPr>
      <w:widowControl/>
      <w:tabs>
        <w:tab w:val="num" w:pos="1440"/>
      </w:tabs>
      <w:spacing w:after="240" w:line="240" w:lineRule="auto"/>
      <w:ind w:left="1440" w:hanging="720"/>
      <w:jc w:val="both"/>
    </w:pPr>
    <w:rPr>
      <w:sz w:val="22"/>
      <w:lang w:eastAsia="en-US"/>
    </w:rPr>
  </w:style>
  <w:style w:type="character" w:customStyle="1" w:styleId="BodyText2Char">
    <w:name w:val="Body Text 2 Char"/>
    <w:basedOn w:val="DefaultParagraphFont"/>
    <w:link w:val="BodyText2"/>
    <w:uiPriority w:val="99"/>
    <w:rPr>
      <w:sz w:val="22"/>
      <w:lang w:eastAsia="en-US"/>
    </w:rPr>
  </w:style>
  <w:style w:type="paragraph" w:styleId="BodyText3">
    <w:name w:val="Body Text 3"/>
    <w:basedOn w:val="Normal"/>
    <w:link w:val="BodyText3Char"/>
    <w:uiPriority w:val="99"/>
    <w:pPr>
      <w:widowControl/>
      <w:tabs>
        <w:tab w:val="num" w:pos="2160"/>
      </w:tabs>
      <w:spacing w:after="240" w:line="240" w:lineRule="auto"/>
      <w:ind w:left="2160" w:hanging="720"/>
      <w:jc w:val="both"/>
    </w:pPr>
    <w:rPr>
      <w:sz w:val="22"/>
      <w:lang w:eastAsia="en-US"/>
    </w:rPr>
  </w:style>
  <w:style w:type="character" w:customStyle="1" w:styleId="BodyText3Char">
    <w:name w:val="Body Text 3 Char"/>
    <w:basedOn w:val="DefaultParagraphFont"/>
    <w:link w:val="BodyText3"/>
    <w:uiPriority w:val="99"/>
    <w:rPr>
      <w:sz w:val="22"/>
      <w:lang w:eastAsia="en-US"/>
    </w:rPr>
  </w:style>
  <w:style w:type="paragraph" w:customStyle="1" w:styleId="BodyText4">
    <w:name w:val="Body Text 4"/>
    <w:basedOn w:val="Normal"/>
    <w:pPr>
      <w:widowControl/>
      <w:tabs>
        <w:tab w:val="num" w:pos="2160"/>
      </w:tabs>
      <w:spacing w:after="240" w:line="240" w:lineRule="auto"/>
      <w:ind w:left="2160" w:hanging="720"/>
      <w:jc w:val="both"/>
    </w:pPr>
    <w:rPr>
      <w:sz w:val="22"/>
      <w:lang w:eastAsia="en-US"/>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lang w:eastAsia="en-US"/>
    </w:rPr>
  </w:style>
  <w:style w:type="character" w:customStyle="1" w:styleId="PlainTextChar">
    <w:name w:val="Plain Text Char"/>
    <w:basedOn w:val="DefaultParagraphFont"/>
    <w:link w:val="PlainText"/>
    <w:rPr>
      <w:rFonts w:ascii="Courier New" w:hAnsi="Courier New"/>
      <w:lang w:eastAsia="en-US"/>
    </w:rPr>
  </w:style>
  <w:style w:type="paragraph" w:styleId="Subtitle">
    <w:name w:val="Subtitle"/>
    <w:basedOn w:val="Normal"/>
    <w:link w:val="SubtitleChar"/>
    <w:qFormat/>
    <w:pPr>
      <w:widowControl/>
      <w:tabs>
        <w:tab w:val="left" w:pos="720"/>
      </w:tabs>
      <w:spacing w:line="240" w:lineRule="auto"/>
      <w:jc w:val="center"/>
      <w:outlineLvl w:val="1"/>
    </w:pPr>
    <w:rPr>
      <w:sz w:val="22"/>
      <w:lang w:eastAsia="en-US"/>
    </w:rPr>
  </w:style>
  <w:style w:type="character" w:customStyle="1" w:styleId="SubtitleChar">
    <w:name w:val="Subtitle Char"/>
    <w:basedOn w:val="DefaultParagraphFont"/>
    <w:link w:val="Subtitle"/>
    <w:rPr>
      <w:sz w:val="22"/>
      <w:lang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itle">
    <w:name w:val="Title"/>
    <w:basedOn w:val="Normal"/>
    <w:link w:val="TitleChar"/>
    <w:qFormat/>
    <w:pPr>
      <w:widowControl/>
      <w:tabs>
        <w:tab w:val="left" w:pos="720"/>
      </w:tabs>
      <w:spacing w:line="240" w:lineRule="auto"/>
      <w:jc w:val="center"/>
    </w:pPr>
    <w:rPr>
      <w:b/>
      <w:caps/>
      <w:kern w:val="28"/>
      <w:sz w:val="22"/>
      <w:lang w:eastAsia="en-US"/>
    </w:rPr>
  </w:style>
  <w:style w:type="character" w:customStyle="1" w:styleId="TitleChar">
    <w:name w:val="Title Char"/>
    <w:basedOn w:val="DefaultParagraphFont"/>
    <w:link w:val="Title"/>
    <w:rPr>
      <w:b/>
      <w:caps/>
      <w:kern w:val="28"/>
      <w:sz w:val="22"/>
      <w:lang w:eastAsia="en-US"/>
    </w:rPr>
  </w:style>
  <w:style w:type="paragraph" w:customStyle="1" w:styleId="Title2">
    <w:name w:val="Title 2"/>
    <w:basedOn w:val="Normal"/>
    <w:pPr>
      <w:widowControl/>
      <w:tabs>
        <w:tab w:val="left" w:pos="720"/>
      </w:tabs>
      <w:spacing w:line="240" w:lineRule="auto"/>
      <w:jc w:val="center"/>
    </w:pPr>
    <w:rPr>
      <w:sz w:val="22"/>
      <w:u w:val="single"/>
      <w:lang w:eastAsia="en-US"/>
    </w:rPr>
  </w:style>
  <w:style w:type="paragraph" w:customStyle="1" w:styleId="Title3">
    <w:name w:val="Title 3"/>
    <w:basedOn w:val="Normal"/>
    <w:pPr>
      <w:widowControl/>
      <w:tabs>
        <w:tab w:val="left" w:pos="720"/>
      </w:tabs>
      <w:spacing w:line="240" w:lineRule="auto"/>
      <w:jc w:val="center"/>
    </w:pPr>
    <w:rPr>
      <w:i/>
      <w:sz w:val="22"/>
      <w:lang w:eastAsia="en-US"/>
    </w:rPr>
  </w:style>
  <w:style w:type="paragraph" w:customStyle="1" w:styleId="TitleCountry">
    <w:name w:val="Title Country"/>
    <w:basedOn w:val="Normal"/>
    <w:pPr>
      <w:widowControl/>
      <w:tabs>
        <w:tab w:val="left" w:pos="720"/>
      </w:tabs>
      <w:spacing w:line="240" w:lineRule="auto"/>
      <w:jc w:val="center"/>
    </w:pPr>
    <w:rPr>
      <w:caps/>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customStyle="1" w:styleId="Quotation">
    <w:name w:val="Quotation"/>
    <w:basedOn w:val="Normal"/>
    <w:pPr>
      <w:widowControl/>
      <w:tabs>
        <w:tab w:val="left" w:pos="720"/>
      </w:tabs>
      <w:spacing w:after="240" w:line="240" w:lineRule="auto"/>
      <w:ind w:left="720" w:right="720"/>
      <w:jc w:val="both"/>
    </w:pPr>
    <w:rPr>
      <w:sz w:val="22"/>
      <w:lang w:eastAsia="en-US"/>
    </w:rPr>
  </w:style>
  <w:style w:type="paragraph" w:customStyle="1" w:styleId="QuotationDouble">
    <w:name w:val="Quotation Double"/>
    <w:basedOn w:val="Normal"/>
    <w:pPr>
      <w:widowControl/>
      <w:tabs>
        <w:tab w:val="left" w:pos="720"/>
      </w:tabs>
      <w:spacing w:after="240" w:line="240" w:lineRule="auto"/>
      <w:ind w:left="1440" w:right="1440"/>
      <w:jc w:val="both"/>
    </w:pPr>
    <w:rPr>
      <w:sz w:val="22"/>
      <w:lang w:eastAsia="en-US"/>
    </w:rPr>
  </w:style>
  <w:style w:type="paragraph" w:customStyle="1" w:styleId="FootnoteQuotation">
    <w:name w:val="Footnote Quotation"/>
    <w:basedOn w:val="Normal"/>
    <w:pPr>
      <w:widowControl/>
      <w:tabs>
        <w:tab w:val="left" w:pos="720"/>
      </w:tabs>
      <w:spacing w:line="240" w:lineRule="auto"/>
      <w:ind w:left="720" w:right="720"/>
      <w:jc w:val="both"/>
    </w:pPr>
    <w:rPr>
      <w:sz w:val="20"/>
      <w:lang w:eastAsia="en-US"/>
    </w:rPr>
  </w:style>
  <w:style w:type="paragraph" w:customStyle="1" w:styleId="BodyText5">
    <w:name w:val="Body Text 5"/>
    <w:basedOn w:val="Normal"/>
    <w:pPr>
      <w:widowControl/>
      <w:tabs>
        <w:tab w:val="left" w:pos="720"/>
        <w:tab w:val="num" w:pos="2880"/>
      </w:tabs>
      <w:spacing w:after="240" w:line="240" w:lineRule="auto"/>
      <w:ind w:left="2160"/>
      <w:jc w:val="both"/>
    </w:pPr>
    <w:rPr>
      <w:lang w:eastAsia="en-GB"/>
    </w:rPr>
  </w:style>
  <w:style w:type="paragraph" w:styleId="BodyTextIndent3">
    <w:name w:val="Body Text Indent 3"/>
    <w:basedOn w:val="Normal"/>
    <w:link w:val="BodyTextIndent3Char"/>
    <w:pPr>
      <w:widowControl/>
      <w:tabs>
        <w:tab w:val="left" w:pos="-1440"/>
        <w:tab w:val="left" w:pos="720"/>
      </w:tabs>
      <w:spacing w:line="240" w:lineRule="auto"/>
      <w:ind w:left="2160" w:hanging="720"/>
      <w:jc w:val="both"/>
    </w:pPr>
    <w:rPr>
      <w:sz w:val="20"/>
      <w:lang w:eastAsia="en-GB"/>
    </w:rPr>
  </w:style>
  <w:style w:type="character" w:customStyle="1" w:styleId="BodyTextIndent3Char">
    <w:name w:val="Body Text Indent 3 Char"/>
    <w:basedOn w:val="DefaultParagraphFont"/>
    <w:link w:val="BodyTextIndent3"/>
  </w:style>
  <w:style w:type="character" w:customStyle="1" w:styleId="BodyTextChar1">
    <w:name w:val="Body Text Char1"/>
    <w:rPr>
      <w:sz w:val="22"/>
      <w:lang w:val="en-GB" w:eastAsia="en-US" w:bidi="ar-SA"/>
    </w:rPr>
  </w:style>
  <w:style w:type="numbering" w:customStyle="1" w:styleId="NoList4">
    <w:name w:val="No List4"/>
    <w:next w:val="NoList"/>
    <w:uiPriority w:val="99"/>
    <w:semiHidden/>
    <w:unhideWhenUsed/>
  </w:style>
  <w:style w:type="character" w:customStyle="1" w:styleId="WW8Num15z3">
    <w:name w:val="WW8Num15z3"/>
    <w:rPr>
      <w:rFonts w:ascii="Symbol" w:hAnsi="Symbol"/>
    </w:rPr>
  </w:style>
  <w:style w:type="paragraph" w:customStyle="1" w:styleId="AddressTL">
    <w:name w:val="AddressTL"/>
    <w:basedOn w:val="Normal"/>
    <w:next w:val="Normal"/>
    <w:pPr>
      <w:widowControl/>
      <w:spacing w:after="720" w:line="240" w:lineRule="auto"/>
    </w:pPr>
    <w:rPr>
      <w:lang w:eastAsia="en-US"/>
    </w:rPr>
  </w:style>
  <w:style w:type="paragraph" w:customStyle="1" w:styleId="AddressTR">
    <w:name w:val="AddressTR"/>
    <w:basedOn w:val="Normal"/>
    <w:next w:val="Normal"/>
    <w:pPr>
      <w:widowControl/>
      <w:spacing w:after="720" w:line="240" w:lineRule="auto"/>
      <w:ind w:left="5103"/>
    </w:pPr>
    <w:rPr>
      <w:lang w:eastAsia="en-US"/>
    </w:rPr>
  </w:style>
  <w:style w:type="paragraph" w:styleId="BodyTextFirstIndent">
    <w:name w:val="Body Text First Indent"/>
    <w:basedOn w:val="BodyText"/>
    <w:link w:val="BodyTextFirstIndentChar"/>
    <w:pPr>
      <w:suppressAutoHyphens w:val="0"/>
      <w:ind w:firstLine="210"/>
      <w:jc w:val="both"/>
    </w:pPr>
    <w:rPr>
      <w:kern w:val="0"/>
      <w:szCs w:val="20"/>
      <w:lang w:eastAsia="en-US"/>
    </w:rPr>
  </w:style>
  <w:style w:type="character" w:customStyle="1" w:styleId="BodyTextFirstIndentChar">
    <w:name w:val="Body Text First Indent Char"/>
    <w:basedOn w:val="BodyTextChar"/>
    <w:link w:val="BodyTextFirstIndent"/>
    <w:rPr>
      <w:kern w:val="1"/>
      <w:sz w:val="24"/>
      <w:szCs w:val="24"/>
      <w:lang w:eastAsia="en-US"/>
    </w:rPr>
  </w:style>
  <w:style w:type="paragraph" w:styleId="BodyTextFirstIndent2">
    <w:name w:val="Body Text First Indent 2"/>
    <w:basedOn w:val="BodyTextIndent"/>
    <w:link w:val="BodyTextFirstIndent2Char"/>
    <w:pPr>
      <w:spacing w:line="240" w:lineRule="auto"/>
      <w:ind w:firstLine="210"/>
      <w:jc w:val="both"/>
    </w:pPr>
    <w:rPr>
      <w:rFonts w:ascii="Times New Roman" w:eastAsia="Times New Roman" w:hAnsi="Times New Roman" w:cs="Times New Roman"/>
      <w:sz w:val="24"/>
      <w:szCs w:val="20"/>
    </w:rPr>
  </w:style>
  <w:style w:type="character" w:customStyle="1" w:styleId="BodyTextFirstIndent2Char">
    <w:name w:val="Body Text First Indent 2 Char"/>
    <w:basedOn w:val="BodyTextIndentChar"/>
    <w:link w:val="BodyTextFirstIndent2"/>
    <w:rPr>
      <w:rFonts w:asciiTheme="minorHAnsi" w:eastAsiaTheme="minorHAnsi" w:hAnsiTheme="minorHAnsi" w:cstheme="minorBidi"/>
      <w:sz w:val="24"/>
      <w:szCs w:val="22"/>
      <w:lang w:eastAsia="en-US"/>
    </w:rPr>
  </w:style>
  <w:style w:type="paragraph" w:styleId="Closing">
    <w:name w:val="Closing"/>
    <w:basedOn w:val="Normal"/>
    <w:next w:val="Signature"/>
    <w:link w:val="ClosingChar"/>
    <w:pPr>
      <w:widowControl/>
      <w:tabs>
        <w:tab w:val="left" w:pos="5103"/>
      </w:tabs>
      <w:spacing w:before="240" w:after="240" w:line="240" w:lineRule="auto"/>
      <w:ind w:left="5103"/>
    </w:pPr>
    <w:rPr>
      <w:lang w:eastAsia="en-US"/>
    </w:rPr>
  </w:style>
  <w:style w:type="character" w:customStyle="1" w:styleId="ClosingChar">
    <w:name w:val="Closing Char"/>
    <w:basedOn w:val="DefaultParagraphFont"/>
    <w:link w:val="Closing"/>
    <w:rPr>
      <w:sz w:val="24"/>
      <w:lang w:eastAsia="en-US"/>
    </w:rPr>
  </w:style>
  <w:style w:type="paragraph" w:styleId="Signature">
    <w:name w:val="Signature"/>
    <w:basedOn w:val="Normal"/>
    <w:next w:val="Contact"/>
    <w:link w:val="SignatureChar"/>
    <w:pPr>
      <w:widowControl/>
      <w:tabs>
        <w:tab w:val="left" w:pos="5103"/>
      </w:tabs>
      <w:spacing w:before="1200" w:line="240" w:lineRule="auto"/>
      <w:ind w:left="5103"/>
      <w:jc w:val="center"/>
    </w:pPr>
    <w:rPr>
      <w:lang w:eastAsia="en-US"/>
    </w:rPr>
  </w:style>
  <w:style w:type="character" w:customStyle="1" w:styleId="SignatureChar">
    <w:name w:val="Signature Char"/>
    <w:basedOn w:val="DefaultParagraphFont"/>
    <w:link w:val="Signature"/>
    <w:rPr>
      <w:sz w:val="24"/>
      <w:lang w:eastAsia="en-US"/>
    </w:rPr>
  </w:style>
  <w:style w:type="paragraph" w:customStyle="1" w:styleId="Enclosures">
    <w:name w:val="Enclosures"/>
    <w:basedOn w:val="Normal"/>
    <w:next w:val="Participants"/>
    <w:pPr>
      <w:keepNext/>
      <w:keepLines/>
      <w:widowControl/>
      <w:tabs>
        <w:tab w:val="left" w:pos="5670"/>
      </w:tabs>
      <w:spacing w:before="480" w:line="240" w:lineRule="auto"/>
      <w:ind w:left="1985" w:hanging="1985"/>
    </w:pPr>
    <w:rPr>
      <w:lang w:eastAsia="en-US"/>
    </w:rPr>
  </w:style>
  <w:style w:type="paragraph" w:customStyle="1" w:styleId="Participants">
    <w:name w:val="Participants"/>
    <w:basedOn w:val="Normal"/>
    <w:next w:val="Copies"/>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customStyle="1" w:styleId="Copies">
    <w:name w:val="Copies"/>
    <w:basedOn w:val="Normal"/>
    <w:next w:val="Normal"/>
    <w:pPr>
      <w:widowControl/>
      <w:tabs>
        <w:tab w:val="left" w:pos="2552"/>
        <w:tab w:val="left" w:pos="2835"/>
        <w:tab w:val="left" w:pos="5670"/>
        <w:tab w:val="left" w:pos="6379"/>
        <w:tab w:val="left" w:pos="6804"/>
      </w:tabs>
      <w:spacing w:before="480" w:line="240" w:lineRule="auto"/>
      <w:ind w:left="1985" w:hanging="1985"/>
    </w:pPr>
    <w:rPr>
      <w:lang w:eastAsia="en-US"/>
    </w:rPr>
  </w:style>
  <w:style w:type="paragraph" w:styleId="Date">
    <w:name w:val="Date"/>
    <w:basedOn w:val="Normal"/>
    <w:next w:val="References"/>
    <w:link w:val="DateChar"/>
    <w:uiPriority w:val="99"/>
    <w:pPr>
      <w:widowControl/>
      <w:spacing w:line="240" w:lineRule="auto"/>
      <w:ind w:left="5103" w:right="-567"/>
    </w:pPr>
    <w:rPr>
      <w:lang w:eastAsia="en-US"/>
    </w:rPr>
  </w:style>
  <w:style w:type="character" w:customStyle="1" w:styleId="DateChar">
    <w:name w:val="Date Char"/>
    <w:basedOn w:val="DefaultParagraphFont"/>
    <w:link w:val="Date"/>
    <w:uiPriority w:val="99"/>
    <w:rPr>
      <w:sz w:val="24"/>
      <w:lang w:eastAsia="en-US"/>
    </w:rPr>
  </w:style>
  <w:style w:type="paragraph" w:customStyle="1" w:styleId="References">
    <w:name w:val="References"/>
    <w:basedOn w:val="Normal"/>
    <w:next w:val="AddressTR"/>
    <w:uiPriority w:val="99"/>
    <w:pPr>
      <w:widowControl/>
      <w:spacing w:after="240" w:line="240" w:lineRule="auto"/>
      <w:ind w:left="5103"/>
    </w:pPr>
    <w:rPr>
      <w:sz w:val="20"/>
      <w:lang w:eastAsia="en-US"/>
    </w:rPr>
  </w:style>
  <w:style w:type="paragraph" w:customStyle="1" w:styleId="DoubSign">
    <w:name w:val="DoubSign"/>
    <w:basedOn w:val="Normal"/>
    <w:next w:val="Contact"/>
    <w:pPr>
      <w:widowControl/>
      <w:tabs>
        <w:tab w:val="left" w:pos="5103"/>
      </w:tabs>
      <w:spacing w:before="1200" w:line="240" w:lineRule="auto"/>
    </w:pPr>
    <w:rPr>
      <w:lang w:eastAsia="en-US"/>
    </w:rPr>
  </w:style>
  <w:style w:type="paragraph" w:styleId="EnvelopeReturn">
    <w:name w:val="envelope return"/>
    <w:basedOn w:val="Normal"/>
    <w:pPr>
      <w:widowControl/>
      <w:spacing w:line="240" w:lineRule="auto"/>
      <w:jc w:val="both"/>
    </w:pPr>
    <w:rPr>
      <w:sz w:val="20"/>
      <w:lang w:eastAsia="en-US"/>
    </w:rPr>
  </w:style>
  <w:style w:type="paragraph" w:styleId="Index2">
    <w:name w:val="index 2"/>
    <w:basedOn w:val="Normal"/>
    <w:next w:val="Normal"/>
    <w:autoRedefine/>
    <w:pPr>
      <w:widowControl/>
      <w:spacing w:after="240" w:line="240" w:lineRule="auto"/>
      <w:ind w:left="480" w:hanging="240"/>
      <w:jc w:val="both"/>
    </w:pPr>
    <w:rPr>
      <w:lang w:eastAsia="en-US"/>
    </w:rPr>
  </w:style>
  <w:style w:type="paragraph" w:styleId="Index3">
    <w:name w:val="index 3"/>
    <w:basedOn w:val="Normal"/>
    <w:next w:val="Normal"/>
    <w:autoRedefine/>
    <w:pPr>
      <w:widowControl/>
      <w:spacing w:after="240" w:line="240" w:lineRule="auto"/>
      <w:ind w:left="720" w:hanging="240"/>
      <w:jc w:val="both"/>
    </w:pPr>
    <w:rPr>
      <w:lang w:eastAsia="en-US"/>
    </w:rPr>
  </w:style>
  <w:style w:type="paragraph" w:styleId="Index4">
    <w:name w:val="index 4"/>
    <w:basedOn w:val="Normal"/>
    <w:next w:val="Normal"/>
    <w:autoRedefine/>
    <w:pPr>
      <w:widowControl/>
      <w:spacing w:after="240" w:line="240" w:lineRule="auto"/>
      <w:ind w:left="960" w:hanging="240"/>
      <w:jc w:val="both"/>
    </w:pPr>
    <w:rPr>
      <w:lang w:eastAsia="en-US"/>
    </w:rPr>
  </w:style>
  <w:style w:type="paragraph" w:styleId="Index5">
    <w:name w:val="index 5"/>
    <w:basedOn w:val="Normal"/>
    <w:next w:val="Normal"/>
    <w:autoRedefine/>
    <w:pPr>
      <w:widowControl/>
      <w:spacing w:after="240" w:line="240" w:lineRule="auto"/>
      <w:ind w:left="1200" w:hanging="240"/>
      <w:jc w:val="both"/>
    </w:pPr>
    <w:rPr>
      <w:lang w:eastAsia="en-US"/>
    </w:rPr>
  </w:style>
  <w:style w:type="paragraph" w:styleId="Index6">
    <w:name w:val="index 6"/>
    <w:basedOn w:val="Normal"/>
    <w:next w:val="Normal"/>
    <w:autoRedefine/>
    <w:pPr>
      <w:widowControl/>
      <w:spacing w:after="240" w:line="240" w:lineRule="auto"/>
      <w:ind w:left="1440" w:hanging="240"/>
      <w:jc w:val="both"/>
    </w:pPr>
    <w:rPr>
      <w:lang w:eastAsia="en-US"/>
    </w:rPr>
  </w:style>
  <w:style w:type="paragraph" w:styleId="Index7">
    <w:name w:val="index 7"/>
    <w:basedOn w:val="Normal"/>
    <w:next w:val="Normal"/>
    <w:autoRedefine/>
    <w:pPr>
      <w:widowControl/>
      <w:spacing w:after="240" w:line="240" w:lineRule="auto"/>
      <w:ind w:left="1680" w:hanging="240"/>
      <w:jc w:val="both"/>
    </w:pPr>
    <w:rPr>
      <w:lang w:eastAsia="en-US"/>
    </w:rPr>
  </w:style>
  <w:style w:type="paragraph" w:styleId="Index8">
    <w:name w:val="index 8"/>
    <w:basedOn w:val="Normal"/>
    <w:next w:val="Normal"/>
    <w:autoRedefine/>
    <w:pPr>
      <w:widowControl/>
      <w:spacing w:after="240" w:line="240" w:lineRule="auto"/>
      <w:ind w:left="1920" w:hanging="240"/>
      <w:jc w:val="both"/>
    </w:pPr>
    <w:rPr>
      <w:lang w:eastAsia="en-US"/>
    </w:rPr>
  </w:style>
  <w:style w:type="paragraph" w:styleId="Index9">
    <w:name w:val="index 9"/>
    <w:basedOn w:val="Normal"/>
    <w:next w:val="Normal"/>
    <w:autoRedefine/>
    <w:pPr>
      <w:widowControl/>
      <w:spacing w:after="240" w:line="240" w:lineRule="auto"/>
      <w:ind w:left="2160" w:hanging="240"/>
      <w:jc w:val="both"/>
    </w:pPr>
    <w:rPr>
      <w:lang w:eastAsia="en-US"/>
    </w:rPr>
  </w:style>
  <w:style w:type="paragraph" w:styleId="List2">
    <w:name w:val="List 2"/>
    <w:basedOn w:val="Normal"/>
    <w:pPr>
      <w:widowControl/>
      <w:spacing w:after="240" w:line="240" w:lineRule="auto"/>
      <w:ind w:left="566" w:hanging="283"/>
      <w:jc w:val="both"/>
    </w:pPr>
    <w:rPr>
      <w:lang w:eastAsia="en-US"/>
    </w:rPr>
  </w:style>
  <w:style w:type="paragraph" w:styleId="List3">
    <w:name w:val="List 3"/>
    <w:basedOn w:val="Normal"/>
    <w:pPr>
      <w:widowControl/>
      <w:spacing w:after="240" w:line="240" w:lineRule="auto"/>
      <w:ind w:left="849" w:hanging="283"/>
      <w:jc w:val="both"/>
    </w:pPr>
    <w:rPr>
      <w:lang w:eastAsia="en-US"/>
    </w:rPr>
  </w:style>
  <w:style w:type="paragraph" w:styleId="List4">
    <w:name w:val="List 4"/>
    <w:basedOn w:val="Normal"/>
    <w:pPr>
      <w:widowControl/>
      <w:spacing w:after="240" w:line="240" w:lineRule="auto"/>
      <w:ind w:left="1132" w:hanging="283"/>
      <w:jc w:val="both"/>
    </w:pPr>
    <w:rPr>
      <w:lang w:eastAsia="en-US"/>
    </w:rPr>
  </w:style>
  <w:style w:type="paragraph" w:styleId="List5">
    <w:name w:val="List 5"/>
    <w:basedOn w:val="Normal"/>
    <w:pPr>
      <w:widowControl/>
      <w:spacing w:after="240" w:line="240" w:lineRule="auto"/>
      <w:ind w:left="1415" w:hanging="283"/>
      <w:jc w:val="both"/>
    </w:pPr>
    <w:rPr>
      <w:lang w:eastAsia="en-US"/>
    </w:rPr>
  </w:style>
  <w:style w:type="paragraph" w:styleId="ListBullet5">
    <w:name w:val="List Bullet 5"/>
    <w:basedOn w:val="Normal"/>
    <w:autoRedefine/>
    <w:pPr>
      <w:widowControl/>
      <w:numPr>
        <w:numId w:val="27"/>
      </w:numPr>
      <w:spacing w:after="240" w:line="240" w:lineRule="auto"/>
      <w:jc w:val="both"/>
    </w:pPr>
    <w:rPr>
      <w:lang w:eastAsia="en-US"/>
    </w:rPr>
  </w:style>
  <w:style w:type="paragraph" w:styleId="ListContinue">
    <w:name w:val="List Continue"/>
    <w:basedOn w:val="Normal"/>
    <w:pPr>
      <w:widowControl/>
      <w:spacing w:after="120" w:line="240" w:lineRule="auto"/>
      <w:ind w:left="283"/>
      <w:jc w:val="both"/>
    </w:pPr>
    <w:rPr>
      <w:lang w:eastAsia="en-US"/>
    </w:rPr>
  </w:style>
  <w:style w:type="paragraph" w:styleId="ListContinue2">
    <w:name w:val="List Continue 2"/>
    <w:basedOn w:val="Normal"/>
    <w:pPr>
      <w:widowControl/>
      <w:spacing w:after="120" w:line="240" w:lineRule="auto"/>
      <w:ind w:left="566"/>
      <w:jc w:val="both"/>
    </w:pPr>
    <w:rPr>
      <w:lang w:eastAsia="en-US"/>
    </w:rPr>
  </w:style>
  <w:style w:type="paragraph" w:styleId="ListContinue3">
    <w:name w:val="List Continue 3"/>
    <w:basedOn w:val="Normal"/>
    <w:pPr>
      <w:widowControl/>
      <w:spacing w:after="120" w:line="240" w:lineRule="auto"/>
      <w:ind w:left="849"/>
      <w:jc w:val="both"/>
    </w:pPr>
    <w:rPr>
      <w:lang w:eastAsia="en-US"/>
    </w:rPr>
  </w:style>
  <w:style w:type="paragraph" w:styleId="ListContinue4">
    <w:name w:val="List Continue 4"/>
    <w:basedOn w:val="Normal"/>
    <w:pPr>
      <w:widowControl/>
      <w:spacing w:after="120" w:line="240" w:lineRule="auto"/>
      <w:ind w:left="1132"/>
      <w:jc w:val="both"/>
    </w:pPr>
    <w:rPr>
      <w:lang w:eastAsia="en-US"/>
    </w:rPr>
  </w:style>
  <w:style w:type="paragraph" w:styleId="ListContinue5">
    <w:name w:val="List Continue 5"/>
    <w:basedOn w:val="Normal"/>
    <w:pPr>
      <w:widowControl/>
      <w:spacing w:after="120" w:line="240" w:lineRule="auto"/>
      <w:ind w:left="1415"/>
      <w:jc w:val="both"/>
    </w:pPr>
    <w:rPr>
      <w:lang w:eastAsia="en-US"/>
    </w:rPr>
  </w:style>
  <w:style w:type="paragraph" w:styleId="ListNumber5">
    <w:name w:val="List Number 5"/>
    <w:basedOn w:val="Normal"/>
    <w:pPr>
      <w:widowControl/>
      <w:numPr>
        <w:numId w:val="28"/>
      </w:numPr>
      <w:spacing w:after="240" w:line="240" w:lineRule="auto"/>
      <w:jc w:val="both"/>
    </w:pPr>
    <w:rPr>
      <w:lang w:eastAsia="en-US"/>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character" w:customStyle="1" w:styleId="MacroTextChar">
    <w:name w:val="Macro Text Char"/>
    <w:basedOn w:val="DefaultParagraphFont"/>
    <w:link w:val="MacroText"/>
    <w:rPr>
      <w:rFonts w:ascii="Courier New" w:hAnsi="Courier New"/>
      <w:lang w:eastAsia="en-US"/>
    </w:rPr>
  </w:style>
  <w:style w:type="paragraph" w:styleId="MessageHeader">
    <w:name w:val="Message Header"/>
    <w:basedOn w:val="Normal"/>
    <w:link w:val="MessageHeaderChar"/>
    <w:pPr>
      <w:widowControl/>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hAnsi="Arial"/>
      <w:lang w:eastAsia="en-US"/>
    </w:rPr>
  </w:style>
  <w:style w:type="character" w:customStyle="1" w:styleId="MessageHeaderChar">
    <w:name w:val="Message Header Char"/>
    <w:basedOn w:val="DefaultParagraphFont"/>
    <w:link w:val="MessageHeader"/>
    <w:rPr>
      <w:rFonts w:ascii="Arial" w:hAnsi="Arial"/>
      <w:sz w:val="24"/>
      <w:shd w:val="pct20" w:color="auto" w:fill="auto"/>
      <w:lang w:eastAsia="en-US"/>
    </w:rPr>
  </w:style>
  <w:style w:type="paragraph" w:styleId="NormalIndent">
    <w:name w:val="Normal Indent"/>
    <w:basedOn w:val="Normal"/>
    <w:pPr>
      <w:widowControl/>
      <w:spacing w:after="240" w:line="240" w:lineRule="auto"/>
      <w:ind w:left="720"/>
      <w:jc w:val="both"/>
    </w:pPr>
    <w:rPr>
      <w:lang w:eastAsia="en-US"/>
    </w:rPr>
  </w:style>
  <w:style w:type="paragraph" w:styleId="NoteHeading">
    <w:name w:val="Note Heading"/>
    <w:basedOn w:val="Normal"/>
    <w:next w:val="Normal"/>
    <w:link w:val="NoteHeadingChar"/>
    <w:pPr>
      <w:widowControl/>
      <w:spacing w:after="240" w:line="240" w:lineRule="auto"/>
      <w:jc w:val="both"/>
    </w:pPr>
    <w:rPr>
      <w:lang w:eastAsia="en-US"/>
    </w:rPr>
  </w:style>
  <w:style w:type="character" w:customStyle="1" w:styleId="NoteHeadingChar">
    <w:name w:val="Note Heading Char"/>
    <w:basedOn w:val="DefaultParagraphFont"/>
    <w:link w:val="NoteHeading"/>
    <w:rPr>
      <w:sz w:val="24"/>
      <w:lang w:eastAsia="en-US"/>
    </w:rPr>
  </w:style>
  <w:style w:type="paragraph" w:customStyle="1" w:styleId="NoteHead">
    <w:name w:val="NoteHead"/>
    <w:basedOn w:val="Normal"/>
    <w:next w:val="Subject"/>
    <w:pPr>
      <w:widowControl/>
      <w:spacing w:before="720" w:after="720" w:line="240" w:lineRule="auto"/>
      <w:jc w:val="center"/>
    </w:pPr>
    <w:rPr>
      <w:b/>
      <w:smallCaps/>
      <w:lang w:eastAsia="en-US"/>
    </w:rPr>
  </w:style>
  <w:style w:type="paragraph" w:customStyle="1" w:styleId="Subject">
    <w:name w:val="Subject"/>
    <w:basedOn w:val="Normal"/>
    <w:next w:val="Normal"/>
    <w:pPr>
      <w:widowControl/>
      <w:spacing w:after="480" w:line="240" w:lineRule="auto"/>
      <w:ind w:left="1531" w:hanging="1531"/>
    </w:pPr>
    <w:rPr>
      <w:b/>
      <w:lang w:eastAsia="en-US"/>
    </w:rPr>
  </w:style>
  <w:style w:type="paragraph" w:customStyle="1" w:styleId="NoteList">
    <w:name w:val="NoteList"/>
    <w:basedOn w:val="Normal"/>
    <w:next w:val="Subject"/>
    <w:pPr>
      <w:widowControl/>
      <w:tabs>
        <w:tab w:val="left" w:pos="5823"/>
      </w:tabs>
      <w:spacing w:before="720" w:after="720" w:line="240" w:lineRule="auto"/>
      <w:ind w:left="5104" w:hanging="3119"/>
    </w:pPr>
    <w:rPr>
      <w:b/>
      <w:smallCaps/>
      <w:lang w:eastAsia="en-US"/>
    </w:rPr>
  </w:style>
  <w:style w:type="paragraph" w:styleId="Salutation">
    <w:name w:val="Salutation"/>
    <w:basedOn w:val="Normal"/>
    <w:next w:val="Normal"/>
    <w:link w:val="SalutationChar"/>
    <w:pPr>
      <w:widowControl/>
      <w:spacing w:after="240" w:line="240" w:lineRule="auto"/>
      <w:jc w:val="both"/>
    </w:pPr>
    <w:rPr>
      <w:lang w:eastAsia="en-US"/>
    </w:rPr>
  </w:style>
  <w:style w:type="character" w:customStyle="1" w:styleId="SalutationChar">
    <w:name w:val="Salutation Char"/>
    <w:basedOn w:val="DefaultParagraphFont"/>
    <w:link w:val="Salutation"/>
    <w:rPr>
      <w:sz w:val="24"/>
      <w:lang w:eastAsia="en-US"/>
    </w:rPr>
  </w:style>
  <w:style w:type="paragraph" w:customStyle="1" w:styleId="YReferences">
    <w:name w:val="YReferences"/>
    <w:basedOn w:val="Normal"/>
    <w:next w:val="Normal"/>
    <w:pPr>
      <w:widowControl/>
      <w:spacing w:after="480" w:line="240" w:lineRule="auto"/>
      <w:ind w:left="1531" w:hanging="1531"/>
      <w:jc w:val="both"/>
    </w:pPr>
    <w:rPr>
      <w:lang w:eastAsia="en-US"/>
    </w:rPr>
  </w:style>
  <w:style w:type="paragraph" w:customStyle="1" w:styleId="ListBullet1">
    <w:name w:val="List Bullet 1"/>
    <w:basedOn w:val="Text10"/>
    <w:pPr>
      <w:numPr>
        <w:numId w:val="30"/>
      </w:numPr>
      <w:spacing w:before="0" w:after="240"/>
    </w:pPr>
    <w:rPr>
      <w:rFonts w:eastAsia="Times New Roman"/>
      <w:szCs w:val="20"/>
    </w:rPr>
  </w:style>
  <w:style w:type="paragraph" w:customStyle="1" w:styleId="ListDash1">
    <w:name w:val="List Dash 1"/>
    <w:basedOn w:val="Text10"/>
    <w:pPr>
      <w:numPr>
        <w:numId w:val="32"/>
      </w:numPr>
      <w:spacing w:before="0" w:after="240"/>
    </w:pPr>
    <w:rPr>
      <w:rFonts w:eastAsia="Times New Roman"/>
      <w:szCs w:val="20"/>
    </w:rPr>
  </w:style>
  <w:style w:type="paragraph" w:customStyle="1" w:styleId="ListDash2">
    <w:name w:val="List Dash 2"/>
    <w:basedOn w:val="Text2"/>
    <w:pPr>
      <w:numPr>
        <w:numId w:val="33"/>
      </w:numPr>
      <w:spacing w:before="0" w:after="240"/>
    </w:pPr>
    <w:rPr>
      <w:rFonts w:eastAsia="Times New Roman"/>
      <w:szCs w:val="20"/>
    </w:rPr>
  </w:style>
  <w:style w:type="paragraph" w:customStyle="1" w:styleId="ListDash3">
    <w:name w:val="List Dash 3"/>
    <w:basedOn w:val="Text3"/>
    <w:pPr>
      <w:numPr>
        <w:numId w:val="34"/>
      </w:numPr>
      <w:spacing w:before="0" w:after="240"/>
    </w:pPr>
    <w:rPr>
      <w:rFonts w:eastAsia="Times New Roman"/>
      <w:szCs w:val="20"/>
    </w:rPr>
  </w:style>
  <w:style w:type="paragraph" w:customStyle="1" w:styleId="ListDash4">
    <w:name w:val="List Dash 4"/>
    <w:basedOn w:val="Text4"/>
    <w:pPr>
      <w:numPr>
        <w:numId w:val="35"/>
      </w:numPr>
      <w:spacing w:before="0" w:after="240"/>
    </w:pPr>
    <w:rPr>
      <w:rFonts w:eastAsia="Times New Roman"/>
      <w:szCs w:val="20"/>
    </w:rPr>
  </w:style>
  <w:style w:type="paragraph" w:customStyle="1" w:styleId="ListNumberLevel2">
    <w:name w:val="List Number (Level 2)"/>
    <w:basedOn w:val="Normal"/>
    <w:pPr>
      <w:widowControl/>
      <w:tabs>
        <w:tab w:val="num" w:pos="1417"/>
      </w:tabs>
      <w:spacing w:after="240" w:line="240" w:lineRule="auto"/>
      <w:ind w:left="1417" w:hanging="708"/>
      <w:jc w:val="both"/>
    </w:pPr>
    <w:rPr>
      <w:lang w:eastAsia="en-US"/>
    </w:rPr>
  </w:style>
  <w:style w:type="paragraph" w:customStyle="1" w:styleId="ListNumberLevel3">
    <w:name w:val="List Number (Level 3)"/>
    <w:basedOn w:val="Normal"/>
    <w:pPr>
      <w:widowControl/>
      <w:tabs>
        <w:tab w:val="num" w:pos="2126"/>
      </w:tabs>
      <w:spacing w:after="240" w:line="240" w:lineRule="auto"/>
      <w:ind w:left="2126" w:hanging="709"/>
      <w:jc w:val="both"/>
    </w:pPr>
    <w:rPr>
      <w:lang w:eastAsia="en-US"/>
    </w:rPr>
  </w:style>
  <w:style w:type="paragraph" w:customStyle="1" w:styleId="ListNumberLevel4">
    <w:name w:val="List Number (Level 4)"/>
    <w:basedOn w:val="Normal"/>
    <w:pPr>
      <w:widowControl/>
      <w:tabs>
        <w:tab w:val="num" w:pos="2835"/>
      </w:tabs>
      <w:spacing w:after="240" w:line="240" w:lineRule="auto"/>
      <w:ind w:left="2835" w:hanging="709"/>
      <w:jc w:val="both"/>
    </w:pPr>
    <w:rPr>
      <w:lang w:eastAsia="en-US"/>
    </w:rPr>
  </w:style>
  <w:style w:type="paragraph" w:customStyle="1" w:styleId="ListNumber1">
    <w:name w:val="List Number 1"/>
    <w:basedOn w:val="Text10"/>
    <w:pPr>
      <w:numPr>
        <w:numId w:val="36"/>
      </w:numPr>
      <w:spacing w:before="0" w:after="240"/>
    </w:pPr>
    <w:rPr>
      <w:rFonts w:eastAsia="Times New Roman"/>
      <w:szCs w:val="20"/>
    </w:rPr>
  </w:style>
  <w:style w:type="paragraph" w:customStyle="1" w:styleId="ListNumber1Level2">
    <w:name w:val="List Number 1 (Level 2)"/>
    <w:basedOn w:val="Text10"/>
    <w:pPr>
      <w:numPr>
        <w:ilvl w:val="1"/>
        <w:numId w:val="36"/>
      </w:numPr>
      <w:spacing w:before="0" w:after="240"/>
    </w:pPr>
    <w:rPr>
      <w:rFonts w:eastAsia="Times New Roman"/>
      <w:szCs w:val="20"/>
    </w:rPr>
  </w:style>
  <w:style w:type="paragraph" w:customStyle="1" w:styleId="ListNumber1Level3">
    <w:name w:val="List Number 1 (Level 3)"/>
    <w:basedOn w:val="Text10"/>
    <w:pPr>
      <w:numPr>
        <w:ilvl w:val="2"/>
        <w:numId w:val="36"/>
      </w:numPr>
      <w:spacing w:before="0" w:after="240"/>
    </w:pPr>
    <w:rPr>
      <w:rFonts w:eastAsia="Times New Roman"/>
      <w:szCs w:val="20"/>
    </w:rPr>
  </w:style>
  <w:style w:type="paragraph" w:customStyle="1" w:styleId="ListNumber1Level4">
    <w:name w:val="List Number 1 (Level 4)"/>
    <w:basedOn w:val="Text10"/>
    <w:pPr>
      <w:numPr>
        <w:ilvl w:val="3"/>
        <w:numId w:val="36"/>
      </w:numPr>
      <w:spacing w:before="0" w:after="240"/>
    </w:pPr>
    <w:rPr>
      <w:rFonts w:eastAsia="Times New Roman"/>
      <w:szCs w:val="20"/>
    </w:rPr>
  </w:style>
  <w:style w:type="paragraph" w:customStyle="1" w:styleId="ListNumber2Level2">
    <w:name w:val="List Number 2 (Level 2)"/>
    <w:basedOn w:val="Text2"/>
    <w:pPr>
      <w:tabs>
        <w:tab w:val="num" w:pos="2494"/>
      </w:tabs>
      <w:spacing w:before="0" w:after="240"/>
      <w:ind w:left="2494" w:hanging="708"/>
    </w:pPr>
    <w:rPr>
      <w:rFonts w:eastAsia="Times New Roman"/>
      <w:szCs w:val="20"/>
    </w:rPr>
  </w:style>
  <w:style w:type="paragraph" w:customStyle="1" w:styleId="ListNumber2Level3">
    <w:name w:val="List Number 2 (Level 3)"/>
    <w:basedOn w:val="Text2"/>
    <w:pPr>
      <w:tabs>
        <w:tab w:val="num" w:pos="3203"/>
      </w:tabs>
      <w:spacing w:before="0" w:after="240"/>
      <w:ind w:left="3203" w:hanging="709"/>
    </w:pPr>
    <w:rPr>
      <w:rFonts w:eastAsia="Times New Roman"/>
      <w:szCs w:val="20"/>
    </w:rPr>
  </w:style>
  <w:style w:type="paragraph" w:customStyle="1" w:styleId="ListNumber2Level4">
    <w:name w:val="List Number 2 (Level 4)"/>
    <w:basedOn w:val="Text2"/>
    <w:pPr>
      <w:tabs>
        <w:tab w:val="num" w:pos="3912"/>
      </w:tabs>
      <w:spacing w:before="0" w:after="240"/>
      <w:ind w:left="3912" w:hanging="709"/>
    </w:pPr>
    <w:rPr>
      <w:rFonts w:eastAsia="Times New Roman"/>
      <w:szCs w:val="20"/>
    </w:rPr>
  </w:style>
  <w:style w:type="paragraph" w:customStyle="1" w:styleId="ListNumber3Level2">
    <w:name w:val="List Number 3 (Level 2)"/>
    <w:basedOn w:val="Text3"/>
    <w:pPr>
      <w:tabs>
        <w:tab w:val="num" w:pos="3333"/>
      </w:tabs>
      <w:spacing w:before="0" w:after="240"/>
      <w:ind w:left="3333" w:hanging="708"/>
    </w:pPr>
    <w:rPr>
      <w:rFonts w:eastAsia="Times New Roman"/>
      <w:szCs w:val="20"/>
    </w:rPr>
  </w:style>
  <w:style w:type="paragraph" w:customStyle="1" w:styleId="ListNumber3Level3">
    <w:name w:val="List Number 3 (Level 3)"/>
    <w:basedOn w:val="Text3"/>
    <w:pPr>
      <w:tabs>
        <w:tab w:val="num" w:pos="4042"/>
      </w:tabs>
      <w:spacing w:before="0" w:after="240"/>
      <w:ind w:left="4042" w:hanging="709"/>
    </w:pPr>
    <w:rPr>
      <w:rFonts w:eastAsia="Times New Roman"/>
      <w:szCs w:val="20"/>
    </w:rPr>
  </w:style>
  <w:style w:type="paragraph" w:customStyle="1" w:styleId="ListNumber3Level4">
    <w:name w:val="List Number 3 (Level 4)"/>
    <w:basedOn w:val="Text3"/>
    <w:pPr>
      <w:tabs>
        <w:tab w:val="num" w:pos="4751"/>
      </w:tabs>
      <w:spacing w:before="0" w:after="240"/>
      <w:ind w:left="4751" w:hanging="709"/>
    </w:pPr>
    <w:rPr>
      <w:rFonts w:eastAsia="Times New Roman"/>
      <w:szCs w:val="20"/>
    </w:rPr>
  </w:style>
  <w:style w:type="paragraph" w:customStyle="1" w:styleId="ListNumber4Level2">
    <w:name w:val="List Number 4 (Level 2)"/>
    <w:basedOn w:val="Text4"/>
    <w:pPr>
      <w:tabs>
        <w:tab w:val="num" w:pos="4297"/>
      </w:tabs>
      <w:spacing w:before="0" w:after="240"/>
      <w:ind w:left="4297" w:hanging="708"/>
    </w:pPr>
    <w:rPr>
      <w:rFonts w:eastAsia="Times New Roman"/>
      <w:szCs w:val="20"/>
    </w:rPr>
  </w:style>
  <w:style w:type="paragraph" w:customStyle="1" w:styleId="ListNumber4Level3">
    <w:name w:val="List Number 4 (Level 3)"/>
    <w:basedOn w:val="Text4"/>
    <w:pPr>
      <w:tabs>
        <w:tab w:val="num" w:pos="5006"/>
      </w:tabs>
      <w:spacing w:before="0" w:after="240"/>
      <w:ind w:left="5006" w:hanging="709"/>
    </w:pPr>
    <w:rPr>
      <w:rFonts w:eastAsia="Times New Roman"/>
      <w:szCs w:val="20"/>
    </w:rPr>
  </w:style>
  <w:style w:type="paragraph" w:customStyle="1" w:styleId="ListNumber4Level4">
    <w:name w:val="List Number 4 (Level 4)"/>
    <w:basedOn w:val="Text4"/>
    <w:pPr>
      <w:tabs>
        <w:tab w:val="num" w:pos="5715"/>
      </w:tabs>
      <w:spacing w:before="0" w:after="240"/>
      <w:ind w:left="5715" w:hanging="709"/>
    </w:pPr>
    <w:rPr>
      <w:rFonts w:eastAsia="Times New Roman"/>
      <w:szCs w:val="20"/>
    </w:rPr>
  </w:style>
  <w:style w:type="paragraph" w:customStyle="1" w:styleId="Contact">
    <w:name w:val="Contact"/>
    <w:basedOn w:val="Normal"/>
    <w:next w:val="Normal"/>
    <w:pPr>
      <w:widowControl/>
      <w:spacing w:before="480" w:line="240" w:lineRule="auto"/>
      <w:ind w:left="567" w:hanging="567"/>
    </w:pPr>
    <w:rPr>
      <w:lang w:eastAsia="en-US"/>
    </w:rPr>
  </w:style>
  <w:style w:type="paragraph" w:customStyle="1" w:styleId="DisclaimerNotice">
    <w:name w:val="Disclaimer Notice"/>
    <w:basedOn w:val="Normal"/>
    <w:next w:val="AddressTR"/>
    <w:pPr>
      <w:widowControl/>
      <w:spacing w:after="240" w:line="240" w:lineRule="auto"/>
      <w:ind w:left="5103"/>
    </w:pPr>
    <w:rPr>
      <w:i/>
      <w:sz w:val="20"/>
      <w:lang w:eastAsia="en-US"/>
    </w:rPr>
  </w:style>
  <w:style w:type="paragraph" w:customStyle="1" w:styleId="Disclaimer">
    <w:name w:val="Disclaimer"/>
    <w:basedOn w:val="Normal"/>
    <w:pPr>
      <w:keepLines/>
      <w:widowControl/>
      <w:pBdr>
        <w:top w:val="single" w:sz="4" w:space="1" w:color="auto"/>
      </w:pBdr>
      <w:spacing w:before="480" w:line="240" w:lineRule="auto"/>
      <w:jc w:val="both"/>
    </w:pPr>
    <w:rPr>
      <w:i/>
      <w:lang w:eastAsia="en-US"/>
    </w:rPr>
  </w:style>
  <w:style w:type="paragraph" w:customStyle="1" w:styleId="DisclaimerSJ">
    <w:name w:val="Disclaimer_SJ"/>
    <w:basedOn w:val="Normal"/>
    <w:next w:val="Normal"/>
    <w:pPr>
      <w:widowControl/>
      <w:spacing w:line="240" w:lineRule="auto"/>
      <w:jc w:val="both"/>
    </w:pPr>
    <w:rPr>
      <w:rFonts w:ascii="Arial" w:hAnsi="Arial"/>
      <w:b/>
      <w:sz w:val="16"/>
      <w:lang w:eastAsia="en-US"/>
    </w:rPr>
  </w:style>
  <w:style w:type="paragraph" w:customStyle="1" w:styleId="Designator">
    <w:name w:val="Designator"/>
    <w:basedOn w:val="Normal"/>
    <w:pPr>
      <w:widowControl/>
      <w:spacing w:line="240" w:lineRule="auto"/>
      <w:jc w:val="center"/>
    </w:pPr>
    <w:rPr>
      <w:b/>
      <w:caps/>
      <w:sz w:val="32"/>
      <w:lang w:eastAsia="en-US"/>
    </w:rPr>
  </w:style>
  <w:style w:type="paragraph" w:customStyle="1" w:styleId="Releasable">
    <w:name w:val="Releasable"/>
    <w:basedOn w:val="Normal"/>
    <w:qFormat/>
    <w:pPr>
      <w:widowControl/>
      <w:spacing w:line="240" w:lineRule="auto"/>
      <w:jc w:val="center"/>
    </w:pPr>
    <w:rPr>
      <w:b/>
      <w:caps/>
      <w:sz w:val="32"/>
      <w:lang w:val="de-DE" w:eastAsia="en-US"/>
    </w:rPr>
  </w:style>
  <w:style w:type="paragraph" w:customStyle="1" w:styleId="RUE">
    <w:name w:val="RUE"/>
    <w:basedOn w:val="Normal"/>
    <w:pPr>
      <w:widowControl/>
      <w:spacing w:line="240" w:lineRule="auto"/>
      <w:jc w:val="center"/>
    </w:pPr>
    <w:rPr>
      <w:b/>
      <w:caps/>
      <w:sz w:val="32"/>
      <w:bdr w:val="single" w:sz="18" w:space="0" w:color="auto"/>
      <w:lang w:val="de-DE" w:eastAsia="en-US"/>
    </w:rPr>
  </w:style>
  <w:style w:type="paragraph" w:customStyle="1" w:styleId="ConfidentialUE">
    <w:name w:val="Confidential UE"/>
    <w:basedOn w:val="Normal"/>
    <w:pPr>
      <w:widowControl/>
      <w:spacing w:line="240" w:lineRule="auto"/>
      <w:jc w:val="center"/>
    </w:pPr>
    <w:rPr>
      <w:b/>
      <w:caps/>
      <w:sz w:val="32"/>
      <w:bdr w:val="single" w:sz="18" w:space="0" w:color="auto"/>
      <w:lang w:eastAsia="en-US"/>
    </w:rPr>
  </w:style>
  <w:style w:type="paragraph" w:customStyle="1" w:styleId="TrsSecretUE">
    <w:name w:val="Très Secret UE"/>
    <w:basedOn w:val="Normal"/>
    <w:pPr>
      <w:widowControl/>
      <w:spacing w:line="240" w:lineRule="auto"/>
      <w:jc w:val="center"/>
    </w:pPr>
    <w:rPr>
      <w:b/>
      <w:caps/>
      <w:color w:val="FF0000"/>
      <w:sz w:val="32"/>
      <w:bdr w:val="single" w:sz="18" w:space="0" w:color="FF0000"/>
      <w:lang w:eastAsia="en-US"/>
    </w:rPr>
  </w:style>
  <w:style w:type="paragraph" w:customStyle="1" w:styleId="SecretUE">
    <w:name w:val="Secret UE"/>
    <w:basedOn w:val="Normal"/>
    <w:pPr>
      <w:widowControl/>
      <w:spacing w:line="240" w:lineRule="auto"/>
      <w:jc w:val="center"/>
    </w:pPr>
    <w:rPr>
      <w:b/>
      <w:caps/>
      <w:color w:val="FF0000"/>
      <w:sz w:val="32"/>
      <w:bdr w:val="single" w:sz="18" w:space="0" w:color="FF0000"/>
      <w:lang w:eastAsia="en-US"/>
    </w:rPr>
  </w:style>
  <w:style w:type="numbering" w:customStyle="1" w:styleId="NoList111">
    <w:name w:val="No List111"/>
    <w:next w:val="NoList"/>
    <w:semiHidden/>
  </w:style>
  <w:style w:type="paragraph" w:customStyle="1" w:styleId="Listecouleur-Accent11">
    <w:name w:val="Liste couleur - Accent 11"/>
    <w:basedOn w:val="Normal"/>
    <w:pPr>
      <w:widowControl/>
      <w:spacing w:after="200" w:line="276" w:lineRule="auto"/>
      <w:ind w:left="720"/>
      <w:contextualSpacing/>
    </w:pPr>
    <w:rPr>
      <w:rFonts w:ascii="Calibri" w:eastAsia="Calibri" w:hAnsi="Calibri" w:cs="Calibri"/>
      <w:sz w:val="22"/>
      <w:szCs w:val="22"/>
      <w:lang w:val="en-US" w:eastAsia="en-US"/>
    </w:rPr>
  </w:style>
  <w:style w:type="table" w:customStyle="1" w:styleId="TableGrid1">
    <w:name w:val="Table Grid1"/>
    <w:basedOn w:val="TableNormal"/>
    <w:next w:val="TableGrid"/>
    <w:rPr>
      <w:rFonts w:ascii="Calibri" w:eastAsia="Calibri" w:hAnsi="Calibri" w:cs="Calibri"/>
      <w:lang w:val="fr-BE" w:eastAsia="fr-B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1">
    <w:name w:val="Style1"/>
    <w:basedOn w:val="Normal"/>
    <w:pPr>
      <w:widowControl/>
      <w:spacing w:after="200" w:line="276" w:lineRule="auto"/>
    </w:pPr>
    <w:rPr>
      <w:rFonts w:ascii="Calibri" w:eastAsia="Calibri" w:hAnsi="Calibri" w:cs="Calibri"/>
      <w:szCs w:val="24"/>
      <w:lang w:val="en-US" w:eastAsia="en-US"/>
    </w:rPr>
  </w:style>
  <w:style w:type="paragraph" w:customStyle="1" w:styleId="Style2">
    <w:name w:val="Style2"/>
    <w:basedOn w:val="Normal"/>
    <w:pPr>
      <w:widowControl/>
      <w:spacing w:after="200" w:line="276" w:lineRule="auto"/>
    </w:pPr>
    <w:rPr>
      <w:rFonts w:ascii="Calibri" w:eastAsia="Calibri" w:hAnsi="Calibri" w:cs="Calibri"/>
      <w:szCs w:val="24"/>
      <w:lang w:val="en-US" w:eastAsia="en-US"/>
    </w:rPr>
  </w:style>
  <w:style w:type="paragraph" w:customStyle="1" w:styleId="Listecouleur-Accent12">
    <w:name w:val="Liste couleur - Accent 12"/>
    <w:basedOn w:val="Normal"/>
    <w:pPr>
      <w:widowControl/>
      <w:spacing w:after="200" w:line="276" w:lineRule="auto"/>
      <w:ind w:left="720"/>
    </w:pPr>
    <w:rPr>
      <w:rFonts w:ascii="Calibri" w:eastAsia="Calibri" w:hAnsi="Calibri" w:cs="Calibri"/>
      <w:sz w:val="22"/>
      <w:szCs w:val="22"/>
      <w:lang w:val="en-US" w:eastAsia="en-US"/>
    </w:rPr>
  </w:style>
  <w:style w:type="character" w:customStyle="1" w:styleId="CommentTextChar1">
    <w:name w:val="Comment Text Char1"/>
    <w:semiHidden/>
    <w:rPr>
      <w:rFonts w:ascii="Times New Roman" w:eastAsia="Times New Roman" w:hAnsi="Times New Roman" w:cs="Times New Roman"/>
      <w:sz w:val="20"/>
      <w:szCs w:val="20"/>
      <w:lang w:val="en-GB"/>
    </w:rPr>
  </w:style>
  <w:style w:type="numbering" w:customStyle="1" w:styleId="NoList21">
    <w:name w:val="No List21"/>
    <w:next w:val="NoList"/>
    <w:semiHidden/>
  </w:style>
  <w:style w:type="numbering" w:customStyle="1" w:styleId="NoList5">
    <w:name w:val="No List5"/>
    <w:next w:val="NoList"/>
    <w:uiPriority w:val="99"/>
    <w:semiHidden/>
    <w:unhideWhenUsed/>
  </w:style>
  <w:style w:type="character" w:styleId="HTMLDefinition">
    <w:name w:val="HTML Definition"/>
    <w:basedOn w:val="DefaultParagraphFont"/>
    <w:uiPriority w:val="99"/>
    <w:unhideWhenUsed/>
    <w:rPr>
      <w:i/>
      <w:iCs/>
    </w:rPr>
  </w:style>
  <w:style w:type="character" w:customStyle="1" w:styleId="msoins0">
    <w:name w:val="msoins"/>
    <w:basedOn w:val="DefaultParagraphFont"/>
  </w:style>
  <w:style w:type="numbering" w:customStyle="1" w:styleId="NoList6">
    <w:name w:val="No List6"/>
    <w:next w:val="NoList"/>
    <w:uiPriority w:val="99"/>
    <w:semiHidden/>
    <w:unhideWhenUsed/>
  </w:style>
  <w:style w:type="table" w:customStyle="1" w:styleId="TableGrid2">
    <w:name w:val="Table Grid2"/>
    <w:basedOn w:val="TableNormal"/>
    <w:next w:val="TableGrid"/>
    <w:uiPriority w:val="59"/>
    <w:rPr>
      <w:rFonts w:eastAsiaTheme="minorHAnsi" w:cstheme="minorBidi"/>
      <w:sz w:val="24"/>
      <w:szCs w:val="22"/>
      <w:lang w:val="en-C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style>
  <w:style w:type="character" w:customStyle="1" w:styleId="formreadable1">
    <w:name w:val="formreadable1"/>
    <w:basedOn w:val="DefaultParagraphFont"/>
    <w:rPr>
      <w:rFonts w:ascii="Arial" w:hAnsi="Arial" w:cs="Arial" w:hint="default"/>
      <w:b/>
      <w:bCs/>
      <w:i w:val="0"/>
      <w:iCs w:val="0"/>
      <w:strike w:val="0"/>
      <w:dstrike w:val="0"/>
      <w:color w:val="000000"/>
      <w:sz w:val="17"/>
      <w:szCs w:val="17"/>
      <w:u w:val="none"/>
      <w:effect w:val="none"/>
      <w:shd w:val="clear" w:color="auto" w:fill="E6E6E6"/>
    </w:rPr>
  </w:style>
  <w:style w:type="numbering" w:customStyle="1" w:styleId="NoList7">
    <w:name w:val="No List7"/>
    <w:next w:val="NoList"/>
    <w:uiPriority w:val="99"/>
    <w:semiHidden/>
    <w:unhideWhenUsed/>
  </w:style>
  <w:style w:type="paragraph" w:customStyle="1" w:styleId="CM4">
    <w:name w:val="CM4"/>
    <w:basedOn w:val="Normal"/>
    <w:next w:val="Normal"/>
    <w:uiPriority w:val="99"/>
    <w:pPr>
      <w:widowControl/>
      <w:autoSpaceDE w:val="0"/>
      <w:autoSpaceDN w:val="0"/>
      <w:adjustRightInd w:val="0"/>
      <w:spacing w:before="60" w:after="60" w:line="240" w:lineRule="auto"/>
    </w:pPr>
    <w:rPr>
      <w:rFonts w:ascii="EUAlbertina" w:hAnsi="EUAlbertina"/>
      <w:szCs w:val="24"/>
      <w:lang w:eastAsia="en-CA"/>
    </w:rPr>
  </w:style>
  <w:style w:type="numbering" w:customStyle="1" w:styleId="List01">
    <w:name w:val="List 01"/>
    <w:basedOn w:val="NoList"/>
    <w:pPr>
      <w:numPr>
        <w:numId w:val="23"/>
      </w:numPr>
    </w:pPr>
  </w:style>
  <w:style w:type="numbering" w:customStyle="1" w:styleId="List1">
    <w:name w:val="List 1"/>
    <w:basedOn w:val="NoList"/>
    <w:pPr>
      <w:numPr>
        <w:numId w:val="29"/>
      </w:numPr>
    </w:p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A">
    <w:name w:val="Body A"/>
    <w:pPr>
      <w:pBdr>
        <w:top w:val="nil"/>
        <w:left w:val="nil"/>
        <w:bottom w:val="nil"/>
        <w:right w:val="nil"/>
        <w:between w:val="nil"/>
        <w:bar w:val="nil"/>
      </w:pBdr>
    </w:pPr>
    <w:rPr>
      <w:rFonts w:ascii="Calibri" w:eastAsia="Calibri" w:hAnsi="Calibri" w:cs="Calibri"/>
      <w:color w:val="000000"/>
      <w:sz w:val="22"/>
      <w:szCs w:val="22"/>
      <w:u w:color="000000"/>
      <w:bdr w:val="nil"/>
      <w:lang w:val="en-US" w:eastAsia="en-CA"/>
    </w:rPr>
  </w:style>
  <w:style w:type="numbering" w:customStyle="1" w:styleId="NoList8">
    <w:name w:val="No List8"/>
    <w:next w:val="NoList"/>
    <w:uiPriority w:val="99"/>
    <w:semiHidden/>
    <w:unhideWhenUsed/>
  </w:style>
  <w:style w:type="paragraph" w:customStyle="1" w:styleId="Level1">
    <w:name w:val="Level 1"/>
    <w:uiPriority w:val="99"/>
    <w:pPr>
      <w:ind w:left="720"/>
      <w:jc w:val="both"/>
    </w:pPr>
    <w:rPr>
      <w:sz w:val="24"/>
      <w:lang w:val="en-US" w:eastAsia="en-US"/>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BodyTextIn">
    <w:name w:val="Body Text In"/>
    <w:uiPriority w:val="99"/>
    <w:pPr>
      <w:tabs>
        <w:tab w:val="left" w:pos="28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tLeast"/>
      <w:ind w:left="282"/>
    </w:pPr>
    <w:rPr>
      <w:lang w:val="en-CA" w:eastAsia="en-US"/>
    </w:rPr>
  </w:style>
  <w:style w:type="paragraph" w:customStyle="1" w:styleId="Clause">
    <w:name w:val="Clause"/>
    <w:basedOn w:val="Normal"/>
    <w:uiPriority w:val="99"/>
    <w:pPr>
      <w:widowControl/>
      <w:tabs>
        <w:tab w:val="left" w:pos="720"/>
        <w:tab w:val="left" w:pos="1440"/>
        <w:tab w:val="left" w:pos="2160"/>
      </w:tabs>
      <w:spacing w:after="240" w:line="240" w:lineRule="auto"/>
      <w:ind w:left="2160" w:hanging="720"/>
    </w:pPr>
    <w:rPr>
      <w:lang w:val="en-US" w:eastAsia="en-US"/>
    </w:rPr>
  </w:style>
  <w:style w:type="paragraph" w:customStyle="1" w:styleId="num">
    <w:name w:val="num"/>
    <w:basedOn w:val="Normal"/>
    <w:pPr>
      <w:widowControl/>
      <w:spacing w:after="240" w:line="240" w:lineRule="auto"/>
      <w:ind w:left="850" w:hanging="850"/>
      <w:jc w:val="both"/>
    </w:pPr>
    <w:rPr>
      <w:rFonts w:eastAsia="Batang"/>
      <w:lang w:eastAsia="en-GB"/>
    </w:rPr>
  </w:style>
  <w:style w:type="paragraph" w:customStyle="1" w:styleId="para">
    <w:name w:val="para"/>
    <w:basedOn w:val="Normal"/>
    <w:pPr>
      <w:widowControl/>
      <w:spacing w:after="240" w:line="240" w:lineRule="auto"/>
    </w:pPr>
    <w:rPr>
      <w:rFonts w:eastAsia="Batang"/>
      <w:lang w:val="en-US" w:eastAsia="en-US"/>
    </w:rPr>
  </w:style>
  <w:style w:type="paragraph" w:customStyle="1" w:styleId="body0">
    <w:name w:val="body"/>
    <w:basedOn w:val="Normal"/>
    <w:uiPriority w:val="99"/>
    <w:pPr>
      <w:widowControl/>
      <w:spacing w:before="100" w:beforeAutospacing="1" w:after="100" w:afterAutospacing="1" w:line="240" w:lineRule="auto"/>
    </w:pPr>
    <w:rPr>
      <w:rFonts w:eastAsiaTheme="minorHAnsi"/>
      <w:szCs w:val="24"/>
      <w:lang w:eastAsia="en-CA"/>
    </w:rPr>
  </w:style>
  <w:style w:type="numbering" w:customStyle="1" w:styleId="NoList9">
    <w:name w:val="No List9"/>
    <w:next w:val="NoList"/>
    <w:uiPriority w:val="99"/>
    <w:semiHidden/>
    <w:unhideWhenUsed/>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character" w:customStyle="1" w:styleId="hps">
    <w:name w:val="hps"/>
  </w:style>
  <w:style w:type="numbering" w:customStyle="1" w:styleId="NoList10">
    <w:name w:val="No List10"/>
    <w:next w:val="NoList"/>
    <w:uiPriority w:val="99"/>
    <w:semiHidden/>
    <w:unhideWhenUsed/>
  </w:style>
  <w:style w:type="numbering" w:customStyle="1" w:styleId="NoList12">
    <w:name w:val="No List12"/>
    <w:next w:val="NoList"/>
    <w:uiPriority w:val="99"/>
    <w:semiHidden/>
    <w:unhideWhenUsed/>
  </w:style>
  <w:style w:type="paragraph" w:customStyle="1" w:styleId="Point10">
    <w:name w:val="Point 1"/>
    <w:basedOn w:val="Normal"/>
    <w:pPr>
      <w:widowControl/>
      <w:spacing w:before="120" w:after="120" w:line="240" w:lineRule="auto"/>
      <w:ind w:left="1417" w:hanging="567"/>
      <w:jc w:val="both"/>
    </w:pPr>
    <w:rPr>
      <w:rFonts w:eastAsiaTheme="minorHAnsi"/>
      <w:szCs w:val="22"/>
      <w:lang w:eastAsia="en-US"/>
    </w:rPr>
  </w:style>
  <w:style w:type="paragraph" w:styleId="NoSpacing">
    <w:name w:val="No Spacing"/>
    <w:uiPriority w:val="1"/>
    <w:qFormat/>
    <w:rPr>
      <w:rFonts w:asciiTheme="minorHAnsi" w:eastAsiaTheme="minorHAnsi" w:hAnsiTheme="minorHAnsi" w:cstheme="minorBidi"/>
      <w:sz w:val="22"/>
      <w:szCs w:val="22"/>
      <w:lang w:val="en-CA"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aliases w:val="Final Footnote Text Char,Final Footnote Text Char Char Char,GM_Fußnotentext Char,Footnote text Char,fn Char,Schriftart: 9 pt Char,Schriftart: 10 pt Char,Schriftart: 8 pt Char,WB-Fußnoten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0">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42"/>
      </w:numPr>
    </w:pPr>
  </w:style>
  <w:style w:type="paragraph" w:customStyle="1" w:styleId="Tiret1">
    <w:name w:val="Tiret 1"/>
    <w:basedOn w:val="Point10"/>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43"/>
      </w:numPr>
    </w:pPr>
  </w:style>
  <w:style w:type="paragraph" w:customStyle="1" w:styleId="Tiret4">
    <w:name w:val="Tiret 4"/>
    <w:basedOn w:val="Point4"/>
    <w:pPr>
      <w:numPr>
        <w:numId w:val="44"/>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0"/>
    <w:pPr>
      <w:widowControl/>
      <w:numPr>
        <w:numId w:val="45"/>
      </w:numPr>
      <w:spacing w:before="120" w:after="120" w:line="240" w:lineRule="auto"/>
      <w:jc w:val="both"/>
    </w:pPr>
    <w:rPr>
      <w:rFonts w:eastAsiaTheme="minorHAnsi"/>
      <w:szCs w:val="22"/>
      <w:lang w:eastAsia="en-US"/>
    </w:rPr>
  </w:style>
  <w:style w:type="paragraph" w:customStyle="1" w:styleId="NumPar2">
    <w:name w:val="NumPar 2"/>
    <w:basedOn w:val="Normal"/>
    <w:next w:val="Text10"/>
    <w:pPr>
      <w:widowControl/>
      <w:numPr>
        <w:ilvl w:val="1"/>
        <w:numId w:val="45"/>
      </w:numPr>
      <w:spacing w:before="120" w:after="120" w:line="240" w:lineRule="auto"/>
      <w:jc w:val="both"/>
    </w:pPr>
    <w:rPr>
      <w:rFonts w:eastAsiaTheme="minorHAnsi"/>
      <w:szCs w:val="22"/>
      <w:lang w:eastAsia="en-US"/>
    </w:rPr>
  </w:style>
  <w:style w:type="paragraph" w:customStyle="1" w:styleId="NumPar3">
    <w:name w:val="NumPar 3"/>
    <w:basedOn w:val="Normal"/>
    <w:next w:val="Text10"/>
    <w:pPr>
      <w:widowControl/>
      <w:numPr>
        <w:ilvl w:val="2"/>
        <w:numId w:val="45"/>
      </w:numPr>
      <w:spacing w:before="120" w:after="120" w:line="240" w:lineRule="auto"/>
      <w:jc w:val="both"/>
    </w:pPr>
    <w:rPr>
      <w:rFonts w:eastAsiaTheme="minorHAnsi"/>
      <w:szCs w:val="22"/>
      <w:lang w:eastAsia="en-US"/>
    </w:rPr>
  </w:style>
  <w:style w:type="paragraph" w:customStyle="1" w:styleId="NumPar4">
    <w:name w:val="NumPar 4"/>
    <w:basedOn w:val="Normal"/>
    <w:next w:val="Text10"/>
    <w:pPr>
      <w:widowControl/>
      <w:numPr>
        <w:ilvl w:val="3"/>
        <w:numId w:val="45"/>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0"/>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0"/>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0"/>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0"/>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0"/>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46"/>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46"/>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46"/>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46"/>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46"/>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46"/>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46"/>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46"/>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46"/>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47"/>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48"/>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49"/>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50"/>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51"/>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52"/>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boxtab">
    <w:name w:val="boxtab"/>
    <w:basedOn w:val="Normal"/>
    <w:pPr>
      <w:widowControl/>
      <w:spacing w:line="240" w:lineRule="auto"/>
      <w:ind w:left="113" w:hanging="113"/>
    </w:pPr>
    <w:rPr>
      <w:sz w:val="16"/>
      <w:lang w:eastAsia="en-GB"/>
    </w:rPr>
  </w:style>
  <w:style w:type="paragraph" w:customStyle="1" w:styleId="CharChar">
    <w:name w:val="(文字) (文字) Char (文字) (文字) Char"/>
    <w:basedOn w:val="Normal"/>
    <w:pPr>
      <w:widowControl/>
      <w:spacing w:after="160" w:line="240" w:lineRule="exact"/>
    </w:pPr>
    <w:rPr>
      <w:rFonts w:ascii="Tahoma" w:eastAsia="MS Mincho" w:hAnsi="Tahoma" w:cs="Tahoma"/>
      <w:sz w:val="20"/>
      <w:lang w:val="en-US" w:eastAsia="en-US"/>
    </w:rPr>
  </w:style>
  <w:style w:type="paragraph" w:customStyle="1" w:styleId="CM1">
    <w:name w:val="CM1"/>
    <w:basedOn w:val="Normal"/>
    <w:next w:val="Normal"/>
    <w:uiPriority w:val="99"/>
    <w:pPr>
      <w:widowControl/>
      <w:autoSpaceDE w:val="0"/>
      <w:autoSpaceDN w:val="0"/>
      <w:adjustRightInd w:val="0"/>
      <w:spacing w:before="200" w:after="200" w:line="240" w:lineRule="auto"/>
    </w:pPr>
    <w:rPr>
      <w:rFonts w:ascii="EUAlbertina" w:hAnsi="EUAlbertina"/>
      <w:szCs w:val="24"/>
      <w:lang w:val="en-CA" w:eastAsia="en-CA"/>
    </w:rPr>
  </w:style>
  <w:style w:type="paragraph" w:customStyle="1" w:styleId="CM3">
    <w:name w:val="CM3"/>
    <w:basedOn w:val="Normal"/>
    <w:next w:val="Normal"/>
    <w:uiPriority w:val="99"/>
    <w:pPr>
      <w:widowControl/>
      <w:autoSpaceDE w:val="0"/>
      <w:autoSpaceDN w:val="0"/>
      <w:adjustRightInd w:val="0"/>
      <w:spacing w:before="60" w:after="60" w:line="240" w:lineRule="auto"/>
    </w:pPr>
    <w:rPr>
      <w:rFonts w:ascii="EUAlbertina" w:hAnsi="EUAlbertina"/>
      <w:szCs w:val="24"/>
      <w:lang w:val="en-CA" w:eastAsia="en-CA"/>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bCs/>
      <w:shd w:val="solid" w:color="FFFFFF" w:fill="auto"/>
      <w:lang w:eastAsia="ru-RU"/>
    </w:rPr>
  </w:style>
  <w:style w:type="character" w:customStyle="1" w:styleId="FooterCoverPageChar">
    <w:name w:val="Footer Cover Page Char"/>
    <w:basedOn w:val="DefaultParagraphFont"/>
    <w:link w:val="FooterCoverPage"/>
    <w:rPr>
      <w:bCs/>
      <w:sz w:val="24"/>
      <w:lang w:eastAsia="ru-RU"/>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bCs/>
      <w:shd w:val="solid" w:color="FFFFFF" w:fill="auto"/>
      <w:lang w:eastAsia="ru-RU"/>
    </w:rPr>
  </w:style>
  <w:style w:type="character" w:customStyle="1" w:styleId="HeaderCoverPageChar">
    <w:name w:val="Header Cover Page Char"/>
    <w:basedOn w:val="DefaultParagraphFont"/>
    <w:link w:val="HeaderCoverPage"/>
    <w:rPr>
      <w:bCs/>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542801">
      <w:bodyDiv w:val="1"/>
      <w:marLeft w:val="0"/>
      <w:marRight w:val="0"/>
      <w:marTop w:val="0"/>
      <w:marBottom w:val="0"/>
      <w:divBdr>
        <w:top w:val="none" w:sz="0" w:space="0" w:color="auto"/>
        <w:left w:val="none" w:sz="0" w:space="0" w:color="auto"/>
        <w:bottom w:val="none" w:sz="0" w:space="0" w:color="auto"/>
        <w:right w:val="none" w:sz="0" w:space="0" w:color="auto"/>
      </w:divBdr>
    </w:div>
    <w:div w:id="994601088">
      <w:bodyDiv w:val="1"/>
      <w:marLeft w:val="0"/>
      <w:marRight w:val="0"/>
      <w:marTop w:val="0"/>
      <w:marBottom w:val="0"/>
      <w:divBdr>
        <w:top w:val="none" w:sz="0" w:space="0" w:color="auto"/>
        <w:left w:val="none" w:sz="0" w:space="0" w:color="auto"/>
        <w:bottom w:val="none" w:sz="0" w:space="0" w:color="auto"/>
        <w:right w:val="none" w:sz="0" w:space="0" w:color="auto"/>
      </w:divBdr>
    </w:div>
    <w:div w:id="1244878668">
      <w:bodyDiv w:val="1"/>
      <w:marLeft w:val="0"/>
      <w:marRight w:val="0"/>
      <w:marTop w:val="0"/>
      <w:marBottom w:val="0"/>
      <w:divBdr>
        <w:top w:val="none" w:sz="0" w:space="0" w:color="auto"/>
        <w:left w:val="none" w:sz="0" w:space="0" w:color="auto"/>
        <w:bottom w:val="none" w:sz="0" w:space="0" w:color="auto"/>
        <w:right w:val="none" w:sz="0" w:space="0" w:color="auto"/>
      </w:divBdr>
    </w:div>
    <w:div w:id="196295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57BFC-6B45-4D97-B1DE-317070EF9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961</TotalTime>
  <Pages>140</Pages>
  <Words>25061</Words>
  <Characters>134834</Characters>
  <Application>Microsoft Office Word</Application>
  <DocSecurity>0</DocSecurity>
  <Lines>4649</Lines>
  <Paragraphs>2160</Paragraphs>
  <ScaleCrop>false</ScaleCrop>
  <HeadingPairs>
    <vt:vector size="2" baseType="variant">
      <vt:variant>
        <vt:lpstr>Title</vt:lpstr>
      </vt:variant>
      <vt:variant>
        <vt:i4>1</vt:i4>
      </vt:variant>
    </vt:vector>
  </HeadingPairs>
  <TitlesOfParts>
    <vt:vector size="1" baseType="lpstr">
      <vt:lpstr>GEN</vt:lpstr>
    </vt:vector>
  </TitlesOfParts>
  <Company>DTI</Company>
  <LinksUpToDate>false</LinksUpToDate>
  <CharactersWithSpaces>157735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88</cp:revision>
  <cp:lastPrinted>2016-06-09T18:23:00Z</cp:lastPrinted>
  <dcterms:created xsi:type="dcterms:W3CDTF">2016-03-31T19:28:00Z</dcterms:created>
  <dcterms:modified xsi:type="dcterms:W3CDTF">2016-07-07T13:07:00Z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2</vt:lpwstr>
  </property>
  <property fmtid="{D5CDD505-2E9C-101B-9397-08002B2CF9AE}" pid="3" name="Last annex">
    <vt:lpwstr>2</vt:lpwstr>
  </property>
  <property fmtid="{D5CDD505-2E9C-101B-9397-08002B2CF9AE}" pid="4" name="Part">
    <vt:lpwstr>3</vt:lpwstr>
  </property>
  <property fmtid="{D5CDD505-2E9C-101B-9397-08002B2CF9AE}" pid="5" name="Total parts">
    <vt:lpwstr>3</vt:lpwstr>
  </property>
  <property fmtid="{D5CDD505-2E9C-101B-9397-08002B2CF9AE}" pid="6" name="DocStatus">
    <vt:lpwstr>Green</vt:lpwstr>
  </property>
  <property fmtid="{D5CDD505-2E9C-101B-9397-08002B2CF9AE}" pid="7" name="Classification">
    <vt:lpwstr> </vt:lpwstr>
  </property>
  <property name="OP_sanitized" fmtid="{D5CDD505-2E9C-101B-9397-08002B2CF9AE}" pid="8">
    <vt:lpwstr>True</vt:lpwstr>
  </property>
</Properties>
</file>