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781BB31A3B094D78B4416142C03CE25C" style="width:451.7pt;height:379.7pt">
            <v:imagedata r:id="rId9" o:title=""/>
          </v:shape>
        </w:pict>
      </w:r>
    </w:p>
    <w:bookmarkEnd w:id="0"/>
    <w:p>
      <w:pPr>
        <w:rPr>
          <w:rFonts w:eastAsiaTheme="minorHAnsi"/>
          <w:noProof/>
        </w:rPr>
        <w:sectPr>
          <w:headerReference w:type="even" r:id="rId10"/>
          <w:headerReference w:type="default" r:id="rId11"/>
          <w:footerReference w:type="even" r:id="rId12"/>
          <w:footerReference w:type="default" r:id="rId13"/>
          <w:headerReference w:type="first" r:id="rId14"/>
          <w:footerReference w:type="first" r:id="rId15"/>
          <w:footnotePr>
            <w:numRestart w:val="eachPage"/>
          </w:footnotePr>
          <w:pgSz w:w="11907" w:h="16839" w:code="9"/>
          <w:pgMar w:top="1134" w:right="1417" w:bottom="1134" w:left="1417" w:header="709" w:footer="709" w:gutter="0"/>
          <w:pgNumType w:start="1"/>
          <w:cols w:space="720"/>
          <w:docGrid w:linePitch="360"/>
        </w:sectPr>
      </w:pPr>
    </w:p>
    <w:p>
      <w:pPr>
        <w:widowControl/>
        <w:tabs>
          <w:tab w:val="center" w:pos="4536"/>
        </w:tabs>
        <w:suppressAutoHyphens/>
        <w:spacing w:line="240" w:lineRule="auto"/>
        <w:jc w:val="center"/>
        <w:rPr>
          <w:rFonts w:eastAsiaTheme="minorHAnsi"/>
          <w:b/>
          <w:bCs/>
          <w:noProof/>
          <w:szCs w:val="24"/>
          <w:u w:val="single"/>
          <w:lang w:val="fr-CA" w:eastAsia="en-US"/>
        </w:rPr>
      </w:pPr>
      <w:bookmarkStart w:id="1" w:name="_GoBack"/>
      <w:bookmarkEnd w:id="1"/>
      <w:r>
        <w:rPr>
          <w:rFonts w:eastAsiaTheme="minorHAnsi"/>
          <w:b/>
          <w:bCs/>
          <w:noProof/>
          <w:szCs w:val="24"/>
          <w:u w:val="single"/>
          <w:lang w:val="fr-CA" w:eastAsia="en-US"/>
        </w:rPr>
        <w:lastRenderedPageBreak/>
        <w:t>ANNEXE III</w:t>
      </w:r>
    </w:p>
    <w:p>
      <w:pPr>
        <w:widowControl/>
        <w:tabs>
          <w:tab w:val="center" w:pos="4536"/>
        </w:tabs>
        <w:suppressAutoHyphens/>
        <w:spacing w:line="240" w:lineRule="auto"/>
        <w:jc w:val="center"/>
        <w:rPr>
          <w:rFonts w:eastAsiaTheme="minorHAnsi"/>
          <w:b/>
          <w:bCs/>
          <w:noProof/>
          <w:szCs w:val="24"/>
          <w:u w:val="single"/>
          <w:lang w:val="fr-CA" w:eastAsia="en-US"/>
        </w:rPr>
      </w:pPr>
    </w:p>
    <w:p>
      <w:pPr>
        <w:widowControl/>
        <w:tabs>
          <w:tab w:val="center" w:pos="4536"/>
        </w:tabs>
        <w:suppressAutoHyphens/>
        <w:spacing w:line="240" w:lineRule="auto"/>
        <w:jc w:val="center"/>
        <w:rPr>
          <w:rFonts w:eastAsiaTheme="minorHAnsi"/>
          <w:b/>
          <w:bCs/>
          <w:noProof/>
          <w:szCs w:val="24"/>
          <w:u w:val="single"/>
          <w:lang w:val="fr-CA" w:eastAsia="en-US"/>
        </w:rPr>
      </w:pPr>
    </w:p>
    <w:p>
      <w:pPr>
        <w:widowControl/>
        <w:tabs>
          <w:tab w:val="center" w:pos="4536"/>
        </w:tabs>
        <w:suppressAutoHyphens/>
        <w:spacing w:line="240" w:lineRule="auto"/>
        <w:jc w:val="center"/>
        <w:rPr>
          <w:rFonts w:eastAsiaTheme="minorHAnsi"/>
          <w:b/>
          <w:bCs/>
          <w:noProof/>
          <w:szCs w:val="24"/>
          <w:lang w:val="fr-CA" w:eastAsia="en-US"/>
        </w:rPr>
      </w:pPr>
      <w:r>
        <w:rPr>
          <w:rFonts w:eastAsiaTheme="minorHAnsi"/>
          <w:b/>
          <w:bCs/>
          <w:noProof/>
          <w:szCs w:val="24"/>
          <w:lang w:val="fr-CA" w:eastAsia="en-US"/>
        </w:rPr>
        <w:t>Liste du Canada</w:t>
      </w:r>
    </w:p>
    <w:p>
      <w:pPr>
        <w:widowControl/>
        <w:tabs>
          <w:tab w:val="center" w:pos="4536"/>
        </w:tabs>
        <w:suppressAutoHyphens/>
        <w:spacing w:line="240" w:lineRule="auto"/>
        <w:jc w:val="center"/>
        <w:rPr>
          <w:rFonts w:eastAsiaTheme="minorHAnsi"/>
          <w:b/>
          <w:bCs/>
          <w:noProof/>
          <w:szCs w:val="24"/>
          <w:lang w:val="fr-CA" w:eastAsia="en-US"/>
        </w:rPr>
      </w:pPr>
    </w:p>
    <w:p>
      <w:pPr>
        <w:widowControl/>
        <w:tabs>
          <w:tab w:val="center" w:pos="4536"/>
        </w:tabs>
        <w:suppressAutoHyphens/>
        <w:spacing w:line="240" w:lineRule="auto"/>
        <w:jc w:val="center"/>
        <w:rPr>
          <w:rFonts w:eastAsiaTheme="minorHAnsi"/>
          <w:b/>
          <w:bCs/>
          <w:noProof/>
          <w:szCs w:val="24"/>
          <w:lang w:val="fr-CA" w:eastAsia="en-US"/>
        </w:rPr>
      </w:pPr>
      <w:r>
        <w:rPr>
          <w:rFonts w:eastAsiaTheme="minorHAnsi"/>
          <w:b/>
          <w:bCs/>
          <w:noProof/>
          <w:szCs w:val="24"/>
          <w:lang w:val="fr-CA" w:eastAsia="en-US"/>
        </w:rPr>
        <w:t>Notes explicatives</w:t>
      </w:r>
    </w:p>
    <w:p>
      <w:pPr>
        <w:widowControl/>
        <w:tabs>
          <w:tab w:val="center" w:pos="4536"/>
        </w:tabs>
        <w:suppressAutoHyphens/>
        <w:spacing w:line="240" w:lineRule="auto"/>
        <w:jc w:val="center"/>
        <w:rPr>
          <w:rFonts w:eastAsiaTheme="minorHAnsi"/>
          <w:b/>
          <w:bCs/>
          <w:noProof/>
          <w:szCs w:val="24"/>
          <w:lang w:val="fr-CA" w:eastAsia="en-US"/>
        </w:rPr>
      </w:pPr>
    </w:p>
    <w:p>
      <w:pPr>
        <w:widowControl/>
        <w:spacing w:line="240" w:lineRule="auto"/>
        <w:ind w:left="567" w:hanging="567"/>
        <w:rPr>
          <w:rFonts w:eastAsiaTheme="minorHAnsi"/>
          <w:noProof/>
          <w:szCs w:val="22"/>
          <w:lang w:val="fr-CA" w:eastAsia="en-US"/>
        </w:rPr>
      </w:pPr>
      <w:r>
        <w:rPr>
          <w:rFonts w:eastAsiaTheme="minorHAnsi"/>
          <w:noProof/>
          <w:szCs w:val="22"/>
          <w:lang w:val="fr-CA" w:eastAsia="en-US"/>
        </w:rPr>
        <w:t>1.</w:t>
      </w:r>
      <w:r>
        <w:rPr>
          <w:rFonts w:eastAsiaTheme="minorHAnsi"/>
          <w:noProof/>
          <w:szCs w:val="22"/>
          <w:lang w:val="fr-CA" w:eastAsia="en-US"/>
        </w:rPr>
        <w:tab/>
        <w:t>La liste du Canada jointe à la présente annexe énonce ce qui suit :</w:t>
      </w:r>
    </w:p>
    <w:p>
      <w:pPr>
        <w:widowControl/>
        <w:spacing w:line="240" w:lineRule="auto"/>
        <w:ind w:left="567" w:hanging="567"/>
        <w:rPr>
          <w:rFonts w:eastAsiaTheme="minorHAnsi"/>
          <w:noProof/>
          <w:szCs w:val="22"/>
          <w:lang w:val="fr-CA" w:eastAsia="en-US"/>
        </w:rPr>
      </w:pPr>
    </w:p>
    <w:p>
      <w:pPr>
        <w:widowControl/>
        <w:spacing w:line="240" w:lineRule="auto"/>
        <w:ind w:left="1134" w:hanging="567"/>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des notes introductives qui limitent ou précisent les engagements du Canada en ce qui concerne les obligations décrites aux alinéas b) et c);</w:t>
      </w:r>
    </w:p>
    <w:p>
      <w:pPr>
        <w:widowControl/>
        <w:spacing w:line="240" w:lineRule="auto"/>
        <w:ind w:left="1134" w:hanging="567"/>
        <w:rPr>
          <w:rFonts w:eastAsiaTheme="minorHAnsi"/>
          <w:noProof/>
          <w:szCs w:val="22"/>
          <w:lang w:val="fr-CA" w:eastAsia="en-US"/>
        </w:rPr>
      </w:pPr>
    </w:p>
    <w:p>
      <w:pPr>
        <w:widowControl/>
        <w:spacing w:line="240" w:lineRule="auto"/>
        <w:ind w:left="1134" w:hanging="567"/>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à la section A, les réserves formulées par le Canada, conformément aux articles 13.10.1 et 13.10.2 (Réserves et exceptions), au regard d’une mesure existante qui n’est pas conforme aux obligations imposées par :</w:t>
      </w:r>
    </w:p>
    <w:p>
      <w:pPr>
        <w:widowControl/>
        <w:spacing w:line="240" w:lineRule="auto"/>
        <w:ind w:left="1701" w:hanging="567"/>
        <w:rPr>
          <w:rFonts w:eastAsiaTheme="minorHAnsi"/>
          <w:noProof/>
          <w:szCs w:val="22"/>
          <w:lang w:val="fr-CA" w:eastAsia="en-US"/>
        </w:rPr>
      </w:pPr>
    </w:p>
    <w:p>
      <w:pPr>
        <w:widowControl/>
        <w:spacing w:line="240" w:lineRule="auto"/>
        <w:ind w:left="1701" w:hanging="567"/>
        <w:rPr>
          <w:rFonts w:eastAsiaTheme="minorHAnsi"/>
          <w:noProof/>
          <w:szCs w:val="22"/>
          <w:lang w:val="fr-CA" w:eastAsia="en-US"/>
        </w:rPr>
      </w:pPr>
      <w:r>
        <w:rPr>
          <w:rFonts w:eastAsiaTheme="minorHAnsi"/>
          <w:noProof/>
          <w:szCs w:val="22"/>
          <w:lang w:val="fr-CA" w:eastAsia="en-US"/>
        </w:rPr>
        <w:t>i)</w:t>
      </w:r>
      <w:r>
        <w:rPr>
          <w:rFonts w:eastAsiaTheme="minorHAnsi"/>
          <w:noProof/>
          <w:szCs w:val="22"/>
          <w:lang w:val="fr-CA" w:eastAsia="en-US"/>
        </w:rPr>
        <w:tab/>
        <w:t>l’article 13.3 (Traitement national),</w:t>
      </w:r>
    </w:p>
    <w:p>
      <w:pPr>
        <w:widowControl/>
        <w:spacing w:line="240" w:lineRule="auto"/>
        <w:ind w:left="1701" w:hanging="567"/>
        <w:rPr>
          <w:rFonts w:eastAsiaTheme="minorHAnsi"/>
          <w:noProof/>
          <w:szCs w:val="22"/>
          <w:lang w:val="fr-CA" w:eastAsia="en-US"/>
        </w:rPr>
      </w:pPr>
    </w:p>
    <w:p>
      <w:pPr>
        <w:widowControl/>
        <w:spacing w:line="240" w:lineRule="auto"/>
        <w:ind w:left="1701" w:hanging="567"/>
        <w:rPr>
          <w:rFonts w:eastAsiaTheme="minorHAnsi"/>
          <w:noProof/>
          <w:szCs w:val="22"/>
          <w:lang w:val="fr-CA" w:eastAsia="en-US"/>
        </w:rPr>
      </w:pPr>
      <w:r>
        <w:rPr>
          <w:rFonts w:eastAsiaTheme="minorHAnsi"/>
          <w:noProof/>
          <w:szCs w:val="22"/>
          <w:lang w:val="fr-CA" w:eastAsia="en-US"/>
        </w:rPr>
        <w:t>ii)</w:t>
      </w:r>
      <w:r>
        <w:rPr>
          <w:rFonts w:eastAsiaTheme="minorHAnsi"/>
          <w:noProof/>
          <w:szCs w:val="22"/>
          <w:lang w:val="fr-CA" w:eastAsia="en-US"/>
        </w:rPr>
        <w:tab/>
        <w:t>l’article 13.4 (Traitement de la nation la plus favorisée),</w:t>
      </w:r>
    </w:p>
    <w:p>
      <w:pPr>
        <w:widowControl/>
        <w:spacing w:line="240" w:lineRule="auto"/>
        <w:ind w:left="1701" w:hanging="567"/>
        <w:rPr>
          <w:rFonts w:eastAsiaTheme="minorHAnsi"/>
          <w:noProof/>
          <w:szCs w:val="22"/>
          <w:lang w:val="fr-CA" w:eastAsia="en-US"/>
        </w:rPr>
      </w:pPr>
    </w:p>
    <w:p>
      <w:pPr>
        <w:widowControl/>
        <w:spacing w:line="240" w:lineRule="auto"/>
        <w:ind w:left="1701" w:hanging="567"/>
        <w:rPr>
          <w:rFonts w:eastAsiaTheme="minorHAnsi"/>
          <w:noProof/>
          <w:szCs w:val="22"/>
          <w:lang w:val="fr-CA" w:eastAsia="en-US"/>
        </w:rPr>
      </w:pPr>
      <w:r>
        <w:rPr>
          <w:rFonts w:eastAsiaTheme="minorHAnsi"/>
          <w:noProof/>
          <w:szCs w:val="22"/>
          <w:lang w:val="fr-CA" w:eastAsia="en-US"/>
        </w:rPr>
        <w:t>iii)</w:t>
      </w:r>
      <w:r>
        <w:rPr>
          <w:rFonts w:eastAsiaTheme="minorHAnsi"/>
          <w:noProof/>
          <w:szCs w:val="22"/>
          <w:lang w:val="fr-CA" w:eastAsia="en-US"/>
        </w:rPr>
        <w:tab/>
        <w:t>l’article 13.6 (Accès aux marchés),</w:t>
      </w:r>
    </w:p>
    <w:p>
      <w:pPr>
        <w:widowControl/>
        <w:spacing w:line="240" w:lineRule="auto"/>
        <w:ind w:left="1701" w:hanging="567"/>
        <w:rPr>
          <w:rFonts w:eastAsiaTheme="minorHAnsi"/>
          <w:noProof/>
          <w:szCs w:val="22"/>
          <w:lang w:val="fr-CA" w:eastAsia="en-US"/>
        </w:rPr>
      </w:pPr>
    </w:p>
    <w:p>
      <w:pPr>
        <w:widowControl/>
        <w:spacing w:line="240" w:lineRule="auto"/>
        <w:ind w:left="1701" w:hanging="567"/>
        <w:rPr>
          <w:rFonts w:eastAsiaTheme="minorHAnsi"/>
          <w:noProof/>
          <w:szCs w:val="22"/>
          <w:lang w:val="fr-CA" w:eastAsia="en-US"/>
        </w:rPr>
      </w:pPr>
      <w:r>
        <w:rPr>
          <w:rFonts w:eastAsiaTheme="minorHAnsi"/>
          <w:noProof/>
          <w:szCs w:val="22"/>
          <w:lang w:val="fr-CA" w:eastAsia="en-US"/>
        </w:rPr>
        <w:t>iv)</w:t>
      </w:r>
      <w:r>
        <w:rPr>
          <w:rFonts w:eastAsiaTheme="minorHAnsi"/>
          <w:noProof/>
          <w:szCs w:val="22"/>
          <w:lang w:val="fr-CA" w:eastAsia="en-US"/>
        </w:rPr>
        <w:tab/>
        <w:t xml:space="preserve">l’article 13.7 (Fourniture transfrontières des services financiers), </w:t>
      </w:r>
    </w:p>
    <w:p>
      <w:pPr>
        <w:widowControl/>
        <w:spacing w:line="240" w:lineRule="auto"/>
        <w:ind w:left="1701" w:hanging="567"/>
        <w:rPr>
          <w:rFonts w:eastAsiaTheme="minorHAnsi"/>
          <w:noProof/>
          <w:szCs w:val="22"/>
          <w:lang w:val="fr-CA" w:eastAsia="en-US"/>
        </w:rPr>
      </w:pPr>
    </w:p>
    <w:p>
      <w:pPr>
        <w:widowControl/>
        <w:spacing w:line="240" w:lineRule="auto"/>
        <w:ind w:left="1701" w:hanging="567"/>
        <w:rPr>
          <w:rFonts w:eastAsiaTheme="minorHAnsi"/>
          <w:noProof/>
          <w:szCs w:val="22"/>
          <w:lang w:val="fr-CA" w:eastAsia="en-US"/>
        </w:rPr>
      </w:pPr>
      <w:r>
        <w:rPr>
          <w:rFonts w:eastAsiaTheme="minorHAnsi"/>
          <w:noProof/>
          <w:szCs w:val="22"/>
          <w:lang w:val="fr-CA" w:eastAsia="en-US"/>
        </w:rPr>
        <w:t>v)</w:t>
      </w:r>
      <w:r>
        <w:rPr>
          <w:rFonts w:eastAsiaTheme="minorHAnsi"/>
          <w:noProof/>
          <w:szCs w:val="22"/>
          <w:lang w:val="fr-CA" w:eastAsia="en-US"/>
        </w:rPr>
        <w:tab/>
        <w:t xml:space="preserve">l’article 13.8 (Dirigeants et conseils d’administration); </w:t>
      </w:r>
    </w:p>
    <w:p>
      <w:pPr>
        <w:widowControl/>
        <w:spacing w:line="240" w:lineRule="auto"/>
        <w:rPr>
          <w:rFonts w:eastAsiaTheme="minorHAnsi"/>
          <w:noProof/>
          <w:szCs w:val="22"/>
          <w:lang w:val="fr-CA" w:eastAsia="en-US"/>
        </w:rPr>
      </w:pPr>
      <w:r>
        <w:rPr>
          <w:rFonts w:eastAsiaTheme="minorHAnsi"/>
          <w:noProof/>
          <w:szCs w:val="22"/>
          <w:lang w:val="fr-CA" w:eastAsia="en-US"/>
        </w:rPr>
        <w:br w:type="page"/>
      </w:r>
    </w:p>
    <w:p>
      <w:pPr>
        <w:widowControl/>
        <w:spacing w:line="240" w:lineRule="auto"/>
        <w:ind w:left="1134" w:hanging="567"/>
        <w:rPr>
          <w:rFonts w:eastAsiaTheme="minorHAnsi"/>
          <w:noProof/>
          <w:szCs w:val="24"/>
          <w:lang w:val="fr-CA" w:eastAsia="en-US"/>
        </w:rPr>
      </w:pPr>
      <w:r>
        <w:rPr>
          <w:rFonts w:eastAsiaTheme="minorHAnsi"/>
          <w:noProof/>
          <w:szCs w:val="24"/>
          <w:lang w:val="fr-CA" w:eastAsia="en-US"/>
        </w:rPr>
        <w:t>c)</w:t>
      </w:r>
      <w:r>
        <w:rPr>
          <w:rFonts w:eastAsiaTheme="minorHAnsi"/>
          <w:noProof/>
          <w:szCs w:val="24"/>
          <w:lang w:val="fr-CA" w:eastAsia="en-US"/>
        </w:rPr>
        <w:tab/>
        <w:t xml:space="preserve">à la section B, les réserves formulées par le Canada, conformément à l’article 13.10.3 (Réserves et exceptions), pour des mesures que le Canada peut adopter ou maintenir qui ne se conforment pas aux obligations imposées par les articles 13.3 (Traitement national), 13.4 (Traitement de la nation la plus favorisée), 13.6 (Accès aux marchés), 13.7 (Fourniture transfrontières des services financiers) ou 13.8 (Dirigeants et conseils d’administration). </w:t>
      </w:r>
    </w:p>
    <w:p>
      <w:pPr>
        <w:widowControl/>
        <w:spacing w:line="240" w:lineRule="auto"/>
        <w:ind w:left="1134" w:hanging="567"/>
        <w:rPr>
          <w:rFonts w:eastAsiaTheme="minorHAnsi"/>
          <w:noProof/>
          <w:szCs w:val="24"/>
          <w:lang w:val="fr-CA" w:eastAsia="en-US"/>
        </w:rPr>
      </w:pPr>
    </w:p>
    <w:p>
      <w:pPr>
        <w:widowControl/>
        <w:spacing w:line="240" w:lineRule="auto"/>
        <w:ind w:left="567" w:hanging="567"/>
        <w:rPr>
          <w:rFonts w:eastAsiaTheme="minorHAnsi"/>
          <w:noProof/>
          <w:szCs w:val="24"/>
          <w:lang w:val="fr-CA" w:eastAsia="en-US"/>
        </w:rPr>
      </w:pPr>
      <w:r>
        <w:rPr>
          <w:rFonts w:eastAsiaTheme="minorHAnsi"/>
          <w:noProof/>
          <w:szCs w:val="24"/>
          <w:lang w:val="fr-CA" w:eastAsia="en-US"/>
        </w:rPr>
        <w:t>2.</w:t>
      </w:r>
      <w:r>
        <w:rPr>
          <w:rFonts w:eastAsiaTheme="minorHAnsi"/>
          <w:noProof/>
          <w:szCs w:val="24"/>
          <w:lang w:val="fr-CA" w:eastAsia="en-US"/>
        </w:rPr>
        <w:tab/>
        <w:t>Chaque réserve de la section A énonce les éléments suivants :</w:t>
      </w:r>
    </w:p>
    <w:p>
      <w:pPr>
        <w:widowControl/>
        <w:spacing w:line="240" w:lineRule="auto"/>
        <w:ind w:left="1134" w:hanging="567"/>
        <w:rPr>
          <w:rFonts w:eastAsiaTheme="minorHAnsi"/>
          <w:bCs/>
          <w:noProof/>
          <w:szCs w:val="24"/>
          <w:lang w:val="fr-CA" w:eastAsia="en-US"/>
        </w:rPr>
      </w:pPr>
    </w:p>
    <w:p>
      <w:pPr>
        <w:widowControl/>
        <w:spacing w:line="240" w:lineRule="auto"/>
        <w:ind w:left="1134" w:hanging="567"/>
        <w:rPr>
          <w:rFonts w:eastAsiaTheme="minorHAnsi"/>
          <w:bCs/>
          <w:noProof/>
          <w:szCs w:val="24"/>
          <w:lang w:val="fr-CA" w:eastAsia="en-US"/>
        </w:rPr>
      </w:pPr>
      <w:r>
        <w:rPr>
          <w:rFonts w:eastAsiaTheme="minorHAnsi"/>
          <w:bCs/>
          <w:noProof/>
          <w:szCs w:val="24"/>
          <w:lang w:val="fr-CA" w:eastAsia="en-US"/>
        </w:rPr>
        <w:t>a)</w:t>
      </w:r>
      <w:r>
        <w:rPr>
          <w:rFonts w:eastAsiaTheme="minorHAnsi"/>
          <w:bCs/>
          <w:noProof/>
          <w:szCs w:val="24"/>
          <w:lang w:val="fr-CA" w:eastAsia="en-US"/>
        </w:rPr>
        <w:tab/>
      </w:r>
      <w:r>
        <w:rPr>
          <w:rFonts w:eastAsiaTheme="minorHAnsi"/>
          <w:b/>
          <w:bCs/>
          <w:noProof/>
          <w:szCs w:val="24"/>
          <w:lang w:val="fr-CA" w:eastAsia="en-US"/>
        </w:rPr>
        <w:t>Secteur</w:t>
      </w:r>
      <w:r>
        <w:rPr>
          <w:rFonts w:eastAsiaTheme="minorHAnsi"/>
          <w:noProof/>
          <w:szCs w:val="24"/>
          <w:lang w:val="fr-CA" w:eastAsia="en-US"/>
        </w:rPr>
        <w:t xml:space="preserve"> renvoie au secteur général visé par la réserve;</w:t>
      </w:r>
    </w:p>
    <w:p>
      <w:pPr>
        <w:widowControl/>
        <w:spacing w:line="240" w:lineRule="auto"/>
        <w:ind w:left="1134" w:hanging="567"/>
        <w:rPr>
          <w:rFonts w:eastAsiaTheme="minorHAnsi"/>
          <w:bCs/>
          <w:noProof/>
          <w:szCs w:val="24"/>
          <w:lang w:val="fr-CA" w:eastAsia="en-US"/>
        </w:rPr>
      </w:pPr>
    </w:p>
    <w:p>
      <w:pPr>
        <w:widowControl/>
        <w:spacing w:line="240" w:lineRule="auto"/>
        <w:ind w:left="1134" w:hanging="567"/>
        <w:rPr>
          <w:rFonts w:eastAsiaTheme="minorHAnsi"/>
          <w:bCs/>
          <w:noProof/>
          <w:szCs w:val="24"/>
          <w:lang w:val="fr-CA" w:eastAsia="en-US"/>
        </w:rPr>
      </w:pPr>
      <w:r>
        <w:rPr>
          <w:rFonts w:eastAsiaTheme="minorHAnsi"/>
          <w:bCs/>
          <w:noProof/>
          <w:szCs w:val="24"/>
          <w:lang w:val="fr-CA" w:eastAsia="en-US"/>
        </w:rPr>
        <w:t>b)</w:t>
      </w:r>
      <w:r>
        <w:rPr>
          <w:rFonts w:eastAsiaTheme="minorHAnsi"/>
          <w:bCs/>
          <w:noProof/>
          <w:szCs w:val="24"/>
          <w:lang w:val="fr-CA" w:eastAsia="en-US"/>
        </w:rPr>
        <w:tab/>
      </w:r>
      <w:r>
        <w:rPr>
          <w:rFonts w:eastAsiaTheme="minorHAnsi"/>
          <w:b/>
          <w:bCs/>
          <w:noProof/>
          <w:szCs w:val="24"/>
          <w:lang w:val="fr-CA" w:eastAsia="en-US"/>
        </w:rPr>
        <w:t>Sous-secteur</w:t>
      </w:r>
      <w:r>
        <w:rPr>
          <w:rFonts w:eastAsiaTheme="minorHAnsi"/>
          <w:noProof/>
          <w:szCs w:val="24"/>
          <w:lang w:val="fr-CA" w:eastAsia="en-US"/>
        </w:rPr>
        <w:t xml:space="preserve"> renvoie au secteur particulier visé par la réserve;</w:t>
      </w:r>
    </w:p>
    <w:p>
      <w:pPr>
        <w:widowControl/>
        <w:spacing w:line="240" w:lineRule="auto"/>
        <w:ind w:left="1134" w:hanging="567"/>
        <w:rPr>
          <w:rFonts w:eastAsiaTheme="minorHAnsi"/>
          <w:bCs/>
          <w:noProof/>
          <w:szCs w:val="24"/>
          <w:lang w:val="fr-CA" w:eastAsia="en-US"/>
        </w:rPr>
      </w:pPr>
    </w:p>
    <w:p>
      <w:pPr>
        <w:widowControl/>
        <w:spacing w:line="240" w:lineRule="auto"/>
        <w:ind w:left="1134" w:hanging="567"/>
        <w:rPr>
          <w:rFonts w:eastAsiaTheme="minorHAnsi"/>
          <w:bCs/>
          <w:noProof/>
          <w:szCs w:val="24"/>
          <w:lang w:val="fr-CA" w:eastAsia="en-US"/>
        </w:rPr>
      </w:pPr>
      <w:r>
        <w:rPr>
          <w:rFonts w:eastAsiaTheme="minorHAnsi"/>
          <w:bCs/>
          <w:noProof/>
          <w:szCs w:val="24"/>
          <w:lang w:val="fr-CA" w:eastAsia="en-US"/>
        </w:rPr>
        <w:t>c)</w:t>
      </w:r>
      <w:r>
        <w:rPr>
          <w:rFonts w:eastAsiaTheme="minorHAnsi"/>
          <w:bCs/>
          <w:noProof/>
          <w:szCs w:val="24"/>
          <w:lang w:val="fr-CA" w:eastAsia="en-US"/>
        </w:rPr>
        <w:tab/>
      </w:r>
      <w:r>
        <w:rPr>
          <w:rFonts w:eastAsiaTheme="minorHAnsi"/>
          <w:b/>
          <w:bCs/>
          <w:noProof/>
          <w:szCs w:val="24"/>
          <w:lang w:val="fr-CA" w:eastAsia="en-US"/>
        </w:rPr>
        <w:t xml:space="preserve">Type de réserve </w:t>
      </w:r>
      <w:r>
        <w:rPr>
          <w:rFonts w:eastAsiaTheme="minorHAnsi"/>
          <w:noProof/>
          <w:szCs w:val="24"/>
          <w:lang w:val="fr-CA" w:eastAsia="en-US"/>
        </w:rPr>
        <w:t>précise l’obligation mentionnée à l’alinéa 1b) à l’égard de laquelle la réserve est formulée;</w:t>
      </w:r>
    </w:p>
    <w:p>
      <w:pPr>
        <w:widowControl/>
        <w:spacing w:line="240" w:lineRule="auto"/>
        <w:ind w:left="1134" w:hanging="567"/>
        <w:rPr>
          <w:rFonts w:eastAsiaTheme="minorHAnsi"/>
          <w:bCs/>
          <w:noProof/>
          <w:szCs w:val="24"/>
          <w:lang w:val="fr-CA" w:eastAsia="en-US"/>
        </w:rPr>
      </w:pPr>
    </w:p>
    <w:p>
      <w:pPr>
        <w:widowControl/>
        <w:spacing w:line="240" w:lineRule="auto"/>
        <w:ind w:left="1134" w:hanging="567"/>
        <w:rPr>
          <w:rFonts w:eastAsiaTheme="minorHAnsi"/>
          <w:bCs/>
          <w:noProof/>
          <w:szCs w:val="24"/>
          <w:lang w:val="fr-CA" w:eastAsia="en-US"/>
        </w:rPr>
      </w:pPr>
      <w:r>
        <w:rPr>
          <w:rFonts w:eastAsiaTheme="minorHAnsi"/>
          <w:bCs/>
          <w:noProof/>
          <w:szCs w:val="24"/>
          <w:lang w:val="fr-CA" w:eastAsia="en-US"/>
        </w:rPr>
        <w:t>d)</w:t>
      </w:r>
      <w:r>
        <w:rPr>
          <w:rFonts w:eastAsiaTheme="minorHAnsi"/>
          <w:bCs/>
          <w:noProof/>
          <w:szCs w:val="24"/>
          <w:lang w:val="fr-CA" w:eastAsia="en-US"/>
        </w:rPr>
        <w:tab/>
      </w:r>
      <w:r>
        <w:rPr>
          <w:rFonts w:eastAsiaTheme="minorHAnsi"/>
          <w:b/>
          <w:bCs/>
          <w:noProof/>
          <w:szCs w:val="24"/>
          <w:lang w:val="fr-CA" w:eastAsia="en-US"/>
        </w:rPr>
        <w:t xml:space="preserve">Niveau de gouvernement </w:t>
      </w:r>
      <w:r>
        <w:rPr>
          <w:rFonts w:eastAsiaTheme="minorHAnsi"/>
          <w:noProof/>
          <w:szCs w:val="24"/>
          <w:lang w:val="fr-CA" w:eastAsia="en-US"/>
        </w:rPr>
        <w:t>indique le niveau de gouvernement qui maintient la mesure à l’égard de laquelle la réserve est formulée;</w:t>
      </w:r>
    </w:p>
    <w:p>
      <w:pPr>
        <w:widowControl/>
        <w:spacing w:line="240" w:lineRule="auto"/>
        <w:ind w:left="1134" w:hanging="567"/>
        <w:rPr>
          <w:rFonts w:eastAsiaTheme="minorHAnsi"/>
          <w:noProof/>
          <w:szCs w:val="24"/>
          <w:lang w:val="fr-CA" w:eastAsia="en-US"/>
        </w:rPr>
      </w:pPr>
    </w:p>
    <w:p>
      <w:pPr>
        <w:widowControl/>
        <w:spacing w:line="240" w:lineRule="auto"/>
        <w:ind w:left="1134" w:hanging="567"/>
        <w:rPr>
          <w:rFonts w:eastAsiaTheme="minorHAnsi"/>
          <w:noProof/>
          <w:szCs w:val="24"/>
          <w:lang w:val="fr-CA" w:eastAsia="en-US"/>
        </w:rPr>
      </w:pPr>
      <w:r>
        <w:rPr>
          <w:rFonts w:eastAsiaTheme="minorHAnsi"/>
          <w:noProof/>
          <w:szCs w:val="24"/>
          <w:lang w:val="fr-CA" w:eastAsia="en-US"/>
        </w:rPr>
        <w:t>e)</w:t>
      </w:r>
      <w:r>
        <w:rPr>
          <w:rFonts w:eastAsiaTheme="minorHAnsi"/>
          <w:b/>
          <w:bCs/>
          <w:noProof/>
          <w:szCs w:val="24"/>
          <w:lang w:val="fr-CA" w:eastAsia="en-US"/>
        </w:rPr>
        <w:tab/>
        <w:t>Mesures</w:t>
      </w:r>
      <w:r>
        <w:rPr>
          <w:rFonts w:eastAsiaTheme="minorHAnsi"/>
          <w:noProof/>
          <w:szCs w:val="24"/>
          <w:lang w:val="fr-CA" w:eastAsia="en-US"/>
        </w:rPr>
        <w:t xml:space="preserve"> précise les lois, les règlements ou autres mesures, subordonnés, le cas échéant, à l’élément </w:t>
      </w:r>
      <w:r>
        <w:rPr>
          <w:rFonts w:eastAsiaTheme="minorHAnsi"/>
          <w:b/>
          <w:noProof/>
          <w:szCs w:val="24"/>
          <w:lang w:val="fr-CA" w:eastAsia="en-US"/>
        </w:rPr>
        <w:t>Description</w:t>
      </w:r>
      <w:r>
        <w:rPr>
          <w:rFonts w:eastAsiaTheme="minorHAnsi"/>
          <w:noProof/>
          <w:szCs w:val="24"/>
          <w:lang w:val="fr-CA" w:eastAsia="en-US"/>
        </w:rPr>
        <w:t xml:space="preserve">, à l’égard desquels la réserve est formulée. Une mesure mentionnée sous l’élément </w:t>
      </w:r>
      <w:r>
        <w:rPr>
          <w:rFonts w:eastAsiaTheme="minorHAnsi"/>
          <w:b/>
          <w:noProof/>
          <w:szCs w:val="24"/>
          <w:lang w:val="fr-CA" w:eastAsia="en-US"/>
        </w:rPr>
        <w:t>Mesures</w:t>
      </w:r>
      <w:r>
        <w:rPr>
          <w:rFonts w:eastAsiaTheme="minorHAnsi"/>
          <w:noProof/>
          <w:szCs w:val="24"/>
          <w:lang w:val="fr-CA" w:eastAsia="en-US"/>
        </w:rPr>
        <w:t> :</w:t>
      </w:r>
    </w:p>
    <w:p>
      <w:pPr>
        <w:widowControl/>
        <w:spacing w:line="240" w:lineRule="auto"/>
        <w:ind w:left="1134" w:hanging="567"/>
        <w:rPr>
          <w:rFonts w:eastAsiaTheme="minorHAnsi"/>
          <w:noProof/>
          <w:szCs w:val="24"/>
          <w:lang w:val="fr-CA" w:eastAsia="en-US"/>
        </w:rPr>
      </w:pPr>
    </w:p>
    <w:p>
      <w:pPr>
        <w:widowControl/>
        <w:spacing w:line="240" w:lineRule="auto"/>
        <w:ind w:left="1701" w:hanging="567"/>
        <w:rPr>
          <w:rFonts w:eastAsiaTheme="minorHAnsi"/>
          <w:noProof/>
          <w:szCs w:val="24"/>
          <w:lang w:val="fr-CA" w:eastAsia="en-US"/>
        </w:rPr>
      </w:pPr>
      <w:r>
        <w:rPr>
          <w:rFonts w:eastAsiaTheme="minorHAnsi"/>
          <w:noProof/>
          <w:szCs w:val="24"/>
          <w:lang w:val="fr-CA" w:eastAsia="en-US"/>
        </w:rPr>
        <w:t>i)</w:t>
      </w:r>
      <w:r>
        <w:rPr>
          <w:rFonts w:eastAsiaTheme="minorHAnsi"/>
          <w:noProof/>
          <w:szCs w:val="24"/>
          <w:lang w:val="fr-CA" w:eastAsia="en-US"/>
        </w:rPr>
        <w:tab/>
      </w:r>
      <w:r>
        <w:rPr>
          <w:rFonts w:eastAsiaTheme="minorHAnsi"/>
          <w:noProof/>
          <w:szCs w:val="22"/>
          <w:lang w:val="fr-CA" w:eastAsia="en-US"/>
        </w:rPr>
        <w:t>désigne la mesure telle que modifiée, reconduite ou renouvelée à la date d’entrée en vigueur du présent accord,</w:t>
      </w:r>
    </w:p>
    <w:p>
      <w:pPr>
        <w:widowControl/>
        <w:spacing w:line="240" w:lineRule="auto"/>
        <w:ind w:left="1701" w:hanging="567"/>
        <w:rPr>
          <w:rFonts w:eastAsiaTheme="minorHAnsi"/>
          <w:noProof/>
          <w:szCs w:val="24"/>
          <w:lang w:val="fr-CA" w:eastAsia="en-US"/>
        </w:rPr>
      </w:pPr>
      <w:r>
        <w:rPr>
          <w:rFonts w:eastAsiaTheme="minorHAnsi"/>
          <w:noProof/>
          <w:szCs w:val="24"/>
          <w:lang w:val="fr-CA" w:eastAsia="en-US"/>
        </w:rPr>
        <w:t>ii)</w:t>
      </w:r>
      <w:r>
        <w:rPr>
          <w:rFonts w:eastAsiaTheme="minorHAnsi"/>
          <w:noProof/>
          <w:szCs w:val="24"/>
          <w:lang w:val="fr-CA" w:eastAsia="en-US"/>
        </w:rPr>
        <w:tab/>
        <w:t>comprend toute mesure subordonnée adoptée ou maintenue en application de la mesure et conformément à celle-ci;</w:t>
      </w:r>
    </w:p>
    <w:p>
      <w:pPr>
        <w:widowControl/>
        <w:spacing w:line="240" w:lineRule="auto"/>
        <w:rPr>
          <w:rFonts w:eastAsiaTheme="minorHAnsi"/>
          <w:noProof/>
          <w:szCs w:val="22"/>
          <w:lang w:val="fr-CA" w:eastAsia="en-US"/>
        </w:rPr>
      </w:pPr>
      <w:r>
        <w:rPr>
          <w:rFonts w:eastAsiaTheme="minorHAnsi"/>
          <w:noProof/>
          <w:szCs w:val="22"/>
          <w:lang w:val="fr-CA" w:eastAsia="en-US"/>
        </w:rPr>
        <w:br w:type="page"/>
      </w:r>
    </w:p>
    <w:p>
      <w:pPr>
        <w:widowControl/>
        <w:spacing w:line="240" w:lineRule="auto"/>
        <w:ind w:left="1984" w:hanging="567"/>
        <w:rPr>
          <w:rFonts w:eastAsiaTheme="minorHAnsi"/>
          <w:noProof/>
          <w:szCs w:val="22"/>
          <w:lang w:val="fr-CA" w:eastAsia="en-US"/>
        </w:rPr>
      </w:pPr>
    </w:p>
    <w:p>
      <w:pPr>
        <w:widowControl/>
        <w:spacing w:line="240" w:lineRule="auto"/>
        <w:ind w:left="1134" w:hanging="567"/>
        <w:rPr>
          <w:rFonts w:eastAsiaTheme="minorHAnsi"/>
          <w:noProof/>
          <w:szCs w:val="24"/>
          <w:lang w:val="fr-CA" w:eastAsia="en-US"/>
        </w:rPr>
      </w:pPr>
      <w:r>
        <w:rPr>
          <w:rFonts w:eastAsiaTheme="minorHAnsi"/>
          <w:noProof/>
          <w:szCs w:val="24"/>
          <w:lang w:val="fr-CA" w:eastAsia="en-US"/>
        </w:rPr>
        <w:t>f)</w:t>
      </w:r>
      <w:r>
        <w:rPr>
          <w:rFonts w:eastAsiaTheme="minorHAnsi"/>
          <w:b/>
          <w:bCs/>
          <w:noProof/>
          <w:szCs w:val="24"/>
          <w:lang w:val="fr-CA" w:eastAsia="en-US"/>
        </w:rPr>
        <w:tab/>
        <w:t>Description</w:t>
      </w:r>
      <w:r>
        <w:rPr>
          <w:rFonts w:eastAsiaTheme="minorHAnsi"/>
          <w:noProof/>
          <w:szCs w:val="24"/>
          <w:lang w:val="fr-CA" w:eastAsia="en-US"/>
        </w:rPr>
        <w:t xml:space="preserve"> énonce, le cas échéant, des références pour la libéralisation à la date de l’entrée en vigueur du présent accord conformément aux autres sections de la liste du Canada jointe à la présente annexe et les autres aspects non conformes des mesures existantes à l’égard desquelles la réserve est formulée.</w:t>
      </w:r>
    </w:p>
    <w:p>
      <w:pPr>
        <w:widowControl/>
        <w:spacing w:line="240" w:lineRule="auto"/>
        <w:ind w:left="1134" w:hanging="567"/>
        <w:rPr>
          <w:rFonts w:eastAsiaTheme="minorHAnsi"/>
          <w:noProof/>
          <w:szCs w:val="24"/>
          <w:lang w:val="fr-CA" w:eastAsia="en-US"/>
        </w:rPr>
      </w:pPr>
    </w:p>
    <w:p>
      <w:pPr>
        <w:widowControl/>
        <w:spacing w:line="240" w:lineRule="auto"/>
        <w:ind w:left="567" w:hanging="566"/>
        <w:rPr>
          <w:rFonts w:eastAsiaTheme="minorHAnsi"/>
          <w:noProof/>
          <w:szCs w:val="24"/>
          <w:lang w:val="fr-CA" w:eastAsia="en-US"/>
        </w:rPr>
      </w:pPr>
      <w:r>
        <w:rPr>
          <w:rFonts w:eastAsiaTheme="minorHAnsi"/>
          <w:noProof/>
          <w:szCs w:val="24"/>
          <w:lang w:val="fr-CA" w:eastAsia="en-US"/>
        </w:rPr>
        <w:t>3.</w:t>
      </w:r>
      <w:r>
        <w:rPr>
          <w:rFonts w:eastAsiaTheme="minorHAnsi"/>
          <w:noProof/>
          <w:szCs w:val="24"/>
          <w:lang w:val="fr-CA" w:eastAsia="en-US"/>
        </w:rPr>
        <w:tab/>
        <w:t>Chaque réserve de la section B énonce les éléments suivants :</w:t>
      </w:r>
    </w:p>
    <w:p>
      <w:pPr>
        <w:widowControl/>
        <w:spacing w:line="240" w:lineRule="auto"/>
        <w:ind w:left="1134"/>
        <w:rPr>
          <w:rFonts w:eastAsiaTheme="minorHAnsi"/>
          <w:noProof/>
          <w:szCs w:val="22"/>
          <w:lang w:val="fr-CA" w:eastAsia="en-US"/>
        </w:rPr>
      </w:pPr>
    </w:p>
    <w:p>
      <w:pPr>
        <w:widowControl/>
        <w:spacing w:line="240" w:lineRule="auto"/>
        <w:ind w:left="1134" w:hanging="567"/>
        <w:rPr>
          <w:rFonts w:eastAsiaTheme="minorHAnsi"/>
          <w:noProof/>
          <w:szCs w:val="24"/>
          <w:lang w:val="fr-CA" w:eastAsia="en-US"/>
        </w:rPr>
      </w:pPr>
      <w:r>
        <w:rPr>
          <w:rFonts w:eastAsiaTheme="minorHAnsi"/>
          <w:noProof/>
          <w:szCs w:val="24"/>
          <w:lang w:val="fr-CA" w:eastAsia="en-US"/>
        </w:rPr>
        <w:t>a)</w:t>
      </w:r>
      <w:r>
        <w:rPr>
          <w:rFonts w:eastAsiaTheme="minorHAnsi"/>
          <w:noProof/>
          <w:szCs w:val="24"/>
          <w:lang w:val="fr-CA" w:eastAsia="en-US"/>
        </w:rPr>
        <w:tab/>
      </w:r>
      <w:r>
        <w:rPr>
          <w:rFonts w:eastAsiaTheme="minorHAnsi"/>
          <w:b/>
          <w:noProof/>
          <w:szCs w:val="24"/>
          <w:lang w:val="fr-CA" w:eastAsia="en-US"/>
        </w:rPr>
        <w:t>Secteur</w:t>
      </w:r>
      <w:r>
        <w:rPr>
          <w:rFonts w:eastAsiaTheme="minorHAnsi"/>
          <w:noProof/>
          <w:szCs w:val="24"/>
          <w:lang w:val="fr-CA" w:eastAsia="en-US"/>
        </w:rPr>
        <w:t xml:space="preserve"> renvoie au secteur général visé par la réserve;</w:t>
      </w:r>
    </w:p>
    <w:p>
      <w:pPr>
        <w:widowControl/>
        <w:spacing w:line="240" w:lineRule="auto"/>
        <w:ind w:left="1134" w:hanging="567"/>
        <w:rPr>
          <w:rFonts w:eastAsiaTheme="minorHAnsi"/>
          <w:noProof/>
          <w:szCs w:val="24"/>
          <w:lang w:val="fr-CA" w:eastAsia="en-US"/>
        </w:rPr>
      </w:pPr>
    </w:p>
    <w:p>
      <w:pPr>
        <w:widowControl/>
        <w:spacing w:line="240" w:lineRule="auto"/>
        <w:ind w:left="1134" w:hanging="567"/>
        <w:rPr>
          <w:rFonts w:eastAsiaTheme="minorHAnsi"/>
          <w:noProof/>
          <w:szCs w:val="24"/>
          <w:lang w:val="fr-CA" w:eastAsia="en-US"/>
        </w:rPr>
      </w:pPr>
      <w:r>
        <w:rPr>
          <w:rFonts w:eastAsiaTheme="minorHAnsi"/>
          <w:noProof/>
          <w:szCs w:val="24"/>
          <w:lang w:val="fr-CA" w:eastAsia="en-US"/>
        </w:rPr>
        <w:t>b)</w:t>
      </w:r>
      <w:r>
        <w:rPr>
          <w:rFonts w:eastAsiaTheme="minorHAnsi"/>
          <w:noProof/>
          <w:szCs w:val="24"/>
          <w:lang w:val="fr-CA" w:eastAsia="en-US"/>
        </w:rPr>
        <w:tab/>
      </w:r>
      <w:r>
        <w:rPr>
          <w:rFonts w:eastAsiaTheme="minorHAnsi"/>
          <w:b/>
          <w:noProof/>
          <w:szCs w:val="24"/>
          <w:lang w:val="fr-CA" w:eastAsia="en-US"/>
        </w:rPr>
        <w:t>Sous-secteur</w:t>
      </w:r>
      <w:r>
        <w:rPr>
          <w:rFonts w:eastAsiaTheme="minorHAnsi"/>
          <w:noProof/>
          <w:szCs w:val="24"/>
          <w:lang w:val="fr-CA" w:eastAsia="en-US"/>
        </w:rPr>
        <w:t xml:space="preserve"> renvoie au secteur particulier à l’égard duquel la réserve est formulée;</w:t>
      </w:r>
    </w:p>
    <w:p>
      <w:pPr>
        <w:widowControl/>
        <w:spacing w:line="240" w:lineRule="auto"/>
        <w:ind w:left="1134" w:hanging="567"/>
        <w:rPr>
          <w:rFonts w:eastAsiaTheme="minorHAnsi"/>
          <w:noProof/>
          <w:szCs w:val="24"/>
          <w:lang w:val="fr-CA" w:eastAsia="en-US"/>
        </w:rPr>
      </w:pPr>
    </w:p>
    <w:p>
      <w:pPr>
        <w:widowControl/>
        <w:spacing w:line="240" w:lineRule="auto"/>
        <w:ind w:left="1134" w:hanging="567"/>
        <w:rPr>
          <w:rFonts w:eastAsiaTheme="minorHAnsi"/>
          <w:noProof/>
          <w:szCs w:val="24"/>
          <w:lang w:val="fr-CA" w:eastAsia="en-US"/>
        </w:rPr>
      </w:pPr>
      <w:r>
        <w:rPr>
          <w:rFonts w:eastAsiaTheme="minorHAnsi"/>
          <w:noProof/>
          <w:szCs w:val="24"/>
          <w:lang w:val="fr-CA" w:eastAsia="en-US"/>
        </w:rPr>
        <w:t>c)</w:t>
      </w:r>
      <w:r>
        <w:rPr>
          <w:rFonts w:eastAsiaTheme="minorHAnsi"/>
          <w:noProof/>
          <w:szCs w:val="24"/>
          <w:lang w:val="fr-CA" w:eastAsia="en-US"/>
        </w:rPr>
        <w:tab/>
      </w:r>
      <w:r>
        <w:rPr>
          <w:rFonts w:eastAsiaTheme="minorHAnsi"/>
          <w:b/>
          <w:noProof/>
          <w:szCs w:val="24"/>
          <w:lang w:val="fr-CA" w:eastAsia="en-US"/>
        </w:rPr>
        <w:t>Type de réserve</w:t>
      </w:r>
      <w:r>
        <w:rPr>
          <w:rFonts w:eastAsiaTheme="minorHAnsi"/>
          <w:noProof/>
          <w:szCs w:val="24"/>
          <w:lang w:val="fr-CA" w:eastAsia="en-US"/>
        </w:rPr>
        <w:t xml:space="preserve"> précise l’obligation mentionnée à l’alinéa 1c) à l’égard de laquelle la réserve est formulée;</w:t>
      </w:r>
    </w:p>
    <w:p>
      <w:pPr>
        <w:widowControl/>
        <w:spacing w:line="240" w:lineRule="auto"/>
        <w:ind w:left="1134" w:hanging="567"/>
        <w:rPr>
          <w:rFonts w:eastAsiaTheme="minorHAnsi"/>
          <w:noProof/>
          <w:szCs w:val="24"/>
          <w:lang w:val="fr-CA" w:eastAsia="en-US"/>
        </w:rPr>
      </w:pPr>
    </w:p>
    <w:p>
      <w:pPr>
        <w:widowControl/>
        <w:spacing w:line="240" w:lineRule="auto"/>
        <w:ind w:left="1134" w:hanging="567"/>
        <w:rPr>
          <w:rFonts w:eastAsiaTheme="minorHAnsi"/>
          <w:noProof/>
          <w:szCs w:val="24"/>
          <w:lang w:val="fr-CA" w:eastAsia="en-US"/>
        </w:rPr>
      </w:pPr>
      <w:r>
        <w:rPr>
          <w:rFonts w:eastAsiaTheme="minorHAnsi"/>
          <w:noProof/>
          <w:szCs w:val="24"/>
          <w:lang w:val="fr-CA" w:eastAsia="en-US"/>
        </w:rPr>
        <w:t>d)</w:t>
      </w:r>
      <w:r>
        <w:rPr>
          <w:rFonts w:eastAsiaTheme="minorHAnsi"/>
          <w:noProof/>
          <w:szCs w:val="24"/>
          <w:lang w:val="fr-CA" w:eastAsia="en-US"/>
        </w:rPr>
        <w:tab/>
      </w:r>
      <w:r>
        <w:rPr>
          <w:rFonts w:eastAsiaTheme="minorHAnsi"/>
          <w:b/>
          <w:noProof/>
          <w:szCs w:val="24"/>
          <w:lang w:val="fr-CA" w:eastAsia="en-US"/>
        </w:rPr>
        <w:t>Niveau de gouvernement</w:t>
      </w:r>
      <w:r>
        <w:rPr>
          <w:rFonts w:eastAsiaTheme="minorHAnsi"/>
          <w:noProof/>
          <w:szCs w:val="24"/>
          <w:lang w:val="fr-CA" w:eastAsia="en-US"/>
        </w:rPr>
        <w:t xml:space="preserve"> indique le niveau de gouvernement qui maintient la mesure à l’égard de laquelle la réserve est formulée;</w:t>
      </w:r>
    </w:p>
    <w:p>
      <w:pPr>
        <w:widowControl/>
        <w:spacing w:line="240" w:lineRule="auto"/>
        <w:ind w:left="1134" w:hanging="567"/>
        <w:rPr>
          <w:rFonts w:eastAsiaTheme="minorHAnsi"/>
          <w:noProof/>
          <w:szCs w:val="24"/>
          <w:lang w:val="fr-CA" w:eastAsia="en-US"/>
        </w:rPr>
      </w:pPr>
    </w:p>
    <w:p>
      <w:pPr>
        <w:widowControl/>
        <w:spacing w:line="240" w:lineRule="auto"/>
        <w:ind w:left="1134" w:hanging="567"/>
        <w:rPr>
          <w:rFonts w:eastAsiaTheme="minorHAnsi"/>
          <w:noProof/>
          <w:szCs w:val="24"/>
          <w:lang w:val="fr-CA" w:eastAsia="en-US"/>
        </w:rPr>
      </w:pPr>
      <w:r>
        <w:rPr>
          <w:rFonts w:eastAsiaTheme="minorHAnsi"/>
          <w:noProof/>
          <w:szCs w:val="24"/>
          <w:lang w:val="fr-CA" w:eastAsia="en-US"/>
        </w:rPr>
        <w:t>e)</w:t>
      </w:r>
      <w:r>
        <w:rPr>
          <w:rFonts w:eastAsiaTheme="minorHAnsi"/>
          <w:noProof/>
          <w:szCs w:val="24"/>
          <w:lang w:val="fr-CA" w:eastAsia="en-US"/>
        </w:rPr>
        <w:tab/>
      </w:r>
      <w:r>
        <w:rPr>
          <w:rFonts w:eastAsiaTheme="minorHAnsi"/>
          <w:b/>
          <w:noProof/>
          <w:szCs w:val="24"/>
          <w:lang w:val="fr-CA" w:eastAsia="en-US"/>
        </w:rPr>
        <w:t>Description</w:t>
      </w:r>
      <w:r>
        <w:rPr>
          <w:rFonts w:eastAsiaTheme="minorHAnsi"/>
          <w:noProof/>
          <w:szCs w:val="24"/>
          <w:lang w:val="fr-CA" w:eastAsia="en-US"/>
        </w:rPr>
        <w:t xml:space="preserve"> énonce la portée des secteurs, sous-secteurs ou activités visés par la réserve.</w:t>
      </w:r>
    </w:p>
    <w:p>
      <w:pPr>
        <w:widowControl/>
        <w:spacing w:line="240" w:lineRule="auto"/>
        <w:ind w:left="1134" w:hanging="567"/>
        <w:rPr>
          <w:rFonts w:eastAsiaTheme="minorHAnsi"/>
          <w:noProof/>
          <w:szCs w:val="24"/>
          <w:lang w:val="fr-CA" w:eastAsia="en-US"/>
        </w:rPr>
      </w:pPr>
    </w:p>
    <w:p>
      <w:pPr>
        <w:widowControl/>
        <w:spacing w:line="240" w:lineRule="auto"/>
        <w:ind w:left="567" w:hanging="567"/>
        <w:rPr>
          <w:rFonts w:eastAsiaTheme="minorHAnsi"/>
          <w:noProof/>
          <w:szCs w:val="24"/>
          <w:lang w:val="fr-CA" w:eastAsia="en-US"/>
        </w:rPr>
      </w:pPr>
      <w:r>
        <w:rPr>
          <w:rFonts w:eastAsiaTheme="minorHAnsi"/>
          <w:noProof/>
          <w:szCs w:val="24"/>
          <w:lang w:val="fr-CA" w:eastAsia="en-US"/>
        </w:rPr>
        <w:t>4.</w:t>
      </w:r>
      <w:r>
        <w:rPr>
          <w:rFonts w:eastAsiaTheme="minorHAnsi"/>
          <w:noProof/>
          <w:szCs w:val="24"/>
          <w:lang w:val="fr-CA" w:eastAsia="en-US"/>
        </w:rPr>
        <w:tab/>
        <w:t>L’interprétation d’une réserve de la section A tient compte de tous ses éléments. Une réserve est interprétée à la lumière des dispositions pertinentes du chapitre à l’égard desquelles elle est formulée. Si :</w:t>
      </w:r>
    </w:p>
    <w:p>
      <w:pPr>
        <w:widowControl/>
        <w:spacing w:line="240" w:lineRule="auto"/>
        <w:ind w:left="567"/>
        <w:rPr>
          <w:rFonts w:eastAsiaTheme="minorHAnsi"/>
          <w:noProof/>
          <w:szCs w:val="22"/>
          <w:lang w:val="fr-CA" w:eastAsia="en-US"/>
        </w:rPr>
      </w:pPr>
    </w:p>
    <w:p>
      <w:pPr>
        <w:widowControl/>
        <w:spacing w:line="240" w:lineRule="auto"/>
        <w:ind w:left="1134" w:hanging="567"/>
        <w:rPr>
          <w:rFonts w:eastAsiaTheme="minorHAnsi"/>
          <w:noProof/>
          <w:szCs w:val="24"/>
          <w:lang w:val="fr-CA" w:eastAsia="en-US"/>
        </w:rPr>
      </w:pPr>
      <w:r>
        <w:rPr>
          <w:rFonts w:eastAsiaTheme="minorHAnsi"/>
          <w:noProof/>
          <w:szCs w:val="24"/>
          <w:lang w:val="fr-CA" w:eastAsia="en-US"/>
        </w:rPr>
        <w:t>a)</w:t>
      </w:r>
      <w:r>
        <w:rPr>
          <w:rFonts w:eastAsiaTheme="minorHAnsi"/>
          <w:noProof/>
          <w:szCs w:val="24"/>
          <w:lang w:val="fr-CA" w:eastAsia="en-US"/>
        </w:rPr>
        <w:tab/>
        <w:t xml:space="preserve">l’élément </w:t>
      </w:r>
      <w:r>
        <w:rPr>
          <w:rFonts w:eastAsiaTheme="minorHAnsi"/>
          <w:b/>
          <w:noProof/>
          <w:szCs w:val="24"/>
          <w:lang w:val="fr-CA" w:eastAsia="en-US"/>
        </w:rPr>
        <w:t>Mesures</w:t>
      </w:r>
      <w:r>
        <w:rPr>
          <w:rFonts w:eastAsiaTheme="minorHAnsi"/>
          <w:noProof/>
          <w:szCs w:val="24"/>
          <w:lang w:val="fr-CA" w:eastAsia="en-US"/>
        </w:rPr>
        <w:t xml:space="preserve"> est subordonné à une référence particulière prévue à l’élément </w:t>
      </w:r>
      <w:r>
        <w:rPr>
          <w:rFonts w:eastAsiaTheme="minorHAnsi"/>
          <w:b/>
          <w:noProof/>
          <w:szCs w:val="24"/>
          <w:lang w:val="fr-CA" w:eastAsia="en-US"/>
        </w:rPr>
        <w:t>Description</w:t>
      </w:r>
      <w:r>
        <w:rPr>
          <w:rFonts w:eastAsiaTheme="minorHAnsi"/>
          <w:noProof/>
          <w:szCs w:val="24"/>
          <w:lang w:val="fr-CA" w:eastAsia="en-US"/>
        </w:rPr>
        <w:t xml:space="preserve">, l’élément </w:t>
      </w:r>
      <w:r>
        <w:rPr>
          <w:rFonts w:eastAsiaTheme="minorHAnsi"/>
          <w:b/>
          <w:noProof/>
          <w:szCs w:val="24"/>
          <w:lang w:val="fr-CA" w:eastAsia="en-US"/>
        </w:rPr>
        <w:t>Mesures</w:t>
      </w:r>
      <w:r>
        <w:rPr>
          <w:rFonts w:eastAsiaTheme="minorHAnsi"/>
          <w:noProof/>
          <w:szCs w:val="24"/>
          <w:lang w:val="fr-CA" w:eastAsia="en-US"/>
        </w:rPr>
        <w:t xml:space="preserve"> ainsi subordonné l’emporte sur tous les autres éléments; </w:t>
      </w:r>
    </w:p>
    <w:p>
      <w:pPr>
        <w:widowControl/>
        <w:spacing w:line="240" w:lineRule="auto"/>
        <w:ind w:left="1134" w:hanging="567"/>
        <w:rPr>
          <w:rFonts w:eastAsiaTheme="minorHAnsi"/>
          <w:noProof/>
          <w:szCs w:val="24"/>
          <w:lang w:val="fr-CA" w:eastAsia="en-US"/>
        </w:rPr>
      </w:pPr>
    </w:p>
    <w:p>
      <w:pPr>
        <w:widowControl/>
        <w:spacing w:line="240" w:lineRule="auto"/>
        <w:ind w:left="1134" w:hanging="567"/>
        <w:rPr>
          <w:rFonts w:eastAsiaTheme="minorHAnsi"/>
          <w:noProof/>
          <w:szCs w:val="24"/>
          <w:lang w:val="fr-CA" w:eastAsia="en-US"/>
        </w:rPr>
      </w:pPr>
      <w:r>
        <w:rPr>
          <w:rFonts w:eastAsiaTheme="minorHAnsi"/>
          <w:noProof/>
          <w:szCs w:val="24"/>
          <w:lang w:val="fr-CA" w:eastAsia="en-US"/>
        </w:rPr>
        <w:t>b)</w:t>
      </w:r>
      <w:r>
        <w:rPr>
          <w:rFonts w:eastAsiaTheme="minorHAnsi"/>
          <w:noProof/>
          <w:szCs w:val="24"/>
          <w:lang w:val="fr-CA" w:eastAsia="en-US"/>
        </w:rPr>
        <w:tab/>
        <w:t xml:space="preserve">l’élément </w:t>
      </w:r>
      <w:r>
        <w:rPr>
          <w:rFonts w:eastAsiaTheme="minorHAnsi"/>
          <w:b/>
          <w:noProof/>
          <w:szCs w:val="24"/>
          <w:lang w:val="fr-CA" w:eastAsia="en-US"/>
        </w:rPr>
        <w:t xml:space="preserve">Mesures </w:t>
      </w:r>
      <w:r>
        <w:rPr>
          <w:rFonts w:eastAsiaTheme="minorHAnsi"/>
          <w:noProof/>
          <w:szCs w:val="24"/>
          <w:lang w:val="fr-CA" w:eastAsia="en-US"/>
        </w:rPr>
        <w:t xml:space="preserve">n’est pas ainsi subordonné, il l’emporte sur tous les autres éléments, à moins d’une incompatibilité si importante et matérielle entre l’élément </w:t>
      </w:r>
      <w:r>
        <w:rPr>
          <w:rFonts w:eastAsiaTheme="minorHAnsi"/>
          <w:b/>
          <w:noProof/>
          <w:szCs w:val="24"/>
          <w:lang w:val="fr-CA" w:eastAsia="en-US"/>
        </w:rPr>
        <w:t>Mesures</w:t>
      </w:r>
      <w:r>
        <w:rPr>
          <w:rFonts w:eastAsiaTheme="minorHAnsi"/>
          <w:noProof/>
          <w:szCs w:val="24"/>
          <w:lang w:val="fr-CA" w:eastAsia="en-US"/>
        </w:rPr>
        <w:t xml:space="preserve"> et les autres éléments pris dans leur ensemble qu’il ne serait pas raisonnable de conclure que l’élément </w:t>
      </w:r>
      <w:r>
        <w:rPr>
          <w:rFonts w:eastAsiaTheme="minorHAnsi"/>
          <w:b/>
          <w:noProof/>
          <w:szCs w:val="24"/>
          <w:lang w:val="fr-CA" w:eastAsia="en-US"/>
        </w:rPr>
        <w:t>Mesures</w:t>
      </w:r>
      <w:r>
        <w:rPr>
          <w:rFonts w:eastAsiaTheme="minorHAnsi"/>
          <w:noProof/>
          <w:szCs w:val="24"/>
          <w:lang w:val="fr-CA" w:eastAsia="en-US"/>
        </w:rPr>
        <w:t xml:space="preserve"> devrait l’emporter, auquel cas les autres éléments l’emportent dans la mesure de l’incompatibilité.</w:t>
      </w:r>
    </w:p>
    <w:p>
      <w:pPr>
        <w:widowControl/>
        <w:spacing w:line="240" w:lineRule="auto"/>
        <w:rPr>
          <w:rFonts w:eastAsiaTheme="minorHAnsi"/>
          <w:noProof/>
          <w:szCs w:val="24"/>
          <w:lang w:val="fr-CA" w:eastAsia="en-US"/>
        </w:rPr>
      </w:pPr>
      <w:r>
        <w:rPr>
          <w:rFonts w:eastAsiaTheme="minorHAnsi"/>
          <w:noProof/>
          <w:szCs w:val="24"/>
          <w:lang w:val="fr-CA" w:eastAsia="en-US"/>
        </w:rPr>
        <w:br w:type="page"/>
      </w:r>
    </w:p>
    <w:p>
      <w:pPr>
        <w:widowControl/>
        <w:spacing w:line="240" w:lineRule="auto"/>
        <w:ind w:left="567" w:hanging="567"/>
        <w:rPr>
          <w:rFonts w:eastAsiaTheme="minorHAnsi"/>
          <w:noProof/>
          <w:szCs w:val="24"/>
          <w:lang w:val="fr-CA" w:eastAsia="en-US"/>
        </w:rPr>
      </w:pPr>
      <w:r>
        <w:rPr>
          <w:rFonts w:eastAsiaTheme="minorHAnsi"/>
          <w:noProof/>
          <w:szCs w:val="24"/>
          <w:lang w:val="fr-CA" w:eastAsia="en-US"/>
        </w:rPr>
        <w:t>5.</w:t>
      </w:r>
      <w:r>
        <w:rPr>
          <w:rFonts w:eastAsiaTheme="minorHAnsi"/>
          <w:noProof/>
          <w:szCs w:val="24"/>
          <w:lang w:val="fr-CA" w:eastAsia="en-US"/>
        </w:rPr>
        <w:tab/>
        <w:t xml:space="preserve">L’interprétation d’une réserve de la section B tient compte de tous ses éléments. L’élément </w:t>
      </w:r>
      <w:r>
        <w:rPr>
          <w:rFonts w:eastAsiaTheme="minorHAnsi"/>
          <w:b/>
          <w:noProof/>
          <w:szCs w:val="24"/>
          <w:lang w:val="fr-CA" w:eastAsia="en-US"/>
        </w:rPr>
        <w:t>Description</w:t>
      </w:r>
      <w:r>
        <w:rPr>
          <w:rFonts w:eastAsiaTheme="minorHAnsi"/>
          <w:noProof/>
          <w:szCs w:val="24"/>
          <w:lang w:val="fr-CA" w:eastAsia="en-US"/>
        </w:rPr>
        <w:t xml:space="preserve"> l’emporte sur tous les autres éléments.</w:t>
      </w:r>
    </w:p>
    <w:p>
      <w:pPr>
        <w:widowControl/>
        <w:spacing w:line="240" w:lineRule="auto"/>
        <w:ind w:left="567" w:hanging="567"/>
        <w:rPr>
          <w:rFonts w:eastAsiaTheme="minorHAnsi"/>
          <w:noProof/>
          <w:szCs w:val="22"/>
          <w:lang w:val="fr-CA" w:eastAsia="en-US"/>
        </w:rPr>
      </w:pPr>
    </w:p>
    <w:p>
      <w:pPr>
        <w:widowControl/>
        <w:spacing w:line="240" w:lineRule="auto"/>
        <w:ind w:left="567" w:hanging="567"/>
        <w:rPr>
          <w:rFonts w:eastAsiaTheme="minorHAnsi"/>
          <w:noProof/>
          <w:szCs w:val="24"/>
          <w:lang w:val="fr-CA" w:eastAsia="en-US"/>
        </w:rPr>
      </w:pPr>
      <w:r>
        <w:rPr>
          <w:rFonts w:eastAsiaTheme="minorHAnsi"/>
          <w:noProof/>
          <w:szCs w:val="24"/>
          <w:lang w:val="fr-CA" w:eastAsia="en-US"/>
        </w:rPr>
        <w:t>6.</w:t>
      </w:r>
      <w:r>
        <w:rPr>
          <w:rFonts w:eastAsiaTheme="minorHAnsi"/>
          <w:noProof/>
          <w:szCs w:val="24"/>
          <w:lang w:val="fr-CA" w:eastAsia="en-US"/>
        </w:rPr>
        <w:tab/>
        <w:t>Lorsque le Canada maintient une mesure exigeant qu’un fournisseur de services soit un citoyen, un résident permanent ou un résident de son territoire afin de pouvoir fournir un service sur son territoire, une réserve concernant cette mesure formulée à l’égard de l’article 13.3 (Traitement national), 13.4 (Traitement de la nation la plus favorisée), 13.6 (Accès aux marchés), 13.7 (Fourniture transfrontières des services financiers) ou 13.8 (Dirigeants et conseils d’administration) a l’effet d’une réserve à l’égard des articles 8.4 (Accès aux marchés), 8.5 (Prescriptions de résultats), 8.6 (Traitement national), 8.7 (Traitement de la nation la plus favorisée) et 8.8 (Dirigeants et conseils d’administration), en ce qui concerne cette mesure.</w:t>
      </w:r>
    </w:p>
    <w:p>
      <w:pPr>
        <w:widowControl/>
        <w:spacing w:line="240" w:lineRule="auto"/>
        <w:ind w:left="567" w:hanging="567"/>
        <w:rPr>
          <w:rFonts w:eastAsiaTheme="minorHAnsi"/>
          <w:noProof/>
          <w:szCs w:val="22"/>
          <w:lang w:val="fr-CA" w:eastAsia="en-US"/>
        </w:rPr>
      </w:pPr>
    </w:p>
    <w:p>
      <w:pPr>
        <w:widowControl/>
        <w:spacing w:line="240" w:lineRule="auto"/>
        <w:ind w:left="567" w:hanging="567"/>
        <w:rPr>
          <w:rFonts w:eastAsiaTheme="minorHAnsi"/>
          <w:noProof/>
          <w:szCs w:val="24"/>
          <w:lang w:val="fr-CA" w:eastAsia="en-US"/>
        </w:rPr>
      </w:pPr>
      <w:r>
        <w:rPr>
          <w:rFonts w:eastAsiaTheme="minorHAnsi"/>
          <w:noProof/>
          <w:szCs w:val="24"/>
          <w:lang w:val="fr-CA" w:eastAsia="en-US"/>
        </w:rPr>
        <w:t>7.</w:t>
      </w:r>
      <w:r>
        <w:rPr>
          <w:rFonts w:eastAsiaTheme="minorHAnsi"/>
          <w:noProof/>
          <w:szCs w:val="24"/>
          <w:lang w:val="fr-CA" w:eastAsia="en-US"/>
        </w:rPr>
        <w:tab/>
        <w:t>Une réserve concernant une mesure exigeant qu’un fournisseur de services soit une personne physique, un citoyen, un résident permanent ou un résident de son territoire afin de pouvoir fournir un service financier sur son territoire formulée à l’égard de l’article 13.7 (Fourniture transfrontières des services financiers) a l’effet d’une réserve à l’égard des articles 13.3 (Traitement national), 13.4 (Traitement de la nation la plus favorisée), 13.6 (Accès aux marchés) et 13.8 (Dirigeants et conseils d’administration), en ce qui concerne cette mesure.</w:t>
      </w:r>
    </w:p>
    <w:p>
      <w:pPr>
        <w:widowControl/>
        <w:spacing w:line="240" w:lineRule="auto"/>
        <w:rPr>
          <w:rFonts w:eastAsiaTheme="minorHAnsi"/>
          <w:noProof/>
          <w:szCs w:val="22"/>
          <w:lang w:val="fr-CA" w:eastAsia="en-US"/>
        </w:rPr>
      </w:pPr>
    </w:p>
    <w:p>
      <w:pPr>
        <w:widowControl/>
        <w:spacing w:line="240" w:lineRule="auto"/>
        <w:ind w:left="1417"/>
        <w:rPr>
          <w:rFonts w:eastAsiaTheme="minorHAnsi"/>
          <w:noProof/>
          <w:szCs w:val="22"/>
          <w:lang w:val="fr-CA" w:eastAsia="en-US"/>
        </w:rPr>
        <w:sectPr>
          <w:headerReference w:type="even" r:id="rId16"/>
          <w:headerReference w:type="default" r:id="rId17"/>
          <w:footerReference w:type="even" r:id="rId18"/>
          <w:footerReference w:type="default" r:id="rId19"/>
          <w:headerReference w:type="first" r:id="rId20"/>
          <w:footerReference w:type="first" r:id="rId21"/>
          <w:pgSz w:w="11907" w:h="16839"/>
          <w:pgMar w:top="1134" w:right="1417" w:bottom="1134" w:left="1417" w:header="1134" w:footer="1134" w:gutter="0"/>
          <w:pgNumType w:start="1"/>
          <w:cols w:space="720"/>
          <w:docGrid w:linePitch="360"/>
        </w:sectPr>
      </w:pPr>
    </w:p>
    <w:p>
      <w:pPr>
        <w:widowControl/>
        <w:spacing w:line="240" w:lineRule="auto"/>
        <w:rPr>
          <w:rFonts w:eastAsiaTheme="minorHAnsi"/>
          <w:b/>
          <w:noProof/>
          <w:szCs w:val="24"/>
          <w:lang w:val="fr-CA" w:eastAsia="en-US"/>
        </w:rPr>
      </w:pPr>
      <w:r>
        <w:rPr>
          <w:rFonts w:eastAsiaTheme="minorHAnsi"/>
          <w:b/>
          <w:noProof/>
          <w:szCs w:val="24"/>
          <w:lang w:val="fr-CA" w:eastAsia="en-US"/>
        </w:rPr>
        <w:t>Notes introductives</w:t>
      </w:r>
    </w:p>
    <w:p>
      <w:pPr>
        <w:widowControl/>
        <w:spacing w:line="240" w:lineRule="auto"/>
        <w:ind w:left="850" w:hanging="850"/>
        <w:rPr>
          <w:rFonts w:eastAsiaTheme="minorHAnsi"/>
          <w:noProof/>
          <w:szCs w:val="24"/>
          <w:lang w:val="fr-CA" w:eastAsia="en-US"/>
        </w:rPr>
      </w:pPr>
    </w:p>
    <w:p>
      <w:pPr>
        <w:widowControl/>
        <w:spacing w:line="240" w:lineRule="auto"/>
        <w:ind w:left="567" w:hanging="567"/>
        <w:rPr>
          <w:rFonts w:eastAsiaTheme="minorHAnsi"/>
          <w:noProof/>
          <w:szCs w:val="24"/>
          <w:lang w:val="fr-CA" w:eastAsia="en-US"/>
        </w:rPr>
      </w:pPr>
      <w:r>
        <w:rPr>
          <w:rFonts w:eastAsiaTheme="minorHAnsi"/>
          <w:noProof/>
          <w:szCs w:val="24"/>
          <w:lang w:val="fr-CA" w:eastAsia="en-US"/>
        </w:rPr>
        <w:t>1.</w:t>
      </w:r>
      <w:r>
        <w:rPr>
          <w:rFonts w:eastAsiaTheme="minorHAnsi"/>
          <w:noProof/>
          <w:szCs w:val="24"/>
          <w:lang w:val="fr-CA" w:eastAsia="en-US"/>
        </w:rPr>
        <w:tab/>
        <w:t>Les engagements pris au titre du présent accord, dans les sous-secteurs énumérés à la présente liste, sont soumis aux limitations et aux conditions énoncées dans les présentes notes et dans la liste ci-dessous.</w:t>
      </w:r>
    </w:p>
    <w:p>
      <w:pPr>
        <w:widowControl/>
        <w:spacing w:line="240" w:lineRule="auto"/>
        <w:ind w:left="567" w:hanging="567"/>
        <w:rPr>
          <w:rFonts w:eastAsiaTheme="minorHAnsi"/>
          <w:noProof/>
          <w:szCs w:val="24"/>
          <w:lang w:val="fr-CA" w:eastAsia="en-US"/>
        </w:rPr>
      </w:pPr>
    </w:p>
    <w:p>
      <w:pPr>
        <w:widowControl/>
        <w:spacing w:line="240" w:lineRule="auto"/>
        <w:ind w:left="567" w:hanging="567"/>
        <w:rPr>
          <w:rFonts w:eastAsiaTheme="minorHAnsi"/>
          <w:noProof/>
          <w:szCs w:val="24"/>
          <w:lang w:val="fr-CA" w:eastAsia="en-US"/>
        </w:rPr>
      </w:pPr>
      <w:r>
        <w:rPr>
          <w:rFonts w:eastAsiaTheme="minorHAnsi"/>
          <w:noProof/>
          <w:szCs w:val="24"/>
          <w:lang w:val="fr-CA" w:eastAsia="en-US"/>
        </w:rPr>
        <w:t>2.</w:t>
      </w:r>
      <w:r>
        <w:rPr>
          <w:rFonts w:eastAsiaTheme="minorHAnsi"/>
          <w:noProof/>
          <w:szCs w:val="24"/>
          <w:lang w:val="fr-CA" w:eastAsia="en-US"/>
        </w:rPr>
        <w:tab/>
        <w:t>L’inscription d’une mesure comme réserve à la section A ou B ne signifie pas que la mesure ne peut être justifiée comme mesure adoptée ou maintenue pour des raisons prudentielles en vertu de l’article 13.16 (Exception prudentielle).</w:t>
      </w:r>
    </w:p>
    <w:p>
      <w:pPr>
        <w:widowControl/>
        <w:spacing w:line="240" w:lineRule="auto"/>
        <w:ind w:left="567" w:hanging="567"/>
        <w:rPr>
          <w:rFonts w:eastAsiaTheme="minorHAnsi"/>
          <w:noProof/>
          <w:szCs w:val="24"/>
          <w:lang w:val="fr-CA" w:eastAsia="en-US"/>
        </w:rPr>
      </w:pPr>
    </w:p>
    <w:p>
      <w:pPr>
        <w:widowControl/>
        <w:spacing w:line="240" w:lineRule="auto"/>
        <w:ind w:left="567" w:hanging="567"/>
        <w:rPr>
          <w:rFonts w:eastAsiaTheme="minorHAnsi"/>
          <w:noProof/>
          <w:szCs w:val="24"/>
          <w:lang w:val="fr-CA" w:eastAsia="en-US"/>
        </w:rPr>
      </w:pPr>
      <w:r>
        <w:rPr>
          <w:rFonts w:eastAsiaTheme="minorHAnsi"/>
          <w:noProof/>
          <w:szCs w:val="24"/>
          <w:lang w:val="fr-CA" w:eastAsia="en-US"/>
        </w:rPr>
        <w:t>3.</w:t>
      </w:r>
      <w:r>
        <w:rPr>
          <w:rFonts w:eastAsiaTheme="minorHAnsi"/>
          <w:noProof/>
          <w:szCs w:val="24"/>
          <w:lang w:val="fr-CA" w:eastAsia="en-US"/>
        </w:rPr>
        <w:tab/>
        <w:t>Afin de préciser l’engagement du Canada en ce qui concerne l’article 13.6 (Accès aux marchés), les personnes morales fournissant des services financiers et constituées sous le régime de la législation du Canada sont soumises à des limitations non discriminatoires en matière de forme juridique</w:t>
      </w:r>
      <w:r>
        <w:rPr>
          <w:rFonts w:eastAsiaTheme="minorHAnsi"/>
          <w:noProof/>
          <w:szCs w:val="22"/>
          <w:vertAlign w:val="superscript"/>
          <w:lang w:eastAsia="en-US"/>
        </w:rPr>
        <w:footnoteReference w:id="1"/>
      </w:r>
      <w:r>
        <w:rPr>
          <w:rFonts w:eastAsiaTheme="minorHAnsi"/>
          <w:noProof/>
          <w:szCs w:val="24"/>
          <w:lang w:val="fr-CA" w:eastAsia="en-US"/>
        </w:rPr>
        <w:t>.</w:t>
      </w:r>
    </w:p>
    <w:p>
      <w:pPr>
        <w:widowControl/>
        <w:spacing w:line="240" w:lineRule="auto"/>
        <w:ind w:left="567" w:hanging="567"/>
        <w:rPr>
          <w:rFonts w:eastAsiaTheme="minorHAnsi"/>
          <w:noProof/>
          <w:szCs w:val="24"/>
          <w:lang w:val="fr-CA" w:eastAsia="en-US"/>
        </w:rPr>
      </w:pPr>
    </w:p>
    <w:p>
      <w:pPr>
        <w:widowControl/>
        <w:spacing w:line="240" w:lineRule="auto"/>
        <w:ind w:left="567" w:hanging="567"/>
        <w:rPr>
          <w:rFonts w:eastAsiaTheme="minorHAnsi"/>
          <w:noProof/>
          <w:szCs w:val="24"/>
          <w:lang w:val="fr-CA" w:eastAsia="en-US"/>
        </w:rPr>
      </w:pPr>
      <w:r>
        <w:rPr>
          <w:rFonts w:eastAsiaTheme="minorHAnsi"/>
          <w:noProof/>
          <w:szCs w:val="24"/>
          <w:lang w:val="fr-CA" w:eastAsia="en-US"/>
        </w:rPr>
        <w:t>4.</w:t>
      </w:r>
      <w:r>
        <w:rPr>
          <w:rFonts w:eastAsiaTheme="minorHAnsi"/>
          <w:noProof/>
          <w:szCs w:val="24"/>
          <w:lang w:val="fr-CA" w:eastAsia="en-US"/>
        </w:rPr>
        <w:tab/>
        <w:t xml:space="preserve">L’article 13.10.1c) (Réserves et exceptions) ne s’applique pas aux mesures non conformes concernant l’article 13.6.1b) (Accès aux marchés). </w:t>
      </w:r>
    </w:p>
    <w:p>
      <w:pPr>
        <w:widowControl/>
        <w:spacing w:line="240" w:lineRule="auto"/>
        <w:ind w:left="850" w:hanging="850"/>
        <w:rPr>
          <w:rFonts w:eastAsiaTheme="minorHAnsi"/>
          <w:noProof/>
          <w:szCs w:val="24"/>
          <w:lang w:val="fr-CA" w:eastAsia="en-US"/>
        </w:rPr>
      </w:pPr>
    </w:p>
    <w:p>
      <w:pPr>
        <w:widowControl/>
        <w:spacing w:line="240" w:lineRule="auto"/>
        <w:rPr>
          <w:rFonts w:eastAsiaTheme="minorHAnsi"/>
          <w:noProof/>
          <w:szCs w:val="22"/>
          <w:lang w:val="fr-CA" w:eastAsia="en-US"/>
        </w:rPr>
        <w:sectPr>
          <w:headerReference w:type="even" r:id="rId22"/>
          <w:headerReference w:type="default" r:id="rId23"/>
          <w:footerReference w:type="even" r:id="rId24"/>
          <w:footerReference w:type="default" r:id="rId25"/>
          <w:headerReference w:type="first" r:id="rId26"/>
          <w:footerReference w:type="first" r:id="rId27"/>
          <w:pgSz w:w="11907" w:h="16839"/>
          <w:pgMar w:top="1134" w:right="1417" w:bottom="1134" w:left="1417" w:header="1134" w:footer="1134" w:gutter="0"/>
          <w:cols w:space="720"/>
          <w:docGrid w:linePitch="360"/>
        </w:sectPr>
      </w:pPr>
    </w:p>
    <w:p>
      <w:pPr>
        <w:widowControl/>
        <w:tabs>
          <w:tab w:val="center" w:pos="4536"/>
        </w:tabs>
        <w:suppressAutoHyphens/>
        <w:spacing w:line="240" w:lineRule="auto"/>
        <w:jc w:val="center"/>
        <w:rPr>
          <w:rFonts w:eastAsiaTheme="minorHAnsi"/>
          <w:b/>
          <w:bCs/>
          <w:noProof/>
          <w:szCs w:val="24"/>
          <w:lang w:val="fr-CA" w:eastAsia="en-US"/>
        </w:rPr>
      </w:pPr>
      <w:r>
        <w:rPr>
          <w:rFonts w:eastAsiaTheme="minorHAnsi"/>
          <w:b/>
          <w:bCs/>
          <w:noProof/>
          <w:szCs w:val="24"/>
          <w:lang w:val="fr-CA" w:eastAsia="en-US"/>
        </w:rPr>
        <w:t>Liste du Canada</w:t>
      </w:r>
    </w:p>
    <w:p>
      <w:pPr>
        <w:widowControl/>
        <w:tabs>
          <w:tab w:val="center" w:pos="4536"/>
        </w:tabs>
        <w:suppressAutoHyphens/>
        <w:spacing w:line="240" w:lineRule="auto"/>
        <w:jc w:val="center"/>
        <w:rPr>
          <w:rFonts w:eastAsiaTheme="minorHAnsi"/>
          <w:b/>
          <w:bCs/>
          <w:noProof/>
          <w:szCs w:val="24"/>
          <w:lang w:val="fr-CA" w:eastAsia="en-US"/>
        </w:rPr>
      </w:pPr>
    </w:p>
    <w:p>
      <w:pPr>
        <w:widowControl/>
        <w:tabs>
          <w:tab w:val="center" w:pos="4536"/>
        </w:tabs>
        <w:suppressAutoHyphens/>
        <w:spacing w:line="240" w:lineRule="auto"/>
        <w:jc w:val="center"/>
        <w:rPr>
          <w:rFonts w:eastAsiaTheme="minorHAnsi"/>
          <w:b/>
          <w:bCs/>
          <w:noProof/>
          <w:szCs w:val="24"/>
          <w:lang w:val="fr-CA" w:eastAsia="en-US"/>
        </w:rPr>
      </w:pPr>
    </w:p>
    <w:p>
      <w:pPr>
        <w:widowControl/>
        <w:spacing w:line="240" w:lineRule="auto"/>
        <w:jc w:val="center"/>
        <w:rPr>
          <w:rFonts w:eastAsiaTheme="minorHAnsi"/>
          <w:i/>
          <w:noProof/>
          <w:szCs w:val="22"/>
          <w:lang w:val="fr-CA" w:eastAsia="en-US"/>
        </w:rPr>
      </w:pPr>
      <w:r>
        <w:rPr>
          <w:rFonts w:eastAsiaTheme="minorHAnsi"/>
          <w:i/>
          <w:noProof/>
          <w:szCs w:val="22"/>
          <w:lang w:val="fr-CA" w:eastAsia="en-US"/>
        </w:rPr>
        <w:t>SECTION A</w:t>
      </w:r>
    </w:p>
    <w:p>
      <w:pPr>
        <w:widowControl/>
        <w:spacing w:line="240" w:lineRule="auto"/>
        <w:jc w:val="center"/>
        <w:rPr>
          <w:rFonts w:eastAsiaTheme="minorHAnsi"/>
          <w:i/>
          <w:noProof/>
          <w:szCs w:val="22"/>
          <w:lang w:val="fr-CA" w:eastAsia="en-US"/>
        </w:rPr>
      </w:pPr>
    </w:p>
    <w:p>
      <w:pPr>
        <w:widowControl/>
        <w:spacing w:line="240" w:lineRule="auto"/>
        <w:jc w:val="center"/>
        <w:rPr>
          <w:rFonts w:eastAsiaTheme="minorHAnsi"/>
          <w:b/>
          <w:noProof/>
          <w:szCs w:val="22"/>
          <w:lang w:val="fr-CA" w:eastAsia="en-US"/>
        </w:rPr>
      </w:pPr>
      <w:r>
        <w:rPr>
          <w:rFonts w:eastAsiaTheme="minorHAnsi"/>
          <w:b/>
          <w:noProof/>
          <w:szCs w:val="22"/>
          <w:lang w:val="fr-CA" w:eastAsia="en-US"/>
        </w:rPr>
        <w:t>Réserves applicables au Canada</w:t>
      </w:r>
    </w:p>
    <w:p>
      <w:pPr>
        <w:widowControl/>
        <w:spacing w:line="240" w:lineRule="auto"/>
        <w:jc w:val="center"/>
        <w:rPr>
          <w:rFonts w:eastAsiaTheme="minorHAnsi"/>
          <w:b/>
          <w:noProof/>
          <w:szCs w:val="22"/>
          <w:lang w:val="fr-CA" w:eastAsia="en-US"/>
        </w:rPr>
      </w:pPr>
    </w:p>
    <w:p>
      <w:pPr>
        <w:widowControl/>
        <w:spacing w:line="240" w:lineRule="auto"/>
        <w:jc w:val="center"/>
        <w:rPr>
          <w:rFonts w:eastAsiaTheme="minorHAnsi"/>
          <w:b/>
          <w:noProof/>
          <w:szCs w:val="22"/>
          <w:lang w:val="fr-CA" w:eastAsia="en-US"/>
        </w:rPr>
      </w:pPr>
      <w:r>
        <w:rPr>
          <w:rFonts w:eastAsiaTheme="minorHAnsi"/>
          <w:b/>
          <w:noProof/>
          <w:szCs w:val="22"/>
          <w:lang w:val="fr-CA" w:eastAsia="en-US"/>
        </w:rPr>
        <w:t>(applicables dans toutes les provinces et dans tous les territoires)</w:t>
      </w:r>
    </w:p>
    <w:p>
      <w:pPr>
        <w:widowControl/>
        <w:spacing w:before="60" w:after="60" w:line="240" w:lineRule="auto"/>
        <w:jc w:val="center"/>
        <w:rPr>
          <w:rFonts w:eastAsiaTheme="minorHAnsi"/>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IIIA-C-1</w:t>
      </w: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Sous-secteur :</w:t>
            </w:r>
            <w:r>
              <w:rPr>
                <w:rFonts w:eastAsiaTheme="minorHAnsi"/>
                <w:b/>
                <w:bCs/>
                <w:noProof/>
                <w:color w:val="000000"/>
                <w:szCs w:val="22"/>
                <w:lang w:val="fr-CA" w:eastAsia="en-US"/>
              </w:rPr>
              <w:t xml:space="pre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Tous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Traitement national</w:t>
            </w:r>
          </w:p>
          <w:p>
            <w:pPr>
              <w:widowControl/>
              <w:spacing w:before="60" w:after="60" w:line="240" w:lineRule="auto"/>
              <w:rPr>
                <w:rFonts w:eastAsiaTheme="minorHAnsi"/>
                <w:noProof/>
                <w:szCs w:val="24"/>
                <w:lang w:val="fr-CA" w:eastAsia="en-US"/>
              </w:rPr>
            </w:pPr>
            <w:r>
              <w:rPr>
                <w:rFonts w:eastAsiaTheme="minorHAnsi"/>
                <w:noProof/>
                <w:szCs w:val="24"/>
                <w:lang w:val="fr-CA" w:eastAsia="en-US"/>
              </w:rPr>
              <w:t>Dirigeants et conseils d’administration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2"/>
                <w:lang w:val="fr-CA" w:eastAsia="en-US"/>
              </w:rPr>
              <w:t>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autoSpaceDE w:val="0"/>
              <w:autoSpaceDN w:val="0"/>
              <w:adjustRightInd w:val="0"/>
              <w:spacing w:before="60" w:after="60" w:line="240" w:lineRule="auto"/>
              <w:rPr>
                <w:rFonts w:eastAsiaTheme="minorHAnsi"/>
                <w:bCs/>
                <w:i/>
                <w:noProof/>
                <w:szCs w:val="24"/>
                <w:lang w:val="fr-CA" w:eastAsia="en-US"/>
              </w:rPr>
            </w:pPr>
            <w:r>
              <w:rPr>
                <w:rFonts w:eastAsiaTheme="minorHAnsi"/>
                <w:bCs/>
                <w:i/>
                <w:noProof/>
                <w:szCs w:val="24"/>
                <w:lang w:val="fr-CA" w:eastAsia="en-US"/>
              </w:rPr>
              <w:t>Loi sur les banques,</w:t>
            </w:r>
            <w:r>
              <w:rPr>
                <w:rFonts w:eastAsiaTheme="minorHAnsi"/>
                <w:bCs/>
                <w:noProof/>
                <w:szCs w:val="24"/>
                <w:lang w:val="fr-CA" w:eastAsia="en-US"/>
              </w:rPr>
              <w:t xml:space="preserve"> L.C. 1991, c. 46, art. 159, 749</w:t>
            </w:r>
          </w:p>
          <w:p>
            <w:pPr>
              <w:widowControl/>
              <w:autoSpaceDE w:val="0"/>
              <w:autoSpaceDN w:val="0"/>
              <w:adjustRightInd w:val="0"/>
              <w:spacing w:before="60" w:after="60" w:line="240" w:lineRule="auto"/>
              <w:rPr>
                <w:rFonts w:eastAsiaTheme="minorHAnsi"/>
                <w:bCs/>
                <w:i/>
                <w:noProof/>
                <w:szCs w:val="24"/>
                <w:lang w:val="fr-CA" w:eastAsia="en-US"/>
              </w:rPr>
            </w:pPr>
            <w:r>
              <w:rPr>
                <w:rFonts w:eastAsiaTheme="minorHAnsi"/>
                <w:bCs/>
                <w:i/>
                <w:noProof/>
                <w:szCs w:val="24"/>
                <w:lang w:val="fr-CA" w:eastAsia="en-US"/>
              </w:rPr>
              <w:t>Loi sur les sociétés d’assurance,</w:t>
            </w:r>
            <w:r>
              <w:rPr>
                <w:rFonts w:eastAsiaTheme="minorHAnsi"/>
                <w:bCs/>
                <w:noProof/>
                <w:szCs w:val="24"/>
                <w:lang w:val="fr-CA" w:eastAsia="en-US"/>
              </w:rPr>
              <w:t xml:space="preserve"> L.C. 1991, c. 47, art. 167, 796 </w:t>
            </w:r>
          </w:p>
          <w:p>
            <w:pPr>
              <w:widowControl/>
              <w:autoSpaceDE w:val="0"/>
              <w:autoSpaceDN w:val="0"/>
              <w:adjustRightInd w:val="0"/>
              <w:spacing w:before="60" w:after="60" w:line="240" w:lineRule="auto"/>
              <w:rPr>
                <w:rFonts w:eastAsiaTheme="minorHAnsi"/>
                <w:bCs/>
                <w:i/>
                <w:noProof/>
                <w:szCs w:val="24"/>
                <w:lang w:val="fr-CA" w:eastAsia="en-US"/>
              </w:rPr>
            </w:pPr>
            <w:r>
              <w:rPr>
                <w:rFonts w:eastAsiaTheme="minorHAnsi"/>
                <w:bCs/>
                <w:i/>
                <w:noProof/>
                <w:szCs w:val="24"/>
                <w:lang w:val="fr-CA" w:eastAsia="en-US"/>
              </w:rPr>
              <w:t>Loi sur les sociétés de fiducie et de prêt</w:t>
            </w:r>
            <w:r>
              <w:rPr>
                <w:rFonts w:eastAsiaTheme="minorHAnsi"/>
                <w:bCs/>
                <w:noProof/>
                <w:szCs w:val="24"/>
                <w:lang w:val="fr-CA" w:eastAsia="en-US"/>
              </w:rPr>
              <w:t>, L.C. 1991, c. 45, art. 163</w:t>
            </w:r>
          </w:p>
          <w:p>
            <w:pPr>
              <w:widowControl/>
              <w:autoSpaceDE w:val="0"/>
              <w:autoSpaceDN w:val="0"/>
              <w:adjustRightInd w:val="0"/>
              <w:spacing w:before="60" w:after="60" w:line="240" w:lineRule="auto"/>
              <w:rPr>
                <w:rFonts w:eastAsiaTheme="minorHAnsi"/>
                <w:bCs/>
                <w:i/>
                <w:noProof/>
                <w:szCs w:val="24"/>
                <w:lang w:val="fr-CA" w:eastAsia="en-US"/>
              </w:rPr>
            </w:pPr>
            <w:r>
              <w:rPr>
                <w:rFonts w:eastAsiaTheme="minorHAnsi"/>
                <w:bCs/>
                <w:i/>
                <w:noProof/>
                <w:szCs w:val="24"/>
                <w:lang w:val="fr-CA" w:eastAsia="en-US"/>
              </w:rPr>
              <w:t>Règlement sur les institutions étrangères assujetties au critère de résidence canadienne (sociétés d’assurances)</w:t>
            </w:r>
            <w:r>
              <w:rPr>
                <w:rFonts w:eastAsiaTheme="minorHAnsi"/>
                <w:bCs/>
                <w:noProof/>
                <w:szCs w:val="24"/>
                <w:lang w:val="fr-CA" w:eastAsia="en-US"/>
              </w:rPr>
              <w:t>, DORS/2003-185</w:t>
            </w:r>
          </w:p>
          <w:p>
            <w:pPr>
              <w:widowControl/>
              <w:autoSpaceDE w:val="0"/>
              <w:autoSpaceDN w:val="0"/>
              <w:adjustRightInd w:val="0"/>
              <w:spacing w:before="60" w:after="60" w:line="240" w:lineRule="auto"/>
              <w:rPr>
                <w:rFonts w:eastAsiaTheme="minorHAnsi"/>
                <w:bCs/>
                <w:i/>
                <w:noProof/>
                <w:szCs w:val="24"/>
                <w:lang w:val="fr-CA" w:eastAsia="en-US"/>
              </w:rPr>
            </w:pPr>
            <w:r>
              <w:rPr>
                <w:rFonts w:eastAsiaTheme="minorHAnsi"/>
                <w:bCs/>
                <w:i/>
                <w:noProof/>
                <w:szCs w:val="24"/>
                <w:lang w:val="fr-CA" w:eastAsia="en-US"/>
              </w:rPr>
              <w:t>Règlement sur les institutions étrangères assujetties au critère de résidence canadienne (sociétés de fiducie et de prêt)</w:t>
            </w:r>
            <w:r>
              <w:rPr>
                <w:rFonts w:eastAsiaTheme="minorHAnsi"/>
                <w:bCs/>
                <w:noProof/>
                <w:szCs w:val="24"/>
                <w:lang w:val="fr-CA" w:eastAsia="en-US"/>
              </w:rPr>
              <w:t>, DORS/2003-186</w:t>
            </w:r>
          </w:p>
          <w:p>
            <w:pPr>
              <w:widowControl/>
              <w:autoSpaceDE w:val="0"/>
              <w:autoSpaceDN w:val="0"/>
              <w:adjustRightInd w:val="0"/>
              <w:spacing w:before="60" w:after="60" w:line="240" w:lineRule="auto"/>
              <w:rPr>
                <w:rFonts w:eastAsiaTheme="minorHAnsi"/>
                <w:bCs/>
                <w:i/>
                <w:noProof/>
                <w:szCs w:val="24"/>
                <w:lang w:val="fr-CA" w:eastAsia="en-US"/>
              </w:rPr>
            </w:pPr>
            <w:r>
              <w:rPr>
                <w:rFonts w:eastAsiaTheme="minorHAnsi"/>
                <w:bCs/>
                <w:i/>
                <w:noProof/>
                <w:szCs w:val="24"/>
                <w:lang w:val="fr-CA" w:eastAsia="en-US"/>
              </w:rPr>
              <w:t>Loi sur les associations coopératives de crédit</w:t>
            </w:r>
            <w:r>
              <w:rPr>
                <w:rFonts w:eastAsiaTheme="minorHAnsi"/>
                <w:bCs/>
                <w:noProof/>
                <w:szCs w:val="24"/>
                <w:lang w:val="fr-CA" w:eastAsia="en-US"/>
              </w:rPr>
              <w:t>, L.C. 1991, c. 48, art. 169</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Au moins la moitié des administrateurs d’une institution financière sous réglementation fédérale qui est une filiale d’une institution étrangère et la majorité des administrateurs de toute autre institution financière sous réglementation fédérale doivent être soit des citoyens canadiens qui résident habituellement au Canada, soit des résidents permanents qui résident habituellement au Canada</w:t>
            </w:r>
            <w:r>
              <w:rPr>
                <w:rFonts w:eastAsiaTheme="minorHAnsi"/>
                <w:noProof/>
                <w:szCs w:val="24"/>
                <w:vertAlign w:val="superscript"/>
                <w:lang w:eastAsia="en-US"/>
              </w:rPr>
              <w:footnoteReference w:id="2"/>
            </w:r>
            <w:r>
              <w:rPr>
                <w:rFonts w:eastAsiaTheme="minorHAnsi"/>
                <w:noProof/>
                <w:szCs w:val="24"/>
                <w:lang w:val="fr-CA" w:eastAsia="en-US"/>
              </w:rPr>
              <w:t>.</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IIIA-C-2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Sous-secteur :</w:t>
            </w:r>
            <w:r>
              <w:rPr>
                <w:rFonts w:eastAsiaTheme="minorHAnsi"/>
                <w:b/>
                <w:bCs/>
                <w:noProof/>
                <w:color w:val="000000"/>
                <w:szCs w:val="22"/>
                <w:lang w:val="fr-CA" w:eastAsia="en-US"/>
              </w:rPr>
              <w:t xml:space="preserve"> </w:t>
            </w:r>
          </w:p>
        </w:tc>
        <w:tc>
          <w:tcPr>
            <w:tcW w:w="6500" w:type="dxa"/>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Services bancaires et autres services financiers (à l’exclusion de l’assurance)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autoSpaceDE w:val="0"/>
              <w:autoSpaceDN w:val="0"/>
              <w:adjustRightInd w:val="0"/>
              <w:spacing w:before="60" w:after="60" w:line="240" w:lineRule="auto"/>
              <w:rPr>
                <w:rFonts w:eastAsiaTheme="minorHAnsi"/>
                <w:noProof/>
                <w:szCs w:val="24"/>
                <w:lang w:val="fr-CA" w:eastAsia="en-US"/>
              </w:rPr>
            </w:pPr>
            <w:r>
              <w:rPr>
                <w:rFonts w:eastAsiaTheme="minorHAnsi"/>
                <w:noProof/>
                <w:szCs w:val="24"/>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autoSpaceDE w:val="0"/>
              <w:autoSpaceDN w:val="0"/>
              <w:adjustRightInd w:val="0"/>
              <w:spacing w:before="60" w:after="60" w:line="240" w:lineRule="auto"/>
              <w:rPr>
                <w:rFonts w:eastAsiaTheme="minorHAnsi"/>
                <w:i/>
                <w:noProof/>
                <w:szCs w:val="24"/>
                <w:lang w:val="fr-CA" w:eastAsia="en-US"/>
              </w:rPr>
            </w:pPr>
            <w:r>
              <w:rPr>
                <w:rFonts w:eastAsiaTheme="minorHAnsi"/>
                <w:i/>
                <w:noProof/>
                <w:szCs w:val="24"/>
                <w:lang w:val="fr-CA" w:eastAsia="en-US"/>
              </w:rPr>
              <w:t>Loi sur les banques</w:t>
            </w:r>
            <w:r>
              <w:rPr>
                <w:rFonts w:eastAsiaTheme="minorHAnsi"/>
                <w:noProof/>
                <w:szCs w:val="24"/>
                <w:lang w:val="fr-CA" w:eastAsia="en-US"/>
              </w:rPr>
              <w:t xml:space="preserve">, L.C. 1991, c. 46, art. 524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Pour établir une succursale bancaire, une banque étrangère doit être une banque sur le territoire sous le régime des lois duquel elle a été constituée.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IIIA-C-3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Sous-secteur :</w:t>
            </w:r>
            <w:r>
              <w:rPr>
                <w:rFonts w:eastAsiaTheme="minorHAnsi"/>
                <w:b/>
                <w:bCs/>
                <w:noProof/>
                <w:color w:val="000000"/>
                <w:szCs w:val="22"/>
                <w:lang w:val="fr-CA" w:eastAsia="en-US"/>
              </w:rPr>
              <w:t xml:space="preserve"> </w:t>
            </w:r>
          </w:p>
        </w:tc>
        <w:tc>
          <w:tcPr>
            <w:tcW w:w="6500" w:type="dxa"/>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Services bancaires et autres services financiers (à l’exclusion de l’assurance)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autoSpaceDE w:val="0"/>
              <w:autoSpaceDN w:val="0"/>
              <w:adjustRightInd w:val="0"/>
              <w:spacing w:before="60" w:after="60" w:line="240" w:lineRule="auto"/>
              <w:rPr>
                <w:rFonts w:eastAsiaTheme="minorHAnsi"/>
                <w:noProof/>
                <w:szCs w:val="24"/>
                <w:lang w:val="fr-CA" w:eastAsia="en-US"/>
              </w:rPr>
            </w:pPr>
            <w:r>
              <w:rPr>
                <w:rFonts w:eastAsiaTheme="minorHAnsi"/>
                <w:noProof/>
                <w:szCs w:val="24"/>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autoSpaceDE w:val="0"/>
              <w:autoSpaceDN w:val="0"/>
              <w:adjustRightInd w:val="0"/>
              <w:spacing w:before="60" w:after="60" w:line="240" w:lineRule="auto"/>
              <w:ind w:left="2880" w:hanging="2880"/>
              <w:rPr>
                <w:rFonts w:eastAsiaTheme="minorHAnsi"/>
                <w:i/>
                <w:noProof/>
                <w:szCs w:val="24"/>
                <w:lang w:val="fr-CA" w:eastAsia="en-US"/>
              </w:rPr>
            </w:pPr>
            <w:r>
              <w:rPr>
                <w:rFonts w:eastAsiaTheme="minorHAnsi"/>
                <w:i/>
                <w:noProof/>
                <w:szCs w:val="24"/>
                <w:lang w:val="fr-CA" w:eastAsia="en-US"/>
              </w:rPr>
              <w:t>Loi sur les banques</w:t>
            </w:r>
            <w:r>
              <w:rPr>
                <w:rFonts w:eastAsiaTheme="minorHAnsi"/>
                <w:noProof/>
                <w:szCs w:val="24"/>
                <w:lang w:val="fr-CA" w:eastAsia="en-US"/>
              </w:rPr>
              <w:t xml:space="preserve">, L.C. 1991, c. 46, art. 540 </w:t>
            </w:r>
          </w:p>
          <w:p>
            <w:pPr>
              <w:widowControl/>
              <w:autoSpaceDE w:val="0"/>
              <w:autoSpaceDN w:val="0"/>
              <w:adjustRightInd w:val="0"/>
              <w:spacing w:before="60" w:after="60" w:line="240" w:lineRule="auto"/>
              <w:rPr>
                <w:rFonts w:eastAsiaTheme="minorHAnsi"/>
                <w:i/>
                <w:noProof/>
                <w:szCs w:val="24"/>
                <w:lang w:val="fr-CA" w:eastAsia="en-US"/>
              </w:rPr>
            </w:pPr>
            <w:r>
              <w:rPr>
                <w:rFonts w:eastAsiaTheme="minorHAnsi"/>
                <w:i/>
                <w:noProof/>
                <w:szCs w:val="24"/>
                <w:lang w:val="fr-CA" w:eastAsia="en-US"/>
              </w:rPr>
              <w:t>Règlement sur les ventes ou négociations (banques étrangères autorisées)</w:t>
            </w:r>
            <w:r>
              <w:rPr>
                <w:rFonts w:eastAsiaTheme="minorHAnsi"/>
                <w:noProof/>
                <w:szCs w:val="24"/>
                <w:lang w:val="fr-CA" w:eastAsia="en-US"/>
              </w:rPr>
              <w:t>, DORS/2000-52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color w:val="000000"/>
                <w:szCs w:val="24"/>
                <w:lang w:val="fr-CA" w:eastAsia="en-US"/>
              </w:rPr>
            </w:pPr>
            <w:r>
              <w:rPr>
                <w:rFonts w:eastAsiaTheme="minorHAnsi"/>
                <w:noProof/>
                <w:szCs w:val="24"/>
                <w:lang w:val="fr-CA" w:eastAsia="en-US"/>
              </w:rPr>
              <w:t xml:space="preserve">Dans le cadre de ses activités au Canada, une succursale de prêt peut seulement soit accepter des dépôts ou contracter des emprunts au moyen d’instruments financiers, soit garantir des titres ou accepter des lettres de change émis par une personne qui sont vendus à, ou négociés avec, selon le cas : </w:t>
            </w:r>
          </w:p>
          <w:p>
            <w:pPr>
              <w:widowControl/>
              <w:autoSpaceDE w:val="0"/>
              <w:autoSpaceDN w:val="0"/>
              <w:adjustRightInd w:val="0"/>
              <w:spacing w:before="60" w:after="60" w:line="240" w:lineRule="auto"/>
              <w:ind w:left="1276" w:hanging="567"/>
              <w:rPr>
                <w:rFonts w:eastAsia="Calibri"/>
                <w:noProof/>
                <w:color w:val="000000"/>
                <w:szCs w:val="24"/>
                <w:lang w:val="fr-CA" w:eastAsia="en-US"/>
              </w:rPr>
            </w:pPr>
            <w:r>
              <w:rPr>
                <w:rFonts w:eastAsia="Calibri"/>
                <w:noProof/>
                <w:szCs w:val="24"/>
                <w:lang w:val="fr-CA" w:eastAsia="en-US"/>
              </w:rPr>
              <w:t>a)</w:t>
            </w:r>
            <w:r>
              <w:rPr>
                <w:rFonts w:eastAsia="Calibri"/>
                <w:noProof/>
                <w:szCs w:val="24"/>
                <w:lang w:val="fr-CA" w:eastAsia="en-US"/>
              </w:rPr>
              <w:tab/>
              <w:t>une institution financière (autre qu’une banque étrangère);</w:t>
            </w:r>
            <w:r>
              <w:rPr>
                <w:rFonts w:eastAsia="Calibri"/>
                <w:noProof/>
                <w:color w:val="000000"/>
                <w:szCs w:val="24"/>
                <w:lang w:val="fr-CA" w:eastAsia="en-US"/>
              </w:rPr>
              <w:t xml:space="preserve"> </w:t>
            </w:r>
          </w:p>
          <w:p>
            <w:pPr>
              <w:widowControl/>
              <w:autoSpaceDE w:val="0"/>
              <w:autoSpaceDN w:val="0"/>
              <w:adjustRightInd w:val="0"/>
              <w:spacing w:before="60" w:after="60" w:line="240" w:lineRule="auto"/>
              <w:ind w:left="1276" w:hanging="567"/>
              <w:rPr>
                <w:rFonts w:eastAsia="Calibri"/>
                <w:noProof/>
                <w:color w:val="000000"/>
                <w:szCs w:val="24"/>
                <w:lang w:val="fr-CA" w:eastAsia="en-US"/>
              </w:rPr>
            </w:pPr>
            <w:r>
              <w:rPr>
                <w:rFonts w:eastAsia="Calibri"/>
                <w:noProof/>
                <w:szCs w:val="24"/>
                <w:lang w:val="fr-CA" w:eastAsia="en-US"/>
              </w:rPr>
              <w:t>b)</w:t>
            </w:r>
            <w:r>
              <w:rPr>
                <w:rFonts w:eastAsia="Calibri"/>
                <w:noProof/>
                <w:szCs w:val="24"/>
                <w:lang w:val="fr-CA" w:eastAsia="en-US"/>
              </w:rPr>
              <w:tab/>
              <w:t>une banque étrangère qui :</w:t>
            </w:r>
            <w:r>
              <w:rPr>
                <w:rFonts w:eastAsia="Calibri"/>
                <w:noProof/>
                <w:color w:val="000000"/>
                <w:szCs w:val="24"/>
                <w:lang w:val="fr-CA" w:eastAsia="en-US"/>
              </w:rPr>
              <w:t xml:space="preserve"> </w:t>
            </w:r>
          </w:p>
          <w:p>
            <w:pPr>
              <w:widowControl/>
              <w:autoSpaceDE w:val="0"/>
              <w:autoSpaceDN w:val="0"/>
              <w:adjustRightInd w:val="0"/>
              <w:spacing w:before="60" w:after="60" w:line="240" w:lineRule="auto"/>
              <w:ind w:left="1985" w:hanging="545"/>
              <w:rPr>
                <w:rFonts w:eastAsia="Calibri"/>
                <w:noProof/>
                <w:color w:val="000000"/>
                <w:szCs w:val="24"/>
                <w:lang w:val="fr-CA" w:eastAsia="en-US"/>
              </w:rPr>
            </w:pPr>
            <w:r>
              <w:rPr>
                <w:rFonts w:eastAsia="Calibri"/>
                <w:noProof/>
                <w:szCs w:val="24"/>
                <w:lang w:val="fr-CA" w:eastAsia="en-US"/>
              </w:rPr>
              <w:t>i)</w:t>
            </w:r>
            <w:r>
              <w:rPr>
                <w:rFonts w:eastAsia="Calibri"/>
                <w:noProof/>
                <w:szCs w:val="24"/>
                <w:lang w:val="fr-CA" w:eastAsia="en-US"/>
              </w:rPr>
              <w:tab/>
              <w:t>est une banque d’après la législation du territoire sous le régime des lois duquel elle a été constituée ou d’un territoire où elle exerce ses activités;</w:t>
            </w:r>
            <w:r>
              <w:rPr>
                <w:rFonts w:eastAsia="Calibri"/>
                <w:noProof/>
                <w:color w:val="000000"/>
                <w:szCs w:val="24"/>
                <w:lang w:val="fr-CA" w:eastAsia="en-US"/>
              </w:rPr>
              <w:t xml:space="preserve"> </w:t>
            </w:r>
          </w:p>
          <w:p>
            <w:pPr>
              <w:widowControl/>
              <w:autoSpaceDE w:val="0"/>
              <w:autoSpaceDN w:val="0"/>
              <w:adjustRightInd w:val="0"/>
              <w:spacing w:before="60" w:after="60" w:line="240" w:lineRule="auto"/>
              <w:ind w:left="1985" w:hanging="545"/>
              <w:rPr>
                <w:rFonts w:eastAsia="Calibri"/>
                <w:noProof/>
                <w:color w:val="000000"/>
                <w:szCs w:val="24"/>
                <w:lang w:val="fr-CA" w:eastAsia="en-US"/>
              </w:rPr>
            </w:pPr>
            <w:r>
              <w:rPr>
                <w:rFonts w:eastAsia="Calibri"/>
                <w:noProof/>
                <w:szCs w:val="24"/>
                <w:lang w:val="fr-CA" w:eastAsia="en-US"/>
              </w:rPr>
              <w:t>ii)</w:t>
            </w:r>
            <w:r>
              <w:rPr>
                <w:rFonts w:eastAsia="Calibri"/>
                <w:noProof/>
                <w:szCs w:val="24"/>
                <w:lang w:val="fr-CA" w:eastAsia="en-US"/>
              </w:rPr>
              <w:tab/>
              <w:t>fournit des services financiers et porte un nom qui renferme le terme « banque », « bank », « bancaire » ou « banking »;</w:t>
            </w:r>
            <w:r>
              <w:rPr>
                <w:rFonts w:eastAsia="Calibri"/>
                <w:noProof/>
                <w:color w:val="000000"/>
                <w:szCs w:val="24"/>
                <w:lang w:val="fr-CA" w:eastAsia="en-US"/>
              </w:rPr>
              <w:t xml:space="preserve"> </w:t>
            </w:r>
          </w:p>
          <w:p>
            <w:pPr>
              <w:widowControl/>
              <w:autoSpaceDE w:val="0"/>
              <w:autoSpaceDN w:val="0"/>
              <w:adjustRightInd w:val="0"/>
              <w:spacing w:before="60" w:after="60" w:line="240" w:lineRule="auto"/>
              <w:ind w:left="1985" w:hanging="545"/>
              <w:rPr>
                <w:rFonts w:eastAsia="Calibri"/>
                <w:noProof/>
                <w:color w:val="000000"/>
                <w:szCs w:val="24"/>
                <w:lang w:val="fr-CA" w:eastAsia="en-US"/>
              </w:rPr>
            </w:pPr>
            <w:r>
              <w:rPr>
                <w:rFonts w:eastAsia="Calibri"/>
                <w:noProof/>
                <w:szCs w:val="24"/>
                <w:lang w:val="fr-CA" w:eastAsia="en-US"/>
              </w:rPr>
              <w:t>iii)</w:t>
            </w:r>
            <w:r>
              <w:rPr>
                <w:rFonts w:eastAsia="Calibri"/>
                <w:noProof/>
                <w:szCs w:val="24"/>
                <w:lang w:val="fr-CA" w:eastAsia="en-US"/>
              </w:rPr>
              <w:tab/>
              <w:t>est réglementée comme une banque ou une institution de dépôt sur le territoire sous le régime des lois duquel elle a été constituée ou sur un territoire où elle exerce ses activités;</w:t>
            </w:r>
            <w:r>
              <w:rPr>
                <w:rFonts w:eastAsia="Calibri"/>
                <w:noProof/>
                <w:color w:val="000000"/>
                <w:szCs w:val="24"/>
                <w:lang w:val="fr-CA" w:eastAsia="en-US"/>
              </w:rPr>
              <w:t xml:space="preserve"> </w:t>
            </w:r>
          </w:p>
          <w:p>
            <w:pPr>
              <w:widowControl/>
              <w:autoSpaceDE w:val="0"/>
              <w:autoSpaceDN w:val="0"/>
              <w:adjustRightInd w:val="0"/>
              <w:spacing w:before="60" w:after="60" w:line="240" w:lineRule="auto"/>
              <w:rPr>
                <w:rFonts w:eastAsia="Calibri"/>
                <w:noProof/>
                <w:color w:val="000000"/>
                <w:szCs w:val="24"/>
                <w:lang w:val="fr-CA" w:eastAsia="en-US"/>
              </w:rPr>
            </w:pPr>
            <w:r>
              <w:rPr>
                <w:rFonts w:eastAsia="Calibri"/>
                <w:noProof/>
                <w:szCs w:val="24"/>
                <w:lang w:val="fr-CA" w:eastAsia="en-US"/>
              </w:rPr>
              <w:t>si les instruments financiers, titres ou lettres de change ne peuvent être vendus ou négociés par la suite.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IIIA-C-4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Sous-secteur :</w:t>
            </w:r>
            <w:r>
              <w:rPr>
                <w:rFonts w:eastAsiaTheme="minorHAnsi"/>
                <w:b/>
                <w:bCs/>
                <w:noProof/>
                <w:color w:val="000000"/>
                <w:szCs w:val="22"/>
                <w:lang w:val="fr-CA" w:eastAsia="en-US"/>
              </w:rPr>
              <w:t xml:space="preserve"> </w:t>
            </w:r>
          </w:p>
        </w:tc>
        <w:tc>
          <w:tcPr>
            <w:tcW w:w="6500" w:type="dxa"/>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Tous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autoSpaceDE w:val="0"/>
              <w:autoSpaceDN w:val="0"/>
              <w:adjustRightInd w:val="0"/>
              <w:spacing w:before="60" w:after="60" w:line="240" w:lineRule="auto"/>
              <w:rPr>
                <w:rFonts w:eastAsiaTheme="minorHAnsi"/>
                <w:noProof/>
                <w:szCs w:val="24"/>
                <w:lang w:val="fr-CA" w:eastAsia="en-US"/>
              </w:rPr>
            </w:pPr>
            <w:r>
              <w:rPr>
                <w:rFonts w:eastAsiaTheme="minorHAnsi"/>
                <w:noProof/>
                <w:szCs w:val="24"/>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spacing w:before="60" w:after="60" w:line="240" w:lineRule="auto"/>
              <w:ind w:left="2160" w:hanging="2160"/>
              <w:rPr>
                <w:rFonts w:eastAsiaTheme="minorHAnsi"/>
                <w:i/>
                <w:noProof/>
                <w:szCs w:val="24"/>
                <w:lang w:val="fr-CA" w:eastAsia="en-US"/>
              </w:rPr>
            </w:pPr>
            <w:r>
              <w:rPr>
                <w:rFonts w:eastAsiaTheme="minorHAnsi"/>
                <w:i/>
                <w:noProof/>
                <w:szCs w:val="24"/>
                <w:lang w:val="fr-CA" w:eastAsia="en-US"/>
              </w:rPr>
              <w:t>Loi sur les sociétés de fiducie et de prêt</w:t>
            </w:r>
            <w:r>
              <w:rPr>
                <w:rFonts w:eastAsiaTheme="minorHAnsi"/>
                <w:noProof/>
                <w:szCs w:val="24"/>
                <w:lang w:val="fr-CA" w:eastAsia="en-US"/>
              </w:rPr>
              <w:t>, L.C. 1991, c. 45</w:t>
            </w:r>
          </w:p>
          <w:p>
            <w:pPr>
              <w:widowControl/>
              <w:spacing w:before="60" w:after="60" w:line="240" w:lineRule="auto"/>
              <w:ind w:left="2160" w:hanging="2160"/>
              <w:rPr>
                <w:rFonts w:eastAsiaTheme="minorHAnsi"/>
                <w:i/>
                <w:noProof/>
                <w:szCs w:val="24"/>
                <w:lang w:val="fr-CA" w:eastAsia="en-US"/>
              </w:rPr>
            </w:pPr>
            <w:r>
              <w:rPr>
                <w:rFonts w:eastAsiaTheme="minorHAnsi"/>
                <w:i/>
                <w:noProof/>
                <w:szCs w:val="24"/>
                <w:lang w:val="fr-CA" w:eastAsia="en-US"/>
              </w:rPr>
              <w:t>Loi sur les banques</w:t>
            </w:r>
            <w:r>
              <w:rPr>
                <w:rFonts w:eastAsiaTheme="minorHAnsi"/>
                <w:noProof/>
                <w:szCs w:val="24"/>
                <w:lang w:val="fr-CA" w:eastAsia="en-US"/>
              </w:rPr>
              <w:t>, L.C. 1991, c. 46</w:t>
            </w:r>
          </w:p>
          <w:p>
            <w:pPr>
              <w:widowControl/>
              <w:spacing w:before="60" w:after="60" w:line="240" w:lineRule="auto"/>
              <w:ind w:left="2160" w:hanging="2160"/>
              <w:rPr>
                <w:rFonts w:eastAsiaTheme="minorHAnsi"/>
                <w:i/>
                <w:noProof/>
                <w:szCs w:val="24"/>
                <w:lang w:val="fr-CA" w:eastAsia="en-US"/>
              </w:rPr>
            </w:pPr>
            <w:r>
              <w:rPr>
                <w:rFonts w:eastAsiaTheme="minorHAnsi"/>
                <w:i/>
                <w:noProof/>
                <w:szCs w:val="24"/>
                <w:lang w:val="fr-CA" w:eastAsia="en-US"/>
              </w:rPr>
              <w:t>Loi sur les associations coopératives de crédit</w:t>
            </w:r>
            <w:r>
              <w:rPr>
                <w:rFonts w:eastAsiaTheme="minorHAnsi"/>
                <w:noProof/>
                <w:szCs w:val="24"/>
                <w:lang w:val="fr-CA" w:eastAsia="en-US"/>
              </w:rPr>
              <w:t>, L.C. 1991, c. 48</w:t>
            </w:r>
          </w:p>
          <w:p>
            <w:pPr>
              <w:widowControl/>
              <w:autoSpaceDE w:val="0"/>
              <w:autoSpaceDN w:val="0"/>
              <w:adjustRightInd w:val="0"/>
              <w:spacing w:before="60" w:after="60" w:line="240" w:lineRule="auto"/>
              <w:rPr>
                <w:rFonts w:eastAsiaTheme="minorHAnsi"/>
                <w:i/>
                <w:noProof/>
                <w:szCs w:val="24"/>
                <w:lang w:val="fr-CA" w:eastAsia="en-US"/>
              </w:rPr>
            </w:pPr>
            <w:r>
              <w:rPr>
                <w:rFonts w:eastAsiaTheme="minorHAnsi"/>
                <w:i/>
                <w:noProof/>
                <w:szCs w:val="24"/>
                <w:lang w:val="fr-CA" w:eastAsia="en-US"/>
              </w:rPr>
              <w:t>Loi sur les sociétés d’assurance</w:t>
            </w:r>
            <w:r>
              <w:rPr>
                <w:rFonts w:eastAsiaTheme="minorHAnsi"/>
                <w:noProof/>
                <w:szCs w:val="24"/>
                <w:lang w:val="fr-CA" w:eastAsia="en-US"/>
              </w:rPr>
              <w:t>, L.C. 1991, c. 47</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autoSpaceDE w:val="0"/>
              <w:autoSpaceDN w:val="0"/>
              <w:adjustRightInd w:val="0"/>
              <w:spacing w:before="60" w:after="60" w:line="240" w:lineRule="auto"/>
              <w:rPr>
                <w:rFonts w:eastAsia="Calibri"/>
                <w:noProof/>
                <w:color w:val="000000"/>
                <w:szCs w:val="24"/>
                <w:lang w:val="fr-CA" w:eastAsia="en-US"/>
              </w:rPr>
            </w:pPr>
            <w:r>
              <w:rPr>
                <w:rFonts w:eastAsia="Calibri"/>
                <w:noProof/>
                <w:szCs w:val="24"/>
                <w:lang w:val="fr-CA" w:eastAsia="en-US"/>
              </w:rPr>
              <w:t>En vertu de la législation fédérale, une société de fiducie et de prêt, une coopérative de crédit ou une société fraternelle au Canada ne peut être établie par des succursales de personnes morales organisées sous le régime du droit d’un pays étranger.</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IIIA-C-5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Sous-secteur :</w:t>
            </w:r>
            <w:r>
              <w:rPr>
                <w:rFonts w:eastAsiaTheme="minorHAnsi"/>
                <w:b/>
                <w:bCs/>
                <w:noProof/>
                <w:color w:val="000000"/>
                <w:szCs w:val="22"/>
                <w:lang w:val="fr-CA" w:eastAsia="en-US"/>
              </w:rPr>
              <w:t xml:space="preserve"> </w:t>
            </w:r>
          </w:p>
        </w:tc>
        <w:tc>
          <w:tcPr>
            <w:tcW w:w="6500" w:type="dxa"/>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Tous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autoSpaceDE w:val="0"/>
              <w:autoSpaceDN w:val="0"/>
              <w:adjustRightInd w:val="0"/>
              <w:spacing w:before="60" w:after="60" w:line="240" w:lineRule="auto"/>
              <w:rPr>
                <w:rFonts w:eastAsiaTheme="minorHAnsi"/>
                <w:noProof/>
                <w:szCs w:val="24"/>
                <w:lang w:val="fr-CA" w:eastAsia="en-US"/>
              </w:rPr>
            </w:pPr>
            <w:r>
              <w:rPr>
                <w:rFonts w:eastAsiaTheme="minorHAnsi"/>
                <w:noProof/>
                <w:szCs w:val="24"/>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i/>
                <w:noProof/>
                <w:szCs w:val="24"/>
                <w:lang w:val="fr-CA" w:eastAsia="en-US"/>
              </w:rPr>
            </w:pPr>
            <w:r>
              <w:rPr>
                <w:rFonts w:eastAsiaTheme="minorHAnsi"/>
                <w:i/>
                <w:noProof/>
                <w:szCs w:val="24"/>
                <w:lang w:val="fr-CA" w:eastAsia="en-US"/>
              </w:rPr>
              <w:t>Loi sur les banques</w:t>
            </w:r>
            <w:r>
              <w:rPr>
                <w:rFonts w:eastAsiaTheme="minorHAnsi"/>
                <w:noProof/>
                <w:szCs w:val="24"/>
                <w:lang w:val="fr-CA" w:eastAsia="en-US"/>
              </w:rPr>
              <w:t>, L.C. 1991, c. 45, art. 510, 522.16, 524</w:t>
            </w:r>
          </w:p>
          <w:p>
            <w:pPr>
              <w:widowControl/>
              <w:autoSpaceDE w:val="0"/>
              <w:autoSpaceDN w:val="0"/>
              <w:adjustRightInd w:val="0"/>
              <w:spacing w:before="60" w:after="60" w:line="240" w:lineRule="auto"/>
              <w:rPr>
                <w:rFonts w:eastAsiaTheme="minorHAnsi"/>
                <w:i/>
                <w:noProof/>
                <w:szCs w:val="24"/>
                <w:lang w:val="fr-CA" w:eastAsia="en-US"/>
              </w:rPr>
            </w:pPr>
            <w:r>
              <w:rPr>
                <w:rFonts w:eastAsiaTheme="minorHAnsi"/>
                <w:i/>
                <w:noProof/>
                <w:szCs w:val="24"/>
                <w:lang w:val="fr-CA" w:eastAsia="en-US"/>
              </w:rPr>
              <w:t>Loi sur les sociétés d’assurance</w:t>
            </w:r>
            <w:r>
              <w:rPr>
                <w:rFonts w:eastAsiaTheme="minorHAnsi"/>
                <w:noProof/>
                <w:szCs w:val="24"/>
                <w:lang w:val="fr-CA" w:eastAsia="en-US"/>
              </w:rPr>
              <w:t>, L.C. 1991, c. 47, art. 574, 581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ind w:left="567" w:hanging="567"/>
              <w:rPr>
                <w:rFonts w:eastAsiaTheme="minorHAnsi"/>
                <w:noProof/>
                <w:szCs w:val="24"/>
                <w:lang w:val="fr-CA" w:eastAsia="en-US"/>
              </w:rPr>
            </w:pPr>
            <w:r>
              <w:rPr>
                <w:rFonts w:eastAsiaTheme="minorHAnsi"/>
                <w:noProof/>
                <w:szCs w:val="24"/>
                <w:lang w:val="fr-CA" w:eastAsia="en-US"/>
              </w:rPr>
              <w:t>1.</w:t>
            </w:r>
            <w:r>
              <w:rPr>
                <w:rFonts w:eastAsiaTheme="minorHAnsi"/>
                <w:noProof/>
                <w:szCs w:val="24"/>
                <w:lang w:val="fr-CA" w:eastAsia="en-US"/>
              </w:rPr>
              <w:tab/>
              <w:t>Une succursale bancaire doit être établie directement sous la banque étrangère autorisée constituée en personne morale sur le territoire où la banque étrangère exerce principalement son activité.</w:t>
            </w:r>
          </w:p>
          <w:p>
            <w:pPr>
              <w:widowControl/>
              <w:spacing w:before="60" w:after="60" w:line="240" w:lineRule="auto"/>
              <w:ind w:left="567" w:hanging="567"/>
              <w:rPr>
                <w:rFonts w:eastAsiaTheme="minorHAnsi"/>
                <w:noProof/>
                <w:szCs w:val="24"/>
                <w:lang w:val="fr-CA" w:eastAsia="en-US"/>
              </w:rPr>
            </w:pPr>
          </w:p>
          <w:p>
            <w:pPr>
              <w:widowControl/>
              <w:spacing w:before="60" w:after="60" w:line="240" w:lineRule="auto"/>
              <w:ind w:left="567" w:hanging="567"/>
              <w:rPr>
                <w:rFonts w:eastAsiaTheme="minorHAnsi"/>
                <w:noProof/>
                <w:szCs w:val="24"/>
                <w:lang w:val="fr-CA" w:eastAsia="en-US"/>
              </w:rPr>
            </w:pPr>
            <w:r>
              <w:rPr>
                <w:rFonts w:eastAsiaTheme="minorHAnsi"/>
                <w:noProof/>
                <w:szCs w:val="24"/>
                <w:lang w:val="fr-CA" w:eastAsia="en-US"/>
              </w:rPr>
              <w:t>2.</w:t>
            </w:r>
            <w:r>
              <w:rPr>
                <w:rFonts w:eastAsiaTheme="minorHAnsi"/>
                <w:noProof/>
                <w:szCs w:val="24"/>
                <w:lang w:val="fr-CA" w:eastAsia="en-US"/>
              </w:rPr>
              <w:tab/>
              <w:t xml:space="preserve">Une entité étrangère autorisée à garantir, au Canada, des risques doit être établie directement sous la compagnie d’assurance étrangère constituée en personne morale sur le territoire où la compagnie d’assurance étrangère exerce principalement son activité, directement ou par l’intermédiaire d’une filiale.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en Alberta</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Sous-secteur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2"/>
                <w:lang w:val="fr-CA" w:eastAsia="en-US"/>
              </w:rPr>
              <w:t xml:space="preserve">Accès aux marchés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2"/>
                <w:lang w:val="fr-CA" w:eastAsia="en-US"/>
              </w:rPr>
              <w:t>Provincial – Alberta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autoSpaceDE w:val="0"/>
              <w:autoSpaceDN w:val="0"/>
              <w:adjustRightInd w:val="0"/>
              <w:spacing w:before="60" w:after="60" w:line="240" w:lineRule="auto"/>
              <w:rPr>
                <w:rFonts w:eastAsiaTheme="minorHAnsi"/>
                <w:i/>
                <w:noProof/>
                <w:szCs w:val="22"/>
                <w:lang w:val="en-CA" w:eastAsia="en-US"/>
              </w:rPr>
            </w:pPr>
            <w:r>
              <w:rPr>
                <w:rFonts w:eastAsiaTheme="minorHAnsi"/>
                <w:i/>
                <w:noProof/>
                <w:szCs w:val="22"/>
                <w:lang w:val="en-CA" w:eastAsia="en-US"/>
              </w:rPr>
              <w:t>Insurance Act</w:t>
            </w:r>
            <w:r>
              <w:rPr>
                <w:rFonts w:eastAsiaTheme="minorHAnsi"/>
                <w:noProof/>
                <w:szCs w:val="22"/>
                <w:lang w:val="en-CA" w:eastAsia="en-US"/>
              </w:rPr>
              <w:t>, R.S.A. 2000, c. I-13</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d’assurance en Alberta peuvent être fournis seulement par : </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 xml:space="preserve">une société constituée en personne morale sous le régime de la législation de l’Alberta; </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une compagnie d’assurance extraprovinciale, c’est-à-dire un assureur constitué en personne morale par ou sous le régime de la législation d’une autre province ou d’un autre territoire du Canada;</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une association formée selon le régime appelé Lloyd’s;</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e)</w:t>
            </w:r>
            <w:r>
              <w:rPr>
                <w:rFonts w:eastAsiaTheme="minorHAnsi"/>
                <w:noProof/>
                <w:szCs w:val="22"/>
                <w:lang w:val="fr-CA" w:eastAsia="en-US"/>
              </w:rPr>
              <w:tab/>
              <w:t>un groupe d’échange d’assurance réciproque;</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f)</w:t>
            </w:r>
            <w:r>
              <w:rPr>
                <w:rFonts w:eastAsiaTheme="minorHAnsi"/>
                <w:noProof/>
                <w:szCs w:val="22"/>
                <w:lang w:val="fr-CA" w:eastAsia="en-US"/>
              </w:rPr>
              <w:tab/>
              <w:t>des sociétés fraternelles;</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g)</w:t>
            </w:r>
            <w:r>
              <w:rPr>
                <w:rFonts w:eastAsiaTheme="minorHAnsi"/>
                <w:noProof/>
                <w:szCs w:val="22"/>
                <w:lang w:val="fr-CA" w:eastAsia="en-US"/>
              </w:rPr>
              <w:tab/>
              <w:t>des courtiers spéciaux.</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Sous-secteur :</w:t>
            </w:r>
            <w:r>
              <w:rPr>
                <w:rFonts w:eastAsiaTheme="minorHAnsi"/>
                <w:b/>
                <w:bCs/>
                <w:noProof/>
                <w:color w:val="000000"/>
                <w:szCs w:val="22"/>
                <w:lang w:val="fr-CA" w:eastAsia="en-US"/>
              </w:rPr>
              <w:t xml:space="pre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Accès aux marchés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2"/>
                <w:lang w:val="fr-CA" w:eastAsia="en-US"/>
              </w:rPr>
              <w:t>Provincial – Alberta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autoSpaceDE w:val="0"/>
              <w:autoSpaceDN w:val="0"/>
              <w:adjustRightInd w:val="0"/>
              <w:spacing w:before="60" w:after="60" w:line="240" w:lineRule="auto"/>
              <w:rPr>
                <w:rFonts w:eastAsiaTheme="minorHAnsi"/>
                <w:i/>
                <w:noProof/>
                <w:szCs w:val="22"/>
                <w:lang w:val="en-CA" w:eastAsia="en-US"/>
              </w:rPr>
            </w:pPr>
            <w:r>
              <w:rPr>
                <w:rFonts w:eastAsiaTheme="minorHAnsi"/>
                <w:i/>
                <w:noProof/>
                <w:szCs w:val="22"/>
                <w:lang w:val="en-CA" w:eastAsia="en-US"/>
              </w:rPr>
              <w:t>Insurance Act</w:t>
            </w:r>
            <w:r>
              <w:rPr>
                <w:rFonts w:eastAsiaTheme="minorHAnsi"/>
                <w:noProof/>
                <w:szCs w:val="22"/>
                <w:lang w:val="en-CA" w:eastAsia="en-US"/>
              </w:rPr>
              <w:t>, R.S.A. 2000, c. I-13</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filiales de compagnies d’assurance étrangères doivent être autorisées par l’administration fédérale.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Sous-secteur :</w:t>
            </w:r>
            <w:r>
              <w:rPr>
                <w:rFonts w:eastAsiaTheme="minorHAnsi"/>
                <w:b/>
                <w:bCs/>
                <w:noProof/>
                <w:color w:val="000000"/>
                <w:szCs w:val="22"/>
                <w:lang w:val="fr-CA" w:eastAsia="en-US"/>
              </w:rPr>
              <w:t xml:space="pre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Assurance directe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Intermédiation en assurance (contrats) relative au transport maritime, au transport aérien commercial, au lancement d’engins spatiaux et au transport effectué par ces engins (y compris les satellites), ainsi qu’à la réassurance et à la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2"/>
                <w:lang w:val="fr-CA" w:eastAsia="en-US"/>
              </w:rPr>
              <w:t>Provincial – Alberta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autoSpaceDE w:val="0"/>
              <w:autoSpaceDN w:val="0"/>
              <w:adjustRightInd w:val="0"/>
              <w:spacing w:before="60" w:after="60" w:line="240" w:lineRule="auto"/>
              <w:rPr>
                <w:rFonts w:eastAsiaTheme="minorHAnsi"/>
                <w:i/>
                <w:noProof/>
                <w:szCs w:val="22"/>
                <w:lang w:val="en-CA" w:eastAsia="en-US"/>
              </w:rPr>
            </w:pPr>
            <w:r>
              <w:rPr>
                <w:rFonts w:eastAsiaTheme="minorHAnsi"/>
                <w:i/>
                <w:noProof/>
                <w:szCs w:val="22"/>
                <w:lang w:val="en-CA" w:eastAsia="en-US"/>
              </w:rPr>
              <w:t>Insurance Act</w:t>
            </w:r>
            <w:r>
              <w:rPr>
                <w:rFonts w:eastAsiaTheme="minorHAnsi"/>
                <w:noProof/>
                <w:szCs w:val="22"/>
                <w:lang w:val="en-CA" w:eastAsia="en-US"/>
              </w:rPr>
              <w:t>, R.S.A. 2000, c. I-13</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ind w:left="567" w:hanging="567"/>
              <w:rPr>
                <w:rFonts w:eastAsiaTheme="minorHAnsi"/>
                <w:noProof/>
                <w:szCs w:val="22"/>
                <w:lang w:val="fr-CA" w:eastAsia="en-US"/>
              </w:rPr>
            </w:pPr>
            <w:r>
              <w:rPr>
                <w:rFonts w:eastAsiaTheme="minorHAnsi"/>
                <w:noProof/>
                <w:szCs w:val="22"/>
                <w:lang w:val="fr-CA" w:eastAsia="en-US"/>
              </w:rPr>
              <w:t>1.</w:t>
            </w:r>
            <w:r>
              <w:rPr>
                <w:rFonts w:eastAsiaTheme="minorHAnsi"/>
                <w:noProof/>
                <w:szCs w:val="22"/>
                <w:lang w:val="fr-CA" w:eastAsia="en-US"/>
              </w:rPr>
              <w:tab/>
              <w:t>Un droit égal à 50 pour cent de la prime versée doit être payé à la province, et les assureurs non titulaires d’une licence doivent notifier l’assurance de risques dans la province, sauf si une telle assurance est fournie par un courtier spécial titulaire d’une licence en Alberta.</w:t>
            </w:r>
          </w:p>
          <w:p>
            <w:pPr>
              <w:widowControl/>
              <w:spacing w:before="60" w:after="60" w:line="240" w:lineRule="auto"/>
              <w:ind w:left="567" w:hanging="567"/>
              <w:rPr>
                <w:rFonts w:eastAsiaTheme="minorHAnsi"/>
                <w:noProof/>
                <w:szCs w:val="22"/>
                <w:lang w:val="fr-CA" w:eastAsia="en-US"/>
              </w:rPr>
            </w:pPr>
          </w:p>
          <w:p>
            <w:pPr>
              <w:widowControl/>
              <w:spacing w:before="60" w:after="60" w:line="240" w:lineRule="auto"/>
              <w:ind w:left="567" w:hanging="567"/>
              <w:rPr>
                <w:rFonts w:eastAsiaTheme="minorHAnsi"/>
                <w:noProof/>
                <w:szCs w:val="22"/>
                <w:lang w:val="fr-CA" w:eastAsia="en-US"/>
              </w:rPr>
            </w:pPr>
            <w:r>
              <w:rPr>
                <w:rFonts w:eastAsiaTheme="minorHAnsi"/>
                <w:noProof/>
                <w:szCs w:val="22"/>
                <w:lang w:val="fr-CA" w:eastAsia="en-US"/>
              </w:rPr>
              <w:t>2.</w:t>
            </w:r>
            <w:r>
              <w:rPr>
                <w:rFonts w:eastAsiaTheme="minorHAnsi"/>
                <w:noProof/>
                <w:szCs w:val="22"/>
                <w:lang w:val="fr-CA" w:eastAsia="en-US"/>
              </w:rPr>
              <w:tab/>
              <w:t xml:space="preserve">Il est entendu qu’un courtier spécial titulaire d’une licence en Alberta n’est pas tenu de résider en Alberta et qu’un assureur titulaire d’une licence n’est pas tenu d’avoir une présence commerciale en Alberta. </w:t>
            </w:r>
          </w:p>
          <w:p>
            <w:pPr>
              <w:widowControl/>
              <w:spacing w:before="60" w:after="60" w:line="240" w:lineRule="auto"/>
              <w:rPr>
                <w:rFonts w:eastAsiaTheme="minorHAnsi"/>
                <w:noProof/>
                <w:szCs w:val="22"/>
                <w:lang w:val="fr-CA" w:eastAsia="en-US"/>
              </w:rPr>
            </w:pP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Sous-secteur :</w:t>
            </w:r>
            <w:r>
              <w:rPr>
                <w:rFonts w:eastAsiaTheme="minorHAnsi"/>
                <w:b/>
                <w:bCs/>
                <w:noProof/>
                <w:color w:val="000000"/>
                <w:szCs w:val="22"/>
                <w:lang w:val="fr-CA" w:eastAsia="en-US"/>
              </w:rPr>
              <w:t xml:space="pre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bancaires et autres services financiers (à l’exclusion de l’assurance)</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Accès aux marchés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2"/>
                <w:lang w:val="fr-CA" w:eastAsia="en-US"/>
              </w:rPr>
              <w:t>Provincial – Alberta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i/>
                <w:noProof/>
                <w:szCs w:val="22"/>
                <w:lang w:val="en-CA" w:eastAsia="en-US"/>
              </w:rPr>
            </w:pPr>
            <w:r>
              <w:rPr>
                <w:rFonts w:eastAsiaTheme="minorHAnsi"/>
                <w:i/>
                <w:noProof/>
                <w:szCs w:val="22"/>
                <w:lang w:val="en-CA" w:eastAsia="en-US"/>
              </w:rPr>
              <w:t>Loan and Trust Corporations Act</w:t>
            </w:r>
            <w:r>
              <w:rPr>
                <w:rFonts w:eastAsiaTheme="minorHAnsi"/>
                <w:noProof/>
                <w:szCs w:val="22"/>
                <w:lang w:val="en-CA" w:eastAsia="en-US"/>
              </w:rPr>
              <w:t xml:space="preserve">, R.S.A. 2000, c. L-20 </w:t>
            </w:r>
          </w:p>
          <w:p>
            <w:pPr>
              <w:widowControl/>
              <w:spacing w:before="60" w:after="60" w:line="240" w:lineRule="auto"/>
              <w:rPr>
                <w:rFonts w:eastAsiaTheme="minorHAnsi"/>
                <w:noProof/>
                <w:szCs w:val="22"/>
                <w:lang w:val="en-CA" w:eastAsia="en-US"/>
              </w:rPr>
            </w:pPr>
            <w:r>
              <w:rPr>
                <w:rFonts w:eastAsiaTheme="minorHAnsi"/>
                <w:i/>
                <w:noProof/>
                <w:szCs w:val="22"/>
                <w:lang w:val="en-CA" w:eastAsia="en-US"/>
              </w:rPr>
              <w:t>Loan and Trust Corporations Regulation</w:t>
            </w:r>
            <w:r>
              <w:rPr>
                <w:rFonts w:eastAsiaTheme="minorHAnsi"/>
                <w:noProof/>
                <w:szCs w:val="22"/>
                <w:lang w:val="en-CA" w:eastAsia="en-US"/>
              </w:rPr>
              <w:t>, Alta. Reg. 171/1992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Pour exercer des activités à titre de société de fiducie et de prêt sous le régime de l’Alberta, une entité doit être une personne morale à laquelle la </w:t>
            </w:r>
            <w:r>
              <w:rPr>
                <w:rFonts w:eastAsiaTheme="minorHAnsi"/>
                <w:i/>
                <w:noProof/>
                <w:szCs w:val="22"/>
                <w:lang w:val="fr-CA" w:eastAsia="en-US"/>
              </w:rPr>
              <w:t>Loan and Trust Corporations Act</w:t>
            </w:r>
            <w:r>
              <w:rPr>
                <w:rFonts w:eastAsiaTheme="minorHAnsi"/>
                <w:noProof/>
                <w:szCs w:val="22"/>
                <w:lang w:val="fr-CA" w:eastAsia="en-US"/>
              </w:rPr>
              <w:t xml:space="preserve"> s’applique.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Sous-secteur :</w:t>
            </w:r>
            <w:r>
              <w:rPr>
                <w:rFonts w:eastAsiaTheme="minorHAnsi"/>
                <w:b/>
                <w:bCs/>
                <w:noProof/>
                <w:color w:val="000000"/>
                <w:szCs w:val="22"/>
                <w:lang w:val="fr-CA" w:eastAsia="en-US"/>
              </w:rPr>
              <w:t xml:space="pre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bancaires et autres services financiers (à l’exclusion de l’assurance)</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2"/>
                <w:lang w:val="fr-CA" w:eastAsia="en-US"/>
              </w:rPr>
              <w:t>Provincial – Alberta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i/>
                <w:noProof/>
                <w:szCs w:val="22"/>
                <w:lang w:val="en-CA" w:eastAsia="en-US"/>
              </w:rPr>
            </w:pPr>
            <w:r>
              <w:rPr>
                <w:rFonts w:eastAsiaTheme="minorHAnsi"/>
                <w:i/>
                <w:noProof/>
                <w:szCs w:val="22"/>
                <w:lang w:val="en-CA" w:eastAsia="en-US"/>
              </w:rPr>
              <w:t>Loan and Trust Corporations Act</w:t>
            </w:r>
            <w:r>
              <w:rPr>
                <w:rFonts w:eastAsiaTheme="minorHAnsi"/>
                <w:noProof/>
                <w:szCs w:val="22"/>
                <w:lang w:val="en-CA" w:eastAsia="en-US"/>
              </w:rPr>
              <w:t xml:space="preserve">, R.S.A. 2000, c. L-20 </w:t>
            </w:r>
          </w:p>
          <w:p>
            <w:pPr>
              <w:widowControl/>
              <w:spacing w:before="60" w:after="60" w:line="240" w:lineRule="auto"/>
              <w:rPr>
                <w:rFonts w:eastAsiaTheme="minorHAnsi"/>
                <w:i/>
                <w:noProof/>
                <w:szCs w:val="22"/>
                <w:lang w:val="en-CA" w:eastAsia="en-US"/>
              </w:rPr>
            </w:pPr>
            <w:r>
              <w:rPr>
                <w:rFonts w:eastAsiaTheme="minorHAnsi"/>
                <w:i/>
                <w:noProof/>
                <w:szCs w:val="22"/>
                <w:lang w:val="en-CA" w:eastAsia="en-US"/>
              </w:rPr>
              <w:t>Loan and Trust Corporations Regulation</w:t>
            </w:r>
            <w:r>
              <w:rPr>
                <w:rFonts w:eastAsiaTheme="minorHAnsi"/>
                <w:noProof/>
                <w:szCs w:val="22"/>
                <w:lang w:val="en-CA" w:eastAsia="en-US"/>
              </w:rPr>
              <w:t>, Alta. Reg. 171/1992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Au moins les trois quarts des administrateurs d’une société de fiducie et de prêt en Alberta doivent résider habituellement au Canada.</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noProof/>
                <w:szCs w:val="22"/>
                <w:lang w:val="fr-CA" w:eastAsia="en-US"/>
              </w:rPr>
              <w:t>Provincial – Alberta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en-CA" w:eastAsia="en-US"/>
              </w:rPr>
            </w:pPr>
            <w:r>
              <w:rPr>
                <w:rFonts w:eastAsiaTheme="minorHAnsi"/>
                <w:i/>
                <w:noProof/>
                <w:szCs w:val="22"/>
                <w:lang w:val="en-CA" w:eastAsia="en-US"/>
              </w:rPr>
              <w:t>Credit Union Act</w:t>
            </w:r>
            <w:r>
              <w:rPr>
                <w:rFonts w:eastAsiaTheme="minorHAnsi"/>
                <w:noProof/>
                <w:szCs w:val="22"/>
                <w:lang w:val="en-CA" w:eastAsia="en-US"/>
              </w:rPr>
              <w:t>, R.S.A. 2000, c. C-32</w:t>
            </w:r>
          </w:p>
          <w:p>
            <w:pPr>
              <w:widowControl/>
              <w:spacing w:before="60" w:after="60" w:line="240" w:lineRule="auto"/>
              <w:rPr>
                <w:rFonts w:eastAsiaTheme="minorHAnsi"/>
                <w:i/>
                <w:noProof/>
                <w:szCs w:val="22"/>
                <w:lang w:val="en-CA" w:eastAsia="en-US"/>
              </w:rPr>
            </w:pPr>
            <w:r>
              <w:rPr>
                <w:rFonts w:eastAsiaTheme="minorHAnsi"/>
                <w:i/>
                <w:noProof/>
                <w:szCs w:val="22"/>
                <w:lang w:val="en-CA" w:eastAsia="en-US"/>
              </w:rPr>
              <w:t>Credit Union Regulation,</w:t>
            </w:r>
            <w:r>
              <w:rPr>
                <w:rFonts w:eastAsiaTheme="minorHAnsi"/>
                <w:noProof/>
                <w:szCs w:val="22"/>
                <w:lang w:val="en-CA" w:eastAsia="en-US"/>
              </w:rPr>
              <w:t xml:space="preserve"> Alta. Reg. 249/1989</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Une coopérative de crédit doit être constituée en personne morale en Alberta.</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Sous-secteur :</w:t>
            </w:r>
            <w:r>
              <w:rPr>
                <w:rFonts w:eastAsiaTheme="minorHAnsi"/>
                <w:b/>
                <w:bCs/>
                <w:noProof/>
                <w:color w:val="000000"/>
                <w:szCs w:val="22"/>
                <w:lang w:val="fr-CA" w:eastAsia="en-US"/>
              </w:rPr>
              <w:t xml:space="pre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Dirigeants et conseils d’administration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2"/>
                <w:lang w:val="fr-CA" w:eastAsia="en-US"/>
              </w:rPr>
              <w:t>Provincial – Alberta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en-CA" w:eastAsia="en-US"/>
              </w:rPr>
            </w:pPr>
            <w:r>
              <w:rPr>
                <w:rFonts w:eastAsiaTheme="minorHAnsi"/>
                <w:i/>
                <w:noProof/>
                <w:szCs w:val="22"/>
                <w:lang w:val="en-CA" w:eastAsia="en-US"/>
              </w:rPr>
              <w:t>Credit Union Act</w:t>
            </w:r>
            <w:r>
              <w:rPr>
                <w:rFonts w:eastAsiaTheme="minorHAnsi"/>
                <w:noProof/>
                <w:szCs w:val="22"/>
                <w:lang w:val="en-CA" w:eastAsia="en-US"/>
              </w:rPr>
              <w:t>, R.S.A. 2000, c. C-32</w:t>
            </w:r>
          </w:p>
          <w:p>
            <w:pPr>
              <w:widowControl/>
              <w:spacing w:before="60" w:after="60" w:line="240" w:lineRule="auto"/>
              <w:rPr>
                <w:rFonts w:eastAsiaTheme="minorHAnsi"/>
                <w:i/>
                <w:noProof/>
                <w:szCs w:val="22"/>
                <w:lang w:val="en-CA" w:eastAsia="en-US"/>
              </w:rPr>
            </w:pPr>
            <w:r>
              <w:rPr>
                <w:rFonts w:eastAsiaTheme="minorHAnsi"/>
                <w:i/>
                <w:noProof/>
                <w:szCs w:val="22"/>
                <w:lang w:val="en-CA" w:eastAsia="en-US"/>
              </w:rPr>
              <w:t>Credit Union Regulation</w:t>
            </w:r>
            <w:r>
              <w:rPr>
                <w:rFonts w:eastAsiaTheme="minorHAnsi"/>
                <w:noProof/>
                <w:szCs w:val="22"/>
                <w:lang w:val="en-CA" w:eastAsia="en-US"/>
              </w:rPr>
              <w:t xml:space="preserve">, Alta. Reg. 249/1989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administrateurs de coopératives de crédit en Alberta doivent être citoyens canadiens ou résidents permanents du Canada, et les trois quarts d’entre eux doivent en tout temps résider habituellement en Alberta.</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conseil et services financiers auxiliaires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Alberta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i/>
                <w:noProof/>
                <w:szCs w:val="22"/>
                <w:lang w:val="en-CA" w:eastAsia="en-US"/>
              </w:rPr>
            </w:pPr>
            <w:r>
              <w:rPr>
                <w:rFonts w:eastAsiaTheme="minorHAnsi"/>
                <w:i/>
                <w:noProof/>
                <w:szCs w:val="22"/>
                <w:lang w:val="en-CA" w:eastAsia="en-US"/>
              </w:rPr>
              <w:t>Securities Act</w:t>
            </w:r>
            <w:r>
              <w:rPr>
                <w:rFonts w:eastAsiaTheme="minorHAnsi"/>
                <w:noProof/>
                <w:szCs w:val="22"/>
                <w:lang w:val="en-CA" w:eastAsia="en-US"/>
              </w:rPr>
              <w:t>, R.S.A. 2000, c. S-4</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862"/>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de conseil offerts en Alberta par un conseiller doivent être fournis par l’intermédiaire d’une présence commerciale en Alberta.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Négociation de valeurs mobilières et d’instruments à terme – personnes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Alberta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en-CA" w:eastAsia="en-US"/>
              </w:rPr>
            </w:pPr>
            <w:r>
              <w:rPr>
                <w:rFonts w:eastAsiaTheme="minorHAnsi"/>
                <w:i/>
                <w:noProof/>
                <w:szCs w:val="22"/>
                <w:lang w:val="en-CA" w:eastAsia="en-US"/>
              </w:rPr>
              <w:t>Securities Act</w:t>
            </w:r>
            <w:r>
              <w:rPr>
                <w:rFonts w:eastAsiaTheme="minorHAnsi"/>
                <w:noProof/>
                <w:szCs w:val="22"/>
                <w:lang w:val="en-CA" w:eastAsia="en-US"/>
              </w:rPr>
              <w:t>, R.S.A. 2000, c. S-4, art. 75</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867"/>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Un particulier ou une entreprise doit s’inscrire pour négocier par l’intermédiaire de courtiers qui ne sont ni résidents de l’Alberta ni inscrits dans cette province.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IIIA-PT-10</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bancaires et autres services financiers (à l’exclusion de l’assurance)</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Alberta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en-CA" w:eastAsia="en-US"/>
              </w:rPr>
            </w:pPr>
            <w:r>
              <w:rPr>
                <w:rFonts w:eastAsiaTheme="minorHAnsi"/>
                <w:i/>
                <w:noProof/>
                <w:szCs w:val="22"/>
                <w:lang w:val="en-CA" w:eastAsia="en-US"/>
              </w:rPr>
              <w:t>Securities Act</w:t>
            </w:r>
            <w:r>
              <w:rPr>
                <w:rFonts w:eastAsiaTheme="minorHAnsi"/>
                <w:noProof/>
                <w:szCs w:val="22"/>
                <w:lang w:val="en-CA" w:eastAsia="en-US"/>
              </w:rPr>
              <w:t>, R.S.A. 2000, c. S-4</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146"/>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fonds mutuels qui offrent des valeurs mobilières au Canada doivent utiliser un dépositaire résident. Il est possible d’utiliser un sous-dépositaire non résident si son capital-actions est d’au moins 100 millions CAD.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en Colombie-Britannique</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cs="Calibri"/>
                <w:i/>
                <w:noProof/>
                <w:szCs w:val="24"/>
                <w:lang w:val="fr-CA" w:eastAsia="en-US"/>
              </w:rPr>
            </w:pPr>
            <w:r>
              <w:rPr>
                <w:rFonts w:eastAsiaTheme="minorHAnsi" w:cs="Calibri"/>
                <w:noProof/>
                <w:szCs w:val="24"/>
                <w:lang w:val="fr-CA" w:eastAsia="en-US"/>
              </w:rPr>
              <w:t>Services bancaires et autres services financiers (à l’exclusion de l’assurance)</w:t>
            </w:r>
          </w:p>
          <w:p>
            <w:pPr>
              <w:widowControl/>
              <w:spacing w:before="60" w:after="60" w:line="240" w:lineRule="auto"/>
              <w:rPr>
                <w:rFonts w:eastAsiaTheme="minorHAnsi" w:cs="Calibri"/>
                <w:noProof/>
                <w:szCs w:val="24"/>
                <w:lang w:val="fr-CA" w:eastAsia="en-US"/>
              </w:rPr>
            </w:pPr>
            <w:r>
              <w:rPr>
                <w:rFonts w:eastAsiaTheme="minorHAnsi" w:cs="Calibri"/>
                <w:noProof/>
                <w:szCs w:val="24"/>
                <w:lang w:val="fr-CA" w:eastAsia="en-US"/>
              </w:rPr>
              <w:t>Sociétés de fiducie et de prêt</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p>
            <w:pPr>
              <w:widowControl/>
              <w:spacing w:before="60" w:after="60" w:line="240" w:lineRule="auto"/>
              <w:ind w:left="2880" w:hanging="2880"/>
              <w:rPr>
                <w:rFonts w:eastAsiaTheme="minorHAnsi" w:cs="Calibri"/>
                <w:noProof/>
                <w:szCs w:val="24"/>
                <w:lang w:val="fr-CA" w:eastAsia="en-US"/>
              </w:rPr>
            </w:pPr>
            <w:r>
              <w:rPr>
                <w:rFonts w:eastAsiaTheme="minorHAnsi" w:cs="Calibri"/>
                <w:noProof/>
                <w:szCs w:val="24"/>
                <w:lang w:val="fr-CA" w:eastAsia="en-US"/>
              </w:rPr>
              <w:t>Services d’assurance et services connexes</w:t>
            </w:r>
          </w:p>
          <w:p>
            <w:pPr>
              <w:widowControl/>
              <w:spacing w:before="60" w:after="60" w:line="240" w:lineRule="auto"/>
              <w:ind w:left="2880" w:hanging="2880"/>
              <w:rPr>
                <w:rFonts w:eastAsiaTheme="minorHAnsi" w:cs="Calibri"/>
                <w:i/>
                <w:noProof/>
                <w:szCs w:val="24"/>
                <w:lang w:val="fr-CA" w:eastAsia="en-US"/>
              </w:rPr>
            </w:pPr>
            <w:r>
              <w:rPr>
                <w:rFonts w:eastAsiaTheme="minorHAnsi" w:cs="Calibri"/>
                <w:noProof/>
                <w:szCs w:val="24"/>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Colombie-Britannique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cs="Calibri"/>
                <w:bCs/>
                <w:i/>
                <w:noProof/>
                <w:szCs w:val="22"/>
                <w:lang w:val="fr-CA" w:eastAsia="en-US"/>
              </w:rPr>
            </w:pPr>
            <w:r>
              <w:rPr>
                <w:rFonts w:eastAsiaTheme="minorHAnsi" w:cs="Calibri"/>
                <w:bCs/>
                <w:i/>
                <w:noProof/>
                <w:szCs w:val="22"/>
                <w:lang w:val="fr-CA" w:eastAsia="en-US"/>
              </w:rPr>
              <w:t>Financial Institutions Act</w:t>
            </w:r>
            <w:r>
              <w:rPr>
                <w:rFonts w:eastAsiaTheme="minorHAnsi" w:cs="Calibri"/>
                <w:bCs/>
                <w:noProof/>
                <w:szCs w:val="22"/>
                <w:lang w:val="fr-CA" w:eastAsia="en-US"/>
              </w:rPr>
              <w:t>, R.S.B.C. 1996, c. 141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cs="Calibri"/>
                <w:noProof/>
                <w:szCs w:val="22"/>
                <w:lang w:val="fr-CA" w:eastAsia="en-US"/>
              </w:rPr>
            </w:pPr>
            <w:r>
              <w:rPr>
                <w:rFonts w:eastAsiaTheme="minorHAnsi" w:cs="Calibri"/>
                <w:noProof/>
                <w:szCs w:val="22"/>
                <w:lang w:val="fr-CA" w:eastAsia="en-CA"/>
              </w:rPr>
              <w:t>La majorité des administrateurs des coopératives de crédit, des compagnies d’assurance et des sociétés de fiducie constituées en personnes morales sous le régime provincial doivent résider habituellement au Canada, et au moins un administrateur doit résider habituellement en Colombie-Britannique.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ind w:left="2880" w:hanging="2880"/>
              <w:rPr>
                <w:rFonts w:eastAsiaTheme="minorHAnsi" w:cs="Calibri"/>
                <w:i/>
                <w:noProof/>
                <w:szCs w:val="24"/>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cs="Calibri"/>
                <w:noProof/>
                <w:szCs w:val="22"/>
                <w:lang w:val="fr-CA" w:eastAsia="en-US"/>
              </w:rPr>
            </w:pPr>
            <w:r>
              <w:rPr>
                <w:rFonts w:eastAsiaTheme="minorHAnsi" w:cs="Calibri"/>
                <w:noProof/>
                <w:szCs w:val="22"/>
                <w:lang w:val="fr-CA" w:eastAsia="en-US"/>
              </w:rPr>
              <w:t>Provincial – Colombie-Britannique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en-CA" w:eastAsia="en-US"/>
              </w:rPr>
            </w:pPr>
            <w:r>
              <w:rPr>
                <w:rFonts w:eastAsiaTheme="minorHAnsi"/>
                <w:i/>
                <w:noProof/>
                <w:szCs w:val="22"/>
                <w:lang w:val="en-CA" w:eastAsia="en-US"/>
              </w:rPr>
              <w:t>Financial Institutions Act</w:t>
            </w:r>
            <w:r>
              <w:rPr>
                <w:rFonts w:eastAsiaTheme="minorHAnsi"/>
                <w:noProof/>
                <w:szCs w:val="22"/>
                <w:lang w:val="en-CA" w:eastAsia="en-US"/>
              </w:rPr>
              <w:t>, R.S.B.C. 1996, c. 141, art. 75-76</w:t>
            </w:r>
            <w:r>
              <w:rPr>
                <w:rFonts w:eastAsiaTheme="minorHAnsi"/>
                <w:b/>
                <w:noProof/>
                <w:szCs w:val="22"/>
                <w:lang w:val="en-CA" w:eastAsia="en-US"/>
              </w:rPr>
              <w:tab/>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services d’assurance en Colombie-Britannique peuvent être fournis seulement par :</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 xml:space="preserve">une société constituée en personne morale sous le régime de la législation de la Colombie-Britannique; </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une compagnie d’assurance extraprovinciale, c’est-à-dire un assureur constitué en personne morale par ou sous le régime d’une autre province ou d’un autre territoire du Canada;</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une association formée selon le régime appelé Lloyd’s;</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e)</w:t>
            </w:r>
            <w:r>
              <w:rPr>
                <w:rFonts w:eastAsiaTheme="minorHAnsi"/>
                <w:noProof/>
                <w:szCs w:val="22"/>
                <w:lang w:val="fr-CA" w:eastAsia="en-US"/>
              </w:rPr>
              <w:tab/>
              <w:t>un groupe d’échange d’assurance réciproque.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 xml:space="preserve">Services d’assurance et services connexes </w:t>
            </w:r>
          </w:p>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Accès aux marchés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Colombie-Britannique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Cs/>
                <w:noProof/>
                <w:szCs w:val="22"/>
                <w:lang w:val="fr-CA" w:eastAsia="en-US"/>
              </w:rPr>
            </w:pPr>
            <w:r>
              <w:rPr>
                <w:rFonts w:eastAsiaTheme="minorHAnsi"/>
                <w:bCs/>
                <w:i/>
                <w:noProof/>
                <w:szCs w:val="22"/>
                <w:lang w:val="fr-CA" w:eastAsia="en-US"/>
              </w:rPr>
              <w:t>Financial Institutions Act</w:t>
            </w:r>
            <w:r>
              <w:rPr>
                <w:rFonts w:eastAsiaTheme="minorHAnsi"/>
                <w:bCs/>
                <w:noProof/>
                <w:szCs w:val="22"/>
                <w:lang w:val="fr-CA" w:eastAsia="en-US"/>
              </w:rPr>
              <w:t>, R.S.B.C. 1996, c. 141, art. 48 à 51 relativement aux sociétés de fiducie, d’assurance et de portefeuille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Toute constitution en société, acquisition de parts ou demande d’immatriculation commerciale, lorsque le demandeur contrôle ou contrôlera 10 pour cent ou plus des droits de vote de la société, est soumise à l’approbation de la commission des institutions financières.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Accès aux marchés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Colombie-Britannique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fr-CA" w:eastAsia="en-US"/>
              </w:rPr>
            </w:pPr>
            <w:r>
              <w:rPr>
                <w:rFonts w:eastAsiaTheme="minorHAnsi"/>
                <w:i/>
                <w:noProof/>
                <w:szCs w:val="22"/>
                <w:lang w:val="fr-CA" w:eastAsia="en-US"/>
              </w:rPr>
              <w:t xml:space="preserve">Financial Services Act, </w:t>
            </w:r>
            <w:r>
              <w:rPr>
                <w:rFonts w:eastAsiaTheme="minorHAnsi"/>
                <w:noProof/>
                <w:szCs w:val="22"/>
                <w:lang w:val="fr-CA" w:eastAsia="en-US"/>
              </w:rPr>
              <w:t>R.S.B.C. 1996, c. 141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858"/>
        </w:trPr>
        <w:tc>
          <w:tcPr>
            <w:tcW w:w="9500" w:type="dxa"/>
            <w:gridSpan w:val="2"/>
            <w:shd w:val="clear" w:color="auto" w:fill="auto"/>
          </w:tcPr>
          <w:p>
            <w:pPr>
              <w:widowControl/>
              <w:spacing w:before="60" w:after="60" w:line="240" w:lineRule="auto"/>
              <w:rPr>
                <w:noProof/>
                <w:szCs w:val="22"/>
                <w:lang w:val="fr-CA" w:eastAsia="en-US"/>
              </w:rPr>
            </w:pPr>
            <w:r>
              <w:rPr>
                <w:noProof/>
                <w:szCs w:val="22"/>
                <w:lang w:val="fr-CA" w:eastAsia="en-US"/>
              </w:rPr>
              <w:t>Les services doivent être fournis par l’intermédiaire d’une présence commerciale en Colombie-Britannique.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Sous-secteur :</w:t>
            </w:r>
            <w:r>
              <w:rPr>
                <w:rFonts w:eastAsiaTheme="minorHAnsi"/>
                <w:b/>
                <w:bCs/>
                <w:noProof/>
                <w:color w:val="000000"/>
                <w:szCs w:val="22"/>
                <w:lang w:val="fr-CA" w:eastAsia="en-US"/>
              </w:rPr>
              <w:t xml:space="pre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Tous les services de règlement et de transferts monétaires – 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vAlign w:val="center"/>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cs="Calibri"/>
                <w:noProof/>
                <w:szCs w:val="22"/>
                <w:lang w:val="fr-CA" w:eastAsia="en-US"/>
              </w:rPr>
            </w:pPr>
            <w:r>
              <w:rPr>
                <w:rFonts w:eastAsiaTheme="minorHAnsi" w:cs="Calibri"/>
                <w:noProof/>
                <w:szCs w:val="22"/>
                <w:lang w:val="fr-CA" w:eastAsia="en-US"/>
              </w:rPr>
              <w:t>Provincial – Colombie-Britannique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bCs/>
                <w:i/>
                <w:noProof/>
                <w:szCs w:val="22"/>
                <w:lang w:val="fr-CA" w:eastAsia="en-US"/>
              </w:rPr>
              <w:t>Financial Institutions Act</w:t>
            </w:r>
            <w:r>
              <w:rPr>
                <w:rFonts w:eastAsiaTheme="minorHAnsi"/>
                <w:bCs/>
                <w:noProof/>
                <w:szCs w:val="22"/>
                <w:lang w:val="fr-CA" w:eastAsia="en-US"/>
              </w:rPr>
              <w:t>, R.S.B.C. 1996, c. 141, art. 48 à 51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Toute constitution en société, acquisition de parts ou demande d’immatriculation commerciale, lorsque le demandeur contrôle ou contrôlera 10 pour cent ou plus des droits de vote de la société, est soumise à l’approbation de la commission des institutions financières.</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Négociation de valeurs mobilières et d’instruments à terme – personnes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Colombie-Britannique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color w:val="1F497D"/>
                <w:szCs w:val="22"/>
                <w:lang w:val="en-CA" w:eastAsia="en-US"/>
              </w:rPr>
            </w:pPr>
            <w:r>
              <w:rPr>
                <w:rFonts w:eastAsiaTheme="minorHAnsi"/>
                <w:i/>
                <w:noProof/>
                <w:szCs w:val="22"/>
                <w:lang w:val="en-CA" w:eastAsia="en-US"/>
              </w:rPr>
              <w:t>Securities Act</w:t>
            </w:r>
            <w:r>
              <w:rPr>
                <w:rFonts w:eastAsiaTheme="minorHAnsi"/>
                <w:noProof/>
                <w:szCs w:val="22"/>
                <w:lang w:val="en-CA" w:eastAsia="en-US"/>
              </w:rPr>
              <w:t>, R.S.B.C. 1996, c. 418</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particulier ou une entreprise doit s’inscrire pour pouvoir négocier par l’intermédiaire de courtiers qui ne sont ni résidents de la Colombie-Britannique ni inscrits dans cette province.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Colombie-Britannique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en-CA" w:eastAsia="en-US"/>
              </w:rPr>
            </w:pPr>
            <w:r>
              <w:rPr>
                <w:rFonts w:eastAsiaTheme="minorHAnsi"/>
                <w:i/>
                <w:noProof/>
                <w:szCs w:val="22"/>
                <w:lang w:val="en-CA" w:eastAsia="en-US"/>
              </w:rPr>
              <w:t>Securities Act</w:t>
            </w:r>
            <w:r>
              <w:rPr>
                <w:rFonts w:eastAsiaTheme="minorHAnsi"/>
                <w:noProof/>
                <w:szCs w:val="22"/>
                <w:lang w:val="en-CA" w:eastAsia="en-US"/>
              </w:rPr>
              <w:t>, R.S.B.C. 1996, c. 418</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Norme canadienne 81-102 sur les organismes de placement collectif, B.C. Reg. 20/2000, Partie 6</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au Manitoba</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sur les assurances</w:t>
            </w:r>
            <w:r>
              <w:rPr>
                <w:rFonts w:eastAsiaTheme="minorHAnsi"/>
                <w:noProof/>
                <w:szCs w:val="22"/>
                <w:lang w:val="fr-CA" w:eastAsia="en-US"/>
              </w:rPr>
              <w:t>, C.P.L.M. c. 140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d’assurance au Manitoba peuvent être fournis seulement par : </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 xml:space="preserve">une société constituée en personne morale sous le régime de la législation du Manitoba; </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une compagnie d’assurance extraprovinciale, c’est-à-dire un assureur constitué en personne morale par ou sous le régime de la législation d’une autre province ou d’un autre territoire du Canada;</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une association formée selon le régime appelé Lloyd’s;</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e)</w:t>
            </w:r>
            <w:r>
              <w:rPr>
                <w:rFonts w:eastAsiaTheme="minorHAnsi"/>
                <w:noProof/>
                <w:szCs w:val="22"/>
                <w:lang w:val="fr-CA" w:eastAsia="en-US"/>
              </w:rPr>
              <w:tab/>
              <w:t>un groupe d’échange d’assurance réciproque;</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f)</w:t>
            </w:r>
            <w:r>
              <w:rPr>
                <w:rFonts w:eastAsiaTheme="minorHAnsi"/>
                <w:noProof/>
                <w:szCs w:val="22"/>
                <w:lang w:val="fr-CA" w:eastAsia="en-US"/>
              </w:rPr>
              <w:tab/>
              <w:t>des sociétés fraternelles;</w:t>
            </w:r>
          </w:p>
          <w:p>
            <w:pPr>
              <w:widowControl/>
              <w:spacing w:before="60" w:after="60" w:line="240" w:lineRule="auto"/>
              <w:ind w:left="1440" w:hanging="720"/>
              <w:rPr>
                <w:rFonts w:eastAsiaTheme="minorHAnsi"/>
                <w:noProof/>
                <w:szCs w:val="22"/>
                <w:lang w:val="fr-CA" w:eastAsia="en-US"/>
              </w:rPr>
            </w:pPr>
            <w:r>
              <w:rPr>
                <w:rFonts w:eastAsiaTheme="minorHAnsi"/>
                <w:noProof/>
                <w:szCs w:val="22"/>
                <w:lang w:val="fr-CA" w:eastAsia="en-US"/>
              </w:rPr>
              <w:t>g)</w:t>
            </w:r>
            <w:r>
              <w:rPr>
                <w:rFonts w:eastAsiaTheme="minorHAnsi"/>
                <w:noProof/>
                <w:szCs w:val="22"/>
                <w:lang w:val="fr-CA" w:eastAsia="en-US"/>
              </w:rPr>
              <w:tab/>
              <w:t>des courtiers spéciaux.</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sur les corporations,</w:t>
            </w:r>
            <w:r>
              <w:rPr>
                <w:rFonts w:eastAsiaTheme="minorHAnsi"/>
                <w:noProof/>
                <w:szCs w:val="22"/>
                <w:lang w:val="fr-CA" w:eastAsia="en-US"/>
              </w:rPr>
              <w:t xml:space="preserve"> C.P.L.M. c. C225</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Pour exercer des activités à titre de société de fiducie et de prêt sous le régime du Manitoba, une entité doit être une personne morale à laquelle la partie XXIV de la </w:t>
            </w:r>
            <w:r>
              <w:rPr>
                <w:rFonts w:eastAsiaTheme="minorHAnsi"/>
                <w:i/>
                <w:noProof/>
                <w:szCs w:val="22"/>
                <w:lang w:val="fr-CA" w:eastAsia="en-US"/>
              </w:rPr>
              <w:t>Loi sur les corporations</w:t>
            </w:r>
            <w:r>
              <w:rPr>
                <w:rFonts w:eastAsiaTheme="minorHAnsi"/>
                <w:noProof/>
                <w:szCs w:val="22"/>
                <w:lang w:val="fr-CA" w:eastAsia="en-US"/>
              </w:rPr>
              <w:t xml:space="preserve"> s’applique.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IIIA-PT-20</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fr-CA" w:eastAsia="en-US"/>
              </w:rPr>
            </w:pPr>
            <w:r>
              <w:rPr>
                <w:rFonts w:eastAsiaTheme="minorHAnsi"/>
                <w:i/>
                <w:noProof/>
                <w:szCs w:val="22"/>
                <w:lang w:val="fr-CA" w:eastAsia="en-US"/>
              </w:rPr>
              <w:t>Loi sur les corporations</w:t>
            </w:r>
            <w:r>
              <w:rPr>
                <w:rFonts w:eastAsiaTheme="minorHAnsi"/>
                <w:noProof/>
                <w:szCs w:val="22"/>
                <w:lang w:val="fr-CA" w:eastAsia="en-US"/>
              </w:rPr>
              <w:t>, C.P.L.M. c. C225</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L’acquisition directe ou indirecte de sociétés sous contrôle canadien par des non-résidents est limitée à 10 pour cent individuellement et à 25 pour cent collectivement.</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IIIA-PT-21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corporations</w:t>
            </w:r>
            <w:r>
              <w:rPr>
                <w:rFonts w:eastAsiaTheme="minorHAnsi"/>
                <w:noProof/>
                <w:szCs w:val="22"/>
                <w:lang w:val="fr-CA" w:eastAsia="en-US"/>
              </w:rPr>
              <w:t>, C.P.L.M. c. C225, par. 346(1) et (2)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non-résident ne peut exercer ou faire exercer le droit de vote dont sont assorties ses actions à moins d’être le détenteur inscrit des actions.</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IIIA-PT-22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sur les corporations</w:t>
            </w:r>
            <w:r>
              <w:rPr>
                <w:rFonts w:eastAsiaTheme="minorHAnsi"/>
                <w:noProof/>
                <w:szCs w:val="22"/>
                <w:lang w:val="fr-CA" w:eastAsia="en-US"/>
              </w:rPr>
              <w:t>, C.P.L.M. c. C225, par. 321(6)</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91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La majorité des administrateurs des sociétés de fiducie et de prêt constituées en personnes morales dans la province doivent être résidents du Canada.</w:t>
            </w:r>
          </w:p>
        </w:tc>
      </w:tr>
    </w:tbl>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IIIA-PT-23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sur les caisses populaires et les credit unions,</w:t>
            </w:r>
            <w:r>
              <w:rPr>
                <w:rFonts w:eastAsiaTheme="minorHAnsi"/>
                <w:noProof/>
                <w:szCs w:val="22"/>
                <w:lang w:val="fr-CA" w:eastAsia="en-US"/>
              </w:rPr>
              <w:t xml:space="preserve"> C.P.L.M. c. C301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ind w:left="567" w:hanging="567"/>
              <w:rPr>
                <w:rFonts w:eastAsiaTheme="minorHAnsi"/>
                <w:noProof/>
                <w:szCs w:val="22"/>
                <w:lang w:val="fr-CA" w:eastAsia="en-US"/>
              </w:rPr>
            </w:pPr>
            <w:r>
              <w:rPr>
                <w:rFonts w:eastAsiaTheme="minorHAnsi"/>
                <w:noProof/>
                <w:szCs w:val="22"/>
                <w:lang w:val="fr-CA" w:eastAsia="en-US"/>
              </w:rPr>
              <w:t>1.</w:t>
            </w:r>
            <w:r>
              <w:rPr>
                <w:rFonts w:eastAsiaTheme="minorHAnsi"/>
                <w:noProof/>
                <w:szCs w:val="22"/>
                <w:lang w:val="fr-CA" w:eastAsia="en-US"/>
              </w:rPr>
              <w:tab/>
              <w:t>Les coopératives de crédit ou caisses populaires doivent être constituées en personnes morales au Manitoba.</w:t>
            </w:r>
          </w:p>
          <w:p>
            <w:pPr>
              <w:widowControl/>
              <w:spacing w:before="60" w:after="60" w:line="240" w:lineRule="auto"/>
              <w:ind w:left="567" w:hanging="567"/>
              <w:rPr>
                <w:rFonts w:eastAsiaTheme="minorHAnsi"/>
                <w:noProof/>
                <w:szCs w:val="22"/>
                <w:lang w:val="fr-CA" w:eastAsia="en-US"/>
              </w:rPr>
            </w:pPr>
          </w:p>
          <w:p>
            <w:pPr>
              <w:widowControl/>
              <w:spacing w:before="60" w:after="60" w:line="240" w:lineRule="auto"/>
              <w:ind w:left="567" w:hanging="567"/>
              <w:rPr>
                <w:rFonts w:eastAsiaTheme="minorHAnsi"/>
                <w:noProof/>
                <w:szCs w:val="22"/>
                <w:lang w:val="fr-CA" w:eastAsia="en-US"/>
              </w:rPr>
            </w:pPr>
            <w:r>
              <w:rPr>
                <w:rFonts w:eastAsiaTheme="minorHAnsi"/>
                <w:noProof/>
                <w:szCs w:val="22"/>
                <w:lang w:val="fr-CA" w:eastAsia="en-US"/>
              </w:rPr>
              <w:t>2.</w:t>
            </w:r>
            <w:r>
              <w:rPr>
                <w:rFonts w:eastAsiaTheme="minorHAnsi"/>
                <w:noProof/>
                <w:szCs w:val="22"/>
                <w:lang w:val="fr-CA" w:eastAsia="en-US"/>
              </w:rPr>
              <w:tab/>
              <w:t>Le but des coopératives de crédit est d’offrir des services financiers à leurs membres selon le principe du système coopératif, services qui sont principalement assurés sous la direction ou le contrôle de résidents du Manitoba. Le but des caisses populaires est d’offrir des services financiers en français à leurs membres selon le principe du système coopératif, services qui sont sous la direction ou le contrôle de francophones qui sont des résidents du Manitoba.</w:t>
            </w:r>
          </w:p>
          <w:p>
            <w:pPr>
              <w:widowControl/>
              <w:spacing w:before="60" w:after="60" w:line="240" w:lineRule="auto"/>
              <w:ind w:left="567" w:hanging="567"/>
              <w:rPr>
                <w:rFonts w:eastAsiaTheme="minorHAnsi"/>
                <w:noProof/>
                <w:szCs w:val="22"/>
                <w:lang w:val="fr-CA" w:eastAsia="en-US"/>
              </w:rPr>
            </w:pPr>
          </w:p>
          <w:p>
            <w:pPr>
              <w:widowControl/>
              <w:spacing w:before="60" w:after="60" w:line="240" w:lineRule="auto"/>
              <w:ind w:left="567" w:hanging="567"/>
              <w:rPr>
                <w:rFonts w:eastAsiaTheme="minorHAnsi"/>
                <w:noProof/>
                <w:szCs w:val="22"/>
                <w:lang w:val="fr-CA" w:eastAsia="en-US"/>
              </w:rPr>
            </w:pPr>
            <w:r>
              <w:rPr>
                <w:rFonts w:eastAsiaTheme="minorHAnsi"/>
                <w:noProof/>
                <w:szCs w:val="22"/>
                <w:lang w:val="fr-CA" w:eastAsia="en-US"/>
              </w:rPr>
              <w:t>3.</w:t>
            </w:r>
            <w:r>
              <w:rPr>
                <w:rFonts w:eastAsiaTheme="minorHAnsi"/>
                <w:noProof/>
                <w:szCs w:val="22"/>
                <w:lang w:val="fr-CA" w:eastAsia="en-US"/>
              </w:rPr>
              <w:tab/>
              <w:t xml:space="preserve">« Résident du Manitoba » s’entend d’une personne qui est légalement autorisée à demeurer au Canada, qui est domiciliée au Manitoba et qui est présente dans la province pendant au moins six mois par année. L’expression « credit union » utilisée dans la version anglaise de la </w:t>
            </w:r>
            <w:r>
              <w:rPr>
                <w:rFonts w:eastAsiaTheme="minorHAnsi"/>
                <w:i/>
                <w:noProof/>
                <w:szCs w:val="22"/>
                <w:lang w:val="fr-CA" w:eastAsia="en-US"/>
              </w:rPr>
              <w:t>Loi sur les caisses populaires et les credit unions</w:t>
            </w:r>
            <w:r>
              <w:rPr>
                <w:rFonts w:eastAsiaTheme="minorHAnsi"/>
                <w:noProof/>
                <w:szCs w:val="22"/>
                <w:lang w:val="fr-CA" w:eastAsia="en-US"/>
              </w:rPr>
              <w:t xml:space="preserve"> s’entend aussi d’une caisse populaire, et l’expression « caisse populaire » utilisée dans la version française de la Loi s’entend aussi d’une « credit union ».</w:t>
            </w:r>
          </w:p>
          <w:p>
            <w:pPr>
              <w:widowControl/>
              <w:spacing w:before="60" w:after="60" w:line="240" w:lineRule="auto"/>
              <w:ind w:firstLine="720"/>
              <w:rPr>
                <w:rFonts w:eastAsiaTheme="minorHAnsi"/>
                <w:noProof/>
                <w:szCs w:val="22"/>
                <w:lang w:val="fr-CA" w:eastAsia="en-US"/>
              </w:rPr>
            </w:pPr>
          </w:p>
        </w:tc>
      </w:tr>
    </w:tbl>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IIIA-PT-24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bancaires et autres services financiers (à l’exclusion de l’assurance)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Traitement national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fr-CA" w:eastAsia="en-US"/>
              </w:rPr>
            </w:pPr>
            <w:r>
              <w:rPr>
                <w:rFonts w:eastAsiaTheme="minorHAnsi"/>
                <w:i/>
                <w:noProof/>
                <w:szCs w:val="22"/>
                <w:lang w:val="fr-CA" w:eastAsia="en-US"/>
              </w:rPr>
              <w:t>Loi sur les caisses populaires et les credit unions</w:t>
            </w:r>
            <w:r>
              <w:rPr>
                <w:rFonts w:eastAsiaTheme="minorHAnsi"/>
                <w:noProof/>
                <w:szCs w:val="22"/>
                <w:lang w:val="fr-CA" w:eastAsia="en-US"/>
              </w:rPr>
              <w:t xml:space="preserve">, C.P.L.M. c. C301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Un administrateur d’une credit union ou d’une caisse populaire doit être résident du Canada.</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IIIA-PT-25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bancaires et autres services financiers (à l’exclusion de l’assurance)</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Sociétés d’obligations communautaires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Traitement national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fr-CA" w:eastAsia="en-US"/>
              </w:rPr>
            </w:pPr>
            <w:r>
              <w:rPr>
                <w:rFonts w:eastAsiaTheme="minorHAnsi"/>
                <w:i/>
                <w:noProof/>
                <w:szCs w:val="22"/>
                <w:lang w:val="fr-CA" w:eastAsia="en-US"/>
              </w:rPr>
              <w:t>Loi sur les sociétés agricoles,</w:t>
            </w:r>
            <w:r>
              <w:rPr>
                <w:rFonts w:eastAsiaTheme="minorHAnsi"/>
                <w:noProof/>
                <w:szCs w:val="22"/>
                <w:lang w:val="fr-CA" w:eastAsia="en-US"/>
              </w:rPr>
              <w:t xml:space="preserve"> C.P.L.M. c. A30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administrateur d’une société d’obligations communautaires doit être résident du Manitoba.</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IIIA-PT-26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Négociation de valeurs mobilières et d’instruments à terme – personnes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Fourniture transfrontières des services financiers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C.P.L.M. c. S50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particulier ou une entreprise doit s’inscrire pour pouvoir négocier par l’intermédiaire de courtiers qui ne sont ni résidents du Manitoba ni inscrits dans cette province.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rPr>
          <w:rFonts w:eastAsiaTheme="minorHAnsi"/>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IIIA-PT-27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Négociation de valeurs mobilières et d’instruments à terme et services de conseil et services financiers auxiliaires – courtiers et conseillers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fr-CA" w:eastAsia="en-US"/>
              </w:rPr>
            </w:pPr>
            <w:r>
              <w:rPr>
                <w:rFonts w:eastAsiaTheme="minorHAnsi"/>
                <w:i/>
                <w:noProof/>
                <w:szCs w:val="22"/>
                <w:lang w:val="fr-CA" w:eastAsia="en-US"/>
              </w:rPr>
              <w:t xml:space="preserve">Loi sur les valeurs mobilières, </w:t>
            </w:r>
            <w:r>
              <w:rPr>
                <w:rFonts w:eastAsiaTheme="minorHAnsi"/>
                <w:noProof/>
                <w:szCs w:val="22"/>
                <w:lang w:val="fr-CA" w:eastAsia="en-US"/>
              </w:rPr>
              <w:t>C.P.L.M. c. S50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ind w:left="567" w:hanging="567"/>
              <w:rPr>
                <w:rFonts w:eastAsiaTheme="minorHAnsi"/>
                <w:noProof/>
                <w:lang w:val="fr-CA" w:eastAsia="en-US"/>
              </w:rPr>
            </w:pPr>
            <w:r>
              <w:rPr>
                <w:rFonts w:eastAsiaTheme="minorHAnsi"/>
                <w:noProof/>
                <w:szCs w:val="22"/>
                <w:lang w:val="fr-CA" w:eastAsia="en-US"/>
              </w:rPr>
              <w:t>1.</w:t>
            </w:r>
            <w:r>
              <w:rPr>
                <w:rFonts w:eastAsiaTheme="minorHAnsi"/>
                <w:noProof/>
                <w:szCs w:val="22"/>
                <w:lang w:val="fr-CA" w:eastAsia="en-US"/>
              </w:rPr>
              <w:tab/>
            </w:r>
            <w:r>
              <w:rPr>
                <w:rFonts w:eastAsiaTheme="minorHAnsi"/>
                <w:noProof/>
                <w:lang w:val="fr-FR" w:eastAsia="en-US"/>
              </w:rPr>
              <w:t>Lorsque le requérant est une personne morale, au moins un des dirigeants ou des administrateurs doit remplir l’« exigence relative à la résidence habituelle » et lorsque le requérant est une société en nom collectif, au moins un des associés ou des membres qui sont des particuliers doit remplir l’« exigence relative à la résidence habituelle ».</w:t>
            </w:r>
          </w:p>
          <w:p>
            <w:pPr>
              <w:widowControl/>
              <w:spacing w:before="60" w:after="60" w:line="240" w:lineRule="auto"/>
              <w:ind w:left="2880" w:hanging="2880"/>
              <w:rPr>
                <w:rFonts w:eastAsiaTheme="minorHAnsi"/>
                <w:noProof/>
                <w:szCs w:val="22"/>
                <w:lang w:val="fr-CA" w:eastAsia="en-US"/>
              </w:rPr>
            </w:pPr>
          </w:p>
          <w:p>
            <w:pPr>
              <w:widowControl/>
              <w:spacing w:before="60" w:after="60" w:line="240" w:lineRule="auto"/>
              <w:ind w:left="567" w:hanging="567"/>
              <w:rPr>
                <w:rFonts w:eastAsiaTheme="minorHAnsi"/>
                <w:noProof/>
                <w:szCs w:val="22"/>
                <w:lang w:val="fr-CA" w:eastAsia="en-US"/>
              </w:rPr>
            </w:pPr>
            <w:r>
              <w:rPr>
                <w:rFonts w:eastAsiaTheme="minorHAnsi"/>
                <w:noProof/>
                <w:szCs w:val="22"/>
                <w:lang w:val="fr-CA" w:eastAsia="en-US"/>
              </w:rPr>
              <w:t>2.</w:t>
            </w:r>
            <w:r>
              <w:rPr>
                <w:rFonts w:eastAsiaTheme="minorHAnsi"/>
                <w:noProof/>
                <w:szCs w:val="22"/>
                <w:lang w:val="fr-CA" w:eastAsia="en-US"/>
              </w:rPr>
              <w:tab/>
              <w:t xml:space="preserve">L’« exigence relative à la résidence habituelle » exige qu’un requérant réside au Manitoba à la date de la demande et qu’il ait résidé au Canada pendant au moins un an immédiatement avant la date de la demande, ou qu’il ait été inscrit conformément à la législation sur les valeurs mobilières de l’autorité législative au Canada de son dernier lieu de résidence et qu’il ait été inscrit à ce titre pendant au moins un an immédiatement avant la date de la demande.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IIIA-PT-28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ind w:left="-45"/>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23" w:hanging="22"/>
              <w:rPr>
                <w:rFonts w:eastAsiaTheme="minorHAnsi"/>
                <w:noProof/>
                <w:szCs w:val="22"/>
                <w:lang w:val="fr-CA" w:eastAsia="en-US"/>
              </w:rPr>
            </w:pPr>
            <w:r>
              <w:rPr>
                <w:rFonts w:eastAsiaTheme="minorHAnsi"/>
                <w:noProof/>
                <w:szCs w:val="22"/>
                <w:lang w:val="fr-CA" w:eastAsia="en-US"/>
              </w:rPr>
              <w:t>Services bancaires et autres services financiers (à l’exclusion de l’assurance)</w:t>
            </w:r>
          </w:p>
          <w:p>
            <w:pPr>
              <w:widowControl/>
              <w:spacing w:before="60" w:after="60" w:line="240" w:lineRule="auto"/>
              <w:ind w:left="-23" w:hanging="22"/>
              <w:rPr>
                <w:rFonts w:eastAsiaTheme="minorHAnsi"/>
                <w:noProof/>
                <w:szCs w:val="22"/>
                <w:lang w:val="fr-CA" w:eastAsia="en-US"/>
              </w:rPr>
            </w:pPr>
            <w:r>
              <w:rPr>
                <w:rFonts w:eastAsiaTheme="minorHAnsi"/>
                <w:noProof/>
                <w:szCs w:val="22"/>
                <w:lang w:val="fr-CA" w:eastAsia="en-US"/>
              </w:rPr>
              <w:t>Opérations pour compte propre ou pour compte de clients : services de garde; négociation de valeurs mobilières et d’instruments à terme – personnes; courtiers en valeurs mobilières; négociation de valeurs mobilières et d’instruments à terme; services de conseil et services financiers auxiliaires; courtiers et conseillers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fr-CA" w:eastAsia="en-US"/>
              </w:rPr>
            </w:pPr>
            <w:r>
              <w:rPr>
                <w:rFonts w:eastAsiaTheme="minorHAnsi"/>
                <w:i/>
                <w:noProof/>
                <w:szCs w:val="22"/>
                <w:lang w:val="fr-CA" w:eastAsia="en-US"/>
              </w:rPr>
              <w:t xml:space="preserve">Loi sur les valeurs mobilières, </w:t>
            </w:r>
            <w:r>
              <w:rPr>
                <w:rFonts w:eastAsiaTheme="minorHAnsi"/>
                <w:noProof/>
                <w:szCs w:val="22"/>
                <w:lang w:val="fr-CA" w:eastAsia="en-US"/>
              </w:rPr>
              <w:t>C.P.L.M. c. S50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231"/>
        </w:trPr>
        <w:tc>
          <w:tcPr>
            <w:tcW w:w="9500" w:type="dxa"/>
            <w:gridSpan w:val="2"/>
            <w:shd w:val="clear" w:color="auto" w:fill="auto"/>
          </w:tcPr>
          <w:p>
            <w:pPr>
              <w:widowControl/>
              <w:spacing w:before="60" w:after="60" w:line="240" w:lineRule="auto"/>
              <w:rPr>
                <w:rFonts w:eastAsiaTheme="minorHAnsi" w:cs="Garamond"/>
                <w:bCs/>
                <w:noProof/>
                <w:spacing w:val="2"/>
                <w:szCs w:val="22"/>
                <w:lang w:val="fr-CA" w:eastAsia="en-US"/>
              </w:rPr>
            </w:pPr>
            <w:r>
              <w:rPr>
                <w:rFonts w:eastAsiaTheme="minorHAnsi" w:cs="Garamond"/>
                <w:bCs/>
                <w:noProof/>
                <w:spacing w:val="2"/>
                <w:szCs w:val="22"/>
                <w:lang w:val="fr-CA" w:eastAsia="en-US"/>
              </w:rPr>
              <w:t>Un particulier requérant l</w:t>
            </w:r>
            <w:r>
              <w:rPr>
                <w:rFonts w:eastAsiaTheme="minorHAnsi"/>
                <w:noProof/>
                <w:szCs w:val="22"/>
                <w:lang w:val="fr-CA" w:eastAsia="en-US"/>
              </w:rPr>
              <w:t>’</w:t>
            </w:r>
            <w:r>
              <w:rPr>
                <w:rFonts w:eastAsiaTheme="minorHAnsi" w:cs="Garamond"/>
                <w:bCs/>
                <w:noProof/>
                <w:spacing w:val="2"/>
                <w:szCs w:val="22"/>
                <w:lang w:val="fr-CA" w:eastAsia="en-US"/>
              </w:rPr>
              <w:t>inscription doit être résident du Canada depuis au moins un an avant de pouvoir présenter une demande et être résident de la province dans laquelle il souhaite exercer ses activités au moment de la présentation de la demande.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IIIA-PT-29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i/>
                <w:noProof/>
                <w:szCs w:val="22"/>
                <w:lang w:val="fr-CA" w:eastAsia="en-US"/>
              </w:rPr>
            </w:pPr>
            <w:r>
              <w:rPr>
                <w:rFonts w:eastAsiaTheme="minorHAnsi"/>
                <w:i/>
                <w:noProof/>
                <w:szCs w:val="22"/>
                <w:lang w:val="fr-CA" w:eastAsia="en-US"/>
              </w:rPr>
              <w:t xml:space="preserve">Loi sur les valeurs mobilières, </w:t>
            </w:r>
            <w:r>
              <w:rPr>
                <w:rFonts w:eastAsiaTheme="minorHAnsi"/>
                <w:noProof/>
                <w:szCs w:val="22"/>
                <w:lang w:val="fr-CA" w:eastAsia="en-US"/>
              </w:rPr>
              <w:t>C.P.L.M. c. S50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au Nouveau-Brunswick</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IIIA-PT-30</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Nouveau-Brunswick</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highlight w:val="yellow"/>
                <w:lang w:val="fr-CA" w:eastAsia="en-US"/>
              </w:rPr>
            </w:pPr>
            <w:r>
              <w:rPr>
                <w:rFonts w:eastAsiaTheme="minorHAnsi"/>
                <w:i/>
                <w:noProof/>
                <w:szCs w:val="22"/>
                <w:lang w:val="fr-CA" w:eastAsia="en-US"/>
              </w:rPr>
              <w:t>Lois sur les assurances</w:t>
            </w:r>
            <w:r>
              <w:rPr>
                <w:rFonts w:eastAsiaTheme="minorHAnsi"/>
                <w:noProof/>
                <w:szCs w:val="22"/>
                <w:lang w:val="fr-CA" w:eastAsia="en-US"/>
              </w:rPr>
              <w:t>, L.R.N.-B. 1973, c. I-12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d’assurance au Nouveau-Brunswick peuvent être fournis seulement par :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 xml:space="preserve">une société constituée en personne morale sous le régime de la législation du Nouveau-Brunswick;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une compagnie d’assurance extraprovinciale, c’est-à-dire un assureur constitué en personne morale par ou sous le régime de la législation d’une autre province ou d’un autre territoire du Canada;</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une association formée selon le régime appelé Lloyd’s;</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e)</w:t>
            </w:r>
            <w:r>
              <w:rPr>
                <w:rFonts w:eastAsiaTheme="minorHAnsi"/>
                <w:noProof/>
                <w:szCs w:val="22"/>
                <w:lang w:val="fr-CA" w:eastAsia="en-US"/>
              </w:rPr>
              <w:tab/>
              <w:t>un groupe d’échange d’assurance réciproque.</w:t>
            </w:r>
          </w:p>
        </w:tc>
      </w:tr>
    </w:tbl>
    <w:p>
      <w:pPr>
        <w:widowControl/>
        <w:spacing w:before="60" w:after="60" w:line="240" w:lineRule="auto"/>
        <w:rPr>
          <w:rFonts w:eastAsiaTheme="minorHAnsi"/>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IIIA-PT-31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Nouveau-Brunswick</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compagnies de prêt et de fiducie,</w:t>
            </w:r>
            <w:r>
              <w:rPr>
                <w:rFonts w:eastAsiaTheme="minorHAnsi"/>
                <w:noProof/>
                <w:szCs w:val="22"/>
                <w:lang w:val="fr-CA" w:eastAsia="en-US"/>
              </w:rPr>
              <w:t xml:space="preserve"> L.N.-B. 1987, </w:t>
            </w:r>
          </w:p>
          <w:p>
            <w:pPr>
              <w:widowControl/>
              <w:spacing w:before="60" w:after="60" w:line="240" w:lineRule="auto"/>
              <w:rPr>
                <w:rFonts w:eastAsiaTheme="minorHAnsi"/>
                <w:noProof/>
                <w:szCs w:val="22"/>
                <w:highlight w:val="yellow"/>
                <w:lang w:val="fr-CA" w:eastAsia="en-US"/>
              </w:rPr>
            </w:pPr>
            <w:r>
              <w:rPr>
                <w:rFonts w:eastAsiaTheme="minorHAnsi"/>
                <w:noProof/>
                <w:szCs w:val="22"/>
                <w:lang w:val="fr-CA" w:eastAsia="en-US"/>
              </w:rPr>
              <w:t>c. L-11.2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Pour exercer des activités à titre de société de fiducie et de prêt sous le régime du Nouveau</w:t>
            </w:r>
            <w:r>
              <w:rPr>
                <w:rFonts w:eastAsiaTheme="minorHAnsi"/>
                <w:noProof/>
                <w:szCs w:val="22"/>
                <w:lang w:val="fr-CA" w:eastAsia="en-US"/>
              </w:rPr>
              <w:noBreakHyphen/>
              <w:t xml:space="preserve">Brunswick, une entité doit être une personne morale à laquelle la </w:t>
            </w:r>
            <w:r>
              <w:rPr>
                <w:rFonts w:eastAsiaTheme="minorHAnsi"/>
                <w:i/>
                <w:noProof/>
                <w:szCs w:val="22"/>
                <w:lang w:val="fr-CA" w:eastAsia="en-US"/>
              </w:rPr>
              <w:t>Loi sur les compagnies de prêt et de fiducie</w:t>
            </w:r>
            <w:r>
              <w:rPr>
                <w:rFonts w:eastAsiaTheme="minorHAnsi"/>
                <w:noProof/>
                <w:szCs w:val="22"/>
                <w:lang w:val="fr-CA" w:eastAsia="en-US"/>
              </w:rPr>
              <w:t xml:space="preserve"> s’applique.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IIIA-PT-32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Nouveau-Brunswick</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highlight w:val="yellow"/>
                <w:lang w:val="fr-CA" w:eastAsia="en-US"/>
              </w:rPr>
            </w:pPr>
            <w:r>
              <w:rPr>
                <w:rFonts w:eastAsiaTheme="minorHAnsi"/>
                <w:i/>
                <w:noProof/>
                <w:szCs w:val="22"/>
                <w:lang w:val="fr-CA" w:eastAsia="en-US"/>
              </w:rPr>
              <w:t xml:space="preserve">Loi sur les compagnies de prêt et de fiducie, </w:t>
            </w:r>
            <w:r>
              <w:rPr>
                <w:rFonts w:eastAsiaTheme="minorHAnsi"/>
                <w:noProof/>
                <w:szCs w:val="22"/>
                <w:lang w:val="fr-CA" w:eastAsia="en-US"/>
              </w:rPr>
              <w:t>L.N.-B. 1987, c. L–11.2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ind w:left="-15" w:firstLine="15"/>
              <w:rPr>
                <w:rFonts w:eastAsiaTheme="minorHAnsi"/>
                <w:noProof/>
                <w:szCs w:val="22"/>
                <w:lang w:val="fr-CA" w:eastAsia="en-US"/>
              </w:rPr>
            </w:pPr>
            <w:r>
              <w:rPr>
                <w:rFonts w:eastAsiaTheme="minorHAnsi"/>
                <w:noProof/>
                <w:szCs w:val="22"/>
                <w:lang w:val="fr-CA" w:eastAsia="en-US"/>
              </w:rPr>
              <w:t>Au moins deux des administrateurs d’une société de fiducie et de prêt doivent être résidents du Nouveau</w:t>
            </w:r>
            <w:r>
              <w:rPr>
                <w:rFonts w:eastAsiaTheme="minorHAnsi"/>
                <w:noProof/>
                <w:szCs w:val="22"/>
                <w:lang w:val="fr-CA" w:eastAsia="en-US"/>
              </w:rPr>
              <w:noBreakHyphen/>
              <w:t>Brunswick.</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IIIA-PT-33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Nouveau-Brunswick</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highlight w:val="yellow"/>
                <w:lang w:val="fr-CA" w:eastAsia="en-US"/>
              </w:rPr>
            </w:pPr>
            <w:r>
              <w:rPr>
                <w:rFonts w:eastAsiaTheme="minorHAnsi"/>
                <w:i/>
                <w:noProof/>
                <w:szCs w:val="22"/>
                <w:lang w:val="fr-CA" w:eastAsia="en-US"/>
              </w:rPr>
              <w:t xml:space="preserve">Loi sur les compagnies de prêt et de fiducie, </w:t>
            </w:r>
            <w:r>
              <w:rPr>
                <w:rFonts w:eastAsiaTheme="minorHAnsi"/>
                <w:noProof/>
                <w:szCs w:val="22"/>
                <w:lang w:val="fr-CA" w:eastAsia="en-US"/>
              </w:rPr>
              <w:t>L.N.-B. 1987, c. L–11.2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La constitution en société ou l’inscription d’une société de fiducie et de prêt au Nouveau-Brunswick sera refusée à moins que les autorités compétentes ne soient convaincues de l’intérêt et de l’avantage publics que représenterait l’arrivée d’une nouvelle société.</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IIIA-PT-34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Négociation de valeurs mobilières et d’instruments à terme – personnes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Fourniture transfrontières des services financiers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Nouveau-Brunswick</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highlight w:val="yellow"/>
                <w:lang w:val="fr-CA" w:eastAsia="en-US"/>
              </w:rPr>
            </w:pPr>
            <w:r>
              <w:rPr>
                <w:rFonts w:eastAsiaTheme="minorHAnsi"/>
                <w:i/>
                <w:noProof/>
                <w:szCs w:val="22"/>
                <w:lang w:val="fr-CA" w:eastAsia="en-US"/>
              </w:rPr>
              <w:t xml:space="preserve">Loi sur les valeurs mobilières, </w:t>
            </w:r>
            <w:r>
              <w:rPr>
                <w:rFonts w:eastAsiaTheme="minorHAnsi"/>
                <w:noProof/>
                <w:szCs w:val="22"/>
                <w:lang w:val="fr-CA" w:eastAsia="en-US"/>
              </w:rPr>
              <w:t>L.N.-B. 2004, c. S-5.5</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Il est exigé qu’un particulier ou qu’une entreprise s’inscrive pour négocier par l’intermédiaire de courtiers qui ne sont ni résidents du Nouveau-Brunswick ni inscrits dans cette province.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IIIA-PT-35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Accès aux marchés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Nouveau-Brunswick</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fr-CA" w:eastAsia="en-US"/>
              </w:rPr>
            </w:pPr>
            <w:r>
              <w:rPr>
                <w:rFonts w:eastAsiaTheme="minorHAnsi"/>
                <w:i/>
                <w:noProof/>
                <w:szCs w:val="22"/>
                <w:lang w:val="fr-CA" w:eastAsia="en-US"/>
              </w:rPr>
              <w:t>Loi sur les caisses populaires,</w:t>
            </w:r>
            <w:r>
              <w:rPr>
                <w:rFonts w:eastAsiaTheme="minorHAnsi"/>
                <w:noProof/>
                <w:szCs w:val="22"/>
                <w:lang w:val="fr-CA" w:eastAsia="en-US"/>
              </w:rPr>
              <w:t xml:space="preserve"> L.N.-B. 1994, c. C-32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Une coopérative de crédit doit être constituée en personne morale au Nouveau-Brunswick.</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IIIA-PT-36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d’obligations communautaires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Traitement national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Nouveau-Brunswick</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xml:space="preserve"> L.N.-B. 2004, c. S-5.5</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administrateur d’une société d’obligations communautaires doit être résident du Nouveau</w:t>
            </w:r>
            <w:r>
              <w:rPr>
                <w:rFonts w:eastAsiaTheme="minorHAnsi"/>
                <w:noProof/>
                <w:szCs w:val="22"/>
                <w:lang w:val="fr-CA" w:eastAsia="en-US"/>
              </w:rPr>
              <w:noBreakHyphen/>
              <w:t>Brunswick.</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IIIA-PT-37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Traitement national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Nouveau-Brunswick</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L.N.-B. 2004, c. S-5.5</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à Terre-Neuve-et-Labrador</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IIIA-PT-38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 xml:space="preserve">Services d’assurance et services connexes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Terre-Neuve-et-Labrador</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3" w:firstLine="23"/>
              <w:rPr>
                <w:rFonts w:eastAsiaTheme="minorHAnsi"/>
                <w:b/>
                <w:i/>
                <w:noProof/>
                <w:szCs w:val="22"/>
                <w:lang w:val="en-CA" w:eastAsia="en-US"/>
              </w:rPr>
            </w:pPr>
            <w:r>
              <w:rPr>
                <w:rFonts w:eastAsiaTheme="minorHAnsi"/>
                <w:i/>
                <w:noProof/>
                <w:szCs w:val="22"/>
                <w:lang w:val="en-CA" w:eastAsia="en-US"/>
              </w:rPr>
              <w:t>Insurance Adjusters, Agents and Brokers Act</w:t>
            </w:r>
            <w:r>
              <w:rPr>
                <w:rFonts w:eastAsiaTheme="minorHAnsi"/>
                <w:noProof/>
                <w:szCs w:val="22"/>
                <w:lang w:val="en-CA" w:eastAsia="en-US"/>
              </w:rPr>
              <w:t>, R.S.N.L. 1990, c. I-9</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d’assurance à Terre-Neuve-et-Labrador peuvent être fournis seulement par :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une société constituée en personne morale sous le régime de la législation de Terre</w:t>
            </w:r>
            <w:r>
              <w:rPr>
                <w:rFonts w:eastAsiaTheme="minorHAnsi"/>
                <w:noProof/>
                <w:szCs w:val="22"/>
                <w:lang w:val="fr-CA" w:eastAsia="en-US"/>
              </w:rPr>
              <w:noBreakHyphen/>
              <w:t xml:space="preserve">Neuve-et-Labrador;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une compagnie d’assurance extraprovinciale, c’est-à-dire un assureur constitué en personne morale par ou sous le régime de la législation d’une autre province ou d’un autre territoire du Canada;</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 xml:space="preserve">une association formée selon le régime appelé Lloyd’s;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e)</w:t>
            </w:r>
            <w:r>
              <w:rPr>
                <w:rFonts w:eastAsiaTheme="minorHAnsi"/>
                <w:noProof/>
                <w:szCs w:val="22"/>
                <w:lang w:val="fr-CA" w:eastAsia="en-US"/>
              </w:rPr>
              <w:tab/>
              <w:t>un groupe d’échange d’assurance réciproque;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f)</w:t>
            </w:r>
            <w:r>
              <w:rPr>
                <w:rFonts w:eastAsiaTheme="minorHAnsi"/>
                <w:noProof/>
                <w:szCs w:val="22"/>
                <w:lang w:val="fr-CA" w:eastAsia="en-US"/>
              </w:rPr>
              <w:tab/>
              <w:t xml:space="preserve">des sociétés fraternelles;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g)</w:t>
            </w:r>
            <w:r>
              <w:rPr>
                <w:rFonts w:eastAsiaTheme="minorHAnsi"/>
                <w:noProof/>
                <w:szCs w:val="22"/>
                <w:lang w:val="fr-CA" w:eastAsia="en-US"/>
              </w:rPr>
              <w:tab/>
              <w:t>des courtiers spéciaux;</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h)</w:t>
            </w:r>
            <w:r>
              <w:rPr>
                <w:rFonts w:eastAsiaTheme="minorHAnsi"/>
                <w:noProof/>
                <w:szCs w:val="22"/>
                <w:lang w:val="fr-CA" w:eastAsia="en-US"/>
              </w:rPr>
              <w:tab/>
              <w:t>des sociétés sororales;</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i)</w:t>
            </w:r>
            <w:r>
              <w:rPr>
                <w:rFonts w:eastAsiaTheme="minorHAnsi"/>
                <w:noProof/>
                <w:szCs w:val="22"/>
                <w:lang w:val="fr-CA" w:eastAsia="en-US"/>
              </w:rPr>
              <w:tab/>
              <w:t>des sociétés de secours mutuel.</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IIIA-PT-39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Terre-Neuve-et-Labrador</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en-CA" w:eastAsia="en-US"/>
              </w:rPr>
            </w:pPr>
            <w:r>
              <w:rPr>
                <w:rFonts w:eastAsiaTheme="minorHAnsi"/>
                <w:i/>
                <w:iCs/>
                <w:noProof/>
                <w:szCs w:val="22"/>
                <w:lang w:val="en-CA" w:eastAsia="en-US"/>
              </w:rPr>
              <w:t>Insurance Companies</w:t>
            </w:r>
            <w:r>
              <w:rPr>
                <w:rFonts w:eastAsiaTheme="minorHAnsi"/>
                <w:i/>
                <w:iCs/>
                <w:noProof/>
                <w:spacing w:val="-2"/>
                <w:szCs w:val="22"/>
                <w:lang w:val="en-CA" w:eastAsia="en-US"/>
              </w:rPr>
              <w:t xml:space="preserve"> Act, </w:t>
            </w:r>
            <w:r>
              <w:rPr>
                <w:rFonts w:eastAsiaTheme="minorHAnsi" w:cs="Garamond"/>
                <w:noProof/>
                <w:spacing w:val="-2"/>
                <w:szCs w:val="22"/>
                <w:lang w:val="en-CA" w:eastAsia="en-US"/>
              </w:rPr>
              <w:t>R.S.N.L. 1990,</w:t>
            </w:r>
            <w:r>
              <w:rPr>
                <w:rFonts w:eastAsiaTheme="minorHAnsi" w:cs="Garamond"/>
                <w:noProof/>
                <w:spacing w:val="2"/>
                <w:szCs w:val="22"/>
                <w:lang w:val="en-CA" w:eastAsia="en-US"/>
              </w:rPr>
              <w:t xml:space="preserve"> c. I-10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L’achat de services de réassurance par un assureur, autre qu’un assureur-vie ou un réassureur, auprès d’un réassureur non résident est limité à 25 pour cent des risques assumés par l’assureur qui achète la réassurance.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IIIA-PT-40</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Terre-Neuve-et-Labrador</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en-CA" w:eastAsia="en-US"/>
              </w:rPr>
            </w:pPr>
            <w:r>
              <w:rPr>
                <w:rFonts w:eastAsiaTheme="minorHAnsi"/>
                <w:i/>
                <w:noProof/>
                <w:szCs w:val="22"/>
                <w:lang w:val="en-CA" w:eastAsia="en-US"/>
              </w:rPr>
              <w:t>Corporations Act</w:t>
            </w:r>
            <w:r>
              <w:rPr>
                <w:rFonts w:eastAsiaTheme="minorHAnsi"/>
                <w:noProof/>
                <w:szCs w:val="22"/>
                <w:lang w:val="en-CA" w:eastAsia="en-US"/>
              </w:rPr>
              <w:t>, R.S.N.L. 1990, c. C-36</w:t>
            </w:r>
          </w:p>
          <w:p>
            <w:pPr>
              <w:widowControl/>
              <w:spacing w:before="60" w:after="60" w:line="240" w:lineRule="auto"/>
              <w:rPr>
                <w:rFonts w:eastAsiaTheme="minorHAnsi"/>
                <w:b/>
                <w:i/>
                <w:noProof/>
                <w:szCs w:val="22"/>
                <w:lang w:val="en-CA" w:eastAsia="en-US"/>
              </w:rPr>
            </w:pPr>
            <w:r>
              <w:rPr>
                <w:rFonts w:eastAsiaTheme="minorHAnsi"/>
                <w:i/>
                <w:noProof/>
                <w:szCs w:val="22"/>
                <w:lang w:val="en-CA" w:eastAsia="en-US"/>
              </w:rPr>
              <w:t>Trust and Loan Corporations Act,</w:t>
            </w:r>
            <w:r>
              <w:rPr>
                <w:rFonts w:eastAsiaTheme="minorHAnsi"/>
                <w:noProof/>
                <w:szCs w:val="22"/>
                <w:lang w:val="en-CA" w:eastAsia="en-US"/>
              </w:rPr>
              <w:t xml:space="preserve"> S.N.L. 2007, c. T-9.1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Pour exercer des activités à titre de société de fiducie et de prêt sous le régime de Terre</w:t>
            </w:r>
            <w:r>
              <w:rPr>
                <w:rFonts w:eastAsiaTheme="minorHAnsi"/>
                <w:noProof/>
                <w:szCs w:val="22"/>
                <w:lang w:val="fr-CA" w:eastAsia="en-US"/>
              </w:rPr>
              <w:noBreakHyphen/>
              <w:t>Neuve</w:t>
            </w:r>
            <w:r>
              <w:rPr>
                <w:rFonts w:eastAsiaTheme="minorHAnsi"/>
                <w:noProof/>
                <w:szCs w:val="22"/>
                <w:lang w:val="fr-CA" w:eastAsia="en-US"/>
              </w:rPr>
              <w:noBreakHyphen/>
              <w:t>et</w:t>
            </w:r>
            <w:r>
              <w:rPr>
                <w:rFonts w:eastAsiaTheme="minorHAnsi"/>
                <w:noProof/>
                <w:szCs w:val="22"/>
                <w:lang w:val="fr-CA" w:eastAsia="en-US"/>
              </w:rPr>
              <w:noBreakHyphen/>
              <w:t xml:space="preserve">Labrador, une entité doit être une personne morale à laquelle la </w:t>
            </w:r>
            <w:r>
              <w:rPr>
                <w:rFonts w:eastAsiaTheme="minorHAnsi"/>
                <w:i/>
                <w:noProof/>
                <w:szCs w:val="22"/>
                <w:lang w:val="fr-CA" w:eastAsia="en-US"/>
              </w:rPr>
              <w:t>Trust and Loan Corporations Act</w:t>
            </w:r>
            <w:r>
              <w:rPr>
                <w:rFonts w:eastAsiaTheme="minorHAnsi"/>
                <w:noProof/>
                <w:szCs w:val="22"/>
                <w:lang w:val="fr-CA" w:eastAsia="en-US"/>
              </w:rPr>
              <w:t xml:space="preserve"> s’applique.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IIIA-PT-41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Terre-Neuve-et-Labrador</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en-CA" w:eastAsia="en-US"/>
              </w:rPr>
            </w:pPr>
            <w:r>
              <w:rPr>
                <w:rFonts w:eastAsiaTheme="minorHAnsi"/>
                <w:i/>
                <w:noProof/>
                <w:szCs w:val="22"/>
                <w:lang w:val="en-CA" w:eastAsia="en-US"/>
              </w:rPr>
              <w:t>Credit Union Act 2009</w:t>
            </w:r>
            <w:r>
              <w:rPr>
                <w:rFonts w:eastAsiaTheme="minorHAnsi"/>
                <w:noProof/>
                <w:szCs w:val="22"/>
                <w:lang w:val="en-CA" w:eastAsia="en-US"/>
              </w:rPr>
              <w:t>, S.N.L. 2009, c. C-37.2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6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Une coopérative de crédit doit être constituée en personne morale à Terre</w:t>
            </w:r>
            <w:r>
              <w:rPr>
                <w:rFonts w:eastAsiaTheme="minorHAnsi"/>
                <w:noProof/>
                <w:szCs w:val="22"/>
                <w:lang w:val="fr-CA" w:eastAsia="en-US"/>
              </w:rPr>
              <w:noBreakHyphen/>
              <w:t>Neuve</w:t>
            </w:r>
            <w:r>
              <w:rPr>
                <w:rFonts w:eastAsiaTheme="minorHAnsi"/>
                <w:noProof/>
                <w:szCs w:val="22"/>
                <w:lang w:val="fr-CA" w:eastAsia="en-US"/>
              </w:rPr>
              <w:noBreakHyphen/>
              <w:t>et</w:t>
            </w:r>
            <w:r>
              <w:rPr>
                <w:rFonts w:eastAsiaTheme="minorHAnsi"/>
                <w:noProof/>
                <w:szCs w:val="22"/>
                <w:lang w:val="fr-CA" w:eastAsia="en-US"/>
              </w:rPr>
              <w:noBreakHyphen/>
              <w:t>Labrador.</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IIIA-PT-42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tabs>
                <w:tab w:val="left" w:pos="0"/>
              </w:tabs>
              <w:spacing w:before="60" w:after="60" w:line="240" w:lineRule="auto"/>
              <w:ind w:right="-180"/>
              <w:rPr>
                <w:rFonts w:eastAsiaTheme="minorHAnsi" w:cs="Garamond"/>
                <w:noProof/>
                <w:spacing w:val="2"/>
                <w:szCs w:val="22"/>
                <w:lang w:val="fr-CA" w:eastAsia="en-US"/>
              </w:rPr>
            </w:pPr>
            <w:r>
              <w:rPr>
                <w:rFonts w:eastAsiaTheme="minorHAnsi" w:cs="Garamond"/>
                <w:noProof/>
                <w:spacing w:val="2"/>
                <w:szCs w:val="22"/>
                <w:lang w:val="fr-CA" w:eastAsia="en-US"/>
              </w:rPr>
              <w:t>Services bancaires et autres services financiers (à l’exclusion de l’assurance)</w:t>
            </w:r>
          </w:p>
          <w:p>
            <w:pPr>
              <w:widowControl/>
              <w:spacing w:before="60" w:after="60" w:line="240" w:lineRule="auto"/>
              <w:rPr>
                <w:rFonts w:eastAsiaTheme="minorHAnsi" w:cs="Garamond"/>
                <w:noProof/>
                <w:spacing w:val="2"/>
                <w:szCs w:val="22"/>
                <w:lang w:val="fr-CA" w:eastAsia="en-US"/>
              </w:rPr>
            </w:pPr>
            <w:r>
              <w:rPr>
                <w:rFonts w:eastAsiaTheme="minorHAnsi" w:cs="Garamond"/>
                <w:noProof/>
                <w:spacing w:val="2"/>
                <w:szCs w:val="22"/>
                <w:lang w:val="fr-CA" w:eastAsia="en-US"/>
              </w:rPr>
              <w:t>Négociation de valeurs mobilières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tabs>
                <w:tab w:val="left" w:pos="2880"/>
              </w:tabs>
              <w:spacing w:before="60" w:after="60" w:line="240" w:lineRule="auto"/>
              <w:ind w:right="-180"/>
              <w:rPr>
                <w:rFonts w:eastAsiaTheme="minorHAnsi" w:cs="Garamond"/>
                <w:noProof/>
                <w:spacing w:val="2"/>
                <w:szCs w:val="22"/>
                <w:lang w:val="fr-CA" w:eastAsia="en-US"/>
              </w:rPr>
            </w:pPr>
            <w:r>
              <w:rPr>
                <w:rFonts w:eastAsiaTheme="minorHAnsi" w:cs="Garamond"/>
                <w:noProof/>
                <w:spacing w:val="2"/>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Terre-Neuve-et-Labrador</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right="-180" w:hanging="2880"/>
              <w:rPr>
                <w:rFonts w:eastAsiaTheme="minorHAnsi" w:cs="Garamond"/>
                <w:bCs/>
                <w:noProof/>
                <w:spacing w:val="2"/>
                <w:szCs w:val="22"/>
                <w:lang w:val="en-CA" w:eastAsia="en-US"/>
              </w:rPr>
            </w:pPr>
            <w:r>
              <w:rPr>
                <w:rFonts w:eastAsiaTheme="minorHAnsi" w:cs="Garamond"/>
                <w:bCs/>
                <w:i/>
                <w:noProof/>
                <w:spacing w:val="2"/>
                <w:szCs w:val="22"/>
                <w:lang w:val="en-CA" w:eastAsia="en-US"/>
              </w:rPr>
              <w:t>Securities Act</w:t>
            </w:r>
            <w:r>
              <w:rPr>
                <w:rFonts w:eastAsiaTheme="minorHAnsi" w:cs="Garamond"/>
                <w:bCs/>
                <w:noProof/>
                <w:spacing w:val="2"/>
                <w:szCs w:val="22"/>
                <w:lang w:val="en-CA" w:eastAsia="en-US"/>
              </w:rPr>
              <w:t>, R.S.N.L. 1990, c. S-13</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tabs>
                <w:tab w:val="left" w:pos="2880"/>
              </w:tabs>
              <w:spacing w:before="60" w:after="60" w:line="240" w:lineRule="auto"/>
              <w:rPr>
                <w:rFonts w:eastAsiaTheme="minorHAnsi" w:cs="Garamond"/>
                <w:bCs/>
                <w:noProof/>
                <w:spacing w:val="2"/>
                <w:szCs w:val="22"/>
                <w:lang w:val="fr-CA" w:eastAsia="en-US"/>
              </w:rPr>
            </w:pPr>
            <w:r>
              <w:rPr>
                <w:rFonts w:eastAsiaTheme="minorHAnsi" w:cs="Garamond"/>
                <w:bCs/>
                <w:noProof/>
                <w:spacing w:val="2"/>
                <w:szCs w:val="22"/>
                <w:lang w:val="fr-CA" w:eastAsia="en-US"/>
              </w:rPr>
              <w:t>Dans certaines circonstances précises, le surintendant des valeurs mobilières peut refuser l’inscription :</w:t>
            </w:r>
          </w:p>
          <w:p>
            <w:pPr>
              <w:widowControl/>
              <w:spacing w:before="60" w:after="60" w:line="240" w:lineRule="auto"/>
              <w:ind w:left="720"/>
              <w:rPr>
                <w:rFonts w:eastAsiaTheme="minorHAnsi" w:cs="Garamond"/>
                <w:bCs/>
                <w:noProof/>
                <w:spacing w:val="2"/>
                <w:szCs w:val="22"/>
                <w:lang w:val="fr-CA" w:eastAsia="en-US"/>
              </w:rPr>
            </w:pPr>
            <w:r>
              <w:rPr>
                <w:rFonts w:eastAsiaTheme="minorHAnsi" w:cs="Garamond"/>
                <w:bCs/>
                <w:noProof/>
                <w:spacing w:val="2"/>
                <w:szCs w:val="22"/>
                <w:lang w:val="fr-CA" w:eastAsia="en-US"/>
              </w:rPr>
              <w:t>a)</w:t>
            </w:r>
            <w:r>
              <w:rPr>
                <w:rFonts w:eastAsiaTheme="minorHAnsi" w:cs="Garamond"/>
                <w:bCs/>
                <w:noProof/>
                <w:spacing w:val="2"/>
                <w:szCs w:val="22"/>
                <w:lang w:val="fr-CA" w:eastAsia="en-US"/>
              </w:rPr>
              <w:tab/>
              <w:t>d’un particulier; ou</w:t>
            </w:r>
          </w:p>
          <w:p>
            <w:pPr>
              <w:widowControl/>
              <w:spacing w:before="60" w:after="60" w:line="240" w:lineRule="auto"/>
              <w:ind w:left="720"/>
              <w:rPr>
                <w:rFonts w:eastAsiaTheme="minorHAnsi" w:cs="Garamond"/>
                <w:bCs/>
                <w:noProof/>
                <w:spacing w:val="2"/>
                <w:szCs w:val="22"/>
                <w:lang w:val="fr-CA" w:eastAsia="en-US"/>
              </w:rPr>
            </w:pPr>
            <w:r>
              <w:rPr>
                <w:rFonts w:eastAsiaTheme="minorHAnsi" w:cs="Garamond"/>
                <w:bCs/>
                <w:noProof/>
                <w:spacing w:val="2"/>
                <w:szCs w:val="22"/>
                <w:lang w:val="fr-CA" w:eastAsia="en-US"/>
              </w:rPr>
              <w:t>b)</w:t>
            </w:r>
            <w:r>
              <w:rPr>
                <w:rFonts w:eastAsiaTheme="minorHAnsi" w:cs="Garamond"/>
                <w:bCs/>
                <w:noProof/>
                <w:spacing w:val="2"/>
                <w:szCs w:val="22"/>
                <w:lang w:val="fr-CA" w:eastAsia="en-US"/>
              </w:rPr>
              <w:tab/>
              <w:t>d’une personne ou d’une société;</w:t>
            </w:r>
          </w:p>
          <w:p>
            <w:pPr>
              <w:widowControl/>
              <w:tabs>
                <w:tab w:val="left" w:pos="2880"/>
              </w:tabs>
              <w:spacing w:before="60" w:after="60" w:line="240" w:lineRule="auto"/>
              <w:rPr>
                <w:rFonts w:eastAsiaTheme="minorHAnsi" w:cs="Garamond"/>
                <w:bCs/>
                <w:noProof/>
                <w:spacing w:val="2"/>
                <w:szCs w:val="22"/>
                <w:lang w:val="fr-CA" w:eastAsia="en-US"/>
              </w:rPr>
            </w:pPr>
            <w:r>
              <w:rPr>
                <w:rFonts w:eastAsiaTheme="minorHAnsi" w:cs="Garamond"/>
                <w:bCs/>
                <w:noProof/>
                <w:spacing w:val="2"/>
                <w:szCs w:val="22"/>
                <w:lang w:val="fr-CA" w:eastAsia="en-US"/>
              </w:rPr>
              <w:t>si le particulier, ou tout administrateur ou dirigeant de la personne ou de la société, n’était pas résident du Canada depuis au moins un an immédiatement avant la date à laquelle la demande d’inscription est présentée.</w:t>
            </w:r>
          </w:p>
          <w:p>
            <w:pPr>
              <w:widowControl/>
              <w:spacing w:before="60" w:after="60" w:line="240" w:lineRule="auto"/>
              <w:rPr>
                <w:rFonts w:eastAsiaTheme="minorHAnsi"/>
                <w:noProof/>
                <w:szCs w:val="22"/>
                <w:lang w:val="fr-CA" w:eastAsia="en-US"/>
              </w:rPr>
            </w:pP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IIIA-PT-43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Négociation de valeurs mobilières et d’instruments à terme – personnes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tabs>
                <w:tab w:val="left" w:pos="2880"/>
              </w:tabs>
              <w:spacing w:before="60" w:after="60" w:line="240" w:lineRule="auto"/>
              <w:ind w:right="-180"/>
              <w:rPr>
                <w:rFonts w:eastAsiaTheme="minorHAnsi" w:cs="Garamond"/>
                <w:noProof/>
                <w:spacing w:val="2"/>
                <w:szCs w:val="22"/>
                <w:lang w:val="fr-CA" w:eastAsia="en-US"/>
              </w:rPr>
            </w:pPr>
            <w:r>
              <w:rPr>
                <w:rFonts w:eastAsiaTheme="minorHAnsi" w:cs="Garamond"/>
                <w:noProof/>
                <w:spacing w:val="2"/>
                <w:szCs w:val="22"/>
                <w:lang w:val="fr-CA" w:eastAsia="en-US"/>
              </w:rPr>
              <w:t>Traitement national</w:t>
            </w:r>
          </w:p>
          <w:p>
            <w:pPr>
              <w:widowControl/>
              <w:tabs>
                <w:tab w:val="left" w:pos="2880"/>
              </w:tabs>
              <w:spacing w:before="60" w:after="60" w:line="240" w:lineRule="auto"/>
              <w:ind w:right="-180"/>
              <w:rPr>
                <w:rFonts w:eastAsiaTheme="minorHAnsi" w:cs="Garamond"/>
                <w:b/>
                <w:noProof/>
                <w:spacing w:val="2"/>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Terre-Neuve-et-Labrador</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right="-180" w:hanging="2880"/>
              <w:rPr>
                <w:rFonts w:eastAsiaTheme="minorHAnsi" w:cs="Garamond"/>
                <w:bCs/>
                <w:noProof/>
                <w:spacing w:val="2"/>
                <w:szCs w:val="22"/>
                <w:lang w:val="en-CA" w:eastAsia="en-US"/>
              </w:rPr>
            </w:pPr>
            <w:r>
              <w:rPr>
                <w:rFonts w:eastAsiaTheme="minorHAnsi" w:cs="Garamond"/>
                <w:bCs/>
                <w:i/>
                <w:noProof/>
                <w:spacing w:val="2"/>
                <w:szCs w:val="22"/>
                <w:lang w:val="en-CA" w:eastAsia="en-US"/>
              </w:rPr>
              <w:t>Securities Act</w:t>
            </w:r>
            <w:r>
              <w:rPr>
                <w:rFonts w:eastAsiaTheme="minorHAnsi" w:cs="Garamond"/>
                <w:bCs/>
                <w:noProof/>
                <w:spacing w:val="2"/>
                <w:szCs w:val="22"/>
                <w:lang w:val="en-CA" w:eastAsia="en-US"/>
              </w:rPr>
              <w:t>, R.S.N.L. 1990, c. S-13</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particulier ou une entreprise doit s’inscrire pour négocier par l’intermédiaire de courtiers qui ne sont ni résidents de Terre-Neuve-et-Labrador ni inscrits dans cette province.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IIIA-PT-44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tabs>
                <w:tab w:val="left" w:pos="2880"/>
              </w:tabs>
              <w:spacing w:before="60" w:after="60" w:line="240" w:lineRule="auto"/>
              <w:ind w:right="-180"/>
              <w:rPr>
                <w:rFonts w:eastAsiaTheme="minorHAnsi" w:cs="Garamond"/>
                <w:noProof/>
                <w:spacing w:val="2"/>
                <w:szCs w:val="22"/>
                <w:lang w:val="fr-CA" w:eastAsia="en-US"/>
              </w:rPr>
            </w:pPr>
            <w:r>
              <w:rPr>
                <w:rFonts w:eastAsiaTheme="minorHAnsi" w:cs="Garamond"/>
                <w:noProof/>
                <w:spacing w:val="2"/>
                <w:szCs w:val="22"/>
                <w:lang w:val="fr-CA" w:eastAsia="en-US"/>
              </w:rPr>
              <w:t>Traitement national</w:t>
            </w:r>
          </w:p>
          <w:p>
            <w:pPr>
              <w:widowControl/>
              <w:tabs>
                <w:tab w:val="left" w:pos="2880"/>
              </w:tabs>
              <w:spacing w:before="60" w:after="60" w:line="240" w:lineRule="auto"/>
              <w:ind w:right="-180"/>
              <w:rPr>
                <w:rFonts w:eastAsiaTheme="minorHAnsi" w:cs="Garamond"/>
                <w:b/>
                <w:noProof/>
                <w:spacing w:val="2"/>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Terre-Neuve-et-Labrador</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right="-180" w:hanging="2880"/>
              <w:rPr>
                <w:rFonts w:eastAsiaTheme="minorHAnsi" w:cs="Garamond"/>
                <w:bCs/>
                <w:noProof/>
                <w:spacing w:val="2"/>
                <w:szCs w:val="22"/>
                <w:lang w:val="en-CA" w:eastAsia="en-US"/>
              </w:rPr>
            </w:pPr>
            <w:r>
              <w:rPr>
                <w:rFonts w:eastAsiaTheme="minorHAnsi" w:cs="Garamond"/>
                <w:bCs/>
                <w:i/>
                <w:noProof/>
                <w:spacing w:val="2"/>
                <w:szCs w:val="22"/>
                <w:lang w:val="en-CA" w:eastAsia="en-US"/>
              </w:rPr>
              <w:t>Securities Act</w:t>
            </w:r>
            <w:r>
              <w:rPr>
                <w:rFonts w:eastAsiaTheme="minorHAnsi" w:cs="Garamond"/>
                <w:bCs/>
                <w:noProof/>
                <w:spacing w:val="2"/>
                <w:szCs w:val="22"/>
                <w:lang w:val="en-CA" w:eastAsia="en-US"/>
              </w:rPr>
              <w:t>, R.S.N.L. 1990, c. S-13</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dans les Territoires du Nord-Ouest</w:t>
      </w:r>
    </w:p>
    <w:p>
      <w:pPr>
        <w:widowControl/>
        <w:spacing w:before="60" w:after="60" w:line="240" w:lineRule="auto"/>
        <w:jc w:val="center"/>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IIIA-PT-45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tabs>
                <w:tab w:val="left" w:pos="2880"/>
              </w:tabs>
              <w:spacing w:before="60" w:after="60" w:line="240" w:lineRule="auto"/>
              <w:ind w:right="-180"/>
              <w:rPr>
                <w:rFonts w:eastAsiaTheme="minorHAnsi" w:cs="Garamond"/>
                <w:noProof/>
                <w:spacing w:val="2"/>
                <w:szCs w:val="22"/>
                <w:lang w:val="fr-CA" w:eastAsia="en-US"/>
              </w:rPr>
            </w:pPr>
            <w:r>
              <w:rPr>
                <w:rFonts w:eastAsiaTheme="minorHAnsi" w:cs="Garamond"/>
                <w:noProof/>
                <w:spacing w:val="2"/>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Territoires du Nord-Ouest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sur les assurances</w:t>
            </w:r>
            <w:r>
              <w:rPr>
                <w:rFonts w:eastAsiaTheme="minorHAnsi"/>
                <w:noProof/>
                <w:szCs w:val="22"/>
                <w:lang w:val="fr-CA" w:eastAsia="en-US"/>
              </w:rPr>
              <w:t>, L.R.T.N.-O. (Nu) 1988, c. I-4</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d’assurance dans les Territoires du Nord-Ouest peuvent être fournis seulement par :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 xml:space="preserve">une société constituée en personne morale sous le régime de la législation des Territoires du Nord-Ouest;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une compagnie d’assurance extraprovinciale, c’est-à-dire un assureur constitué en personne morale par ou sous le régime de la législation d’une autre province ou d’un autre territoire du Canada;</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une association formée selon le régime appelé Lloyd’s;</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e)</w:t>
            </w:r>
            <w:r>
              <w:rPr>
                <w:rFonts w:eastAsiaTheme="minorHAnsi"/>
                <w:noProof/>
                <w:szCs w:val="22"/>
                <w:lang w:val="fr-CA" w:eastAsia="en-US"/>
              </w:rPr>
              <w:tab/>
              <w:t>un groupe d’échange d’assurance réciproque;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f)</w:t>
            </w:r>
            <w:r>
              <w:rPr>
                <w:rFonts w:eastAsiaTheme="minorHAnsi"/>
                <w:noProof/>
                <w:szCs w:val="22"/>
                <w:lang w:val="fr-CA" w:eastAsia="en-US"/>
              </w:rPr>
              <w:tab/>
              <w:t>des sociétés fraternelles.</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IIIA-PT-46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tabs>
                <w:tab w:val="left" w:pos="2880"/>
              </w:tabs>
              <w:spacing w:before="60" w:after="60" w:line="240" w:lineRule="auto"/>
              <w:ind w:right="-180"/>
              <w:rPr>
                <w:rFonts w:eastAsiaTheme="minorHAnsi" w:cs="Garamond"/>
                <w:noProof/>
                <w:spacing w:val="2"/>
                <w:szCs w:val="22"/>
                <w:lang w:val="fr-CA" w:eastAsia="en-US"/>
              </w:rPr>
            </w:pPr>
            <w:r>
              <w:rPr>
                <w:rFonts w:eastAsiaTheme="minorHAnsi" w:cs="Garamond"/>
                <w:noProof/>
                <w:spacing w:val="2"/>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Territoires du Nord-Ouest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sur les sociétés par actions</w:t>
            </w:r>
            <w:r>
              <w:rPr>
                <w:rFonts w:eastAsiaTheme="minorHAnsi"/>
                <w:noProof/>
                <w:szCs w:val="22"/>
                <w:lang w:val="fr-CA" w:eastAsia="en-US"/>
              </w:rPr>
              <w:t>, L.T.N.-O. (Nu) 1996, c. 19</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La constitution d’une société de fiducie et de prêt sous le régime d’une loi fédérale ou provinciale est obligatoire dans les Territoires du Nord-Ouest.</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IIIA-PT-47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tabs>
                <w:tab w:val="left" w:pos="2880"/>
              </w:tabs>
              <w:spacing w:before="60" w:after="60" w:line="240" w:lineRule="auto"/>
              <w:ind w:right="-180"/>
              <w:rPr>
                <w:rFonts w:eastAsiaTheme="minorHAnsi" w:cs="Garamond"/>
                <w:noProof/>
                <w:spacing w:val="2"/>
                <w:szCs w:val="22"/>
                <w:lang w:val="fr-CA" w:eastAsia="en-US"/>
              </w:rPr>
            </w:pPr>
            <w:r>
              <w:rPr>
                <w:rFonts w:eastAsiaTheme="minorHAnsi" w:cs="Garamond"/>
                <w:noProof/>
                <w:spacing w:val="2"/>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Territoires du Nord-Ouest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sur les caisses de crédit</w:t>
            </w:r>
            <w:r>
              <w:rPr>
                <w:rFonts w:eastAsiaTheme="minorHAnsi"/>
                <w:noProof/>
                <w:szCs w:val="22"/>
                <w:lang w:val="fr-CA" w:eastAsia="en-US"/>
              </w:rPr>
              <w:t>, L.R.T.N.-O. (Nu) 1988, c. C-23</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Une caisse de crédit doit être constituée en personne morale dans les Territoires du Nord</w:t>
            </w:r>
            <w:r>
              <w:rPr>
                <w:rFonts w:eastAsiaTheme="minorHAnsi"/>
                <w:noProof/>
                <w:szCs w:val="22"/>
                <w:lang w:val="fr-CA" w:eastAsia="en-US"/>
              </w:rPr>
              <w:noBreakHyphen/>
              <w:t>Ouest.</w:t>
            </w:r>
          </w:p>
        </w:tc>
      </w:tr>
    </w:tbl>
    <w:p>
      <w:pPr>
        <w:widowControl/>
        <w:spacing w:before="60" w:after="60" w:line="240" w:lineRule="auto"/>
        <w:rPr>
          <w:rFonts w:eastAsiaTheme="minorHAnsi"/>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IIIA-PT-48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Négociation de valeurs mobilières et d’instruments à terme – personnes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Territoires du Nord-Ouest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L.R.T.N.-O. (Nu) 1988, c. S-5</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particulier ou une entreprise doit s’inscrire pour négocier par l’intermédiaire de courtiers qui ne sont ni résidents des Territoires du Nord-Ouest ni inscrits dans ce territoire.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IIIA-PT-49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Territoires du Nord-Ouest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L.T.N.-O. 2008, c. 10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en Nouvelle-Écosse</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IIIA-PT-50</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en-CA" w:eastAsia="en-US"/>
              </w:rPr>
            </w:pPr>
            <w:r>
              <w:rPr>
                <w:rFonts w:eastAsiaTheme="minorHAnsi"/>
                <w:i/>
                <w:noProof/>
                <w:szCs w:val="22"/>
                <w:lang w:val="en-CA" w:eastAsia="en-US"/>
              </w:rPr>
              <w:t>Insurance Act</w:t>
            </w:r>
            <w:r>
              <w:rPr>
                <w:rFonts w:eastAsiaTheme="minorHAnsi"/>
                <w:noProof/>
                <w:szCs w:val="22"/>
                <w:lang w:val="en-CA" w:eastAsia="en-US"/>
              </w:rPr>
              <w:t>, R.S.N.S. 1989, c. 231</w:t>
            </w:r>
          </w:p>
          <w:p>
            <w:pPr>
              <w:widowControl/>
              <w:spacing w:before="60" w:after="60" w:line="240" w:lineRule="auto"/>
              <w:rPr>
                <w:rFonts w:eastAsiaTheme="minorHAnsi"/>
                <w:b/>
                <w:noProof/>
                <w:szCs w:val="22"/>
                <w:lang w:val="fr-CA" w:eastAsia="en-US"/>
              </w:rPr>
            </w:pPr>
            <w:r>
              <w:rPr>
                <w:rFonts w:eastAsiaTheme="minorHAnsi"/>
                <w:i/>
                <w:noProof/>
                <w:szCs w:val="22"/>
                <w:lang w:val="fr-CA" w:eastAsia="en-US"/>
              </w:rPr>
              <w:t>Licensing of Insurers Regulations</w:t>
            </w:r>
            <w:r>
              <w:rPr>
                <w:rFonts w:eastAsiaTheme="minorHAnsi"/>
                <w:noProof/>
                <w:szCs w:val="22"/>
                <w:lang w:val="fr-CA" w:eastAsia="en-US"/>
              </w:rPr>
              <w:t>, N.S. Reg. 142/90 et toute mesure accessoire qui y sera apportée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d’assurance en Nouvelle-Écosse peuvent être fournis seulement par :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 xml:space="preserve">une société constituée en personne morale sous le régime de la législation de la Nouvelle-Écosse;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une compagnie d’assurance extraprovinciale, c’est-à-dire un assureur constitué en personne morale par ou sous le régime de la législation d’une autre province ou d’un autre territoire du Canada;</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une association formée selon le régime appelé Lloyd’s;</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e)</w:t>
            </w:r>
            <w:r>
              <w:rPr>
                <w:rFonts w:eastAsiaTheme="minorHAnsi"/>
                <w:noProof/>
                <w:szCs w:val="22"/>
                <w:lang w:val="fr-CA" w:eastAsia="en-US"/>
              </w:rPr>
              <w:tab/>
              <w:t>un groupe d’échange d’assurance réciproque;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f)</w:t>
            </w:r>
            <w:r>
              <w:rPr>
                <w:rFonts w:eastAsiaTheme="minorHAnsi"/>
                <w:noProof/>
                <w:szCs w:val="22"/>
                <w:lang w:val="fr-CA" w:eastAsia="en-US"/>
              </w:rPr>
              <w:tab/>
              <w:t>des sociétés fraternelles;</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g)</w:t>
            </w:r>
            <w:r>
              <w:rPr>
                <w:rFonts w:eastAsiaTheme="minorHAnsi"/>
                <w:noProof/>
                <w:szCs w:val="22"/>
                <w:lang w:val="fr-CA" w:eastAsia="en-US"/>
              </w:rPr>
              <w:tab/>
              <w:t>des courtiers spéciaux;</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h)</w:t>
            </w:r>
            <w:r>
              <w:rPr>
                <w:rFonts w:eastAsiaTheme="minorHAnsi"/>
                <w:noProof/>
                <w:szCs w:val="22"/>
                <w:lang w:val="fr-CA" w:eastAsia="en-US"/>
              </w:rPr>
              <w:tab/>
              <w:t>des sociétés sororales;</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i)</w:t>
            </w:r>
            <w:r>
              <w:rPr>
                <w:rFonts w:eastAsiaTheme="minorHAnsi"/>
                <w:noProof/>
                <w:szCs w:val="22"/>
                <w:lang w:val="fr-CA" w:eastAsia="en-US"/>
              </w:rPr>
              <w:tab/>
              <w:t>des sociétés de secours mutuel.</w:t>
            </w:r>
          </w:p>
          <w:p>
            <w:pPr>
              <w:widowControl/>
              <w:spacing w:before="60" w:after="60" w:line="240" w:lineRule="auto"/>
              <w:rPr>
                <w:rFonts w:eastAsiaTheme="minorHAnsi"/>
                <w:noProof/>
                <w:szCs w:val="22"/>
                <w:lang w:val="fr-CA" w:eastAsia="en-US"/>
              </w:rPr>
            </w:pPr>
          </w:p>
        </w:tc>
      </w:tr>
    </w:tbl>
    <w:p>
      <w:pPr>
        <w:widowControl/>
        <w:spacing w:before="60" w:after="60" w:line="240" w:lineRule="auto"/>
        <w:rPr>
          <w:rFonts w:eastAsiaTheme="minorHAnsi"/>
          <w:noProof/>
          <w:szCs w:val="22"/>
          <w:lang w:val="fr-CA" w:eastAsia="en-US"/>
        </w:rPr>
      </w:pPr>
    </w:p>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IIIA-PT-51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Intermédiation en assurance (contrats) relative au transport maritime, au transport aérien commercial, au lancement d’engins spatiaux et au transport effectué par ces engins (y compris les satellites), ainsi qu’à la réassurance et à la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Fourniture transfrontières des services financiers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en-CA" w:eastAsia="en-US"/>
              </w:rPr>
            </w:pPr>
            <w:r>
              <w:rPr>
                <w:rFonts w:eastAsiaTheme="minorHAnsi"/>
                <w:i/>
                <w:noProof/>
                <w:szCs w:val="22"/>
                <w:lang w:val="en-CA" w:eastAsia="en-US"/>
              </w:rPr>
              <w:t>Insurance Act</w:t>
            </w:r>
            <w:r>
              <w:rPr>
                <w:rFonts w:eastAsiaTheme="minorHAnsi"/>
                <w:noProof/>
                <w:szCs w:val="22"/>
                <w:lang w:val="en-CA" w:eastAsia="en-US"/>
              </w:rPr>
              <w:t>, R.S.N.S. 1989, c. 231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services doivent être fournis par l’intermédiaire d’une présence commerciale en Nouvelle</w:t>
            </w:r>
            <w:r>
              <w:rPr>
                <w:rFonts w:eastAsiaTheme="minorHAnsi"/>
                <w:noProof/>
                <w:szCs w:val="22"/>
                <w:lang w:val="fr-CA" w:eastAsia="en-US"/>
              </w:rPr>
              <w:noBreakHyphen/>
              <w:t>Écosse.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IIIA-PT-52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Trust and Loan Companies Act</w:t>
            </w:r>
            <w:r>
              <w:rPr>
                <w:rFonts w:eastAsiaTheme="minorHAnsi"/>
                <w:noProof/>
                <w:szCs w:val="22"/>
                <w:lang w:val="fr-CA" w:eastAsia="en-US"/>
              </w:rPr>
              <w:t>, S.N.S. 1991, c. 7 et toute mesure accessoire qui y sera apportée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La constitution en société ou l’inscription d’une société de fiducie et de prêt en Nouvelle-Écosse sera refusée à moins que les autorités compétentes ne soient convaincues de l’intérêt et de l’avantage publics que représenterait l’arrivée d’une nouvelle société.</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IIIA-PT-53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Trust and Loan Companies Act</w:t>
            </w:r>
            <w:r>
              <w:rPr>
                <w:rFonts w:eastAsiaTheme="minorHAnsi"/>
                <w:noProof/>
                <w:szCs w:val="22"/>
                <w:lang w:val="fr-CA" w:eastAsia="en-US"/>
              </w:rPr>
              <w:t>, S.N.S. 1991, c. 7 et toute mesure accessoire qui y sera apportée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Au moins deux des administrateurs d’une société provinciale doivent résider habituellement en Nouvelle-Écosse et la majorité des administrateurs doivent résider habituellement au Canada.</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IIIA-PT-54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160" w:hanging="2160"/>
              <w:rPr>
                <w:rFonts w:eastAsiaTheme="minorHAnsi"/>
                <w:b/>
                <w:i/>
                <w:noProof/>
                <w:szCs w:val="22"/>
                <w:lang w:val="en-CA" w:eastAsia="en-US"/>
              </w:rPr>
            </w:pPr>
            <w:r>
              <w:rPr>
                <w:rFonts w:eastAsiaTheme="minorHAnsi"/>
                <w:i/>
                <w:noProof/>
                <w:szCs w:val="22"/>
                <w:lang w:val="en-CA" w:eastAsia="en-US"/>
              </w:rPr>
              <w:t>Trust and Loan Companies Act</w:t>
            </w:r>
            <w:r>
              <w:rPr>
                <w:rFonts w:eastAsiaTheme="minorHAnsi"/>
                <w:noProof/>
                <w:szCs w:val="22"/>
                <w:lang w:val="en-CA" w:eastAsia="en-US"/>
              </w:rPr>
              <w:t>, S.N.S. 1991, c. 7</w:t>
            </w:r>
            <w:r>
              <w:rPr>
                <w:rFonts w:eastAsiaTheme="minorHAnsi"/>
                <w:b/>
                <w:i/>
                <w:noProof/>
                <w:szCs w:val="22"/>
                <w:lang w:val="en-CA" w:eastAsia="en-US"/>
              </w:rPr>
              <w:t xml:space="preserve">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Pour exercer des activités à titre de société de fiducie et de prêt sous le régime de la Nouvelle</w:t>
            </w:r>
            <w:r>
              <w:rPr>
                <w:rFonts w:eastAsiaTheme="minorHAnsi"/>
                <w:noProof/>
                <w:szCs w:val="22"/>
                <w:lang w:val="fr-CA" w:eastAsia="en-US"/>
              </w:rPr>
              <w:noBreakHyphen/>
              <w:t xml:space="preserve">Écosse, une entité doit être une personne morale à laquelle la </w:t>
            </w:r>
            <w:r>
              <w:rPr>
                <w:rFonts w:eastAsiaTheme="minorHAnsi"/>
                <w:i/>
                <w:noProof/>
                <w:szCs w:val="22"/>
                <w:lang w:val="fr-CA" w:eastAsia="en-US"/>
              </w:rPr>
              <w:t>Trust and Loan Companies Act</w:t>
            </w:r>
            <w:r>
              <w:rPr>
                <w:rFonts w:eastAsiaTheme="minorHAnsi"/>
                <w:noProof/>
                <w:szCs w:val="22"/>
                <w:lang w:val="fr-CA" w:eastAsia="en-US"/>
              </w:rPr>
              <w:t xml:space="preserve"> s’applique.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IIIA-PT-55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Credit unions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Traitement national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Dirigeants et conseils d’administration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en-CA" w:eastAsia="en-US"/>
              </w:rPr>
            </w:pPr>
            <w:r>
              <w:rPr>
                <w:rFonts w:eastAsiaTheme="minorHAnsi"/>
                <w:i/>
                <w:noProof/>
                <w:szCs w:val="22"/>
                <w:lang w:val="en-CA" w:eastAsia="en-US"/>
              </w:rPr>
              <w:t>Credit Union Act</w:t>
            </w:r>
            <w:r>
              <w:rPr>
                <w:rFonts w:eastAsiaTheme="minorHAnsi"/>
                <w:noProof/>
                <w:szCs w:val="22"/>
                <w:lang w:val="en-CA" w:eastAsia="en-US"/>
              </w:rPr>
              <w:t>, R.S.N.S. 1994, c. 4</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862"/>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administrateur d’une coopérative de crédit en Nouvelle</w:t>
            </w:r>
            <w:r>
              <w:rPr>
                <w:rFonts w:eastAsiaTheme="minorHAnsi"/>
                <w:noProof/>
                <w:szCs w:val="22"/>
                <w:lang w:val="fr-CA" w:eastAsia="en-US"/>
              </w:rPr>
              <w:noBreakHyphen/>
              <w:t>Écosse doit être un citoyen canadien.</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IIIA-PT-56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en-CA" w:eastAsia="en-US"/>
              </w:rPr>
            </w:pPr>
            <w:r>
              <w:rPr>
                <w:rFonts w:eastAsiaTheme="minorHAnsi"/>
                <w:i/>
                <w:noProof/>
                <w:szCs w:val="22"/>
                <w:lang w:val="en-CA" w:eastAsia="en-US"/>
              </w:rPr>
              <w:t>Credit Union Act</w:t>
            </w:r>
            <w:r>
              <w:rPr>
                <w:rFonts w:eastAsiaTheme="minorHAnsi"/>
                <w:noProof/>
                <w:szCs w:val="22"/>
                <w:lang w:val="en-CA" w:eastAsia="en-US"/>
              </w:rPr>
              <w:t>, R.S.N.S. 1994, c. 4</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918"/>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Une coopérative de crédit doit être constituée en personne morale en Nouvelle-Écosse.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IIIA-PT-57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prêts hypothécaires résidentiels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Mortgage Brokers and Lenders Registration Act</w:t>
            </w:r>
            <w:r>
              <w:rPr>
                <w:rFonts w:eastAsiaTheme="minorHAnsi"/>
                <w:noProof/>
                <w:szCs w:val="22"/>
                <w:lang w:val="fr-CA" w:eastAsia="en-US"/>
              </w:rPr>
              <w:t>, R.S.N.S. 1989, c. 291 et toute mesure accessoire qui y sera apportée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108"/>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courtier en prêts hypothécaires doit être constitué en personne morale sous le régime des lois du Canada ou de la Nouvelle</w:t>
            </w:r>
            <w:r>
              <w:rPr>
                <w:rFonts w:eastAsiaTheme="minorHAnsi"/>
                <w:noProof/>
                <w:szCs w:val="22"/>
                <w:lang w:val="fr-CA" w:eastAsia="en-US"/>
              </w:rPr>
              <w:noBreakHyphen/>
              <w:t>Écosse.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IIIA-PT-58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prêts hypothécaires résidentiels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Mortgage Brokers and Lenders Registration Act</w:t>
            </w:r>
            <w:r>
              <w:rPr>
                <w:rFonts w:eastAsiaTheme="minorHAnsi"/>
                <w:noProof/>
                <w:szCs w:val="22"/>
                <w:lang w:val="fr-CA" w:eastAsia="en-US"/>
              </w:rPr>
              <w:t>, R.S.N.S. 1989, c. 291 et toute mesure accessoire qui y sera apportée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966"/>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courtier en prêts hypothécaires doit résider en Nouvelle-Écosse.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IIIA-PT-59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tabs>
                <w:tab w:val="left" w:pos="315"/>
              </w:tabs>
              <w:spacing w:before="60" w:after="60" w:line="240" w:lineRule="auto"/>
              <w:ind w:right="-180"/>
              <w:rPr>
                <w:rFonts w:eastAsiaTheme="minorHAnsi" w:cs="Garamond"/>
                <w:noProof/>
                <w:spacing w:val="2"/>
                <w:szCs w:val="22"/>
                <w:lang w:val="fr-CA" w:eastAsia="en-US"/>
              </w:rPr>
            </w:pPr>
            <w:r>
              <w:rPr>
                <w:rFonts w:eastAsiaTheme="minorHAnsi" w:cs="Garamond"/>
                <w:noProof/>
                <w:spacing w:val="2"/>
                <w:szCs w:val="22"/>
                <w:lang w:val="fr-CA" w:eastAsia="en-US"/>
              </w:rPr>
              <w:t>Services bancaires et autres services financiers (à l’exclusion de l’assurance)</w:t>
            </w:r>
            <w:r>
              <w:rPr>
                <w:rFonts w:eastAsiaTheme="minorHAnsi"/>
                <w:noProof/>
                <w:szCs w:val="22"/>
                <w:lang w:val="fr-CA" w:eastAsia="en-US"/>
              </w:rPr>
              <w:t xml:space="preserve"> </w:t>
            </w:r>
          </w:p>
          <w:p>
            <w:pPr>
              <w:widowControl/>
              <w:spacing w:before="60" w:after="60" w:line="240" w:lineRule="auto"/>
              <w:rPr>
                <w:rFonts w:eastAsiaTheme="minorHAnsi"/>
                <w:noProof/>
                <w:szCs w:val="22"/>
                <w:lang w:val="fr-CA" w:eastAsia="en-US"/>
              </w:rPr>
            </w:pPr>
            <w:r>
              <w:rPr>
                <w:rFonts w:eastAsiaTheme="minorHAnsi" w:cs="Garamond"/>
                <w:noProof/>
                <w:spacing w:val="2"/>
                <w:szCs w:val="22"/>
                <w:lang w:val="fr-CA" w:eastAsia="en-US"/>
              </w:rPr>
              <w:t>Négociation de valeurs mobilières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right="-180" w:hanging="2880"/>
              <w:rPr>
                <w:rFonts w:eastAsiaTheme="minorHAnsi" w:cs="Garamond"/>
                <w:b/>
                <w:bCs/>
                <w:noProof/>
                <w:spacing w:val="2"/>
                <w:szCs w:val="22"/>
                <w:lang w:val="en-CA" w:eastAsia="en-US"/>
              </w:rPr>
            </w:pPr>
            <w:r>
              <w:rPr>
                <w:rFonts w:eastAsiaTheme="minorHAnsi"/>
                <w:i/>
                <w:noProof/>
                <w:szCs w:val="22"/>
                <w:lang w:val="en-CA" w:eastAsia="en-US"/>
              </w:rPr>
              <w:t>Securities Act</w:t>
            </w:r>
            <w:r>
              <w:rPr>
                <w:rFonts w:eastAsiaTheme="minorHAnsi"/>
                <w:noProof/>
                <w:szCs w:val="22"/>
                <w:lang w:val="en-CA" w:eastAsia="en-US"/>
              </w:rPr>
              <w:t>, R.S.N.S. 1989, c. 418</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Dans certaines circonstances précises, le surintendant des valeurs mobilières peut refuser l’inscription en Nouvelle-Écosse :</w:t>
            </w:r>
          </w:p>
          <w:p>
            <w:pPr>
              <w:widowControl/>
              <w:spacing w:before="60" w:after="60" w:line="240" w:lineRule="auto"/>
              <w:ind w:left="720"/>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d’un particulier; ou</w:t>
            </w:r>
          </w:p>
          <w:p>
            <w:pPr>
              <w:widowControl/>
              <w:spacing w:before="60" w:after="60" w:line="240" w:lineRule="auto"/>
              <w:ind w:left="720"/>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d’une personne ou d’une société,</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si le particulier, ou tout administrateur ou dirigeant de la personne ou de la société n’est pas résident du Canada depuis au moins un an immédiatement avant la date à laquelle la demande d’inscription est présentée.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IIIA-PT-60</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conseil et services financiers auxiliaires et gestion d’actifs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right="-180" w:hanging="2880"/>
              <w:rPr>
                <w:rFonts w:eastAsiaTheme="minorHAnsi" w:cs="Garamond"/>
                <w:b/>
                <w:bCs/>
                <w:noProof/>
                <w:spacing w:val="2"/>
                <w:szCs w:val="22"/>
                <w:lang w:val="en-CA" w:eastAsia="en-US"/>
              </w:rPr>
            </w:pPr>
            <w:r>
              <w:rPr>
                <w:rFonts w:eastAsiaTheme="minorHAnsi"/>
                <w:i/>
                <w:noProof/>
                <w:szCs w:val="22"/>
                <w:lang w:val="en-CA" w:eastAsia="en-US"/>
              </w:rPr>
              <w:t>Securities Act</w:t>
            </w:r>
            <w:r>
              <w:rPr>
                <w:rFonts w:eastAsiaTheme="minorHAnsi"/>
                <w:noProof/>
                <w:szCs w:val="22"/>
                <w:lang w:val="en-CA" w:eastAsia="en-US"/>
              </w:rPr>
              <w:t>, R.S.N.S. 1989, c. 418</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L’établissement doit être dirigé par un résident de la Nouvelle</w:t>
            </w:r>
            <w:r>
              <w:rPr>
                <w:rFonts w:eastAsiaTheme="minorHAnsi"/>
                <w:noProof/>
                <w:szCs w:val="22"/>
                <w:lang w:val="fr-CA" w:eastAsia="en-US"/>
              </w:rPr>
              <w:noBreakHyphen/>
              <w:t>Écosse.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IIIA-PT-61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conseil et services financiers auxiliaires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right="-180" w:hanging="2880"/>
              <w:rPr>
                <w:rFonts w:eastAsiaTheme="minorHAnsi" w:cs="Garamond"/>
                <w:b/>
                <w:bCs/>
                <w:noProof/>
                <w:spacing w:val="2"/>
                <w:szCs w:val="22"/>
                <w:lang w:val="en-CA" w:eastAsia="en-US"/>
              </w:rPr>
            </w:pPr>
            <w:r>
              <w:rPr>
                <w:rFonts w:eastAsiaTheme="minorHAnsi"/>
                <w:i/>
                <w:noProof/>
                <w:szCs w:val="22"/>
                <w:lang w:val="en-CA" w:eastAsia="en-US"/>
              </w:rPr>
              <w:t>Securities Act</w:t>
            </w:r>
            <w:r>
              <w:rPr>
                <w:rFonts w:eastAsiaTheme="minorHAnsi"/>
                <w:noProof/>
                <w:szCs w:val="22"/>
                <w:lang w:val="en-CA" w:eastAsia="en-US"/>
              </w:rPr>
              <w:t>, R.S.N.S. 1989, c. 418</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de conseil offerts en Nouvelle-Écosse par un conseiller doivent être fournis par l’intermédiaire d’une présence commerciale en Nouvelle- Écosse.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IIIA-PT-62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right="-180" w:hanging="2880"/>
              <w:rPr>
                <w:rFonts w:eastAsiaTheme="minorHAnsi" w:cs="Garamond"/>
                <w:b/>
                <w:bCs/>
                <w:noProof/>
                <w:spacing w:val="2"/>
                <w:szCs w:val="22"/>
                <w:lang w:val="en-CA" w:eastAsia="en-US"/>
              </w:rPr>
            </w:pPr>
            <w:r>
              <w:rPr>
                <w:rFonts w:eastAsiaTheme="minorHAnsi"/>
                <w:i/>
                <w:noProof/>
                <w:szCs w:val="22"/>
                <w:lang w:val="en-CA" w:eastAsia="en-US"/>
              </w:rPr>
              <w:t>Securities Act</w:t>
            </w:r>
            <w:r>
              <w:rPr>
                <w:rFonts w:eastAsiaTheme="minorHAnsi"/>
                <w:noProof/>
                <w:szCs w:val="22"/>
                <w:lang w:val="en-CA" w:eastAsia="en-US"/>
              </w:rPr>
              <w:t>, R.S.N.S. 1989, c. 418</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fonds mutuels qui offrent des valeurs mobilières au Canada doivent utiliser un dépositaire résident. Il est possible d’utiliser un sous-dépositaire non résident si son capital-actions est d’au moins 100 millions CAD.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au Nunavut</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IIIA-PT-63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Nunavut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en-CA" w:eastAsia="en-US"/>
              </w:rPr>
            </w:pPr>
            <w:r>
              <w:rPr>
                <w:rFonts w:eastAsiaTheme="minorHAnsi"/>
                <w:i/>
                <w:noProof/>
                <w:szCs w:val="22"/>
                <w:lang w:val="en-CA" w:eastAsia="en-US"/>
              </w:rPr>
              <w:t>Insurance Act</w:t>
            </w:r>
            <w:r>
              <w:rPr>
                <w:rFonts w:eastAsiaTheme="minorHAnsi"/>
                <w:noProof/>
                <w:szCs w:val="22"/>
                <w:lang w:val="en-CA" w:eastAsia="en-US"/>
              </w:rPr>
              <w:t xml:space="preserve">, R.S.A. 2000, c. I-3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d’assurance au Nunavut peuvent être fournis seulement par :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 xml:space="preserve">une société constituée en personne morale sous le régime de la législation du Nunavut;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une compagnie d’assurance extraprovinciale, c’est-à-dire un assureur constitué en personne morale par ou sous le régime de la législation d’une autre province ou d’un autre territoire du Canada;</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une association formée selon le régime appelé Lloyd’s;</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e)</w:t>
            </w:r>
            <w:r>
              <w:rPr>
                <w:rFonts w:eastAsiaTheme="minorHAnsi"/>
                <w:noProof/>
                <w:szCs w:val="22"/>
                <w:lang w:val="fr-CA" w:eastAsia="en-US"/>
              </w:rPr>
              <w:tab/>
              <w:t>un groupe d’échange d’assurance réciproque;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f)</w:t>
            </w:r>
            <w:r>
              <w:rPr>
                <w:rFonts w:eastAsiaTheme="minorHAnsi"/>
                <w:noProof/>
                <w:szCs w:val="22"/>
                <w:lang w:val="fr-CA" w:eastAsia="en-US"/>
              </w:rPr>
              <w:tab/>
              <w:t>des sociétés fraternelles.</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IIIA-PT-64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Nunavut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160" w:hanging="2160"/>
              <w:rPr>
                <w:rFonts w:eastAsiaTheme="minorHAnsi"/>
                <w:b/>
                <w:noProof/>
                <w:szCs w:val="22"/>
                <w:lang w:val="fr-CA" w:eastAsia="en-US"/>
              </w:rPr>
            </w:pPr>
            <w:r>
              <w:rPr>
                <w:rFonts w:eastAsiaTheme="minorHAnsi"/>
                <w:i/>
                <w:noProof/>
                <w:szCs w:val="22"/>
                <w:lang w:val="fr-CA" w:eastAsia="en-US"/>
              </w:rPr>
              <w:t>Loi sur les sociétés par actions,</w:t>
            </w:r>
            <w:r>
              <w:rPr>
                <w:rFonts w:eastAsiaTheme="minorHAnsi"/>
                <w:noProof/>
                <w:szCs w:val="22"/>
                <w:lang w:val="fr-CA" w:eastAsia="en-US"/>
              </w:rPr>
              <w:t xml:space="preserve"> L.T.N.-O. (Nu) 1996, c. 19</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Pour exercer des activités à titre de société de fiducie et de prêt sous le régime du Nunavut, une entité doit être une personne morale à laquelle la </w:t>
            </w:r>
            <w:r>
              <w:rPr>
                <w:rFonts w:eastAsiaTheme="minorHAnsi"/>
                <w:i/>
                <w:noProof/>
                <w:szCs w:val="22"/>
                <w:lang w:val="fr-CA" w:eastAsia="en-US"/>
              </w:rPr>
              <w:t>Loi sur les sociétés par actions</w:t>
            </w:r>
            <w:r>
              <w:rPr>
                <w:rFonts w:eastAsiaTheme="minorHAnsi"/>
                <w:noProof/>
                <w:szCs w:val="22"/>
                <w:lang w:val="fr-CA" w:eastAsia="en-US"/>
              </w:rPr>
              <w:t xml:space="preserve"> s’applique.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IIIA-PT-65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Nunavut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160" w:hanging="2160"/>
              <w:rPr>
                <w:rFonts w:eastAsiaTheme="minorHAnsi"/>
                <w:b/>
                <w:noProof/>
                <w:szCs w:val="22"/>
                <w:lang w:val="fr-CA" w:eastAsia="en-US"/>
              </w:rPr>
            </w:pPr>
            <w:r>
              <w:rPr>
                <w:rFonts w:eastAsiaTheme="minorHAnsi"/>
                <w:i/>
                <w:noProof/>
                <w:szCs w:val="22"/>
                <w:lang w:val="fr-CA" w:eastAsia="en-US"/>
              </w:rPr>
              <w:t>Loi sur les caisses de crédit</w:t>
            </w:r>
            <w:r>
              <w:rPr>
                <w:rFonts w:eastAsiaTheme="minorHAnsi"/>
                <w:noProof/>
                <w:szCs w:val="22"/>
                <w:lang w:val="fr-CA" w:eastAsia="en-US"/>
              </w:rPr>
              <w:t>, L.R.T.N.-O. (Nu) 1988, c. C-23</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Une caisse de crédit doit être constituée en personne morale au Nunavut.</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IIIA-PT-66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Négociation de valeurs mobilières et d’instruments à terme – personnes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Nunavut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160" w:hanging="2160"/>
              <w:rPr>
                <w:rFonts w:eastAsiaTheme="minorHAnsi"/>
                <w:b/>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L.R.T.N.-O. (Nu) 1998, c. 10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Un particulier ou une entreprise doit s’inscrire pour négocier par l’intermédiaire de courtiers qui ne sont ni résidents du Nunavut ni inscrits dans ce territoire.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IIIA-PT-67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Nunavut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b/>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L.R.T.N.-O. (Nu.) 1988, c. S-5</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en Ontario</w:t>
      </w:r>
    </w:p>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b/>
          <w:noProof/>
          <w:szCs w:val="22"/>
          <w:lang w:val="fr-CA" w:eastAsia="en-US"/>
        </w:rPr>
      </w:pPr>
      <w:r>
        <w:rPr>
          <w:rFonts w:eastAsiaTheme="minorHAnsi"/>
          <w:b/>
          <w:noProof/>
          <w:szCs w:val="22"/>
          <w:lang w:val="fr-CA" w:eastAsia="en-US"/>
        </w:rPr>
        <w:t>Réserve IIIA-PT-68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Ontario</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sur les assurances</w:t>
            </w:r>
            <w:r>
              <w:rPr>
                <w:rFonts w:eastAsiaTheme="minorHAnsi"/>
                <w:noProof/>
                <w:szCs w:val="22"/>
                <w:lang w:val="fr-CA" w:eastAsia="en-US"/>
              </w:rPr>
              <w:t>, L.R.O. 1990, c. I.8, art. 42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d’assurance en Ontario peuvent être fournis seulement par :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 xml:space="preserve">une société constituée en personne morale sous le régime de la législation de l’Ontario;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une compagnie d’assurance extraprovinciale, c’est-à-dire un assureur constitué en personne morale par ou sous le régime de la législation d’une autre province ou d’un autre territoire du Canada;</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 xml:space="preserve">une association formée selon le régime appelé Lloyd’s;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e)</w:t>
            </w:r>
            <w:r>
              <w:rPr>
                <w:rFonts w:eastAsiaTheme="minorHAnsi"/>
                <w:noProof/>
                <w:szCs w:val="22"/>
                <w:lang w:val="fr-CA" w:eastAsia="en-US"/>
              </w:rPr>
              <w:tab/>
              <w:t>un groupe d’échange d’assurance réciproque;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f)</w:t>
            </w:r>
            <w:r>
              <w:rPr>
                <w:rFonts w:eastAsiaTheme="minorHAnsi"/>
                <w:noProof/>
                <w:szCs w:val="22"/>
                <w:lang w:val="fr-CA" w:eastAsia="en-US"/>
              </w:rPr>
              <w:tab/>
              <w:t>des sociétés fraternelles.</w:t>
            </w:r>
          </w:p>
        </w:tc>
      </w:tr>
    </w:tbl>
    <w:p>
      <w:pPr>
        <w:widowControl/>
        <w:spacing w:before="60" w:after="60" w:line="240" w:lineRule="auto"/>
        <w:rPr>
          <w:rFonts w:eastAsiaTheme="minorHAnsi"/>
          <w:b/>
          <w:noProof/>
          <w:szCs w:val="22"/>
          <w:u w:val="single"/>
          <w:lang w:val="fr-CA" w:eastAsia="en-US"/>
        </w:rPr>
      </w:pPr>
    </w:p>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IIIA-PT-69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 – services auxiliaires de l’assurance et du financement des pensions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de la nation la plus favorisée</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Ontario</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sur les assurances</w:t>
            </w:r>
            <w:r>
              <w:rPr>
                <w:rFonts w:eastAsiaTheme="minorHAnsi"/>
                <w:noProof/>
                <w:szCs w:val="22"/>
                <w:lang w:val="fr-CA" w:eastAsia="en-US"/>
              </w:rPr>
              <w:t>, L.R.O. 1990, c. I.8, par. 48(3), 48(7), 169(2)</w:t>
            </w:r>
            <w:r>
              <w:rPr>
                <w:rFonts w:eastAsiaTheme="minorHAnsi"/>
                <w:b/>
                <w:noProof/>
                <w:szCs w:val="22"/>
                <w:lang w:val="fr-CA" w:eastAsia="en-US"/>
              </w:rPr>
              <w:t xml:space="preserve">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sociétés mutuelles d’assurance qui sont membres du Fonds mutuel d’assurance-incendie se voient imposer des exigences moins lourdes relativement au capital. Toute société mutuelle d’assurance peut devenir membre du Fonds mutuel d’assurance-incendie, mais l’adhésion est soumise à l’approbation du surintendant des services financiers.</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IIIA-PT-70</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Ontario</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sur les assurances</w:t>
            </w:r>
            <w:r>
              <w:rPr>
                <w:rFonts w:eastAsiaTheme="minorHAnsi"/>
                <w:noProof/>
                <w:szCs w:val="22"/>
                <w:lang w:val="fr-CA" w:eastAsia="en-US"/>
              </w:rPr>
              <w:t>, L.R.O. 1990, c. I.8, art. 54</w:t>
            </w:r>
            <w:r>
              <w:rPr>
                <w:rFonts w:eastAsiaTheme="minorHAnsi"/>
                <w:i/>
                <w:noProof/>
                <w:szCs w:val="22"/>
                <w:lang w:val="fr-CA" w:eastAsia="en-US"/>
              </w:rPr>
              <w:tab/>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754"/>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doivent être fournis par l’intermédiaire d’une présence commerciale en Ontario.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IIIA-PT-71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Ontario</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11" w:hanging="11"/>
              <w:rPr>
                <w:rFonts w:eastAsiaTheme="minorHAnsi"/>
                <w:b/>
                <w:noProof/>
                <w:szCs w:val="22"/>
                <w:lang w:val="fr-CA" w:eastAsia="en-US"/>
              </w:rPr>
            </w:pPr>
            <w:r>
              <w:rPr>
                <w:rFonts w:eastAsiaTheme="minorHAnsi"/>
                <w:i/>
                <w:noProof/>
                <w:szCs w:val="22"/>
                <w:lang w:val="fr-CA" w:eastAsia="en-US"/>
              </w:rPr>
              <w:t>Loi sur les sociétés de prêts et de fiducie</w:t>
            </w:r>
            <w:r>
              <w:rPr>
                <w:rFonts w:eastAsiaTheme="minorHAnsi"/>
                <w:noProof/>
                <w:szCs w:val="22"/>
                <w:lang w:val="fr-CA" w:eastAsia="en-US"/>
              </w:rPr>
              <w:t>, L.R.O. 1990, c. L.25, art. 31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Seule une société constituée en personne morale sous le régime fédéral de la </w:t>
            </w:r>
            <w:r>
              <w:rPr>
                <w:rFonts w:eastAsiaTheme="minorHAnsi"/>
                <w:i/>
                <w:noProof/>
                <w:szCs w:val="22"/>
                <w:lang w:val="fr-CA" w:eastAsia="en-US"/>
              </w:rPr>
              <w:t>Loi sur les sociétés de fiducie et de prêt</w:t>
            </w:r>
            <w:r>
              <w:rPr>
                <w:rFonts w:eastAsiaTheme="minorHAnsi"/>
                <w:noProof/>
                <w:szCs w:val="22"/>
                <w:lang w:val="fr-CA" w:eastAsia="en-US"/>
              </w:rPr>
              <w:t>, L.C. 1991, c. 45, peut faire une demande de première inscription pour exercer des activités en tant que société de prêt ou société de fiducie en Ontario.</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IIIA-PT-72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Ontario</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de 1994 sur les caisses populaires et les credit unions</w:t>
            </w:r>
            <w:r>
              <w:rPr>
                <w:rFonts w:eastAsiaTheme="minorHAnsi"/>
                <w:noProof/>
                <w:szCs w:val="22"/>
                <w:lang w:val="fr-CA" w:eastAsia="en-US"/>
              </w:rPr>
              <w:t>, L.O. 1994, c. 11, art. 332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639"/>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Une coopérative de crédit doit être constituée en personne morale en Ontario.</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IIIA-PT-73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d’intermédiation financière, à l’exclusion des services d’assurance et de caisse de pension</w:t>
            </w:r>
          </w:p>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Coopératives de crédit et caisses populaires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Dirigeants et conseils d’administration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Ontario</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de 1994 sur les caisses populaires et les credit unions, 1994,</w:t>
            </w:r>
            <w:r>
              <w:rPr>
                <w:rFonts w:eastAsiaTheme="minorHAnsi"/>
                <w:noProof/>
                <w:szCs w:val="22"/>
                <w:lang w:val="fr-CA" w:eastAsia="en-US"/>
              </w:rPr>
              <w:t xml:space="preserve"> L.O. 1994, c. 11, art. 23, 91, 160, 332</w:t>
            </w:r>
            <w:r>
              <w:rPr>
                <w:rFonts w:eastAsiaTheme="minorHAnsi"/>
                <w:noProof/>
                <w:szCs w:val="22"/>
                <w:lang w:val="fr-CA" w:eastAsia="en-US"/>
              </w:rPr>
              <w:tab/>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Seule une personne physique qui est sociétaire, qui a au moins 18 ans et qui est un citoyen canadien ou une personne admise au Canada aux fins de résidence permanente et qui réside habituellement au Canada peut être administrateur d’une coopérative de crédit.</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IIIA-PT-74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auxiliaires de l’intermédiation financière autres que l’assurance et le financement des pensions</w:t>
            </w:r>
          </w:p>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Courtiers en hypothèques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Ontario</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de 2006 sur les maisons de courtage d’hypothèques, les prêteurs hypothécaires et les administrateurs d’hypothèques, 2006</w:t>
            </w:r>
            <w:r>
              <w:rPr>
                <w:rFonts w:eastAsiaTheme="minorHAnsi"/>
                <w:noProof/>
                <w:szCs w:val="22"/>
                <w:lang w:val="fr-CA" w:eastAsia="en-US"/>
              </w:rPr>
              <w:t xml:space="preserve">, L.O. 2006, c. 29 </w:t>
            </w:r>
          </w:p>
          <w:p>
            <w:pPr>
              <w:widowControl/>
              <w:spacing w:before="60" w:after="60" w:line="240" w:lineRule="auto"/>
              <w:rPr>
                <w:rFonts w:eastAsiaTheme="minorHAnsi"/>
                <w:noProof/>
                <w:szCs w:val="22"/>
                <w:lang w:val="fr-CA" w:eastAsia="en-US"/>
              </w:rPr>
            </w:pPr>
            <w:r>
              <w:rPr>
                <w:rFonts w:eastAsiaTheme="minorHAnsi"/>
                <w:i/>
                <w:noProof/>
                <w:szCs w:val="22"/>
                <w:lang w:val="fr-CA" w:eastAsia="en-US"/>
              </w:rPr>
              <w:t>Courtiers et agents en hypothèques : octroi des permis</w:t>
            </w:r>
            <w:r>
              <w:rPr>
                <w:rFonts w:eastAsiaTheme="minorHAnsi"/>
                <w:noProof/>
                <w:szCs w:val="22"/>
                <w:lang w:val="fr-CA" w:eastAsia="en-US"/>
              </w:rPr>
              <w:t xml:space="preserve"> – Règl. de l’Ont. 409/07</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courtier ou agent en hypothèques (professions toutes deux exercées par des personnes physiques) doit être résident du Canada.</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IIIA-PT-75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auxiliaires de l’intermédiation financière autres que l’assurance et le financement des pensions</w:t>
            </w:r>
          </w:p>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Courtiers en hypothèques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Ontario</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de 2006 sur les maisons de courtage d’hypothèques, les prêteurs hypothécaires et les administrateurs d’hypothèques, 2006</w:t>
            </w:r>
            <w:r>
              <w:rPr>
                <w:rFonts w:eastAsiaTheme="minorHAnsi"/>
                <w:noProof/>
                <w:szCs w:val="22"/>
                <w:lang w:val="fr-CA" w:eastAsia="en-US"/>
              </w:rPr>
              <w:t>, L.O. 2006, c. 29</w:t>
            </w:r>
          </w:p>
          <w:p>
            <w:pPr>
              <w:widowControl/>
              <w:spacing w:before="60" w:after="60" w:line="240" w:lineRule="auto"/>
              <w:rPr>
                <w:rFonts w:eastAsiaTheme="minorHAnsi"/>
                <w:i/>
                <w:noProof/>
                <w:szCs w:val="22"/>
                <w:lang w:val="fr-CA" w:eastAsia="en-US"/>
              </w:rPr>
            </w:pPr>
            <w:r>
              <w:rPr>
                <w:rFonts w:eastAsiaTheme="minorHAnsi"/>
                <w:i/>
                <w:noProof/>
                <w:szCs w:val="22"/>
                <w:lang w:val="fr-CA" w:eastAsia="en-US"/>
              </w:rPr>
              <w:t>Maisons de courtage d’hypothèques : octroi des permis</w:t>
            </w:r>
            <w:r>
              <w:rPr>
                <w:rFonts w:eastAsiaTheme="minorHAnsi"/>
                <w:noProof/>
                <w:szCs w:val="22"/>
                <w:lang w:val="fr-CA" w:eastAsia="en-US"/>
              </w:rPr>
              <w:t xml:space="preserve"> – Règl. de l’Ont. 408/07</w:t>
            </w:r>
          </w:p>
          <w:p>
            <w:pPr>
              <w:widowControl/>
              <w:spacing w:before="60" w:after="60" w:line="240" w:lineRule="auto"/>
              <w:rPr>
                <w:rFonts w:eastAsiaTheme="minorHAnsi"/>
                <w:noProof/>
                <w:szCs w:val="22"/>
                <w:lang w:val="fr-CA" w:eastAsia="en-US"/>
              </w:rPr>
            </w:pPr>
            <w:r>
              <w:rPr>
                <w:rFonts w:eastAsiaTheme="minorHAnsi"/>
                <w:i/>
                <w:noProof/>
                <w:szCs w:val="22"/>
                <w:lang w:val="fr-CA" w:eastAsia="en-US"/>
              </w:rPr>
              <w:t xml:space="preserve">Administrateurs d’hypothèques : octroi des permis </w:t>
            </w:r>
            <w:r>
              <w:rPr>
                <w:rFonts w:eastAsiaTheme="minorHAnsi"/>
                <w:noProof/>
                <w:szCs w:val="22"/>
                <w:lang w:val="fr-CA" w:eastAsia="en-US"/>
              </w:rPr>
              <w:t>– Règl. de l’Ont. 411/07</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Une maison de courtage d’hypothèques ou un administrateur d’hypothèques (entités commerciales) doit être une société constituée en personne morale dans une province ou un territoire du Canada, une société de personnes constituée en personne morale en vertu de la législation d’une province ou d’un territoire du Canada ou une entreprise à propriétaire unique qui est résident du Canada.</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IIIA-PT-76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Négociation de valeurs mobilières et d’instruments à terme – personnes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Ontario</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contrats à terme sur marchandises</w:t>
            </w:r>
            <w:r>
              <w:rPr>
                <w:rFonts w:eastAsiaTheme="minorHAnsi"/>
                <w:noProof/>
                <w:szCs w:val="22"/>
                <w:lang w:val="fr-CA" w:eastAsia="en-US"/>
              </w:rPr>
              <w:t>, L.R.O. 1990, c. C.20, par. 22(1), 65</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Norme canadienne 31-103 sur les obligations et dispenses d’inscription</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Norme canadienne 33-109 sur les renseignements concernant l’inscription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particulier ou une entreprise doit s’inscrire pour négocier par l’intermédiaire de courtiers qui ne sont ni résidents de l’Ontario ni inscrits dans cette province.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IIIA-PT-77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Ontario</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L.R.O. 1990, c. S.5, art. 143</w:t>
            </w:r>
          </w:p>
          <w:p>
            <w:pPr>
              <w:widowControl/>
              <w:spacing w:before="60" w:after="60" w:line="240" w:lineRule="auto"/>
              <w:ind w:left="-23" w:firstLine="23"/>
              <w:rPr>
                <w:rFonts w:eastAsiaTheme="minorHAnsi"/>
                <w:noProof/>
                <w:szCs w:val="22"/>
                <w:lang w:val="fr-CA" w:eastAsia="en-US"/>
              </w:rPr>
            </w:pPr>
            <w:r>
              <w:rPr>
                <w:rFonts w:eastAsiaTheme="minorHAnsi"/>
                <w:noProof/>
                <w:szCs w:val="22"/>
                <w:lang w:val="fr-CA" w:eastAsia="en-US"/>
              </w:rPr>
              <w:t>Norme canadienne 31-103 sur les obligations et dispenses d’inscription</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Norme canadienne 81-102 sur les organismes de placement collectif</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à l’Île-du-Prince-Édouard</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IIIA-PT-78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Île-du-Prince-Édouard</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i/>
                <w:noProof/>
                <w:szCs w:val="22"/>
                <w:lang w:val="en-CA" w:eastAsia="en-US"/>
              </w:rPr>
            </w:pPr>
            <w:r>
              <w:rPr>
                <w:rFonts w:eastAsiaTheme="minorHAnsi"/>
                <w:i/>
                <w:noProof/>
                <w:szCs w:val="22"/>
                <w:lang w:val="en-CA" w:eastAsia="en-US"/>
              </w:rPr>
              <w:t xml:space="preserve">Insurance Act, </w:t>
            </w:r>
            <w:r>
              <w:rPr>
                <w:rFonts w:eastAsiaTheme="minorHAnsi"/>
                <w:noProof/>
                <w:szCs w:val="22"/>
                <w:lang w:val="en-CA" w:eastAsia="en-US"/>
              </w:rPr>
              <w:t>R.S.P.E.I. 1988</w:t>
            </w:r>
            <w:r>
              <w:rPr>
                <w:rFonts w:eastAsiaTheme="minorHAnsi"/>
                <w:i/>
                <w:noProof/>
                <w:szCs w:val="22"/>
                <w:lang w:val="en-CA" w:eastAsia="en-US"/>
              </w:rPr>
              <w:t xml:space="preserve">, </w:t>
            </w:r>
            <w:r>
              <w:rPr>
                <w:rFonts w:eastAsiaTheme="minorHAnsi"/>
                <w:noProof/>
                <w:szCs w:val="22"/>
                <w:lang w:val="en-CA" w:eastAsia="en-US"/>
              </w:rPr>
              <w:t>c. I-4, art. 24, par. 26(5), art. 324</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d’assurance à l’Île-du-Prince-Édouard peuvent être fournis seulement par :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une société constituée en personne morale sous le régime de la législation de l’Île</w:t>
            </w:r>
            <w:r>
              <w:rPr>
                <w:rFonts w:eastAsiaTheme="minorHAnsi"/>
                <w:noProof/>
                <w:szCs w:val="22"/>
                <w:lang w:val="fr-CA" w:eastAsia="en-US"/>
              </w:rPr>
              <w:noBreakHyphen/>
              <w:t>du-Prince-Édouard;</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une compagnie d’assurance extraprovinciale, c’est-à-dire un assureur constitué en personne morale par ou sous le régime de la législation d’une autre province ou d’un autre territoire du Canada;</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une association formée selon le régime appelé Lloyd’s;</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e)</w:t>
            </w:r>
            <w:r>
              <w:rPr>
                <w:rFonts w:eastAsiaTheme="minorHAnsi"/>
                <w:noProof/>
                <w:szCs w:val="22"/>
                <w:lang w:val="fr-CA" w:eastAsia="en-US"/>
              </w:rPr>
              <w:tab/>
              <w:t>un groupe d’échange d’assurance réciproque;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f)</w:t>
            </w:r>
            <w:r>
              <w:rPr>
                <w:rFonts w:eastAsiaTheme="minorHAnsi"/>
                <w:noProof/>
                <w:szCs w:val="22"/>
                <w:lang w:val="fr-CA" w:eastAsia="en-US"/>
              </w:rPr>
              <w:tab/>
              <w:t>des sociétés fraternelles.</w:t>
            </w:r>
          </w:p>
        </w:tc>
      </w:tr>
    </w:tbl>
    <w:p>
      <w:pPr>
        <w:widowControl/>
        <w:tabs>
          <w:tab w:val="left" w:pos="2880"/>
        </w:tabs>
        <w:spacing w:before="60" w:after="60" w:line="240" w:lineRule="auto"/>
        <w:rPr>
          <w:rFonts w:eastAsiaTheme="minorHAnsi"/>
          <w:b/>
          <w:noProof/>
          <w:szCs w:val="22"/>
          <w:u w:val="single"/>
          <w:lang w:val="fr-CA" w:eastAsia="en-US"/>
        </w:rPr>
      </w:pPr>
    </w:p>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IIIA-PT-79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Île-du-Prince-Édouard</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en-CA" w:eastAsia="en-US"/>
              </w:rPr>
            </w:pPr>
            <w:r>
              <w:rPr>
                <w:rFonts w:eastAsiaTheme="minorHAnsi"/>
                <w:i/>
                <w:noProof/>
                <w:szCs w:val="22"/>
                <w:lang w:val="en-CA" w:eastAsia="en-US"/>
              </w:rPr>
              <w:t xml:space="preserve">Insurance Act, </w:t>
            </w:r>
            <w:r>
              <w:rPr>
                <w:rFonts w:eastAsiaTheme="minorHAnsi"/>
                <w:noProof/>
                <w:szCs w:val="22"/>
                <w:lang w:val="en-CA" w:eastAsia="en-US"/>
              </w:rPr>
              <w:t>R.S.P.E.I. 1988, c. I-4</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filiales de compagnies d’assurance étrangères à l’Île-du-Prince-Édouard doivent être autorisées par l’administration fédérale.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IIIA-PT-80</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Île-du-Prince-Édouard</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3" w:firstLine="23"/>
              <w:rPr>
                <w:rFonts w:eastAsiaTheme="minorHAnsi"/>
                <w:noProof/>
                <w:szCs w:val="22"/>
                <w:lang w:val="en-CA" w:eastAsia="en-US"/>
              </w:rPr>
            </w:pPr>
            <w:r>
              <w:rPr>
                <w:rFonts w:eastAsiaTheme="minorHAnsi"/>
                <w:i/>
                <w:noProof/>
                <w:szCs w:val="22"/>
                <w:lang w:val="en-CA" w:eastAsia="en-US"/>
              </w:rPr>
              <w:t>Trust and Fiduciary Companies Act</w:t>
            </w:r>
            <w:r>
              <w:rPr>
                <w:rFonts w:eastAsiaTheme="minorHAnsi"/>
                <w:noProof/>
                <w:szCs w:val="22"/>
                <w:lang w:val="en-CA" w:eastAsia="en-US"/>
              </w:rPr>
              <w:t xml:space="preserve">, R.S.P.E.I. 1988, c. T-7.1, art. 26, 27 </w:t>
            </w:r>
          </w:p>
          <w:p>
            <w:pPr>
              <w:widowControl/>
              <w:spacing w:before="60" w:after="60" w:line="240" w:lineRule="auto"/>
              <w:ind w:left="-23" w:firstLine="23"/>
              <w:rPr>
                <w:rFonts w:eastAsiaTheme="minorHAnsi"/>
                <w:i/>
                <w:noProof/>
                <w:szCs w:val="22"/>
                <w:lang w:val="en-CA" w:eastAsia="en-US"/>
              </w:rPr>
            </w:pPr>
            <w:r>
              <w:rPr>
                <w:rFonts w:eastAsiaTheme="minorHAnsi"/>
                <w:i/>
                <w:noProof/>
                <w:szCs w:val="22"/>
                <w:lang w:val="en-CA" w:eastAsia="en-US"/>
              </w:rPr>
              <w:t>Extra-provincial Corporations Registration Act</w:t>
            </w:r>
            <w:r>
              <w:rPr>
                <w:rFonts w:eastAsiaTheme="minorHAnsi"/>
                <w:noProof/>
                <w:szCs w:val="22"/>
                <w:lang w:val="en-CA" w:eastAsia="en-US"/>
              </w:rPr>
              <w:t>, R.S.P.E.I. 1988, c. E-14, art. 4</w:t>
            </w:r>
            <w:r>
              <w:rPr>
                <w:rFonts w:eastAsiaTheme="minorHAnsi"/>
                <w:i/>
                <w:noProof/>
                <w:szCs w:val="22"/>
                <w:lang w:val="en-CA" w:eastAsia="en-US"/>
              </w:rPr>
              <w:t xml:space="preserve">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Pour exercer des activités à titre de société de fiducie et de prêt sous le régime de l’Île</w:t>
            </w:r>
            <w:r>
              <w:rPr>
                <w:rFonts w:eastAsiaTheme="minorHAnsi"/>
                <w:noProof/>
                <w:szCs w:val="22"/>
                <w:lang w:val="fr-CA" w:eastAsia="en-US"/>
              </w:rPr>
              <w:noBreakHyphen/>
              <w:t>du</w:t>
            </w:r>
            <w:r>
              <w:rPr>
                <w:rFonts w:eastAsiaTheme="minorHAnsi"/>
                <w:noProof/>
                <w:szCs w:val="22"/>
                <w:lang w:val="fr-CA" w:eastAsia="en-US"/>
              </w:rPr>
              <w:noBreakHyphen/>
              <w:t>Prince</w:t>
            </w:r>
            <w:r>
              <w:rPr>
                <w:rFonts w:eastAsiaTheme="minorHAnsi"/>
                <w:noProof/>
                <w:szCs w:val="22"/>
                <w:lang w:val="fr-CA" w:eastAsia="en-US"/>
              </w:rPr>
              <w:noBreakHyphen/>
              <w:t xml:space="preserve">Édouard, une entité doit être une personne morale à laquelle la </w:t>
            </w:r>
            <w:r>
              <w:rPr>
                <w:rFonts w:eastAsiaTheme="minorHAnsi"/>
                <w:i/>
                <w:noProof/>
                <w:szCs w:val="22"/>
                <w:lang w:val="fr-CA" w:eastAsia="en-US"/>
              </w:rPr>
              <w:t>Trust and Fiduciary Companies Act</w:t>
            </w:r>
            <w:r>
              <w:rPr>
                <w:rFonts w:eastAsiaTheme="minorHAnsi"/>
                <w:noProof/>
                <w:szCs w:val="22"/>
                <w:lang w:val="fr-CA" w:eastAsia="en-US"/>
              </w:rPr>
              <w:t xml:space="preserve"> s’applique.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IIIA-PT-81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Île-du-Prince-Édouard</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en-CA" w:eastAsia="en-US"/>
              </w:rPr>
            </w:pPr>
            <w:r>
              <w:rPr>
                <w:rFonts w:eastAsiaTheme="minorHAnsi"/>
                <w:i/>
                <w:noProof/>
                <w:szCs w:val="22"/>
                <w:lang w:val="en-CA" w:eastAsia="en-US"/>
              </w:rPr>
              <w:t>Credit Unions Act</w:t>
            </w:r>
            <w:r>
              <w:rPr>
                <w:rFonts w:eastAsiaTheme="minorHAnsi"/>
                <w:noProof/>
                <w:szCs w:val="22"/>
                <w:lang w:val="en-CA" w:eastAsia="en-US"/>
              </w:rPr>
              <w:t>, R.S.P.E.I. 1988, c. C-29.1, art. 2, 159</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Une coopérative de crédit doit être constituée en personne morale à l’Île-du-Prince-Édouard.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IIIA-PT-82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Négociation de valeurs mobilières et d’instruments à terme – personnes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Île-du-Prince-Édouard</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en-CA" w:eastAsia="en-US"/>
              </w:rPr>
            </w:pPr>
            <w:r>
              <w:rPr>
                <w:rFonts w:eastAsiaTheme="minorHAnsi"/>
                <w:i/>
                <w:noProof/>
                <w:szCs w:val="22"/>
                <w:lang w:val="en-CA" w:eastAsia="en-US"/>
              </w:rPr>
              <w:t>Securities Act</w:t>
            </w:r>
            <w:r>
              <w:rPr>
                <w:rFonts w:eastAsiaTheme="minorHAnsi"/>
                <w:noProof/>
                <w:szCs w:val="22"/>
                <w:lang w:val="en-CA" w:eastAsia="en-US"/>
              </w:rPr>
              <w:t>, R.S.P.E.I. 1988, c. S-3.1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particulier ou une entreprise doit s’inscrire pour négocier par l’intermédiaire de courtiers qui ne sont ni résidents de l’Île-du-Prince-Édouard ni inscrits dans cette province.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IIIA-PT-83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Île-du-Prince-Édouard</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en-CA" w:eastAsia="en-US"/>
              </w:rPr>
            </w:pPr>
            <w:r>
              <w:rPr>
                <w:rFonts w:eastAsiaTheme="minorHAnsi"/>
                <w:i/>
                <w:noProof/>
                <w:szCs w:val="22"/>
                <w:lang w:val="en-CA" w:eastAsia="en-US"/>
              </w:rPr>
              <w:t>Securities Act</w:t>
            </w:r>
            <w:r>
              <w:rPr>
                <w:rFonts w:eastAsiaTheme="minorHAnsi"/>
                <w:noProof/>
                <w:szCs w:val="22"/>
                <w:lang w:val="en-CA" w:eastAsia="en-US"/>
              </w:rPr>
              <w:t>, R.S.P.E.I. 1988, c. S-3.1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au Québec</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IIIA-PT-84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bancaires et autres services financiers (à l’exclusion de l’assurance)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modifiant la Loi concernant les Services de santé du Québec et concernant SSQ, Mutuelle de gestion et SSQ, Société d’assurance-vie inc.</w:t>
            </w:r>
            <w:r>
              <w:rPr>
                <w:rFonts w:eastAsiaTheme="minorHAnsi"/>
                <w:noProof/>
                <w:szCs w:val="22"/>
                <w:lang w:val="fr-CA" w:eastAsia="en-US"/>
              </w:rPr>
              <w:t>,</w:t>
            </w:r>
            <w:r>
              <w:rPr>
                <w:rFonts w:eastAsiaTheme="minorHAnsi"/>
                <w:i/>
                <w:noProof/>
                <w:szCs w:val="22"/>
                <w:lang w:val="fr-CA" w:eastAsia="en-US"/>
              </w:rPr>
              <w:t xml:space="preserve"> </w:t>
            </w:r>
            <w:r>
              <w:rPr>
                <w:rFonts w:eastAsiaTheme="minorHAnsi"/>
                <w:noProof/>
                <w:szCs w:val="22"/>
                <w:lang w:val="fr-CA" w:eastAsia="en-US"/>
              </w:rPr>
              <w:t>L.Q. 1993, c. 107</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tabs>
                <w:tab w:val="left" w:pos="2880"/>
              </w:tabs>
              <w:spacing w:before="60" w:after="60" w:line="240" w:lineRule="auto"/>
              <w:rPr>
                <w:rFonts w:eastAsiaTheme="minorHAnsi"/>
                <w:noProof/>
                <w:szCs w:val="22"/>
                <w:lang w:val="fr-CA" w:eastAsia="en-US"/>
              </w:rPr>
            </w:pPr>
            <w:r>
              <w:rPr>
                <w:rFonts w:eastAsiaTheme="minorHAnsi"/>
                <w:noProof/>
                <w:szCs w:val="22"/>
                <w:lang w:val="fr-CA" w:eastAsia="en-US"/>
              </w:rPr>
              <w:t>Lors d’une attribution ou d’un transfert d’actions avec droit de vote de la compagnie d’assurance à capital-actions « SSQ, Société d’assurance-vie inc. » ou de la société de portefeuille « Groupe SSQ inc. », le ministre peut, si le transfert confère le contrôle de la compagnie ou de la société à des non-résidents, demander à la compagnie ou à la société, selon le cas, de lui démontrer que ces actions ont été offertes prioritairement à des personnes qui résident au Québec et subsidiairement à d’autres résidents canadiens, mais qu’aucune offre n’a été faite ou n’était acceptable</w:t>
            </w:r>
            <w:r>
              <w:rPr>
                <w:rFonts w:eastAsiaTheme="minorHAnsi"/>
                <w:bCs/>
                <w:noProof/>
                <w:szCs w:val="22"/>
                <w:lang w:val="fr-CA" w:eastAsia="en-US"/>
              </w:rPr>
              <w:t>.</w:t>
            </w:r>
          </w:p>
          <w:p>
            <w:pPr>
              <w:widowControl/>
              <w:spacing w:before="60" w:after="60" w:line="240" w:lineRule="auto"/>
              <w:rPr>
                <w:rFonts w:eastAsiaTheme="minorHAnsi"/>
                <w:noProof/>
                <w:szCs w:val="22"/>
                <w:lang w:val="fr-CA" w:eastAsia="en-US"/>
              </w:rPr>
            </w:pP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IIIA-PT-85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ind w:left="11" w:hanging="11"/>
              <w:rPr>
                <w:rFonts w:eastAsiaTheme="minorHAnsi"/>
                <w:noProof/>
                <w:szCs w:val="22"/>
                <w:lang w:val="fr-CA" w:eastAsia="en-US"/>
              </w:rPr>
            </w:pPr>
            <w:r>
              <w:rPr>
                <w:rFonts w:eastAsiaTheme="minorHAnsi"/>
                <w:noProof/>
                <w:szCs w:val="22"/>
                <w:lang w:val="fr-CA" w:eastAsia="en-US"/>
              </w:rPr>
              <w:t>Services bancaires et autres services financiers (à l’exclusion de l’assurance)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 xml:space="preserve">Loi sur la Caisse de dépôt et placement du Québec, </w:t>
            </w:r>
            <w:r>
              <w:rPr>
                <w:rFonts w:eastAsiaTheme="minorHAnsi"/>
                <w:noProof/>
                <w:szCs w:val="22"/>
                <w:lang w:val="fr-CA" w:eastAsia="en-US"/>
              </w:rPr>
              <w:t xml:space="preserve">R.L.R.Q.,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 C-2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noProof/>
                <w:color w:val="000000"/>
                <w:szCs w:val="22"/>
                <w:lang w:val="fr-CA" w:eastAsia="fr-CA"/>
              </w:rPr>
            </w:pPr>
            <w:r>
              <w:rPr>
                <w:noProof/>
                <w:szCs w:val="22"/>
                <w:lang w:val="fr-CA" w:eastAsia="fr-CA"/>
              </w:rPr>
              <w:t>Au moins les trois quarts des membres du conseil d’administration doivent résider au Québec.</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IIIA-PT-86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Dirigeants et conseils d’administration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assurances</w:t>
            </w:r>
            <w:r>
              <w:rPr>
                <w:rFonts w:eastAsiaTheme="minorHAnsi"/>
                <w:iCs/>
                <w:noProof/>
                <w:szCs w:val="22"/>
                <w:lang w:val="fr-CA" w:eastAsia="en-US"/>
              </w:rPr>
              <w:t>, R.L.R.Q., c. A-32</w:t>
            </w:r>
          </w:p>
          <w:p>
            <w:pPr>
              <w:widowControl/>
              <w:spacing w:before="60" w:after="60" w:line="240" w:lineRule="auto"/>
              <w:rPr>
                <w:rFonts w:eastAsiaTheme="minorHAnsi"/>
                <w:bCs/>
                <w:noProof/>
                <w:szCs w:val="22"/>
                <w:lang w:val="fr-CA" w:eastAsia="en-US"/>
              </w:rPr>
            </w:pPr>
            <w:r>
              <w:rPr>
                <w:rFonts w:eastAsiaTheme="minorHAnsi"/>
                <w:i/>
                <w:noProof/>
                <w:szCs w:val="22"/>
                <w:lang w:val="fr-CA" w:eastAsia="en-US"/>
              </w:rPr>
              <w:t>Loi sur les sociétés de fiducie et les sociétés d’épargne</w:t>
            </w:r>
            <w:r>
              <w:rPr>
                <w:rFonts w:eastAsiaTheme="minorHAnsi"/>
                <w:iCs/>
                <w:noProof/>
                <w:szCs w:val="22"/>
                <w:lang w:val="fr-CA" w:eastAsia="en-US"/>
              </w:rPr>
              <w:t>, R.L.R.Q., c. S-29.01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numPr>
                <w:ilvl w:val="0"/>
                <w:numId w:val="23"/>
              </w:numPr>
              <w:tabs>
                <w:tab w:val="left" w:pos="851"/>
              </w:tabs>
              <w:spacing w:before="60" w:after="60" w:line="240" w:lineRule="auto"/>
              <w:rPr>
                <w:rFonts w:eastAsiaTheme="minorHAnsi"/>
                <w:noProof/>
                <w:szCs w:val="22"/>
                <w:lang w:val="fr-CA" w:eastAsia="en-US"/>
              </w:rPr>
            </w:pPr>
            <w:r>
              <w:rPr>
                <w:rFonts w:eastAsiaTheme="minorHAnsi"/>
                <w:noProof/>
                <w:szCs w:val="22"/>
                <w:lang w:val="fr-CA" w:eastAsia="en-US"/>
              </w:rPr>
              <w:t>Les trois quarts des administrateurs d’une société de fiducie ou d’une société d’épargne doivent être citoyens canadiens.</w:t>
            </w:r>
          </w:p>
          <w:p>
            <w:pPr>
              <w:widowControl/>
              <w:tabs>
                <w:tab w:val="left" w:pos="2880"/>
              </w:tabs>
              <w:spacing w:before="60" w:after="60" w:line="240" w:lineRule="auto"/>
              <w:ind w:left="567" w:hanging="567"/>
              <w:rPr>
                <w:rFonts w:eastAsiaTheme="minorHAnsi"/>
                <w:noProof/>
                <w:szCs w:val="22"/>
                <w:lang w:val="fr-CA" w:eastAsia="en-US"/>
              </w:rPr>
            </w:pPr>
          </w:p>
          <w:p>
            <w:pPr>
              <w:widowControl/>
              <w:numPr>
                <w:ilvl w:val="0"/>
                <w:numId w:val="23"/>
              </w:numPr>
              <w:tabs>
                <w:tab w:val="left" w:pos="851"/>
              </w:tabs>
              <w:spacing w:before="60" w:after="60" w:line="240" w:lineRule="auto"/>
              <w:rPr>
                <w:rFonts w:eastAsiaTheme="minorHAnsi"/>
                <w:noProof/>
                <w:szCs w:val="22"/>
                <w:lang w:val="fr-CA" w:eastAsia="en-US"/>
              </w:rPr>
            </w:pPr>
            <w:r>
              <w:rPr>
                <w:rFonts w:eastAsiaTheme="minorHAnsi"/>
                <w:noProof/>
                <w:szCs w:val="22"/>
                <w:lang w:val="fr-CA" w:eastAsia="en-US"/>
              </w:rPr>
              <w:t>La majorité des administrateurs d’une compagnie d’assurance, d’une compagnie mutuelle d’assurance, d’une société d’épargne ou d’une société de fiducie doivent résider au Québec.</w:t>
            </w:r>
          </w:p>
          <w:p>
            <w:pPr>
              <w:widowControl/>
              <w:spacing w:before="60" w:after="60" w:line="240" w:lineRule="auto"/>
              <w:ind w:left="567" w:hanging="567"/>
              <w:rPr>
                <w:rFonts w:eastAsiaTheme="minorHAnsi"/>
                <w:noProof/>
                <w:szCs w:val="22"/>
                <w:lang w:val="fr-CA" w:eastAsia="en-US"/>
              </w:rPr>
            </w:pPr>
          </w:p>
          <w:p>
            <w:pPr>
              <w:widowControl/>
              <w:numPr>
                <w:ilvl w:val="0"/>
                <w:numId w:val="23"/>
              </w:numPr>
              <w:spacing w:before="60" w:after="60" w:line="240" w:lineRule="auto"/>
              <w:rPr>
                <w:rFonts w:eastAsiaTheme="minorHAnsi"/>
                <w:noProof/>
                <w:szCs w:val="22"/>
                <w:lang w:val="fr-CA" w:eastAsia="en-US"/>
              </w:rPr>
            </w:pPr>
            <w:r>
              <w:rPr>
                <w:rFonts w:eastAsiaTheme="minorHAnsi"/>
                <w:noProof/>
                <w:szCs w:val="22"/>
                <w:lang w:val="fr-CA" w:eastAsia="en-US"/>
              </w:rPr>
              <w:t>L’acquisition, directe ou indirecte, d’une société d’épargne ou d’une société de fiducie sous contrôle canadien par des non-résidents est limitée à 10 pour cent individuellement et à 25 pour cent collectivement.</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IIIA-PT-87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Services d’assurance et services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assurances</w:t>
            </w:r>
            <w:r>
              <w:rPr>
                <w:rFonts w:eastAsiaTheme="minorHAnsi"/>
                <w:iCs/>
                <w:noProof/>
                <w:szCs w:val="22"/>
                <w:lang w:val="fr-CA" w:eastAsia="en-US"/>
              </w:rPr>
              <w:t>, R.L.R.Q., c. A-32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numPr>
                <w:ilvl w:val="0"/>
                <w:numId w:val="24"/>
              </w:numPr>
              <w:autoSpaceDE w:val="0"/>
              <w:autoSpaceDN w:val="0"/>
              <w:adjustRightInd w:val="0"/>
              <w:spacing w:before="60" w:after="60" w:line="240" w:lineRule="auto"/>
              <w:rPr>
                <w:rFonts w:eastAsiaTheme="minorHAnsi"/>
                <w:noProof/>
                <w:szCs w:val="22"/>
                <w:lang w:val="fr-CA" w:eastAsia="en-CA"/>
              </w:rPr>
            </w:pPr>
            <w:r>
              <w:rPr>
                <w:rFonts w:eastAsiaTheme="minorHAnsi"/>
                <w:noProof/>
                <w:szCs w:val="22"/>
                <w:lang w:val="fr-CA" w:eastAsia="en-CA"/>
              </w:rPr>
              <w:t>Toute personne morale qui n’est pas constituée en vertu d’une loi du Québec et qui n’a pas son siège au Québec nomme, si elle demande un permis, un représentant principal au Québec. Ce représentant doit être une personne en autorité qui réside au Québec.</w:t>
            </w:r>
          </w:p>
          <w:p>
            <w:pPr>
              <w:widowControl/>
              <w:autoSpaceDE w:val="0"/>
              <w:autoSpaceDN w:val="0"/>
              <w:adjustRightInd w:val="0"/>
              <w:spacing w:before="60" w:after="60" w:line="240" w:lineRule="auto"/>
              <w:ind w:left="567" w:hanging="567"/>
              <w:rPr>
                <w:rFonts w:eastAsiaTheme="minorHAnsi"/>
                <w:noProof/>
                <w:szCs w:val="22"/>
                <w:lang w:val="fr-CA" w:eastAsia="en-CA"/>
              </w:rPr>
            </w:pPr>
          </w:p>
          <w:p>
            <w:pPr>
              <w:widowControl/>
              <w:numPr>
                <w:ilvl w:val="0"/>
                <w:numId w:val="24"/>
              </w:numPr>
              <w:autoSpaceDE w:val="0"/>
              <w:autoSpaceDN w:val="0"/>
              <w:adjustRightInd w:val="0"/>
              <w:spacing w:before="60" w:after="60" w:line="240" w:lineRule="auto"/>
              <w:rPr>
                <w:rFonts w:eastAsiaTheme="minorHAnsi"/>
                <w:noProof/>
                <w:szCs w:val="22"/>
                <w:lang w:val="fr-CA" w:eastAsia="en-CA"/>
              </w:rPr>
            </w:pPr>
            <w:r>
              <w:rPr>
                <w:rFonts w:eastAsiaTheme="minorHAnsi"/>
                <w:noProof/>
                <w:szCs w:val="22"/>
                <w:lang w:val="fr-CA" w:eastAsia="en-US"/>
              </w:rPr>
              <w:t>Toute personne morale qui n’est pas constituée en vertu d’une loi du Québec a, à l’égard des activités qu’elle exerce au Québec, les droits et obligations d’une compagnie d’assurance ou d’une société mutuelle constituée en vertu des lois du Québec, selon le cas.</w:t>
            </w:r>
            <w:r>
              <w:rPr>
                <w:rFonts w:eastAsiaTheme="minorHAnsi"/>
                <w:noProof/>
                <w:szCs w:val="22"/>
                <w:lang w:val="fr-CA" w:eastAsia="en-CA"/>
              </w:rPr>
              <w:t xml:space="preserve"> Elle est également tenue de respecter sa loi constitutive si celle-ci est plus restrictive.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IIIA-PT-88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assurances</w:t>
            </w:r>
            <w:r>
              <w:rPr>
                <w:rFonts w:eastAsiaTheme="minorHAnsi"/>
                <w:iCs/>
                <w:noProof/>
                <w:szCs w:val="22"/>
                <w:lang w:val="fr-CA" w:eastAsia="en-US"/>
              </w:rPr>
              <w:t>, R.L.R.Q., c. A-32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d’assurance au Québec peuvent seulement être fournis par :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 xml:space="preserve">une société constituée en personne morale en vertu des lois du Québec; </w:t>
            </w:r>
          </w:p>
          <w:p>
            <w:pPr>
              <w:widowControl/>
              <w:spacing w:before="60" w:after="60" w:line="240" w:lineRule="auto"/>
              <w:ind w:left="1418" w:hanging="709"/>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 xml:space="preserve">une compagnie d’assurance extraprovinciale, c’est-à-dire un assureur constitué en personne morale par ou sous le régime de la législation d’une autre province ou d’un autre territoire du Canada; </w:t>
            </w:r>
          </w:p>
          <w:p>
            <w:pPr>
              <w:widowControl/>
              <w:spacing w:before="60" w:after="60" w:line="240" w:lineRule="auto"/>
              <w:ind w:firstLine="720"/>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720"/>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une association formée selon le régime appelé Lloyd’s.</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IIIA-PT-89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Intermédiation en assurance (contrats) relative au transport maritime, au transport aérien commercial, au lancement d’engins spatiaux et au transport effectué par ces engins (y compris les satellites), ainsi qu’à la réassurance et à la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la distribution de produits et services financiers</w:t>
            </w:r>
            <w:r>
              <w:rPr>
                <w:rFonts w:eastAsiaTheme="minorHAnsi"/>
                <w:noProof/>
                <w:szCs w:val="22"/>
                <w:lang w:val="fr-CA" w:eastAsia="en-US"/>
              </w:rPr>
              <w:t>, R.L.R.Q., c. D-9.2</w:t>
            </w:r>
            <w:r>
              <w:rPr>
                <w:rFonts w:eastAsiaTheme="minorHAnsi"/>
                <w:noProof/>
                <w:szCs w:val="22"/>
                <w:lang w:val="fr-CA" w:eastAsia="en-US"/>
              </w:rPr>
              <w:tab/>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798"/>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services doivent être fournis par l’intermédiaire d’une présence commerciale au Québec.</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IIIA-PT-90</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coopératives de services financiers</w:t>
            </w:r>
            <w:r>
              <w:rPr>
                <w:rFonts w:eastAsiaTheme="minorHAnsi"/>
                <w:noProof/>
                <w:szCs w:val="22"/>
                <w:lang w:val="fr-CA" w:eastAsia="en-US"/>
              </w:rPr>
              <w:t>,</w:t>
            </w:r>
            <w:r>
              <w:rPr>
                <w:rFonts w:eastAsiaTheme="minorHAnsi"/>
                <w:i/>
                <w:noProof/>
                <w:szCs w:val="22"/>
                <w:lang w:val="fr-CA" w:eastAsia="en-US"/>
              </w:rPr>
              <w:t xml:space="preserve"> </w:t>
            </w:r>
            <w:r>
              <w:rPr>
                <w:rFonts w:eastAsiaTheme="minorHAnsi"/>
                <w:noProof/>
                <w:szCs w:val="22"/>
                <w:lang w:val="fr-CA" w:eastAsia="en-US"/>
              </w:rPr>
              <w:t>R.L.R.Q., c. C-67.3</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coopératives de crédit, caisses populaires et associations ou groupes connexes doivent être constitués en personnes morales au Québec.</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IIIA-PT-91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Contrats d’assurance directe en ce qui concerne le transport maritime, le transport aérien commercial, le lancement d’engins spatiaux et le transport effectué par ces engins (y compris les satellites) et les marchandises en transit international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assurances</w:t>
            </w:r>
            <w:r>
              <w:rPr>
                <w:rFonts w:eastAsiaTheme="minorHAnsi"/>
                <w:noProof/>
                <w:szCs w:val="22"/>
                <w:lang w:val="fr-CA" w:eastAsia="en-US"/>
              </w:rPr>
              <w:t>, R.L.R.Q., c. A-32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922"/>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services doivent être fournis par l’intermédiaire d’une présence commerciale au Québec.</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IIIA-PT-92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assurances</w:t>
            </w:r>
            <w:r>
              <w:rPr>
                <w:rFonts w:eastAsiaTheme="minorHAnsi"/>
                <w:noProof/>
                <w:szCs w:val="22"/>
                <w:lang w:val="fr-CA" w:eastAsia="en-US"/>
              </w:rPr>
              <w:t>, R.L.R.Q., c. A-32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858"/>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services doivent être fournis par l’intermédiaire d’une présence commerciale au Québec.</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IIIA-PT-93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b/>
                <w:bCs/>
                <w:noProof/>
                <w:color w:val="000000"/>
                <w:szCs w:val="22"/>
                <w:lang w:val="fr-CA" w:eastAsia="en-US"/>
              </w:rPr>
            </w:pPr>
          </w:p>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Règlement 31-103 sur les obligations et dispenses d’inscription et les obligations continues des personnes inscrites</w:t>
            </w:r>
            <w:r>
              <w:rPr>
                <w:rFonts w:eastAsiaTheme="minorHAnsi"/>
                <w:noProof/>
                <w:szCs w:val="22"/>
                <w:lang w:val="fr-CA" w:eastAsia="en-US"/>
              </w:rPr>
              <w:t xml:space="preserve">, R.L.R.Q., </w:t>
            </w:r>
          </w:p>
          <w:p>
            <w:pPr>
              <w:widowControl/>
              <w:spacing w:before="60" w:after="60" w:line="240" w:lineRule="auto"/>
              <w:rPr>
                <w:rFonts w:eastAsiaTheme="minorHAnsi"/>
                <w:i/>
                <w:noProof/>
                <w:szCs w:val="22"/>
                <w:lang w:val="fr-CA" w:eastAsia="en-US"/>
              </w:rPr>
            </w:pPr>
            <w:r>
              <w:rPr>
                <w:rFonts w:eastAsiaTheme="minorHAnsi"/>
                <w:noProof/>
                <w:szCs w:val="22"/>
                <w:lang w:val="fr-CA" w:eastAsia="en-US"/>
              </w:rPr>
              <w:t>c. V-1.1, r. 10</w:t>
            </w:r>
          </w:p>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R.L.R.Q., c. V-1.1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046"/>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Il est obligatoire pour une personne ou une société de s’inscrire au Québec afin de faire affaires avec un représentant ou un courtier qui n’est ni résident du Québec, ni inscrit au Québec</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IIIA-PT-94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R.L.R.Q., c. V-1.1</w:t>
            </w:r>
          </w:p>
          <w:p>
            <w:pPr>
              <w:widowControl/>
              <w:spacing w:before="60" w:after="60" w:line="240" w:lineRule="auto"/>
              <w:rPr>
                <w:rFonts w:eastAsiaTheme="minorHAnsi"/>
                <w:noProof/>
                <w:szCs w:val="22"/>
                <w:lang w:val="fr-CA" w:eastAsia="en-US"/>
              </w:rPr>
            </w:pPr>
            <w:r>
              <w:rPr>
                <w:rFonts w:eastAsiaTheme="minorHAnsi"/>
                <w:i/>
                <w:noProof/>
                <w:szCs w:val="22"/>
                <w:lang w:val="fr-CA" w:eastAsia="en-US"/>
              </w:rPr>
              <w:t>Règlement 31-103 sur les obligations et dispenses d’inscription et les obligations continues des personnes inscrites</w:t>
            </w:r>
            <w:r>
              <w:rPr>
                <w:rFonts w:eastAsiaTheme="minorHAnsi"/>
                <w:noProof/>
                <w:szCs w:val="22"/>
                <w:lang w:val="fr-CA" w:eastAsia="en-US"/>
              </w:rPr>
              <w:t xml:space="preserve">, R.L.R.Q.,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 V-1.1, r. 10</w:t>
            </w:r>
          </w:p>
          <w:p>
            <w:pPr>
              <w:widowControl/>
              <w:spacing w:before="60" w:after="60" w:line="240" w:lineRule="auto"/>
              <w:rPr>
                <w:rFonts w:eastAsiaTheme="minorHAnsi"/>
                <w:noProof/>
                <w:szCs w:val="22"/>
                <w:lang w:val="fr-CA" w:eastAsia="en-US"/>
              </w:rPr>
            </w:pPr>
            <w:r>
              <w:rPr>
                <w:rFonts w:eastAsiaTheme="minorHAnsi"/>
                <w:i/>
                <w:noProof/>
                <w:szCs w:val="22"/>
                <w:lang w:val="fr-CA" w:eastAsia="en-US"/>
              </w:rPr>
              <w:t>Règlement 81-102 sur les organismes de placement collectif</w:t>
            </w:r>
            <w:r>
              <w:rPr>
                <w:rFonts w:eastAsiaTheme="minorHAnsi"/>
                <w:noProof/>
                <w:szCs w:val="22"/>
                <w:lang w:val="fr-CA" w:eastAsia="en-US"/>
              </w:rPr>
              <w:t>, R.L.R.Q., c. V-1.1, r. 39</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en Saskatchewan</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IIIA-PT-95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tabs>
                <w:tab w:val="left" w:pos="2536"/>
              </w:tabs>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en-CA" w:eastAsia="en-US"/>
              </w:rPr>
            </w:pPr>
            <w:r>
              <w:rPr>
                <w:rFonts w:eastAsiaTheme="minorHAnsi"/>
                <w:i/>
                <w:noProof/>
                <w:szCs w:val="22"/>
                <w:lang w:val="en-CA" w:eastAsia="en-US"/>
              </w:rPr>
              <w:t>The Saskatchewan Insurance Act</w:t>
            </w:r>
            <w:r>
              <w:rPr>
                <w:rFonts w:eastAsiaTheme="minorHAnsi"/>
                <w:noProof/>
                <w:szCs w:val="22"/>
                <w:lang w:val="en-CA" w:eastAsia="en-US"/>
              </w:rPr>
              <w:t>, R.S.S. 1978, c. S-26</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d’assurance en Saskatchewan peuvent être fournis seulement par :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 xml:space="preserve">une société constituée en personne morale sous le régime de la législation de la Saskatchewan;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une compagnie d’assurance extraprovinciale, c’est-à-dire un assureur constitué en personne morale par ou sous le régime de la législation d’une autre province ou d’un autre territoire du Canada;</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une association formée selon le régime appelé Lloyd’s;</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e)</w:t>
            </w:r>
            <w:r>
              <w:rPr>
                <w:rFonts w:eastAsiaTheme="minorHAnsi"/>
                <w:noProof/>
                <w:szCs w:val="22"/>
                <w:lang w:val="fr-CA" w:eastAsia="en-US"/>
              </w:rPr>
              <w:tab/>
              <w:t>un groupe d’échange d’assurance réciproque;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f)</w:t>
            </w:r>
            <w:r>
              <w:rPr>
                <w:rFonts w:eastAsiaTheme="minorHAnsi"/>
                <w:noProof/>
                <w:szCs w:val="22"/>
                <w:lang w:val="fr-CA" w:eastAsia="en-US"/>
              </w:rPr>
              <w:tab/>
              <w:t>des sociétés fraternelles.</w:t>
            </w:r>
          </w:p>
        </w:tc>
      </w:tr>
    </w:tbl>
    <w:p>
      <w:pPr>
        <w:widowControl/>
        <w:tabs>
          <w:tab w:val="left" w:pos="2880"/>
        </w:tabs>
        <w:spacing w:before="60" w:after="60" w:line="240" w:lineRule="auto"/>
        <w:rPr>
          <w:rFonts w:eastAsiaTheme="minorHAnsi"/>
          <w:noProof/>
          <w:szCs w:val="22"/>
          <w:lang w:val="fr-CA" w:eastAsia="en-US"/>
        </w:rPr>
      </w:pPr>
    </w:p>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IIIA-PT-96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tabs>
                <w:tab w:val="left" w:pos="2536"/>
              </w:tabs>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en-CA" w:eastAsia="en-US"/>
              </w:rPr>
            </w:pPr>
            <w:r>
              <w:rPr>
                <w:rFonts w:eastAsiaTheme="minorHAnsi"/>
                <w:i/>
                <w:noProof/>
                <w:szCs w:val="22"/>
                <w:lang w:val="en-CA" w:eastAsia="en-US"/>
              </w:rPr>
              <w:t>The Saskatchewan Insurance Act</w:t>
            </w:r>
            <w:r>
              <w:rPr>
                <w:rFonts w:eastAsiaTheme="minorHAnsi"/>
                <w:noProof/>
                <w:szCs w:val="22"/>
                <w:lang w:val="en-CA" w:eastAsia="en-US"/>
              </w:rPr>
              <w:t>, R.S.S. 1978, c. S-26</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droit égal à 10 pour cent de la prime est payable à la province pour l’assurance de risques dans la province par les assureurs non titulaires d’une licence.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IIIA-PT-97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tabs>
                <w:tab w:val="left" w:pos="2536"/>
              </w:tabs>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160" w:hanging="2160"/>
              <w:rPr>
                <w:rFonts w:eastAsiaTheme="minorHAnsi"/>
                <w:noProof/>
                <w:szCs w:val="22"/>
                <w:lang w:val="en-CA" w:eastAsia="en-US"/>
              </w:rPr>
            </w:pPr>
            <w:r>
              <w:rPr>
                <w:rFonts w:eastAsiaTheme="minorHAnsi"/>
                <w:i/>
                <w:noProof/>
                <w:szCs w:val="22"/>
                <w:lang w:val="en-CA" w:eastAsia="en-US"/>
              </w:rPr>
              <w:t>Trust and Loan Corporations Act, 1997</w:t>
            </w:r>
            <w:r>
              <w:rPr>
                <w:rFonts w:eastAsiaTheme="minorHAnsi"/>
                <w:noProof/>
                <w:szCs w:val="22"/>
                <w:lang w:val="en-CA" w:eastAsia="en-US"/>
              </w:rPr>
              <w:t xml:space="preserve">, S.S. 1997, c. T-22.2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La constitution d’une société de fiducie et de prêt sous le régime d’une loi fédérale ou provinciale est obligatoire en Saskatchewan.</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IIIA-PT-98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tabs>
                <w:tab w:val="left" w:pos="2536"/>
              </w:tabs>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160" w:hanging="2160"/>
              <w:rPr>
                <w:rFonts w:eastAsiaTheme="minorHAnsi"/>
                <w:noProof/>
                <w:szCs w:val="22"/>
                <w:lang w:val="en-CA" w:eastAsia="en-US"/>
              </w:rPr>
            </w:pPr>
            <w:r>
              <w:rPr>
                <w:rFonts w:eastAsiaTheme="minorHAnsi"/>
                <w:i/>
                <w:noProof/>
                <w:szCs w:val="22"/>
                <w:lang w:val="en-CA" w:eastAsia="en-US"/>
              </w:rPr>
              <w:t>Trust and Loan Corporations Act, 1997</w:t>
            </w:r>
            <w:r>
              <w:rPr>
                <w:rFonts w:eastAsiaTheme="minorHAnsi"/>
                <w:noProof/>
                <w:szCs w:val="22"/>
                <w:lang w:val="en-CA" w:eastAsia="en-US"/>
              </w:rPr>
              <w:t xml:space="preserve">, S.S. 1997, c. T-22.2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L’intérêt financier, individuel ou collectif, ne doit pas excéder 10 pour cent des actions des sociétés sous contrôle canadien et constituées en personnes morales dans la province.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IIIA-PT-99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tabs>
                <w:tab w:val="left" w:pos="7256"/>
              </w:tabs>
              <w:spacing w:before="60" w:after="60" w:line="240" w:lineRule="auto"/>
              <w:rPr>
                <w:rFonts w:eastAsiaTheme="minorHAnsi"/>
                <w:noProof/>
                <w:szCs w:val="22"/>
                <w:lang w:val="fr-CA" w:eastAsia="en-US"/>
              </w:rPr>
            </w:pPr>
            <w:r>
              <w:rPr>
                <w:rFonts w:eastAsiaTheme="minorHAnsi"/>
                <w:noProof/>
                <w:szCs w:val="22"/>
                <w:lang w:val="fr-CA" w:eastAsia="en-US"/>
              </w:rPr>
              <w:t>Dirigeants et conseils d’administration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tabs>
                <w:tab w:val="left" w:pos="2536"/>
              </w:tabs>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en-CA" w:eastAsia="en-US"/>
              </w:rPr>
            </w:pPr>
            <w:r>
              <w:rPr>
                <w:rFonts w:eastAsiaTheme="minorHAnsi"/>
                <w:i/>
                <w:noProof/>
                <w:szCs w:val="22"/>
                <w:lang w:val="en-CA" w:eastAsia="en-US"/>
              </w:rPr>
              <w:t>The Credit Union Act, 1985</w:t>
            </w:r>
            <w:r>
              <w:rPr>
                <w:rFonts w:eastAsiaTheme="minorHAnsi"/>
                <w:noProof/>
                <w:szCs w:val="22"/>
                <w:lang w:val="en-CA" w:eastAsia="en-US"/>
              </w:rPr>
              <w:t>, S.S. 1984-85-86, c. C-45.1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866"/>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administrateur d’une coopérative de crédit en Saskatchewan doit être un citoyen canadien.</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IIIA-PT-100</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tabs>
                <w:tab w:val="left" w:pos="2536"/>
              </w:tabs>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en-CA" w:eastAsia="en-US"/>
              </w:rPr>
            </w:pPr>
            <w:r>
              <w:rPr>
                <w:rFonts w:eastAsiaTheme="minorHAnsi"/>
                <w:i/>
                <w:noProof/>
                <w:szCs w:val="22"/>
                <w:lang w:val="en-CA" w:eastAsia="en-US"/>
              </w:rPr>
              <w:t>The Credit Union Act, 1985</w:t>
            </w:r>
            <w:r>
              <w:rPr>
                <w:rFonts w:eastAsiaTheme="minorHAnsi"/>
                <w:noProof/>
                <w:szCs w:val="22"/>
                <w:lang w:val="en-CA" w:eastAsia="en-US"/>
              </w:rPr>
              <w:t>, S.S. 1984-85-86, c. C-45.1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060"/>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Une coopérative de crédit doit être constituée en personne morale en Saskatchewan. </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IIIA-PT-101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11" w:hanging="11"/>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d’obligations communautaires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tabs>
                <w:tab w:val="left" w:pos="2536"/>
              </w:tabs>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en-CA" w:eastAsia="en-US"/>
              </w:rPr>
            </w:pPr>
            <w:r>
              <w:rPr>
                <w:rFonts w:eastAsiaTheme="minorHAnsi"/>
                <w:i/>
                <w:noProof/>
                <w:szCs w:val="22"/>
                <w:lang w:val="en-CA" w:eastAsia="en-US"/>
              </w:rPr>
              <w:t>The Community Bonds Act</w:t>
            </w:r>
            <w:r>
              <w:rPr>
                <w:rFonts w:eastAsiaTheme="minorHAnsi"/>
                <w:noProof/>
                <w:szCs w:val="22"/>
                <w:lang w:val="en-CA" w:eastAsia="en-US"/>
              </w:rPr>
              <w:t>, S.S. 1990-91, c. C-16.1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administrateur d’une société d’obligations communautaires doit être résident de la Saskatchewan.</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IIIA-PT-102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Négociation de valeurs mobilières et d’instruments à terme – personnes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tabs>
                <w:tab w:val="left" w:pos="2536"/>
              </w:tabs>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en-CA" w:eastAsia="en-US"/>
              </w:rPr>
            </w:pPr>
            <w:r>
              <w:rPr>
                <w:rFonts w:eastAsiaTheme="minorHAnsi"/>
                <w:i/>
                <w:noProof/>
                <w:szCs w:val="22"/>
                <w:lang w:val="en-CA" w:eastAsia="en-US"/>
              </w:rPr>
              <w:t>The Securities Act, 1988</w:t>
            </w:r>
            <w:r>
              <w:rPr>
                <w:rFonts w:eastAsiaTheme="minorHAnsi"/>
                <w:noProof/>
                <w:szCs w:val="22"/>
                <w:lang w:val="en-CA" w:eastAsia="en-US"/>
              </w:rPr>
              <w:t>, S.S. 1988-89, c. S-42.2</w:t>
            </w:r>
          </w:p>
          <w:p>
            <w:pPr>
              <w:widowControl/>
              <w:spacing w:before="60" w:after="60" w:line="240" w:lineRule="auto"/>
              <w:rPr>
                <w:rFonts w:eastAsiaTheme="minorHAnsi"/>
                <w:i/>
                <w:noProof/>
                <w:szCs w:val="22"/>
                <w:lang w:val="en-CA" w:eastAsia="en-US"/>
              </w:rPr>
            </w:pPr>
            <w:r>
              <w:rPr>
                <w:rFonts w:eastAsiaTheme="minorHAnsi"/>
                <w:i/>
                <w:iCs/>
                <w:noProof/>
                <w:szCs w:val="22"/>
                <w:lang w:val="en-CA" w:eastAsia="en-US"/>
              </w:rPr>
              <w:t>The Securities Commission (Adoption of National Instruments) Regulations</w:t>
            </w:r>
            <w:r>
              <w:rPr>
                <w:rFonts w:eastAsiaTheme="minorHAnsi"/>
                <w:iCs/>
                <w:noProof/>
                <w:szCs w:val="22"/>
                <w:lang w:val="en-CA" w:eastAsia="en-US"/>
              </w:rPr>
              <w:t xml:space="preserve">, R.R.S. </w:t>
            </w:r>
            <w:r>
              <w:rPr>
                <w:rFonts w:eastAsiaTheme="minorHAnsi"/>
                <w:noProof/>
                <w:szCs w:val="22"/>
                <w:lang w:val="en-CA" w:eastAsia="en-US"/>
              </w:rPr>
              <w:t>c. S-42.2 Reg. 3</w:t>
            </w:r>
            <w:r>
              <w:rPr>
                <w:rFonts w:eastAsiaTheme="minorHAnsi"/>
                <w:i/>
                <w:noProof/>
                <w:szCs w:val="22"/>
                <w:lang w:val="en-CA" w:eastAsia="en-US"/>
              </w:rPr>
              <w:t xml:space="preserve">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Il faut être inscrit pour négocier par l’intermédiaire de courtiers qui ne sont ni résidents de la Saskatchewan ni inscrits dans cette province.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IIIA-PT-103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conseils et services financiers auxiliaires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tabs>
                <w:tab w:val="left" w:pos="2536"/>
              </w:tabs>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en-CA" w:eastAsia="en-US"/>
              </w:rPr>
            </w:pPr>
            <w:r>
              <w:rPr>
                <w:rFonts w:eastAsiaTheme="minorHAnsi"/>
                <w:i/>
                <w:noProof/>
                <w:szCs w:val="22"/>
                <w:lang w:val="en-CA" w:eastAsia="en-US"/>
              </w:rPr>
              <w:t>The Securities Act, 1988</w:t>
            </w:r>
            <w:r>
              <w:rPr>
                <w:rFonts w:eastAsiaTheme="minorHAnsi"/>
                <w:noProof/>
                <w:szCs w:val="22"/>
                <w:lang w:val="en-CA" w:eastAsia="en-US"/>
              </w:rPr>
              <w:t>, S.S. 1988-89, c. S-42.2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services de conseil offerts en Saskatchewan par un conseiller doivent être fournis par l’intermédiaire d’une présence commerciale, et le conseiller doit être inscrit à titre de conseiller en Saskatchewan.</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IIIA-PT-104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Courtiers en valeurs mobilières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tabs>
                <w:tab w:val="left" w:pos="2536"/>
              </w:tabs>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en-CA" w:eastAsia="en-US"/>
              </w:rPr>
            </w:pPr>
            <w:r>
              <w:rPr>
                <w:rFonts w:eastAsiaTheme="minorHAnsi"/>
                <w:i/>
                <w:noProof/>
                <w:szCs w:val="22"/>
                <w:lang w:val="en-CA" w:eastAsia="en-US"/>
              </w:rPr>
              <w:t>The Securities Act, 1988</w:t>
            </w:r>
            <w:r>
              <w:rPr>
                <w:rFonts w:eastAsiaTheme="minorHAnsi"/>
                <w:noProof/>
                <w:szCs w:val="22"/>
                <w:lang w:val="en-CA" w:eastAsia="en-US"/>
              </w:rPr>
              <w:t>, S.S. 1988-89, c. S-42.2</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courtiers en valeurs mobilières doivent être formés ou maintenus en vertu de la législation fédérale, provinciale ou territoriale.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IIIA-PT-105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tabs>
                <w:tab w:val="left" w:pos="2536"/>
              </w:tabs>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i/>
                <w:noProof/>
                <w:szCs w:val="22"/>
                <w:lang w:val="en-CA" w:eastAsia="en-US"/>
              </w:rPr>
            </w:pPr>
            <w:r>
              <w:rPr>
                <w:rFonts w:eastAsiaTheme="minorHAnsi"/>
                <w:i/>
                <w:iCs/>
                <w:noProof/>
                <w:szCs w:val="22"/>
                <w:lang w:val="en-CA" w:eastAsia="en-US"/>
              </w:rPr>
              <w:t>The Securities Act, 1988</w:t>
            </w:r>
            <w:r>
              <w:rPr>
                <w:rFonts w:eastAsiaTheme="minorHAnsi"/>
                <w:iCs/>
                <w:noProof/>
                <w:szCs w:val="22"/>
                <w:lang w:val="en-CA" w:eastAsia="en-US"/>
              </w:rPr>
              <w:t>,</w:t>
            </w:r>
            <w:r>
              <w:rPr>
                <w:rFonts w:eastAsiaTheme="minorHAnsi"/>
                <w:noProof/>
                <w:szCs w:val="22"/>
                <w:lang w:val="en-CA" w:eastAsia="en-US"/>
              </w:rPr>
              <w:t xml:space="preserve"> S.S. 1988-89,</w:t>
            </w:r>
            <w:r>
              <w:rPr>
                <w:rFonts w:eastAsiaTheme="minorHAnsi"/>
                <w:i/>
                <w:iCs/>
                <w:noProof/>
                <w:szCs w:val="22"/>
                <w:lang w:val="en-CA" w:eastAsia="en-US"/>
              </w:rPr>
              <w:t xml:space="preserve"> </w:t>
            </w:r>
            <w:r>
              <w:rPr>
                <w:rFonts w:eastAsiaTheme="minorHAnsi"/>
                <w:noProof/>
                <w:szCs w:val="22"/>
                <w:lang w:val="en-CA" w:eastAsia="en-US"/>
              </w:rPr>
              <w:t>c. S-42.2</w:t>
            </w:r>
          </w:p>
          <w:p>
            <w:pPr>
              <w:widowControl/>
              <w:spacing w:before="60" w:after="60" w:line="240" w:lineRule="auto"/>
              <w:rPr>
                <w:rFonts w:eastAsiaTheme="minorHAnsi"/>
                <w:i/>
                <w:noProof/>
                <w:szCs w:val="22"/>
                <w:lang w:val="en-CA" w:eastAsia="en-US"/>
              </w:rPr>
            </w:pPr>
            <w:r>
              <w:rPr>
                <w:rFonts w:eastAsiaTheme="minorHAnsi"/>
                <w:i/>
                <w:iCs/>
                <w:noProof/>
                <w:szCs w:val="22"/>
                <w:lang w:val="en-CA" w:eastAsia="en-US"/>
              </w:rPr>
              <w:t>The Securities Commission (Adoption of National Instruments) Regulations</w:t>
            </w:r>
            <w:r>
              <w:rPr>
                <w:rFonts w:eastAsiaTheme="minorHAnsi"/>
                <w:iCs/>
                <w:noProof/>
                <w:szCs w:val="22"/>
                <w:lang w:val="en-CA" w:eastAsia="en-US"/>
              </w:rPr>
              <w:t xml:space="preserve">, R.R.S., </w:t>
            </w:r>
            <w:r>
              <w:rPr>
                <w:rFonts w:eastAsiaTheme="minorHAnsi"/>
                <w:noProof/>
                <w:szCs w:val="22"/>
                <w:lang w:val="en-CA" w:eastAsia="en-US"/>
              </w:rPr>
              <w:t>c. S-42.2 Reg. 3</w:t>
            </w:r>
            <w:r>
              <w:rPr>
                <w:rFonts w:eastAsiaTheme="minorHAnsi"/>
                <w:i/>
                <w:noProof/>
                <w:szCs w:val="22"/>
                <w:lang w:val="en-CA" w:eastAsia="en-US"/>
              </w:rPr>
              <w:t xml:space="preserve">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au Yukon</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IIIA-PT-106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Assurance directe, et 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Yukon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 xml:space="preserve">Loi sur les assurances, </w:t>
            </w:r>
            <w:r>
              <w:rPr>
                <w:rFonts w:eastAsiaTheme="minorHAnsi"/>
                <w:noProof/>
                <w:szCs w:val="22"/>
                <w:lang w:val="fr-CA" w:eastAsia="en-US"/>
              </w:rPr>
              <w:t>L.R.Y. 2002, c. 119</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Les services d’assurance au Yukon peuvent être fournis seulement par :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a)</w:t>
            </w:r>
            <w:r>
              <w:rPr>
                <w:rFonts w:eastAsiaTheme="minorHAnsi"/>
                <w:noProof/>
                <w:szCs w:val="22"/>
                <w:lang w:val="fr-CA" w:eastAsia="en-US"/>
              </w:rPr>
              <w:tab/>
              <w:t xml:space="preserve">une société constituée en personne morale sous le régime de la législation du Yukon; </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b)</w:t>
            </w:r>
            <w:r>
              <w:rPr>
                <w:rFonts w:eastAsiaTheme="minorHAnsi"/>
                <w:noProof/>
                <w:szCs w:val="22"/>
                <w:lang w:val="fr-CA" w:eastAsia="en-US"/>
              </w:rPr>
              <w:tab/>
              <w:t>une compagnie d’assurance extraprovinciale, c’est-à-dire un assureur constitué en personne morale par ou sous le régime de la législation d’une autre province ou d’un autre territoire du Canada;</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c)</w:t>
            </w:r>
            <w:r>
              <w:rPr>
                <w:rFonts w:eastAsiaTheme="minorHAnsi"/>
                <w:noProof/>
                <w:szCs w:val="22"/>
                <w:lang w:val="fr-CA" w:eastAsia="en-US"/>
              </w:rPr>
              <w:tab/>
              <w:t>une succursale d’une société étrangère autorisée par l’administration fédérale;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d)</w:t>
            </w:r>
            <w:r>
              <w:rPr>
                <w:rFonts w:eastAsiaTheme="minorHAnsi"/>
                <w:noProof/>
                <w:szCs w:val="22"/>
                <w:lang w:val="fr-CA" w:eastAsia="en-US"/>
              </w:rPr>
              <w:tab/>
              <w:t>une association formée selon le régime appelé Lloyd’s;</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e)</w:t>
            </w:r>
            <w:r>
              <w:rPr>
                <w:rFonts w:eastAsiaTheme="minorHAnsi"/>
                <w:noProof/>
                <w:szCs w:val="22"/>
                <w:lang w:val="fr-CA" w:eastAsia="en-US"/>
              </w:rPr>
              <w:tab/>
              <w:t>un groupe d’échange d’assurance réciproque;</w:t>
            </w:r>
          </w:p>
          <w:p>
            <w:pPr>
              <w:widowControl/>
              <w:spacing w:before="60" w:after="60" w:line="240" w:lineRule="auto"/>
              <w:ind w:left="1425" w:hanging="705"/>
              <w:rPr>
                <w:rFonts w:eastAsiaTheme="minorHAnsi"/>
                <w:noProof/>
                <w:szCs w:val="22"/>
                <w:lang w:val="fr-CA" w:eastAsia="en-US"/>
              </w:rPr>
            </w:pPr>
            <w:r>
              <w:rPr>
                <w:rFonts w:eastAsiaTheme="minorHAnsi"/>
                <w:noProof/>
                <w:szCs w:val="22"/>
                <w:lang w:val="fr-CA" w:eastAsia="en-US"/>
              </w:rPr>
              <w:t>f)</w:t>
            </w:r>
            <w:r>
              <w:rPr>
                <w:rFonts w:eastAsiaTheme="minorHAnsi"/>
                <w:noProof/>
                <w:szCs w:val="22"/>
                <w:lang w:val="fr-CA" w:eastAsia="en-US"/>
              </w:rPr>
              <w:tab/>
              <w:t>des sociétés fraternelles.</w:t>
            </w:r>
          </w:p>
        </w:tc>
      </w:tr>
    </w:tbl>
    <w:p>
      <w:pPr>
        <w:widowControl/>
        <w:spacing w:before="60" w:after="60" w:line="240" w:lineRule="auto"/>
        <w:rPr>
          <w:rFonts w:eastAsiaTheme="minorHAnsi"/>
          <w:noProof/>
          <w:szCs w:val="22"/>
          <w:lang w:val="fr-CA" w:eastAsia="en-US"/>
        </w:rPr>
      </w:pPr>
    </w:p>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IIIA-PT-107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Contrats d’assurance directe en ce qui concerne le transport maritime, le transport aérien commercial, le lancement d’engins spatiaux et le transport effectué par ces engins (y compris les satellites) et les marchandises en transit international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Yukon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 xml:space="preserve">Loi sur les assurances, </w:t>
            </w:r>
            <w:r>
              <w:rPr>
                <w:rFonts w:eastAsiaTheme="minorHAnsi"/>
                <w:noProof/>
                <w:szCs w:val="22"/>
                <w:lang w:val="fr-CA" w:eastAsia="en-US"/>
              </w:rPr>
              <w:t>L.R.Y. 2002, c. 119</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479"/>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services doivent être fournis par l’intermédiaire d’une présence commerciale au Yukon.</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IIIA-PT-108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Réassurance et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Yukon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 xml:space="preserve">Loi sur les assurances, </w:t>
            </w:r>
            <w:r>
              <w:rPr>
                <w:rFonts w:eastAsiaTheme="minorHAnsi"/>
                <w:noProof/>
                <w:szCs w:val="22"/>
                <w:lang w:val="fr-CA" w:eastAsia="en-US"/>
              </w:rPr>
              <w:t>L.R.Y. 2002, c. 119</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637"/>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services doivent être fournis par l’intermédiaire d’une présence commerciale au Yukon.</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IIIA-PT-109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Intermédiation en assurance (contrats) relative au transport maritime, au transport aérien commercial, au lancement d’engins spatiaux et au transport effectué par ces engins (y compris les satellites), ainsi qu’à la réassurance et à la rétrocession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Yukon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 xml:space="preserve">Loi sur les assurances, </w:t>
            </w:r>
            <w:r>
              <w:rPr>
                <w:rFonts w:eastAsiaTheme="minorHAnsi"/>
                <w:noProof/>
                <w:szCs w:val="22"/>
                <w:lang w:val="fr-CA" w:eastAsia="en-US"/>
              </w:rPr>
              <w:t>L.R.Y. 2002, c. 119</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639"/>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services doivent être fournis par l’intermédiaire d’une présence commerciale au Yukon.</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IIIA-PT-110</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Sociétés de fiducie et de prêt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Yukon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160" w:hanging="2160"/>
              <w:rPr>
                <w:rFonts w:eastAsiaTheme="minorHAnsi"/>
                <w:b/>
                <w:noProof/>
                <w:szCs w:val="22"/>
                <w:lang w:val="fr-CA" w:eastAsia="en-US"/>
              </w:rPr>
            </w:pPr>
            <w:r>
              <w:rPr>
                <w:rFonts w:eastAsiaTheme="minorHAnsi"/>
                <w:i/>
                <w:noProof/>
                <w:szCs w:val="22"/>
                <w:lang w:val="fr-CA" w:eastAsia="en-US"/>
              </w:rPr>
              <w:t>Loi sur les sociétés par actions</w:t>
            </w:r>
            <w:r>
              <w:rPr>
                <w:rFonts w:eastAsiaTheme="minorHAnsi"/>
                <w:noProof/>
                <w:szCs w:val="22"/>
                <w:lang w:val="fr-CA" w:eastAsia="en-US"/>
              </w:rPr>
              <w:t>, L.R.Y. 2002, c. 20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91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Pour exercer des activités à titre de société de fiducie et de prêt sous le régime du Yukon, une entité doit être une personne morale à laquelle la </w:t>
            </w:r>
            <w:r>
              <w:rPr>
                <w:rFonts w:eastAsiaTheme="minorHAnsi"/>
                <w:i/>
                <w:noProof/>
                <w:szCs w:val="22"/>
                <w:lang w:val="fr-CA" w:eastAsia="en-US"/>
              </w:rPr>
              <w:t>Loi sur les sociétés par actions</w:t>
            </w:r>
            <w:r>
              <w:rPr>
                <w:rFonts w:eastAsiaTheme="minorHAnsi"/>
                <w:noProof/>
                <w:szCs w:val="22"/>
                <w:lang w:val="fr-CA" w:eastAsia="en-US"/>
              </w:rPr>
              <w:t xml:space="preserve"> s’applique.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IIIA-PT-111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Coopératives de crédit, caisses populaires et associations ou groupes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Yukon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160" w:hanging="2160"/>
              <w:rPr>
                <w:rFonts w:eastAsiaTheme="minorHAnsi"/>
                <w:b/>
                <w:noProof/>
                <w:szCs w:val="22"/>
                <w:lang w:val="fr-CA" w:eastAsia="en-US"/>
              </w:rPr>
            </w:pPr>
            <w:r>
              <w:rPr>
                <w:rFonts w:eastAsiaTheme="minorHAnsi"/>
                <w:i/>
                <w:noProof/>
                <w:szCs w:val="22"/>
                <w:lang w:val="fr-CA" w:eastAsia="en-US"/>
              </w:rPr>
              <w:t>Loi sur les sociétés par actions</w:t>
            </w:r>
            <w:r>
              <w:rPr>
                <w:rFonts w:eastAsiaTheme="minorHAnsi"/>
                <w:noProof/>
                <w:szCs w:val="22"/>
                <w:lang w:val="fr-CA" w:eastAsia="en-US"/>
              </w:rPr>
              <w:t>, L.R.Y. 2002, c. 20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589"/>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Une coopérative de crédit doit être constituée en personne morale au Yukon.</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IIIA-PT-112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Négociation de valeurs mobilières et d’instruments à terme – personnes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Yukon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160" w:hanging="2160"/>
              <w:rPr>
                <w:rFonts w:eastAsiaTheme="minorHAnsi"/>
                <w:b/>
                <w:noProof/>
                <w:szCs w:val="22"/>
                <w:lang w:val="fr-CA" w:eastAsia="en-US"/>
              </w:rPr>
            </w:pPr>
            <w:r>
              <w:rPr>
                <w:rFonts w:eastAsiaTheme="minorHAnsi"/>
                <w:i/>
                <w:noProof/>
                <w:szCs w:val="22"/>
                <w:lang w:val="fr-CA" w:eastAsia="en-US"/>
              </w:rPr>
              <w:t>Loi sur les sociétés par actions</w:t>
            </w:r>
            <w:r>
              <w:rPr>
                <w:rFonts w:eastAsiaTheme="minorHAnsi"/>
                <w:noProof/>
                <w:szCs w:val="22"/>
                <w:lang w:val="fr-CA" w:eastAsia="en-US"/>
              </w:rPr>
              <w:t>, L.R.Y. 2002, c. 20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particulier ou une entreprise doit s’inscrire pour négocier par l’intermédiaire de courtiers qui ne sont ni résidents du Yukon ni inscrits dans ce territoire.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IIIA-PT-113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11" w:hanging="11"/>
              <w:rPr>
                <w:rFonts w:eastAsiaTheme="minorHAnsi"/>
                <w:noProof/>
                <w:szCs w:val="22"/>
                <w:lang w:val="fr-CA" w:eastAsia="en-US"/>
              </w:rPr>
            </w:pPr>
            <w:r>
              <w:rPr>
                <w:rFonts w:eastAsiaTheme="minorHAnsi"/>
                <w:noProof/>
                <w:szCs w:val="22"/>
                <w:lang w:val="fr-CA" w:eastAsia="en-US"/>
              </w:rPr>
              <w:t>Services bancaires et autres services financiers (à l’exclusion de l’assurance)</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Courtiers en valeurs mobilières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Yukon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i/>
                <w:iCs/>
                <w:noProof/>
                <w:szCs w:val="22"/>
                <w:lang w:val="fr-CA" w:eastAsia="en-US"/>
              </w:rPr>
              <w:t>Loi sur les valeurs mobilières,</w:t>
            </w:r>
            <w:r>
              <w:rPr>
                <w:rFonts w:eastAsiaTheme="minorHAnsi"/>
                <w:iCs/>
                <w:noProof/>
                <w:szCs w:val="22"/>
                <w:lang w:val="fr-CA" w:eastAsia="en-US"/>
              </w:rPr>
              <w:t xml:space="preserve"> L.Y. 2007, c. 16</w:t>
            </w:r>
          </w:p>
          <w:p>
            <w:pPr>
              <w:widowControl/>
              <w:spacing w:before="60" w:after="60" w:line="240" w:lineRule="auto"/>
              <w:ind w:left="2880" w:hanging="2880"/>
              <w:rPr>
                <w:rFonts w:eastAsiaTheme="minorHAnsi"/>
                <w:i/>
                <w:noProof/>
                <w:szCs w:val="22"/>
                <w:lang w:val="fr-CA" w:eastAsia="en-US"/>
              </w:rPr>
            </w:pPr>
            <w:r>
              <w:rPr>
                <w:rFonts w:eastAsiaTheme="minorHAnsi"/>
                <w:bCs/>
                <w:i/>
                <w:noProof/>
                <w:szCs w:val="22"/>
                <w:lang w:val="fr-CA" w:eastAsia="en-GB"/>
              </w:rPr>
              <w:t>Loi sur les sociétés par actions</w:t>
            </w:r>
            <w:r>
              <w:rPr>
                <w:rFonts w:eastAsiaTheme="minorHAnsi"/>
                <w:bCs/>
                <w:noProof/>
                <w:szCs w:val="22"/>
                <w:lang w:val="fr-CA" w:eastAsia="en-GB"/>
              </w:rPr>
              <w:t>, L.R.Y. 2002, c. 20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courtiers en valeurs immobilières au Yukon doivent être formés ou maintenus en vertu de la législation fédérale, provinciale ou territoriale.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IIIA-PT-114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Opérations pour compte propre ou pour compte de clients : services de garde; négociation de valeurs mobilières et d’instruments à terme – personnes; courtiers en valeurs mobilières; négociation de valeurs mobilières et d’instruments à terme; services de conseil et services financiers auxiliaires; courtiers et conseillers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Yukon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i/>
                <w:noProof/>
                <w:szCs w:val="22"/>
                <w:lang w:val="fr-CA" w:eastAsia="en-US"/>
              </w:rPr>
            </w:pPr>
            <w:r>
              <w:rPr>
                <w:rFonts w:eastAsiaTheme="minorHAnsi"/>
                <w:bCs/>
                <w:i/>
                <w:noProof/>
                <w:szCs w:val="22"/>
                <w:lang w:val="fr-CA" w:eastAsia="en-GB"/>
              </w:rPr>
              <w:t>Loi sur les sociétés par actions</w:t>
            </w:r>
            <w:r>
              <w:rPr>
                <w:rFonts w:eastAsiaTheme="minorHAnsi"/>
                <w:bCs/>
                <w:noProof/>
                <w:szCs w:val="22"/>
                <w:lang w:val="fr-CA" w:eastAsia="en-GB"/>
              </w:rPr>
              <w:t>, L.R.Y. 2002, c. 20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cs="Garamond"/>
                <w:bCs/>
                <w:noProof/>
                <w:spacing w:val="2"/>
                <w:szCs w:val="22"/>
                <w:lang w:val="fr-CA" w:eastAsia="en-US"/>
              </w:rPr>
            </w:pPr>
            <w:r>
              <w:rPr>
                <w:rFonts w:eastAsiaTheme="minorHAnsi" w:cs="Garamond"/>
                <w:bCs/>
                <w:noProof/>
                <w:spacing w:val="2"/>
                <w:szCs w:val="22"/>
                <w:lang w:val="fr-CA" w:eastAsia="en-US"/>
              </w:rPr>
              <w:t>Un particulier requérant l</w:t>
            </w:r>
            <w:r>
              <w:rPr>
                <w:rFonts w:eastAsiaTheme="minorHAnsi"/>
                <w:noProof/>
                <w:szCs w:val="22"/>
                <w:lang w:val="fr-CA" w:eastAsia="en-US"/>
              </w:rPr>
              <w:t>’</w:t>
            </w:r>
            <w:r>
              <w:rPr>
                <w:rFonts w:eastAsiaTheme="minorHAnsi" w:cs="Garamond"/>
                <w:bCs/>
                <w:noProof/>
                <w:spacing w:val="2"/>
                <w:szCs w:val="22"/>
                <w:lang w:val="fr-CA" w:eastAsia="en-US"/>
              </w:rPr>
              <w:t>inscription doit être résident du Canada depuis au moins un an avant de pouvoir présenter une demande et être résident de la province dans laquelle il souhaite exercer ses activités au moment de la présentation de la demande.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IIIA-PT-115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Yukon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i/>
                <w:noProof/>
                <w:szCs w:val="22"/>
                <w:lang w:val="fr-CA" w:eastAsia="en-US"/>
              </w:rPr>
            </w:pPr>
            <w:r>
              <w:rPr>
                <w:rFonts w:eastAsiaTheme="minorHAnsi"/>
                <w:bCs/>
                <w:i/>
                <w:noProof/>
                <w:szCs w:val="22"/>
                <w:lang w:val="fr-CA" w:eastAsia="en-GB"/>
              </w:rPr>
              <w:t>Loi sur les sociétés par actions</w:t>
            </w:r>
            <w:r>
              <w:rPr>
                <w:rFonts w:eastAsiaTheme="minorHAnsi"/>
                <w:bCs/>
                <w:noProof/>
                <w:szCs w:val="22"/>
                <w:lang w:val="fr-CA" w:eastAsia="en-GB"/>
              </w:rPr>
              <w:t>, L.R.Y. 2002, c. 20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120" w:after="120" w:line="240" w:lineRule="auto"/>
        <w:jc w:val="center"/>
        <w:rPr>
          <w:rFonts w:eastAsiaTheme="minorHAnsi"/>
          <w:b/>
          <w:noProof/>
          <w:szCs w:val="22"/>
          <w:lang w:val="fr-CA" w:eastAsia="en-US"/>
        </w:rPr>
      </w:pPr>
      <w:r>
        <w:rPr>
          <w:rFonts w:eastAsiaTheme="minorHAnsi"/>
          <w:i/>
          <w:noProof/>
          <w:szCs w:val="22"/>
          <w:lang w:val="fr-CA" w:eastAsia="en-US"/>
        </w:rPr>
        <w:t>SECTION B</w:t>
      </w:r>
    </w:p>
    <w:p>
      <w:pPr>
        <w:widowControl/>
        <w:spacing w:before="120" w:after="120" w:line="240" w:lineRule="auto"/>
        <w:jc w:val="center"/>
        <w:rPr>
          <w:rFonts w:eastAsiaTheme="minorHAnsi"/>
          <w:b/>
          <w:noProof/>
          <w:szCs w:val="22"/>
          <w:lang w:val="fr-CA" w:eastAsia="en-US"/>
        </w:rPr>
      </w:pPr>
      <w:r>
        <w:rPr>
          <w:rFonts w:eastAsiaTheme="minorHAnsi"/>
          <w:b/>
          <w:noProof/>
          <w:szCs w:val="22"/>
          <w:lang w:val="fr-CA" w:eastAsia="en-US"/>
        </w:rPr>
        <w:t>Réserves applicables au Canada</w:t>
      </w:r>
    </w:p>
    <w:p>
      <w:pPr>
        <w:widowControl/>
        <w:spacing w:before="120" w:after="120" w:line="240" w:lineRule="auto"/>
        <w:jc w:val="center"/>
        <w:rPr>
          <w:rFonts w:eastAsiaTheme="minorHAnsi"/>
          <w:b/>
          <w:noProof/>
          <w:szCs w:val="22"/>
          <w:lang w:val="fr-CA" w:eastAsia="en-US"/>
        </w:rPr>
      </w:pPr>
      <w:r>
        <w:rPr>
          <w:rFonts w:eastAsiaTheme="minorHAnsi"/>
          <w:b/>
          <w:noProof/>
          <w:szCs w:val="22"/>
          <w:lang w:val="fr-CA" w:eastAsia="en-US"/>
        </w:rPr>
        <w:t>(applicables dans toutes les provinces et dans tous les territoires)</w:t>
      </w:r>
    </w:p>
    <w:p>
      <w:pPr>
        <w:widowControl/>
        <w:spacing w:before="120" w:after="12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IIIB-C-1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4"/>
                <w:lang w:val="fr-CA" w:eastAsia="en-US"/>
              </w:rPr>
              <w:t>Tous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4"/>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noProof/>
                <w:szCs w:val="24"/>
                <w:lang w:val="fr-CA" w:eastAsia="en-US"/>
              </w:rPr>
              <w:t>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Le Canada se réserve le droit d’adopter ou de maintenir une mesure selon laquelle les institutions financières sous réglementation fédérale dont le capital est supérieur à 1 milliard CAD doivent, dans un délai de trois ans après avoir atteint ce seuil, faire en sorte que 35 pour cent de leurs actions avec droit de vote appartiennent à de multiples actionnaires et soient cotées et négociables dans une bourse canadienne.</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IIIB-C-2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4"/>
                <w:lang w:val="fr-CA" w:eastAsia="en-US"/>
              </w:rPr>
              <w:t>Tous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4"/>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noProof/>
                <w:szCs w:val="24"/>
                <w:lang w:val="fr-CA" w:eastAsia="en-US"/>
              </w:rPr>
              <w:t>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pBdr>
                <w:top w:val="nil"/>
                <w:left w:val="nil"/>
                <w:bottom w:val="nil"/>
                <w:right w:val="nil"/>
                <w:between w:val="nil"/>
                <w:bar w:val="nil"/>
              </w:pBdr>
              <w:spacing w:before="60" w:after="60" w:line="240" w:lineRule="auto"/>
              <w:ind w:left="567" w:hanging="567"/>
              <w:rPr>
                <w:noProof/>
                <w:szCs w:val="24"/>
                <w:lang w:val="fr-CA" w:eastAsia="en-US"/>
              </w:rPr>
            </w:pPr>
            <w:r>
              <w:rPr>
                <w:noProof/>
                <w:szCs w:val="24"/>
                <w:lang w:val="fr-CA" w:eastAsia="en-US"/>
              </w:rPr>
              <w:t>1.</w:t>
            </w:r>
            <w:r>
              <w:rPr>
                <w:noProof/>
                <w:szCs w:val="24"/>
                <w:lang w:val="fr-CA" w:eastAsia="en-US"/>
              </w:rPr>
              <w:tab/>
              <w:t xml:space="preserve">Le Canada se réserve le droit d’adopter ou de maintenir une mesure nécessitant l’approbation ministérielle de l’acquisition par une personne (un Canadien ou un étranger) d’actions d’une institution financière sous réglementation fédérale constituée en vertu de la </w:t>
            </w:r>
            <w:r>
              <w:rPr>
                <w:i/>
                <w:noProof/>
                <w:szCs w:val="24"/>
                <w:lang w:val="fr-CA" w:eastAsia="en-US"/>
              </w:rPr>
              <w:t>Loi sur les banques</w:t>
            </w:r>
            <w:r>
              <w:rPr>
                <w:noProof/>
                <w:szCs w:val="24"/>
                <w:lang w:val="fr-CA" w:eastAsia="en-US"/>
              </w:rPr>
              <w:t xml:space="preserve">, L.C. 1991, c. 46, de la </w:t>
            </w:r>
            <w:r>
              <w:rPr>
                <w:i/>
                <w:noProof/>
                <w:szCs w:val="24"/>
                <w:lang w:val="fr-CA" w:eastAsia="en-US"/>
              </w:rPr>
              <w:t>Loi sur les sociétés d’assurances,</w:t>
            </w:r>
            <w:r>
              <w:rPr>
                <w:noProof/>
                <w:szCs w:val="24"/>
                <w:lang w:val="fr-CA" w:eastAsia="en-US"/>
              </w:rPr>
              <w:t xml:space="preserve"> L.C. 1991, c. 47, ou de la </w:t>
            </w:r>
            <w:r>
              <w:rPr>
                <w:i/>
                <w:noProof/>
                <w:szCs w:val="24"/>
                <w:lang w:val="fr-CA" w:eastAsia="en-US"/>
              </w:rPr>
              <w:t>Loi sur les sociétés de fiducie et de prêt</w:t>
            </w:r>
            <w:r>
              <w:rPr>
                <w:noProof/>
                <w:szCs w:val="24"/>
                <w:lang w:val="fr-CA" w:eastAsia="en-US"/>
              </w:rPr>
              <w:t>, L.C. 1991, c. 45, si, par cette acquisition, la personne détient une part de plus de 10 pour cent des actions de toute catégorie.</w:t>
            </w:r>
          </w:p>
          <w:p>
            <w:pPr>
              <w:widowControl/>
              <w:spacing w:before="60" w:after="60" w:line="240" w:lineRule="auto"/>
              <w:ind w:left="567" w:hanging="567"/>
              <w:rPr>
                <w:noProof/>
                <w:szCs w:val="24"/>
                <w:lang w:val="fr-CA" w:eastAsia="en-US"/>
              </w:rPr>
            </w:pPr>
          </w:p>
          <w:p>
            <w:pPr>
              <w:widowControl/>
              <w:pBdr>
                <w:top w:val="nil"/>
                <w:left w:val="nil"/>
                <w:bottom w:val="nil"/>
                <w:right w:val="nil"/>
                <w:between w:val="nil"/>
                <w:bar w:val="nil"/>
              </w:pBdr>
              <w:spacing w:before="60" w:after="60" w:line="240" w:lineRule="auto"/>
              <w:ind w:left="567" w:hanging="567"/>
              <w:rPr>
                <w:noProof/>
                <w:szCs w:val="24"/>
                <w:lang w:val="fr-CA" w:eastAsia="en-US"/>
              </w:rPr>
            </w:pPr>
            <w:r>
              <w:rPr>
                <w:noProof/>
                <w:szCs w:val="24"/>
                <w:lang w:val="fr-CA" w:eastAsia="en-US"/>
              </w:rPr>
              <w:t xml:space="preserve">2. </w:t>
            </w:r>
            <w:r>
              <w:rPr>
                <w:noProof/>
                <w:szCs w:val="24"/>
                <w:lang w:val="fr-CA" w:eastAsia="en-US"/>
              </w:rPr>
              <w:tab/>
              <w:t xml:space="preserve">Le Canada se réserve le droit d’adopter ou de maintenir une mesure selon laquelle aucune personne (un Canadien ou un étranger) ne peut posséder plus de 20 pour cent d’actions avec droit de vote de toute catégorie, ou 30 pour cent d’actions sans droit de vote de toute catégorie : </w:t>
            </w:r>
          </w:p>
          <w:p>
            <w:pPr>
              <w:widowControl/>
              <w:pBdr>
                <w:top w:val="nil"/>
                <w:left w:val="nil"/>
                <w:bottom w:val="nil"/>
                <w:right w:val="nil"/>
                <w:between w:val="nil"/>
                <w:bar w:val="nil"/>
              </w:pBdr>
              <w:spacing w:before="60" w:after="60" w:line="240" w:lineRule="auto"/>
              <w:ind w:left="567" w:hanging="567"/>
              <w:rPr>
                <w:noProof/>
                <w:color w:val="000000"/>
                <w:szCs w:val="24"/>
                <w:lang w:val="fr-CA" w:eastAsia="en-US"/>
              </w:rPr>
            </w:pPr>
            <w:r>
              <w:rPr>
                <w:noProof/>
                <w:szCs w:val="24"/>
                <w:lang w:val="fr-CA" w:eastAsia="en-US"/>
              </w:rPr>
              <w:t>a)</w:t>
            </w:r>
            <w:r>
              <w:rPr>
                <w:noProof/>
                <w:szCs w:val="24"/>
                <w:lang w:val="fr-CA" w:eastAsia="en-US"/>
              </w:rPr>
              <w:tab/>
              <w:t>d’une banque ou d’une société de portefeuille bancaire dont le capital est de 12 milliards CAD ou plus;</w:t>
            </w:r>
            <w:r>
              <w:rPr>
                <w:noProof/>
                <w:szCs w:val="24"/>
                <w:lang w:val="fr-CA" w:eastAsia="en-US"/>
              </w:rPr>
              <w:br/>
            </w:r>
          </w:p>
          <w:p>
            <w:pPr>
              <w:widowControl/>
              <w:pBdr>
                <w:top w:val="nil"/>
                <w:left w:val="nil"/>
                <w:bottom w:val="nil"/>
                <w:right w:val="nil"/>
                <w:between w:val="nil"/>
                <w:bar w:val="nil"/>
              </w:pBdr>
              <w:spacing w:before="60" w:after="60" w:line="240" w:lineRule="auto"/>
              <w:ind w:left="567" w:hanging="567"/>
              <w:rPr>
                <w:noProof/>
                <w:szCs w:val="24"/>
                <w:lang w:val="fr-CA" w:eastAsia="en-US"/>
              </w:rPr>
            </w:pPr>
            <w:r>
              <w:rPr>
                <w:noProof/>
                <w:szCs w:val="24"/>
                <w:lang w:val="fr-CA" w:eastAsia="en-US"/>
              </w:rPr>
              <w:t>b)</w:t>
            </w:r>
            <w:r>
              <w:rPr>
                <w:noProof/>
                <w:szCs w:val="24"/>
                <w:lang w:val="fr-CA" w:eastAsia="en-US"/>
              </w:rPr>
              <w:tab/>
              <w:t xml:space="preserve">d’une institution financière sous réglementation fédérale constituée en vertu de la </w:t>
            </w:r>
            <w:r>
              <w:rPr>
                <w:i/>
                <w:noProof/>
                <w:szCs w:val="24"/>
                <w:lang w:val="fr-CA" w:eastAsia="en-US"/>
              </w:rPr>
              <w:t>Loi sur les banques</w:t>
            </w:r>
            <w:r>
              <w:rPr>
                <w:noProof/>
                <w:szCs w:val="24"/>
                <w:lang w:val="fr-CA" w:eastAsia="en-US"/>
              </w:rPr>
              <w:t xml:space="preserve">, de la </w:t>
            </w:r>
            <w:r>
              <w:rPr>
                <w:i/>
                <w:noProof/>
                <w:szCs w:val="24"/>
                <w:lang w:val="fr-CA" w:eastAsia="en-US"/>
              </w:rPr>
              <w:t>Loi sur les sociétés d’assurances</w:t>
            </w:r>
            <w:r>
              <w:rPr>
                <w:noProof/>
                <w:szCs w:val="24"/>
                <w:lang w:val="fr-CA" w:eastAsia="en-US"/>
              </w:rPr>
              <w:t xml:space="preserve"> ou de la </w:t>
            </w:r>
            <w:r>
              <w:rPr>
                <w:i/>
                <w:noProof/>
                <w:szCs w:val="24"/>
                <w:lang w:val="fr-CA" w:eastAsia="en-US"/>
              </w:rPr>
              <w:t>Loi sur les sociétés de fiducie et de prêt</w:t>
            </w:r>
            <w:r>
              <w:rPr>
                <w:noProof/>
                <w:szCs w:val="24"/>
                <w:lang w:val="fr-CA" w:eastAsia="en-US"/>
              </w:rPr>
              <w:t xml:space="preserve"> qui, au moment de l’entrée en vigueur du présent accord, est une institution financière à participation multiple</w:t>
            </w:r>
            <w:r>
              <w:rPr>
                <w:rFonts w:eastAsiaTheme="minorHAnsi"/>
                <w:noProof/>
                <w:szCs w:val="22"/>
                <w:vertAlign w:val="superscript"/>
                <w:lang w:eastAsia="en-US"/>
              </w:rPr>
              <w:footnoteReference w:id="3"/>
            </w:r>
            <w:r>
              <w:rPr>
                <w:noProof/>
                <w:szCs w:val="24"/>
                <w:lang w:val="fr-CA" w:eastAsia="en-US"/>
              </w:rPr>
              <w:t>, par nécessité, y compris du fait qu’elle est désignée comme une institution financière d’importance systémique nationale.</w:t>
            </w:r>
          </w:p>
          <w:p>
            <w:pPr>
              <w:widowControl/>
              <w:spacing w:before="60" w:after="60" w:line="240" w:lineRule="auto"/>
              <w:ind w:left="567" w:hanging="567"/>
              <w:rPr>
                <w:noProof/>
                <w:szCs w:val="24"/>
                <w:lang w:val="fr-CA" w:eastAsia="en-US"/>
              </w:rPr>
            </w:pPr>
          </w:p>
          <w:p>
            <w:pPr>
              <w:widowControl/>
              <w:pBdr>
                <w:top w:val="nil"/>
                <w:left w:val="nil"/>
                <w:bottom w:val="nil"/>
                <w:right w:val="nil"/>
                <w:between w:val="nil"/>
                <w:bar w:val="nil"/>
              </w:pBdr>
              <w:spacing w:before="60" w:after="60" w:line="240" w:lineRule="auto"/>
              <w:ind w:left="567" w:hanging="567"/>
              <w:rPr>
                <w:noProof/>
                <w:szCs w:val="24"/>
                <w:lang w:val="fr-CA" w:eastAsia="en-US"/>
              </w:rPr>
            </w:pPr>
            <w:r>
              <w:rPr>
                <w:noProof/>
                <w:szCs w:val="24"/>
                <w:lang w:val="fr-CA" w:eastAsia="en-US"/>
              </w:rPr>
              <w:t>3.</w:t>
            </w:r>
            <w:r>
              <w:rPr>
                <w:noProof/>
                <w:szCs w:val="24"/>
                <w:lang w:val="fr-CA" w:eastAsia="en-US"/>
              </w:rPr>
              <w:tab/>
              <w:t>Nonobstant l’alinéa 2a), une institution financière de l’Union européenne réglementée à titre de banque dans l’Union européenne ou toute autre institution financière de l’Union européenne réglementée dans l’Union européenne et à participation multiple peut continuer à contrôler une banque ou une société de portefeuille bancaire si elle en avait le contrôle le jour où le capital de la banque ou de la société de portefeuille bancaire a atteint le seuil applicable à la prescription de participation multiple et en a le contrôle depuis ce jour.</w:t>
            </w:r>
          </w:p>
        </w:tc>
      </w:tr>
    </w:tbl>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IIIB-C-3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4"/>
                <w:lang w:val="fr-CA" w:eastAsia="en-US"/>
              </w:rPr>
              <w:t>Services bancaires et autres services financiers (à l’exclusion de l’assurance)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autoSpaceDE w:val="0"/>
              <w:autoSpaceDN w:val="0"/>
              <w:adjustRightInd w:val="0"/>
              <w:spacing w:before="60" w:after="60" w:line="240" w:lineRule="auto"/>
              <w:rPr>
                <w:rFonts w:eastAsiaTheme="minorHAnsi"/>
                <w:noProof/>
                <w:szCs w:val="24"/>
                <w:lang w:val="fr-CA" w:eastAsia="en-US"/>
              </w:rPr>
            </w:pPr>
            <w:r>
              <w:rPr>
                <w:rFonts w:eastAsiaTheme="minorHAnsi"/>
                <w:noProof/>
                <w:szCs w:val="24"/>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4"/>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noProof/>
                <w:szCs w:val="24"/>
                <w:lang w:val="fr-CA" w:eastAsia="en-US"/>
              </w:rPr>
              <w:t>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ind w:left="567" w:hanging="567"/>
              <w:rPr>
                <w:rFonts w:eastAsiaTheme="minorHAnsi"/>
                <w:noProof/>
                <w:szCs w:val="24"/>
                <w:lang w:val="fr-CA" w:eastAsia="en-US"/>
              </w:rPr>
            </w:pPr>
            <w:r>
              <w:rPr>
                <w:rFonts w:eastAsiaTheme="minorHAnsi"/>
                <w:noProof/>
                <w:szCs w:val="24"/>
                <w:lang w:val="fr-CA" w:eastAsia="en-US"/>
              </w:rPr>
              <w:t>1.</w:t>
            </w:r>
            <w:r>
              <w:rPr>
                <w:rFonts w:eastAsiaTheme="minorHAnsi"/>
                <w:noProof/>
                <w:szCs w:val="24"/>
                <w:lang w:val="fr-CA" w:eastAsia="en-US"/>
              </w:rPr>
              <w:tab/>
              <w:t>Le Canada se réserve le droit d’adopter ou de maintenir une mesure obligeant une banque étrangère à établir une filiale pour pouvoir accepter ou conserver des dépôts de détail inférieurs à 150 000 CAD, à moins que la somme de tous les dépôts conservés par une banque étrangère et inférieurs à 150 000 CAD représente moins de 1 pour cent de l’ensemble des dépôts ou que les dépôts proviennent d’un investisseur averti (par exemple le gouvernement fédéral ou les gouvernements provinciaux du Canada, les gouvernements étrangers, les banques internationales de développement dont le Canada est membre, les institutions financières, certaines caisses de retraite, certains fonds mutuels et certaines grandes entreprises).</w:t>
            </w:r>
          </w:p>
          <w:p>
            <w:pPr>
              <w:widowControl/>
              <w:spacing w:before="60" w:after="60" w:line="240" w:lineRule="auto"/>
              <w:ind w:left="567" w:hanging="567"/>
              <w:rPr>
                <w:rFonts w:eastAsiaTheme="minorHAnsi"/>
                <w:noProof/>
                <w:szCs w:val="24"/>
                <w:lang w:val="fr-CA" w:eastAsia="en-US"/>
              </w:rPr>
            </w:pPr>
          </w:p>
          <w:p>
            <w:pPr>
              <w:widowControl/>
              <w:pBdr>
                <w:top w:val="nil"/>
                <w:left w:val="nil"/>
                <w:bottom w:val="nil"/>
                <w:right w:val="nil"/>
                <w:between w:val="nil"/>
                <w:bar w:val="nil"/>
              </w:pBdr>
              <w:spacing w:before="60" w:after="60" w:line="240" w:lineRule="auto"/>
              <w:ind w:left="567" w:hanging="567"/>
              <w:rPr>
                <w:rFonts w:eastAsiaTheme="minorHAnsi"/>
                <w:noProof/>
                <w:szCs w:val="24"/>
                <w:lang w:val="fr-CA" w:eastAsia="en-US"/>
              </w:rPr>
            </w:pPr>
            <w:r>
              <w:rPr>
                <w:rFonts w:eastAsiaTheme="minorHAnsi"/>
                <w:noProof/>
                <w:szCs w:val="24"/>
                <w:lang w:val="fr-CA" w:eastAsia="en-US"/>
              </w:rPr>
              <w:t>2.</w:t>
            </w:r>
            <w:r>
              <w:rPr>
                <w:rFonts w:eastAsiaTheme="minorHAnsi"/>
                <w:noProof/>
                <w:szCs w:val="24"/>
                <w:lang w:val="fr-CA" w:eastAsia="en-US"/>
              </w:rPr>
              <w:tab/>
              <w:t>Le Canada se réserve le droit d’adopter ou de maintenir une mesure qui interdit aux succursales à services bancaires complets et aux succursales de prêt d’être membres de la Société d’assurance-dépôts du Canada.</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IIIB-C-4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4"/>
                <w:lang w:val="fr-CA" w:eastAsia="en-US"/>
              </w:rPr>
              <w:t>Services bancaires et autres services financiers (à l’exclusion de l’assurance)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autoSpaceDE w:val="0"/>
              <w:autoSpaceDN w:val="0"/>
              <w:adjustRightInd w:val="0"/>
              <w:spacing w:before="60" w:after="60" w:line="240" w:lineRule="auto"/>
              <w:rPr>
                <w:rFonts w:eastAsiaTheme="minorHAnsi"/>
                <w:noProof/>
                <w:szCs w:val="24"/>
                <w:lang w:val="fr-CA" w:eastAsia="en-US"/>
              </w:rPr>
            </w:pPr>
            <w:r>
              <w:rPr>
                <w:rFonts w:eastAsiaTheme="minorHAnsi"/>
                <w:noProof/>
                <w:szCs w:val="24"/>
                <w:lang w:val="fr-CA" w:eastAsia="en-US"/>
              </w:rPr>
              <w:t>Traitement national</w:t>
            </w:r>
          </w:p>
          <w:p>
            <w:pPr>
              <w:widowControl/>
              <w:autoSpaceDE w:val="0"/>
              <w:autoSpaceDN w:val="0"/>
              <w:adjustRightInd w:val="0"/>
              <w:spacing w:before="60" w:after="60" w:line="240" w:lineRule="auto"/>
              <w:rPr>
                <w:rFonts w:eastAsiaTheme="minorHAnsi"/>
                <w:noProof/>
                <w:szCs w:val="22"/>
                <w:lang w:val="fr-CA" w:eastAsia="en-US"/>
              </w:rPr>
            </w:pPr>
            <w:r>
              <w:rPr>
                <w:rFonts w:eastAsiaTheme="minorHAnsi"/>
                <w:noProof/>
                <w:szCs w:val="24"/>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b/>
                <w:bCs/>
                <w:noProof/>
                <w:color w:val="000000"/>
                <w:szCs w:val="22"/>
                <w:lang w:val="fr-CA" w:eastAsia="en-US"/>
              </w:rPr>
            </w:pPr>
            <w:r>
              <w:rPr>
                <w:rFonts w:eastAsiaTheme="minorHAnsi"/>
                <w:noProof/>
                <w:szCs w:val="24"/>
                <w:lang w:val="fr-CA" w:eastAsia="en-US"/>
              </w:rPr>
              <w:t>National</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c>
          <w:tcPr>
            <w:tcW w:w="9500" w:type="dxa"/>
            <w:gridSpan w:val="2"/>
            <w:shd w:val="clear" w:color="auto" w:fill="auto"/>
          </w:tcPr>
          <w:p>
            <w:pPr>
              <w:widowControl/>
              <w:spacing w:before="60" w:after="60" w:line="240" w:lineRule="auto"/>
              <w:rPr>
                <w:rFonts w:eastAsiaTheme="minorHAnsi"/>
                <w:noProof/>
                <w:szCs w:val="24"/>
                <w:lang w:val="fr-CA" w:eastAsia="en-US"/>
              </w:rPr>
            </w:pPr>
            <w:r>
              <w:rPr>
                <w:rFonts w:eastAsiaTheme="minorHAnsi"/>
                <w:noProof/>
                <w:szCs w:val="24"/>
                <w:lang w:val="fr-CA" w:eastAsia="en-US"/>
              </w:rPr>
              <w:t>Le Canada se réserve le droit d’adopter ou de maintenir une mesure qui interdit aux succursales de prêt de banques étrangères d’être membres de l’Association canadienne des paiements.</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b/>
          <w:noProof/>
          <w:szCs w:val="22"/>
          <w:lang w:val="fr-CA" w:eastAsia="en-US"/>
        </w:rPr>
        <w:sectPr>
          <w:headerReference w:type="even" r:id="rId28"/>
          <w:headerReference w:type="default" r:id="rId29"/>
          <w:footerReference w:type="even" r:id="rId30"/>
          <w:footerReference w:type="default" r:id="rId31"/>
          <w:headerReference w:type="first" r:id="rId32"/>
          <w:footerReference w:type="first" r:id="rId33"/>
          <w:pgSz w:w="11907" w:h="16839"/>
          <w:pgMar w:top="1134" w:right="1417" w:bottom="1134" w:left="1417" w:header="1134" w:footer="1134" w:gutter="0"/>
          <w:cols w:space="720"/>
          <w:docGrid w:linePitch="360"/>
        </w:sect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en Alberta</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Alberta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en-CA" w:eastAsia="en-US"/>
              </w:rPr>
            </w:pPr>
            <w:r>
              <w:rPr>
                <w:rFonts w:eastAsiaTheme="minorHAnsi"/>
                <w:i/>
                <w:noProof/>
                <w:szCs w:val="22"/>
                <w:lang w:val="en-CA" w:eastAsia="en-US"/>
              </w:rPr>
              <w:t>Securities Act</w:t>
            </w:r>
            <w:r>
              <w:rPr>
                <w:rFonts w:eastAsiaTheme="minorHAnsi"/>
                <w:noProof/>
                <w:szCs w:val="22"/>
                <w:lang w:val="en-CA" w:eastAsia="en-US"/>
              </w:rPr>
              <w:t>, R.S.A. 2000, c. S-4</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cs="Garamond"/>
          <w:b/>
          <w:noProof/>
          <w:szCs w:val="22"/>
          <w:u w:val="single"/>
          <w:lang w:val="fr-CA" w:eastAsia="en-US"/>
        </w:rPr>
      </w:pPr>
    </w:p>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en Colombie-Britannique</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Colombie-Britannique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en-CA" w:eastAsia="en-US"/>
              </w:rPr>
            </w:pPr>
            <w:r>
              <w:rPr>
                <w:rFonts w:eastAsiaTheme="minorHAnsi"/>
                <w:i/>
                <w:noProof/>
                <w:szCs w:val="22"/>
                <w:lang w:val="en-CA" w:eastAsia="en-US"/>
              </w:rPr>
              <w:t>Securities Act</w:t>
            </w:r>
            <w:r>
              <w:rPr>
                <w:rFonts w:eastAsiaTheme="minorHAnsi"/>
                <w:noProof/>
                <w:szCs w:val="22"/>
                <w:lang w:val="en-CA" w:eastAsia="en-US"/>
              </w:rPr>
              <w:t>, R.S.B.C. 1996, c. 418</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Colombie-Britannique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Cs/>
                <w:i/>
                <w:noProof/>
                <w:szCs w:val="22"/>
                <w:lang w:val="en-CA" w:eastAsia="en-GB"/>
              </w:rPr>
            </w:pPr>
            <w:r>
              <w:rPr>
                <w:rFonts w:eastAsiaTheme="minorHAnsi"/>
                <w:bCs/>
                <w:i/>
                <w:noProof/>
                <w:szCs w:val="22"/>
                <w:lang w:val="en-CA" w:eastAsia="en-GB"/>
              </w:rPr>
              <w:t>Insurance Corporation Act</w:t>
            </w:r>
            <w:r>
              <w:rPr>
                <w:rFonts w:eastAsiaTheme="minorHAnsi"/>
                <w:bCs/>
                <w:noProof/>
                <w:szCs w:val="22"/>
                <w:lang w:val="en-CA" w:eastAsia="en-GB"/>
              </w:rPr>
              <w:t>, R.S.B.C. 1996, c. 228</w:t>
            </w:r>
          </w:p>
          <w:p>
            <w:pPr>
              <w:widowControl/>
              <w:spacing w:before="60" w:after="60" w:line="240" w:lineRule="auto"/>
              <w:rPr>
                <w:rFonts w:eastAsiaTheme="minorHAnsi"/>
                <w:bCs/>
                <w:i/>
                <w:noProof/>
                <w:szCs w:val="22"/>
                <w:lang w:val="fr-CA" w:eastAsia="en-GB"/>
              </w:rPr>
            </w:pPr>
            <w:r>
              <w:rPr>
                <w:rFonts w:eastAsiaTheme="minorHAnsi"/>
                <w:bCs/>
                <w:i/>
                <w:noProof/>
                <w:szCs w:val="22"/>
                <w:lang w:val="fr-CA" w:eastAsia="en-GB"/>
              </w:rPr>
              <w:t>Exclusion Regulation</w:t>
            </w:r>
            <w:r>
              <w:rPr>
                <w:rFonts w:eastAsiaTheme="minorHAnsi"/>
                <w:bCs/>
                <w:noProof/>
                <w:szCs w:val="22"/>
                <w:lang w:val="fr-CA" w:eastAsia="en-GB"/>
              </w:rPr>
              <w:t>, B.C. Reg. 153/73</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L’assurance automobile en Colombie-Britannique est fournie par un monopole public.</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au Manitoba</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noProof/>
                <w:szCs w:val="22"/>
                <w:lang w:val="fr-CA" w:eastAsia="en-US"/>
              </w:rPr>
              <w:t xml:space="preserve">Services d’assurance et services connexes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d’assurances de véhicules à moteur</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Cs/>
                <w:i/>
                <w:noProof/>
                <w:szCs w:val="22"/>
                <w:lang w:val="fr-CA" w:eastAsia="en-GB"/>
              </w:rPr>
            </w:pPr>
            <w:r>
              <w:rPr>
                <w:rFonts w:eastAsiaTheme="minorHAnsi"/>
                <w:i/>
                <w:noProof/>
                <w:szCs w:val="22"/>
                <w:lang w:val="fr-CA" w:eastAsia="en-US"/>
              </w:rPr>
              <w:t>Loi sur la société d’assurance publique du Manitoba</w:t>
            </w:r>
            <w:r>
              <w:rPr>
                <w:rFonts w:eastAsiaTheme="minorHAnsi"/>
                <w:noProof/>
                <w:szCs w:val="22"/>
                <w:lang w:val="fr-CA" w:eastAsia="en-US"/>
              </w:rPr>
              <w:t>, C.P.L.M. c. P215</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447"/>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L’assurance automobile au Manitoba est fournie par un monopole public.</w:t>
            </w:r>
          </w:p>
        </w:tc>
      </w:tr>
    </w:tbl>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Manitoba</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b/>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C.P.L.M. c. S50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au Nouveau-Brunswick</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Nouveau-Brunswick</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L.N.-B. 2004, c. S-5.5</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à Terre-Neuve-et-Labrador</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Terre-Neuve-et-Labrador</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b/>
                <w:noProof/>
                <w:szCs w:val="22"/>
                <w:lang w:val="en-CA" w:eastAsia="en-US"/>
              </w:rPr>
            </w:pPr>
            <w:r>
              <w:rPr>
                <w:rFonts w:eastAsiaTheme="minorHAnsi"/>
                <w:i/>
                <w:noProof/>
                <w:szCs w:val="22"/>
                <w:lang w:val="en-CA" w:eastAsia="en-US"/>
              </w:rPr>
              <w:t>Securities Act</w:t>
            </w:r>
            <w:r>
              <w:rPr>
                <w:rFonts w:eastAsiaTheme="minorHAnsi"/>
                <w:noProof/>
                <w:szCs w:val="22"/>
                <w:lang w:val="en-CA" w:eastAsia="en-US"/>
              </w:rPr>
              <w:t>, R.S.N.L. 1990, c. S-13</w:t>
            </w:r>
            <w:r>
              <w:rPr>
                <w:rFonts w:eastAsiaTheme="minorHAnsi"/>
                <w:b/>
                <w:noProof/>
                <w:szCs w:val="22"/>
                <w:lang w:val="en-CA" w:eastAsia="en-US"/>
              </w:rPr>
              <w:t xml:space="preserve">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dans les Territoires du Nord-Ouest</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Territoires du Nord-Ouest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L.T.N.-O. 2008, c. 10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en Nouvelle-Écosse</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Nouvelle-Écosse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en-CA" w:eastAsia="en-US"/>
              </w:rPr>
            </w:pPr>
            <w:r>
              <w:rPr>
                <w:rFonts w:eastAsiaTheme="minorHAnsi"/>
                <w:i/>
                <w:noProof/>
                <w:szCs w:val="22"/>
                <w:lang w:val="en-CA" w:eastAsia="en-US"/>
              </w:rPr>
              <w:t>Securities Act</w:t>
            </w:r>
            <w:r>
              <w:rPr>
                <w:rFonts w:eastAsiaTheme="minorHAnsi"/>
                <w:noProof/>
                <w:szCs w:val="22"/>
                <w:lang w:val="en-CA" w:eastAsia="en-US"/>
              </w:rPr>
              <w:t>, R.S.N.S. 1989, c. 418</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au Nunavut</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IIIB-PT-10</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Nunavut</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b/>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L.R.T.N.-O. (Nu.) 1988, c. S-5</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en Ontario</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IIIB-PT-11</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tabs>
                <w:tab w:val="left" w:pos="2278"/>
              </w:tabs>
              <w:spacing w:before="60" w:after="60" w:line="240" w:lineRule="auto"/>
              <w:rPr>
                <w:rFonts w:eastAsiaTheme="minorHAnsi"/>
                <w:noProof/>
                <w:szCs w:val="22"/>
                <w:lang w:val="fr-CA" w:eastAsia="en-US"/>
              </w:rPr>
            </w:pPr>
            <w:r>
              <w:rPr>
                <w:rFonts w:eastAsiaTheme="minorHAnsi"/>
                <w:noProof/>
                <w:szCs w:val="22"/>
                <w:lang w:val="fr-CA" w:eastAsia="en-US"/>
              </w:rPr>
              <w:t xml:space="preserve">Services d’assurance et services connexes – services auxiliaires de l’assurance et du financement des pensions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national</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Traitement de la nation la plus favorisée</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Fourniture transfrontières des 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Ontario</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i/>
                <w:noProof/>
                <w:szCs w:val="22"/>
                <w:lang w:val="fr-CA" w:eastAsia="en-US"/>
              </w:rPr>
              <w:t>Loi sur les assurances</w:t>
            </w:r>
            <w:r>
              <w:rPr>
                <w:rFonts w:eastAsiaTheme="minorHAnsi"/>
                <w:noProof/>
                <w:szCs w:val="22"/>
                <w:lang w:val="fr-CA" w:eastAsia="en-US"/>
              </w:rPr>
              <w:t>, L.R.O. 1990, c. I.8, par. 54(1), 386(1), 386(2), art. 403</w:t>
            </w:r>
          </w:p>
          <w:p>
            <w:pPr>
              <w:widowControl/>
              <w:spacing w:before="60" w:after="60" w:line="240" w:lineRule="auto"/>
              <w:rPr>
                <w:rFonts w:eastAsiaTheme="minorHAnsi"/>
                <w:noProof/>
                <w:szCs w:val="22"/>
                <w:lang w:val="fr-CA" w:eastAsia="en-US"/>
              </w:rPr>
            </w:pPr>
            <w:r>
              <w:rPr>
                <w:rFonts w:eastAsiaTheme="minorHAnsi"/>
                <w:i/>
                <w:noProof/>
                <w:szCs w:val="22"/>
                <w:lang w:val="fr-CA" w:eastAsia="en-US"/>
              </w:rPr>
              <w:t>Agents</w:t>
            </w:r>
            <w:r>
              <w:rPr>
                <w:rFonts w:eastAsiaTheme="minorHAnsi"/>
                <w:noProof/>
                <w:szCs w:val="22"/>
                <w:lang w:val="fr-CA" w:eastAsia="en-US"/>
              </w:rPr>
              <w:t xml:space="preserve"> – Règl. de l’Ont. 347/04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Un accès préférentiel au marché ontarien des services d’assurance est accordé aux courtiers en assurance indépendants des États</w:t>
            </w:r>
            <w:r>
              <w:rPr>
                <w:rFonts w:eastAsiaTheme="minorHAnsi"/>
                <w:noProof/>
                <w:szCs w:val="22"/>
                <w:lang w:val="fr-CA" w:eastAsia="en-US"/>
              </w:rPr>
              <w:noBreakHyphen/>
              <w:t>Unis d’Amérique qui ne sont pas des résidents de l’Ontario (à l’ensemble des États américains selon le principe de la réciprocité).</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IIIB-PT-12</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Accès aux marchés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Ontario</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L.R.O. 1990, c. S.5, art. 143</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Norme canadienne 31-103 sur les obligations et dispenses d’inscription</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Norme canadienne 81-102 sur les organismes de placement collectif</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à l’Île-du-Prince-Édouard</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IIIB-PT-13</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Accès aux marchés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Île-du-Prince-Édouard</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160" w:hanging="2160"/>
              <w:rPr>
                <w:rFonts w:eastAsiaTheme="minorHAnsi"/>
                <w:noProof/>
                <w:szCs w:val="22"/>
                <w:lang w:val="en-CA" w:eastAsia="en-US"/>
              </w:rPr>
            </w:pPr>
            <w:r>
              <w:rPr>
                <w:rFonts w:eastAsiaTheme="minorHAnsi"/>
                <w:i/>
                <w:noProof/>
                <w:szCs w:val="22"/>
                <w:lang w:val="en-CA" w:eastAsia="en-US"/>
              </w:rPr>
              <w:t>Securities Act</w:t>
            </w:r>
            <w:r>
              <w:rPr>
                <w:rFonts w:eastAsiaTheme="minorHAnsi"/>
                <w:noProof/>
                <w:szCs w:val="22"/>
                <w:lang w:val="en-CA" w:eastAsia="en-US"/>
              </w:rPr>
              <w:t>, R.S.P.E.I. 1988, c. S-3.1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u w:val="single"/>
          <w:lang w:val="fr-CA" w:eastAsia="en-US"/>
        </w:rPr>
      </w:pPr>
    </w:p>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au Québec</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IIIB-PT-14</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Accès aux marchés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r>
              <w:rPr>
                <w:rFonts w:eastAsiaTheme="minorHAnsi"/>
                <w:i/>
                <w:noProof/>
                <w:szCs w:val="22"/>
                <w:lang w:val="fr-CA" w:eastAsia="en-US"/>
              </w:rPr>
              <w:t>Loi sur la Société de l’assurance automobile du Québec</w:t>
            </w:r>
            <w:r>
              <w:rPr>
                <w:rFonts w:eastAsiaTheme="minorHAnsi"/>
                <w:noProof/>
                <w:szCs w:val="22"/>
                <w:lang w:val="fr-CA" w:eastAsia="en-US"/>
              </w:rPr>
              <w:t>, R.L.R.Q., c. S-11.011</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L’assurance automobile, en ce qui concerne l’indemnisation de préjudices corporels et de décès, est fournie par un monopole public.</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IIIB-PT-15</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bancaires et autres services financiers (à l’exclusion de l’assurance)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Accès aux marchés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
                <w:noProof/>
                <w:szCs w:val="22"/>
                <w:lang w:val="fr-CA" w:eastAsia="en-US"/>
              </w:rPr>
            </w:pP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L’acceptation des dépôts d’établissements publics et parapublics et la gestion des fonds de pension d’établissements publics et parapublics sont assurées par un monopole public au Québec.</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IIIB-PT-16</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bancaires et autres services financiers (à l’exclusion de l’assurance)</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Accès aux marchés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Québec</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i/>
                <w:noProof/>
                <w:szCs w:val="22"/>
                <w:lang w:val="fr-CA" w:eastAsia="en-US"/>
              </w:rPr>
              <w:t>Loi sur les valeurs mobilières</w:t>
            </w:r>
            <w:r>
              <w:rPr>
                <w:rFonts w:eastAsiaTheme="minorHAnsi"/>
                <w:noProof/>
                <w:szCs w:val="22"/>
                <w:lang w:val="fr-CA" w:eastAsia="en-US"/>
              </w:rPr>
              <w:t>, RLRQ, c V-1.1</w:t>
            </w:r>
          </w:p>
          <w:p>
            <w:pPr>
              <w:widowControl/>
              <w:spacing w:before="60" w:after="60" w:line="240" w:lineRule="auto"/>
              <w:rPr>
                <w:rFonts w:eastAsiaTheme="minorHAnsi"/>
                <w:noProof/>
                <w:szCs w:val="22"/>
                <w:lang w:val="fr-CA" w:eastAsia="en-US"/>
              </w:rPr>
            </w:pPr>
            <w:r>
              <w:rPr>
                <w:rFonts w:eastAsiaTheme="minorHAnsi"/>
                <w:i/>
                <w:noProof/>
                <w:szCs w:val="22"/>
                <w:lang w:val="fr-CA" w:eastAsia="en-US"/>
              </w:rPr>
              <w:t>Règlement 81-102 sur les organismes de placement collectif</w:t>
            </w:r>
            <w:r>
              <w:rPr>
                <w:rFonts w:eastAsiaTheme="minorHAnsi"/>
                <w:noProof/>
                <w:szCs w:val="22"/>
                <w:lang w:val="fr-CA" w:eastAsia="en-US"/>
              </w:rPr>
              <w:t>, R.L.R.Q., c. V-1.1, r. 39</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en Saskatchewan</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IIIB-PT-17</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bancaires et autres services financiers (à l’exclusion de l’assurance)</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Accès aux marchés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i/>
                <w:noProof/>
                <w:szCs w:val="22"/>
                <w:lang w:val="en-CA" w:eastAsia="en-US"/>
              </w:rPr>
            </w:pPr>
            <w:r>
              <w:rPr>
                <w:rFonts w:eastAsiaTheme="minorHAnsi"/>
                <w:i/>
                <w:iCs/>
                <w:noProof/>
                <w:szCs w:val="22"/>
                <w:lang w:val="en-CA" w:eastAsia="en-US"/>
              </w:rPr>
              <w:t xml:space="preserve">The Securities Act, 1988, </w:t>
            </w:r>
            <w:r>
              <w:rPr>
                <w:rFonts w:eastAsiaTheme="minorHAnsi"/>
                <w:noProof/>
                <w:szCs w:val="22"/>
                <w:lang w:val="en-CA" w:eastAsia="en-US"/>
              </w:rPr>
              <w:t>S.S. 1988-89, c. S-42.2</w:t>
            </w:r>
          </w:p>
          <w:p>
            <w:pPr>
              <w:widowControl/>
              <w:spacing w:before="60" w:after="60" w:line="240" w:lineRule="auto"/>
              <w:ind w:left="-23" w:firstLine="23"/>
              <w:rPr>
                <w:rFonts w:eastAsiaTheme="minorHAnsi"/>
                <w:i/>
                <w:noProof/>
                <w:szCs w:val="22"/>
                <w:lang w:val="en-CA" w:eastAsia="en-US"/>
              </w:rPr>
            </w:pPr>
            <w:r>
              <w:rPr>
                <w:rFonts w:eastAsiaTheme="minorHAnsi"/>
                <w:i/>
                <w:iCs/>
                <w:noProof/>
                <w:szCs w:val="22"/>
                <w:lang w:val="en-CA" w:eastAsia="en-US"/>
              </w:rPr>
              <w:t>The Securities Commission (Adoption of National Instruments) Regulations</w:t>
            </w:r>
            <w:r>
              <w:rPr>
                <w:rFonts w:eastAsiaTheme="minorHAnsi"/>
                <w:iCs/>
                <w:noProof/>
                <w:szCs w:val="22"/>
                <w:lang w:val="en-CA" w:eastAsia="en-US"/>
              </w:rPr>
              <w:t xml:space="preserve">, R.R.S. </w:t>
            </w:r>
            <w:r>
              <w:rPr>
                <w:rFonts w:eastAsiaTheme="minorHAnsi"/>
                <w:noProof/>
                <w:szCs w:val="22"/>
                <w:lang w:val="en-CA" w:eastAsia="en-US"/>
              </w:rPr>
              <w:t>c. S-42.2 Reg. 3</w:t>
            </w:r>
            <w:r>
              <w:rPr>
                <w:rFonts w:eastAsiaTheme="minorHAnsi"/>
                <w:i/>
                <w:noProof/>
                <w:szCs w:val="22"/>
                <w:lang w:val="en-CA" w:eastAsia="en-US"/>
              </w:rPr>
              <w:t xml:space="preserve"> </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b/>
          <w:noProof/>
          <w:szCs w:val="22"/>
          <w:u w:val="single"/>
          <w:lang w:val="fr-CA" w:eastAsia="en-US"/>
        </w:rPr>
      </w:pPr>
    </w:p>
    <w:p>
      <w:pPr>
        <w:widowControl/>
        <w:spacing w:before="60" w:after="60" w:line="240" w:lineRule="auto"/>
        <w:rPr>
          <w:rFonts w:eastAsiaTheme="minorHAnsi"/>
          <w:b/>
          <w:noProof/>
          <w:szCs w:val="22"/>
          <w:lang w:val="fr-CA" w:eastAsia="en-US"/>
        </w:rPr>
      </w:pPr>
      <w:r>
        <w:rPr>
          <w:rFonts w:eastAsiaTheme="minorHAnsi"/>
          <w:b/>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IIIB-PT-18</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d’assurance et services connexes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Traitement national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Provincial – Saskatchewan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rPr>
                <w:rFonts w:eastAsiaTheme="minorHAnsi"/>
                <w:bCs/>
                <w:i/>
                <w:noProof/>
                <w:szCs w:val="22"/>
                <w:lang w:val="en-CA" w:eastAsia="en-GB"/>
              </w:rPr>
            </w:pPr>
            <w:r>
              <w:rPr>
                <w:rFonts w:eastAsiaTheme="minorHAnsi"/>
                <w:bCs/>
                <w:i/>
                <w:noProof/>
                <w:szCs w:val="22"/>
                <w:lang w:val="en-CA" w:eastAsia="en-GB"/>
              </w:rPr>
              <w:t>The Traffic Safety Act</w:t>
            </w:r>
            <w:r>
              <w:rPr>
                <w:rFonts w:eastAsiaTheme="minorHAnsi"/>
                <w:bCs/>
                <w:noProof/>
                <w:szCs w:val="22"/>
                <w:lang w:val="en-CA" w:eastAsia="en-GB"/>
              </w:rPr>
              <w:t>, S.S. 2004, c. T-18.1</w:t>
            </w:r>
          </w:p>
          <w:p>
            <w:pPr>
              <w:widowControl/>
              <w:spacing w:before="60" w:after="60" w:line="240" w:lineRule="auto"/>
              <w:rPr>
                <w:rFonts w:eastAsiaTheme="minorHAnsi"/>
                <w:bCs/>
                <w:noProof/>
                <w:szCs w:val="22"/>
                <w:lang w:val="en-CA" w:eastAsia="en-GB"/>
              </w:rPr>
            </w:pPr>
            <w:r>
              <w:rPr>
                <w:rFonts w:eastAsiaTheme="minorHAnsi"/>
                <w:bCs/>
                <w:i/>
                <w:noProof/>
                <w:szCs w:val="22"/>
                <w:lang w:val="en-CA" w:eastAsia="en-GB"/>
              </w:rPr>
              <w:t>The Automobile Accident Insurance Act</w:t>
            </w:r>
            <w:r>
              <w:rPr>
                <w:rFonts w:eastAsiaTheme="minorHAnsi"/>
                <w:bCs/>
                <w:noProof/>
                <w:szCs w:val="22"/>
                <w:lang w:val="en-CA" w:eastAsia="en-GB"/>
              </w:rPr>
              <w:t>, R.S.S. 1978, c. A-35</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L’assurance automobile en Saskatchewan est fournie par un monopole public.</w:t>
            </w:r>
          </w:p>
        </w:tc>
      </w:tr>
    </w:tbl>
    <w:p>
      <w:pPr>
        <w:widowControl/>
        <w:spacing w:before="60" w:after="60" w:line="240" w:lineRule="auto"/>
        <w:rPr>
          <w:rFonts w:eastAsiaTheme="minorHAnsi"/>
          <w:b/>
          <w:noProof/>
          <w:szCs w:val="22"/>
          <w:lang w:val="fr-CA" w:eastAsia="en-US"/>
        </w:rPr>
      </w:pPr>
    </w:p>
    <w:p>
      <w:pPr>
        <w:widowControl/>
        <w:spacing w:before="60" w:after="60" w:line="240" w:lineRule="auto"/>
        <w:rPr>
          <w:rFonts w:eastAsiaTheme="minorHAnsi"/>
          <w:noProof/>
          <w:szCs w:val="22"/>
          <w:lang w:val="fr-CA" w:eastAsia="en-US"/>
        </w:rPr>
      </w:pPr>
      <w:r>
        <w:rPr>
          <w:rFonts w:eastAsiaTheme="minorHAnsi"/>
          <w:noProof/>
          <w:szCs w:val="22"/>
          <w:lang w:val="fr-CA" w:eastAsia="en-US"/>
        </w:rPr>
        <w:br w:type="page"/>
      </w: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Réserves applicables au Yukon</w:t>
      </w:r>
    </w:p>
    <w:p>
      <w:pPr>
        <w:widowControl/>
        <w:spacing w:before="60" w:after="60" w:line="240" w:lineRule="auto"/>
        <w:rPr>
          <w:rFonts w:eastAsiaTheme="minorHAnsi"/>
          <w:b/>
          <w:noProof/>
          <w:szCs w:val="22"/>
          <w:lang w:val="fr-CA" w:eastAsia="en-US"/>
        </w:rPr>
      </w:pPr>
    </w:p>
    <w:p>
      <w:pPr>
        <w:widowControl/>
        <w:spacing w:before="60" w:after="60" w:line="240" w:lineRule="auto"/>
        <w:jc w:val="center"/>
        <w:rPr>
          <w:rFonts w:eastAsiaTheme="minorHAnsi"/>
          <w:b/>
          <w:noProof/>
          <w:szCs w:val="22"/>
          <w:lang w:val="fr-CA" w:eastAsia="en-US"/>
        </w:rPr>
      </w:pPr>
      <w:r>
        <w:rPr>
          <w:rFonts w:eastAsiaTheme="minorHAnsi"/>
          <w:b/>
          <w:noProof/>
          <w:szCs w:val="22"/>
          <w:lang w:val="fr-CA" w:eastAsia="en-US"/>
        </w:rPr>
        <w:t>Réserve IIIB-PT-19</w:t>
      </w:r>
    </w:p>
    <w:p>
      <w:pPr>
        <w:widowControl/>
        <w:spacing w:before="60" w:after="60" w:line="240" w:lineRule="auto"/>
        <w:rPr>
          <w:rFonts w:eastAsiaTheme="minorHAnsi"/>
          <w:b/>
          <w:noProof/>
          <w:szCs w:val="22"/>
          <w:lang w:val="fr-CA" w:eastAsia="en-US"/>
        </w:rPr>
      </w:pPr>
    </w:p>
    <w:tbl>
      <w:tblPr>
        <w:tblW w:w="9500" w:type="dxa"/>
        <w:tblLayout w:type="fixed"/>
        <w:tblLook w:val="04A0" w:firstRow="1" w:lastRow="0" w:firstColumn="1" w:lastColumn="0" w:noHBand="0" w:noVBand="1"/>
      </w:tblPr>
      <w:tblGrid>
        <w:gridCol w:w="3000"/>
        <w:gridCol w:w="6500"/>
      </w:tblGrid>
      <w:tr>
        <w:tc>
          <w:tcPr>
            <w:tcW w:w="3000" w:type="dxa"/>
            <w:shd w:val="clear" w:color="auto" w:fill="auto"/>
          </w:tcPr>
          <w:p>
            <w:pPr>
              <w:widowControl/>
              <w:spacing w:before="60" w:after="60" w:line="240" w:lineRule="auto"/>
              <w:rPr>
                <w:rFonts w:eastAsiaTheme="minorHAnsi"/>
                <w:noProof/>
                <w:szCs w:val="22"/>
                <w:lang w:val="fr-CA" w:eastAsia="en-US"/>
              </w:rPr>
            </w:pPr>
            <w:r>
              <w:rPr>
                <w:rFonts w:eastAsiaTheme="minorHAnsi"/>
                <w:b/>
                <w:bCs/>
                <w:noProof/>
                <w:color w:val="000000"/>
                <w:szCs w:val="22"/>
                <w:lang w:val="fr-CA" w:eastAsia="en-US"/>
              </w:rPr>
              <w:t>Secteur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financiers</w:t>
            </w:r>
          </w:p>
        </w:tc>
      </w:tr>
      <w:tr>
        <w:tc>
          <w:tcPr>
            <w:tcW w:w="3000" w:type="dxa"/>
            <w:shd w:val="clear" w:color="auto" w:fill="auto"/>
          </w:tcPr>
          <w:p>
            <w:pPr>
              <w:widowControl/>
              <w:autoSpaceDE w:val="0"/>
              <w:autoSpaceDN w:val="0"/>
              <w:adjustRightInd w:val="0"/>
              <w:spacing w:before="60" w:after="60" w:line="240" w:lineRule="auto"/>
              <w:rPr>
                <w:rFonts w:eastAsiaTheme="minorHAnsi"/>
                <w:noProof/>
                <w:szCs w:val="22"/>
                <w:lang w:val="fr-CA" w:eastAsia="en-US"/>
              </w:rPr>
            </w:pPr>
            <w:r>
              <w:rPr>
                <w:rFonts w:eastAsiaTheme="minorHAnsi"/>
                <w:b/>
                <w:bCs/>
                <w:noProof/>
                <w:color w:val="000000"/>
                <w:szCs w:val="22"/>
                <w:lang w:val="fr-CA" w:eastAsia="en-US"/>
              </w:rPr>
              <w:t xml:space="preserve">Sous-secteur :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 xml:space="preserve">Services bancaires et autres services financiers (à l’exclusion de l’assurance) </w:t>
            </w:r>
          </w:p>
          <w:p>
            <w:pPr>
              <w:widowControl/>
              <w:spacing w:before="60" w:after="60" w:line="240" w:lineRule="auto"/>
              <w:rPr>
                <w:rFonts w:eastAsiaTheme="minorHAnsi"/>
                <w:noProof/>
                <w:szCs w:val="22"/>
                <w:lang w:val="fr-CA" w:eastAsia="en-US"/>
              </w:rPr>
            </w:pPr>
            <w:r>
              <w:rPr>
                <w:rFonts w:eastAsiaTheme="minorHAnsi"/>
                <w:noProof/>
                <w:szCs w:val="22"/>
                <w:lang w:val="fr-CA" w:eastAsia="en-US"/>
              </w:rPr>
              <w:t>Services de garde</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Type de réserve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Accès aux marchés</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Niveau de gouvernement :</w:t>
            </w:r>
          </w:p>
        </w:tc>
        <w:tc>
          <w:tcPr>
            <w:tcW w:w="6500" w:type="dxa"/>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Territorial – Yukon</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Mesures :</w:t>
            </w:r>
          </w:p>
        </w:tc>
        <w:tc>
          <w:tcPr>
            <w:tcW w:w="6500" w:type="dxa"/>
            <w:shd w:val="clear" w:color="auto" w:fill="auto"/>
          </w:tcPr>
          <w:p>
            <w:pPr>
              <w:widowControl/>
              <w:spacing w:before="60" w:after="60" w:line="240" w:lineRule="auto"/>
              <w:ind w:left="2880" w:hanging="2880"/>
              <w:rPr>
                <w:rFonts w:eastAsiaTheme="minorHAnsi"/>
                <w:noProof/>
                <w:szCs w:val="22"/>
                <w:lang w:val="fr-CA" w:eastAsia="en-US"/>
              </w:rPr>
            </w:pPr>
            <w:r>
              <w:rPr>
                <w:rFonts w:eastAsiaTheme="minorHAnsi"/>
                <w:i/>
                <w:noProof/>
                <w:szCs w:val="22"/>
                <w:lang w:val="fr-CA" w:eastAsia="en-US"/>
              </w:rPr>
              <w:t>Loi sur les sociétés par actions</w:t>
            </w:r>
            <w:r>
              <w:rPr>
                <w:rFonts w:eastAsiaTheme="minorHAnsi"/>
                <w:noProof/>
                <w:szCs w:val="22"/>
                <w:lang w:val="fr-CA" w:eastAsia="en-US"/>
              </w:rPr>
              <w:t>, L.R.Y. 2002, c. 20</w:t>
            </w:r>
          </w:p>
        </w:tc>
      </w:tr>
      <w:tr>
        <w:tc>
          <w:tcPr>
            <w:tcW w:w="30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r>
              <w:rPr>
                <w:rFonts w:eastAsiaTheme="minorHAnsi"/>
                <w:b/>
                <w:bCs/>
                <w:noProof/>
                <w:color w:val="000000"/>
                <w:szCs w:val="22"/>
                <w:lang w:val="fr-CA" w:eastAsia="en-US"/>
              </w:rPr>
              <w:t>Description :</w:t>
            </w:r>
          </w:p>
        </w:tc>
        <w:tc>
          <w:tcPr>
            <w:tcW w:w="6500" w:type="dxa"/>
            <w:shd w:val="clear" w:color="auto" w:fill="auto"/>
          </w:tcPr>
          <w:p>
            <w:pPr>
              <w:widowControl/>
              <w:autoSpaceDE w:val="0"/>
              <w:autoSpaceDN w:val="0"/>
              <w:adjustRightInd w:val="0"/>
              <w:spacing w:before="60" w:after="60" w:line="240" w:lineRule="auto"/>
              <w:rPr>
                <w:rFonts w:eastAsiaTheme="minorHAnsi"/>
                <w:b/>
                <w:bCs/>
                <w:noProof/>
                <w:color w:val="000000"/>
                <w:szCs w:val="22"/>
                <w:lang w:val="fr-CA" w:eastAsia="en-US"/>
              </w:rPr>
            </w:pPr>
          </w:p>
        </w:tc>
      </w:tr>
      <w:tr>
        <w:trPr>
          <w:trHeight w:val="1435"/>
        </w:trPr>
        <w:tc>
          <w:tcPr>
            <w:tcW w:w="9500" w:type="dxa"/>
            <w:gridSpan w:val="2"/>
            <w:shd w:val="clear" w:color="auto" w:fill="auto"/>
          </w:tcPr>
          <w:p>
            <w:pPr>
              <w:widowControl/>
              <w:spacing w:before="60" w:after="60" w:line="240" w:lineRule="auto"/>
              <w:rPr>
                <w:rFonts w:eastAsiaTheme="minorHAnsi"/>
                <w:noProof/>
                <w:szCs w:val="22"/>
                <w:lang w:val="fr-CA" w:eastAsia="en-US"/>
              </w:rPr>
            </w:pPr>
            <w:r>
              <w:rPr>
                <w:rFonts w:eastAsiaTheme="minorHAnsi"/>
                <w:noProof/>
                <w:szCs w:val="22"/>
                <w:lang w:val="fr-CA" w:eastAsia="en-US"/>
              </w:rPr>
              <w:t>Les fonds mutuels qui offrent des valeurs mobilières au Canada doivent utiliser un dépositaire résident. Il est possible d’utiliser un sous-dépositaire non résident si son capital-actions est d’au moins 100 millions CAD.</w:t>
            </w:r>
          </w:p>
        </w:tc>
      </w:tr>
    </w:tbl>
    <w:p>
      <w:pPr>
        <w:widowControl/>
        <w:spacing w:before="60" w:after="60" w:line="240" w:lineRule="auto"/>
        <w:rPr>
          <w:rFonts w:eastAsiaTheme="minorHAnsi"/>
          <w:noProof/>
          <w:szCs w:val="22"/>
          <w:lang w:val="fr-CA" w:eastAsia="en-US"/>
        </w:rPr>
      </w:pPr>
    </w:p>
    <w:p>
      <w:pPr>
        <w:spacing w:before="60" w:after="60" w:line="240" w:lineRule="auto"/>
        <w:rPr>
          <w:noProof/>
          <w:szCs w:val="23"/>
          <w:lang w:val="fr-CA"/>
        </w:rPr>
      </w:pPr>
    </w:p>
    <w:sectPr>
      <w:headerReference w:type="even" r:id="rId34"/>
      <w:headerReference w:type="default" r:id="rId35"/>
      <w:footerReference w:type="even" r:id="rId36"/>
      <w:footerReference w:type="default" r:id="rId37"/>
      <w:headerReference w:type="first" r:id="rId38"/>
      <w:footerReference w:type="first" r:id="rId39"/>
      <w:pgSz w:w="11907" w:h="16839"/>
      <w:pgMar w:top="1134" w:right="1417" w:bottom="1134" w:left="1417"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FR</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FR</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rPr>
        <w:lang w:val="fr-BE"/>
      </w:rPr>
    </w:pPr>
  </w:p>
  <w:p>
    <w:pPr>
      <w:pStyle w:val="Footer"/>
      <w:jc w:val="center"/>
      <w:rPr>
        <w:lang w:val="fr-BE"/>
      </w:rPr>
    </w:pPr>
    <w:r>
      <w:rPr>
        <w:lang w:val="fr-BE"/>
      </w:rPr>
      <w:t xml:space="preserve">EU/CA/R/Annexe III/fr </w:t>
    </w:r>
    <w:r>
      <w:rPr>
        <w:lang w:val="fr-BE"/>
      </w:rPr>
      <w:fldChar w:fldCharType="begin"/>
    </w:r>
    <w:r>
      <w:rPr>
        <w:lang w:val="fr-BE"/>
      </w:rPr>
      <w:instrText xml:space="preserve"> PAGE   \* MERGEFORMAT </w:instrText>
    </w:r>
    <w:r>
      <w:rPr>
        <w:lang w:val="fr-BE"/>
      </w:rPr>
      <w:fldChar w:fldCharType="separate"/>
    </w:r>
    <w:r>
      <w:rPr>
        <w:noProof/>
        <w:lang w:val="fr-BE"/>
      </w:rPr>
      <w:t>1</w:t>
    </w:r>
    <w:r>
      <w:rPr>
        <w:noProof/>
        <w:lang w:val="fr-BE"/>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rPr>
        <w:lang w:val="fr-BE"/>
      </w:rPr>
    </w:pPr>
  </w:p>
  <w:p>
    <w:pPr>
      <w:pStyle w:val="Footer"/>
      <w:jc w:val="center"/>
      <w:rPr>
        <w:lang w:val="fr-BE"/>
      </w:rPr>
    </w:pPr>
    <w:r>
      <w:rPr>
        <w:lang w:val="fr-BE"/>
      </w:rPr>
      <w:t xml:space="preserve">EU/CA/R/Annexe III/fr </w:t>
    </w:r>
    <w:r>
      <w:rPr>
        <w:lang w:val="fr-BE"/>
      </w:rPr>
      <w:fldChar w:fldCharType="begin"/>
    </w:r>
    <w:r>
      <w:rPr>
        <w:lang w:val="fr-BE"/>
      </w:rPr>
      <w:instrText xml:space="preserve"> PAGE   \* MERGEFORMAT </w:instrText>
    </w:r>
    <w:r>
      <w:rPr>
        <w:lang w:val="fr-BE"/>
      </w:rPr>
      <w:fldChar w:fldCharType="separate"/>
    </w:r>
    <w:r>
      <w:rPr>
        <w:noProof/>
        <w:lang w:val="fr-BE"/>
      </w:rPr>
      <w:t>5</w:t>
    </w:r>
    <w:r>
      <w:rPr>
        <w:noProof/>
        <w:lang w:val="fr-BE"/>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rPr>
        <w:lang w:val="fr-BE"/>
      </w:rPr>
    </w:pPr>
  </w:p>
  <w:p>
    <w:pPr>
      <w:pStyle w:val="Footer"/>
      <w:jc w:val="center"/>
      <w:rPr>
        <w:lang w:val="fr-BE"/>
      </w:rPr>
    </w:pPr>
    <w:r>
      <w:rPr>
        <w:lang w:val="fr-BE"/>
      </w:rPr>
      <w:t xml:space="preserve">EU/CA/R/Annexe III/fr </w:t>
    </w:r>
    <w:r>
      <w:rPr>
        <w:lang w:val="fr-BE"/>
      </w:rPr>
      <w:fldChar w:fldCharType="begin"/>
    </w:r>
    <w:r>
      <w:rPr>
        <w:lang w:val="fr-BE"/>
      </w:rPr>
      <w:instrText xml:space="preserve"> PAGE   \* MERGEFORMAT </w:instrText>
    </w:r>
    <w:r>
      <w:rPr>
        <w:lang w:val="fr-BE"/>
      </w:rPr>
      <w:fldChar w:fldCharType="separate"/>
    </w:r>
    <w:r>
      <w:rPr>
        <w:noProof/>
        <w:lang w:val="fr-BE"/>
      </w:rPr>
      <w:t>129</w:t>
    </w:r>
    <w:r>
      <w:rPr>
        <w:noProof/>
        <w:lang w:val="fr-BE"/>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rPr>
        <w:lang w:val="fr-BE"/>
      </w:rPr>
    </w:pPr>
  </w:p>
  <w:p>
    <w:pPr>
      <w:pStyle w:val="Footer"/>
      <w:jc w:val="center"/>
      <w:rPr>
        <w:lang w:val="fr-BE"/>
      </w:rPr>
    </w:pPr>
    <w:r>
      <w:rPr>
        <w:lang w:val="fr-BE"/>
      </w:rPr>
      <w:t xml:space="preserve">EU/CA/R/Annexe III/fr </w:t>
    </w:r>
    <w:r>
      <w:rPr>
        <w:lang w:val="fr-BE"/>
      </w:rPr>
      <w:fldChar w:fldCharType="begin"/>
    </w:r>
    <w:r>
      <w:rPr>
        <w:lang w:val="fr-BE"/>
      </w:rPr>
      <w:instrText xml:space="preserve"> PAGE   \* MERGEFORMAT </w:instrText>
    </w:r>
    <w:r>
      <w:rPr>
        <w:lang w:val="fr-BE"/>
      </w:rPr>
      <w:fldChar w:fldCharType="separate"/>
    </w:r>
    <w:r>
      <w:rPr>
        <w:noProof/>
        <w:lang w:val="fr-BE"/>
      </w:rPr>
      <w:t>148</w:t>
    </w:r>
    <w:r>
      <w:rPr>
        <w:noProof/>
        <w:lang w:val="fr-BE"/>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pStyle w:val="FootnoteText"/>
      </w:pPr>
      <w:r>
        <w:separator/>
      </w:r>
    </w:p>
  </w:footnote>
  <w:footnote w:type="continuationSeparator" w:id="0">
    <w:p>
      <w:pPr>
        <w:pStyle w:val="FootnoteText"/>
      </w:pPr>
      <w:r>
        <w:separator/>
      </w:r>
    </w:p>
  </w:footnote>
  <w:footnote w:id="1">
    <w:p>
      <w:pPr>
        <w:pStyle w:val="FootnoteText"/>
        <w:rPr>
          <w:lang w:val="fr-CA"/>
        </w:rPr>
      </w:pPr>
      <w:r>
        <w:rPr>
          <w:rStyle w:val="FootnoteReference"/>
          <w:lang w:val="fr-CA"/>
        </w:rPr>
        <w:footnoteRef/>
      </w:r>
      <w:r>
        <w:rPr>
          <w:lang w:val="fr-CA"/>
        </w:rPr>
        <w:tab/>
        <w:t>Par exemple, les sociétés de personnes et les entreprises individuelles à responsabilité limitée ou illimitée ne sont généralement pas des formes juridiques acceptables pour les institutions financières au Canada. La présente note introductive n’a pas en soi pour but d’affecter ou de limiter d’une autre façon le choix d’un investisseur de l’autre Partie entre des succursales ou des filiales.</w:t>
      </w:r>
    </w:p>
  </w:footnote>
  <w:footnote w:id="2">
    <w:p>
      <w:pPr>
        <w:pStyle w:val="FootnoteText"/>
        <w:rPr>
          <w:lang w:val="fr-CA"/>
        </w:rPr>
      </w:pPr>
      <w:r>
        <w:rPr>
          <w:rStyle w:val="FootnoteReference"/>
          <w:lang w:val="fr-CA"/>
        </w:rPr>
        <w:footnoteRef/>
      </w:r>
      <w:r>
        <w:rPr>
          <w:lang w:val="fr-CA"/>
        </w:rPr>
        <w:tab/>
        <w:t>Il est entendu qu’une société de portefeuille établie sous le régime du droit national fédéral est une institution financière aux fins de l’article 13.1.</w:t>
      </w:r>
    </w:p>
  </w:footnote>
  <w:footnote w:id="3">
    <w:p>
      <w:pPr>
        <w:pStyle w:val="FootnoteText"/>
        <w:rPr>
          <w:lang w:val="fr-CA"/>
        </w:rPr>
      </w:pPr>
      <w:r>
        <w:rPr>
          <w:rStyle w:val="FootnoteReference"/>
          <w:lang w:val="fr-CA"/>
        </w:rPr>
        <w:footnoteRef/>
      </w:r>
      <w:r>
        <w:rPr>
          <w:lang w:val="fr-CA"/>
        </w:rPr>
        <w:tab/>
        <w:t xml:space="preserve">Pour l’application de l’alinéa 2b), une institution financière est réputée être à </w:t>
      </w:r>
      <w:bookmarkStart w:id="2" w:name="OLE_LINK1"/>
      <w:bookmarkStart w:id="3" w:name="OLE_LINK2"/>
      <w:r>
        <w:rPr>
          <w:lang w:val="fr-CA"/>
        </w:rPr>
        <w:t xml:space="preserve">participation multiple </w:t>
      </w:r>
      <w:bookmarkEnd w:id="2"/>
      <w:bookmarkEnd w:id="3"/>
      <w:r>
        <w:rPr>
          <w:lang w:val="fr-CA"/>
        </w:rPr>
        <w:t xml:space="preserve">à la date d’entrée en vigueur du présent accord si : 1) elle devait être à participation multiple le 17 juillet 2014, ou 2) il a été déterminé, après le 17 juillet 2014 mais avant la date d’entrée en vigueur du présent accord, que l’institution financière devait être à participation multiple, mais que des efforts raisonnables n’ont pas été déployés pour faire cette transition avant la date d’entrée en vigueur du présent accord.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2DA2F6C"/>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FB7426B6"/>
    <w:lvl w:ilvl="0">
      <w:start w:val="1"/>
      <w:numFmt w:val="decimal"/>
      <w:pStyle w:val="ListNumber3"/>
      <w:lvlText w:val="%1."/>
      <w:lvlJc w:val="left"/>
      <w:pPr>
        <w:tabs>
          <w:tab w:val="num" w:pos="926"/>
        </w:tabs>
        <w:ind w:left="926" w:hanging="360"/>
      </w:pPr>
    </w:lvl>
  </w:abstractNum>
  <w:abstractNum w:abstractNumId="2">
    <w:nsid w:val="FFFFFF7F"/>
    <w:multiLevelType w:val="singleLevel"/>
    <w:tmpl w:val="DE8663CE"/>
    <w:lvl w:ilvl="0">
      <w:start w:val="1"/>
      <w:numFmt w:val="decimal"/>
      <w:pStyle w:val="ListNumber2"/>
      <w:lvlText w:val="%1."/>
      <w:lvlJc w:val="left"/>
      <w:pPr>
        <w:tabs>
          <w:tab w:val="num" w:pos="643"/>
        </w:tabs>
        <w:ind w:left="643" w:hanging="360"/>
      </w:pPr>
    </w:lvl>
  </w:abstractNum>
  <w:abstractNum w:abstractNumId="3">
    <w:nsid w:val="FFFFFF81"/>
    <w:multiLevelType w:val="singleLevel"/>
    <w:tmpl w:val="E748442A"/>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A20C56EC"/>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B63ED9C4"/>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B8BEEC7E"/>
    <w:lvl w:ilvl="0">
      <w:start w:val="1"/>
      <w:numFmt w:val="decimal"/>
      <w:pStyle w:val="ListNumber"/>
      <w:lvlText w:val="%1."/>
      <w:lvlJc w:val="left"/>
      <w:pPr>
        <w:tabs>
          <w:tab w:val="num" w:pos="360"/>
        </w:tabs>
        <w:ind w:left="360" w:hanging="360"/>
      </w:pPr>
    </w:lvl>
  </w:abstractNum>
  <w:abstractNum w:abstractNumId="7">
    <w:nsid w:val="FFFFFF89"/>
    <w:multiLevelType w:val="singleLevel"/>
    <w:tmpl w:val="2E7832A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0014A8D"/>
    <w:multiLevelType w:val="hybridMultilevel"/>
    <w:tmpl w:val="99D86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1240F3"/>
    <w:multiLevelType w:val="hybridMultilevel"/>
    <w:tmpl w:val="624EB9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0B7F4273"/>
    <w:multiLevelType w:val="singleLevel"/>
    <w:tmpl w:val="6276CDDE"/>
    <w:lvl w:ilvl="0">
      <w:start w:val="1"/>
      <w:numFmt w:val="upperRoman"/>
      <w:pStyle w:val="Par-numberI"/>
      <w:lvlText w:val="%1."/>
      <w:lvlJc w:val="left"/>
      <w:pPr>
        <w:tabs>
          <w:tab w:val="num" w:pos="567"/>
        </w:tabs>
        <w:ind w:left="567" w:hanging="567"/>
      </w:pPr>
    </w:lvl>
  </w:abstractNum>
  <w:abstractNum w:abstractNumId="11">
    <w:nsid w:val="164F1500"/>
    <w:multiLevelType w:val="hybridMultilevel"/>
    <w:tmpl w:val="1B7E2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3">
    <w:nsid w:val="1B525FF5"/>
    <w:multiLevelType w:val="hybridMultilevel"/>
    <w:tmpl w:val="21F2AB12"/>
    <w:lvl w:ilvl="0" w:tplc="CC149DAA">
      <w:start w:val="1"/>
      <w:numFmt w:val="lowerLetter"/>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4">
    <w:nsid w:val="22CA659A"/>
    <w:multiLevelType w:val="singleLevel"/>
    <w:tmpl w:val="7B9C897A"/>
    <w:lvl w:ilvl="0">
      <w:start w:val="1"/>
      <w:numFmt w:val="bullet"/>
      <w:pStyle w:val="Par-dash"/>
      <w:lvlText w:val=""/>
      <w:lvlJc w:val="left"/>
      <w:pPr>
        <w:tabs>
          <w:tab w:val="num" w:pos="567"/>
        </w:tabs>
        <w:ind w:left="567" w:hanging="567"/>
      </w:pPr>
      <w:rPr>
        <w:rFonts w:ascii="Symbol" w:hAnsi="Symbol" w:hint="default"/>
      </w:rPr>
    </w:lvl>
  </w:abstractNum>
  <w:abstractNum w:abstractNumId="15">
    <w:nsid w:val="22D918D1"/>
    <w:multiLevelType w:val="multilevel"/>
    <w:tmpl w:val="DE2606C8"/>
    <w:lvl w:ilvl="0">
      <w:start w:val="1"/>
      <w:numFmt w:val="decimal"/>
      <w:pStyle w:val="Heading1"/>
      <w:lvlText w:val="%1."/>
      <w:lvlJc w:val="left"/>
      <w:pPr>
        <w:tabs>
          <w:tab w:val="num" w:pos="851"/>
        </w:tabs>
        <w:ind w:left="851" w:hanging="851"/>
      </w:pPr>
    </w:lvl>
    <w:lvl w:ilvl="1">
      <w:start w:val="1"/>
      <w:numFmt w:val="decimal"/>
      <w:pStyle w:val="Heading2"/>
      <w:lvlText w:val="%1.%2."/>
      <w:lvlJc w:val="left"/>
      <w:pPr>
        <w:tabs>
          <w:tab w:val="num" w:pos="851"/>
        </w:tabs>
        <w:ind w:left="851" w:hanging="851"/>
      </w:pPr>
    </w:lvl>
    <w:lvl w:ilvl="2">
      <w:start w:val="1"/>
      <w:numFmt w:val="decimal"/>
      <w:pStyle w:val="Heading3"/>
      <w:lvlText w:val="%1.%2.%3."/>
      <w:lvlJc w:val="left"/>
      <w:pPr>
        <w:tabs>
          <w:tab w:val="num" w:pos="851"/>
        </w:tabs>
        <w:ind w:left="851" w:hanging="851"/>
      </w:pPr>
    </w:lvl>
    <w:lvl w:ilvl="3">
      <w:start w:val="1"/>
      <w:numFmt w:val="decimal"/>
      <w:pStyle w:val="Heading4"/>
      <w:lvlText w:val="%1.%2.%3.%4."/>
      <w:lvlJc w:val="left"/>
      <w:pPr>
        <w:tabs>
          <w:tab w:val="num" w:pos="851"/>
        </w:tabs>
        <w:ind w:left="851" w:hanging="851"/>
      </w:pPr>
    </w:lvl>
    <w:lvl w:ilvl="4">
      <w:start w:val="1"/>
      <w:numFmt w:val="none"/>
      <w:lvlText w:val=""/>
      <w:lvlJc w:val="left"/>
      <w:pPr>
        <w:tabs>
          <w:tab w:val="num" w:pos="36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6">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8">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9">
    <w:nsid w:val="2D2D468B"/>
    <w:multiLevelType w:val="singleLevel"/>
    <w:tmpl w:val="A18042A8"/>
    <w:lvl w:ilvl="0">
      <w:start w:val="1"/>
      <w:numFmt w:val="upperLetter"/>
      <w:pStyle w:val="Par-numberA"/>
      <w:lvlText w:val="%1."/>
      <w:lvlJc w:val="left"/>
      <w:pPr>
        <w:tabs>
          <w:tab w:val="num" w:pos="567"/>
        </w:tabs>
        <w:ind w:left="567" w:hanging="567"/>
      </w:pPr>
    </w:lvl>
  </w:abstractNum>
  <w:abstractNum w:abstractNumId="20">
    <w:nsid w:val="2DB37182"/>
    <w:multiLevelType w:val="singleLevel"/>
    <w:tmpl w:val="F612DBDC"/>
    <w:lvl w:ilvl="0">
      <w:start w:val="1"/>
      <w:numFmt w:val="lowerRoman"/>
      <w:pStyle w:val="Par-numberi0"/>
      <w:lvlText w:val="(%1)"/>
      <w:lvlJc w:val="left"/>
      <w:pPr>
        <w:tabs>
          <w:tab w:val="num" w:pos="720"/>
        </w:tabs>
        <w:ind w:left="567" w:hanging="567"/>
      </w:pPr>
    </w:lvl>
  </w:abstractNum>
  <w:abstractNum w:abstractNumId="21">
    <w:nsid w:val="394F5925"/>
    <w:multiLevelType w:val="singleLevel"/>
    <w:tmpl w:val="395C08BE"/>
    <w:lvl w:ilvl="0">
      <w:start w:val="1"/>
      <w:numFmt w:val="decimal"/>
      <w:pStyle w:val="Par-number1"/>
      <w:lvlText w:val="(%1)"/>
      <w:lvlJc w:val="left"/>
      <w:pPr>
        <w:tabs>
          <w:tab w:val="num" w:pos="567"/>
        </w:tabs>
        <w:ind w:left="567" w:hanging="567"/>
      </w:pPr>
    </w:lvl>
  </w:abstractNum>
  <w:abstractNum w:abstractNumId="22">
    <w:nsid w:val="3DD66C9D"/>
    <w:multiLevelType w:val="singleLevel"/>
    <w:tmpl w:val="E5905DC2"/>
    <w:lvl w:ilvl="0">
      <w:start w:val="1"/>
      <w:numFmt w:val="lowerLetter"/>
      <w:pStyle w:val="Par-numbera0"/>
      <w:lvlText w:val="(%1)"/>
      <w:lvlJc w:val="left"/>
      <w:pPr>
        <w:tabs>
          <w:tab w:val="num" w:pos="567"/>
        </w:tabs>
        <w:ind w:left="567" w:hanging="567"/>
      </w:pPr>
    </w:lvl>
  </w:abstractNum>
  <w:abstractNum w:abstractNumId="23">
    <w:nsid w:val="3FC80B1B"/>
    <w:multiLevelType w:val="singleLevel"/>
    <w:tmpl w:val="C11CD6E2"/>
    <w:lvl w:ilvl="0">
      <w:start w:val="1"/>
      <w:numFmt w:val="decimal"/>
      <w:pStyle w:val="Par-number10"/>
      <w:lvlText w:val="%1)"/>
      <w:lvlJc w:val="left"/>
      <w:pPr>
        <w:tabs>
          <w:tab w:val="num" w:pos="567"/>
        </w:tabs>
        <w:ind w:left="567" w:hanging="567"/>
      </w:pPr>
    </w:lvl>
  </w:abstractNum>
  <w:abstractNum w:abstractNumId="2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5">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26">
    <w:nsid w:val="436E0A5D"/>
    <w:multiLevelType w:val="singleLevel"/>
    <w:tmpl w:val="9C807126"/>
    <w:lvl w:ilvl="0">
      <w:start w:val="1"/>
      <w:numFmt w:val="bullet"/>
      <w:pStyle w:val="Par-equal"/>
      <w:lvlText w:val=""/>
      <w:lvlJc w:val="left"/>
      <w:pPr>
        <w:tabs>
          <w:tab w:val="num" w:pos="567"/>
        </w:tabs>
        <w:ind w:left="567" w:hanging="567"/>
      </w:pPr>
      <w:rPr>
        <w:rFonts w:ascii="Symbol" w:hAnsi="Symbol" w:hint="default"/>
      </w:rPr>
    </w:lvl>
  </w:abstractNum>
  <w:abstractNum w:abstractNumId="27">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28">
    <w:nsid w:val="55526A60"/>
    <w:multiLevelType w:val="hybridMultilevel"/>
    <w:tmpl w:val="EC4A62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30">
    <w:nsid w:val="5A3A2AA3"/>
    <w:multiLevelType w:val="hybridMultilevel"/>
    <w:tmpl w:val="67B2904E"/>
    <w:lvl w:ilvl="0" w:tplc="D616A7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32">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33">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4">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36">
    <w:nsid w:val="6E4E71E4"/>
    <w:multiLevelType w:val="singleLevel"/>
    <w:tmpl w:val="21145626"/>
    <w:lvl w:ilvl="0">
      <w:start w:val="1"/>
      <w:numFmt w:val="decimal"/>
      <w:pStyle w:val="Par-number11"/>
      <w:lvlText w:val="%1."/>
      <w:lvlJc w:val="left"/>
      <w:pPr>
        <w:tabs>
          <w:tab w:val="num" w:pos="567"/>
        </w:tabs>
        <w:ind w:left="567" w:hanging="567"/>
      </w:pPr>
    </w:lvl>
  </w:abstractNum>
  <w:abstractNum w:abstractNumId="37">
    <w:nsid w:val="79FA34D6"/>
    <w:multiLevelType w:val="singleLevel"/>
    <w:tmpl w:val="41326E50"/>
    <w:lvl w:ilvl="0">
      <w:start w:val="1"/>
      <w:numFmt w:val="bullet"/>
      <w:pStyle w:val="Par-bullet"/>
      <w:lvlText w:val=""/>
      <w:lvlJc w:val="left"/>
      <w:pPr>
        <w:tabs>
          <w:tab w:val="num" w:pos="567"/>
        </w:tabs>
        <w:ind w:left="567" w:hanging="567"/>
      </w:pPr>
      <w:rPr>
        <w:rFonts w:ascii="Symbol" w:hAnsi="Symbol" w:hint="default"/>
      </w:rPr>
    </w:lvl>
  </w:abstractNum>
  <w:abstractNum w:abstractNumId="38">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0"/>
  </w:num>
  <w:num w:numId="2">
    <w:abstractNumId w:val="22"/>
  </w:num>
  <w:num w:numId="3">
    <w:abstractNumId w:val="37"/>
  </w:num>
  <w:num w:numId="4">
    <w:abstractNumId w:val="14"/>
  </w:num>
  <w:num w:numId="5">
    <w:abstractNumId w:val="26"/>
  </w:num>
  <w:num w:numId="6">
    <w:abstractNumId w:val="21"/>
  </w:num>
  <w:num w:numId="7">
    <w:abstractNumId w:val="23"/>
  </w:num>
  <w:num w:numId="8">
    <w:abstractNumId w:val="36"/>
  </w:num>
  <w:num w:numId="9">
    <w:abstractNumId w:val="19"/>
  </w:num>
  <w:num w:numId="10">
    <w:abstractNumId w:val="10"/>
  </w:num>
  <w:num w:numId="11">
    <w:abstractNumId w:val="15"/>
  </w:num>
  <w:num w:numId="12">
    <w:abstractNumId w:val="15"/>
  </w:num>
  <w:num w:numId="13">
    <w:abstractNumId w:val="15"/>
  </w:num>
  <w:num w:numId="14">
    <w:abstractNumId w:val="15"/>
  </w:num>
  <w:num w:numId="15">
    <w:abstractNumId w:val="7"/>
  </w:num>
  <w:num w:numId="16">
    <w:abstractNumId w:val="5"/>
  </w:num>
  <w:num w:numId="17">
    <w:abstractNumId w:val="4"/>
  </w:num>
  <w:num w:numId="18">
    <w:abstractNumId w:val="3"/>
  </w:num>
  <w:num w:numId="19">
    <w:abstractNumId w:val="6"/>
  </w:num>
  <w:num w:numId="20">
    <w:abstractNumId w:val="2"/>
  </w:num>
  <w:num w:numId="21">
    <w:abstractNumId w:val="1"/>
  </w:num>
  <w:num w:numId="22">
    <w:abstractNumId w:val="0"/>
  </w:num>
  <w:num w:numId="23">
    <w:abstractNumId w:val="9"/>
  </w:num>
  <w:num w:numId="24">
    <w:abstractNumId w:val="28"/>
  </w:num>
  <w:num w:numId="25">
    <w:abstractNumId w:val="33"/>
  </w:num>
  <w:num w:numId="26">
    <w:abstractNumId w:val="24"/>
  </w:num>
  <w:num w:numId="27">
    <w:abstractNumId w:val="35"/>
  </w:num>
  <w:num w:numId="28">
    <w:abstractNumId w:val="18"/>
  </w:num>
  <w:num w:numId="29">
    <w:abstractNumId w:val="25"/>
  </w:num>
  <w:num w:numId="30">
    <w:abstractNumId w:val="16"/>
  </w:num>
  <w:num w:numId="31">
    <w:abstractNumId w:val="34"/>
  </w:num>
  <w:num w:numId="32">
    <w:abstractNumId w:val="12"/>
  </w:num>
  <w:num w:numId="33">
    <w:abstractNumId w:val="27"/>
  </w:num>
  <w:num w:numId="34">
    <w:abstractNumId w:val="31"/>
  </w:num>
  <w:num w:numId="35">
    <w:abstractNumId w:val="32"/>
  </w:num>
  <w:num w:numId="36">
    <w:abstractNumId w:val="17"/>
  </w:num>
  <w:num w:numId="37">
    <w:abstractNumId w:val="29"/>
  </w:num>
  <w:num w:numId="38">
    <w:abstractNumId w:val="38"/>
  </w:num>
  <w:num w:numId="39">
    <w:abstractNumId w:val="8"/>
  </w:num>
  <w:num w:numId="40">
    <w:abstractNumId w:val="13"/>
  </w:num>
  <w:num w:numId="41">
    <w:abstractNumId w:val="30"/>
  </w:num>
  <w:num w:numId="42">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activeWritingStyle w:appName="MSWord" w:lang="en-GB" w:vendorID="64" w:dllVersion="131078" w:nlCheck="1" w:checkStyle="0"/>
  <w:activeWritingStyle w:appName="MSWord" w:lang="fr-BE" w:vendorID="64" w:dllVersion="131078" w:nlCheck="1" w:checkStyle="1"/>
  <w:activeWritingStyle w:appName="MSWord" w:lang="fr-FR" w:vendorID="64" w:dllVersion="131078" w:nlCheck="1" w:checkStyle="1"/>
  <w:activeWritingStyle w:appName="MSWord" w:lang="en-CA" w:vendorID="64" w:dllVersion="131078" w:nlCheck="1" w:checkStyle="1"/>
  <w:activeWritingStyle w:appName="MSWord" w:lang="fr-CA" w:vendorID="64" w:dllVersion="131078" w:nlCheck="1" w:checkStyle="1"/>
  <w:activeWritingStyle w:appName="MSWord" w:lang="en-US" w:vendorID="8" w:dllVersion="513" w:checkStyle="1"/>
  <w:activeWritingStyle w:appName="MSWord" w:lang="en-GB" w:vendorID="8" w:dllVersion="513" w:checkStyle="1"/>
  <w:activeWritingStyle w:appName="MSWord" w:lang="fr-FR" w:vendorID="9" w:dllVersion="512" w:checkStyle="1"/>
  <w:activeWritingStyle w:appName="MSWord" w:lang="pt-PT" w:vendorID="13"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108545"/>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pyNum" w:val="0"/>
    <w:docVar w:name="COVERPAGE_EXISTS" w:val="True"/>
    <w:docVar w:name="DocStatus" w:val="Green"/>
    <w:docVar w:name="DW_DocType" w:val="_GENEN"/>
    <w:docVar w:name="LW_ACCOMPAGNANT.CP" w:val="à la "/>
    <w:docVar w:name="LW_ANNEX_NBR_FIRST" w:val="10"/>
    <w:docVar w:name="LW_ANNEX_NBR_LAST" w:val="10"/>
    <w:docVar w:name="LW_CONFIDENCE" w:val=" "/>
    <w:docVar w:name="LW_CONST_RESTREINT_UE" w:val="RESTREINT UE"/>
    <w:docVar w:name="LW_CORRIGENDUM" w:val="&lt;UNUSED&gt;"/>
    <w:docVar w:name="LW_COVERPAGE_GUID" w:val="781BB31A3B094D78B4416142C03CE25C"/>
    <w:docVar w:name="LW_CROSSREFERENCE" w:val="&lt;UNUSED&gt;"/>
    <w:docVar w:name="LW_DocType" w:val="_GENEN"/>
    <w:docVar w:name="LW_EMISSION" w:val="5.7.2016"/>
    <w:docVar w:name="LW_EMISSION_ISODATE" w:val="2016-07-05"/>
    <w:docVar w:name="LW_EMISSION_LOCATION" w:val="STR"/>
    <w:docVar w:name="LW_EMISSION_PREFIX" w:val="Strasbourg, le "/>
    <w:docVar w:name="LW_EMISSION_SUFFIX" w:val=" "/>
    <w:docVar w:name="LW_ID_DOCTYPE_NONLW" w:val="CP-036"/>
    <w:docVar w:name="LW_LANGUE" w:val="FR"/>
    <w:docVar w:name="LW_MARKING" w:val="&lt;UNUSED&gt;"/>
    <w:docVar w:name="LW_NOM.INST" w:val="COMMISSION EUROPÉENNE"/>
    <w:docVar w:name="LW_NOM.INST_JOINTDOC" w:val="&lt;EMPTY&gt;"/>
    <w:docVar w:name="LW_OBJETACTEPRINCIPAL.CP" w:val="relative à la conclusion de l\u8217?accord économique et commercial global entre le Canada, d\u8217?une part, et l\u8217?Union européenne et ses États membres, d\u8217?autre part"/>
    <w:docVar w:name="LW_PART_NBR" w:val="1"/>
    <w:docVar w:name="LW_PART_NBR_TOTAL" w:val="1"/>
    <w:docVar w:name="LW_REF.INST.NEW" w:val="COM"/>
    <w:docVar w:name="LW_REF.INST.NEW_ADOPTED" w:val="final"/>
    <w:docVar w:name="LW_REF.INST.NEW_TEXT" w:val="(2016) 443"/>
    <w:docVar w:name="LW_REF.INTERNE" w:val="&lt;UNUSED&gt;"/>
    <w:docVar w:name="LW_SUPERTITRE" w:val="&lt;UNUSED&gt;"/>
    <w:docVar w:name="LW_TITRE.OBJ.CP" w:val="&lt;UNUSED&gt;"/>
    <w:docVar w:name="LW_TYPE.DOC.CP" w:val="ANNEXE_x000b_"/>
    <w:docVar w:name="LW_TYPEACTEPRINCIPAL.CP" w:val="proposition de décision du Conseil"/>
  </w:docVar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uiPriority w:val="9"/>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uiPriority w:val="9"/>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uiPriority w:val="9"/>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uiPriority w:val="9"/>
    <w:qFormat/>
    <w:pPr>
      <w:keepNext/>
      <w:widowControl/>
      <w:numPr>
        <w:ilvl w:val="3"/>
        <w:numId w:val="14"/>
      </w:numPr>
      <w:spacing w:before="120" w:after="120" w:line="240" w:lineRule="auto"/>
      <w:jc w:val="both"/>
      <w:outlineLvl w:val="3"/>
    </w:pPr>
  </w:style>
  <w:style w:type="paragraph" w:styleId="Heading5">
    <w:name w:val="heading 5"/>
    <w:basedOn w:val="Normal"/>
    <w:next w:val="Normal"/>
    <w:qFormat/>
    <w:pPr>
      <w:widowControl/>
      <w:spacing w:before="240" w:after="60" w:line="240" w:lineRule="auto"/>
      <w:jc w:val="both"/>
      <w:outlineLvl w:val="4"/>
    </w:pPr>
    <w:rPr>
      <w:rFonts w:ascii="Arial" w:hAnsi="Arial"/>
      <w:sz w:val="22"/>
    </w:rPr>
  </w:style>
  <w:style w:type="paragraph" w:styleId="Heading6">
    <w:name w:val="heading 6"/>
    <w:basedOn w:val="Normal"/>
    <w:next w:val="Normal"/>
    <w:qFormat/>
    <w:pPr>
      <w:widowControl/>
      <w:spacing w:before="240" w:after="60" w:line="240" w:lineRule="auto"/>
      <w:jc w:val="both"/>
      <w:outlineLvl w:val="5"/>
    </w:pPr>
    <w:rPr>
      <w:rFonts w:ascii="Arial" w:hAnsi="Arial"/>
      <w:i/>
      <w:sz w:val="22"/>
    </w:rPr>
  </w:style>
  <w:style w:type="paragraph" w:styleId="Heading7">
    <w:name w:val="heading 7"/>
    <w:basedOn w:val="Normal"/>
    <w:next w:val="Normal"/>
    <w:qFormat/>
    <w:pPr>
      <w:widowControl/>
      <w:spacing w:before="240" w:after="60" w:line="240" w:lineRule="auto"/>
      <w:jc w:val="both"/>
      <w:outlineLvl w:val="6"/>
    </w:pPr>
    <w:rPr>
      <w:rFonts w:ascii="Arial" w:hAnsi="Arial"/>
      <w:sz w:val="20"/>
    </w:rPr>
  </w:style>
  <w:style w:type="paragraph" w:styleId="Heading8">
    <w:name w:val="heading 8"/>
    <w:basedOn w:val="Normal"/>
    <w:next w:val="Normal"/>
    <w:qFormat/>
    <w:pPr>
      <w:widowControl/>
      <w:spacing w:before="240" w:after="60" w:line="240" w:lineRule="auto"/>
      <w:jc w:val="both"/>
      <w:outlineLvl w:val="7"/>
    </w:pPr>
    <w:rPr>
      <w:rFonts w:ascii="Arial" w:hAnsi="Arial"/>
      <w:i/>
      <w:sz w:val="20"/>
    </w:rPr>
  </w:style>
  <w:style w:type="paragraph" w:styleId="Heading9">
    <w:name w:val="heading 9"/>
    <w:basedOn w:val="Normal"/>
    <w:next w:val="Normal"/>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uiPriority w:val="99"/>
    <w:rPr>
      <w:b/>
      <w:vertAlign w:val="superscript"/>
    </w:rPr>
  </w:style>
  <w:style w:type="paragraph" w:styleId="FootnoteText">
    <w:name w:val="footnote text"/>
    <w:basedOn w:val="Normal"/>
    <w:link w:val="FootnoteTextChar"/>
    <w:uiPriority w:val="99"/>
    <w:pPr>
      <w:tabs>
        <w:tab w:val="left" w:pos="567"/>
      </w:tabs>
      <w:spacing w:line="240" w:lineRule="auto"/>
      <w:ind w:left="567" w:hanging="567"/>
    </w:pPr>
  </w:style>
  <w:style w:type="paragraph" w:styleId="Header">
    <w:name w:val="header"/>
    <w:basedOn w:val="Normal"/>
    <w:link w:val="HeaderChar"/>
    <w:uiPriority w:val="99"/>
    <w:pPr>
      <w:tabs>
        <w:tab w:val="center" w:pos="4820"/>
        <w:tab w:val="right" w:pos="7371"/>
        <w:tab w:val="right" w:pos="9639"/>
      </w:tabs>
      <w:spacing w:line="240" w:lineRule="auto"/>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uiPriority w:val="39"/>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uiPriority w:val="39"/>
    <w:pPr>
      <w:tabs>
        <w:tab w:val="left" w:pos="1134"/>
        <w:tab w:val="right" w:leader="dot" w:pos="9639"/>
      </w:tabs>
      <w:ind w:left="1134" w:right="567" w:hanging="567"/>
    </w:pPr>
  </w:style>
  <w:style w:type="paragraph" w:styleId="TOC3">
    <w:name w:val="toc 3"/>
    <w:basedOn w:val="Normal"/>
    <w:next w:val="Normal"/>
    <w:uiPriority w:val="39"/>
    <w:pPr>
      <w:tabs>
        <w:tab w:val="left" w:pos="1701"/>
        <w:tab w:val="right" w:leader="dot" w:pos="9639"/>
      </w:tabs>
      <w:ind w:left="1701" w:right="567" w:hanging="567"/>
    </w:pPr>
  </w:style>
  <w:style w:type="paragraph" w:styleId="TOC4">
    <w:name w:val="toc 4"/>
    <w:basedOn w:val="Normal"/>
    <w:next w:val="Normal"/>
    <w:uiPriority w:val="39"/>
    <w:pPr>
      <w:tabs>
        <w:tab w:val="left" w:pos="2268"/>
        <w:tab w:val="right" w:pos="9639"/>
      </w:tabs>
      <w:ind w:left="2268" w:right="567" w:hanging="567"/>
    </w:pPr>
  </w:style>
  <w:style w:type="paragraph" w:styleId="TOC5">
    <w:name w:val="toc 5"/>
    <w:basedOn w:val="Normal"/>
    <w:next w:val="Normal"/>
    <w:uiPriority w:val="39"/>
    <w:pPr>
      <w:tabs>
        <w:tab w:val="left" w:pos="2835"/>
        <w:tab w:val="right" w:leader="dot" w:pos="9639"/>
      </w:tabs>
      <w:ind w:left="2835" w:right="567" w:hanging="567"/>
    </w:pPr>
  </w:style>
  <w:style w:type="paragraph" w:styleId="TOC6">
    <w:name w:val="toc 6"/>
    <w:basedOn w:val="Normal"/>
    <w:next w:val="Normal"/>
    <w:uiPriority w:val="39"/>
    <w:pPr>
      <w:tabs>
        <w:tab w:val="left" w:pos="3402"/>
        <w:tab w:val="right" w:leader="dot" w:pos="9639"/>
      </w:tabs>
      <w:ind w:left="3402" w:right="567" w:hanging="567"/>
    </w:pPr>
  </w:style>
  <w:style w:type="paragraph" w:styleId="TOC7">
    <w:name w:val="toc 7"/>
    <w:basedOn w:val="Normal"/>
    <w:next w:val="Normal"/>
    <w:uiPriority w:val="39"/>
    <w:pPr>
      <w:tabs>
        <w:tab w:val="left" w:pos="3969"/>
        <w:tab w:val="right" w:leader="dot" w:pos="9639"/>
      </w:tabs>
      <w:ind w:left="3969" w:right="567" w:hanging="567"/>
    </w:pPr>
  </w:style>
  <w:style w:type="paragraph" w:styleId="TOC8">
    <w:name w:val="toc 8"/>
    <w:basedOn w:val="Normal"/>
    <w:next w:val="Normal"/>
    <w:uiPriority w:val="39"/>
    <w:pPr>
      <w:tabs>
        <w:tab w:val="left" w:pos="4536"/>
        <w:tab w:val="right" w:leader="dot" w:pos="9639"/>
      </w:tabs>
      <w:ind w:left="4536" w:right="567" w:hanging="567"/>
    </w:pPr>
  </w:style>
  <w:style w:type="paragraph" w:styleId="TOC9">
    <w:name w:val="toc 9"/>
    <w:basedOn w:val="Normal"/>
    <w:next w:val="Normal"/>
    <w:uiPriority w:val="39"/>
    <w:pPr>
      <w:tabs>
        <w:tab w:val="left" w:pos="5103"/>
        <w:tab w:val="right" w:leader="dot" w:pos="9639"/>
      </w:tabs>
      <w:ind w:left="5103" w:right="567" w:hanging="567"/>
    </w:pPr>
  </w:style>
  <w:style w:type="paragraph" w:styleId="EndnoteText">
    <w:name w:val="endnote text"/>
    <w:basedOn w:val="Normal"/>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link w:val="BalloonTextChar"/>
    <w:uiPriority w:val="99"/>
    <w:rPr>
      <w:rFonts w:ascii="Tahoma" w:hAnsi="Tahoma" w:cs="Tahoma"/>
      <w:sz w:val="16"/>
      <w:szCs w:val="16"/>
    </w:rPr>
  </w:style>
  <w:style w:type="numbering" w:customStyle="1" w:styleId="NoList1">
    <w:name w:val="No List1"/>
    <w:next w:val="NoList"/>
    <w:uiPriority w:val="99"/>
    <w:semiHidden/>
    <w:unhideWhenUsed/>
  </w:style>
  <w:style w:type="character" w:customStyle="1" w:styleId="Heading1Char">
    <w:name w:val="Heading 1 Char"/>
    <w:basedOn w:val="DefaultParagraphFont"/>
    <w:link w:val="Heading1"/>
    <w:uiPriority w:val="9"/>
    <w:rPr>
      <w:b/>
      <w:smallCaps/>
      <w:sz w:val="24"/>
      <w:lang w:eastAsia="fr-BE"/>
    </w:rPr>
  </w:style>
  <w:style w:type="character" w:customStyle="1" w:styleId="Heading2Char">
    <w:name w:val="Heading 2 Char"/>
    <w:basedOn w:val="DefaultParagraphFont"/>
    <w:link w:val="Heading2"/>
    <w:uiPriority w:val="9"/>
    <w:rPr>
      <w:b/>
      <w:sz w:val="24"/>
      <w:lang w:eastAsia="fr-BE"/>
    </w:rPr>
  </w:style>
  <w:style w:type="character" w:customStyle="1" w:styleId="Heading3Char">
    <w:name w:val="Heading 3 Char"/>
    <w:basedOn w:val="DefaultParagraphFont"/>
    <w:link w:val="Heading3"/>
    <w:uiPriority w:val="9"/>
    <w:rPr>
      <w:i/>
      <w:sz w:val="24"/>
      <w:lang w:eastAsia="fr-BE"/>
    </w:rPr>
  </w:style>
  <w:style w:type="character" w:customStyle="1" w:styleId="Heading4Char">
    <w:name w:val="Heading 4 Char"/>
    <w:basedOn w:val="DefaultParagraphFont"/>
    <w:link w:val="Heading4"/>
    <w:uiPriority w:val="9"/>
    <w:rPr>
      <w:sz w:val="24"/>
      <w:lang w:eastAsia="fr-BE"/>
    </w:rPr>
  </w:style>
  <w:style w:type="table" w:customStyle="1" w:styleId="TableGrid3">
    <w:name w:val="Table Grid3"/>
    <w:basedOn w:val="TableNormal"/>
    <w:next w:val="TableGrid"/>
    <w:uiPriority w:val="59"/>
    <w:rPr>
      <w:rFonts w:eastAsia="MS Mincho"/>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semiHidden/>
    <w:unhideWhenUsed/>
    <w:qFormat/>
    <w:pPr>
      <w:widowControl/>
      <w:spacing w:after="200" w:line="240" w:lineRule="auto"/>
      <w:jc w:val="both"/>
    </w:pPr>
    <w:rPr>
      <w:rFonts w:eastAsiaTheme="minorHAnsi"/>
      <w:b/>
      <w:bCs/>
      <w:color w:val="4F81BD" w:themeColor="accent1"/>
      <w:sz w:val="18"/>
      <w:szCs w:val="18"/>
      <w:lang w:eastAsia="en-US"/>
    </w:rPr>
  </w:style>
  <w:style w:type="paragraph" w:styleId="TableofFigures">
    <w:name w:val="table of figures"/>
    <w:basedOn w:val="Normal"/>
    <w:next w:val="Normal"/>
    <w:uiPriority w:val="99"/>
    <w:unhideWhenUsed/>
    <w:pPr>
      <w:widowControl/>
      <w:spacing w:before="120" w:line="240" w:lineRule="auto"/>
      <w:jc w:val="both"/>
    </w:pPr>
    <w:rPr>
      <w:rFonts w:eastAsiaTheme="minorHAnsi"/>
      <w:szCs w:val="22"/>
      <w:lang w:eastAsia="en-US"/>
    </w:rPr>
  </w:style>
  <w:style w:type="paragraph" w:styleId="ListBullet">
    <w:name w:val="List Bullet"/>
    <w:basedOn w:val="Normal"/>
    <w:uiPriority w:val="99"/>
    <w:unhideWhenUsed/>
    <w:pPr>
      <w:widowControl/>
      <w:numPr>
        <w:numId w:val="15"/>
      </w:numPr>
      <w:spacing w:before="120" w:after="120" w:line="240" w:lineRule="auto"/>
      <w:contextualSpacing/>
      <w:jc w:val="both"/>
    </w:pPr>
    <w:rPr>
      <w:rFonts w:eastAsiaTheme="minorHAnsi"/>
      <w:szCs w:val="22"/>
      <w:lang w:eastAsia="en-US"/>
    </w:rPr>
  </w:style>
  <w:style w:type="paragraph" w:styleId="ListBullet2">
    <w:name w:val="List Bullet 2"/>
    <w:basedOn w:val="Normal"/>
    <w:uiPriority w:val="99"/>
    <w:unhideWhenUsed/>
    <w:pPr>
      <w:widowControl/>
      <w:numPr>
        <w:numId w:val="16"/>
      </w:numPr>
      <w:spacing w:before="120" w:after="120" w:line="240" w:lineRule="auto"/>
      <w:contextualSpacing/>
      <w:jc w:val="both"/>
    </w:pPr>
    <w:rPr>
      <w:rFonts w:eastAsiaTheme="minorHAnsi"/>
      <w:szCs w:val="22"/>
      <w:lang w:eastAsia="en-US"/>
    </w:rPr>
  </w:style>
  <w:style w:type="paragraph" w:styleId="ListBullet3">
    <w:name w:val="List Bullet 3"/>
    <w:basedOn w:val="Normal"/>
    <w:uiPriority w:val="99"/>
    <w:unhideWhenUsed/>
    <w:pPr>
      <w:widowControl/>
      <w:numPr>
        <w:numId w:val="17"/>
      </w:numPr>
      <w:spacing w:before="120" w:after="120" w:line="240" w:lineRule="auto"/>
      <w:contextualSpacing/>
      <w:jc w:val="both"/>
    </w:pPr>
    <w:rPr>
      <w:rFonts w:eastAsiaTheme="minorHAnsi"/>
      <w:szCs w:val="22"/>
      <w:lang w:eastAsia="en-US"/>
    </w:rPr>
  </w:style>
  <w:style w:type="paragraph" w:styleId="ListBullet4">
    <w:name w:val="List Bullet 4"/>
    <w:basedOn w:val="Normal"/>
    <w:uiPriority w:val="99"/>
    <w:unhideWhenUsed/>
    <w:pPr>
      <w:widowControl/>
      <w:numPr>
        <w:numId w:val="18"/>
      </w:numPr>
      <w:spacing w:before="120" w:after="120" w:line="240" w:lineRule="auto"/>
      <w:contextualSpacing/>
      <w:jc w:val="both"/>
    </w:pPr>
    <w:rPr>
      <w:rFonts w:eastAsiaTheme="minorHAnsi"/>
      <w:szCs w:val="22"/>
      <w:lang w:eastAsia="en-US"/>
    </w:rPr>
  </w:style>
  <w:style w:type="paragraph" w:styleId="ListNumber">
    <w:name w:val="List Number"/>
    <w:basedOn w:val="Normal"/>
    <w:uiPriority w:val="99"/>
    <w:unhideWhenUsed/>
    <w:pPr>
      <w:widowControl/>
      <w:numPr>
        <w:numId w:val="19"/>
      </w:numPr>
      <w:spacing w:before="120" w:after="120" w:line="240" w:lineRule="auto"/>
      <w:contextualSpacing/>
      <w:jc w:val="both"/>
    </w:pPr>
    <w:rPr>
      <w:rFonts w:eastAsiaTheme="minorHAnsi"/>
      <w:szCs w:val="22"/>
      <w:lang w:eastAsia="en-US"/>
    </w:rPr>
  </w:style>
  <w:style w:type="paragraph" w:styleId="ListNumber2">
    <w:name w:val="List Number 2"/>
    <w:basedOn w:val="Normal"/>
    <w:uiPriority w:val="99"/>
    <w:unhideWhenUsed/>
    <w:pPr>
      <w:widowControl/>
      <w:numPr>
        <w:numId w:val="20"/>
      </w:numPr>
      <w:spacing w:before="120" w:after="120" w:line="240" w:lineRule="auto"/>
      <w:contextualSpacing/>
      <w:jc w:val="both"/>
    </w:pPr>
    <w:rPr>
      <w:rFonts w:eastAsiaTheme="minorHAnsi"/>
      <w:szCs w:val="22"/>
      <w:lang w:eastAsia="en-US"/>
    </w:rPr>
  </w:style>
  <w:style w:type="paragraph" w:styleId="ListNumber3">
    <w:name w:val="List Number 3"/>
    <w:basedOn w:val="Normal"/>
    <w:uiPriority w:val="99"/>
    <w:unhideWhenUsed/>
    <w:pPr>
      <w:widowControl/>
      <w:numPr>
        <w:numId w:val="21"/>
      </w:numPr>
      <w:spacing w:before="120" w:after="120" w:line="240" w:lineRule="auto"/>
      <w:contextualSpacing/>
      <w:jc w:val="both"/>
    </w:pPr>
    <w:rPr>
      <w:rFonts w:eastAsiaTheme="minorHAnsi"/>
      <w:szCs w:val="22"/>
      <w:lang w:eastAsia="en-US"/>
    </w:rPr>
  </w:style>
  <w:style w:type="paragraph" w:styleId="ListNumber4">
    <w:name w:val="List Number 4"/>
    <w:basedOn w:val="Normal"/>
    <w:uiPriority w:val="99"/>
    <w:unhideWhenUsed/>
    <w:pPr>
      <w:widowControl/>
      <w:numPr>
        <w:numId w:val="22"/>
      </w:numPr>
      <w:spacing w:before="120" w:after="120" w:line="240" w:lineRule="auto"/>
      <w:contextualSpacing/>
      <w:jc w:val="both"/>
    </w:pPr>
    <w:rPr>
      <w:rFonts w:eastAsiaTheme="minorHAnsi"/>
      <w:szCs w:val="22"/>
      <w:lang w:eastAsia="en-US"/>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pPr>
      <w:widowControl/>
      <w:spacing w:before="120" w:after="120" w:line="240" w:lineRule="auto"/>
      <w:jc w:val="both"/>
    </w:pPr>
    <w:rPr>
      <w:rFonts w:eastAsiaTheme="minorHAnsi"/>
      <w:sz w:val="20"/>
      <w:lang w:eastAsia="en-US"/>
    </w:rPr>
  </w:style>
  <w:style w:type="character" w:customStyle="1" w:styleId="CommentTextChar">
    <w:name w:val="Comment Text Char"/>
    <w:basedOn w:val="DefaultParagraphFont"/>
    <w:link w:val="CommentText"/>
    <w:uiPriority w:val="99"/>
    <w:rPr>
      <w:rFonts w:eastAsiaTheme="minorHAnsi"/>
      <w:lang w:eastAsia="en-US"/>
    </w:rPr>
  </w:style>
  <w:style w:type="paragraph" w:styleId="CommentSubject">
    <w:name w:val="annotation subject"/>
    <w:basedOn w:val="CommentText"/>
    <w:next w:val="CommentText"/>
    <w:link w:val="CommentSubjectChar"/>
    <w:uiPriority w:val="99"/>
    <w:unhideWhenUsed/>
    <w:rPr>
      <w:b/>
      <w:bCs/>
    </w:rPr>
  </w:style>
  <w:style w:type="character" w:customStyle="1" w:styleId="CommentSubjectChar">
    <w:name w:val="Comment Subject Char"/>
    <w:basedOn w:val="CommentTextChar"/>
    <w:link w:val="CommentSubject"/>
    <w:uiPriority w:val="99"/>
    <w:rPr>
      <w:rFonts w:eastAsiaTheme="minorHAnsi"/>
      <w:b/>
      <w:bCs/>
      <w:lang w:eastAsia="en-US"/>
    </w:rPr>
  </w:style>
  <w:style w:type="character" w:styleId="Hyperlink">
    <w:name w:val="Hyperlink"/>
    <w:basedOn w:val="DefaultParagraphFont"/>
    <w:uiPriority w:val="99"/>
    <w:unhideWhenUsed/>
    <w:rPr>
      <w:color w:val="0000FF" w:themeColor="hyperlink"/>
      <w:u w:val="single"/>
    </w:rPr>
  </w:style>
  <w:style w:type="character" w:customStyle="1" w:styleId="BalloonTextChar">
    <w:name w:val="Balloon Text Char"/>
    <w:basedOn w:val="DefaultParagraphFont"/>
    <w:link w:val="BalloonText"/>
    <w:uiPriority w:val="99"/>
    <w:rPr>
      <w:rFonts w:ascii="Tahoma" w:hAnsi="Tahoma" w:cs="Tahoma"/>
      <w:sz w:val="16"/>
      <w:szCs w:val="16"/>
      <w:lang w:eastAsia="fr-BE"/>
    </w:rPr>
  </w:style>
  <w:style w:type="paragraph" w:styleId="BodyText">
    <w:name w:val="Body Text"/>
    <w:aliases w:val="Texto independiente Car,Car1 Car, Car1 Car"/>
    <w:basedOn w:val="Normal"/>
    <w:link w:val="BodyTextChar"/>
    <w:uiPriority w:val="99"/>
    <w:pPr>
      <w:widowControl/>
      <w:suppressAutoHyphens/>
      <w:spacing w:before="120" w:after="120" w:line="240" w:lineRule="auto"/>
      <w:jc w:val="both"/>
    </w:pPr>
    <w:rPr>
      <w:rFonts w:eastAsia="Batang"/>
      <w:kern w:val="1"/>
      <w:lang w:eastAsia="ar-SA"/>
    </w:rPr>
  </w:style>
  <w:style w:type="character" w:customStyle="1" w:styleId="BodyTextChar">
    <w:name w:val="Body Text Char"/>
    <w:aliases w:val="Texto independiente Car Char,Car1 Car Char, Car1 Car Char"/>
    <w:basedOn w:val="DefaultParagraphFont"/>
    <w:link w:val="BodyText"/>
    <w:uiPriority w:val="99"/>
    <w:rPr>
      <w:rFonts w:eastAsia="Batang"/>
      <w:kern w:val="1"/>
      <w:sz w:val="24"/>
      <w:lang w:eastAsia="ar-SA"/>
    </w:rPr>
  </w:style>
  <w:style w:type="character" w:customStyle="1" w:styleId="ManualNumPar1Char">
    <w:name w:val="Manual NumPar 1 Char"/>
    <w:locked/>
    <w:rPr>
      <w:rFonts w:ascii="Times New Roman" w:hAnsi="Times New Roman" w:cs="Times New Roman"/>
      <w:sz w:val="24"/>
      <w:lang w:val="en-GB"/>
    </w:rPr>
  </w:style>
  <w:style w:type="character" w:customStyle="1" w:styleId="Text1Char">
    <w:name w:val="Text 1 Char"/>
    <w:rPr>
      <w:rFonts w:ascii="Times New Roman" w:hAnsi="Times New Roman" w:cs="Times New Roman"/>
      <w:sz w:val="24"/>
      <w:lang w:val="en-GB"/>
    </w:rPr>
  </w:style>
  <w:style w:type="paragraph" w:customStyle="1" w:styleId="Annexetitreacte">
    <w:name w:val="Annexe titre (acte)"/>
    <w:basedOn w:val="Normal"/>
    <w:next w:val="Normal"/>
    <w:pPr>
      <w:widowControl/>
      <w:spacing w:before="120" w:after="120" w:line="240" w:lineRule="auto"/>
      <w:jc w:val="center"/>
    </w:pPr>
    <w:rPr>
      <w:b/>
      <w:bCs/>
      <w:szCs w:val="24"/>
      <w:u w:val="single"/>
      <w:lang w:eastAsia="de-DE"/>
    </w:rPr>
  </w:style>
  <w:style w:type="paragraph" w:customStyle="1" w:styleId="Default">
    <w:name w:val="Default"/>
    <w:pPr>
      <w:autoSpaceDE w:val="0"/>
      <w:autoSpaceDN w:val="0"/>
      <w:adjustRightInd w:val="0"/>
    </w:pPr>
    <w:rPr>
      <w:rFonts w:eastAsia="Calibri"/>
      <w:color w:val="000000"/>
      <w:sz w:val="24"/>
      <w:szCs w:val="24"/>
      <w:lang w:val="en-US" w:eastAsia="en-US"/>
    </w:rPr>
  </w:style>
  <w:style w:type="character" w:styleId="FollowedHyperlink">
    <w:name w:val="FollowedHyperlink"/>
    <w:basedOn w:val="DefaultParagraphFont"/>
    <w:uiPriority w:val="99"/>
    <w:unhideWhenUsed/>
    <w:rPr>
      <w:color w:val="800080" w:themeColor="followedHyperlink"/>
      <w:u w:val="single"/>
    </w:rPr>
  </w:style>
  <w:style w:type="paragraph" w:styleId="Revision">
    <w:name w:val="Revision"/>
    <w:hidden/>
    <w:uiPriority w:val="99"/>
    <w:semiHidden/>
    <w:rPr>
      <w:rFonts w:eastAsiaTheme="minorHAnsi"/>
      <w:sz w:val="24"/>
      <w:szCs w:val="22"/>
      <w:lang w:eastAsia="en-US"/>
    </w:rPr>
  </w:style>
  <w:style w:type="character" w:customStyle="1" w:styleId="HeaderChar">
    <w:name w:val="Header Char"/>
    <w:basedOn w:val="DefaultParagraphFont"/>
    <w:link w:val="Header"/>
    <w:uiPriority w:val="99"/>
    <w:rPr>
      <w:sz w:val="24"/>
      <w:lang w:eastAsia="fr-BE"/>
    </w:rPr>
  </w:style>
  <w:style w:type="character" w:customStyle="1" w:styleId="FooterChar">
    <w:name w:val="Footer Char"/>
    <w:basedOn w:val="DefaultParagraphFont"/>
    <w:link w:val="Footer"/>
    <w:uiPriority w:val="99"/>
    <w:rPr>
      <w:sz w:val="24"/>
      <w:lang w:eastAsia="fr-BE"/>
    </w:rPr>
  </w:style>
  <w:style w:type="character" w:customStyle="1" w:styleId="FootnoteTextChar">
    <w:name w:val="Footnote Text Char"/>
    <w:basedOn w:val="DefaultParagraphFont"/>
    <w:link w:val="FootnoteText"/>
    <w:uiPriority w:val="99"/>
    <w:rPr>
      <w:sz w:val="24"/>
      <w:lang w:eastAsia="fr-BE"/>
    </w:rPr>
  </w:style>
  <w:style w:type="paragraph" w:styleId="TOCHeading">
    <w:name w:val="TOC Heading"/>
    <w:basedOn w:val="Normal"/>
    <w:next w:val="Normal"/>
    <w:uiPriority w:val="39"/>
    <w:semiHidden/>
    <w:unhideWhenUsed/>
    <w:qFormat/>
    <w:pPr>
      <w:widowControl/>
      <w:spacing w:before="120" w:after="240" w:line="240" w:lineRule="auto"/>
      <w:jc w:val="center"/>
    </w:pPr>
    <w:rPr>
      <w:rFonts w:eastAsiaTheme="minorHAnsi"/>
      <w:b/>
      <w:sz w:val="28"/>
      <w:szCs w:val="22"/>
      <w:lang w:eastAsia="en-US"/>
    </w:rPr>
  </w:style>
  <w:style w:type="paragraph" w:customStyle="1" w:styleId="HeaderLandscape">
    <w:name w:val="HeaderLandscape"/>
    <w:basedOn w:val="Normal"/>
    <w:pPr>
      <w:widowControl/>
      <w:tabs>
        <w:tab w:val="center" w:pos="7285"/>
        <w:tab w:val="right" w:pos="14003"/>
      </w:tabs>
      <w:spacing w:after="120" w:line="240" w:lineRule="auto"/>
      <w:jc w:val="both"/>
    </w:pPr>
    <w:rPr>
      <w:rFonts w:eastAsiaTheme="minorHAnsi"/>
      <w:szCs w:val="22"/>
      <w:lang w:eastAsia="en-US"/>
    </w:rPr>
  </w:style>
  <w:style w:type="paragraph" w:customStyle="1" w:styleId="Text1">
    <w:name w:val="Text 1"/>
    <w:basedOn w:val="Normal"/>
    <w:pPr>
      <w:widowControl/>
      <w:spacing w:before="120" w:after="120" w:line="240" w:lineRule="auto"/>
      <w:ind w:left="850"/>
      <w:jc w:val="both"/>
    </w:pPr>
    <w:rPr>
      <w:rFonts w:eastAsiaTheme="minorHAnsi"/>
      <w:szCs w:val="22"/>
      <w:lang w:eastAsia="en-US"/>
    </w:rPr>
  </w:style>
  <w:style w:type="paragraph" w:customStyle="1" w:styleId="Text2">
    <w:name w:val="Text 2"/>
    <w:basedOn w:val="Normal"/>
    <w:pPr>
      <w:widowControl/>
      <w:spacing w:before="120" w:after="120" w:line="240" w:lineRule="auto"/>
      <w:ind w:left="1417"/>
      <w:jc w:val="both"/>
    </w:pPr>
    <w:rPr>
      <w:rFonts w:eastAsiaTheme="minorHAnsi"/>
      <w:szCs w:val="22"/>
      <w:lang w:eastAsia="en-US"/>
    </w:rPr>
  </w:style>
  <w:style w:type="paragraph" w:customStyle="1" w:styleId="Text3">
    <w:name w:val="Text 3"/>
    <w:basedOn w:val="Normal"/>
    <w:pPr>
      <w:widowControl/>
      <w:spacing w:before="120" w:after="120" w:line="240" w:lineRule="auto"/>
      <w:ind w:left="1984"/>
      <w:jc w:val="both"/>
    </w:pPr>
    <w:rPr>
      <w:rFonts w:eastAsiaTheme="minorHAnsi"/>
      <w:szCs w:val="22"/>
      <w:lang w:eastAsia="en-US"/>
    </w:rPr>
  </w:style>
  <w:style w:type="paragraph" w:customStyle="1" w:styleId="Text4">
    <w:name w:val="Text 4"/>
    <w:basedOn w:val="Normal"/>
    <w:pPr>
      <w:widowControl/>
      <w:spacing w:before="120" w:after="120" w:line="240" w:lineRule="auto"/>
      <w:ind w:left="2551"/>
      <w:jc w:val="both"/>
    </w:pPr>
    <w:rPr>
      <w:rFonts w:eastAsiaTheme="minorHAnsi"/>
      <w:szCs w:val="22"/>
      <w:lang w:eastAsia="en-US"/>
    </w:rPr>
  </w:style>
  <w:style w:type="paragraph" w:customStyle="1" w:styleId="NormalCentered">
    <w:name w:val="Normal Centered"/>
    <w:basedOn w:val="Normal"/>
    <w:pPr>
      <w:widowControl/>
      <w:spacing w:before="120" w:after="120" w:line="240" w:lineRule="auto"/>
      <w:jc w:val="center"/>
    </w:pPr>
    <w:rPr>
      <w:rFonts w:eastAsiaTheme="minorHAnsi"/>
      <w:szCs w:val="22"/>
      <w:lang w:eastAsia="en-US"/>
    </w:rPr>
  </w:style>
  <w:style w:type="paragraph" w:customStyle="1" w:styleId="NormalLeft">
    <w:name w:val="Normal Left"/>
    <w:basedOn w:val="Normal"/>
    <w:pPr>
      <w:widowControl/>
      <w:spacing w:before="120" w:after="120" w:line="240" w:lineRule="auto"/>
    </w:pPr>
    <w:rPr>
      <w:rFonts w:eastAsiaTheme="minorHAnsi"/>
      <w:szCs w:val="22"/>
      <w:lang w:eastAsia="en-US"/>
    </w:rPr>
  </w:style>
  <w:style w:type="paragraph" w:customStyle="1" w:styleId="NormalRight">
    <w:name w:val="Normal Right"/>
    <w:basedOn w:val="Normal"/>
    <w:pPr>
      <w:widowControl/>
      <w:spacing w:before="120" w:after="120" w:line="240" w:lineRule="auto"/>
      <w:jc w:val="right"/>
    </w:pPr>
    <w:rPr>
      <w:rFonts w:eastAsiaTheme="minorHAnsi"/>
      <w:szCs w:val="22"/>
      <w:lang w:eastAsia="en-US"/>
    </w:rPr>
  </w:style>
  <w:style w:type="paragraph" w:customStyle="1" w:styleId="QuotedText">
    <w:name w:val="Quoted Text"/>
    <w:basedOn w:val="Normal"/>
    <w:pPr>
      <w:widowControl/>
      <w:spacing w:before="120" w:after="120" w:line="240" w:lineRule="auto"/>
      <w:ind w:left="1417"/>
      <w:jc w:val="both"/>
    </w:pPr>
    <w:rPr>
      <w:rFonts w:eastAsiaTheme="minorHAnsi"/>
      <w:szCs w:val="22"/>
      <w:lang w:eastAsia="en-US"/>
    </w:rPr>
  </w:style>
  <w:style w:type="paragraph" w:customStyle="1" w:styleId="Point0">
    <w:name w:val="Point 0"/>
    <w:basedOn w:val="Normal"/>
    <w:pPr>
      <w:widowControl/>
      <w:spacing w:before="120" w:after="120" w:line="240" w:lineRule="auto"/>
      <w:ind w:left="850" w:hanging="850"/>
      <w:jc w:val="both"/>
    </w:pPr>
    <w:rPr>
      <w:rFonts w:eastAsiaTheme="minorHAnsi"/>
      <w:szCs w:val="22"/>
      <w:lang w:eastAsia="en-US"/>
    </w:rPr>
  </w:style>
  <w:style w:type="paragraph" w:customStyle="1" w:styleId="Point1">
    <w:name w:val="Point 1"/>
    <w:basedOn w:val="Normal"/>
    <w:pPr>
      <w:widowControl/>
      <w:spacing w:before="120" w:after="120" w:line="240" w:lineRule="auto"/>
      <w:ind w:left="1417" w:hanging="567"/>
      <w:jc w:val="both"/>
    </w:pPr>
    <w:rPr>
      <w:rFonts w:eastAsiaTheme="minorHAnsi"/>
      <w:szCs w:val="22"/>
      <w:lang w:eastAsia="en-US"/>
    </w:rPr>
  </w:style>
  <w:style w:type="paragraph" w:customStyle="1" w:styleId="Point2">
    <w:name w:val="Point 2"/>
    <w:basedOn w:val="Normal"/>
    <w:pPr>
      <w:widowControl/>
      <w:spacing w:before="120" w:after="120" w:line="240" w:lineRule="auto"/>
      <w:ind w:left="1984" w:hanging="567"/>
      <w:jc w:val="both"/>
    </w:pPr>
    <w:rPr>
      <w:rFonts w:eastAsiaTheme="minorHAnsi"/>
      <w:szCs w:val="22"/>
      <w:lang w:eastAsia="en-US"/>
    </w:rPr>
  </w:style>
  <w:style w:type="paragraph" w:customStyle="1" w:styleId="Point3">
    <w:name w:val="Point 3"/>
    <w:basedOn w:val="Normal"/>
    <w:pPr>
      <w:widowControl/>
      <w:spacing w:before="120" w:after="120" w:line="240" w:lineRule="auto"/>
      <w:ind w:left="2551" w:hanging="567"/>
      <w:jc w:val="both"/>
    </w:pPr>
    <w:rPr>
      <w:rFonts w:eastAsiaTheme="minorHAnsi"/>
      <w:szCs w:val="22"/>
      <w:lang w:eastAsia="en-US"/>
    </w:rPr>
  </w:style>
  <w:style w:type="paragraph" w:customStyle="1" w:styleId="Point4">
    <w:name w:val="Point 4"/>
    <w:basedOn w:val="Normal"/>
    <w:pPr>
      <w:widowControl/>
      <w:spacing w:before="120" w:after="120" w:line="240" w:lineRule="auto"/>
      <w:ind w:left="3118" w:hanging="567"/>
      <w:jc w:val="both"/>
    </w:pPr>
    <w:rPr>
      <w:rFonts w:eastAsiaTheme="minorHAnsi"/>
      <w:szCs w:val="22"/>
      <w:lang w:eastAsia="en-US"/>
    </w:r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widowControl/>
      <w:tabs>
        <w:tab w:val="left" w:pos="850"/>
      </w:tabs>
      <w:spacing w:before="120" w:after="120" w:line="240" w:lineRule="auto"/>
      <w:ind w:left="1417" w:hanging="1417"/>
      <w:jc w:val="both"/>
    </w:pPr>
    <w:rPr>
      <w:rFonts w:eastAsiaTheme="minorHAnsi"/>
      <w:szCs w:val="22"/>
      <w:lang w:eastAsia="en-US"/>
    </w:rPr>
  </w:style>
  <w:style w:type="paragraph" w:customStyle="1" w:styleId="PointDouble1">
    <w:name w:val="PointDouble 1"/>
    <w:basedOn w:val="Normal"/>
    <w:pPr>
      <w:widowControl/>
      <w:tabs>
        <w:tab w:val="left" w:pos="1417"/>
      </w:tabs>
      <w:spacing w:before="120" w:after="120" w:line="240" w:lineRule="auto"/>
      <w:ind w:left="1984" w:hanging="1134"/>
      <w:jc w:val="both"/>
    </w:pPr>
    <w:rPr>
      <w:rFonts w:eastAsiaTheme="minorHAnsi"/>
      <w:szCs w:val="22"/>
      <w:lang w:eastAsia="en-US"/>
    </w:rPr>
  </w:style>
  <w:style w:type="paragraph" w:customStyle="1" w:styleId="PointDouble2">
    <w:name w:val="PointDouble 2"/>
    <w:basedOn w:val="Normal"/>
    <w:pPr>
      <w:widowControl/>
      <w:tabs>
        <w:tab w:val="left" w:pos="1984"/>
      </w:tabs>
      <w:spacing w:before="120" w:after="120" w:line="240" w:lineRule="auto"/>
      <w:ind w:left="2551" w:hanging="1134"/>
      <w:jc w:val="both"/>
    </w:pPr>
    <w:rPr>
      <w:rFonts w:eastAsiaTheme="minorHAnsi"/>
      <w:szCs w:val="22"/>
      <w:lang w:eastAsia="en-US"/>
    </w:rPr>
  </w:style>
  <w:style w:type="paragraph" w:customStyle="1" w:styleId="PointDouble3">
    <w:name w:val="PointDouble 3"/>
    <w:basedOn w:val="Normal"/>
    <w:pPr>
      <w:widowControl/>
      <w:tabs>
        <w:tab w:val="left" w:pos="2551"/>
      </w:tabs>
      <w:spacing w:before="120" w:after="120" w:line="240" w:lineRule="auto"/>
      <w:ind w:left="3118" w:hanging="1134"/>
      <w:jc w:val="both"/>
    </w:pPr>
    <w:rPr>
      <w:rFonts w:eastAsiaTheme="minorHAnsi"/>
      <w:szCs w:val="22"/>
      <w:lang w:eastAsia="en-US"/>
    </w:rPr>
  </w:style>
  <w:style w:type="paragraph" w:customStyle="1" w:styleId="PointDouble4">
    <w:name w:val="PointDouble 4"/>
    <w:basedOn w:val="Normal"/>
    <w:pPr>
      <w:widowControl/>
      <w:tabs>
        <w:tab w:val="left" w:pos="3118"/>
      </w:tabs>
      <w:spacing w:before="120" w:after="120" w:line="240" w:lineRule="auto"/>
      <w:ind w:left="3685" w:hanging="1134"/>
      <w:jc w:val="both"/>
    </w:pPr>
    <w:rPr>
      <w:rFonts w:eastAsiaTheme="minorHAnsi"/>
      <w:szCs w:val="22"/>
      <w:lang w:eastAsia="en-US"/>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rFonts w:eastAsiaTheme="minorHAnsi"/>
      <w:szCs w:val="22"/>
      <w:lang w:eastAsia="en-US"/>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rFonts w:eastAsiaTheme="minorHAnsi"/>
      <w:szCs w:val="22"/>
      <w:lang w:eastAsia="en-US"/>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rFonts w:eastAsiaTheme="minorHAnsi"/>
      <w:szCs w:val="22"/>
      <w:lang w:eastAsia="en-US"/>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rFonts w:eastAsiaTheme="minorHAnsi"/>
      <w:szCs w:val="22"/>
      <w:lang w:eastAsia="en-US"/>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rFonts w:eastAsiaTheme="minorHAnsi"/>
      <w:szCs w:val="22"/>
      <w:lang w:eastAsia="en-US"/>
    </w:rPr>
  </w:style>
  <w:style w:type="paragraph" w:customStyle="1" w:styleId="NumPar1">
    <w:name w:val="NumPar 1"/>
    <w:basedOn w:val="Normal"/>
    <w:next w:val="Text1"/>
    <w:pPr>
      <w:widowControl/>
      <w:numPr>
        <w:numId w:val="30"/>
      </w:numPr>
      <w:spacing w:before="120" w:after="120" w:line="240" w:lineRule="auto"/>
      <w:jc w:val="both"/>
    </w:pPr>
    <w:rPr>
      <w:rFonts w:eastAsiaTheme="minorHAnsi"/>
      <w:szCs w:val="22"/>
      <w:lang w:eastAsia="en-US"/>
    </w:rPr>
  </w:style>
  <w:style w:type="paragraph" w:customStyle="1" w:styleId="NumPar2">
    <w:name w:val="NumPar 2"/>
    <w:basedOn w:val="Normal"/>
    <w:next w:val="Text1"/>
    <w:pPr>
      <w:widowControl/>
      <w:numPr>
        <w:ilvl w:val="1"/>
        <w:numId w:val="30"/>
      </w:numPr>
      <w:spacing w:before="120" w:after="120" w:line="240" w:lineRule="auto"/>
      <w:jc w:val="both"/>
    </w:pPr>
    <w:rPr>
      <w:rFonts w:eastAsiaTheme="minorHAnsi"/>
      <w:szCs w:val="22"/>
      <w:lang w:eastAsia="en-US"/>
    </w:rPr>
  </w:style>
  <w:style w:type="paragraph" w:customStyle="1" w:styleId="NumPar3">
    <w:name w:val="NumPar 3"/>
    <w:basedOn w:val="Normal"/>
    <w:next w:val="Text1"/>
    <w:pPr>
      <w:widowControl/>
      <w:numPr>
        <w:ilvl w:val="2"/>
        <w:numId w:val="30"/>
      </w:numPr>
      <w:spacing w:before="120" w:after="120" w:line="240" w:lineRule="auto"/>
      <w:jc w:val="both"/>
    </w:pPr>
    <w:rPr>
      <w:rFonts w:eastAsiaTheme="minorHAnsi"/>
      <w:szCs w:val="22"/>
      <w:lang w:eastAsia="en-US"/>
    </w:rPr>
  </w:style>
  <w:style w:type="paragraph" w:customStyle="1" w:styleId="NumPar4">
    <w:name w:val="NumPar 4"/>
    <w:basedOn w:val="Normal"/>
    <w:next w:val="Text1"/>
    <w:pPr>
      <w:widowControl/>
      <w:numPr>
        <w:ilvl w:val="3"/>
        <w:numId w:val="30"/>
      </w:numPr>
      <w:spacing w:before="120" w:after="120" w:line="240" w:lineRule="auto"/>
      <w:jc w:val="both"/>
    </w:pPr>
    <w:rPr>
      <w:rFonts w:eastAsiaTheme="minorHAnsi"/>
      <w:szCs w:val="22"/>
      <w:lang w:eastAsia="en-US"/>
    </w:rPr>
  </w:style>
  <w:style w:type="paragraph" w:customStyle="1" w:styleId="ManualNumPar1">
    <w:name w:val="Manual NumPar 1"/>
    <w:basedOn w:val="Normal"/>
    <w:next w:val="Text1"/>
    <w:pPr>
      <w:widowControl/>
      <w:spacing w:before="120" w:after="120" w:line="240" w:lineRule="auto"/>
      <w:ind w:left="850" w:hanging="850"/>
      <w:jc w:val="both"/>
    </w:pPr>
    <w:rPr>
      <w:rFonts w:eastAsiaTheme="minorHAnsi"/>
      <w:szCs w:val="22"/>
      <w:lang w:eastAsia="en-US"/>
    </w:rPr>
  </w:style>
  <w:style w:type="paragraph" w:customStyle="1" w:styleId="ManualNumPar2">
    <w:name w:val="Manual NumPar 2"/>
    <w:basedOn w:val="Normal"/>
    <w:next w:val="Text1"/>
    <w:pPr>
      <w:widowControl/>
      <w:spacing w:before="120" w:after="120" w:line="240" w:lineRule="auto"/>
      <w:ind w:left="850" w:hanging="850"/>
      <w:jc w:val="both"/>
    </w:pPr>
    <w:rPr>
      <w:rFonts w:eastAsiaTheme="minorHAnsi"/>
      <w:szCs w:val="22"/>
      <w:lang w:eastAsia="en-US"/>
    </w:rPr>
  </w:style>
  <w:style w:type="paragraph" w:customStyle="1" w:styleId="ManualNumPar3">
    <w:name w:val="Manual NumPar 3"/>
    <w:basedOn w:val="Normal"/>
    <w:next w:val="Text1"/>
    <w:pPr>
      <w:widowControl/>
      <w:spacing w:before="120" w:after="120" w:line="240" w:lineRule="auto"/>
      <w:ind w:left="850" w:hanging="850"/>
      <w:jc w:val="both"/>
    </w:pPr>
    <w:rPr>
      <w:rFonts w:eastAsiaTheme="minorHAnsi"/>
      <w:szCs w:val="22"/>
      <w:lang w:eastAsia="en-US"/>
    </w:rPr>
  </w:style>
  <w:style w:type="paragraph" w:customStyle="1" w:styleId="ManualNumPar4">
    <w:name w:val="Manual NumPar 4"/>
    <w:basedOn w:val="Normal"/>
    <w:next w:val="Text1"/>
    <w:pPr>
      <w:widowControl/>
      <w:spacing w:before="120" w:after="120" w:line="240" w:lineRule="auto"/>
      <w:ind w:left="850" w:hanging="850"/>
      <w:jc w:val="both"/>
    </w:pPr>
    <w:rPr>
      <w:rFonts w:eastAsiaTheme="minorHAnsi"/>
      <w:szCs w:val="22"/>
      <w:lang w:eastAsia="en-US"/>
    </w:rPr>
  </w:style>
  <w:style w:type="paragraph" w:customStyle="1" w:styleId="QuotedNumPar">
    <w:name w:val="Quoted NumPar"/>
    <w:basedOn w:val="Normal"/>
    <w:pPr>
      <w:widowControl/>
      <w:spacing w:before="120" w:after="120" w:line="240" w:lineRule="auto"/>
      <w:ind w:left="1417" w:hanging="567"/>
      <w:jc w:val="both"/>
    </w:pPr>
    <w:rPr>
      <w:rFonts w:eastAsiaTheme="minorHAnsi"/>
      <w:szCs w:val="22"/>
      <w:lang w:eastAsia="en-US"/>
    </w:rPr>
  </w:style>
  <w:style w:type="paragraph" w:customStyle="1" w:styleId="ManualHeading1">
    <w:name w:val="Manual Heading 1"/>
    <w:basedOn w:val="Normal"/>
    <w:next w:val="Text1"/>
    <w:pPr>
      <w:keepNext/>
      <w:widowControl/>
      <w:tabs>
        <w:tab w:val="left" w:pos="850"/>
      </w:tabs>
      <w:spacing w:before="360" w:after="120" w:line="240" w:lineRule="auto"/>
      <w:ind w:left="850" w:hanging="850"/>
      <w:jc w:val="both"/>
      <w:outlineLvl w:val="0"/>
    </w:pPr>
    <w:rPr>
      <w:rFonts w:eastAsiaTheme="minorHAnsi"/>
      <w:b/>
      <w:smallCaps/>
      <w:szCs w:val="22"/>
      <w:lang w:eastAsia="en-US"/>
    </w:rPr>
  </w:style>
  <w:style w:type="paragraph" w:customStyle="1" w:styleId="ManualHeading2">
    <w:name w:val="Manual Heading 2"/>
    <w:basedOn w:val="Normal"/>
    <w:next w:val="Text1"/>
    <w:pPr>
      <w:keepNext/>
      <w:widowControl/>
      <w:tabs>
        <w:tab w:val="left" w:pos="850"/>
      </w:tabs>
      <w:spacing w:before="120" w:after="120" w:line="240" w:lineRule="auto"/>
      <w:ind w:left="850" w:hanging="850"/>
      <w:jc w:val="both"/>
      <w:outlineLvl w:val="1"/>
    </w:pPr>
    <w:rPr>
      <w:rFonts w:eastAsiaTheme="minorHAnsi"/>
      <w:b/>
      <w:szCs w:val="22"/>
      <w:lang w:eastAsia="en-US"/>
    </w:rPr>
  </w:style>
  <w:style w:type="paragraph" w:customStyle="1" w:styleId="ManualHeading3">
    <w:name w:val="Manual Heading 3"/>
    <w:basedOn w:val="Normal"/>
    <w:next w:val="Text1"/>
    <w:pPr>
      <w:keepNext/>
      <w:widowControl/>
      <w:tabs>
        <w:tab w:val="left" w:pos="850"/>
      </w:tabs>
      <w:spacing w:before="120" w:after="120" w:line="240" w:lineRule="auto"/>
      <w:ind w:left="850" w:hanging="850"/>
      <w:jc w:val="both"/>
      <w:outlineLvl w:val="2"/>
    </w:pPr>
    <w:rPr>
      <w:rFonts w:eastAsiaTheme="minorHAnsi"/>
      <w:i/>
      <w:szCs w:val="22"/>
      <w:lang w:eastAsia="en-US"/>
    </w:rPr>
  </w:style>
  <w:style w:type="paragraph" w:customStyle="1" w:styleId="ManualHeading4">
    <w:name w:val="Manual Heading 4"/>
    <w:basedOn w:val="Normal"/>
    <w:next w:val="Text1"/>
    <w:pPr>
      <w:keepNext/>
      <w:widowControl/>
      <w:tabs>
        <w:tab w:val="left" w:pos="850"/>
      </w:tabs>
      <w:spacing w:before="120" w:after="120" w:line="240" w:lineRule="auto"/>
      <w:ind w:left="850" w:hanging="850"/>
      <w:jc w:val="both"/>
      <w:outlineLvl w:val="3"/>
    </w:pPr>
    <w:rPr>
      <w:rFonts w:eastAsiaTheme="minorHAnsi"/>
      <w:szCs w:val="22"/>
      <w:lang w:eastAsia="en-US"/>
    </w:rPr>
  </w:style>
  <w:style w:type="paragraph" w:customStyle="1" w:styleId="ChapterTitle">
    <w:name w:val="ChapterTitle"/>
    <w:basedOn w:val="Normal"/>
    <w:next w:val="Normal"/>
    <w:pPr>
      <w:keepNext/>
      <w:widowControl/>
      <w:spacing w:before="120" w:after="360" w:line="240" w:lineRule="auto"/>
      <w:jc w:val="center"/>
    </w:pPr>
    <w:rPr>
      <w:rFonts w:eastAsiaTheme="minorHAnsi"/>
      <w:b/>
      <w:sz w:val="32"/>
      <w:szCs w:val="22"/>
      <w:lang w:eastAsia="en-US"/>
    </w:rPr>
  </w:style>
  <w:style w:type="paragraph" w:customStyle="1" w:styleId="PartTitle">
    <w:name w:val="PartTitle"/>
    <w:basedOn w:val="Normal"/>
    <w:next w:val="ChapterTitle"/>
    <w:pPr>
      <w:keepNext/>
      <w:pageBreakBefore/>
      <w:widowControl/>
      <w:spacing w:before="120" w:after="360" w:line="240" w:lineRule="auto"/>
      <w:jc w:val="center"/>
    </w:pPr>
    <w:rPr>
      <w:rFonts w:eastAsiaTheme="minorHAnsi"/>
      <w:b/>
      <w:sz w:val="36"/>
      <w:szCs w:val="22"/>
      <w:lang w:eastAsia="en-US"/>
    </w:rPr>
  </w:style>
  <w:style w:type="paragraph" w:customStyle="1" w:styleId="SectionTitle">
    <w:name w:val="SectionTitle"/>
    <w:basedOn w:val="Normal"/>
    <w:next w:val="Heading1"/>
    <w:pPr>
      <w:keepNext/>
      <w:widowControl/>
      <w:spacing w:before="120" w:after="360" w:line="240" w:lineRule="auto"/>
      <w:jc w:val="center"/>
    </w:pPr>
    <w:rPr>
      <w:rFonts w:eastAsiaTheme="minorHAnsi"/>
      <w:b/>
      <w:smallCaps/>
      <w:sz w:val="28"/>
      <w:szCs w:val="22"/>
      <w:lang w:eastAsia="en-US"/>
    </w:rPr>
  </w:style>
  <w:style w:type="paragraph" w:customStyle="1" w:styleId="TableTitle">
    <w:name w:val="Table Title"/>
    <w:basedOn w:val="Normal"/>
    <w:next w:val="Normal"/>
    <w:pPr>
      <w:widowControl/>
      <w:spacing w:before="120" w:after="120" w:line="240" w:lineRule="auto"/>
      <w:jc w:val="center"/>
    </w:pPr>
    <w:rPr>
      <w:rFonts w:eastAsiaTheme="minorHAnsi"/>
      <w:b/>
      <w:szCs w:val="22"/>
      <w:lang w:eastAsia="en-US"/>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widowControl/>
      <w:numPr>
        <w:numId w:val="32"/>
      </w:numPr>
      <w:spacing w:before="120" w:after="120" w:line="240" w:lineRule="auto"/>
      <w:jc w:val="both"/>
    </w:pPr>
    <w:rPr>
      <w:rFonts w:eastAsiaTheme="minorHAnsi"/>
      <w:szCs w:val="22"/>
      <w:lang w:eastAsia="en-US"/>
    </w:rPr>
  </w:style>
  <w:style w:type="paragraph" w:customStyle="1" w:styleId="Point1number">
    <w:name w:val="Point 1 (number)"/>
    <w:basedOn w:val="Normal"/>
    <w:pPr>
      <w:widowControl/>
      <w:numPr>
        <w:ilvl w:val="2"/>
        <w:numId w:val="32"/>
      </w:numPr>
      <w:spacing w:before="120" w:after="120" w:line="240" w:lineRule="auto"/>
      <w:jc w:val="both"/>
    </w:pPr>
    <w:rPr>
      <w:rFonts w:eastAsiaTheme="minorHAnsi"/>
      <w:szCs w:val="22"/>
      <w:lang w:eastAsia="en-US"/>
    </w:rPr>
  </w:style>
  <w:style w:type="paragraph" w:customStyle="1" w:styleId="Point2number">
    <w:name w:val="Point 2 (number)"/>
    <w:basedOn w:val="Normal"/>
    <w:pPr>
      <w:widowControl/>
      <w:numPr>
        <w:ilvl w:val="4"/>
        <w:numId w:val="32"/>
      </w:numPr>
      <w:spacing w:before="120" w:after="120" w:line="240" w:lineRule="auto"/>
      <w:jc w:val="both"/>
    </w:pPr>
    <w:rPr>
      <w:rFonts w:eastAsiaTheme="minorHAnsi"/>
      <w:szCs w:val="22"/>
      <w:lang w:eastAsia="en-US"/>
    </w:rPr>
  </w:style>
  <w:style w:type="paragraph" w:customStyle="1" w:styleId="Point3number">
    <w:name w:val="Point 3 (number)"/>
    <w:basedOn w:val="Normal"/>
    <w:pPr>
      <w:widowControl/>
      <w:numPr>
        <w:ilvl w:val="6"/>
        <w:numId w:val="32"/>
      </w:numPr>
      <w:spacing w:before="120" w:after="120" w:line="240" w:lineRule="auto"/>
      <w:jc w:val="both"/>
    </w:pPr>
    <w:rPr>
      <w:rFonts w:eastAsiaTheme="minorHAnsi"/>
      <w:szCs w:val="22"/>
      <w:lang w:eastAsia="en-US"/>
    </w:rPr>
  </w:style>
  <w:style w:type="paragraph" w:customStyle="1" w:styleId="Point0letter">
    <w:name w:val="Point 0 (letter)"/>
    <w:basedOn w:val="Normal"/>
    <w:pPr>
      <w:widowControl/>
      <w:numPr>
        <w:ilvl w:val="1"/>
        <w:numId w:val="32"/>
      </w:numPr>
      <w:spacing w:before="120" w:after="120" w:line="240" w:lineRule="auto"/>
      <w:jc w:val="both"/>
    </w:pPr>
    <w:rPr>
      <w:rFonts w:eastAsiaTheme="minorHAnsi"/>
      <w:szCs w:val="22"/>
      <w:lang w:eastAsia="en-US"/>
    </w:rPr>
  </w:style>
  <w:style w:type="paragraph" w:customStyle="1" w:styleId="Point1letter">
    <w:name w:val="Point 1 (letter)"/>
    <w:basedOn w:val="Normal"/>
    <w:pPr>
      <w:widowControl/>
      <w:numPr>
        <w:ilvl w:val="3"/>
        <w:numId w:val="32"/>
      </w:numPr>
      <w:spacing w:before="120" w:after="120" w:line="240" w:lineRule="auto"/>
      <w:jc w:val="both"/>
    </w:pPr>
    <w:rPr>
      <w:rFonts w:eastAsiaTheme="minorHAnsi"/>
      <w:szCs w:val="22"/>
      <w:lang w:eastAsia="en-US"/>
    </w:rPr>
  </w:style>
  <w:style w:type="paragraph" w:customStyle="1" w:styleId="Point2letter">
    <w:name w:val="Point 2 (letter)"/>
    <w:basedOn w:val="Normal"/>
    <w:pPr>
      <w:widowControl/>
      <w:numPr>
        <w:ilvl w:val="5"/>
        <w:numId w:val="32"/>
      </w:numPr>
      <w:spacing w:before="120" w:after="120" w:line="240" w:lineRule="auto"/>
      <w:jc w:val="both"/>
    </w:pPr>
    <w:rPr>
      <w:rFonts w:eastAsiaTheme="minorHAnsi"/>
      <w:szCs w:val="22"/>
      <w:lang w:eastAsia="en-US"/>
    </w:rPr>
  </w:style>
  <w:style w:type="paragraph" w:customStyle="1" w:styleId="Point3letter">
    <w:name w:val="Point 3 (letter)"/>
    <w:basedOn w:val="Normal"/>
    <w:pPr>
      <w:widowControl/>
      <w:numPr>
        <w:ilvl w:val="7"/>
        <w:numId w:val="32"/>
      </w:numPr>
      <w:spacing w:before="120" w:after="120" w:line="240" w:lineRule="auto"/>
      <w:jc w:val="both"/>
    </w:pPr>
    <w:rPr>
      <w:rFonts w:eastAsiaTheme="minorHAnsi"/>
      <w:szCs w:val="22"/>
      <w:lang w:eastAsia="en-US"/>
    </w:rPr>
  </w:style>
  <w:style w:type="paragraph" w:customStyle="1" w:styleId="Point4letter">
    <w:name w:val="Point 4 (letter)"/>
    <w:basedOn w:val="Normal"/>
    <w:pPr>
      <w:widowControl/>
      <w:numPr>
        <w:ilvl w:val="8"/>
        <w:numId w:val="32"/>
      </w:numPr>
      <w:spacing w:before="120" w:after="120" w:line="240" w:lineRule="auto"/>
      <w:jc w:val="both"/>
    </w:pPr>
    <w:rPr>
      <w:rFonts w:eastAsiaTheme="minorHAnsi"/>
      <w:szCs w:val="22"/>
      <w:lang w:eastAsia="en-US"/>
    </w:rPr>
  </w:style>
  <w:style w:type="paragraph" w:customStyle="1" w:styleId="Bullet0">
    <w:name w:val="Bullet 0"/>
    <w:basedOn w:val="Normal"/>
    <w:pPr>
      <w:widowControl/>
      <w:numPr>
        <w:numId w:val="33"/>
      </w:numPr>
      <w:spacing w:before="120" w:after="120" w:line="240" w:lineRule="auto"/>
      <w:jc w:val="both"/>
    </w:pPr>
    <w:rPr>
      <w:rFonts w:eastAsiaTheme="minorHAnsi"/>
      <w:szCs w:val="22"/>
      <w:lang w:eastAsia="en-US"/>
    </w:rPr>
  </w:style>
  <w:style w:type="paragraph" w:customStyle="1" w:styleId="Bullet1">
    <w:name w:val="Bullet 1"/>
    <w:basedOn w:val="Normal"/>
    <w:pPr>
      <w:widowControl/>
      <w:numPr>
        <w:numId w:val="34"/>
      </w:numPr>
      <w:spacing w:before="120" w:after="120" w:line="240" w:lineRule="auto"/>
      <w:jc w:val="both"/>
    </w:pPr>
    <w:rPr>
      <w:rFonts w:eastAsiaTheme="minorHAnsi"/>
      <w:szCs w:val="22"/>
      <w:lang w:eastAsia="en-US"/>
    </w:rPr>
  </w:style>
  <w:style w:type="paragraph" w:customStyle="1" w:styleId="Bullet2">
    <w:name w:val="Bullet 2"/>
    <w:basedOn w:val="Normal"/>
    <w:pPr>
      <w:widowControl/>
      <w:numPr>
        <w:numId w:val="35"/>
      </w:numPr>
      <w:spacing w:before="120" w:after="120" w:line="240" w:lineRule="auto"/>
      <w:jc w:val="both"/>
    </w:pPr>
    <w:rPr>
      <w:rFonts w:eastAsiaTheme="minorHAnsi"/>
      <w:szCs w:val="22"/>
      <w:lang w:eastAsia="en-US"/>
    </w:rPr>
  </w:style>
  <w:style w:type="paragraph" w:customStyle="1" w:styleId="Bullet3">
    <w:name w:val="Bullet 3"/>
    <w:basedOn w:val="Normal"/>
    <w:pPr>
      <w:widowControl/>
      <w:numPr>
        <w:numId w:val="36"/>
      </w:numPr>
      <w:spacing w:before="120" w:after="120" w:line="240" w:lineRule="auto"/>
      <w:jc w:val="both"/>
    </w:pPr>
    <w:rPr>
      <w:rFonts w:eastAsiaTheme="minorHAnsi"/>
      <w:szCs w:val="22"/>
      <w:lang w:eastAsia="en-US"/>
    </w:rPr>
  </w:style>
  <w:style w:type="paragraph" w:customStyle="1" w:styleId="Bullet4">
    <w:name w:val="Bullet 4"/>
    <w:basedOn w:val="Normal"/>
    <w:pPr>
      <w:widowControl/>
      <w:numPr>
        <w:numId w:val="37"/>
      </w:numPr>
      <w:spacing w:before="120" w:after="120" w:line="240" w:lineRule="auto"/>
      <w:jc w:val="both"/>
    </w:pPr>
    <w:rPr>
      <w:rFonts w:eastAsiaTheme="minorHAnsi"/>
      <w:szCs w:val="22"/>
      <w:lang w:eastAsia="en-US"/>
    </w:rPr>
  </w:style>
  <w:style w:type="paragraph" w:customStyle="1" w:styleId="Annexetitreexpos">
    <w:name w:val="Annexe titre (exposé)"/>
    <w:basedOn w:val="Normal"/>
    <w:next w:val="Normal"/>
    <w:pPr>
      <w:widowControl/>
      <w:spacing w:before="120" w:after="120" w:line="240" w:lineRule="auto"/>
      <w:jc w:val="center"/>
    </w:pPr>
    <w:rPr>
      <w:rFonts w:eastAsiaTheme="minorHAnsi"/>
      <w:b/>
      <w:szCs w:val="22"/>
      <w:u w:val="single"/>
      <w:lang w:eastAsia="en-US"/>
    </w:rPr>
  </w:style>
  <w:style w:type="paragraph" w:customStyle="1" w:styleId="Annexetitre">
    <w:name w:val="Annexe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Annexetitrefichefinancire">
    <w:name w:val="Annexe titre (fiche financière)"/>
    <w:basedOn w:val="Normal"/>
    <w:next w:val="Normal"/>
    <w:pPr>
      <w:widowControl/>
      <w:spacing w:before="120" w:after="120" w:line="240" w:lineRule="auto"/>
      <w:jc w:val="center"/>
    </w:pPr>
    <w:rPr>
      <w:rFonts w:eastAsiaTheme="minorHAnsi"/>
      <w:b/>
      <w:szCs w:val="22"/>
      <w:u w:val="single"/>
      <w:lang w:eastAsia="en-US"/>
    </w:rPr>
  </w:style>
  <w:style w:type="paragraph" w:customStyle="1" w:styleId="Applicationdirecte">
    <w:name w:val="Application directe"/>
    <w:basedOn w:val="Normal"/>
    <w:next w:val="Fait"/>
    <w:pPr>
      <w:widowControl/>
      <w:spacing w:before="480" w:after="120" w:line="240" w:lineRule="auto"/>
      <w:jc w:val="both"/>
    </w:pPr>
    <w:rPr>
      <w:rFonts w:eastAsiaTheme="minorHAnsi"/>
      <w:szCs w:val="22"/>
      <w:lang w:eastAsia="en-US"/>
    </w:rPr>
  </w:style>
  <w:style w:type="paragraph" w:customStyle="1" w:styleId="Avertissementtitre">
    <w:name w:val="Avertissement titre"/>
    <w:basedOn w:val="Normal"/>
    <w:next w:val="Normal"/>
    <w:pPr>
      <w:keepNext/>
      <w:widowControl/>
      <w:spacing w:before="480" w:after="120" w:line="240" w:lineRule="auto"/>
      <w:jc w:val="both"/>
    </w:pPr>
    <w:rPr>
      <w:rFonts w:eastAsiaTheme="minorHAnsi"/>
      <w:szCs w:val="22"/>
      <w:u w:val="single"/>
      <w:lang w:eastAsia="en-US"/>
    </w:rPr>
  </w:style>
  <w:style w:type="paragraph" w:customStyle="1" w:styleId="Confidence">
    <w:name w:val="Confidence"/>
    <w:basedOn w:val="Normal"/>
    <w:next w:val="Normal"/>
    <w:pPr>
      <w:widowControl/>
      <w:spacing w:before="360" w:after="120" w:line="240" w:lineRule="auto"/>
      <w:jc w:val="center"/>
    </w:pPr>
    <w:rPr>
      <w:rFonts w:eastAsiaTheme="minorHAnsi"/>
      <w:szCs w:val="22"/>
      <w:lang w:eastAsia="en-US"/>
    </w:rPr>
  </w:style>
  <w:style w:type="paragraph" w:customStyle="1" w:styleId="Confidentialit">
    <w:name w:val="Confidentialité"/>
    <w:basedOn w:val="Normal"/>
    <w:next w:val="TypedudocumentPagedecouverture"/>
    <w:pPr>
      <w:widowControl/>
      <w:spacing w:before="240" w:after="240" w:line="240" w:lineRule="auto"/>
      <w:ind w:left="5103"/>
    </w:pPr>
    <w:rPr>
      <w:rFonts w:eastAsiaTheme="minorHAnsi"/>
      <w:i/>
      <w:sz w:val="32"/>
      <w:szCs w:val="22"/>
      <w:lang w:eastAsia="en-US"/>
    </w:rPr>
  </w:style>
  <w:style w:type="paragraph" w:customStyle="1" w:styleId="Considrant">
    <w:name w:val="Considérant"/>
    <w:basedOn w:val="Normal"/>
    <w:pPr>
      <w:widowControl/>
      <w:numPr>
        <w:numId w:val="38"/>
      </w:numPr>
      <w:spacing w:before="120" w:after="120" w:line="240" w:lineRule="auto"/>
      <w:jc w:val="both"/>
    </w:pPr>
    <w:rPr>
      <w:rFonts w:eastAsiaTheme="minorHAnsi"/>
      <w:szCs w:val="22"/>
      <w:lang w:eastAsia="en-US"/>
    </w:rPr>
  </w:style>
  <w:style w:type="paragraph" w:customStyle="1" w:styleId="Corrigendum">
    <w:name w:val="Corrigendum"/>
    <w:basedOn w:val="Normal"/>
    <w:next w:val="Normal"/>
    <w:pPr>
      <w:widowControl/>
      <w:spacing w:after="240" w:line="240" w:lineRule="auto"/>
    </w:pPr>
    <w:rPr>
      <w:rFonts w:eastAsiaTheme="minorHAnsi"/>
      <w:szCs w:val="22"/>
      <w:lang w:eastAsia="en-US"/>
    </w:rPr>
  </w:style>
  <w:style w:type="paragraph" w:customStyle="1" w:styleId="Datedadoption">
    <w:name w:val="Date d'adoption"/>
    <w:basedOn w:val="Normal"/>
    <w:next w:val="Titreobjet"/>
    <w:pPr>
      <w:widowControl/>
      <w:spacing w:before="360" w:line="240" w:lineRule="auto"/>
      <w:jc w:val="center"/>
    </w:pPr>
    <w:rPr>
      <w:rFonts w:eastAsiaTheme="minorHAnsi"/>
      <w:b/>
      <w:szCs w:val="22"/>
      <w:lang w:eastAsia="en-US"/>
    </w:rPr>
  </w:style>
  <w:style w:type="paragraph" w:customStyle="1" w:styleId="Emission">
    <w:name w:val="Emission"/>
    <w:basedOn w:val="Normal"/>
    <w:next w:val="Rfrenceinstitutionnelle"/>
    <w:pPr>
      <w:widowControl/>
      <w:spacing w:line="240" w:lineRule="auto"/>
      <w:ind w:left="5103"/>
    </w:pPr>
    <w:rPr>
      <w:rFonts w:eastAsiaTheme="minorHAnsi"/>
      <w:szCs w:val="22"/>
      <w:lang w:eastAsia="en-US"/>
    </w:rPr>
  </w:style>
  <w:style w:type="paragraph" w:customStyle="1" w:styleId="Exposdesmotifstitre">
    <w:name w:val="Exposé des motifs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Fait">
    <w:name w:val="Fait à"/>
    <w:basedOn w:val="Normal"/>
    <w:next w:val="Institutionquisigne"/>
    <w:pPr>
      <w:keepNext/>
      <w:widowControl/>
      <w:spacing w:before="120" w:line="240" w:lineRule="auto"/>
      <w:jc w:val="both"/>
    </w:pPr>
    <w:rPr>
      <w:rFonts w:eastAsiaTheme="minorHAnsi"/>
      <w:szCs w:val="22"/>
      <w:lang w:eastAsia="en-US"/>
    </w:rPr>
  </w:style>
  <w:style w:type="paragraph" w:customStyle="1" w:styleId="Formuledadoption">
    <w:name w:val="Formule d'adoption"/>
    <w:basedOn w:val="Normal"/>
    <w:next w:val="Titrearticle"/>
    <w:pPr>
      <w:keepNext/>
      <w:widowControl/>
      <w:spacing w:before="120" w:after="120" w:line="240" w:lineRule="auto"/>
      <w:jc w:val="both"/>
    </w:pPr>
    <w:rPr>
      <w:rFonts w:eastAsiaTheme="minorHAnsi"/>
      <w:szCs w:val="22"/>
      <w:lang w:eastAsia="en-US"/>
    </w:rPr>
  </w:style>
  <w:style w:type="paragraph" w:customStyle="1" w:styleId="Institutionquiagit">
    <w:name w:val="Institution qui agit"/>
    <w:basedOn w:val="Normal"/>
    <w:next w:val="Normal"/>
    <w:pPr>
      <w:keepNext/>
      <w:widowControl/>
      <w:spacing w:before="600" w:after="120" w:line="240" w:lineRule="auto"/>
      <w:jc w:val="both"/>
    </w:pPr>
    <w:rPr>
      <w:rFonts w:eastAsiaTheme="minorHAnsi"/>
      <w:szCs w:val="22"/>
      <w:lang w:eastAsia="en-US"/>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rFonts w:eastAsiaTheme="minorHAnsi"/>
      <w:i/>
      <w:szCs w:val="22"/>
      <w:lang w:eastAsia="en-US"/>
    </w:rPr>
  </w:style>
  <w:style w:type="paragraph" w:customStyle="1" w:styleId="Langue">
    <w:name w:val="Langue"/>
    <w:basedOn w:val="Normal"/>
    <w:next w:val="Rfrenceinterne"/>
    <w:pPr>
      <w:framePr w:wrap="around" w:vAnchor="page" w:hAnchor="text" w:xAlign="center" w:y="14741"/>
      <w:widowControl/>
      <w:spacing w:after="600" w:line="240" w:lineRule="auto"/>
      <w:jc w:val="center"/>
    </w:pPr>
    <w:rPr>
      <w:rFonts w:eastAsiaTheme="minorHAnsi"/>
      <w:b/>
      <w:caps/>
      <w:szCs w:val="22"/>
      <w:lang w:eastAsia="en-US"/>
    </w:rPr>
  </w:style>
  <w:style w:type="paragraph" w:customStyle="1" w:styleId="ManualConsidrant">
    <w:name w:val="Manual Considérant"/>
    <w:basedOn w:val="Normal"/>
    <w:pPr>
      <w:widowControl/>
      <w:spacing w:before="120" w:after="120" w:line="240" w:lineRule="auto"/>
      <w:ind w:left="709" w:hanging="709"/>
      <w:jc w:val="both"/>
    </w:pPr>
    <w:rPr>
      <w:rFonts w:eastAsiaTheme="minorHAnsi"/>
      <w:szCs w:val="22"/>
      <w:lang w:eastAsia="en-US"/>
    </w:rPr>
  </w:style>
  <w:style w:type="paragraph" w:customStyle="1" w:styleId="Nomdelinstitution">
    <w:name w:val="Nom de l'institution"/>
    <w:basedOn w:val="Normal"/>
    <w:next w:val="Emission"/>
    <w:pPr>
      <w:widowControl/>
      <w:spacing w:line="240" w:lineRule="auto"/>
    </w:pPr>
    <w:rPr>
      <w:rFonts w:ascii="Arial" w:eastAsiaTheme="minorHAnsi" w:hAnsi="Arial" w:cs="Arial"/>
      <w:szCs w:val="22"/>
      <w:lang w:eastAsia="en-US"/>
    </w:rPr>
  </w:style>
  <w:style w:type="paragraph" w:customStyle="1" w:styleId="Personnequisigne">
    <w:name w:val="Personne qui signe"/>
    <w:basedOn w:val="Normal"/>
    <w:next w:val="Institutionquisigne"/>
    <w:pPr>
      <w:widowControl/>
      <w:tabs>
        <w:tab w:val="left" w:pos="4252"/>
      </w:tabs>
      <w:spacing w:line="240" w:lineRule="auto"/>
    </w:pPr>
    <w:rPr>
      <w:rFonts w:eastAsiaTheme="minorHAnsi"/>
      <w:i/>
      <w:szCs w:val="22"/>
      <w:lang w:eastAsia="en-US"/>
    </w:rPr>
  </w:style>
  <w:style w:type="paragraph" w:customStyle="1" w:styleId="Rfrenceinstitutionnelle">
    <w:name w:val="Référence institutionnelle"/>
    <w:basedOn w:val="Normal"/>
    <w:next w:val="Confidentialit"/>
    <w:pPr>
      <w:widowControl/>
      <w:spacing w:after="240" w:line="240" w:lineRule="auto"/>
      <w:ind w:left="5103"/>
    </w:pPr>
    <w:rPr>
      <w:rFonts w:eastAsiaTheme="minorHAnsi"/>
      <w:szCs w:val="22"/>
      <w:lang w:eastAsia="en-US"/>
    </w:rPr>
  </w:style>
  <w:style w:type="paragraph" w:customStyle="1" w:styleId="Rfrenceinterinstitutionnelle">
    <w:name w:val="Référence interinstitutionnelle"/>
    <w:basedOn w:val="Normal"/>
    <w:next w:val="Statut"/>
    <w:pPr>
      <w:widowControl/>
      <w:spacing w:line="240" w:lineRule="auto"/>
      <w:ind w:left="5103"/>
    </w:pPr>
    <w:rPr>
      <w:rFonts w:eastAsiaTheme="minorHAnsi"/>
      <w:szCs w:val="22"/>
      <w:lang w:eastAsia="en-US"/>
    </w:rPr>
  </w:style>
  <w:style w:type="paragraph" w:customStyle="1" w:styleId="Rfrenceinterne">
    <w:name w:val="Référence interne"/>
    <w:basedOn w:val="Normal"/>
    <w:next w:val="Rfrenceinterinstitutionnelle"/>
    <w:pPr>
      <w:widowControl/>
      <w:spacing w:line="240" w:lineRule="auto"/>
      <w:ind w:left="5103"/>
    </w:pPr>
    <w:rPr>
      <w:rFonts w:eastAsiaTheme="minorHAnsi"/>
      <w:szCs w:val="22"/>
      <w:lang w:eastAsia="en-US"/>
    </w:rPr>
  </w:style>
  <w:style w:type="paragraph" w:customStyle="1" w:styleId="Sous-titreobjet">
    <w:name w:val="Sous-titre objet"/>
    <w:basedOn w:val="Normal"/>
    <w:pPr>
      <w:widowControl/>
      <w:spacing w:line="240" w:lineRule="auto"/>
      <w:jc w:val="center"/>
    </w:pPr>
    <w:rPr>
      <w:rFonts w:eastAsiaTheme="minorHAnsi"/>
      <w:b/>
      <w:szCs w:val="22"/>
      <w:lang w:eastAsia="en-US"/>
    </w:rPr>
  </w:style>
  <w:style w:type="paragraph" w:customStyle="1" w:styleId="Statut">
    <w:name w:val="Statut"/>
    <w:basedOn w:val="Normal"/>
    <w:next w:val="Typedudocument"/>
    <w:pPr>
      <w:widowControl/>
      <w:spacing w:before="360" w:line="240" w:lineRule="auto"/>
      <w:jc w:val="center"/>
    </w:pPr>
    <w:rPr>
      <w:rFonts w:eastAsiaTheme="minorHAnsi"/>
      <w:szCs w:val="22"/>
      <w:lang w:eastAsia="en-US"/>
    </w:rPr>
  </w:style>
  <w:style w:type="paragraph" w:customStyle="1" w:styleId="Titrearticle">
    <w:name w:val="Titre article"/>
    <w:basedOn w:val="Normal"/>
    <w:next w:val="Normal"/>
    <w:pPr>
      <w:keepNext/>
      <w:widowControl/>
      <w:spacing w:before="360" w:after="120" w:line="240" w:lineRule="auto"/>
      <w:jc w:val="center"/>
    </w:pPr>
    <w:rPr>
      <w:rFonts w:eastAsiaTheme="minorHAnsi"/>
      <w:i/>
      <w:szCs w:val="22"/>
      <w:lang w:eastAsia="en-US"/>
    </w:rPr>
  </w:style>
  <w:style w:type="paragraph" w:customStyle="1" w:styleId="Titreobjet">
    <w:name w:val="Titre objet"/>
    <w:basedOn w:val="Normal"/>
    <w:next w:val="Sous-titreobjet"/>
    <w:pPr>
      <w:widowControl/>
      <w:spacing w:before="180" w:after="180" w:line="240" w:lineRule="auto"/>
      <w:jc w:val="center"/>
    </w:pPr>
    <w:rPr>
      <w:rFonts w:eastAsiaTheme="minorHAnsi"/>
      <w:b/>
      <w:szCs w:val="22"/>
      <w:lang w:eastAsia="en-US"/>
    </w:rPr>
  </w:style>
  <w:style w:type="paragraph" w:customStyle="1" w:styleId="Typedudocument">
    <w:name w:val="Type du document"/>
    <w:basedOn w:val="Normal"/>
    <w:next w:val="Titreobjet"/>
    <w:pPr>
      <w:widowControl/>
      <w:spacing w:before="360" w:after="180" w:line="240" w:lineRule="auto"/>
      <w:jc w:val="center"/>
    </w:pPr>
    <w:rPr>
      <w:rFonts w:eastAsiaTheme="minorHAnsi"/>
      <w:b/>
      <w:szCs w:val="22"/>
      <w:lang w:eastAsia="en-US"/>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widowControl/>
      <w:spacing w:before="120" w:after="120"/>
      <w:ind w:left="3402"/>
    </w:pPr>
    <w:rPr>
      <w:rFonts w:eastAsiaTheme="minorHAnsi"/>
      <w:szCs w:val="22"/>
      <w:lang w:eastAsia="en-US"/>
    </w:rPr>
  </w:style>
  <w:style w:type="paragraph" w:customStyle="1" w:styleId="Objetexterne">
    <w:name w:val="Objet externe"/>
    <w:basedOn w:val="Normal"/>
    <w:next w:val="Normal"/>
    <w:pPr>
      <w:widowControl/>
      <w:spacing w:before="120" w:after="120" w:line="240" w:lineRule="auto"/>
      <w:jc w:val="both"/>
    </w:pPr>
    <w:rPr>
      <w:rFonts w:eastAsiaTheme="minorHAnsi"/>
      <w:i/>
      <w:caps/>
      <w:szCs w:val="22"/>
      <w:lang w:eastAsia="en-US"/>
    </w:r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customStyle="1" w:styleId="Supertitre">
    <w:name w:val="Supertitre"/>
    <w:basedOn w:val="Normal"/>
    <w:next w:val="Normal"/>
    <w:pPr>
      <w:widowControl/>
      <w:spacing w:after="600" w:line="240" w:lineRule="auto"/>
      <w:jc w:val="center"/>
    </w:pPr>
    <w:rPr>
      <w:rFonts w:eastAsiaTheme="minorHAnsi"/>
      <w:b/>
      <w:szCs w:val="22"/>
      <w:lang w:eastAsia="en-US"/>
    </w:rPr>
  </w:style>
  <w:style w:type="paragraph" w:customStyle="1" w:styleId="Languesfaisantfoi">
    <w:name w:val="Langues faisant foi"/>
    <w:basedOn w:val="Normal"/>
    <w:next w:val="Normal"/>
    <w:pPr>
      <w:widowControl/>
      <w:spacing w:before="360" w:line="240" w:lineRule="auto"/>
      <w:jc w:val="center"/>
    </w:pPr>
    <w:rPr>
      <w:rFonts w:eastAsiaTheme="minorHAnsi"/>
      <w:szCs w:val="22"/>
      <w:lang w:eastAsia="en-US"/>
    </w:rPr>
  </w:style>
  <w:style w:type="paragraph" w:customStyle="1" w:styleId="Rfrencecroise">
    <w:name w:val="Référence croisée"/>
    <w:basedOn w:val="Normal"/>
    <w:pPr>
      <w:widowControl/>
      <w:spacing w:line="240" w:lineRule="auto"/>
      <w:jc w:val="center"/>
    </w:pPr>
    <w:rPr>
      <w:rFonts w:eastAsiaTheme="minorHAnsi"/>
      <w:szCs w:val="22"/>
      <w:lang w:eastAsia="en-US"/>
    </w:rPr>
  </w:style>
  <w:style w:type="paragraph" w:customStyle="1" w:styleId="Fichefinanciretitre">
    <w:name w:val="Fiche financière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widowControl/>
      <w:spacing w:after="240" w:line="240" w:lineRule="auto"/>
      <w:ind w:left="5103"/>
    </w:pPr>
    <w:rPr>
      <w:rFonts w:eastAsiaTheme="minorHAnsi"/>
      <w:szCs w:val="22"/>
      <w:lang w:eastAsia="en-US"/>
    </w:r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widowControl/>
      <w:spacing w:before="180" w:after="240" w:line="240" w:lineRule="auto"/>
      <w:jc w:val="center"/>
    </w:pPr>
    <w:rPr>
      <w:rFonts w:eastAsiaTheme="minorHAnsi"/>
      <w:b/>
      <w:szCs w:val="22"/>
      <w:lang w:eastAsia="en-US"/>
    </w:rPr>
  </w:style>
  <w:style w:type="paragraph" w:customStyle="1" w:styleId="Typeacteprincipal">
    <w:name w:val="Type acte principal"/>
    <w:basedOn w:val="Normal"/>
    <w:next w:val="Objetacteprincipal"/>
    <w:pPr>
      <w:widowControl/>
      <w:spacing w:after="240" w:line="240" w:lineRule="auto"/>
      <w:jc w:val="center"/>
    </w:pPr>
    <w:rPr>
      <w:rFonts w:eastAsiaTheme="minorHAnsi"/>
      <w:b/>
      <w:szCs w:val="22"/>
      <w:lang w:eastAsia="en-US"/>
    </w:rPr>
  </w:style>
  <w:style w:type="paragraph" w:customStyle="1" w:styleId="Objetacteprincipal">
    <w:name w:val="Objet acte principal"/>
    <w:basedOn w:val="Normal"/>
    <w:next w:val="Titrearticle"/>
    <w:pPr>
      <w:widowControl/>
      <w:spacing w:after="360" w:line="240" w:lineRule="auto"/>
      <w:jc w:val="center"/>
    </w:pPr>
    <w:rPr>
      <w:rFonts w:eastAsiaTheme="minorHAnsi"/>
      <w:b/>
      <w:szCs w:val="22"/>
      <w:lang w:eastAsia="en-US"/>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widowControl/>
      <w:spacing w:before="360" w:line="240" w:lineRule="auto"/>
      <w:jc w:val="center"/>
    </w:pPr>
    <w:rPr>
      <w:rFonts w:eastAsiaTheme="minorHAnsi"/>
      <w:szCs w:val="22"/>
      <w:lang w:eastAsia="en-US"/>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rPr>
      <w:rFonts w:eastAsiaTheme="minorHAnsi"/>
      <w:bCs/>
    </w:rPr>
  </w:style>
  <w:style w:type="character" w:customStyle="1" w:styleId="FooterCoverPageChar">
    <w:name w:val="Footer Cover Page Char"/>
    <w:basedOn w:val="DefaultParagraphFont"/>
    <w:link w:val="FooterCoverPage"/>
    <w:rPr>
      <w:rFonts w:eastAsiaTheme="minorHAnsi"/>
      <w:bCs/>
      <w:sz w:val="24"/>
      <w:lang w:eastAsia="fr-BE"/>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eastAsiaTheme="minorHAnsi"/>
      <w:bCs/>
    </w:rPr>
  </w:style>
  <w:style w:type="character" w:customStyle="1" w:styleId="HeaderCoverPageChar">
    <w:name w:val="Header Cover Page Char"/>
    <w:basedOn w:val="DefaultParagraphFont"/>
    <w:link w:val="HeaderCoverPage"/>
    <w:rPr>
      <w:rFonts w:eastAsiaTheme="minorHAnsi"/>
      <w:bCs/>
      <w:sz w:val="24"/>
      <w:lang w:eastAsia="fr-BE"/>
    </w:rPr>
  </w:style>
  <w:style w:type="numbering" w:customStyle="1" w:styleId="NoList2">
    <w:name w:val="No List2"/>
    <w:next w:val="NoList"/>
    <w:uiPriority w:val="99"/>
    <w:semiHidden/>
    <w:unhideWhenUsed/>
  </w:style>
  <w:style w:type="table" w:customStyle="1" w:styleId="TableGrid31">
    <w:name w:val="Table Grid31"/>
    <w:basedOn w:val="TableNormal"/>
    <w:next w:val="TableGrid"/>
    <w:uiPriority w:val="59"/>
    <w:rPr>
      <w:rFonts w:eastAsia="MS Mincho"/>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sionSegment">
    <w:name w:val="fusionSegment"/>
    <w:rPr>
      <w:rFonts w:ascii="Courier New" w:hAnsi="Courier New" w:cs="Courier New"/>
      <w:vanish/>
      <w:color w:val="800080"/>
      <w:sz w:val="24"/>
      <w:vertAlign w:val="subscript"/>
      <w:lang w:val="fr-BE"/>
    </w:rPr>
  </w:style>
  <w:style w:type="character" w:customStyle="1" w:styleId="fusionTerm">
    <w:name w:val="fusionTerm"/>
    <w:rPr>
      <w:color w:val="FF6600"/>
      <w:sz w:val="24"/>
      <w:lang w:val="fr-BE"/>
    </w:rPr>
  </w:style>
  <w:style w:type="character" w:customStyle="1" w:styleId="fusionSegmentGuarded">
    <w:name w:val="fusionSegmentGuarded"/>
    <w:rPr>
      <w:rFonts w:ascii="Courier New" w:hAnsi="Courier New" w:cs="Courier New"/>
      <w:vanish/>
      <w:color w:val="FF0000"/>
      <w:sz w:val="24"/>
      <w:shd w:val="clear" w:color="auto" w:fill="FFCC00"/>
      <w:vertAlign w:val="subscript"/>
      <w:lang w:val="fr-BE"/>
    </w:rPr>
  </w:style>
  <w:style w:type="character" w:customStyle="1" w:styleId="fusionSegmentForReview">
    <w:name w:val="fusionSegmentForReview"/>
    <w:rPr>
      <w:rFonts w:ascii="Courier New" w:hAnsi="Courier New" w:cs="Courier New"/>
      <w:vanish/>
      <w:color w:val="800080"/>
      <w:sz w:val="24"/>
      <w:shd w:val="clear" w:color="auto" w:fill="FFFF99"/>
      <w:vertAlign w:val="subscript"/>
      <w:lang w:val="fr-BE"/>
    </w:rPr>
  </w:style>
  <w:style w:type="paragraph" w:styleId="ListParagraph">
    <w:name w:val="List Paragraph"/>
    <w:basedOn w:val="Normal"/>
    <w:uiPriority w:val="34"/>
    <w:qFormat/>
    <w:pPr>
      <w:widowControl/>
      <w:spacing w:before="120" w:after="120" w:line="240" w:lineRule="auto"/>
      <w:ind w:left="720"/>
      <w:contextualSpacing/>
      <w:jc w:val="both"/>
    </w:pPr>
    <w:rPr>
      <w:rFonts w:eastAsiaTheme="minorHAns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uiPriority w:val="9"/>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uiPriority w:val="9"/>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uiPriority w:val="9"/>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uiPriority w:val="9"/>
    <w:qFormat/>
    <w:pPr>
      <w:keepNext/>
      <w:widowControl/>
      <w:numPr>
        <w:ilvl w:val="3"/>
        <w:numId w:val="14"/>
      </w:numPr>
      <w:spacing w:before="120" w:after="120" w:line="240" w:lineRule="auto"/>
      <w:jc w:val="both"/>
      <w:outlineLvl w:val="3"/>
    </w:pPr>
  </w:style>
  <w:style w:type="paragraph" w:styleId="Heading5">
    <w:name w:val="heading 5"/>
    <w:basedOn w:val="Normal"/>
    <w:next w:val="Normal"/>
    <w:qFormat/>
    <w:pPr>
      <w:widowControl/>
      <w:spacing w:before="240" w:after="60" w:line="240" w:lineRule="auto"/>
      <w:jc w:val="both"/>
      <w:outlineLvl w:val="4"/>
    </w:pPr>
    <w:rPr>
      <w:rFonts w:ascii="Arial" w:hAnsi="Arial"/>
      <w:sz w:val="22"/>
    </w:rPr>
  </w:style>
  <w:style w:type="paragraph" w:styleId="Heading6">
    <w:name w:val="heading 6"/>
    <w:basedOn w:val="Normal"/>
    <w:next w:val="Normal"/>
    <w:qFormat/>
    <w:pPr>
      <w:widowControl/>
      <w:spacing w:before="240" w:after="60" w:line="240" w:lineRule="auto"/>
      <w:jc w:val="both"/>
      <w:outlineLvl w:val="5"/>
    </w:pPr>
    <w:rPr>
      <w:rFonts w:ascii="Arial" w:hAnsi="Arial"/>
      <w:i/>
      <w:sz w:val="22"/>
    </w:rPr>
  </w:style>
  <w:style w:type="paragraph" w:styleId="Heading7">
    <w:name w:val="heading 7"/>
    <w:basedOn w:val="Normal"/>
    <w:next w:val="Normal"/>
    <w:qFormat/>
    <w:pPr>
      <w:widowControl/>
      <w:spacing w:before="240" w:after="60" w:line="240" w:lineRule="auto"/>
      <w:jc w:val="both"/>
      <w:outlineLvl w:val="6"/>
    </w:pPr>
    <w:rPr>
      <w:rFonts w:ascii="Arial" w:hAnsi="Arial"/>
      <w:sz w:val="20"/>
    </w:rPr>
  </w:style>
  <w:style w:type="paragraph" w:styleId="Heading8">
    <w:name w:val="heading 8"/>
    <w:basedOn w:val="Normal"/>
    <w:next w:val="Normal"/>
    <w:qFormat/>
    <w:pPr>
      <w:widowControl/>
      <w:spacing w:before="240" w:after="60" w:line="240" w:lineRule="auto"/>
      <w:jc w:val="both"/>
      <w:outlineLvl w:val="7"/>
    </w:pPr>
    <w:rPr>
      <w:rFonts w:ascii="Arial" w:hAnsi="Arial"/>
      <w:i/>
      <w:sz w:val="20"/>
    </w:rPr>
  </w:style>
  <w:style w:type="paragraph" w:styleId="Heading9">
    <w:name w:val="heading 9"/>
    <w:basedOn w:val="Normal"/>
    <w:next w:val="Normal"/>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uiPriority w:val="99"/>
    <w:rPr>
      <w:b/>
      <w:vertAlign w:val="superscript"/>
    </w:rPr>
  </w:style>
  <w:style w:type="paragraph" w:styleId="FootnoteText">
    <w:name w:val="footnote text"/>
    <w:basedOn w:val="Normal"/>
    <w:link w:val="FootnoteTextChar"/>
    <w:uiPriority w:val="99"/>
    <w:pPr>
      <w:tabs>
        <w:tab w:val="left" w:pos="567"/>
      </w:tabs>
      <w:spacing w:line="240" w:lineRule="auto"/>
      <w:ind w:left="567" w:hanging="567"/>
    </w:pPr>
  </w:style>
  <w:style w:type="paragraph" w:styleId="Header">
    <w:name w:val="header"/>
    <w:basedOn w:val="Normal"/>
    <w:link w:val="HeaderChar"/>
    <w:uiPriority w:val="99"/>
    <w:pPr>
      <w:tabs>
        <w:tab w:val="center" w:pos="4820"/>
        <w:tab w:val="right" w:pos="7371"/>
        <w:tab w:val="right" w:pos="9639"/>
      </w:tabs>
      <w:spacing w:line="240" w:lineRule="auto"/>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uiPriority w:val="39"/>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uiPriority w:val="39"/>
    <w:pPr>
      <w:tabs>
        <w:tab w:val="left" w:pos="1134"/>
        <w:tab w:val="right" w:leader="dot" w:pos="9639"/>
      </w:tabs>
      <w:ind w:left="1134" w:right="567" w:hanging="567"/>
    </w:pPr>
  </w:style>
  <w:style w:type="paragraph" w:styleId="TOC3">
    <w:name w:val="toc 3"/>
    <w:basedOn w:val="Normal"/>
    <w:next w:val="Normal"/>
    <w:uiPriority w:val="39"/>
    <w:pPr>
      <w:tabs>
        <w:tab w:val="left" w:pos="1701"/>
        <w:tab w:val="right" w:leader="dot" w:pos="9639"/>
      </w:tabs>
      <w:ind w:left="1701" w:right="567" w:hanging="567"/>
    </w:pPr>
  </w:style>
  <w:style w:type="paragraph" w:styleId="TOC4">
    <w:name w:val="toc 4"/>
    <w:basedOn w:val="Normal"/>
    <w:next w:val="Normal"/>
    <w:uiPriority w:val="39"/>
    <w:pPr>
      <w:tabs>
        <w:tab w:val="left" w:pos="2268"/>
        <w:tab w:val="right" w:pos="9639"/>
      </w:tabs>
      <w:ind w:left="2268" w:right="567" w:hanging="567"/>
    </w:pPr>
  </w:style>
  <w:style w:type="paragraph" w:styleId="TOC5">
    <w:name w:val="toc 5"/>
    <w:basedOn w:val="Normal"/>
    <w:next w:val="Normal"/>
    <w:uiPriority w:val="39"/>
    <w:pPr>
      <w:tabs>
        <w:tab w:val="left" w:pos="2835"/>
        <w:tab w:val="right" w:leader="dot" w:pos="9639"/>
      </w:tabs>
      <w:ind w:left="2835" w:right="567" w:hanging="567"/>
    </w:pPr>
  </w:style>
  <w:style w:type="paragraph" w:styleId="TOC6">
    <w:name w:val="toc 6"/>
    <w:basedOn w:val="Normal"/>
    <w:next w:val="Normal"/>
    <w:uiPriority w:val="39"/>
    <w:pPr>
      <w:tabs>
        <w:tab w:val="left" w:pos="3402"/>
        <w:tab w:val="right" w:leader="dot" w:pos="9639"/>
      </w:tabs>
      <w:ind w:left="3402" w:right="567" w:hanging="567"/>
    </w:pPr>
  </w:style>
  <w:style w:type="paragraph" w:styleId="TOC7">
    <w:name w:val="toc 7"/>
    <w:basedOn w:val="Normal"/>
    <w:next w:val="Normal"/>
    <w:uiPriority w:val="39"/>
    <w:pPr>
      <w:tabs>
        <w:tab w:val="left" w:pos="3969"/>
        <w:tab w:val="right" w:leader="dot" w:pos="9639"/>
      </w:tabs>
      <w:ind w:left="3969" w:right="567" w:hanging="567"/>
    </w:pPr>
  </w:style>
  <w:style w:type="paragraph" w:styleId="TOC8">
    <w:name w:val="toc 8"/>
    <w:basedOn w:val="Normal"/>
    <w:next w:val="Normal"/>
    <w:uiPriority w:val="39"/>
    <w:pPr>
      <w:tabs>
        <w:tab w:val="left" w:pos="4536"/>
        <w:tab w:val="right" w:leader="dot" w:pos="9639"/>
      </w:tabs>
      <w:ind w:left="4536" w:right="567" w:hanging="567"/>
    </w:pPr>
  </w:style>
  <w:style w:type="paragraph" w:styleId="TOC9">
    <w:name w:val="toc 9"/>
    <w:basedOn w:val="Normal"/>
    <w:next w:val="Normal"/>
    <w:uiPriority w:val="39"/>
    <w:pPr>
      <w:tabs>
        <w:tab w:val="left" w:pos="5103"/>
        <w:tab w:val="right" w:leader="dot" w:pos="9639"/>
      </w:tabs>
      <w:ind w:left="5103" w:right="567" w:hanging="567"/>
    </w:pPr>
  </w:style>
  <w:style w:type="paragraph" w:styleId="EndnoteText">
    <w:name w:val="endnote text"/>
    <w:basedOn w:val="Normal"/>
    <w:pPr>
      <w:tabs>
        <w:tab w:val="left" w:pos="567"/>
      </w:tabs>
      <w:spacing w:line="240" w:lineRule="auto"/>
      <w:ind w:left="567" w:hanging="567"/>
    </w:pPr>
  </w:style>
  <w:style w:type="character" w:styleId="EndnoteReference">
    <w:name w:val="endnote reference"/>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link w:val="BalloonTextChar"/>
    <w:uiPriority w:val="99"/>
    <w:rPr>
      <w:rFonts w:ascii="Tahoma" w:hAnsi="Tahoma" w:cs="Tahoma"/>
      <w:sz w:val="16"/>
      <w:szCs w:val="16"/>
    </w:rPr>
  </w:style>
  <w:style w:type="numbering" w:customStyle="1" w:styleId="NoList1">
    <w:name w:val="No List1"/>
    <w:next w:val="NoList"/>
    <w:uiPriority w:val="99"/>
    <w:semiHidden/>
    <w:unhideWhenUsed/>
  </w:style>
  <w:style w:type="character" w:customStyle="1" w:styleId="Heading1Char">
    <w:name w:val="Heading 1 Char"/>
    <w:basedOn w:val="DefaultParagraphFont"/>
    <w:link w:val="Heading1"/>
    <w:uiPriority w:val="9"/>
    <w:rPr>
      <w:b/>
      <w:smallCaps/>
      <w:sz w:val="24"/>
      <w:lang w:eastAsia="fr-BE"/>
    </w:rPr>
  </w:style>
  <w:style w:type="character" w:customStyle="1" w:styleId="Heading2Char">
    <w:name w:val="Heading 2 Char"/>
    <w:basedOn w:val="DefaultParagraphFont"/>
    <w:link w:val="Heading2"/>
    <w:uiPriority w:val="9"/>
    <w:rPr>
      <w:b/>
      <w:sz w:val="24"/>
      <w:lang w:eastAsia="fr-BE"/>
    </w:rPr>
  </w:style>
  <w:style w:type="character" w:customStyle="1" w:styleId="Heading3Char">
    <w:name w:val="Heading 3 Char"/>
    <w:basedOn w:val="DefaultParagraphFont"/>
    <w:link w:val="Heading3"/>
    <w:uiPriority w:val="9"/>
    <w:rPr>
      <w:i/>
      <w:sz w:val="24"/>
      <w:lang w:eastAsia="fr-BE"/>
    </w:rPr>
  </w:style>
  <w:style w:type="character" w:customStyle="1" w:styleId="Heading4Char">
    <w:name w:val="Heading 4 Char"/>
    <w:basedOn w:val="DefaultParagraphFont"/>
    <w:link w:val="Heading4"/>
    <w:uiPriority w:val="9"/>
    <w:rPr>
      <w:sz w:val="24"/>
      <w:lang w:eastAsia="fr-BE"/>
    </w:rPr>
  </w:style>
  <w:style w:type="table" w:customStyle="1" w:styleId="TableGrid3">
    <w:name w:val="Table Grid3"/>
    <w:basedOn w:val="TableNormal"/>
    <w:next w:val="TableGrid"/>
    <w:uiPriority w:val="59"/>
    <w:rPr>
      <w:rFonts w:eastAsia="MS Mincho"/>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semiHidden/>
    <w:unhideWhenUsed/>
    <w:qFormat/>
    <w:pPr>
      <w:widowControl/>
      <w:spacing w:after="200" w:line="240" w:lineRule="auto"/>
      <w:jc w:val="both"/>
    </w:pPr>
    <w:rPr>
      <w:rFonts w:eastAsiaTheme="minorHAnsi"/>
      <w:b/>
      <w:bCs/>
      <w:color w:val="4F81BD" w:themeColor="accent1"/>
      <w:sz w:val="18"/>
      <w:szCs w:val="18"/>
      <w:lang w:eastAsia="en-US"/>
    </w:rPr>
  </w:style>
  <w:style w:type="paragraph" w:styleId="TableofFigures">
    <w:name w:val="table of figures"/>
    <w:basedOn w:val="Normal"/>
    <w:next w:val="Normal"/>
    <w:uiPriority w:val="99"/>
    <w:unhideWhenUsed/>
    <w:pPr>
      <w:widowControl/>
      <w:spacing w:before="120" w:line="240" w:lineRule="auto"/>
      <w:jc w:val="both"/>
    </w:pPr>
    <w:rPr>
      <w:rFonts w:eastAsiaTheme="minorHAnsi"/>
      <w:szCs w:val="22"/>
      <w:lang w:eastAsia="en-US"/>
    </w:rPr>
  </w:style>
  <w:style w:type="paragraph" w:styleId="ListBullet">
    <w:name w:val="List Bullet"/>
    <w:basedOn w:val="Normal"/>
    <w:uiPriority w:val="99"/>
    <w:unhideWhenUsed/>
    <w:pPr>
      <w:widowControl/>
      <w:numPr>
        <w:numId w:val="15"/>
      </w:numPr>
      <w:spacing w:before="120" w:after="120" w:line="240" w:lineRule="auto"/>
      <w:contextualSpacing/>
      <w:jc w:val="both"/>
    </w:pPr>
    <w:rPr>
      <w:rFonts w:eastAsiaTheme="minorHAnsi"/>
      <w:szCs w:val="22"/>
      <w:lang w:eastAsia="en-US"/>
    </w:rPr>
  </w:style>
  <w:style w:type="paragraph" w:styleId="ListBullet2">
    <w:name w:val="List Bullet 2"/>
    <w:basedOn w:val="Normal"/>
    <w:uiPriority w:val="99"/>
    <w:unhideWhenUsed/>
    <w:pPr>
      <w:widowControl/>
      <w:numPr>
        <w:numId w:val="16"/>
      </w:numPr>
      <w:spacing w:before="120" w:after="120" w:line="240" w:lineRule="auto"/>
      <w:contextualSpacing/>
      <w:jc w:val="both"/>
    </w:pPr>
    <w:rPr>
      <w:rFonts w:eastAsiaTheme="minorHAnsi"/>
      <w:szCs w:val="22"/>
      <w:lang w:eastAsia="en-US"/>
    </w:rPr>
  </w:style>
  <w:style w:type="paragraph" w:styleId="ListBullet3">
    <w:name w:val="List Bullet 3"/>
    <w:basedOn w:val="Normal"/>
    <w:uiPriority w:val="99"/>
    <w:unhideWhenUsed/>
    <w:pPr>
      <w:widowControl/>
      <w:numPr>
        <w:numId w:val="17"/>
      </w:numPr>
      <w:spacing w:before="120" w:after="120" w:line="240" w:lineRule="auto"/>
      <w:contextualSpacing/>
      <w:jc w:val="both"/>
    </w:pPr>
    <w:rPr>
      <w:rFonts w:eastAsiaTheme="minorHAnsi"/>
      <w:szCs w:val="22"/>
      <w:lang w:eastAsia="en-US"/>
    </w:rPr>
  </w:style>
  <w:style w:type="paragraph" w:styleId="ListBullet4">
    <w:name w:val="List Bullet 4"/>
    <w:basedOn w:val="Normal"/>
    <w:uiPriority w:val="99"/>
    <w:unhideWhenUsed/>
    <w:pPr>
      <w:widowControl/>
      <w:numPr>
        <w:numId w:val="18"/>
      </w:numPr>
      <w:spacing w:before="120" w:after="120" w:line="240" w:lineRule="auto"/>
      <w:contextualSpacing/>
      <w:jc w:val="both"/>
    </w:pPr>
    <w:rPr>
      <w:rFonts w:eastAsiaTheme="minorHAnsi"/>
      <w:szCs w:val="22"/>
      <w:lang w:eastAsia="en-US"/>
    </w:rPr>
  </w:style>
  <w:style w:type="paragraph" w:styleId="ListNumber">
    <w:name w:val="List Number"/>
    <w:basedOn w:val="Normal"/>
    <w:uiPriority w:val="99"/>
    <w:unhideWhenUsed/>
    <w:pPr>
      <w:widowControl/>
      <w:numPr>
        <w:numId w:val="19"/>
      </w:numPr>
      <w:spacing w:before="120" w:after="120" w:line="240" w:lineRule="auto"/>
      <w:contextualSpacing/>
      <w:jc w:val="both"/>
    </w:pPr>
    <w:rPr>
      <w:rFonts w:eastAsiaTheme="minorHAnsi"/>
      <w:szCs w:val="22"/>
      <w:lang w:eastAsia="en-US"/>
    </w:rPr>
  </w:style>
  <w:style w:type="paragraph" w:styleId="ListNumber2">
    <w:name w:val="List Number 2"/>
    <w:basedOn w:val="Normal"/>
    <w:uiPriority w:val="99"/>
    <w:unhideWhenUsed/>
    <w:pPr>
      <w:widowControl/>
      <w:numPr>
        <w:numId w:val="20"/>
      </w:numPr>
      <w:spacing w:before="120" w:after="120" w:line="240" w:lineRule="auto"/>
      <w:contextualSpacing/>
      <w:jc w:val="both"/>
    </w:pPr>
    <w:rPr>
      <w:rFonts w:eastAsiaTheme="minorHAnsi"/>
      <w:szCs w:val="22"/>
      <w:lang w:eastAsia="en-US"/>
    </w:rPr>
  </w:style>
  <w:style w:type="paragraph" w:styleId="ListNumber3">
    <w:name w:val="List Number 3"/>
    <w:basedOn w:val="Normal"/>
    <w:uiPriority w:val="99"/>
    <w:unhideWhenUsed/>
    <w:pPr>
      <w:widowControl/>
      <w:numPr>
        <w:numId w:val="21"/>
      </w:numPr>
      <w:spacing w:before="120" w:after="120" w:line="240" w:lineRule="auto"/>
      <w:contextualSpacing/>
      <w:jc w:val="both"/>
    </w:pPr>
    <w:rPr>
      <w:rFonts w:eastAsiaTheme="minorHAnsi"/>
      <w:szCs w:val="22"/>
      <w:lang w:eastAsia="en-US"/>
    </w:rPr>
  </w:style>
  <w:style w:type="paragraph" w:styleId="ListNumber4">
    <w:name w:val="List Number 4"/>
    <w:basedOn w:val="Normal"/>
    <w:uiPriority w:val="99"/>
    <w:unhideWhenUsed/>
    <w:pPr>
      <w:widowControl/>
      <w:numPr>
        <w:numId w:val="22"/>
      </w:numPr>
      <w:spacing w:before="120" w:after="120" w:line="240" w:lineRule="auto"/>
      <w:contextualSpacing/>
      <w:jc w:val="both"/>
    </w:pPr>
    <w:rPr>
      <w:rFonts w:eastAsiaTheme="minorHAnsi"/>
      <w:szCs w:val="22"/>
      <w:lang w:eastAsia="en-US"/>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pPr>
      <w:widowControl/>
      <w:spacing w:before="120" w:after="120" w:line="240" w:lineRule="auto"/>
      <w:jc w:val="both"/>
    </w:pPr>
    <w:rPr>
      <w:rFonts w:eastAsiaTheme="minorHAnsi"/>
      <w:sz w:val="20"/>
      <w:lang w:eastAsia="en-US"/>
    </w:rPr>
  </w:style>
  <w:style w:type="character" w:customStyle="1" w:styleId="CommentTextChar">
    <w:name w:val="Comment Text Char"/>
    <w:basedOn w:val="DefaultParagraphFont"/>
    <w:link w:val="CommentText"/>
    <w:uiPriority w:val="99"/>
    <w:rPr>
      <w:rFonts w:eastAsiaTheme="minorHAnsi"/>
      <w:lang w:eastAsia="en-US"/>
    </w:rPr>
  </w:style>
  <w:style w:type="paragraph" w:styleId="CommentSubject">
    <w:name w:val="annotation subject"/>
    <w:basedOn w:val="CommentText"/>
    <w:next w:val="CommentText"/>
    <w:link w:val="CommentSubjectChar"/>
    <w:uiPriority w:val="99"/>
    <w:unhideWhenUsed/>
    <w:rPr>
      <w:b/>
      <w:bCs/>
    </w:rPr>
  </w:style>
  <w:style w:type="character" w:customStyle="1" w:styleId="CommentSubjectChar">
    <w:name w:val="Comment Subject Char"/>
    <w:basedOn w:val="CommentTextChar"/>
    <w:link w:val="CommentSubject"/>
    <w:uiPriority w:val="99"/>
    <w:rPr>
      <w:rFonts w:eastAsiaTheme="minorHAnsi"/>
      <w:b/>
      <w:bCs/>
      <w:lang w:eastAsia="en-US"/>
    </w:rPr>
  </w:style>
  <w:style w:type="character" w:styleId="Hyperlink">
    <w:name w:val="Hyperlink"/>
    <w:basedOn w:val="DefaultParagraphFont"/>
    <w:uiPriority w:val="99"/>
    <w:unhideWhenUsed/>
    <w:rPr>
      <w:color w:val="0000FF" w:themeColor="hyperlink"/>
      <w:u w:val="single"/>
    </w:rPr>
  </w:style>
  <w:style w:type="character" w:customStyle="1" w:styleId="BalloonTextChar">
    <w:name w:val="Balloon Text Char"/>
    <w:basedOn w:val="DefaultParagraphFont"/>
    <w:link w:val="BalloonText"/>
    <w:uiPriority w:val="99"/>
    <w:rPr>
      <w:rFonts w:ascii="Tahoma" w:hAnsi="Tahoma" w:cs="Tahoma"/>
      <w:sz w:val="16"/>
      <w:szCs w:val="16"/>
      <w:lang w:eastAsia="fr-BE"/>
    </w:rPr>
  </w:style>
  <w:style w:type="paragraph" w:styleId="BodyText">
    <w:name w:val="Body Text"/>
    <w:aliases w:val="Texto independiente Car,Car1 Car, Car1 Car"/>
    <w:basedOn w:val="Normal"/>
    <w:link w:val="BodyTextChar"/>
    <w:uiPriority w:val="99"/>
    <w:pPr>
      <w:widowControl/>
      <w:suppressAutoHyphens/>
      <w:spacing w:before="120" w:after="120" w:line="240" w:lineRule="auto"/>
      <w:jc w:val="both"/>
    </w:pPr>
    <w:rPr>
      <w:rFonts w:eastAsia="Batang"/>
      <w:kern w:val="1"/>
      <w:lang w:eastAsia="ar-SA"/>
    </w:rPr>
  </w:style>
  <w:style w:type="character" w:customStyle="1" w:styleId="BodyTextChar">
    <w:name w:val="Body Text Char"/>
    <w:aliases w:val="Texto independiente Car Char,Car1 Car Char, Car1 Car Char"/>
    <w:basedOn w:val="DefaultParagraphFont"/>
    <w:link w:val="BodyText"/>
    <w:uiPriority w:val="99"/>
    <w:rPr>
      <w:rFonts w:eastAsia="Batang"/>
      <w:kern w:val="1"/>
      <w:sz w:val="24"/>
      <w:lang w:eastAsia="ar-SA"/>
    </w:rPr>
  </w:style>
  <w:style w:type="character" w:customStyle="1" w:styleId="ManualNumPar1Char">
    <w:name w:val="Manual NumPar 1 Char"/>
    <w:locked/>
    <w:rPr>
      <w:rFonts w:ascii="Times New Roman" w:hAnsi="Times New Roman" w:cs="Times New Roman"/>
      <w:sz w:val="24"/>
      <w:lang w:val="en-GB"/>
    </w:rPr>
  </w:style>
  <w:style w:type="character" w:customStyle="1" w:styleId="Text1Char">
    <w:name w:val="Text 1 Char"/>
    <w:rPr>
      <w:rFonts w:ascii="Times New Roman" w:hAnsi="Times New Roman" w:cs="Times New Roman"/>
      <w:sz w:val="24"/>
      <w:lang w:val="en-GB"/>
    </w:rPr>
  </w:style>
  <w:style w:type="paragraph" w:customStyle="1" w:styleId="Annexetitreacte">
    <w:name w:val="Annexe titre (acte)"/>
    <w:basedOn w:val="Normal"/>
    <w:next w:val="Normal"/>
    <w:pPr>
      <w:widowControl/>
      <w:spacing w:before="120" w:after="120" w:line="240" w:lineRule="auto"/>
      <w:jc w:val="center"/>
    </w:pPr>
    <w:rPr>
      <w:b/>
      <w:bCs/>
      <w:szCs w:val="24"/>
      <w:u w:val="single"/>
      <w:lang w:eastAsia="de-DE"/>
    </w:rPr>
  </w:style>
  <w:style w:type="paragraph" w:customStyle="1" w:styleId="Default">
    <w:name w:val="Default"/>
    <w:pPr>
      <w:autoSpaceDE w:val="0"/>
      <w:autoSpaceDN w:val="0"/>
      <w:adjustRightInd w:val="0"/>
    </w:pPr>
    <w:rPr>
      <w:rFonts w:eastAsia="Calibri"/>
      <w:color w:val="000000"/>
      <w:sz w:val="24"/>
      <w:szCs w:val="24"/>
      <w:lang w:val="en-US" w:eastAsia="en-US"/>
    </w:rPr>
  </w:style>
  <w:style w:type="character" w:styleId="FollowedHyperlink">
    <w:name w:val="FollowedHyperlink"/>
    <w:basedOn w:val="DefaultParagraphFont"/>
    <w:uiPriority w:val="99"/>
    <w:unhideWhenUsed/>
    <w:rPr>
      <w:color w:val="800080" w:themeColor="followedHyperlink"/>
      <w:u w:val="single"/>
    </w:rPr>
  </w:style>
  <w:style w:type="paragraph" w:styleId="Revision">
    <w:name w:val="Revision"/>
    <w:hidden/>
    <w:uiPriority w:val="99"/>
    <w:semiHidden/>
    <w:rPr>
      <w:rFonts w:eastAsiaTheme="minorHAnsi"/>
      <w:sz w:val="24"/>
      <w:szCs w:val="22"/>
      <w:lang w:eastAsia="en-US"/>
    </w:rPr>
  </w:style>
  <w:style w:type="character" w:customStyle="1" w:styleId="HeaderChar">
    <w:name w:val="Header Char"/>
    <w:basedOn w:val="DefaultParagraphFont"/>
    <w:link w:val="Header"/>
    <w:uiPriority w:val="99"/>
    <w:rPr>
      <w:sz w:val="24"/>
      <w:lang w:eastAsia="fr-BE"/>
    </w:rPr>
  </w:style>
  <w:style w:type="character" w:customStyle="1" w:styleId="FooterChar">
    <w:name w:val="Footer Char"/>
    <w:basedOn w:val="DefaultParagraphFont"/>
    <w:link w:val="Footer"/>
    <w:uiPriority w:val="99"/>
    <w:rPr>
      <w:sz w:val="24"/>
      <w:lang w:eastAsia="fr-BE"/>
    </w:rPr>
  </w:style>
  <w:style w:type="character" w:customStyle="1" w:styleId="FootnoteTextChar">
    <w:name w:val="Footnote Text Char"/>
    <w:basedOn w:val="DefaultParagraphFont"/>
    <w:link w:val="FootnoteText"/>
    <w:uiPriority w:val="99"/>
    <w:rPr>
      <w:sz w:val="24"/>
      <w:lang w:eastAsia="fr-BE"/>
    </w:rPr>
  </w:style>
  <w:style w:type="paragraph" w:styleId="TOCHeading">
    <w:name w:val="TOC Heading"/>
    <w:basedOn w:val="Normal"/>
    <w:next w:val="Normal"/>
    <w:uiPriority w:val="39"/>
    <w:semiHidden/>
    <w:unhideWhenUsed/>
    <w:qFormat/>
    <w:pPr>
      <w:widowControl/>
      <w:spacing w:before="120" w:after="240" w:line="240" w:lineRule="auto"/>
      <w:jc w:val="center"/>
    </w:pPr>
    <w:rPr>
      <w:rFonts w:eastAsiaTheme="minorHAnsi"/>
      <w:b/>
      <w:sz w:val="28"/>
      <w:szCs w:val="22"/>
      <w:lang w:eastAsia="en-US"/>
    </w:rPr>
  </w:style>
  <w:style w:type="paragraph" w:customStyle="1" w:styleId="HeaderLandscape">
    <w:name w:val="HeaderLandscape"/>
    <w:basedOn w:val="Normal"/>
    <w:pPr>
      <w:widowControl/>
      <w:tabs>
        <w:tab w:val="center" w:pos="7285"/>
        <w:tab w:val="right" w:pos="14003"/>
      </w:tabs>
      <w:spacing w:after="120" w:line="240" w:lineRule="auto"/>
      <w:jc w:val="both"/>
    </w:pPr>
    <w:rPr>
      <w:rFonts w:eastAsiaTheme="minorHAnsi"/>
      <w:szCs w:val="22"/>
      <w:lang w:eastAsia="en-US"/>
    </w:rPr>
  </w:style>
  <w:style w:type="paragraph" w:customStyle="1" w:styleId="Text1">
    <w:name w:val="Text 1"/>
    <w:basedOn w:val="Normal"/>
    <w:pPr>
      <w:widowControl/>
      <w:spacing w:before="120" w:after="120" w:line="240" w:lineRule="auto"/>
      <w:ind w:left="850"/>
      <w:jc w:val="both"/>
    </w:pPr>
    <w:rPr>
      <w:rFonts w:eastAsiaTheme="minorHAnsi"/>
      <w:szCs w:val="22"/>
      <w:lang w:eastAsia="en-US"/>
    </w:rPr>
  </w:style>
  <w:style w:type="paragraph" w:customStyle="1" w:styleId="Text2">
    <w:name w:val="Text 2"/>
    <w:basedOn w:val="Normal"/>
    <w:pPr>
      <w:widowControl/>
      <w:spacing w:before="120" w:after="120" w:line="240" w:lineRule="auto"/>
      <w:ind w:left="1417"/>
      <w:jc w:val="both"/>
    </w:pPr>
    <w:rPr>
      <w:rFonts w:eastAsiaTheme="minorHAnsi"/>
      <w:szCs w:val="22"/>
      <w:lang w:eastAsia="en-US"/>
    </w:rPr>
  </w:style>
  <w:style w:type="paragraph" w:customStyle="1" w:styleId="Text3">
    <w:name w:val="Text 3"/>
    <w:basedOn w:val="Normal"/>
    <w:pPr>
      <w:widowControl/>
      <w:spacing w:before="120" w:after="120" w:line="240" w:lineRule="auto"/>
      <w:ind w:left="1984"/>
      <w:jc w:val="both"/>
    </w:pPr>
    <w:rPr>
      <w:rFonts w:eastAsiaTheme="minorHAnsi"/>
      <w:szCs w:val="22"/>
      <w:lang w:eastAsia="en-US"/>
    </w:rPr>
  </w:style>
  <w:style w:type="paragraph" w:customStyle="1" w:styleId="Text4">
    <w:name w:val="Text 4"/>
    <w:basedOn w:val="Normal"/>
    <w:pPr>
      <w:widowControl/>
      <w:spacing w:before="120" w:after="120" w:line="240" w:lineRule="auto"/>
      <w:ind w:left="2551"/>
      <w:jc w:val="both"/>
    </w:pPr>
    <w:rPr>
      <w:rFonts w:eastAsiaTheme="minorHAnsi"/>
      <w:szCs w:val="22"/>
      <w:lang w:eastAsia="en-US"/>
    </w:rPr>
  </w:style>
  <w:style w:type="paragraph" w:customStyle="1" w:styleId="NormalCentered">
    <w:name w:val="Normal Centered"/>
    <w:basedOn w:val="Normal"/>
    <w:pPr>
      <w:widowControl/>
      <w:spacing w:before="120" w:after="120" w:line="240" w:lineRule="auto"/>
      <w:jc w:val="center"/>
    </w:pPr>
    <w:rPr>
      <w:rFonts w:eastAsiaTheme="minorHAnsi"/>
      <w:szCs w:val="22"/>
      <w:lang w:eastAsia="en-US"/>
    </w:rPr>
  </w:style>
  <w:style w:type="paragraph" w:customStyle="1" w:styleId="NormalLeft">
    <w:name w:val="Normal Left"/>
    <w:basedOn w:val="Normal"/>
    <w:pPr>
      <w:widowControl/>
      <w:spacing w:before="120" w:after="120" w:line="240" w:lineRule="auto"/>
    </w:pPr>
    <w:rPr>
      <w:rFonts w:eastAsiaTheme="minorHAnsi"/>
      <w:szCs w:val="22"/>
      <w:lang w:eastAsia="en-US"/>
    </w:rPr>
  </w:style>
  <w:style w:type="paragraph" w:customStyle="1" w:styleId="NormalRight">
    <w:name w:val="Normal Right"/>
    <w:basedOn w:val="Normal"/>
    <w:pPr>
      <w:widowControl/>
      <w:spacing w:before="120" w:after="120" w:line="240" w:lineRule="auto"/>
      <w:jc w:val="right"/>
    </w:pPr>
    <w:rPr>
      <w:rFonts w:eastAsiaTheme="minorHAnsi"/>
      <w:szCs w:val="22"/>
      <w:lang w:eastAsia="en-US"/>
    </w:rPr>
  </w:style>
  <w:style w:type="paragraph" w:customStyle="1" w:styleId="QuotedText">
    <w:name w:val="Quoted Text"/>
    <w:basedOn w:val="Normal"/>
    <w:pPr>
      <w:widowControl/>
      <w:spacing w:before="120" w:after="120" w:line="240" w:lineRule="auto"/>
      <w:ind w:left="1417"/>
      <w:jc w:val="both"/>
    </w:pPr>
    <w:rPr>
      <w:rFonts w:eastAsiaTheme="minorHAnsi"/>
      <w:szCs w:val="22"/>
      <w:lang w:eastAsia="en-US"/>
    </w:rPr>
  </w:style>
  <w:style w:type="paragraph" w:customStyle="1" w:styleId="Point0">
    <w:name w:val="Point 0"/>
    <w:basedOn w:val="Normal"/>
    <w:pPr>
      <w:widowControl/>
      <w:spacing w:before="120" w:after="120" w:line="240" w:lineRule="auto"/>
      <w:ind w:left="850" w:hanging="850"/>
      <w:jc w:val="both"/>
    </w:pPr>
    <w:rPr>
      <w:rFonts w:eastAsiaTheme="minorHAnsi"/>
      <w:szCs w:val="22"/>
      <w:lang w:eastAsia="en-US"/>
    </w:rPr>
  </w:style>
  <w:style w:type="paragraph" w:customStyle="1" w:styleId="Point1">
    <w:name w:val="Point 1"/>
    <w:basedOn w:val="Normal"/>
    <w:pPr>
      <w:widowControl/>
      <w:spacing w:before="120" w:after="120" w:line="240" w:lineRule="auto"/>
      <w:ind w:left="1417" w:hanging="567"/>
      <w:jc w:val="both"/>
    </w:pPr>
    <w:rPr>
      <w:rFonts w:eastAsiaTheme="minorHAnsi"/>
      <w:szCs w:val="22"/>
      <w:lang w:eastAsia="en-US"/>
    </w:rPr>
  </w:style>
  <w:style w:type="paragraph" w:customStyle="1" w:styleId="Point2">
    <w:name w:val="Point 2"/>
    <w:basedOn w:val="Normal"/>
    <w:pPr>
      <w:widowControl/>
      <w:spacing w:before="120" w:after="120" w:line="240" w:lineRule="auto"/>
      <w:ind w:left="1984" w:hanging="567"/>
      <w:jc w:val="both"/>
    </w:pPr>
    <w:rPr>
      <w:rFonts w:eastAsiaTheme="minorHAnsi"/>
      <w:szCs w:val="22"/>
      <w:lang w:eastAsia="en-US"/>
    </w:rPr>
  </w:style>
  <w:style w:type="paragraph" w:customStyle="1" w:styleId="Point3">
    <w:name w:val="Point 3"/>
    <w:basedOn w:val="Normal"/>
    <w:pPr>
      <w:widowControl/>
      <w:spacing w:before="120" w:after="120" w:line="240" w:lineRule="auto"/>
      <w:ind w:left="2551" w:hanging="567"/>
      <w:jc w:val="both"/>
    </w:pPr>
    <w:rPr>
      <w:rFonts w:eastAsiaTheme="minorHAnsi"/>
      <w:szCs w:val="22"/>
      <w:lang w:eastAsia="en-US"/>
    </w:rPr>
  </w:style>
  <w:style w:type="paragraph" w:customStyle="1" w:styleId="Point4">
    <w:name w:val="Point 4"/>
    <w:basedOn w:val="Normal"/>
    <w:pPr>
      <w:widowControl/>
      <w:spacing w:before="120" w:after="120" w:line="240" w:lineRule="auto"/>
      <w:ind w:left="3118" w:hanging="567"/>
      <w:jc w:val="both"/>
    </w:pPr>
    <w:rPr>
      <w:rFonts w:eastAsiaTheme="minorHAnsi"/>
      <w:szCs w:val="22"/>
      <w:lang w:eastAsia="en-US"/>
    </w:r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widowControl/>
      <w:tabs>
        <w:tab w:val="left" w:pos="850"/>
      </w:tabs>
      <w:spacing w:before="120" w:after="120" w:line="240" w:lineRule="auto"/>
      <w:ind w:left="1417" w:hanging="1417"/>
      <w:jc w:val="both"/>
    </w:pPr>
    <w:rPr>
      <w:rFonts w:eastAsiaTheme="minorHAnsi"/>
      <w:szCs w:val="22"/>
      <w:lang w:eastAsia="en-US"/>
    </w:rPr>
  </w:style>
  <w:style w:type="paragraph" w:customStyle="1" w:styleId="PointDouble1">
    <w:name w:val="PointDouble 1"/>
    <w:basedOn w:val="Normal"/>
    <w:pPr>
      <w:widowControl/>
      <w:tabs>
        <w:tab w:val="left" w:pos="1417"/>
      </w:tabs>
      <w:spacing w:before="120" w:after="120" w:line="240" w:lineRule="auto"/>
      <w:ind w:left="1984" w:hanging="1134"/>
      <w:jc w:val="both"/>
    </w:pPr>
    <w:rPr>
      <w:rFonts w:eastAsiaTheme="minorHAnsi"/>
      <w:szCs w:val="22"/>
      <w:lang w:eastAsia="en-US"/>
    </w:rPr>
  </w:style>
  <w:style w:type="paragraph" w:customStyle="1" w:styleId="PointDouble2">
    <w:name w:val="PointDouble 2"/>
    <w:basedOn w:val="Normal"/>
    <w:pPr>
      <w:widowControl/>
      <w:tabs>
        <w:tab w:val="left" w:pos="1984"/>
      </w:tabs>
      <w:spacing w:before="120" w:after="120" w:line="240" w:lineRule="auto"/>
      <w:ind w:left="2551" w:hanging="1134"/>
      <w:jc w:val="both"/>
    </w:pPr>
    <w:rPr>
      <w:rFonts w:eastAsiaTheme="minorHAnsi"/>
      <w:szCs w:val="22"/>
      <w:lang w:eastAsia="en-US"/>
    </w:rPr>
  </w:style>
  <w:style w:type="paragraph" w:customStyle="1" w:styleId="PointDouble3">
    <w:name w:val="PointDouble 3"/>
    <w:basedOn w:val="Normal"/>
    <w:pPr>
      <w:widowControl/>
      <w:tabs>
        <w:tab w:val="left" w:pos="2551"/>
      </w:tabs>
      <w:spacing w:before="120" w:after="120" w:line="240" w:lineRule="auto"/>
      <w:ind w:left="3118" w:hanging="1134"/>
      <w:jc w:val="both"/>
    </w:pPr>
    <w:rPr>
      <w:rFonts w:eastAsiaTheme="minorHAnsi"/>
      <w:szCs w:val="22"/>
      <w:lang w:eastAsia="en-US"/>
    </w:rPr>
  </w:style>
  <w:style w:type="paragraph" w:customStyle="1" w:styleId="PointDouble4">
    <w:name w:val="PointDouble 4"/>
    <w:basedOn w:val="Normal"/>
    <w:pPr>
      <w:widowControl/>
      <w:tabs>
        <w:tab w:val="left" w:pos="3118"/>
      </w:tabs>
      <w:spacing w:before="120" w:after="120" w:line="240" w:lineRule="auto"/>
      <w:ind w:left="3685" w:hanging="1134"/>
      <w:jc w:val="both"/>
    </w:pPr>
    <w:rPr>
      <w:rFonts w:eastAsiaTheme="minorHAnsi"/>
      <w:szCs w:val="22"/>
      <w:lang w:eastAsia="en-US"/>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rFonts w:eastAsiaTheme="minorHAnsi"/>
      <w:szCs w:val="22"/>
      <w:lang w:eastAsia="en-US"/>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rFonts w:eastAsiaTheme="minorHAnsi"/>
      <w:szCs w:val="22"/>
      <w:lang w:eastAsia="en-US"/>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rFonts w:eastAsiaTheme="minorHAnsi"/>
      <w:szCs w:val="22"/>
      <w:lang w:eastAsia="en-US"/>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rFonts w:eastAsiaTheme="minorHAnsi"/>
      <w:szCs w:val="22"/>
      <w:lang w:eastAsia="en-US"/>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rFonts w:eastAsiaTheme="minorHAnsi"/>
      <w:szCs w:val="22"/>
      <w:lang w:eastAsia="en-US"/>
    </w:rPr>
  </w:style>
  <w:style w:type="paragraph" w:customStyle="1" w:styleId="NumPar1">
    <w:name w:val="NumPar 1"/>
    <w:basedOn w:val="Normal"/>
    <w:next w:val="Text1"/>
    <w:pPr>
      <w:widowControl/>
      <w:numPr>
        <w:numId w:val="30"/>
      </w:numPr>
      <w:spacing w:before="120" w:after="120" w:line="240" w:lineRule="auto"/>
      <w:jc w:val="both"/>
    </w:pPr>
    <w:rPr>
      <w:rFonts w:eastAsiaTheme="minorHAnsi"/>
      <w:szCs w:val="22"/>
      <w:lang w:eastAsia="en-US"/>
    </w:rPr>
  </w:style>
  <w:style w:type="paragraph" w:customStyle="1" w:styleId="NumPar2">
    <w:name w:val="NumPar 2"/>
    <w:basedOn w:val="Normal"/>
    <w:next w:val="Text1"/>
    <w:pPr>
      <w:widowControl/>
      <w:numPr>
        <w:ilvl w:val="1"/>
        <w:numId w:val="30"/>
      </w:numPr>
      <w:spacing w:before="120" w:after="120" w:line="240" w:lineRule="auto"/>
      <w:jc w:val="both"/>
    </w:pPr>
    <w:rPr>
      <w:rFonts w:eastAsiaTheme="minorHAnsi"/>
      <w:szCs w:val="22"/>
      <w:lang w:eastAsia="en-US"/>
    </w:rPr>
  </w:style>
  <w:style w:type="paragraph" w:customStyle="1" w:styleId="NumPar3">
    <w:name w:val="NumPar 3"/>
    <w:basedOn w:val="Normal"/>
    <w:next w:val="Text1"/>
    <w:pPr>
      <w:widowControl/>
      <w:numPr>
        <w:ilvl w:val="2"/>
        <w:numId w:val="30"/>
      </w:numPr>
      <w:spacing w:before="120" w:after="120" w:line="240" w:lineRule="auto"/>
      <w:jc w:val="both"/>
    </w:pPr>
    <w:rPr>
      <w:rFonts w:eastAsiaTheme="minorHAnsi"/>
      <w:szCs w:val="22"/>
      <w:lang w:eastAsia="en-US"/>
    </w:rPr>
  </w:style>
  <w:style w:type="paragraph" w:customStyle="1" w:styleId="NumPar4">
    <w:name w:val="NumPar 4"/>
    <w:basedOn w:val="Normal"/>
    <w:next w:val="Text1"/>
    <w:pPr>
      <w:widowControl/>
      <w:numPr>
        <w:ilvl w:val="3"/>
        <w:numId w:val="30"/>
      </w:numPr>
      <w:spacing w:before="120" w:after="120" w:line="240" w:lineRule="auto"/>
      <w:jc w:val="both"/>
    </w:pPr>
    <w:rPr>
      <w:rFonts w:eastAsiaTheme="minorHAnsi"/>
      <w:szCs w:val="22"/>
      <w:lang w:eastAsia="en-US"/>
    </w:rPr>
  </w:style>
  <w:style w:type="paragraph" w:customStyle="1" w:styleId="ManualNumPar1">
    <w:name w:val="Manual NumPar 1"/>
    <w:basedOn w:val="Normal"/>
    <w:next w:val="Text1"/>
    <w:pPr>
      <w:widowControl/>
      <w:spacing w:before="120" w:after="120" w:line="240" w:lineRule="auto"/>
      <w:ind w:left="850" w:hanging="850"/>
      <w:jc w:val="both"/>
    </w:pPr>
    <w:rPr>
      <w:rFonts w:eastAsiaTheme="minorHAnsi"/>
      <w:szCs w:val="22"/>
      <w:lang w:eastAsia="en-US"/>
    </w:rPr>
  </w:style>
  <w:style w:type="paragraph" w:customStyle="1" w:styleId="ManualNumPar2">
    <w:name w:val="Manual NumPar 2"/>
    <w:basedOn w:val="Normal"/>
    <w:next w:val="Text1"/>
    <w:pPr>
      <w:widowControl/>
      <w:spacing w:before="120" w:after="120" w:line="240" w:lineRule="auto"/>
      <w:ind w:left="850" w:hanging="850"/>
      <w:jc w:val="both"/>
    </w:pPr>
    <w:rPr>
      <w:rFonts w:eastAsiaTheme="minorHAnsi"/>
      <w:szCs w:val="22"/>
      <w:lang w:eastAsia="en-US"/>
    </w:rPr>
  </w:style>
  <w:style w:type="paragraph" w:customStyle="1" w:styleId="ManualNumPar3">
    <w:name w:val="Manual NumPar 3"/>
    <w:basedOn w:val="Normal"/>
    <w:next w:val="Text1"/>
    <w:pPr>
      <w:widowControl/>
      <w:spacing w:before="120" w:after="120" w:line="240" w:lineRule="auto"/>
      <w:ind w:left="850" w:hanging="850"/>
      <w:jc w:val="both"/>
    </w:pPr>
    <w:rPr>
      <w:rFonts w:eastAsiaTheme="minorHAnsi"/>
      <w:szCs w:val="22"/>
      <w:lang w:eastAsia="en-US"/>
    </w:rPr>
  </w:style>
  <w:style w:type="paragraph" w:customStyle="1" w:styleId="ManualNumPar4">
    <w:name w:val="Manual NumPar 4"/>
    <w:basedOn w:val="Normal"/>
    <w:next w:val="Text1"/>
    <w:pPr>
      <w:widowControl/>
      <w:spacing w:before="120" w:after="120" w:line="240" w:lineRule="auto"/>
      <w:ind w:left="850" w:hanging="850"/>
      <w:jc w:val="both"/>
    </w:pPr>
    <w:rPr>
      <w:rFonts w:eastAsiaTheme="minorHAnsi"/>
      <w:szCs w:val="22"/>
      <w:lang w:eastAsia="en-US"/>
    </w:rPr>
  </w:style>
  <w:style w:type="paragraph" w:customStyle="1" w:styleId="QuotedNumPar">
    <w:name w:val="Quoted NumPar"/>
    <w:basedOn w:val="Normal"/>
    <w:pPr>
      <w:widowControl/>
      <w:spacing w:before="120" w:after="120" w:line="240" w:lineRule="auto"/>
      <w:ind w:left="1417" w:hanging="567"/>
      <w:jc w:val="both"/>
    </w:pPr>
    <w:rPr>
      <w:rFonts w:eastAsiaTheme="minorHAnsi"/>
      <w:szCs w:val="22"/>
      <w:lang w:eastAsia="en-US"/>
    </w:rPr>
  </w:style>
  <w:style w:type="paragraph" w:customStyle="1" w:styleId="ManualHeading1">
    <w:name w:val="Manual Heading 1"/>
    <w:basedOn w:val="Normal"/>
    <w:next w:val="Text1"/>
    <w:pPr>
      <w:keepNext/>
      <w:widowControl/>
      <w:tabs>
        <w:tab w:val="left" w:pos="850"/>
      </w:tabs>
      <w:spacing w:before="360" w:after="120" w:line="240" w:lineRule="auto"/>
      <w:ind w:left="850" w:hanging="850"/>
      <w:jc w:val="both"/>
      <w:outlineLvl w:val="0"/>
    </w:pPr>
    <w:rPr>
      <w:rFonts w:eastAsiaTheme="minorHAnsi"/>
      <w:b/>
      <w:smallCaps/>
      <w:szCs w:val="22"/>
      <w:lang w:eastAsia="en-US"/>
    </w:rPr>
  </w:style>
  <w:style w:type="paragraph" w:customStyle="1" w:styleId="ManualHeading2">
    <w:name w:val="Manual Heading 2"/>
    <w:basedOn w:val="Normal"/>
    <w:next w:val="Text1"/>
    <w:pPr>
      <w:keepNext/>
      <w:widowControl/>
      <w:tabs>
        <w:tab w:val="left" w:pos="850"/>
      </w:tabs>
      <w:spacing w:before="120" w:after="120" w:line="240" w:lineRule="auto"/>
      <w:ind w:left="850" w:hanging="850"/>
      <w:jc w:val="both"/>
      <w:outlineLvl w:val="1"/>
    </w:pPr>
    <w:rPr>
      <w:rFonts w:eastAsiaTheme="minorHAnsi"/>
      <w:b/>
      <w:szCs w:val="22"/>
      <w:lang w:eastAsia="en-US"/>
    </w:rPr>
  </w:style>
  <w:style w:type="paragraph" w:customStyle="1" w:styleId="ManualHeading3">
    <w:name w:val="Manual Heading 3"/>
    <w:basedOn w:val="Normal"/>
    <w:next w:val="Text1"/>
    <w:pPr>
      <w:keepNext/>
      <w:widowControl/>
      <w:tabs>
        <w:tab w:val="left" w:pos="850"/>
      </w:tabs>
      <w:spacing w:before="120" w:after="120" w:line="240" w:lineRule="auto"/>
      <w:ind w:left="850" w:hanging="850"/>
      <w:jc w:val="both"/>
      <w:outlineLvl w:val="2"/>
    </w:pPr>
    <w:rPr>
      <w:rFonts w:eastAsiaTheme="minorHAnsi"/>
      <w:i/>
      <w:szCs w:val="22"/>
      <w:lang w:eastAsia="en-US"/>
    </w:rPr>
  </w:style>
  <w:style w:type="paragraph" w:customStyle="1" w:styleId="ManualHeading4">
    <w:name w:val="Manual Heading 4"/>
    <w:basedOn w:val="Normal"/>
    <w:next w:val="Text1"/>
    <w:pPr>
      <w:keepNext/>
      <w:widowControl/>
      <w:tabs>
        <w:tab w:val="left" w:pos="850"/>
      </w:tabs>
      <w:spacing w:before="120" w:after="120" w:line="240" w:lineRule="auto"/>
      <w:ind w:left="850" w:hanging="850"/>
      <w:jc w:val="both"/>
      <w:outlineLvl w:val="3"/>
    </w:pPr>
    <w:rPr>
      <w:rFonts w:eastAsiaTheme="minorHAnsi"/>
      <w:szCs w:val="22"/>
      <w:lang w:eastAsia="en-US"/>
    </w:rPr>
  </w:style>
  <w:style w:type="paragraph" w:customStyle="1" w:styleId="ChapterTitle">
    <w:name w:val="ChapterTitle"/>
    <w:basedOn w:val="Normal"/>
    <w:next w:val="Normal"/>
    <w:pPr>
      <w:keepNext/>
      <w:widowControl/>
      <w:spacing w:before="120" w:after="360" w:line="240" w:lineRule="auto"/>
      <w:jc w:val="center"/>
    </w:pPr>
    <w:rPr>
      <w:rFonts w:eastAsiaTheme="minorHAnsi"/>
      <w:b/>
      <w:sz w:val="32"/>
      <w:szCs w:val="22"/>
      <w:lang w:eastAsia="en-US"/>
    </w:rPr>
  </w:style>
  <w:style w:type="paragraph" w:customStyle="1" w:styleId="PartTitle">
    <w:name w:val="PartTitle"/>
    <w:basedOn w:val="Normal"/>
    <w:next w:val="ChapterTitle"/>
    <w:pPr>
      <w:keepNext/>
      <w:pageBreakBefore/>
      <w:widowControl/>
      <w:spacing w:before="120" w:after="360" w:line="240" w:lineRule="auto"/>
      <w:jc w:val="center"/>
    </w:pPr>
    <w:rPr>
      <w:rFonts w:eastAsiaTheme="minorHAnsi"/>
      <w:b/>
      <w:sz w:val="36"/>
      <w:szCs w:val="22"/>
      <w:lang w:eastAsia="en-US"/>
    </w:rPr>
  </w:style>
  <w:style w:type="paragraph" w:customStyle="1" w:styleId="SectionTitle">
    <w:name w:val="SectionTitle"/>
    <w:basedOn w:val="Normal"/>
    <w:next w:val="Heading1"/>
    <w:pPr>
      <w:keepNext/>
      <w:widowControl/>
      <w:spacing w:before="120" w:after="360" w:line="240" w:lineRule="auto"/>
      <w:jc w:val="center"/>
    </w:pPr>
    <w:rPr>
      <w:rFonts w:eastAsiaTheme="minorHAnsi"/>
      <w:b/>
      <w:smallCaps/>
      <w:sz w:val="28"/>
      <w:szCs w:val="22"/>
      <w:lang w:eastAsia="en-US"/>
    </w:rPr>
  </w:style>
  <w:style w:type="paragraph" w:customStyle="1" w:styleId="TableTitle">
    <w:name w:val="Table Title"/>
    <w:basedOn w:val="Normal"/>
    <w:next w:val="Normal"/>
    <w:pPr>
      <w:widowControl/>
      <w:spacing w:before="120" w:after="120" w:line="240" w:lineRule="auto"/>
      <w:jc w:val="center"/>
    </w:pPr>
    <w:rPr>
      <w:rFonts w:eastAsiaTheme="minorHAnsi"/>
      <w:b/>
      <w:szCs w:val="22"/>
      <w:lang w:eastAsia="en-US"/>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widowControl/>
      <w:numPr>
        <w:numId w:val="32"/>
      </w:numPr>
      <w:spacing w:before="120" w:after="120" w:line="240" w:lineRule="auto"/>
      <w:jc w:val="both"/>
    </w:pPr>
    <w:rPr>
      <w:rFonts w:eastAsiaTheme="minorHAnsi"/>
      <w:szCs w:val="22"/>
      <w:lang w:eastAsia="en-US"/>
    </w:rPr>
  </w:style>
  <w:style w:type="paragraph" w:customStyle="1" w:styleId="Point1number">
    <w:name w:val="Point 1 (number)"/>
    <w:basedOn w:val="Normal"/>
    <w:pPr>
      <w:widowControl/>
      <w:numPr>
        <w:ilvl w:val="2"/>
        <w:numId w:val="32"/>
      </w:numPr>
      <w:spacing w:before="120" w:after="120" w:line="240" w:lineRule="auto"/>
      <w:jc w:val="both"/>
    </w:pPr>
    <w:rPr>
      <w:rFonts w:eastAsiaTheme="minorHAnsi"/>
      <w:szCs w:val="22"/>
      <w:lang w:eastAsia="en-US"/>
    </w:rPr>
  </w:style>
  <w:style w:type="paragraph" w:customStyle="1" w:styleId="Point2number">
    <w:name w:val="Point 2 (number)"/>
    <w:basedOn w:val="Normal"/>
    <w:pPr>
      <w:widowControl/>
      <w:numPr>
        <w:ilvl w:val="4"/>
        <w:numId w:val="32"/>
      </w:numPr>
      <w:spacing w:before="120" w:after="120" w:line="240" w:lineRule="auto"/>
      <w:jc w:val="both"/>
    </w:pPr>
    <w:rPr>
      <w:rFonts w:eastAsiaTheme="minorHAnsi"/>
      <w:szCs w:val="22"/>
      <w:lang w:eastAsia="en-US"/>
    </w:rPr>
  </w:style>
  <w:style w:type="paragraph" w:customStyle="1" w:styleId="Point3number">
    <w:name w:val="Point 3 (number)"/>
    <w:basedOn w:val="Normal"/>
    <w:pPr>
      <w:widowControl/>
      <w:numPr>
        <w:ilvl w:val="6"/>
        <w:numId w:val="32"/>
      </w:numPr>
      <w:spacing w:before="120" w:after="120" w:line="240" w:lineRule="auto"/>
      <w:jc w:val="both"/>
    </w:pPr>
    <w:rPr>
      <w:rFonts w:eastAsiaTheme="minorHAnsi"/>
      <w:szCs w:val="22"/>
      <w:lang w:eastAsia="en-US"/>
    </w:rPr>
  </w:style>
  <w:style w:type="paragraph" w:customStyle="1" w:styleId="Point0letter">
    <w:name w:val="Point 0 (letter)"/>
    <w:basedOn w:val="Normal"/>
    <w:pPr>
      <w:widowControl/>
      <w:numPr>
        <w:ilvl w:val="1"/>
        <w:numId w:val="32"/>
      </w:numPr>
      <w:spacing w:before="120" w:after="120" w:line="240" w:lineRule="auto"/>
      <w:jc w:val="both"/>
    </w:pPr>
    <w:rPr>
      <w:rFonts w:eastAsiaTheme="minorHAnsi"/>
      <w:szCs w:val="22"/>
      <w:lang w:eastAsia="en-US"/>
    </w:rPr>
  </w:style>
  <w:style w:type="paragraph" w:customStyle="1" w:styleId="Point1letter">
    <w:name w:val="Point 1 (letter)"/>
    <w:basedOn w:val="Normal"/>
    <w:pPr>
      <w:widowControl/>
      <w:numPr>
        <w:ilvl w:val="3"/>
        <w:numId w:val="32"/>
      </w:numPr>
      <w:spacing w:before="120" w:after="120" w:line="240" w:lineRule="auto"/>
      <w:jc w:val="both"/>
    </w:pPr>
    <w:rPr>
      <w:rFonts w:eastAsiaTheme="minorHAnsi"/>
      <w:szCs w:val="22"/>
      <w:lang w:eastAsia="en-US"/>
    </w:rPr>
  </w:style>
  <w:style w:type="paragraph" w:customStyle="1" w:styleId="Point2letter">
    <w:name w:val="Point 2 (letter)"/>
    <w:basedOn w:val="Normal"/>
    <w:pPr>
      <w:widowControl/>
      <w:numPr>
        <w:ilvl w:val="5"/>
        <w:numId w:val="32"/>
      </w:numPr>
      <w:spacing w:before="120" w:after="120" w:line="240" w:lineRule="auto"/>
      <w:jc w:val="both"/>
    </w:pPr>
    <w:rPr>
      <w:rFonts w:eastAsiaTheme="minorHAnsi"/>
      <w:szCs w:val="22"/>
      <w:lang w:eastAsia="en-US"/>
    </w:rPr>
  </w:style>
  <w:style w:type="paragraph" w:customStyle="1" w:styleId="Point3letter">
    <w:name w:val="Point 3 (letter)"/>
    <w:basedOn w:val="Normal"/>
    <w:pPr>
      <w:widowControl/>
      <w:numPr>
        <w:ilvl w:val="7"/>
        <w:numId w:val="32"/>
      </w:numPr>
      <w:spacing w:before="120" w:after="120" w:line="240" w:lineRule="auto"/>
      <w:jc w:val="both"/>
    </w:pPr>
    <w:rPr>
      <w:rFonts w:eastAsiaTheme="minorHAnsi"/>
      <w:szCs w:val="22"/>
      <w:lang w:eastAsia="en-US"/>
    </w:rPr>
  </w:style>
  <w:style w:type="paragraph" w:customStyle="1" w:styleId="Point4letter">
    <w:name w:val="Point 4 (letter)"/>
    <w:basedOn w:val="Normal"/>
    <w:pPr>
      <w:widowControl/>
      <w:numPr>
        <w:ilvl w:val="8"/>
        <w:numId w:val="32"/>
      </w:numPr>
      <w:spacing w:before="120" w:after="120" w:line="240" w:lineRule="auto"/>
      <w:jc w:val="both"/>
    </w:pPr>
    <w:rPr>
      <w:rFonts w:eastAsiaTheme="minorHAnsi"/>
      <w:szCs w:val="22"/>
      <w:lang w:eastAsia="en-US"/>
    </w:rPr>
  </w:style>
  <w:style w:type="paragraph" w:customStyle="1" w:styleId="Bullet0">
    <w:name w:val="Bullet 0"/>
    <w:basedOn w:val="Normal"/>
    <w:pPr>
      <w:widowControl/>
      <w:numPr>
        <w:numId w:val="33"/>
      </w:numPr>
      <w:spacing w:before="120" w:after="120" w:line="240" w:lineRule="auto"/>
      <w:jc w:val="both"/>
    </w:pPr>
    <w:rPr>
      <w:rFonts w:eastAsiaTheme="minorHAnsi"/>
      <w:szCs w:val="22"/>
      <w:lang w:eastAsia="en-US"/>
    </w:rPr>
  </w:style>
  <w:style w:type="paragraph" w:customStyle="1" w:styleId="Bullet1">
    <w:name w:val="Bullet 1"/>
    <w:basedOn w:val="Normal"/>
    <w:pPr>
      <w:widowControl/>
      <w:numPr>
        <w:numId w:val="34"/>
      </w:numPr>
      <w:spacing w:before="120" w:after="120" w:line="240" w:lineRule="auto"/>
      <w:jc w:val="both"/>
    </w:pPr>
    <w:rPr>
      <w:rFonts w:eastAsiaTheme="minorHAnsi"/>
      <w:szCs w:val="22"/>
      <w:lang w:eastAsia="en-US"/>
    </w:rPr>
  </w:style>
  <w:style w:type="paragraph" w:customStyle="1" w:styleId="Bullet2">
    <w:name w:val="Bullet 2"/>
    <w:basedOn w:val="Normal"/>
    <w:pPr>
      <w:widowControl/>
      <w:numPr>
        <w:numId w:val="35"/>
      </w:numPr>
      <w:spacing w:before="120" w:after="120" w:line="240" w:lineRule="auto"/>
      <w:jc w:val="both"/>
    </w:pPr>
    <w:rPr>
      <w:rFonts w:eastAsiaTheme="minorHAnsi"/>
      <w:szCs w:val="22"/>
      <w:lang w:eastAsia="en-US"/>
    </w:rPr>
  </w:style>
  <w:style w:type="paragraph" w:customStyle="1" w:styleId="Bullet3">
    <w:name w:val="Bullet 3"/>
    <w:basedOn w:val="Normal"/>
    <w:pPr>
      <w:widowControl/>
      <w:numPr>
        <w:numId w:val="36"/>
      </w:numPr>
      <w:spacing w:before="120" w:after="120" w:line="240" w:lineRule="auto"/>
      <w:jc w:val="both"/>
    </w:pPr>
    <w:rPr>
      <w:rFonts w:eastAsiaTheme="minorHAnsi"/>
      <w:szCs w:val="22"/>
      <w:lang w:eastAsia="en-US"/>
    </w:rPr>
  </w:style>
  <w:style w:type="paragraph" w:customStyle="1" w:styleId="Bullet4">
    <w:name w:val="Bullet 4"/>
    <w:basedOn w:val="Normal"/>
    <w:pPr>
      <w:widowControl/>
      <w:numPr>
        <w:numId w:val="37"/>
      </w:numPr>
      <w:spacing w:before="120" w:after="120" w:line="240" w:lineRule="auto"/>
      <w:jc w:val="both"/>
    </w:pPr>
    <w:rPr>
      <w:rFonts w:eastAsiaTheme="minorHAnsi"/>
      <w:szCs w:val="22"/>
      <w:lang w:eastAsia="en-US"/>
    </w:rPr>
  </w:style>
  <w:style w:type="paragraph" w:customStyle="1" w:styleId="Annexetitreexpos">
    <w:name w:val="Annexe titre (exposé)"/>
    <w:basedOn w:val="Normal"/>
    <w:next w:val="Normal"/>
    <w:pPr>
      <w:widowControl/>
      <w:spacing w:before="120" w:after="120" w:line="240" w:lineRule="auto"/>
      <w:jc w:val="center"/>
    </w:pPr>
    <w:rPr>
      <w:rFonts w:eastAsiaTheme="minorHAnsi"/>
      <w:b/>
      <w:szCs w:val="22"/>
      <w:u w:val="single"/>
      <w:lang w:eastAsia="en-US"/>
    </w:rPr>
  </w:style>
  <w:style w:type="paragraph" w:customStyle="1" w:styleId="Annexetitre">
    <w:name w:val="Annexe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Annexetitrefichefinancire">
    <w:name w:val="Annexe titre (fiche financière)"/>
    <w:basedOn w:val="Normal"/>
    <w:next w:val="Normal"/>
    <w:pPr>
      <w:widowControl/>
      <w:spacing w:before="120" w:after="120" w:line="240" w:lineRule="auto"/>
      <w:jc w:val="center"/>
    </w:pPr>
    <w:rPr>
      <w:rFonts w:eastAsiaTheme="minorHAnsi"/>
      <w:b/>
      <w:szCs w:val="22"/>
      <w:u w:val="single"/>
      <w:lang w:eastAsia="en-US"/>
    </w:rPr>
  </w:style>
  <w:style w:type="paragraph" w:customStyle="1" w:styleId="Applicationdirecte">
    <w:name w:val="Application directe"/>
    <w:basedOn w:val="Normal"/>
    <w:next w:val="Fait"/>
    <w:pPr>
      <w:widowControl/>
      <w:spacing w:before="480" w:after="120" w:line="240" w:lineRule="auto"/>
      <w:jc w:val="both"/>
    </w:pPr>
    <w:rPr>
      <w:rFonts w:eastAsiaTheme="minorHAnsi"/>
      <w:szCs w:val="22"/>
      <w:lang w:eastAsia="en-US"/>
    </w:rPr>
  </w:style>
  <w:style w:type="paragraph" w:customStyle="1" w:styleId="Avertissementtitre">
    <w:name w:val="Avertissement titre"/>
    <w:basedOn w:val="Normal"/>
    <w:next w:val="Normal"/>
    <w:pPr>
      <w:keepNext/>
      <w:widowControl/>
      <w:spacing w:before="480" w:after="120" w:line="240" w:lineRule="auto"/>
      <w:jc w:val="both"/>
    </w:pPr>
    <w:rPr>
      <w:rFonts w:eastAsiaTheme="minorHAnsi"/>
      <w:szCs w:val="22"/>
      <w:u w:val="single"/>
      <w:lang w:eastAsia="en-US"/>
    </w:rPr>
  </w:style>
  <w:style w:type="paragraph" w:customStyle="1" w:styleId="Confidence">
    <w:name w:val="Confidence"/>
    <w:basedOn w:val="Normal"/>
    <w:next w:val="Normal"/>
    <w:pPr>
      <w:widowControl/>
      <w:spacing w:before="360" w:after="120" w:line="240" w:lineRule="auto"/>
      <w:jc w:val="center"/>
    </w:pPr>
    <w:rPr>
      <w:rFonts w:eastAsiaTheme="minorHAnsi"/>
      <w:szCs w:val="22"/>
      <w:lang w:eastAsia="en-US"/>
    </w:rPr>
  </w:style>
  <w:style w:type="paragraph" w:customStyle="1" w:styleId="Confidentialit">
    <w:name w:val="Confidentialité"/>
    <w:basedOn w:val="Normal"/>
    <w:next w:val="TypedudocumentPagedecouverture"/>
    <w:pPr>
      <w:widowControl/>
      <w:spacing w:before="240" w:after="240" w:line="240" w:lineRule="auto"/>
      <w:ind w:left="5103"/>
    </w:pPr>
    <w:rPr>
      <w:rFonts w:eastAsiaTheme="minorHAnsi"/>
      <w:i/>
      <w:sz w:val="32"/>
      <w:szCs w:val="22"/>
      <w:lang w:eastAsia="en-US"/>
    </w:rPr>
  </w:style>
  <w:style w:type="paragraph" w:customStyle="1" w:styleId="Considrant">
    <w:name w:val="Considérant"/>
    <w:basedOn w:val="Normal"/>
    <w:pPr>
      <w:widowControl/>
      <w:numPr>
        <w:numId w:val="38"/>
      </w:numPr>
      <w:spacing w:before="120" w:after="120" w:line="240" w:lineRule="auto"/>
      <w:jc w:val="both"/>
    </w:pPr>
    <w:rPr>
      <w:rFonts w:eastAsiaTheme="minorHAnsi"/>
      <w:szCs w:val="22"/>
      <w:lang w:eastAsia="en-US"/>
    </w:rPr>
  </w:style>
  <w:style w:type="paragraph" w:customStyle="1" w:styleId="Corrigendum">
    <w:name w:val="Corrigendum"/>
    <w:basedOn w:val="Normal"/>
    <w:next w:val="Normal"/>
    <w:pPr>
      <w:widowControl/>
      <w:spacing w:after="240" w:line="240" w:lineRule="auto"/>
    </w:pPr>
    <w:rPr>
      <w:rFonts w:eastAsiaTheme="minorHAnsi"/>
      <w:szCs w:val="22"/>
      <w:lang w:eastAsia="en-US"/>
    </w:rPr>
  </w:style>
  <w:style w:type="paragraph" w:customStyle="1" w:styleId="Datedadoption">
    <w:name w:val="Date d'adoption"/>
    <w:basedOn w:val="Normal"/>
    <w:next w:val="Titreobjet"/>
    <w:pPr>
      <w:widowControl/>
      <w:spacing w:before="360" w:line="240" w:lineRule="auto"/>
      <w:jc w:val="center"/>
    </w:pPr>
    <w:rPr>
      <w:rFonts w:eastAsiaTheme="minorHAnsi"/>
      <w:b/>
      <w:szCs w:val="22"/>
      <w:lang w:eastAsia="en-US"/>
    </w:rPr>
  </w:style>
  <w:style w:type="paragraph" w:customStyle="1" w:styleId="Emission">
    <w:name w:val="Emission"/>
    <w:basedOn w:val="Normal"/>
    <w:next w:val="Rfrenceinstitutionnelle"/>
    <w:pPr>
      <w:widowControl/>
      <w:spacing w:line="240" w:lineRule="auto"/>
      <w:ind w:left="5103"/>
    </w:pPr>
    <w:rPr>
      <w:rFonts w:eastAsiaTheme="minorHAnsi"/>
      <w:szCs w:val="22"/>
      <w:lang w:eastAsia="en-US"/>
    </w:rPr>
  </w:style>
  <w:style w:type="paragraph" w:customStyle="1" w:styleId="Exposdesmotifstitre">
    <w:name w:val="Exposé des motifs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Fait">
    <w:name w:val="Fait à"/>
    <w:basedOn w:val="Normal"/>
    <w:next w:val="Institutionquisigne"/>
    <w:pPr>
      <w:keepNext/>
      <w:widowControl/>
      <w:spacing w:before="120" w:line="240" w:lineRule="auto"/>
      <w:jc w:val="both"/>
    </w:pPr>
    <w:rPr>
      <w:rFonts w:eastAsiaTheme="minorHAnsi"/>
      <w:szCs w:val="22"/>
      <w:lang w:eastAsia="en-US"/>
    </w:rPr>
  </w:style>
  <w:style w:type="paragraph" w:customStyle="1" w:styleId="Formuledadoption">
    <w:name w:val="Formule d'adoption"/>
    <w:basedOn w:val="Normal"/>
    <w:next w:val="Titrearticle"/>
    <w:pPr>
      <w:keepNext/>
      <w:widowControl/>
      <w:spacing w:before="120" w:after="120" w:line="240" w:lineRule="auto"/>
      <w:jc w:val="both"/>
    </w:pPr>
    <w:rPr>
      <w:rFonts w:eastAsiaTheme="minorHAnsi"/>
      <w:szCs w:val="22"/>
      <w:lang w:eastAsia="en-US"/>
    </w:rPr>
  </w:style>
  <w:style w:type="paragraph" w:customStyle="1" w:styleId="Institutionquiagit">
    <w:name w:val="Institution qui agit"/>
    <w:basedOn w:val="Normal"/>
    <w:next w:val="Normal"/>
    <w:pPr>
      <w:keepNext/>
      <w:widowControl/>
      <w:spacing w:before="600" w:after="120" w:line="240" w:lineRule="auto"/>
      <w:jc w:val="both"/>
    </w:pPr>
    <w:rPr>
      <w:rFonts w:eastAsiaTheme="minorHAnsi"/>
      <w:szCs w:val="22"/>
      <w:lang w:eastAsia="en-US"/>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rFonts w:eastAsiaTheme="minorHAnsi"/>
      <w:i/>
      <w:szCs w:val="22"/>
      <w:lang w:eastAsia="en-US"/>
    </w:rPr>
  </w:style>
  <w:style w:type="paragraph" w:customStyle="1" w:styleId="Langue">
    <w:name w:val="Langue"/>
    <w:basedOn w:val="Normal"/>
    <w:next w:val="Rfrenceinterne"/>
    <w:pPr>
      <w:framePr w:wrap="around" w:vAnchor="page" w:hAnchor="text" w:xAlign="center" w:y="14741"/>
      <w:widowControl/>
      <w:spacing w:after="600" w:line="240" w:lineRule="auto"/>
      <w:jc w:val="center"/>
    </w:pPr>
    <w:rPr>
      <w:rFonts w:eastAsiaTheme="minorHAnsi"/>
      <w:b/>
      <w:caps/>
      <w:szCs w:val="22"/>
      <w:lang w:eastAsia="en-US"/>
    </w:rPr>
  </w:style>
  <w:style w:type="paragraph" w:customStyle="1" w:styleId="ManualConsidrant">
    <w:name w:val="Manual Considérant"/>
    <w:basedOn w:val="Normal"/>
    <w:pPr>
      <w:widowControl/>
      <w:spacing w:before="120" w:after="120" w:line="240" w:lineRule="auto"/>
      <w:ind w:left="709" w:hanging="709"/>
      <w:jc w:val="both"/>
    </w:pPr>
    <w:rPr>
      <w:rFonts w:eastAsiaTheme="minorHAnsi"/>
      <w:szCs w:val="22"/>
      <w:lang w:eastAsia="en-US"/>
    </w:rPr>
  </w:style>
  <w:style w:type="paragraph" w:customStyle="1" w:styleId="Nomdelinstitution">
    <w:name w:val="Nom de l'institution"/>
    <w:basedOn w:val="Normal"/>
    <w:next w:val="Emission"/>
    <w:pPr>
      <w:widowControl/>
      <w:spacing w:line="240" w:lineRule="auto"/>
    </w:pPr>
    <w:rPr>
      <w:rFonts w:ascii="Arial" w:eastAsiaTheme="minorHAnsi" w:hAnsi="Arial" w:cs="Arial"/>
      <w:szCs w:val="22"/>
      <w:lang w:eastAsia="en-US"/>
    </w:rPr>
  </w:style>
  <w:style w:type="paragraph" w:customStyle="1" w:styleId="Personnequisigne">
    <w:name w:val="Personne qui signe"/>
    <w:basedOn w:val="Normal"/>
    <w:next w:val="Institutionquisigne"/>
    <w:pPr>
      <w:widowControl/>
      <w:tabs>
        <w:tab w:val="left" w:pos="4252"/>
      </w:tabs>
      <w:spacing w:line="240" w:lineRule="auto"/>
    </w:pPr>
    <w:rPr>
      <w:rFonts w:eastAsiaTheme="minorHAnsi"/>
      <w:i/>
      <w:szCs w:val="22"/>
      <w:lang w:eastAsia="en-US"/>
    </w:rPr>
  </w:style>
  <w:style w:type="paragraph" w:customStyle="1" w:styleId="Rfrenceinstitutionnelle">
    <w:name w:val="Référence institutionnelle"/>
    <w:basedOn w:val="Normal"/>
    <w:next w:val="Confidentialit"/>
    <w:pPr>
      <w:widowControl/>
      <w:spacing w:after="240" w:line="240" w:lineRule="auto"/>
      <w:ind w:left="5103"/>
    </w:pPr>
    <w:rPr>
      <w:rFonts w:eastAsiaTheme="minorHAnsi"/>
      <w:szCs w:val="22"/>
      <w:lang w:eastAsia="en-US"/>
    </w:rPr>
  </w:style>
  <w:style w:type="paragraph" w:customStyle="1" w:styleId="Rfrenceinterinstitutionnelle">
    <w:name w:val="Référence interinstitutionnelle"/>
    <w:basedOn w:val="Normal"/>
    <w:next w:val="Statut"/>
    <w:pPr>
      <w:widowControl/>
      <w:spacing w:line="240" w:lineRule="auto"/>
      <w:ind w:left="5103"/>
    </w:pPr>
    <w:rPr>
      <w:rFonts w:eastAsiaTheme="minorHAnsi"/>
      <w:szCs w:val="22"/>
      <w:lang w:eastAsia="en-US"/>
    </w:rPr>
  </w:style>
  <w:style w:type="paragraph" w:customStyle="1" w:styleId="Rfrenceinterne">
    <w:name w:val="Référence interne"/>
    <w:basedOn w:val="Normal"/>
    <w:next w:val="Rfrenceinterinstitutionnelle"/>
    <w:pPr>
      <w:widowControl/>
      <w:spacing w:line="240" w:lineRule="auto"/>
      <w:ind w:left="5103"/>
    </w:pPr>
    <w:rPr>
      <w:rFonts w:eastAsiaTheme="minorHAnsi"/>
      <w:szCs w:val="22"/>
      <w:lang w:eastAsia="en-US"/>
    </w:rPr>
  </w:style>
  <w:style w:type="paragraph" w:customStyle="1" w:styleId="Sous-titreobjet">
    <w:name w:val="Sous-titre objet"/>
    <w:basedOn w:val="Normal"/>
    <w:pPr>
      <w:widowControl/>
      <w:spacing w:line="240" w:lineRule="auto"/>
      <w:jc w:val="center"/>
    </w:pPr>
    <w:rPr>
      <w:rFonts w:eastAsiaTheme="minorHAnsi"/>
      <w:b/>
      <w:szCs w:val="22"/>
      <w:lang w:eastAsia="en-US"/>
    </w:rPr>
  </w:style>
  <w:style w:type="paragraph" w:customStyle="1" w:styleId="Statut">
    <w:name w:val="Statut"/>
    <w:basedOn w:val="Normal"/>
    <w:next w:val="Typedudocument"/>
    <w:pPr>
      <w:widowControl/>
      <w:spacing w:before="360" w:line="240" w:lineRule="auto"/>
      <w:jc w:val="center"/>
    </w:pPr>
    <w:rPr>
      <w:rFonts w:eastAsiaTheme="minorHAnsi"/>
      <w:szCs w:val="22"/>
      <w:lang w:eastAsia="en-US"/>
    </w:rPr>
  </w:style>
  <w:style w:type="paragraph" w:customStyle="1" w:styleId="Titrearticle">
    <w:name w:val="Titre article"/>
    <w:basedOn w:val="Normal"/>
    <w:next w:val="Normal"/>
    <w:pPr>
      <w:keepNext/>
      <w:widowControl/>
      <w:spacing w:before="360" w:after="120" w:line="240" w:lineRule="auto"/>
      <w:jc w:val="center"/>
    </w:pPr>
    <w:rPr>
      <w:rFonts w:eastAsiaTheme="minorHAnsi"/>
      <w:i/>
      <w:szCs w:val="22"/>
      <w:lang w:eastAsia="en-US"/>
    </w:rPr>
  </w:style>
  <w:style w:type="paragraph" w:customStyle="1" w:styleId="Titreobjet">
    <w:name w:val="Titre objet"/>
    <w:basedOn w:val="Normal"/>
    <w:next w:val="Sous-titreobjet"/>
    <w:pPr>
      <w:widowControl/>
      <w:spacing w:before="180" w:after="180" w:line="240" w:lineRule="auto"/>
      <w:jc w:val="center"/>
    </w:pPr>
    <w:rPr>
      <w:rFonts w:eastAsiaTheme="minorHAnsi"/>
      <w:b/>
      <w:szCs w:val="22"/>
      <w:lang w:eastAsia="en-US"/>
    </w:rPr>
  </w:style>
  <w:style w:type="paragraph" w:customStyle="1" w:styleId="Typedudocument">
    <w:name w:val="Type du document"/>
    <w:basedOn w:val="Normal"/>
    <w:next w:val="Titreobjet"/>
    <w:pPr>
      <w:widowControl/>
      <w:spacing w:before="360" w:after="180" w:line="240" w:lineRule="auto"/>
      <w:jc w:val="center"/>
    </w:pPr>
    <w:rPr>
      <w:rFonts w:eastAsiaTheme="minorHAnsi"/>
      <w:b/>
      <w:szCs w:val="22"/>
      <w:lang w:eastAsia="en-US"/>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widowControl/>
      <w:spacing w:before="120" w:after="120"/>
      <w:ind w:left="3402"/>
    </w:pPr>
    <w:rPr>
      <w:rFonts w:eastAsiaTheme="minorHAnsi"/>
      <w:szCs w:val="22"/>
      <w:lang w:eastAsia="en-US"/>
    </w:rPr>
  </w:style>
  <w:style w:type="paragraph" w:customStyle="1" w:styleId="Objetexterne">
    <w:name w:val="Objet externe"/>
    <w:basedOn w:val="Normal"/>
    <w:next w:val="Normal"/>
    <w:pPr>
      <w:widowControl/>
      <w:spacing w:before="120" w:after="120" w:line="240" w:lineRule="auto"/>
      <w:jc w:val="both"/>
    </w:pPr>
    <w:rPr>
      <w:rFonts w:eastAsiaTheme="minorHAnsi"/>
      <w:i/>
      <w:caps/>
      <w:szCs w:val="22"/>
      <w:lang w:eastAsia="en-US"/>
    </w:r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customStyle="1" w:styleId="Supertitre">
    <w:name w:val="Supertitre"/>
    <w:basedOn w:val="Normal"/>
    <w:next w:val="Normal"/>
    <w:pPr>
      <w:widowControl/>
      <w:spacing w:after="600" w:line="240" w:lineRule="auto"/>
      <w:jc w:val="center"/>
    </w:pPr>
    <w:rPr>
      <w:rFonts w:eastAsiaTheme="minorHAnsi"/>
      <w:b/>
      <w:szCs w:val="22"/>
      <w:lang w:eastAsia="en-US"/>
    </w:rPr>
  </w:style>
  <w:style w:type="paragraph" w:customStyle="1" w:styleId="Languesfaisantfoi">
    <w:name w:val="Langues faisant foi"/>
    <w:basedOn w:val="Normal"/>
    <w:next w:val="Normal"/>
    <w:pPr>
      <w:widowControl/>
      <w:spacing w:before="360" w:line="240" w:lineRule="auto"/>
      <w:jc w:val="center"/>
    </w:pPr>
    <w:rPr>
      <w:rFonts w:eastAsiaTheme="minorHAnsi"/>
      <w:szCs w:val="22"/>
      <w:lang w:eastAsia="en-US"/>
    </w:rPr>
  </w:style>
  <w:style w:type="paragraph" w:customStyle="1" w:styleId="Rfrencecroise">
    <w:name w:val="Référence croisée"/>
    <w:basedOn w:val="Normal"/>
    <w:pPr>
      <w:widowControl/>
      <w:spacing w:line="240" w:lineRule="auto"/>
      <w:jc w:val="center"/>
    </w:pPr>
    <w:rPr>
      <w:rFonts w:eastAsiaTheme="minorHAnsi"/>
      <w:szCs w:val="22"/>
      <w:lang w:eastAsia="en-US"/>
    </w:rPr>
  </w:style>
  <w:style w:type="paragraph" w:customStyle="1" w:styleId="Fichefinanciretitre">
    <w:name w:val="Fiche financière titre"/>
    <w:basedOn w:val="Normal"/>
    <w:next w:val="Normal"/>
    <w:pPr>
      <w:widowControl/>
      <w:spacing w:before="120" w:after="120" w:line="240" w:lineRule="auto"/>
      <w:jc w:val="center"/>
    </w:pPr>
    <w:rPr>
      <w:rFonts w:eastAsiaTheme="minorHAnsi"/>
      <w:b/>
      <w:szCs w:val="22"/>
      <w:u w:val="single"/>
      <w:lang w:eastAsia="en-US"/>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widowControl/>
      <w:spacing w:after="240" w:line="240" w:lineRule="auto"/>
      <w:ind w:left="5103"/>
    </w:pPr>
    <w:rPr>
      <w:rFonts w:eastAsiaTheme="minorHAnsi"/>
      <w:szCs w:val="22"/>
      <w:lang w:eastAsia="en-US"/>
    </w:r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widowControl/>
      <w:spacing w:before="180" w:after="240" w:line="240" w:lineRule="auto"/>
      <w:jc w:val="center"/>
    </w:pPr>
    <w:rPr>
      <w:rFonts w:eastAsiaTheme="minorHAnsi"/>
      <w:b/>
      <w:szCs w:val="22"/>
      <w:lang w:eastAsia="en-US"/>
    </w:rPr>
  </w:style>
  <w:style w:type="paragraph" w:customStyle="1" w:styleId="Typeacteprincipal">
    <w:name w:val="Type acte principal"/>
    <w:basedOn w:val="Normal"/>
    <w:next w:val="Objetacteprincipal"/>
    <w:pPr>
      <w:widowControl/>
      <w:spacing w:after="240" w:line="240" w:lineRule="auto"/>
      <w:jc w:val="center"/>
    </w:pPr>
    <w:rPr>
      <w:rFonts w:eastAsiaTheme="minorHAnsi"/>
      <w:b/>
      <w:szCs w:val="22"/>
      <w:lang w:eastAsia="en-US"/>
    </w:rPr>
  </w:style>
  <w:style w:type="paragraph" w:customStyle="1" w:styleId="Objetacteprincipal">
    <w:name w:val="Objet acte principal"/>
    <w:basedOn w:val="Normal"/>
    <w:next w:val="Titrearticle"/>
    <w:pPr>
      <w:widowControl/>
      <w:spacing w:after="360" w:line="240" w:lineRule="auto"/>
      <w:jc w:val="center"/>
    </w:pPr>
    <w:rPr>
      <w:rFonts w:eastAsiaTheme="minorHAnsi"/>
      <w:b/>
      <w:szCs w:val="22"/>
      <w:lang w:eastAsia="en-US"/>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widowControl/>
      <w:spacing w:before="360" w:line="240" w:lineRule="auto"/>
      <w:jc w:val="center"/>
    </w:pPr>
    <w:rPr>
      <w:rFonts w:eastAsiaTheme="minorHAnsi"/>
      <w:szCs w:val="22"/>
      <w:lang w:eastAsia="en-US"/>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rPr>
      <w:rFonts w:eastAsiaTheme="minorHAnsi"/>
      <w:bCs/>
    </w:rPr>
  </w:style>
  <w:style w:type="character" w:customStyle="1" w:styleId="FooterCoverPageChar">
    <w:name w:val="Footer Cover Page Char"/>
    <w:basedOn w:val="DefaultParagraphFont"/>
    <w:link w:val="FooterCoverPage"/>
    <w:rPr>
      <w:rFonts w:eastAsiaTheme="minorHAnsi"/>
      <w:bCs/>
      <w:sz w:val="24"/>
      <w:lang w:eastAsia="fr-BE"/>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eastAsiaTheme="minorHAnsi"/>
      <w:bCs/>
    </w:rPr>
  </w:style>
  <w:style w:type="character" w:customStyle="1" w:styleId="HeaderCoverPageChar">
    <w:name w:val="Header Cover Page Char"/>
    <w:basedOn w:val="DefaultParagraphFont"/>
    <w:link w:val="HeaderCoverPage"/>
    <w:rPr>
      <w:rFonts w:eastAsiaTheme="minorHAnsi"/>
      <w:bCs/>
      <w:sz w:val="24"/>
      <w:lang w:eastAsia="fr-BE"/>
    </w:rPr>
  </w:style>
  <w:style w:type="numbering" w:customStyle="1" w:styleId="NoList2">
    <w:name w:val="No List2"/>
    <w:next w:val="NoList"/>
    <w:uiPriority w:val="99"/>
    <w:semiHidden/>
    <w:unhideWhenUsed/>
  </w:style>
  <w:style w:type="table" w:customStyle="1" w:styleId="TableGrid31">
    <w:name w:val="Table Grid31"/>
    <w:basedOn w:val="TableNormal"/>
    <w:next w:val="TableGrid"/>
    <w:uiPriority w:val="59"/>
    <w:rPr>
      <w:rFonts w:eastAsia="MS Mincho"/>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Pr>
      <w:rFonts w:asciiTheme="minorHAnsi" w:eastAsiaTheme="minorHAnsi" w:hAnsiTheme="minorHAnsi" w:cstheme="minorBid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usionSegment">
    <w:name w:val="fusionSegment"/>
    <w:rPr>
      <w:rFonts w:ascii="Courier New" w:hAnsi="Courier New" w:cs="Courier New"/>
      <w:vanish/>
      <w:color w:val="800080"/>
      <w:sz w:val="24"/>
      <w:vertAlign w:val="subscript"/>
      <w:lang w:val="fr-BE"/>
    </w:rPr>
  </w:style>
  <w:style w:type="character" w:customStyle="1" w:styleId="fusionTerm">
    <w:name w:val="fusionTerm"/>
    <w:rPr>
      <w:color w:val="FF6600"/>
      <w:sz w:val="24"/>
      <w:lang w:val="fr-BE"/>
    </w:rPr>
  </w:style>
  <w:style w:type="character" w:customStyle="1" w:styleId="fusionSegmentGuarded">
    <w:name w:val="fusionSegmentGuarded"/>
    <w:rPr>
      <w:rFonts w:ascii="Courier New" w:hAnsi="Courier New" w:cs="Courier New"/>
      <w:vanish/>
      <w:color w:val="FF0000"/>
      <w:sz w:val="24"/>
      <w:shd w:val="clear" w:color="auto" w:fill="FFCC00"/>
      <w:vertAlign w:val="subscript"/>
      <w:lang w:val="fr-BE"/>
    </w:rPr>
  </w:style>
  <w:style w:type="character" w:customStyle="1" w:styleId="fusionSegmentForReview">
    <w:name w:val="fusionSegmentForReview"/>
    <w:rPr>
      <w:rFonts w:ascii="Courier New" w:hAnsi="Courier New" w:cs="Courier New"/>
      <w:vanish/>
      <w:color w:val="800080"/>
      <w:sz w:val="24"/>
      <w:shd w:val="clear" w:color="auto" w:fill="FFFF99"/>
      <w:vertAlign w:val="subscript"/>
      <w:lang w:val="fr-BE"/>
    </w:rPr>
  </w:style>
  <w:style w:type="paragraph" w:styleId="ListParagraph">
    <w:name w:val="List Paragraph"/>
    <w:basedOn w:val="Normal"/>
    <w:uiPriority w:val="34"/>
    <w:qFormat/>
    <w:pPr>
      <w:widowControl/>
      <w:spacing w:before="120" w:after="120" w:line="240" w:lineRule="auto"/>
      <w:ind w:left="720"/>
      <w:contextualSpacing/>
      <w:jc w:val="both"/>
    </w:pPr>
    <w:rPr>
      <w:rFonts w:eastAsiaTheme="minorHAns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9" Type="http://schemas.openxmlformats.org/officeDocument/2006/relationships/footer" Target="footer15.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header" Target="header1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2.xml"/><Relationship Id="rId37" Type="http://schemas.openxmlformats.org/officeDocument/2006/relationships/footer" Target="footer14.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0.xml"/><Relationship Id="rId36" Type="http://schemas.openxmlformats.org/officeDocument/2006/relationships/footer" Target="footer13.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1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87644-0465-4454-AB78-CB1AB4EC7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149</Pages>
  <Words>14854</Words>
  <Characters>88088</Characters>
  <Application>Microsoft Office Word</Application>
  <DocSecurity>0</DocSecurity>
  <Lines>3670</Lines>
  <Paragraphs>2639</Paragraphs>
  <ScaleCrop>false</ScaleCrop>
  <HeadingPairs>
    <vt:vector size="2" baseType="variant">
      <vt:variant>
        <vt:lpstr>Title</vt:lpstr>
      </vt:variant>
      <vt:variant>
        <vt:i4>1</vt:i4>
      </vt:variant>
    </vt:vector>
  </HeadingPairs>
  <TitlesOfParts>
    <vt:vector size="1" baseType="lpstr">
      <vt:lpstr>GEN</vt:lpstr>
    </vt:vector>
  </TitlesOfParts>
  <Company>DTI</Company>
  <LinksUpToDate>false</LinksUpToDate>
  <CharactersWithSpaces>100303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c:title>
  <dc:creator/>
  <cp:lastModifiedBy/>
  <cp:revision>16</cp:revision>
  <cp:lastPrinted>2004-04-02T13:43:00Z</cp:lastPrinted>
  <dcterms:created xsi:type="dcterms:W3CDTF">2016-06-08T18:02:00Z</dcterms:created>
  <dcterms:modified xsi:type="dcterms:W3CDTF">2016-07-07T14:39:00Z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 annex">
    <vt:lpwstr>10</vt:lpwstr>
  </property>
  <property fmtid="{D5CDD505-2E9C-101B-9397-08002B2CF9AE}" pid="3" name="Last annex">
    <vt:lpwstr>10</vt:lpwstr>
  </property>
  <property fmtid="{D5CDD505-2E9C-101B-9397-08002B2CF9AE}" pid="4" name="Part">
    <vt:lpwstr>1</vt:lpwstr>
  </property>
  <property fmtid="{D5CDD505-2E9C-101B-9397-08002B2CF9AE}" pid="5" name="Total parts">
    <vt:lpwstr>1</vt:lpwstr>
  </property>
  <property fmtid="{D5CDD505-2E9C-101B-9397-08002B2CF9AE}" pid="6" name="Classification">
    <vt:lpwstr> </vt:lpwstr>
  </property>
  <property fmtid="{D5CDD505-2E9C-101B-9397-08002B2CF9AE}" pid="7" name="DocStatus">
    <vt:lpwstr>Green</vt:lpwstr>
  </property>
  <property name="OP_sanitized" fmtid="{D5CDD505-2E9C-101B-9397-08002B2CF9AE}" pid="8">
    <vt:lpwstr>True</vt:lpwstr>
  </property>
</Properties>
</file>