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fr-FR"/>
        </w:rPr>
      </w:pPr>
      <w:bookmarkStart w:id="0" w:name="LW_BM_COVERPAGE"/>
      <w:r>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E03CA71D6AD24AD79484E7D96F602025" style="width:450.8pt;height:393.2pt">
            <v:imagedata r:id="rId9" o:title=""/>
          </v:shape>
        </w:pict>
      </w:r>
    </w:p>
    <w:bookmarkEnd w:id="0"/>
    <w:p>
      <w:pPr>
        <w:spacing w:line="240" w:lineRule="auto"/>
        <w:rPr>
          <w:rFonts w:ascii="Arial" w:hAnsi="Arial" w:cs="Arial"/>
          <w:noProof/>
          <w:sz w:val="23"/>
          <w:szCs w:val="23"/>
          <w:lang w:val="fr-FR"/>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7" w:h="16839" w:code="9"/>
          <w:pgMar w:top="1134" w:right="1417" w:bottom="1134" w:left="1417" w:header="709" w:footer="709" w:gutter="0"/>
          <w:pgNumType w:start="0"/>
          <w:cols w:space="720"/>
          <w:docGrid w:linePitch="326"/>
        </w:sectPr>
      </w:pPr>
    </w:p>
    <w:p>
      <w:pPr>
        <w:spacing w:line="240" w:lineRule="auto"/>
        <w:jc w:val="right"/>
        <w:rPr>
          <w:b/>
          <w:bCs/>
          <w:noProof/>
          <w:szCs w:val="24"/>
          <w:u w:val="single"/>
          <w:lang w:val="fr-FR"/>
        </w:rPr>
      </w:pPr>
      <w:bookmarkStart w:id="1" w:name="_GoBack"/>
      <w:bookmarkEnd w:id="1"/>
      <w:r>
        <w:rPr>
          <w:b/>
          <w:noProof/>
          <w:u w:val="single"/>
          <w:lang w:val="fr-FR"/>
        </w:rPr>
        <w:lastRenderedPageBreak/>
        <w:t>ANNEXE II</w:t>
      </w:r>
    </w:p>
    <w:p>
      <w:pPr>
        <w:spacing w:line="240" w:lineRule="auto"/>
        <w:jc w:val="center"/>
        <w:rPr>
          <w:b/>
          <w:noProof/>
          <w:lang w:val="fr-FR"/>
        </w:rPr>
      </w:pPr>
    </w:p>
    <w:p>
      <w:pPr>
        <w:spacing w:line="240" w:lineRule="auto"/>
        <w:jc w:val="center"/>
        <w:rPr>
          <w:b/>
          <w:noProof/>
          <w:lang w:val="fr-FR"/>
        </w:rPr>
      </w:pPr>
    </w:p>
    <w:p>
      <w:pPr>
        <w:spacing w:line="240" w:lineRule="auto"/>
        <w:jc w:val="center"/>
        <w:rPr>
          <w:b/>
          <w:noProof/>
          <w:szCs w:val="24"/>
          <w:lang w:val="fr-FR"/>
        </w:rPr>
      </w:pPr>
      <w:r>
        <w:rPr>
          <w:b/>
          <w:noProof/>
          <w:lang w:val="fr-FR"/>
        </w:rPr>
        <w:t>Note introductive</w:t>
      </w:r>
    </w:p>
    <w:p>
      <w:pPr>
        <w:spacing w:line="240" w:lineRule="auto"/>
        <w:jc w:val="center"/>
        <w:rPr>
          <w:b/>
          <w:noProof/>
          <w:szCs w:val="24"/>
          <w:lang w:val="fr-FR"/>
        </w:rPr>
      </w:pPr>
    </w:p>
    <w:p>
      <w:pPr>
        <w:spacing w:line="240" w:lineRule="auto"/>
        <w:jc w:val="center"/>
        <w:rPr>
          <w:b/>
          <w:noProof/>
          <w:szCs w:val="24"/>
          <w:lang w:val="fr-FR"/>
        </w:rPr>
      </w:pPr>
      <w:r>
        <w:rPr>
          <w:b/>
          <w:noProof/>
          <w:lang w:val="fr-FR"/>
        </w:rPr>
        <w:t>Réserves au regard des mesures futures</w:t>
      </w:r>
    </w:p>
    <w:p>
      <w:pPr>
        <w:spacing w:line="240" w:lineRule="auto"/>
        <w:ind w:left="567" w:hanging="567"/>
        <w:rPr>
          <w:noProof/>
          <w:lang w:val="fr-FR"/>
        </w:rPr>
      </w:pPr>
    </w:p>
    <w:p>
      <w:pPr>
        <w:spacing w:line="240" w:lineRule="auto"/>
        <w:ind w:left="567" w:hanging="567"/>
        <w:rPr>
          <w:noProof/>
          <w:lang w:val="fr-FR"/>
        </w:rPr>
      </w:pPr>
      <w:r>
        <w:rPr>
          <w:noProof/>
          <w:lang w:val="fr-FR"/>
        </w:rPr>
        <w:t>1.</w:t>
      </w:r>
      <w:r>
        <w:rPr>
          <w:noProof/>
          <w:lang w:val="fr-FR"/>
        </w:rPr>
        <w:tab/>
        <w:t>La liste d’une Partie jointe à la présente annexe énonce, conformément aux articles 8.15 (Réserves et exceptions), 9.7 (Réserves), 14.4 (Réserves) et, pour l’Union européenne, à l’article 13.10 (Réserves et exceptions), les réserves formulées par cette Partie au regard de secteurs, de sous</w:t>
      </w:r>
      <w:r>
        <w:rPr>
          <w:noProof/>
          <w:lang w:val="fr-FR"/>
        </w:rPr>
        <w:noBreakHyphen/>
        <w:t>secteurs ou d’activités particuliers pour lesquels elle peut maintenir des mesures existantes, ou adopter de nouvelles mesures ou des mesures plus restrictives, qui ne sont pas conformes aux obligations imposées par :</w:t>
      </w:r>
    </w:p>
    <w:p>
      <w:pPr>
        <w:spacing w:line="240" w:lineRule="auto"/>
        <w:rPr>
          <w:noProof/>
          <w:lang w:val="fr-FR"/>
        </w:rPr>
      </w:pPr>
    </w:p>
    <w:p>
      <w:pPr>
        <w:pStyle w:val="Point10"/>
        <w:spacing w:before="0" w:after="0"/>
        <w:ind w:left="1134"/>
        <w:jc w:val="left"/>
        <w:rPr>
          <w:noProof/>
          <w:lang w:val="fr-FR"/>
        </w:rPr>
      </w:pPr>
      <w:r>
        <w:rPr>
          <w:noProof/>
          <w:lang w:val="fr-FR"/>
        </w:rPr>
        <w:t>a)</w:t>
      </w:r>
      <w:r>
        <w:rPr>
          <w:noProof/>
          <w:lang w:val="fr-FR"/>
        </w:rPr>
        <w:tab/>
        <w:t>les articles 8.6 (Traitement national), 9.3 (Traitement national) ou, pour l’Union européenne, l’article 13.3 (Traitement national);</w:t>
      </w:r>
    </w:p>
    <w:p>
      <w:pPr>
        <w:pStyle w:val="Point10"/>
        <w:spacing w:before="0" w:after="0"/>
        <w:ind w:left="1134"/>
        <w:jc w:val="left"/>
        <w:rPr>
          <w:noProof/>
          <w:lang w:val="fr-FR"/>
        </w:rPr>
      </w:pPr>
    </w:p>
    <w:p>
      <w:pPr>
        <w:pStyle w:val="Point10"/>
        <w:spacing w:before="0" w:after="0"/>
        <w:ind w:left="1134"/>
        <w:jc w:val="left"/>
        <w:rPr>
          <w:noProof/>
          <w:lang w:val="fr-FR"/>
        </w:rPr>
      </w:pPr>
      <w:r>
        <w:rPr>
          <w:noProof/>
          <w:lang w:val="fr-FR"/>
        </w:rPr>
        <w:t>b)</w:t>
      </w:r>
      <w:r>
        <w:rPr>
          <w:noProof/>
          <w:lang w:val="fr-FR"/>
        </w:rPr>
        <w:tab/>
        <w:t>les articles 8.7 (Traitement de la nation la plus favorisée), 9.5 (Traitement de la nation la plus favorisée) ou, pour l’Union européenne, l’article 13.4 (Traitement de la nation la plus favorisée);</w:t>
      </w:r>
    </w:p>
    <w:p>
      <w:pPr>
        <w:pStyle w:val="Point10"/>
        <w:spacing w:before="0" w:after="0"/>
        <w:ind w:left="1134"/>
        <w:jc w:val="left"/>
        <w:rPr>
          <w:noProof/>
          <w:lang w:val="fr-FR"/>
        </w:rPr>
      </w:pPr>
    </w:p>
    <w:p>
      <w:pPr>
        <w:pStyle w:val="Point10"/>
        <w:spacing w:before="0" w:after="0"/>
        <w:ind w:left="1134"/>
        <w:jc w:val="left"/>
        <w:rPr>
          <w:noProof/>
          <w:lang w:val="fr-FR"/>
        </w:rPr>
      </w:pPr>
      <w:r>
        <w:rPr>
          <w:noProof/>
          <w:lang w:val="fr-FR"/>
        </w:rPr>
        <w:t>c)</w:t>
      </w:r>
      <w:r>
        <w:rPr>
          <w:noProof/>
          <w:lang w:val="fr-FR"/>
        </w:rPr>
        <w:tab/>
        <w:t>les articles 8.4 (Accès aux marchés), 9.6 (Accès aux marchés) ou, pour l’Union européenne, l’article 13.6 (Accès aux marchés);</w:t>
      </w:r>
    </w:p>
    <w:p>
      <w:pPr>
        <w:pStyle w:val="Point10"/>
        <w:spacing w:before="0" w:after="0"/>
        <w:ind w:left="1134"/>
        <w:jc w:val="left"/>
        <w:rPr>
          <w:noProof/>
          <w:lang w:val="fr-FR"/>
        </w:rPr>
      </w:pPr>
    </w:p>
    <w:p>
      <w:pPr>
        <w:pStyle w:val="Point10"/>
        <w:spacing w:before="0" w:after="0"/>
        <w:ind w:left="1134"/>
        <w:jc w:val="left"/>
        <w:rPr>
          <w:noProof/>
          <w:lang w:val="fr-FR"/>
        </w:rPr>
      </w:pPr>
      <w:r>
        <w:rPr>
          <w:noProof/>
          <w:lang w:val="fr-FR"/>
        </w:rPr>
        <w:t>d)</w:t>
      </w:r>
      <w:r>
        <w:rPr>
          <w:noProof/>
          <w:lang w:val="fr-FR"/>
        </w:rPr>
        <w:tab/>
        <w:t>l’article 8.5 (Prescriptions de résultats);</w:t>
      </w:r>
    </w:p>
    <w:p>
      <w:pPr>
        <w:pStyle w:val="Point10"/>
        <w:spacing w:before="0" w:after="0"/>
        <w:ind w:left="1134"/>
        <w:jc w:val="left"/>
        <w:rPr>
          <w:noProof/>
          <w:lang w:val="fr-FR"/>
        </w:rPr>
      </w:pPr>
    </w:p>
    <w:p>
      <w:pPr>
        <w:spacing w:line="240" w:lineRule="auto"/>
        <w:ind w:left="1134" w:hanging="567"/>
        <w:rPr>
          <w:noProof/>
          <w:lang w:val="fr-FR"/>
        </w:rPr>
      </w:pPr>
      <w:r>
        <w:rPr>
          <w:noProof/>
          <w:lang w:val="fr-FR"/>
        </w:rPr>
        <w:t>e)</w:t>
      </w:r>
      <w:r>
        <w:rPr>
          <w:noProof/>
          <w:lang w:val="fr-FR"/>
        </w:rPr>
        <w:tab/>
        <w:t>l’article 8.8 (Dirigeants et conseils d’administration) ou, pour l’Union européenne, l’article 13.8 (Dirigeants et conseils d’administration);</w:t>
      </w:r>
    </w:p>
    <w:p>
      <w:pPr>
        <w:spacing w:line="240" w:lineRule="auto"/>
        <w:rPr>
          <w:noProof/>
          <w:lang w:val="fr-FR"/>
        </w:rPr>
      </w:pPr>
    </w:p>
    <w:p>
      <w:pPr>
        <w:widowControl/>
        <w:spacing w:line="240" w:lineRule="auto"/>
        <w:rPr>
          <w:noProof/>
          <w:lang w:val="fr-FR"/>
        </w:rPr>
      </w:pPr>
      <w:r>
        <w:rPr>
          <w:noProof/>
          <w:lang w:val="fr-FR"/>
        </w:rPr>
        <w:br w:type="page"/>
      </w:r>
    </w:p>
    <w:p>
      <w:pPr>
        <w:pStyle w:val="Point10"/>
        <w:spacing w:before="0" w:after="0"/>
        <w:ind w:left="1134"/>
        <w:jc w:val="left"/>
        <w:rPr>
          <w:noProof/>
          <w:lang w:val="fr-FR"/>
        </w:rPr>
      </w:pPr>
      <w:r>
        <w:rPr>
          <w:noProof/>
          <w:lang w:val="fr-FR"/>
        </w:rPr>
        <w:t>f)</w:t>
      </w:r>
      <w:r>
        <w:rPr>
          <w:noProof/>
          <w:lang w:val="fr-FR"/>
        </w:rPr>
        <w:tab/>
        <w:t>pour l’Union européenne, l’article 13.7 (Fourniture transfrontières des services financiers);</w:t>
      </w:r>
    </w:p>
    <w:p>
      <w:pPr>
        <w:pStyle w:val="Point10"/>
        <w:spacing w:before="0" w:after="0"/>
        <w:ind w:left="1134"/>
        <w:jc w:val="left"/>
        <w:rPr>
          <w:noProof/>
          <w:lang w:val="fr-FR"/>
        </w:rPr>
      </w:pPr>
    </w:p>
    <w:p>
      <w:pPr>
        <w:spacing w:line="240" w:lineRule="auto"/>
        <w:ind w:left="1134" w:hanging="567"/>
        <w:rPr>
          <w:noProof/>
          <w:lang w:val="fr-FR"/>
        </w:rPr>
      </w:pPr>
      <w:r>
        <w:rPr>
          <w:noProof/>
          <w:lang w:val="fr-FR"/>
        </w:rPr>
        <w:t>g)</w:t>
      </w:r>
      <w:r>
        <w:rPr>
          <w:noProof/>
          <w:lang w:val="fr-FR"/>
        </w:rPr>
        <w:tab/>
        <w:t>l’article 14.3 (Obligations).</w:t>
      </w:r>
    </w:p>
    <w:p>
      <w:pPr>
        <w:widowControl/>
        <w:spacing w:line="240" w:lineRule="auto"/>
        <w:rPr>
          <w:noProof/>
          <w:lang w:val="fr-FR" w:eastAsia="en-CA"/>
        </w:rPr>
      </w:pPr>
    </w:p>
    <w:p>
      <w:pPr>
        <w:pStyle w:val="ManualNumPar1"/>
        <w:spacing w:before="0" w:after="0"/>
        <w:ind w:left="567" w:hanging="567"/>
        <w:rPr>
          <w:noProof/>
          <w:lang w:val="fr-FR"/>
        </w:rPr>
      </w:pPr>
      <w:r>
        <w:rPr>
          <w:noProof/>
          <w:lang w:val="fr-FR" w:eastAsia="en-CA"/>
        </w:rPr>
        <w:t>2.</w:t>
      </w:r>
      <w:r>
        <w:rPr>
          <w:noProof/>
          <w:lang w:val="fr-FR" w:eastAsia="en-CA"/>
        </w:rPr>
        <w:tab/>
      </w:r>
      <w:r>
        <w:rPr>
          <w:noProof/>
          <w:lang w:val="fr-FR"/>
        </w:rPr>
        <w:t>Les réserves d’une Partie sont sans préjudice des droits et obligations des Parties au titre de l’AGCS.</w:t>
      </w:r>
    </w:p>
    <w:p>
      <w:pPr>
        <w:pStyle w:val="Text10"/>
        <w:spacing w:before="0" w:after="0"/>
        <w:ind w:left="567" w:hanging="567"/>
        <w:rPr>
          <w:noProof/>
          <w:lang w:val="fr-FR"/>
        </w:rPr>
      </w:pPr>
    </w:p>
    <w:p>
      <w:pPr>
        <w:pStyle w:val="ManualNumPar1"/>
        <w:spacing w:before="0" w:after="0"/>
        <w:ind w:left="0" w:firstLine="0"/>
        <w:jc w:val="left"/>
        <w:rPr>
          <w:noProof/>
          <w:lang w:val="fr-FR"/>
        </w:rPr>
      </w:pPr>
      <w:r>
        <w:rPr>
          <w:noProof/>
          <w:lang w:val="fr-FR"/>
        </w:rPr>
        <w:t>3.</w:t>
      </w:r>
      <w:r>
        <w:rPr>
          <w:noProof/>
          <w:lang w:val="fr-FR"/>
        </w:rPr>
        <w:tab/>
        <w:t>Chaque réserve énonce les éléments suivants :</w:t>
      </w:r>
    </w:p>
    <w:p>
      <w:pPr>
        <w:pStyle w:val="Text10"/>
        <w:spacing w:before="0" w:after="0"/>
        <w:ind w:left="0"/>
        <w:jc w:val="left"/>
        <w:rPr>
          <w:noProof/>
          <w:lang w:val="fr-FR"/>
        </w:rPr>
      </w:pPr>
    </w:p>
    <w:p>
      <w:pPr>
        <w:pStyle w:val="Point10"/>
        <w:spacing w:before="0" w:after="0"/>
        <w:ind w:left="1134"/>
        <w:jc w:val="left"/>
        <w:rPr>
          <w:noProof/>
          <w:lang w:val="fr-FR"/>
        </w:rPr>
      </w:pPr>
      <w:r>
        <w:rPr>
          <w:noProof/>
          <w:lang w:val="fr-FR"/>
        </w:rPr>
        <w:t>a)</w:t>
      </w:r>
      <w:r>
        <w:rPr>
          <w:noProof/>
          <w:lang w:val="fr-FR"/>
        </w:rPr>
        <w:tab/>
      </w:r>
      <w:r>
        <w:rPr>
          <w:b/>
          <w:noProof/>
          <w:lang w:val="fr-FR"/>
        </w:rPr>
        <w:t>Secteur</w:t>
      </w:r>
      <w:r>
        <w:rPr>
          <w:noProof/>
          <w:lang w:val="fr-FR"/>
        </w:rPr>
        <w:t xml:space="preserve"> renvoie au secteur général visé par la réserve;</w:t>
      </w:r>
    </w:p>
    <w:p>
      <w:pPr>
        <w:pStyle w:val="Point10"/>
        <w:spacing w:before="0" w:after="0"/>
        <w:ind w:left="1134"/>
        <w:jc w:val="left"/>
        <w:rPr>
          <w:noProof/>
          <w:szCs w:val="24"/>
          <w:lang w:val="fr-FR"/>
        </w:rPr>
      </w:pPr>
    </w:p>
    <w:p>
      <w:pPr>
        <w:pStyle w:val="Point10"/>
        <w:spacing w:before="0" w:after="0"/>
        <w:ind w:left="1134"/>
        <w:jc w:val="left"/>
        <w:rPr>
          <w:noProof/>
          <w:lang w:val="fr-FR"/>
        </w:rPr>
      </w:pPr>
      <w:r>
        <w:rPr>
          <w:noProof/>
          <w:lang w:val="fr-FR"/>
        </w:rPr>
        <w:t>b)</w:t>
      </w:r>
      <w:r>
        <w:rPr>
          <w:noProof/>
          <w:lang w:val="fr-FR"/>
        </w:rPr>
        <w:tab/>
      </w:r>
      <w:r>
        <w:rPr>
          <w:b/>
          <w:noProof/>
          <w:lang w:val="fr-FR"/>
        </w:rPr>
        <w:t>Sous-secteur</w:t>
      </w:r>
      <w:r>
        <w:rPr>
          <w:noProof/>
          <w:lang w:val="fr-FR"/>
        </w:rPr>
        <w:t xml:space="preserve"> renvoie au secteur particulier visé par la réserve;</w:t>
      </w:r>
    </w:p>
    <w:p>
      <w:pPr>
        <w:pStyle w:val="Point10"/>
        <w:spacing w:before="0" w:after="0"/>
        <w:ind w:left="1134"/>
        <w:jc w:val="left"/>
        <w:rPr>
          <w:noProof/>
          <w:szCs w:val="24"/>
          <w:lang w:val="fr-FR"/>
        </w:rPr>
      </w:pPr>
    </w:p>
    <w:p>
      <w:pPr>
        <w:pStyle w:val="Point10"/>
        <w:spacing w:before="0" w:after="0"/>
        <w:ind w:left="1134"/>
        <w:jc w:val="left"/>
        <w:rPr>
          <w:noProof/>
          <w:lang w:val="fr-FR"/>
        </w:rPr>
      </w:pPr>
      <w:r>
        <w:rPr>
          <w:noProof/>
          <w:lang w:val="fr-FR"/>
        </w:rPr>
        <w:t>c)</w:t>
      </w:r>
      <w:r>
        <w:rPr>
          <w:noProof/>
          <w:lang w:val="fr-FR"/>
        </w:rPr>
        <w:tab/>
      </w:r>
      <w:r>
        <w:rPr>
          <w:b/>
          <w:noProof/>
          <w:lang w:val="fr-FR"/>
        </w:rPr>
        <w:t>Classification de l’industrie</w:t>
      </w:r>
      <w:r>
        <w:rPr>
          <w:noProof/>
          <w:lang w:val="fr-FR"/>
        </w:rPr>
        <w:t xml:space="preserve"> renvoie, s’il y a lieu, à l’activité visée par la réserve, définie selon la CPC, la CITI rév. 3.1, ou conformément à toute autre description expressément donnée dans la réserve d’une Partie;</w:t>
      </w:r>
    </w:p>
    <w:p>
      <w:pPr>
        <w:pStyle w:val="Point10"/>
        <w:spacing w:before="0" w:after="0"/>
        <w:ind w:left="1134"/>
        <w:jc w:val="left"/>
        <w:rPr>
          <w:noProof/>
          <w:szCs w:val="24"/>
          <w:lang w:val="fr-FR"/>
        </w:rPr>
      </w:pPr>
    </w:p>
    <w:p>
      <w:pPr>
        <w:pStyle w:val="Point10"/>
        <w:spacing w:before="0" w:after="0"/>
        <w:ind w:left="1134"/>
        <w:jc w:val="left"/>
        <w:rPr>
          <w:noProof/>
          <w:lang w:val="fr-FR"/>
        </w:rPr>
      </w:pPr>
      <w:r>
        <w:rPr>
          <w:noProof/>
          <w:lang w:val="fr-FR"/>
        </w:rPr>
        <w:t>d)</w:t>
      </w:r>
      <w:r>
        <w:rPr>
          <w:noProof/>
          <w:lang w:val="fr-FR"/>
        </w:rPr>
        <w:tab/>
      </w:r>
      <w:r>
        <w:rPr>
          <w:b/>
          <w:noProof/>
          <w:lang w:val="fr-FR"/>
        </w:rPr>
        <w:t>Type de réserve</w:t>
      </w:r>
      <w:r>
        <w:rPr>
          <w:noProof/>
          <w:lang w:val="fr-FR"/>
        </w:rPr>
        <w:t xml:space="preserve"> précise l’obligation mentionnée au paragraphe 1 à l’égard de laquelle une réserve est formulée;</w:t>
      </w:r>
    </w:p>
    <w:p>
      <w:pPr>
        <w:pStyle w:val="Point10"/>
        <w:spacing w:before="0" w:after="0"/>
        <w:ind w:left="1134"/>
        <w:jc w:val="left"/>
        <w:rPr>
          <w:noProof/>
          <w:szCs w:val="24"/>
          <w:lang w:val="fr-FR"/>
        </w:rPr>
      </w:pPr>
    </w:p>
    <w:p>
      <w:pPr>
        <w:pStyle w:val="Point10"/>
        <w:spacing w:before="0" w:after="0"/>
        <w:ind w:left="1134"/>
        <w:jc w:val="left"/>
        <w:rPr>
          <w:noProof/>
          <w:lang w:val="fr-FR"/>
        </w:rPr>
      </w:pPr>
      <w:r>
        <w:rPr>
          <w:noProof/>
          <w:lang w:val="fr-FR"/>
        </w:rPr>
        <w:t>e)</w:t>
      </w:r>
      <w:r>
        <w:rPr>
          <w:noProof/>
          <w:lang w:val="fr-FR"/>
        </w:rPr>
        <w:tab/>
      </w:r>
      <w:r>
        <w:rPr>
          <w:b/>
          <w:noProof/>
          <w:lang w:val="fr-FR"/>
        </w:rPr>
        <w:t>Description</w:t>
      </w:r>
      <w:r>
        <w:rPr>
          <w:noProof/>
          <w:lang w:val="fr-FR"/>
        </w:rPr>
        <w:t xml:space="preserve"> énonce la portée du secteur, du sous-secteur ou des activités visés par la réserve;</w:t>
      </w:r>
    </w:p>
    <w:p>
      <w:pPr>
        <w:pStyle w:val="Point10"/>
        <w:spacing w:before="0" w:after="0"/>
        <w:ind w:left="1134"/>
        <w:jc w:val="left"/>
        <w:rPr>
          <w:noProof/>
          <w:szCs w:val="24"/>
          <w:lang w:val="fr-FR"/>
        </w:rPr>
      </w:pPr>
    </w:p>
    <w:p>
      <w:pPr>
        <w:pStyle w:val="Point10"/>
        <w:spacing w:before="0" w:after="0"/>
        <w:ind w:left="1134"/>
        <w:jc w:val="left"/>
        <w:rPr>
          <w:noProof/>
          <w:lang w:val="fr-FR"/>
        </w:rPr>
      </w:pPr>
      <w:r>
        <w:rPr>
          <w:noProof/>
          <w:lang w:val="fr-FR"/>
        </w:rPr>
        <w:t>f)</w:t>
      </w:r>
      <w:r>
        <w:rPr>
          <w:noProof/>
          <w:lang w:val="fr-FR"/>
        </w:rPr>
        <w:tab/>
      </w:r>
      <w:r>
        <w:rPr>
          <w:b/>
          <w:noProof/>
          <w:lang w:val="fr-FR"/>
        </w:rPr>
        <w:t>Mesures existantes</w:t>
      </w:r>
      <w:r>
        <w:rPr>
          <w:noProof/>
          <w:lang w:val="fr-FR"/>
        </w:rPr>
        <w:t xml:space="preserve"> précise, par souci de transparence, les mesures existantes qui s’appliquent au secteur, au sous-secteur ou aux activités visés par la réserve.</w:t>
      </w:r>
    </w:p>
    <w:p>
      <w:pPr>
        <w:pStyle w:val="Point10"/>
        <w:spacing w:before="0" w:after="0"/>
        <w:ind w:left="0" w:firstLine="0"/>
        <w:jc w:val="left"/>
        <w:rPr>
          <w:noProof/>
          <w:szCs w:val="24"/>
          <w:lang w:val="fr-FR"/>
        </w:rPr>
      </w:pPr>
    </w:p>
    <w:p>
      <w:pPr>
        <w:spacing w:line="240" w:lineRule="auto"/>
        <w:ind w:left="567" w:hanging="567"/>
        <w:rPr>
          <w:noProof/>
          <w:szCs w:val="24"/>
          <w:lang w:val="fr-FR"/>
        </w:rPr>
      </w:pPr>
      <w:r>
        <w:rPr>
          <w:noProof/>
          <w:lang w:val="fr-FR"/>
        </w:rPr>
        <w:t>4.</w:t>
      </w:r>
      <w:r>
        <w:rPr>
          <w:noProof/>
          <w:lang w:val="fr-FR"/>
        </w:rPr>
        <w:tab/>
        <w:t xml:space="preserve">L’interprétation d’une réserve tient compte de tous ses éléments. L’élément </w:t>
      </w:r>
      <w:r>
        <w:rPr>
          <w:b/>
          <w:noProof/>
          <w:lang w:val="fr-FR"/>
        </w:rPr>
        <w:t>Description</w:t>
      </w:r>
      <w:r>
        <w:rPr>
          <w:noProof/>
          <w:lang w:val="fr-FR"/>
        </w:rPr>
        <w:t xml:space="preserve"> l’emporte sur tous les autres éléments.</w:t>
      </w:r>
    </w:p>
    <w:p>
      <w:pPr>
        <w:spacing w:line="240" w:lineRule="auto"/>
        <w:rPr>
          <w:noProof/>
          <w:szCs w:val="24"/>
          <w:lang w:val="fr-FR"/>
        </w:rPr>
      </w:pPr>
    </w:p>
    <w:p>
      <w:pPr>
        <w:widowControl/>
        <w:spacing w:line="240" w:lineRule="auto"/>
        <w:rPr>
          <w:noProof/>
          <w:szCs w:val="24"/>
          <w:lang w:val="fr-FR"/>
        </w:rPr>
      </w:pPr>
      <w:r>
        <w:rPr>
          <w:noProof/>
          <w:szCs w:val="24"/>
          <w:lang w:val="fr-FR"/>
        </w:rPr>
        <w:br w:type="page"/>
      </w:r>
    </w:p>
    <w:p>
      <w:pPr>
        <w:pStyle w:val="ManualNumPar1"/>
        <w:spacing w:before="0" w:after="0"/>
        <w:ind w:left="567" w:hanging="567"/>
        <w:rPr>
          <w:noProof/>
          <w:lang w:val="fr-FR"/>
        </w:rPr>
      </w:pPr>
      <w:r>
        <w:rPr>
          <w:noProof/>
          <w:szCs w:val="24"/>
          <w:lang w:val="fr-FR"/>
        </w:rPr>
        <w:t>5.</w:t>
      </w:r>
      <w:r>
        <w:rPr>
          <w:noProof/>
          <w:szCs w:val="24"/>
          <w:lang w:val="fr-FR"/>
        </w:rPr>
        <w:tab/>
      </w:r>
      <w:r>
        <w:rPr>
          <w:noProof/>
          <w:lang w:val="fr-FR"/>
        </w:rPr>
        <w:t xml:space="preserve">Une réserve formulée à l’échelle de l’Union européenne s’applique à une mesure d’un État membre de l’Union européenne au niveau national ainsi qu’à une mesure d’un gouvernement dans un État membre de l’Union européenne, sauf si la réserve exclut un État membre de l’Union européenne. Une réserve formulée par le Canada au niveau du gouvernement national ou par un État membre de l’Union européenne s’applique à une mesure d’un gouvernement au niveau régional, provincial, territorial ou local au sein de ce pays. </w:t>
      </w:r>
    </w:p>
    <w:p>
      <w:pPr>
        <w:pStyle w:val="Text10"/>
        <w:spacing w:before="0" w:after="0"/>
        <w:ind w:left="0"/>
        <w:rPr>
          <w:noProof/>
          <w:lang w:val="fr-FR"/>
        </w:rPr>
      </w:pPr>
    </w:p>
    <w:p>
      <w:pPr>
        <w:pStyle w:val="ManualNumPar1"/>
        <w:spacing w:before="0" w:after="0"/>
        <w:ind w:left="567" w:hanging="567"/>
        <w:rPr>
          <w:noProof/>
          <w:lang w:val="fr-FR"/>
        </w:rPr>
      </w:pPr>
      <w:r>
        <w:rPr>
          <w:noProof/>
          <w:lang w:val="fr-FR"/>
        </w:rPr>
        <w:t>6.</w:t>
      </w:r>
      <w:r>
        <w:rPr>
          <w:noProof/>
          <w:lang w:val="fr-FR"/>
        </w:rPr>
        <w:tab/>
        <w:t>Lorsqu’</w:t>
      </w:r>
      <w:r>
        <w:rPr>
          <w:noProof/>
          <w:szCs w:val="24"/>
          <w:lang w:val="fr-FR"/>
        </w:rPr>
        <w:t xml:space="preserve">une Partie maintient une mesure exigeant qu’un fournisseur de services soit une personne physique, un citoyen, un résident permanent ou un résident de son territoire afin de pouvoir fournir un service sur son territoire, une réserve concernant cette mesure formulée à l’égard du commerce transfrontières des services a l’effet d’une réserve formulée à l’égard de  l’investissement, </w:t>
      </w:r>
      <w:r>
        <w:rPr>
          <w:noProof/>
          <w:lang w:val="fr-FR"/>
        </w:rPr>
        <w:t>en ce qui concerne cette mesure.</w:t>
      </w:r>
    </w:p>
    <w:p>
      <w:pPr>
        <w:pStyle w:val="Text10"/>
        <w:spacing w:before="0" w:after="0"/>
        <w:ind w:left="567" w:hanging="567"/>
        <w:rPr>
          <w:noProof/>
          <w:lang w:val="fr-FR"/>
        </w:rPr>
      </w:pPr>
    </w:p>
    <w:p>
      <w:pPr>
        <w:pStyle w:val="ManualNumPar1"/>
        <w:spacing w:before="0" w:after="0"/>
        <w:ind w:left="567" w:hanging="567"/>
        <w:rPr>
          <w:noProof/>
          <w:lang w:val="fr-FR"/>
        </w:rPr>
      </w:pPr>
      <w:r>
        <w:rPr>
          <w:noProof/>
          <w:lang w:val="fr-FR"/>
        </w:rPr>
        <w:t>7.</w:t>
      </w:r>
      <w:r>
        <w:rPr>
          <w:noProof/>
          <w:lang w:val="fr-FR"/>
        </w:rPr>
        <w:tab/>
      </w:r>
      <w:r>
        <w:rPr>
          <w:noProof/>
          <w:szCs w:val="24"/>
          <w:lang w:val="fr-FR"/>
        </w:rPr>
        <w:t>Une réserve concernant une mesure exigeant qu’un fournisseur de services soit une personne physique, un citoyen, un résident permanent ou un résident de son territoire afin de pouvoir fournir un service financier sur son territoire formulée à l’égard de l’article 13.7 (Fourniture transfrontières des services financiers) a l’effet d’une réserve à l’égard des articles 13.3 (Traitement national), 13.4 (Traitement de la nation la plus favorisée), 13.6 (Accès aux marchés) et 13.8 (Dirigeants et conseils d’administration), en ce qui concerne cette mesure</w:t>
      </w:r>
      <w:r>
        <w:rPr>
          <w:noProof/>
          <w:lang w:val="fr-FR"/>
        </w:rPr>
        <w:t>.</w:t>
      </w:r>
    </w:p>
    <w:p>
      <w:pPr>
        <w:pStyle w:val="Text10"/>
        <w:spacing w:before="0" w:after="0"/>
        <w:ind w:left="567" w:hanging="567"/>
        <w:rPr>
          <w:noProof/>
          <w:lang w:val="fr-FR"/>
        </w:rPr>
      </w:pPr>
    </w:p>
    <w:p>
      <w:pPr>
        <w:pStyle w:val="ManualNumPar1"/>
        <w:spacing w:before="0" w:after="0"/>
        <w:ind w:left="567" w:hanging="567"/>
        <w:rPr>
          <w:noProof/>
          <w:lang w:val="fr-FR"/>
        </w:rPr>
      </w:pPr>
      <w:r>
        <w:rPr>
          <w:noProof/>
          <w:lang w:val="fr-FR"/>
        </w:rPr>
        <w:t>8.</w:t>
      </w:r>
      <w:r>
        <w:rPr>
          <w:noProof/>
          <w:lang w:val="fr-FR"/>
        </w:rPr>
        <w:tab/>
        <w:t>Pour l’application</w:t>
      </w:r>
      <w:r>
        <w:rPr>
          <w:noProof/>
          <w:szCs w:val="24"/>
          <w:lang w:val="fr-FR"/>
        </w:rPr>
        <w:t xml:space="preserve"> de la présente annexe, y compris la liste de chaque Partie jointe à la présente annexe :</w:t>
      </w:r>
    </w:p>
    <w:p>
      <w:pPr>
        <w:pStyle w:val="Text10"/>
        <w:spacing w:before="0" w:after="0"/>
        <w:ind w:left="0"/>
        <w:rPr>
          <w:noProof/>
          <w:lang w:val="fr-FR"/>
        </w:rPr>
      </w:pPr>
    </w:p>
    <w:p>
      <w:pPr>
        <w:pStyle w:val="Text10"/>
        <w:spacing w:before="0" w:after="0"/>
        <w:ind w:left="567"/>
        <w:rPr>
          <w:noProof/>
          <w:lang w:val="fr-FR"/>
        </w:rPr>
      </w:pPr>
      <w:r>
        <w:rPr>
          <w:b/>
          <w:noProof/>
          <w:lang w:val="fr-FR"/>
        </w:rPr>
        <w:t>CITI rév. 3.1</w:t>
      </w:r>
      <w:r>
        <w:rPr>
          <w:noProof/>
          <w:lang w:val="fr-FR"/>
        </w:rPr>
        <w:t xml:space="preserve"> désigne la Classification internationale type, par industrie, de toutes les branches d’activité économique, telle qu’établie dans le document Études statistiques, série M, n</w:t>
      </w:r>
      <w:r>
        <w:rPr>
          <w:noProof/>
          <w:vertAlign w:val="superscript"/>
          <w:lang w:val="fr-FR"/>
        </w:rPr>
        <w:t>o </w:t>
      </w:r>
      <w:r>
        <w:rPr>
          <w:noProof/>
          <w:lang w:val="fr-FR"/>
        </w:rPr>
        <w:t xml:space="preserve">4, </w:t>
      </w:r>
      <w:r>
        <w:rPr>
          <w:i/>
          <w:noProof/>
          <w:lang w:val="fr-FR"/>
        </w:rPr>
        <w:t xml:space="preserve">CITI révision </w:t>
      </w:r>
      <w:r>
        <w:rPr>
          <w:noProof/>
          <w:lang w:val="fr-FR"/>
        </w:rPr>
        <w:t>3.1, 2002 du Bureau de statistique des Nations Unies.</w:t>
      </w:r>
    </w:p>
    <w:p>
      <w:pPr>
        <w:spacing w:line="240" w:lineRule="auto"/>
        <w:rPr>
          <w:noProof/>
          <w:szCs w:val="24"/>
          <w:lang w:val="fr-FR"/>
        </w:rPr>
      </w:pPr>
    </w:p>
    <w:p>
      <w:pPr>
        <w:widowControl/>
        <w:spacing w:line="240" w:lineRule="auto"/>
        <w:rPr>
          <w:noProof/>
          <w:szCs w:val="24"/>
          <w:lang w:val="fr-FR"/>
        </w:rPr>
      </w:pPr>
      <w:r>
        <w:rPr>
          <w:noProof/>
          <w:szCs w:val="24"/>
          <w:lang w:val="fr-FR"/>
        </w:rPr>
        <w:br w:type="page"/>
      </w:r>
    </w:p>
    <w:p>
      <w:pPr>
        <w:spacing w:line="240" w:lineRule="auto"/>
        <w:ind w:left="567" w:hanging="567"/>
        <w:rPr>
          <w:noProof/>
          <w:szCs w:val="24"/>
          <w:lang w:val="fr-FR"/>
        </w:rPr>
      </w:pPr>
      <w:r>
        <w:rPr>
          <w:noProof/>
          <w:szCs w:val="24"/>
          <w:lang w:val="fr-FR"/>
        </w:rPr>
        <w:t>9.</w:t>
      </w:r>
      <w:r>
        <w:rPr>
          <w:noProof/>
          <w:szCs w:val="24"/>
          <w:lang w:val="fr-FR"/>
        </w:rPr>
        <w:tab/>
        <w:t>Les abréviations suivantes sont utilisées dans la liste de l’Union européenne jointe à la présente annexe :</w:t>
      </w:r>
    </w:p>
    <w:p>
      <w:pPr>
        <w:spacing w:line="240" w:lineRule="auto"/>
        <w:rPr>
          <w:noProof/>
          <w:lang w:val="fr-FR"/>
        </w:rPr>
      </w:pPr>
    </w:p>
    <w:p>
      <w:pPr>
        <w:pStyle w:val="Point10"/>
        <w:spacing w:before="0" w:after="0"/>
        <w:ind w:left="567" w:firstLine="0"/>
        <w:rPr>
          <w:noProof/>
          <w:lang w:val="fr-FR"/>
        </w:rPr>
      </w:pPr>
      <w:r>
        <w:rPr>
          <w:noProof/>
          <w:lang w:val="fr-FR"/>
        </w:rPr>
        <w:t>AT</w:t>
      </w:r>
      <w:r>
        <w:rPr>
          <w:noProof/>
          <w:lang w:val="fr-FR"/>
        </w:rPr>
        <w:tab/>
        <w:t>Autriche</w:t>
      </w:r>
    </w:p>
    <w:p>
      <w:pPr>
        <w:pStyle w:val="Point10"/>
        <w:spacing w:before="0" w:after="0"/>
        <w:ind w:left="567" w:firstLine="0"/>
        <w:rPr>
          <w:noProof/>
          <w:lang w:val="fr-FR"/>
        </w:rPr>
      </w:pPr>
      <w:r>
        <w:rPr>
          <w:noProof/>
          <w:lang w:val="fr-FR"/>
        </w:rPr>
        <w:t>BE</w:t>
      </w:r>
      <w:r>
        <w:rPr>
          <w:noProof/>
          <w:lang w:val="fr-FR"/>
        </w:rPr>
        <w:tab/>
        <w:t>Belgique</w:t>
      </w:r>
    </w:p>
    <w:p>
      <w:pPr>
        <w:pStyle w:val="Point10"/>
        <w:spacing w:before="0" w:after="0"/>
        <w:ind w:left="567" w:firstLine="0"/>
        <w:rPr>
          <w:noProof/>
          <w:lang w:val="fr-FR"/>
        </w:rPr>
      </w:pPr>
      <w:r>
        <w:rPr>
          <w:noProof/>
          <w:lang w:val="fr-FR"/>
        </w:rPr>
        <w:t>BG</w:t>
      </w:r>
      <w:r>
        <w:rPr>
          <w:noProof/>
          <w:lang w:val="fr-FR"/>
        </w:rPr>
        <w:tab/>
        <w:t>Bulgarie</w:t>
      </w:r>
    </w:p>
    <w:p>
      <w:pPr>
        <w:pStyle w:val="Point10"/>
        <w:spacing w:before="0" w:after="0"/>
        <w:ind w:left="567" w:firstLine="0"/>
        <w:rPr>
          <w:noProof/>
          <w:lang w:val="fr-FR"/>
        </w:rPr>
      </w:pPr>
      <w:r>
        <w:rPr>
          <w:noProof/>
          <w:lang w:val="fr-FR"/>
        </w:rPr>
        <w:t>CY</w:t>
      </w:r>
      <w:r>
        <w:rPr>
          <w:noProof/>
          <w:lang w:val="fr-FR"/>
        </w:rPr>
        <w:tab/>
        <w:t>Chypre</w:t>
      </w:r>
    </w:p>
    <w:p>
      <w:pPr>
        <w:pStyle w:val="Point10"/>
        <w:spacing w:before="0" w:after="0"/>
        <w:ind w:left="567" w:firstLine="0"/>
        <w:rPr>
          <w:noProof/>
          <w:lang w:val="fr-FR"/>
        </w:rPr>
      </w:pPr>
      <w:r>
        <w:rPr>
          <w:noProof/>
          <w:lang w:val="fr-FR"/>
        </w:rPr>
        <w:t>CZ</w:t>
      </w:r>
      <w:r>
        <w:rPr>
          <w:noProof/>
          <w:lang w:val="fr-FR"/>
        </w:rPr>
        <w:tab/>
        <w:t>République tchèque</w:t>
      </w:r>
    </w:p>
    <w:p>
      <w:pPr>
        <w:pStyle w:val="Point10"/>
        <w:spacing w:before="0" w:after="0"/>
        <w:ind w:left="567" w:firstLine="0"/>
        <w:rPr>
          <w:noProof/>
          <w:lang w:val="fr-FR"/>
        </w:rPr>
      </w:pPr>
      <w:r>
        <w:rPr>
          <w:noProof/>
          <w:lang w:val="fr-FR"/>
        </w:rPr>
        <w:t>DE</w:t>
      </w:r>
      <w:r>
        <w:rPr>
          <w:noProof/>
          <w:lang w:val="fr-FR"/>
        </w:rPr>
        <w:tab/>
        <w:t>Allemagne</w:t>
      </w:r>
    </w:p>
    <w:p>
      <w:pPr>
        <w:pStyle w:val="Point10"/>
        <w:spacing w:before="0" w:after="0"/>
        <w:ind w:left="567" w:firstLine="0"/>
        <w:rPr>
          <w:noProof/>
          <w:lang w:val="fr-FR"/>
        </w:rPr>
      </w:pPr>
      <w:r>
        <w:rPr>
          <w:noProof/>
          <w:lang w:val="fr-FR"/>
        </w:rPr>
        <w:t>DK</w:t>
      </w:r>
      <w:r>
        <w:rPr>
          <w:noProof/>
          <w:lang w:val="fr-FR"/>
        </w:rPr>
        <w:tab/>
        <w:t>Danemark</w:t>
      </w:r>
    </w:p>
    <w:p>
      <w:pPr>
        <w:pStyle w:val="Point10"/>
        <w:spacing w:before="0" w:after="0"/>
        <w:ind w:left="567" w:firstLine="0"/>
        <w:rPr>
          <w:noProof/>
          <w:lang w:val="fr-FR"/>
        </w:rPr>
      </w:pPr>
      <w:r>
        <w:rPr>
          <w:noProof/>
          <w:lang w:val="fr-FR"/>
        </w:rPr>
        <w:t>EE</w:t>
      </w:r>
      <w:r>
        <w:rPr>
          <w:noProof/>
          <w:lang w:val="fr-FR"/>
        </w:rPr>
        <w:tab/>
        <w:t>Estonie</w:t>
      </w:r>
    </w:p>
    <w:p>
      <w:pPr>
        <w:pStyle w:val="Point10"/>
        <w:spacing w:before="0" w:after="0"/>
        <w:ind w:left="567" w:firstLine="0"/>
        <w:rPr>
          <w:noProof/>
          <w:lang w:val="fr-FR"/>
        </w:rPr>
      </w:pPr>
      <w:r>
        <w:rPr>
          <w:noProof/>
          <w:lang w:val="fr-FR"/>
        </w:rPr>
        <w:t>ES</w:t>
      </w:r>
      <w:r>
        <w:rPr>
          <w:noProof/>
          <w:lang w:val="fr-FR"/>
        </w:rPr>
        <w:tab/>
        <w:t>Espagne</w:t>
      </w:r>
    </w:p>
    <w:p>
      <w:pPr>
        <w:pStyle w:val="Point10"/>
        <w:spacing w:before="0" w:after="0"/>
        <w:ind w:left="567" w:firstLine="0"/>
        <w:rPr>
          <w:noProof/>
          <w:lang w:val="fr-FR"/>
        </w:rPr>
      </w:pPr>
      <w:r>
        <w:rPr>
          <w:noProof/>
          <w:lang w:val="fr-FR"/>
        </w:rPr>
        <w:t>UE</w:t>
      </w:r>
      <w:r>
        <w:rPr>
          <w:noProof/>
          <w:lang w:val="fr-FR"/>
        </w:rPr>
        <w:tab/>
        <w:t>Union européenne, y compris tous ses États membres</w:t>
      </w:r>
    </w:p>
    <w:p>
      <w:pPr>
        <w:pStyle w:val="Point10"/>
        <w:spacing w:before="0" w:after="0"/>
        <w:ind w:left="567" w:firstLine="0"/>
        <w:rPr>
          <w:noProof/>
          <w:lang w:val="fr-FR"/>
        </w:rPr>
      </w:pPr>
      <w:r>
        <w:rPr>
          <w:noProof/>
          <w:lang w:val="fr-FR"/>
        </w:rPr>
        <w:t>FI</w:t>
      </w:r>
      <w:r>
        <w:rPr>
          <w:noProof/>
          <w:lang w:val="fr-FR"/>
        </w:rPr>
        <w:tab/>
        <w:t>Finlande</w:t>
      </w:r>
    </w:p>
    <w:p>
      <w:pPr>
        <w:pStyle w:val="Point10"/>
        <w:spacing w:before="0" w:after="0"/>
        <w:ind w:left="567" w:firstLine="0"/>
        <w:rPr>
          <w:noProof/>
          <w:lang w:val="fr-FR"/>
        </w:rPr>
      </w:pPr>
      <w:r>
        <w:rPr>
          <w:noProof/>
          <w:lang w:val="fr-FR"/>
        </w:rPr>
        <w:t>FR</w:t>
      </w:r>
      <w:r>
        <w:rPr>
          <w:noProof/>
          <w:lang w:val="fr-FR"/>
        </w:rPr>
        <w:tab/>
        <w:t>France</w:t>
      </w:r>
    </w:p>
    <w:p>
      <w:pPr>
        <w:pStyle w:val="Point10"/>
        <w:spacing w:before="0" w:after="0"/>
        <w:ind w:left="567" w:firstLine="0"/>
        <w:rPr>
          <w:noProof/>
          <w:lang w:val="fr-FR"/>
        </w:rPr>
      </w:pPr>
      <w:r>
        <w:rPr>
          <w:noProof/>
          <w:lang w:val="fr-FR"/>
        </w:rPr>
        <w:t>EL</w:t>
      </w:r>
      <w:r>
        <w:rPr>
          <w:noProof/>
          <w:lang w:val="fr-FR"/>
        </w:rPr>
        <w:tab/>
        <w:t>Grèce</w:t>
      </w:r>
    </w:p>
    <w:p>
      <w:pPr>
        <w:pStyle w:val="Point10"/>
        <w:spacing w:before="0" w:after="0"/>
        <w:ind w:left="567" w:firstLine="0"/>
        <w:rPr>
          <w:noProof/>
          <w:lang w:val="fr-FR"/>
        </w:rPr>
      </w:pPr>
      <w:r>
        <w:rPr>
          <w:noProof/>
          <w:lang w:val="fr-FR"/>
        </w:rPr>
        <w:t>HR</w:t>
      </w:r>
      <w:r>
        <w:rPr>
          <w:noProof/>
          <w:lang w:val="fr-FR"/>
        </w:rPr>
        <w:tab/>
        <w:t>Croatie</w:t>
      </w:r>
    </w:p>
    <w:p>
      <w:pPr>
        <w:pStyle w:val="Point10"/>
        <w:spacing w:before="0" w:after="0"/>
        <w:ind w:left="567" w:firstLine="0"/>
        <w:rPr>
          <w:noProof/>
          <w:lang w:val="fr-FR"/>
        </w:rPr>
      </w:pPr>
      <w:r>
        <w:rPr>
          <w:noProof/>
          <w:lang w:val="fr-FR"/>
        </w:rPr>
        <w:t>HU</w:t>
      </w:r>
      <w:r>
        <w:rPr>
          <w:noProof/>
          <w:lang w:val="fr-FR"/>
        </w:rPr>
        <w:tab/>
        <w:t>Hongrie</w:t>
      </w:r>
    </w:p>
    <w:p>
      <w:pPr>
        <w:pStyle w:val="Point10"/>
        <w:spacing w:before="0" w:after="0"/>
        <w:ind w:left="567" w:firstLine="0"/>
        <w:rPr>
          <w:noProof/>
          <w:lang w:val="fr-FR"/>
        </w:rPr>
      </w:pPr>
      <w:r>
        <w:rPr>
          <w:noProof/>
          <w:lang w:val="fr-FR"/>
        </w:rPr>
        <w:t>IE</w:t>
      </w:r>
      <w:r>
        <w:rPr>
          <w:noProof/>
          <w:lang w:val="fr-FR"/>
        </w:rPr>
        <w:tab/>
        <w:t>Irlande</w:t>
      </w:r>
    </w:p>
    <w:p>
      <w:pPr>
        <w:pStyle w:val="Point10"/>
        <w:spacing w:before="0" w:after="0"/>
        <w:ind w:left="567" w:firstLine="0"/>
        <w:rPr>
          <w:noProof/>
          <w:lang w:val="fr-FR"/>
        </w:rPr>
      </w:pPr>
      <w:r>
        <w:rPr>
          <w:noProof/>
          <w:lang w:val="fr-FR"/>
        </w:rPr>
        <w:t>IT</w:t>
      </w:r>
      <w:r>
        <w:rPr>
          <w:noProof/>
          <w:lang w:val="fr-FR"/>
        </w:rPr>
        <w:tab/>
        <w:t>Italie</w:t>
      </w:r>
    </w:p>
    <w:p>
      <w:pPr>
        <w:pStyle w:val="Point10"/>
        <w:spacing w:before="0" w:after="0"/>
        <w:ind w:left="567" w:firstLine="0"/>
        <w:rPr>
          <w:noProof/>
          <w:lang w:val="fr-FR"/>
        </w:rPr>
      </w:pPr>
      <w:r>
        <w:rPr>
          <w:noProof/>
          <w:lang w:val="fr-FR"/>
        </w:rPr>
        <w:t>LV</w:t>
      </w:r>
      <w:r>
        <w:rPr>
          <w:noProof/>
          <w:lang w:val="fr-FR"/>
        </w:rPr>
        <w:tab/>
        <w:t>Lettonie</w:t>
      </w:r>
    </w:p>
    <w:p>
      <w:pPr>
        <w:pStyle w:val="Point10"/>
        <w:spacing w:before="0" w:after="0"/>
        <w:ind w:left="567" w:firstLine="0"/>
        <w:rPr>
          <w:noProof/>
          <w:lang w:val="fr-FR"/>
        </w:rPr>
      </w:pPr>
      <w:r>
        <w:rPr>
          <w:noProof/>
          <w:lang w:val="fr-FR"/>
        </w:rPr>
        <w:t>LT</w:t>
      </w:r>
      <w:r>
        <w:rPr>
          <w:noProof/>
          <w:lang w:val="fr-FR"/>
        </w:rPr>
        <w:tab/>
        <w:t>Lituanie</w:t>
      </w:r>
    </w:p>
    <w:p>
      <w:pPr>
        <w:pStyle w:val="Point10"/>
        <w:spacing w:before="0" w:after="0"/>
        <w:ind w:left="567" w:firstLine="0"/>
        <w:rPr>
          <w:noProof/>
          <w:lang w:val="fr-FR"/>
        </w:rPr>
      </w:pPr>
      <w:r>
        <w:rPr>
          <w:noProof/>
          <w:lang w:val="fr-FR"/>
        </w:rPr>
        <w:t>LU</w:t>
      </w:r>
      <w:r>
        <w:rPr>
          <w:noProof/>
          <w:lang w:val="fr-FR"/>
        </w:rPr>
        <w:tab/>
        <w:t>Luxembourg</w:t>
      </w:r>
    </w:p>
    <w:p>
      <w:pPr>
        <w:pStyle w:val="Point10"/>
        <w:spacing w:before="0" w:after="0"/>
        <w:ind w:left="567" w:firstLine="0"/>
        <w:rPr>
          <w:noProof/>
          <w:lang w:val="fr-FR"/>
        </w:rPr>
      </w:pPr>
      <w:r>
        <w:rPr>
          <w:noProof/>
          <w:lang w:val="fr-FR"/>
        </w:rPr>
        <w:t>MT</w:t>
      </w:r>
      <w:r>
        <w:rPr>
          <w:noProof/>
          <w:lang w:val="fr-FR"/>
        </w:rPr>
        <w:tab/>
        <w:t>Malte</w:t>
      </w:r>
    </w:p>
    <w:p>
      <w:pPr>
        <w:pStyle w:val="Point10"/>
        <w:spacing w:before="0" w:after="0"/>
        <w:ind w:left="567" w:firstLine="0"/>
        <w:rPr>
          <w:noProof/>
          <w:lang w:val="fr-FR"/>
        </w:rPr>
      </w:pPr>
      <w:r>
        <w:rPr>
          <w:noProof/>
          <w:lang w:val="fr-FR"/>
        </w:rPr>
        <w:t>NL</w:t>
      </w:r>
      <w:r>
        <w:rPr>
          <w:noProof/>
          <w:lang w:val="fr-FR"/>
        </w:rPr>
        <w:tab/>
        <w:t>Pays-Bas</w:t>
      </w:r>
    </w:p>
    <w:p>
      <w:pPr>
        <w:pStyle w:val="Point10"/>
        <w:spacing w:before="0" w:after="0"/>
        <w:ind w:left="567" w:firstLine="0"/>
        <w:rPr>
          <w:noProof/>
          <w:lang w:val="fr-FR"/>
        </w:rPr>
      </w:pPr>
      <w:r>
        <w:rPr>
          <w:noProof/>
          <w:lang w:val="fr-FR"/>
        </w:rPr>
        <w:t>PL</w:t>
      </w:r>
      <w:r>
        <w:rPr>
          <w:noProof/>
          <w:lang w:val="fr-FR"/>
        </w:rPr>
        <w:tab/>
        <w:t>Pologne</w:t>
      </w:r>
    </w:p>
    <w:p>
      <w:pPr>
        <w:pStyle w:val="Point10"/>
        <w:spacing w:before="0" w:after="0"/>
        <w:ind w:left="567" w:firstLine="0"/>
        <w:rPr>
          <w:noProof/>
          <w:lang w:val="fr-FR"/>
        </w:rPr>
      </w:pPr>
      <w:r>
        <w:rPr>
          <w:noProof/>
          <w:lang w:val="fr-FR"/>
        </w:rPr>
        <w:t>PT</w:t>
      </w:r>
      <w:r>
        <w:rPr>
          <w:noProof/>
          <w:lang w:val="fr-FR"/>
        </w:rPr>
        <w:tab/>
        <w:t>Portugal</w:t>
      </w:r>
    </w:p>
    <w:p>
      <w:pPr>
        <w:pStyle w:val="Point10"/>
        <w:spacing w:before="0" w:after="0"/>
        <w:ind w:left="567" w:firstLine="0"/>
        <w:rPr>
          <w:noProof/>
          <w:lang w:val="fr-FR"/>
        </w:rPr>
      </w:pPr>
      <w:r>
        <w:rPr>
          <w:noProof/>
          <w:lang w:val="fr-FR"/>
        </w:rPr>
        <w:t>RO</w:t>
      </w:r>
      <w:r>
        <w:rPr>
          <w:noProof/>
          <w:lang w:val="fr-FR"/>
        </w:rPr>
        <w:tab/>
        <w:t>Roumanie</w:t>
      </w:r>
    </w:p>
    <w:p>
      <w:pPr>
        <w:pStyle w:val="Point10"/>
        <w:spacing w:before="0" w:after="0"/>
        <w:ind w:left="567" w:firstLine="0"/>
        <w:rPr>
          <w:noProof/>
          <w:lang w:val="fr-FR"/>
        </w:rPr>
      </w:pPr>
      <w:r>
        <w:rPr>
          <w:noProof/>
          <w:lang w:val="fr-FR"/>
        </w:rPr>
        <w:t>SK</w:t>
      </w:r>
      <w:r>
        <w:rPr>
          <w:noProof/>
          <w:lang w:val="fr-FR"/>
        </w:rPr>
        <w:tab/>
        <w:t>République slovaque</w:t>
      </w:r>
    </w:p>
    <w:p>
      <w:pPr>
        <w:pStyle w:val="Point10"/>
        <w:spacing w:before="0" w:after="0"/>
        <w:ind w:left="567" w:firstLine="0"/>
        <w:rPr>
          <w:noProof/>
          <w:lang w:val="fr-FR"/>
        </w:rPr>
      </w:pPr>
      <w:r>
        <w:rPr>
          <w:noProof/>
          <w:lang w:val="fr-FR"/>
        </w:rPr>
        <w:t>SI</w:t>
      </w:r>
      <w:r>
        <w:rPr>
          <w:noProof/>
          <w:lang w:val="fr-FR"/>
        </w:rPr>
        <w:tab/>
        <w:t>Slovénie</w:t>
      </w:r>
    </w:p>
    <w:p>
      <w:pPr>
        <w:pStyle w:val="Point10"/>
        <w:spacing w:before="0" w:after="0"/>
        <w:ind w:left="567" w:firstLine="0"/>
        <w:rPr>
          <w:noProof/>
          <w:lang w:val="fr-FR"/>
        </w:rPr>
      </w:pPr>
      <w:r>
        <w:rPr>
          <w:noProof/>
          <w:lang w:val="fr-FR"/>
        </w:rPr>
        <w:t>SE</w:t>
      </w:r>
      <w:r>
        <w:rPr>
          <w:noProof/>
          <w:lang w:val="fr-FR"/>
        </w:rPr>
        <w:tab/>
        <w:t>Suède</w:t>
      </w:r>
    </w:p>
    <w:p>
      <w:pPr>
        <w:spacing w:line="240" w:lineRule="auto"/>
        <w:ind w:left="567"/>
        <w:rPr>
          <w:noProof/>
          <w:lang w:val="fr-FR"/>
        </w:rPr>
      </w:pPr>
      <w:r>
        <w:rPr>
          <w:noProof/>
          <w:lang w:val="fr-FR"/>
        </w:rPr>
        <w:t>UK</w:t>
      </w:r>
      <w:r>
        <w:rPr>
          <w:noProof/>
          <w:lang w:val="fr-FR"/>
        </w:rPr>
        <w:tab/>
        <w:t>Royaume</w:t>
      </w:r>
      <w:r>
        <w:rPr>
          <w:noProof/>
          <w:lang w:val="fr-FR"/>
        </w:rPr>
        <w:noBreakHyphen/>
        <w:t>Uni</w:t>
      </w:r>
    </w:p>
    <w:p>
      <w:pPr>
        <w:spacing w:line="240" w:lineRule="auto"/>
        <w:rPr>
          <w:noProof/>
          <w:lang w:val="fr-FR"/>
        </w:rPr>
      </w:pPr>
    </w:p>
    <w:p>
      <w:pPr>
        <w:rPr>
          <w:noProof/>
          <w:lang w:val="fr-FR"/>
        </w:rPr>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pgSz w:w="11907" w:h="16839" w:code="9"/>
          <w:pgMar w:top="1134" w:right="1134" w:bottom="1134" w:left="1134" w:header="1134" w:footer="1134" w:gutter="0"/>
          <w:pgNumType w:start="1"/>
          <w:cols w:space="720"/>
          <w:docGrid w:linePitch="360"/>
        </w:sectPr>
      </w:pPr>
    </w:p>
    <w:p>
      <w:pPr>
        <w:spacing w:line="240" w:lineRule="auto"/>
        <w:jc w:val="center"/>
        <w:rPr>
          <w:b/>
          <w:bCs/>
          <w:noProof/>
          <w:lang w:val="fr-FR"/>
        </w:rPr>
      </w:pPr>
      <w:r>
        <w:rPr>
          <w:b/>
          <w:noProof/>
          <w:lang w:val="fr-FR"/>
        </w:rPr>
        <w:t>Liste du Canada</w:t>
      </w:r>
    </w:p>
    <w:p>
      <w:pPr>
        <w:spacing w:line="240" w:lineRule="auto"/>
        <w:jc w:val="center"/>
        <w:rPr>
          <w:b/>
          <w:bCs/>
          <w:noProof/>
          <w:lang w:val="fr-FR" w:eastAsia="en-CA"/>
        </w:rPr>
      </w:pPr>
      <w:r>
        <w:rPr>
          <w:b/>
          <w:noProof/>
          <w:lang w:val="fr-FR"/>
        </w:rPr>
        <w:t>Réserves applicables au Canada</w:t>
      </w:r>
    </w:p>
    <w:p>
      <w:pPr>
        <w:spacing w:line="240" w:lineRule="auto"/>
        <w:jc w:val="center"/>
        <w:rPr>
          <w:b/>
          <w:bCs/>
          <w:noProof/>
          <w:lang w:val="fr-FR" w:eastAsia="en-CA"/>
        </w:rPr>
      </w:pPr>
      <w:r>
        <w:rPr>
          <w:b/>
          <w:noProof/>
          <w:lang w:val="fr-FR"/>
        </w:rPr>
        <w:t>(applicables dans toutes les provinces et dans tous les territoires)</w:t>
      </w:r>
    </w:p>
    <w:p>
      <w:pPr>
        <w:spacing w:line="240" w:lineRule="auto"/>
        <w:jc w:val="center"/>
        <w:rPr>
          <w:b/>
          <w:bCs/>
          <w:i/>
          <w:noProof/>
          <w:lang w:val="fr-FR"/>
        </w:rPr>
      </w:pPr>
    </w:p>
    <w:p>
      <w:pPr>
        <w:spacing w:before="60" w:after="60" w:line="240" w:lineRule="auto"/>
        <w:jc w:val="center"/>
        <w:rPr>
          <w:b/>
          <w:bCs/>
          <w:i/>
          <w:noProof/>
          <w:lang w:val="fr-FR"/>
        </w:rPr>
      </w:pPr>
      <w:r>
        <w:rPr>
          <w:b/>
          <w:noProof/>
          <w:lang w:val="fr-FR"/>
        </w:rPr>
        <w:t>Réserve II-C-1</w:t>
      </w: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spacing w:before="60" w:after="60" w:line="240" w:lineRule="auto"/>
              <w:rPr>
                <w:noProof/>
                <w:lang w:val="fr-FR"/>
              </w:rPr>
            </w:pPr>
            <w:r>
              <w:rPr>
                <w:b/>
                <w:noProof/>
                <w:color w:val="000000"/>
                <w:lang w:val="fr-FR"/>
              </w:rPr>
              <w:t>Secteur :</w:t>
            </w:r>
          </w:p>
        </w:tc>
        <w:tc>
          <w:tcPr>
            <w:tcW w:w="6500" w:type="dxa"/>
            <w:shd w:val="clear" w:color="auto" w:fill="auto"/>
          </w:tcPr>
          <w:p>
            <w:pPr>
              <w:spacing w:before="60" w:after="60" w:line="240" w:lineRule="auto"/>
              <w:rPr>
                <w:noProof/>
                <w:lang w:val="fr-FR"/>
              </w:rPr>
            </w:pPr>
            <w:r>
              <w:rPr>
                <w:noProof/>
                <w:color w:val="000000"/>
                <w:lang w:val="fr-FR"/>
              </w:rPr>
              <w:t>Affaires autochtones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 xml:space="preserve">Accès aux marchés </w:t>
            </w:r>
          </w:p>
          <w:p>
            <w:pPr>
              <w:autoSpaceDE w:val="0"/>
              <w:autoSpaceDN w:val="0"/>
              <w:adjustRightInd w:val="0"/>
              <w:spacing w:before="60" w:after="60" w:line="240" w:lineRule="auto"/>
              <w:rPr>
                <w:noProof/>
                <w:lang w:val="fr-FR"/>
              </w:rPr>
            </w:pPr>
            <w:r>
              <w:rPr>
                <w:noProof/>
                <w:lang w:val="fr-FR"/>
              </w:rPr>
              <w:t xml:space="preserve">Traitement national </w:t>
            </w:r>
          </w:p>
          <w:p>
            <w:pPr>
              <w:autoSpaceDE w:val="0"/>
              <w:autoSpaceDN w:val="0"/>
              <w:adjustRightInd w:val="0"/>
              <w:spacing w:before="60" w:after="60" w:line="240" w:lineRule="auto"/>
              <w:rPr>
                <w:noProof/>
                <w:color w:val="000000"/>
                <w:lang w:val="fr-FR"/>
              </w:rPr>
            </w:pPr>
            <w:r>
              <w:rPr>
                <w:noProof/>
                <w:color w:val="000000"/>
                <w:lang w:val="fr-FR"/>
              </w:rPr>
              <w:t xml:space="preserve">Traitement </w:t>
            </w:r>
            <w:r>
              <w:rPr>
                <w:noProof/>
                <w:lang w:val="fr-FR"/>
              </w:rPr>
              <w:t>de la nation</w:t>
            </w:r>
            <w:r>
              <w:rPr>
                <w:noProof/>
                <w:color w:val="000000"/>
                <w:lang w:val="fr-FR"/>
              </w:rPr>
              <w:t xml:space="preserve"> la plus favorisée </w:t>
            </w:r>
          </w:p>
          <w:p>
            <w:pPr>
              <w:autoSpaceDE w:val="0"/>
              <w:autoSpaceDN w:val="0"/>
              <w:adjustRightInd w:val="0"/>
              <w:spacing w:before="60" w:after="60" w:line="240" w:lineRule="auto"/>
              <w:rPr>
                <w:noProof/>
                <w:color w:val="000000"/>
                <w:lang w:val="fr-FR"/>
              </w:rPr>
            </w:pPr>
            <w:r>
              <w:rPr>
                <w:noProof/>
                <w:lang w:val="fr-FR"/>
              </w:rPr>
              <w:t>Prescriptions</w:t>
            </w:r>
            <w:r>
              <w:rPr>
                <w:noProof/>
                <w:color w:val="000000"/>
                <w:lang w:val="fr-FR"/>
              </w:rPr>
              <w:t xml:space="preserve"> de résultats</w:t>
            </w:r>
          </w:p>
          <w:p>
            <w:pPr>
              <w:autoSpaceDE w:val="0"/>
              <w:autoSpaceDN w:val="0"/>
              <w:adjustRightInd w:val="0"/>
              <w:spacing w:before="60" w:after="60" w:line="240" w:lineRule="auto"/>
              <w:rPr>
                <w:noProof/>
                <w:lang w:val="fr-FR"/>
              </w:rPr>
            </w:pPr>
            <w:r>
              <w:rPr>
                <w:noProof/>
                <w:color w:val="000000"/>
                <w:lang w:val="fr-FR"/>
              </w:rPr>
              <w:t>Dirigeants et conseils d’administration</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color w:val="000000"/>
                <w:lang w:val="fr-FR"/>
              </w:rPr>
              <w:t>Le Canada se réserve le droit d’adopter ou de maintenir une mesure refusant aux investisseurs de l’Union européenne et à leurs investissements, ou aux fournisseurs de services de l’Union européenne, des droits ou des préférences accordés aux Autochtones.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r>
              <w:rPr>
                <w:i/>
                <w:noProof/>
                <w:color w:val="000000"/>
                <w:lang w:val="fr-FR"/>
              </w:rPr>
              <w:t>Loi constitutionnelle de 1982</w:t>
            </w:r>
            <w:r>
              <w:rPr>
                <w:noProof/>
                <w:color w:val="000000"/>
                <w:lang w:val="fr-FR"/>
              </w:rPr>
              <w:t xml:space="preserve">, constituant l’annexe B de la </w:t>
            </w:r>
            <w:r>
              <w:rPr>
                <w:i/>
                <w:noProof/>
                <w:color w:val="000000"/>
                <w:lang w:val="fr-FR"/>
              </w:rPr>
              <w:t xml:space="preserve">Loi de 1982 sur le Canada </w:t>
            </w:r>
            <w:r>
              <w:rPr>
                <w:noProof/>
                <w:color w:val="000000"/>
                <w:lang w:val="fr-FR"/>
              </w:rPr>
              <w:t>(R-U), 1982, ch. 11</w:t>
            </w:r>
          </w:p>
        </w:tc>
      </w:tr>
    </w:tbl>
    <w:p>
      <w:pPr>
        <w:spacing w:before="60" w:after="60" w:line="240" w:lineRule="auto"/>
        <w:rPr>
          <w:b/>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II-C-2</w:t>
            </w:r>
          </w:p>
        </w:tc>
      </w:tr>
      <w:tr>
        <w:tc>
          <w:tcPr>
            <w:tcW w:w="3000" w:type="dxa"/>
            <w:shd w:val="clear" w:color="auto" w:fill="auto"/>
          </w:tcPr>
          <w:p>
            <w:pPr>
              <w:spacing w:before="60" w:after="60" w:line="240" w:lineRule="auto"/>
              <w:rPr>
                <w:noProof/>
                <w:lang w:val="fr-FR"/>
              </w:rPr>
            </w:pPr>
            <w:r>
              <w:rPr>
                <w:noProof/>
                <w:lang w:val="fr-FR"/>
              </w:rPr>
              <w:br w:type="page"/>
            </w: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Agriculture</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 xml:space="preserve">Le Canada se réserve le droit d’adopter ou de maintenir une mesure relative à des arrangements de mise en marché collective de marchandises agricoles, ce qui inclut entre autres la production, la fixation des prix, l’achat, la vente ou toute autre activité nécessaire au conditionnement d’un produit ou à son offre en un lieu ou à un moment donné pour achat en vue de consommation ou d’utilisation. </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II-C-3</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Tous les secteurs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color w:val="000000"/>
                <w:lang w:val="fr-FR"/>
              </w:rPr>
            </w:pPr>
            <w:r>
              <w:rPr>
                <w:noProof/>
                <w:color w:val="000000"/>
                <w:lang w:val="fr-FR"/>
              </w:rPr>
              <w:t xml:space="preserve">Traitement national </w:t>
            </w:r>
          </w:p>
          <w:p>
            <w:pPr>
              <w:autoSpaceDE w:val="0"/>
              <w:autoSpaceDN w:val="0"/>
              <w:adjustRightInd w:val="0"/>
              <w:spacing w:before="60" w:after="60" w:line="240" w:lineRule="auto"/>
              <w:rPr>
                <w:noProof/>
                <w:lang w:val="fr-FR"/>
              </w:rPr>
            </w:pPr>
            <w:r>
              <w:rPr>
                <w:noProof/>
                <w:color w:val="000000"/>
                <w:lang w:val="fr-FR"/>
              </w:rPr>
              <w:t>Dirigeants et conseils d’administration</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w:t>
            </w:r>
          </w:p>
        </w:tc>
      </w:tr>
      <w:tr>
        <w:trPr>
          <w:trHeight w:val="2629"/>
        </w:trPr>
        <w:tc>
          <w:tcPr>
            <w:tcW w:w="3000" w:type="dxa"/>
            <w:tcBorders>
              <w:bottom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noProof/>
                <w:lang w:val="fr-FR"/>
              </w:rPr>
              <w:t>1.</w:t>
            </w:r>
            <w:r>
              <w:rPr>
                <w:noProof/>
                <w:lang w:val="fr-FR"/>
              </w:rPr>
              <w:tab/>
              <w:t>La Colombie-Britannique, le Nouveau-Brunswick, la Nouvelle-Écosse, le Nunavut, l’Île-du-Prince-Édouard, le Québec, les Territoires du Nord-Ouest et le Yukon se réservent le droit d’adopter ou de maintenir, à l’égard d’une entreprise canadienne constituant un investissement visé, une mesure exigeant que 25 pour cent, ou un plus faible pourcentage, des membres du conseil d’administration ou d’un comité du conseil d’administration soient d’une nationalité donnée. Une modification apportée à une mesure visée ci</w:t>
            </w:r>
            <w:r>
              <w:rPr>
                <w:noProof/>
                <w:lang w:val="fr-FR"/>
              </w:rPr>
              <w:noBreakHyphen/>
              <w:t>dessus ne doit pas réduire la conformité de la mesure, telle qu’elle existait immédiatement avant la modification, aux obligations établies au chapitre Huit (Investissement).</w:t>
            </w:r>
          </w:p>
          <w:p>
            <w:pPr>
              <w:autoSpaceDE w:val="0"/>
              <w:autoSpaceDN w:val="0"/>
              <w:adjustRightInd w:val="0"/>
              <w:spacing w:before="60" w:after="60" w:line="240" w:lineRule="auto"/>
              <w:rPr>
                <w:noProof/>
                <w:lang w:val="fr-FR"/>
              </w:rPr>
            </w:pPr>
            <w:r>
              <w:rPr>
                <w:noProof/>
                <w:lang w:val="fr-FR"/>
              </w:rPr>
              <w:t>2.</w:t>
            </w:r>
            <w:r>
              <w:rPr>
                <w:noProof/>
                <w:lang w:val="fr-FR"/>
              </w:rPr>
              <w:tab/>
              <w:t>Le Canada se réserve le droit d’adopter ou de maintenir une mesure exigeant que jusqu’à 50 pour cent des membres du conseil d’administration d’une entreprise qui est un investissement visé résident habituellement au Canada. La résidence sera accordée à un ressortissant de l’Union européenne nommé au conseil d’administration d’une entreprise qui est un investissement visé conformément au droit du Canada concernant l’admission des ressortissants étrangers. Toutefois, un ressortissant de l’Union européenne ne fait pas l’objet d’un examen des besoins économiques aux seules fins de sa nomination au conseil d’administration.</w:t>
            </w:r>
          </w:p>
        </w:tc>
      </w:tr>
      <w:tr>
        <w:trPr>
          <w:trHeight w:val="397"/>
        </w:trPr>
        <w:tc>
          <w:tcPr>
            <w:tcW w:w="3000" w:type="dxa"/>
            <w:shd w:val="clear" w:color="auto" w:fill="auto"/>
          </w:tcPr>
          <w:p>
            <w:pPr>
              <w:autoSpaceDE w:val="0"/>
              <w:autoSpaceDN w:val="0"/>
              <w:adjustRightInd w:val="0"/>
              <w:spacing w:before="60" w:after="60" w:line="240" w:lineRule="auto"/>
              <w:rPr>
                <w:b/>
                <w:noProof/>
                <w:color w:val="000000"/>
                <w:lang w:val="fr-FR"/>
              </w:rPr>
            </w:pPr>
            <w:r>
              <w:rPr>
                <w:b/>
                <w:noProof/>
                <w:color w:val="000000"/>
                <w:lang w:val="fr-FR"/>
              </w:rPr>
              <w:t>Mesures existantes :</w:t>
            </w:r>
          </w:p>
        </w:tc>
        <w:tc>
          <w:tcPr>
            <w:tcW w:w="6500" w:type="dxa"/>
            <w:shd w:val="clear" w:color="auto" w:fill="auto"/>
          </w:tcPr>
          <w:p>
            <w:pPr>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II-C-4</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Tous les secteurs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 xml:space="preserve">Accès aux marchés </w:t>
            </w:r>
          </w:p>
          <w:p>
            <w:pPr>
              <w:autoSpaceDE w:val="0"/>
              <w:autoSpaceDN w:val="0"/>
              <w:adjustRightInd w:val="0"/>
              <w:spacing w:before="60" w:after="60" w:line="240" w:lineRule="auto"/>
              <w:rPr>
                <w:noProof/>
                <w:lang w:val="fr-FR"/>
              </w:rPr>
            </w:pPr>
            <w:r>
              <w:rPr>
                <w:noProof/>
                <w:color w:val="000000"/>
                <w:lang w:val="fr-FR"/>
              </w:rPr>
              <w:t>Traitement national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color w:val="000000"/>
                <w:lang w:val="fr-FR"/>
              </w:rPr>
              <w:t xml:space="preserve">Le Canada se réserve le droit d’adopter ou de maintenir une mesure relative aux conditions de résidence visant la propriété de terrains en bord de mer par des investisseurs de </w:t>
            </w:r>
            <w:r>
              <w:rPr>
                <w:noProof/>
                <w:lang w:val="fr-FR"/>
              </w:rPr>
              <w:t xml:space="preserve">l’Union européenne </w:t>
            </w:r>
            <w:r>
              <w:rPr>
                <w:noProof/>
                <w:color w:val="000000"/>
                <w:lang w:val="fr-FR"/>
              </w:rPr>
              <w:t>ou leurs investissements.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II-C-5</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Pêches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Pêche et services annexes à la pêche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CPC 04, 882</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 xml:space="preserve">Accès aux marchés </w:t>
            </w:r>
          </w:p>
          <w:p>
            <w:pPr>
              <w:autoSpaceDE w:val="0"/>
              <w:autoSpaceDN w:val="0"/>
              <w:adjustRightInd w:val="0"/>
              <w:spacing w:before="60" w:after="60" w:line="240" w:lineRule="auto"/>
              <w:rPr>
                <w:noProof/>
                <w:color w:val="000000"/>
                <w:lang w:val="fr-FR"/>
              </w:rPr>
            </w:pPr>
            <w:r>
              <w:rPr>
                <w:noProof/>
                <w:color w:val="000000"/>
                <w:lang w:val="fr-FR"/>
              </w:rPr>
              <w:t>Traitement national</w:t>
            </w:r>
          </w:p>
          <w:p>
            <w:pPr>
              <w:autoSpaceDE w:val="0"/>
              <w:autoSpaceDN w:val="0"/>
              <w:adjustRightInd w:val="0"/>
              <w:spacing w:before="60" w:after="60" w:line="240" w:lineRule="auto"/>
              <w:rPr>
                <w:noProof/>
                <w:lang w:val="fr-FR"/>
              </w:rPr>
            </w:pPr>
            <w:r>
              <w:rPr>
                <w:noProof/>
                <w:color w:val="000000"/>
                <w:lang w:val="fr-FR"/>
              </w:rPr>
              <w:t>Traitement de la nation la plus favorisée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1.</w:t>
            </w:r>
            <w:r>
              <w:rPr>
                <w:noProof/>
                <w:lang w:val="fr-FR"/>
              </w:rPr>
              <w:tab/>
              <w:t>Le Canada se réserve le droit d’adopter ou de maintenir une mesure relative aux arrangements de mise en marché collective et aux arrangements commerciaux visant le poisson et les produits de la mer, ainsi qu’à la délivrance de licences pour des activités de pêche ou liées à la pêche, y compris l’entrée de navires de pêche étrangers dans la zone économique exclusive, les eaux territoriales, les eaux intérieures ou les ports du Canada, ainsi que l’utilisation de services à cet égard.</w:t>
            </w:r>
          </w:p>
          <w:p>
            <w:pPr>
              <w:autoSpaceDE w:val="0"/>
              <w:autoSpaceDN w:val="0"/>
              <w:adjustRightInd w:val="0"/>
              <w:spacing w:before="60" w:after="60" w:line="240" w:lineRule="auto"/>
              <w:rPr>
                <w:noProof/>
                <w:lang w:val="fr-FR"/>
              </w:rPr>
            </w:pPr>
            <w:r>
              <w:rPr>
                <w:noProof/>
                <w:lang w:val="fr-FR"/>
              </w:rPr>
              <w:t>2.</w:t>
            </w:r>
            <w:r>
              <w:rPr>
                <w:noProof/>
                <w:lang w:val="fr-FR"/>
              </w:rPr>
              <w:tab/>
              <w:t>Le Canada s’efforce d’accorder aux navires autorisés à battre pavillon d’un État membre de l’Union européenne un traitement non moins favorable que celui qu’il accorde dans une situation similaire à un navire autorisé à battre pavillon de tout autre État étranger.</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spacing w:before="60" w:after="60" w:line="240" w:lineRule="auto"/>
              <w:rPr>
                <w:noProof/>
                <w:lang w:val="fr-FR"/>
              </w:rPr>
            </w:pPr>
            <w:r>
              <w:rPr>
                <w:i/>
                <w:noProof/>
                <w:lang w:val="fr-FR"/>
              </w:rPr>
              <w:t>Loi sur les pêches,</w:t>
            </w:r>
            <w:r>
              <w:rPr>
                <w:noProof/>
                <w:lang w:val="fr-FR"/>
              </w:rPr>
              <w:t xml:space="preserve"> L.R.C. 1985, ch. F-14</w:t>
            </w:r>
          </w:p>
          <w:p>
            <w:pPr>
              <w:spacing w:before="60" w:after="60" w:line="240" w:lineRule="auto"/>
              <w:rPr>
                <w:noProof/>
                <w:lang w:val="fr-FR"/>
              </w:rPr>
            </w:pPr>
            <w:r>
              <w:rPr>
                <w:i/>
                <w:noProof/>
                <w:lang w:val="fr-FR"/>
              </w:rPr>
              <w:t>Loi sur la protection des pêches côtières</w:t>
            </w:r>
            <w:r>
              <w:rPr>
                <w:noProof/>
                <w:lang w:val="fr-FR"/>
              </w:rPr>
              <w:t>, L.R.C. 1985, ch. C-33</w:t>
            </w:r>
          </w:p>
          <w:p>
            <w:pPr>
              <w:spacing w:before="60" w:after="60" w:line="240" w:lineRule="auto"/>
              <w:rPr>
                <w:noProof/>
                <w:lang w:val="fr-FR"/>
              </w:rPr>
            </w:pPr>
            <w:r>
              <w:rPr>
                <w:i/>
                <w:noProof/>
                <w:lang w:val="fr-FR"/>
              </w:rPr>
              <w:t>Règlement sur la protection des pêcheries côtières</w:t>
            </w:r>
            <w:r>
              <w:rPr>
                <w:noProof/>
                <w:lang w:val="fr-FR"/>
              </w:rPr>
              <w:t>, C.R.C. 1978, ch. 413</w:t>
            </w:r>
          </w:p>
          <w:p>
            <w:pPr>
              <w:spacing w:before="60" w:after="60" w:line="240" w:lineRule="auto"/>
              <w:rPr>
                <w:i/>
                <w:noProof/>
                <w:lang w:val="fr-FR"/>
              </w:rPr>
            </w:pPr>
            <w:r>
              <w:rPr>
                <w:i/>
                <w:noProof/>
                <w:lang w:val="fr-FR"/>
              </w:rPr>
              <w:t>Politique d’émission des permis pour la pêche commerciale</w:t>
            </w:r>
          </w:p>
          <w:p>
            <w:pPr>
              <w:spacing w:before="60" w:after="60" w:line="240" w:lineRule="auto"/>
              <w:rPr>
                <w:noProof/>
                <w:lang w:val="fr-FR"/>
              </w:rPr>
            </w:pPr>
            <w:r>
              <w:rPr>
                <w:i/>
                <w:noProof/>
                <w:lang w:val="fr-FR"/>
              </w:rPr>
              <w:t>Politique sur l’investissement étranger dans le secteur canadien des pêches</w:t>
            </w:r>
            <w:r>
              <w:rPr>
                <w:noProof/>
                <w:lang w:val="fr-FR"/>
              </w:rPr>
              <w:t>, 1985</w:t>
            </w:r>
          </w:p>
          <w:p>
            <w:pPr>
              <w:autoSpaceDE w:val="0"/>
              <w:autoSpaceDN w:val="0"/>
              <w:adjustRightInd w:val="0"/>
              <w:spacing w:before="60" w:after="60" w:line="240" w:lineRule="auto"/>
              <w:rPr>
                <w:noProof/>
                <w:lang w:val="fr-FR"/>
              </w:rPr>
            </w:pPr>
            <w:r>
              <w:rPr>
                <w:i/>
                <w:noProof/>
                <w:color w:val="000000"/>
                <w:lang w:val="fr-FR"/>
              </w:rPr>
              <w:t>Loi sur la commercialisation du poisson d’eau douce</w:t>
            </w:r>
            <w:r>
              <w:rPr>
                <w:noProof/>
                <w:lang w:val="fr-FR"/>
              </w:rPr>
              <w:t>,</w:t>
            </w:r>
            <w:r>
              <w:rPr>
                <w:noProof/>
                <w:color w:val="000000"/>
                <w:lang w:val="fr-FR"/>
              </w:rPr>
              <w:t xml:space="preserve"> </w:t>
            </w:r>
            <w:r>
              <w:rPr>
                <w:noProof/>
                <w:lang w:val="fr-FR"/>
              </w:rPr>
              <w:t>L.R.C. </w:t>
            </w:r>
            <w:r>
              <w:rPr>
                <w:noProof/>
                <w:color w:val="000000"/>
                <w:lang w:val="fr-FR"/>
              </w:rPr>
              <w:t>1985, ch. F-13</w:t>
            </w: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color w:val="000000"/>
                <w:lang w:val="fr-FR"/>
              </w:rPr>
            </w:pPr>
            <w:r>
              <w:rPr>
                <w:b/>
                <w:noProof/>
                <w:lang w:val="fr-FR"/>
              </w:rPr>
              <w:t>Réserve II-C-6</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color w:val="000000"/>
                <w:lang w:val="fr-FR"/>
              </w:rPr>
              <w:t>Services financiers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color w:val="000000"/>
                <w:lang w:val="fr-FR"/>
              </w:rPr>
              <w:t>Services liés aux marchés des valeurs mobilières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color w:val="000000"/>
                <w:lang w:val="fr-FR"/>
              </w:rPr>
              <w:t>CPC 8132</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color w:val="000000"/>
                <w:lang w:val="fr-FR"/>
              </w:rPr>
            </w:pPr>
            <w:r>
              <w:rPr>
                <w:noProof/>
                <w:color w:val="000000"/>
                <w:lang w:val="fr-FR"/>
              </w:rPr>
              <w:t>Accès aux marchés</w:t>
            </w:r>
          </w:p>
          <w:p>
            <w:pPr>
              <w:autoSpaceDE w:val="0"/>
              <w:autoSpaceDN w:val="0"/>
              <w:adjustRightInd w:val="0"/>
              <w:spacing w:before="60" w:after="60" w:line="240" w:lineRule="auto"/>
              <w:rPr>
                <w:noProof/>
                <w:lang w:val="fr-FR"/>
              </w:rPr>
            </w:pPr>
            <w:r>
              <w:rPr>
                <w:noProof/>
                <w:color w:val="000000"/>
                <w:lang w:val="fr-FR"/>
              </w:rPr>
              <w:t>Traitement national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spacing w:before="60" w:after="60" w:line="240" w:lineRule="auto"/>
              <w:rPr>
                <w:noProof/>
                <w:lang w:val="fr-FR"/>
              </w:rPr>
            </w:pPr>
            <w:r>
              <w:rPr>
                <w:noProof/>
                <w:color w:val="000000"/>
                <w:lang w:val="fr-FR"/>
              </w:rPr>
              <w:t>Le Canada se réserve le droit d’adopter ou de maintenir une mesure relative à l’acquisition, à la vente ou à toute autre forme d’aliénation, par des ressortissants de l’Union européenne, d’obligations, de bons du Trésor ou d’autres titres de créance émis par le gouvernement du Canada ou par un gouvernement infranational du Canada.</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r>
              <w:rPr>
                <w:i/>
                <w:noProof/>
                <w:color w:val="000000"/>
                <w:lang w:val="fr-FR"/>
              </w:rPr>
              <w:t>Loi sur la gestion des finances publiques</w:t>
            </w:r>
            <w:r>
              <w:rPr>
                <w:noProof/>
                <w:color w:val="000000"/>
                <w:lang w:val="fr-FR"/>
              </w:rPr>
              <w:t>, L.R.C. 1985, ch. F-11</w:t>
            </w:r>
          </w:p>
        </w:tc>
      </w:tr>
    </w:tbl>
    <w:p>
      <w:pPr>
        <w:spacing w:before="60" w:after="60" w:line="240" w:lineRule="auto"/>
        <w:rPr>
          <w:noProof/>
          <w:lang w:val="fr-FR"/>
        </w:rPr>
      </w:pPr>
    </w:p>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bCs/>
                <w:noProof/>
                <w:color w:val="0F1419"/>
                <w:lang w:val="fr-FR"/>
              </w:rPr>
            </w:pPr>
            <w:r>
              <w:rPr>
                <w:b/>
                <w:noProof/>
                <w:lang w:val="fr-FR"/>
              </w:rPr>
              <w:t>Réserve II-C-7</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color w:val="0F1419"/>
                <w:lang w:val="fr-FR"/>
              </w:rPr>
              <w:t>Produits alimentaires, boissons et médicaments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color w:val="0F1419"/>
                <w:lang w:val="fr-FR"/>
              </w:rPr>
              <w:t>Magasins de spiritueux, de vin et de bière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color w:val="0F1419"/>
                <w:lang w:val="fr-FR"/>
              </w:rPr>
              <w:t>CPC 241, 242, 243, 62112, 62226, 63107</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F1419"/>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color w:val="0F1419"/>
                <w:lang w:val="fr-FR"/>
              </w:rPr>
              <w:t xml:space="preserve">La </w:t>
            </w:r>
            <w:r>
              <w:rPr>
                <w:i/>
                <w:noProof/>
                <w:color w:val="0F1419"/>
                <w:lang w:val="fr-FR"/>
              </w:rPr>
              <w:t>Loi sur l’importation des boissons enivrantes</w:t>
            </w:r>
            <w:r>
              <w:rPr>
                <w:noProof/>
                <w:color w:val="0F1419"/>
                <w:lang w:val="fr-FR"/>
              </w:rPr>
              <w:t xml:space="preserve"> confère au gouvernement de chaque province le monopole d’importation de toute boisson enivrante entrant sur son territoire.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r>
              <w:rPr>
                <w:i/>
                <w:noProof/>
                <w:color w:val="0F1419"/>
                <w:lang w:val="fr-FR"/>
              </w:rPr>
              <w:t>Loi sur l’importation des boissons enivrantes</w:t>
            </w:r>
            <w:r>
              <w:rPr>
                <w:noProof/>
                <w:color w:val="0F1419"/>
                <w:lang w:val="fr-FR"/>
              </w:rPr>
              <w:t>, R.L.R.C. 1985, ch. I-3</w:t>
            </w: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color w:val="000000"/>
                <w:lang w:val="fr-FR"/>
              </w:rPr>
            </w:pPr>
            <w:r>
              <w:rPr>
                <w:b/>
                <w:noProof/>
                <w:lang w:val="fr-FR"/>
              </w:rPr>
              <w:t>Réserve II-C-8</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color w:val="000000"/>
                <w:lang w:val="fr-FR"/>
              </w:rPr>
              <w:t>Affaires concernant les minorités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color w:val="000000"/>
                <w:lang w:val="fr-FR"/>
              </w:rPr>
            </w:pPr>
            <w:r>
              <w:rPr>
                <w:noProof/>
                <w:color w:val="000000"/>
                <w:lang w:val="fr-FR"/>
              </w:rPr>
              <w:t>Accès aux marchés</w:t>
            </w:r>
          </w:p>
          <w:p>
            <w:pPr>
              <w:autoSpaceDE w:val="0"/>
              <w:autoSpaceDN w:val="0"/>
              <w:adjustRightInd w:val="0"/>
              <w:spacing w:before="60" w:after="60" w:line="240" w:lineRule="auto"/>
              <w:rPr>
                <w:noProof/>
                <w:color w:val="000000"/>
                <w:lang w:val="fr-FR"/>
              </w:rPr>
            </w:pPr>
            <w:r>
              <w:rPr>
                <w:noProof/>
                <w:color w:val="000000"/>
                <w:lang w:val="fr-FR"/>
              </w:rPr>
              <w:t>Traitement national</w:t>
            </w:r>
          </w:p>
          <w:p>
            <w:pPr>
              <w:autoSpaceDE w:val="0"/>
              <w:autoSpaceDN w:val="0"/>
              <w:adjustRightInd w:val="0"/>
              <w:spacing w:before="60" w:after="60" w:line="240" w:lineRule="auto"/>
              <w:rPr>
                <w:noProof/>
                <w:color w:val="000000"/>
                <w:lang w:val="fr-FR"/>
              </w:rPr>
            </w:pPr>
            <w:r>
              <w:rPr>
                <w:noProof/>
                <w:color w:val="000000"/>
                <w:lang w:val="fr-FR"/>
              </w:rPr>
              <w:t>Prescriptions de résultats</w:t>
            </w:r>
          </w:p>
          <w:p>
            <w:pPr>
              <w:autoSpaceDE w:val="0"/>
              <w:autoSpaceDN w:val="0"/>
              <w:adjustRightInd w:val="0"/>
              <w:spacing w:before="60" w:after="60" w:line="240" w:lineRule="auto"/>
              <w:rPr>
                <w:noProof/>
                <w:lang w:val="fr-FR"/>
              </w:rPr>
            </w:pPr>
            <w:r>
              <w:rPr>
                <w:noProof/>
                <w:color w:val="000000"/>
                <w:lang w:val="fr-FR"/>
              </w:rPr>
              <w:t>Dirigeants et conseils d’administration</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color w:val="000000"/>
                <w:lang w:val="fr-FR"/>
              </w:rPr>
              <w:t>Le Canada se réserve le droit d’adopter ou de maintenir une mesure conférant des droits ou des privilèges à des membres d’une minorité socialement ou économiquement défavorisée.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color w:val="000000"/>
                <w:lang w:val="fr-FR"/>
              </w:rPr>
            </w:pPr>
            <w:r>
              <w:rPr>
                <w:b/>
                <w:noProof/>
                <w:lang w:val="fr-FR"/>
              </w:rPr>
              <w:t>Réserve II-C-9</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color w:val="000000"/>
                <w:lang w:val="fr-FR"/>
              </w:rPr>
              <w:t>Services sociaux</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color w:val="000000"/>
                <w:lang w:val="fr-FR"/>
              </w:rPr>
            </w:pPr>
            <w:r>
              <w:rPr>
                <w:noProof/>
                <w:color w:val="000000"/>
                <w:lang w:val="fr-FR"/>
              </w:rPr>
              <w:t>Accès aux marchés</w:t>
            </w:r>
          </w:p>
          <w:p>
            <w:pPr>
              <w:autoSpaceDE w:val="0"/>
              <w:autoSpaceDN w:val="0"/>
              <w:adjustRightInd w:val="0"/>
              <w:spacing w:before="60" w:after="60" w:line="240" w:lineRule="auto"/>
              <w:rPr>
                <w:noProof/>
                <w:color w:val="000000"/>
                <w:lang w:val="fr-FR"/>
              </w:rPr>
            </w:pPr>
            <w:r>
              <w:rPr>
                <w:noProof/>
                <w:color w:val="000000"/>
                <w:lang w:val="fr-FR"/>
              </w:rPr>
              <w:t>Traitement national</w:t>
            </w:r>
          </w:p>
          <w:p>
            <w:pPr>
              <w:autoSpaceDE w:val="0"/>
              <w:autoSpaceDN w:val="0"/>
              <w:adjustRightInd w:val="0"/>
              <w:spacing w:before="60" w:after="60" w:line="240" w:lineRule="auto"/>
              <w:rPr>
                <w:noProof/>
                <w:color w:val="000000"/>
                <w:lang w:val="fr-FR"/>
              </w:rPr>
            </w:pPr>
            <w:r>
              <w:rPr>
                <w:noProof/>
                <w:color w:val="000000"/>
                <w:lang w:val="fr-FR"/>
              </w:rPr>
              <w:t>Traitement de la nation la plus favorisée</w:t>
            </w:r>
          </w:p>
          <w:p>
            <w:pPr>
              <w:autoSpaceDE w:val="0"/>
              <w:autoSpaceDN w:val="0"/>
              <w:adjustRightInd w:val="0"/>
              <w:spacing w:before="60" w:after="60" w:line="240" w:lineRule="auto"/>
              <w:rPr>
                <w:noProof/>
                <w:lang w:val="fr-FR"/>
              </w:rPr>
            </w:pPr>
            <w:r>
              <w:rPr>
                <w:noProof/>
                <w:color w:val="000000"/>
                <w:lang w:val="fr-FR"/>
              </w:rPr>
              <w:t>Dirigeants et conseils d’administration</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color w:val="000000"/>
                <w:lang w:val="fr-FR"/>
              </w:rPr>
              <w:t>Le Canada se réserve le droit d’adopter ou de maintenir une mesure concernant la fourniture de services d’application de la loi et de services correctionnels, et des services suivants, dans la mesure où ils constituent des services sociaux établis ou maintenus pour une raison d’intérêt public : sécurité ou garantie du revenu, sécurité ou assurance sociale, bien-être social, éducation publique, formation publique, santé et garde d’enfants.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color w:val="000000"/>
                <w:lang w:val="fr-FR"/>
              </w:rPr>
            </w:pPr>
            <w:r>
              <w:rPr>
                <w:b/>
                <w:noProof/>
                <w:lang w:val="fr-FR"/>
              </w:rPr>
              <w:t>Réserve II-C-10</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color w:val="000000"/>
                <w:lang w:val="fr-FR"/>
              </w:rPr>
              <w:t>Services sociaux</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color w:val="000000"/>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1.</w:t>
            </w:r>
            <w:r>
              <w:rPr>
                <w:noProof/>
                <w:lang w:val="fr-FR"/>
              </w:rPr>
              <w:tab/>
              <w:t>Le Canada se réserve le droit d’adopter ou de maintenir une mesure se rapportant à la fourniture de services sociaux non autrement visés par la réserve II-C-9 relative aux services sociaux.</w:t>
            </w:r>
          </w:p>
          <w:p>
            <w:pPr>
              <w:autoSpaceDE w:val="0"/>
              <w:autoSpaceDN w:val="0"/>
              <w:adjustRightInd w:val="0"/>
              <w:spacing w:before="60" w:after="60" w:line="240" w:lineRule="auto"/>
              <w:rPr>
                <w:noProof/>
                <w:lang w:val="fr-FR"/>
              </w:rPr>
            </w:pPr>
            <w:r>
              <w:rPr>
                <w:noProof/>
                <w:lang w:val="fr-FR"/>
              </w:rPr>
              <w:t>2.</w:t>
            </w:r>
            <w:r>
              <w:rPr>
                <w:noProof/>
                <w:lang w:val="fr-FR"/>
              </w:rPr>
              <w:tab/>
              <w:t>La présente réserve ne s’étend pas à l’adoption d’une nouvelle mesure imposant des limitations à la participation de capital étranger dans la fourniture de tels services sociaux.</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II-C-11</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Captage, d’épuration et de distribution d’eau</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p>
            <w:pPr>
              <w:autoSpaceDE w:val="0"/>
              <w:autoSpaceDN w:val="0"/>
              <w:adjustRightInd w:val="0"/>
              <w:spacing w:before="60" w:after="60" w:line="240" w:lineRule="auto"/>
              <w:rPr>
                <w:noProof/>
                <w:lang w:val="fr-FR"/>
              </w:rPr>
            </w:pPr>
            <w:r>
              <w:rPr>
                <w:noProof/>
                <w:lang w:val="fr-FR"/>
              </w:rPr>
              <w:t>Traitement national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Le Canada se réserve le droit d’adopter ou de maintenir une mesure relative au captage, à l’épuration et à la distribution d’eau.</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II-C-12</w:t>
            </w:r>
          </w:p>
        </w:tc>
      </w:tr>
      <w:tr>
        <w:tc>
          <w:tcPr>
            <w:tcW w:w="3000" w:type="dxa"/>
            <w:shd w:val="clear" w:color="auto" w:fill="auto"/>
          </w:tcPr>
          <w:p>
            <w:pPr>
              <w:spacing w:before="60" w:after="60" w:line="240" w:lineRule="auto"/>
              <w:rPr>
                <w:noProof/>
                <w:lang w:val="fr-FR"/>
              </w:rPr>
            </w:pPr>
            <w:r>
              <w:rPr>
                <w:noProof/>
                <w:lang w:val="fr-FR"/>
              </w:rPr>
              <w:br w:type="page"/>
            </w: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Services de transports par conduites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CPC 713</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Le Canada se réserve le droit d’adopter ou de maintenir une mesure relative à la délivrance de certificats pour le transport de combustibles par conduites.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r>
              <w:rPr>
                <w:i/>
                <w:noProof/>
                <w:lang w:val="fr-FR"/>
              </w:rPr>
              <w:t xml:space="preserve">Loi sur l’Office national de l’énergie, </w:t>
            </w:r>
            <w:r>
              <w:rPr>
                <w:noProof/>
                <w:lang w:val="fr-FR"/>
              </w:rPr>
              <w:t>L.R.C. 1985, ch. N-7</w:t>
            </w: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II-C-13</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Vente et commercialisation des services de transport aérien, au sens des articles 8.1 (Définitions) et 9.1 (Définitions)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Définie aux articles 8.1 (Définitions) et 9.1 (Définitions)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color w:val="000000"/>
                <w:lang w:val="fr-FR"/>
              </w:rPr>
            </w:pPr>
            <w:r>
              <w:rPr>
                <w:noProof/>
                <w:color w:val="000000"/>
                <w:lang w:val="fr-FR"/>
              </w:rPr>
              <w:t>Accès aux marchés</w:t>
            </w:r>
          </w:p>
          <w:p>
            <w:pPr>
              <w:autoSpaceDE w:val="0"/>
              <w:autoSpaceDN w:val="0"/>
              <w:adjustRightInd w:val="0"/>
              <w:spacing w:before="60" w:after="60" w:line="240" w:lineRule="auto"/>
              <w:rPr>
                <w:noProof/>
                <w:color w:val="000000"/>
                <w:lang w:val="fr-FR"/>
              </w:rPr>
            </w:pPr>
            <w:r>
              <w:rPr>
                <w:noProof/>
                <w:color w:val="000000"/>
                <w:lang w:val="fr-FR"/>
              </w:rPr>
              <w:t>Traitement national</w:t>
            </w:r>
          </w:p>
          <w:p>
            <w:pPr>
              <w:autoSpaceDE w:val="0"/>
              <w:autoSpaceDN w:val="0"/>
              <w:adjustRightInd w:val="0"/>
              <w:spacing w:before="60" w:after="60" w:line="240" w:lineRule="auto"/>
              <w:rPr>
                <w:noProof/>
                <w:lang w:val="fr-FR"/>
              </w:rPr>
            </w:pPr>
            <w:r>
              <w:rPr>
                <w:noProof/>
                <w:color w:val="000000"/>
                <w:lang w:val="fr-FR"/>
              </w:rPr>
              <w:t>Traitement de la nation la plus favorisée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1.</w:t>
            </w:r>
            <w:r>
              <w:rPr>
                <w:noProof/>
                <w:lang w:val="fr-FR"/>
              </w:rPr>
              <w:tab/>
              <w:t>Le Canada se réserve le droit d’adopter ou de maintenir une mesure relative à la vente et à la commercialisation des services de transport aérien.</w:t>
            </w:r>
          </w:p>
          <w:p>
            <w:pPr>
              <w:autoSpaceDE w:val="0"/>
              <w:autoSpaceDN w:val="0"/>
              <w:adjustRightInd w:val="0"/>
              <w:spacing w:before="60" w:after="60" w:line="240" w:lineRule="auto"/>
              <w:rPr>
                <w:noProof/>
                <w:lang w:val="fr-FR"/>
              </w:rPr>
            </w:pPr>
            <w:r>
              <w:rPr>
                <w:noProof/>
                <w:lang w:val="fr-FR"/>
              </w:rPr>
              <w:t>2.</w:t>
            </w:r>
            <w:r>
              <w:rPr>
                <w:noProof/>
                <w:lang w:val="fr-FR"/>
              </w:rPr>
              <w:tab/>
              <w:t>Il est entendu que la présente réserve n’a aucune incidence sur les droits et les obligations du Canada découlant de l’</w:t>
            </w:r>
            <w:r>
              <w:rPr>
                <w:i/>
                <w:noProof/>
                <w:lang w:val="fr-FR"/>
              </w:rPr>
              <w:t>Accord sur le transport aérien entre le Canada et la Communauté européenne et ses États membres</w:t>
            </w:r>
            <w:r>
              <w:rPr>
                <w:noProof/>
                <w:lang w:val="fr-FR"/>
              </w:rPr>
              <w:t>, fait à Bruxelles, le 17 décembre 2009, et à Ottawa, le 18 décembre 2009.</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p>
      <w:pPr>
        <w:spacing w:before="60" w:after="60" w:line="240" w:lineRule="auto"/>
        <w:rPr>
          <w:noProof/>
          <w:lang w:val="fr-FR"/>
        </w:rPr>
      </w:pPr>
      <w:r>
        <w:rPr>
          <w:noProof/>
          <w:lang w:val="fr-FR"/>
        </w:rPr>
        <w:br w:type="page"/>
      </w:r>
    </w:p>
    <w:tbl>
      <w:tblPr>
        <w:tblW w:w="9500" w:type="dxa"/>
        <w:tblLayout w:type="fixed"/>
        <w:tblLook w:val="04A0" w:firstRow="1" w:lastRow="0" w:firstColumn="1" w:lastColumn="0" w:noHBand="0" w:noVBand="1"/>
      </w:tblPr>
      <w:tblGrid>
        <w:gridCol w:w="3000"/>
        <w:gridCol w:w="6500"/>
      </w:tblGrid>
      <w:tr>
        <w:trPr>
          <w:trHeight w:val="20"/>
        </w:trPr>
        <w:tc>
          <w:tcPr>
            <w:tcW w:w="9500" w:type="dxa"/>
            <w:gridSpan w:val="2"/>
            <w:shd w:val="clear" w:color="auto" w:fill="auto"/>
          </w:tcPr>
          <w:p>
            <w:pPr>
              <w:spacing w:before="60" w:after="60" w:line="240" w:lineRule="auto"/>
              <w:jc w:val="center"/>
              <w:rPr>
                <w:noProof/>
                <w:lang w:val="fr-FR"/>
              </w:rPr>
            </w:pPr>
            <w:r>
              <w:rPr>
                <w:b/>
                <w:noProof/>
                <w:lang w:val="fr-FR"/>
              </w:rPr>
              <w:t>Réserve II-C-14</w:t>
            </w:r>
          </w:p>
        </w:tc>
      </w:tr>
      <w:tr>
        <w:trPr>
          <w:trHeight w:val="20"/>
        </w:trP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rPr>
          <w:trHeight w:val="20"/>
        </w:trP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Travaux de construction pour voies navigables, ports, barrages et autres ouvrages hydrauliques</w:t>
            </w:r>
          </w:p>
          <w:p>
            <w:pPr>
              <w:spacing w:before="60" w:after="60" w:line="240" w:lineRule="auto"/>
              <w:rPr>
                <w:noProof/>
                <w:lang w:val="fr-FR"/>
              </w:rPr>
            </w:pPr>
            <w:r>
              <w:rPr>
                <w:noProof/>
                <w:lang w:val="fr-FR"/>
              </w:rPr>
              <w:t>Services de transports maritimes et services de transports par les voies navigables intérieures</w:t>
            </w:r>
          </w:p>
          <w:p>
            <w:pPr>
              <w:spacing w:before="60" w:after="60" w:line="240" w:lineRule="auto"/>
              <w:rPr>
                <w:noProof/>
                <w:lang w:val="fr-FR"/>
              </w:rPr>
            </w:pPr>
            <w:r>
              <w:rPr>
                <w:noProof/>
                <w:lang w:val="fr-FR"/>
              </w:rPr>
              <w:t>Services annexes et autres des transports par eau</w:t>
            </w:r>
          </w:p>
          <w:p>
            <w:pPr>
              <w:spacing w:before="60" w:after="60" w:line="240" w:lineRule="auto"/>
              <w:rPr>
                <w:noProof/>
                <w:lang w:val="fr-FR"/>
              </w:rPr>
            </w:pPr>
            <w:r>
              <w:rPr>
                <w:noProof/>
                <w:lang w:val="fr-FR"/>
              </w:rPr>
              <w:t>Toute autre activité commerciale maritime menée par un navire ou depuis un navire énoncée à l’élément Description ci-dessous</w:t>
            </w:r>
          </w:p>
        </w:tc>
      </w:tr>
      <w:tr>
        <w:trPr>
          <w:trHeight w:val="20"/>
        </w:trP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CPC 5133, 5223, 721, 722 et 745; toute autre activité commerciale maritime menée par un navire ou à partir d’un navire.</w:t>
            </w:r>
          </w:p>
        </w:tc>
      </w:tr>
      <w:tr>
        <w:trPr>
          <w:trHeight w:val="20"/>
        </w:trP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spacing w:before="60" w:after="60" w:line="240" w:lineRule="auto"/>
              <w:rPr>
                <w:noProof/>
                <w:lang w:val="fr-FR"/>
              </w:rPr>
            </w:pPr>
            <w:r>
              <w:rPr>
                <w:noProof/>
                <w:lang w:val="fr-FR"/>
              </w:rPr>
              <w:t>Accès aux marchés</w:t>
            </w:r>
          </w:p>
          <w:p>
            <w:pPr>
              <w:spacing w:before="60" w:after="60" w:line="240" w:lineRule="auto"/>
              <w:rPr>
                <w:noProof/>
                <w:lang w:val="fr-FR"/>
              </w:rPr>
            </w:pPr>
            <w:r>
              <w:rPr>
                <w:noProof/>
                <w:lang w:val="fr-FR"/>
              </w:rPr>
              <w:t>Traitement national</w:t>
            </w:r>
          </w:p>
          <w:p>
            <w:pPr>
              <w:spacing w:before="60" w:after="60" w:line="240" w:lineRule="auto"/>
              <w:rPr>
                <w:noProof/>
                <w:lang w:val="fr-FR"/>
              </w:rPr>
            </w:pPr>
            <w:r>
              <w:rPr>
                <w:noProof/>
                <w:lang w:val="fr-FR"/>
              </w:rPr>
              <w:t>Traitement de la nation la plus favorisée</w:t>
            </w:r>
          </w:p>
          <w:p>
            <w:pPr>
              <w:spacing w:before="60" w:after="60" w:line="240" w:lineRule="auto"/>
              <w:rPr>
                <w:noProof/>
                <w:lang w:val="fr-FR"/>
              </w:rPr>
            </w:pPr>
            <w:r>
              <w:rPr>
                <w:noProof/>
                <w:lang w:val="fr-FR"/>
              </w:rPr>
              <w:t>Prescriptions de résultats</w:t>
            </w:r>
          </w:p>
          <w:p>
            <w:pPr>
              <w:spacing w:before="60" w:after="60" w:line="240" w:lineRule="auto"/>
              <w:rPr>
                <w:noProof/>
                <w:lang w:val="fr-FR"/>
              </w:rPr>
            </w:pPr>
            <w:r>
              <w:rPr>
                <w:noProof/>
                <w:lang w:val="fr-FR"/>
              </w:rPr>
              <w:t xml:space="preserve">Dirigeants et conseils d’administration </w:t>
            </w:r>
          </w:p>
          <w:p>
            <w:pPr>
              <w:autoSpaceDE w:val="0"/>
              <w:autoSpaceDN w:val="0"/>
              <w:adjustRightInd w:val="0"/>
              <w:spacing w:before="60" w:after="60" w:line="240" w:lineRule="auto"/>
              <w:rPr>
                <w:noProof/>
                <w:lang w:val="fr-FR"/>
              </w:rPr>
            </w:pPr>
            <w:r>
              <w:rPr>
                <w:noProof/>
                <w:lang w:val="fr-FR"/>
              </w:rPr>
              <w:t>Obligations</w:t>
            </w:r>
          </w:p>
        </w:tc>
      </w:tr>
      <w:tr>
        <w:trPr>
          <w:trHeight w:val="20"/>
        </w:trP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Commerce transfrontières des services et Services de transport maritime international</w:t>
            </w:r>
          </w:p>
        </w:tc>
      </w:tr>
      <w:tr>
        <w:trPr>
          <w:trHeight w:val="3064"/>
        </w:trPr>
        <w:tc>
          <w:tcPr>
            <w:tcW w:w="3000" w:type="dxa"/>
            <w:tcBorders>
              <w:bottom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noProof/>
                <w:lang w:val="fr-FR"/>
              </w:rPr>
              <w:t>1.</w:t>
            </w:r>
            <w:r>
              <w:rPr>
                <w:noProof/>
                <w:lang w:val="fr-FR"/>
              </w:rPr>
              <w:tab/>
              <w:t>Le Canada se réserve le droit d’adopter ou de maintenir une mesure relative à la fourniture de services de cabotage maritime ou à l’investissement dans de tels services, y compris :</w:t>
            </w:r>
          </w:p>
          <w:p>
            <w:pPr>
              <w:autoSpaceDE w:val="0"/>
              <w:autoSpaceDN w:val="0"/>
              <w:adjustRightInd w:val="0"/>
              <w:spacing w:before="60" w:after="60" w:line="240" w:lineRule="auto"/>
              <w:rPr>
                <w:noProof/>
                <w:lang w:val="fr-FR"/>
              </w:rPr>
            </w:pPr>
            <w:r>
              <w:rPr>
                <w:noProof/>
                <w:lang w:val="fr-FR"/>
              </w:rPr>
              <w:t>a)</w:t>
            </w:r>
            <w:r>
              <w:rPr>
                <w:noProof/>
                <w:lang w:val="fr-FR"/>
              </w:rPr>
              <w:tab/>
              <w:t>le transport par navire de marchandises ou de passagers entre des points situés sur le territoire du Canada ou au-dessus du plateau continental du Canada, directement ou en passant par un lieu situé à l’extérieur du Canada; toutefois, dans les eaux situées au-dessus du plateau continental du Canada, est visé seulement le transport de marchandises ou de passagers lié à la recherche, à l’exploitation ou au transport des ressources minérales ou des ressources naturelles non biologiques du plateau continental du Canada;</w:t>
            </w:r>
          </w:p>
          <w:p>
            <w:pPr>
              <w:autoSpaceDE w:val="0"/>
              <w:autoSpaceDN w:val="0"/>
              <w:adjustRightInd w:val="0"/>
              <w:spacing w:before="60" w:after="60" w:line="240" w:lineRule="auto"/>
              <w:rPr>
                <w:noProof/>
                <w:lang w:val="fr-FR"/>
              </w:rPr>
            </w:pPr>
            <w:r>
              <w:rPr>
                <w:noProof/>
                <w:lang w:val="fr-FR"/>
              </w:rPr>
              <w:t>b)</w:t>
            </w:r>
            <w:r>
              <w:rPr>
                <w:noProof/>
                <w:lang w:val="fr-FR"/>
              </w:rPr>
              <w:tab/>
              <w:t>toute autre activité maritime de nature commerciale menée par un navire sur le territoire du Canada et, pour ce qui est des eaux situées au-dessus du plateau continental, d’autres activités maritimes de nature commerciale liées à la recherche, à l’exploitation ou au transport des ressources minérales ou des ressources naturelles non biologiques du plateau continental du Canada.</w:t>
            </w:r>
          </w:p>
        </w:tc>
      </w:tr>
      <w:tr>
        <w:trPr>
          <w:trHeight w:val="3064"/>
        </w:trPr>
        <w:tc>
          <w:tcPr>
            <w:tcW w:w="3000" w:type="dxa"/>
            <w:tcBorders>
              <w:bottom w:val="single" w:sz="4" w:space="0" w:color="FFFFFF" w:themeColor="background1"/>
            </w:tcBorders>
            <w:shd w:val="clear" w:color="auto" w:fill="auto"/>
          </w:tcPr>
          <w:p>
            <w:pPr>
              <w:pageBreakBefore/>
              <w:autoSpaceDE w:val="0"/>
              <w:autoSpaceDN w:val="0"/>
              <w:adjustRightInd w:val="0"/>
              <w:spacing w:before="60" w:after="60" w:line="240" w:lineRule="auto"/>
              <w:rPr>
                <w:b/>
                <w:bCs/>
                <w:noProof/>
                <w:color w:val="000000"/>
                <w:lang w:val="fr-FR"/>
              </w:rPr>
            </w:pP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noProof/>
                <w:lang w:val="fr-FR"/>
              </w:rPr>
              <w:t>b)</w:t>
            </w:r>
            <w:r>
              <w:rPr>
                <w:noProof/>
                <w:lang w:val="fr-FR"/>
              </w:rPr>
              <w:tab/>
              <w:t>toute autre activité maritime de nature commerciale menée par un navire sur le territoire du Canada et, pour ce qui est des eaux situées au-dessus du plateau continental, d’autres activités maritimes de nature commerciale liées à la recherche, à l’exploitation ou au transport des ressources minérales ou des ressources naturelles non biologiques du plateau continental du Canada.</w:t>
            </w:r>
          </w:p>
          <w:p>
            <w:pPr>
              <w:autoSpaceDE w:val="0"/>
              <w:autoSpaceDN w:val="0"/>
              <w:adjustRightInd w:val="0"/>
              <w:spacing w:before="60" w:after="60" w:line="240" w:lineRule="auto"/>
              <w:rPr>
                <w:noProof/>
                <w:lang w:val="fr-FR"/>
              </w:rPr>
            </w:pPr>
            <w:r>
              <w:rPr>
                <w:noProof/>
                <w:lang w:val="fr-FR"/>
              </w:rPr>
              <w:t>2.</w:t>
            </w:r>
            <w:r>
              <w:rPr>
                <w:noProof/>
                <w:lang w:val="fr-FR"/>
              </w:rPr>
              <w:tab/>
              <w:t>La présente réserve se rapporte, entre autres, aux limites et aux conditions imposées aux fournisseurs de services habilités à participer à ces activités, aux critères de délivrance de permis temporaires de cabotage aux navires étrangers et aux limites du nombre de permis de cabotage délivrés à des navires étrangers.</w:t>
            </w:r>
          </w:p>
          <w:p>
            <w:pPr>
              <w:autoSpaceDE w:val="0"/>
              <w:autoSpaceDN w:val="0"/>
              <w:adjustRightInd w:val="0"/>
              <w:spacing w:before="60" w:after="60" w:line="240" w:lineRule="auto"/>
              <w:rPr>
                <w:noProof/>
                <w:lang w:val="fr-FR"/>
              </w:rPr>
            </w:pPr>
            <w:r>
              <w:rPr>
                <w:noProof/>
                <w:lang w:val="fr-FR"/>
              </w:rPr>
              <w:t>3.</w:t>
            </w:r>
            <w:r>
              <w:rPr>
                <w:noProof/>
                <w:lang w:val="fr-FR"/>
              </w:rPr>
              <w:tab/>
              <w:t xml:space="preserve">Il est entendu que la présente réserve s’applique, entre autres, aux activités maritimes de nature commerciale menées par un navire et depuis un navire, y compris les services de collecte et de repositionnement des conteneurs vides. </w:t>
            </w:r>
          </w:p>
          <w:p>
            <w:pPr>
              <w:autoSpaceDE w:val="0"/>
              <w:autoSpaceDN w:val="0"/>
              <w:adjustRightInd w:val="0"/>
              <w:spacing w:before="60" w:after="60" w:line="240" w:lineRule="auto"/>
              <w:rPr>
                <w:noProof/>
                <w:lang w:val="fr-FR"/>
              </w:rPr>
            </w:pPr>
            <w:r>
              <w:rPr>
                <w:noProof/>
                <w:lang w:val="fr-FR"/>
              </w:rPr>
              <w:t>4.</w:t>
            </w:r>
            <w:r>
              <w:rPr>
                <w:noProof/>
                <w:lang w:val="fr-FR"/>
              </w:rPr>
              <w:tab/>
              <w:t>La présente réserve ne s’applique pas à une mesure relative à la fourniture des services de cabotage suivants, ou à l’investissement dans de tels services, menés depuis un navire exploité par une entreprise de l’Union européenne, ou un navire exploité par une entreprise d’un pays tiers</w:t>
            </w:r>
            <w:r>
              <w:rPr>
                <w:rStyle w:val="FootnoteReference"/>
                <w:noProof/>
                <w:lang w:val="fr-FR"/>
              </w:rPr>
              <w:footnoteReference w:id="1"/>
            </w:r>
            <w:r>
              <w:rPr>
                <w:noProof/>
                <w:lang w:val="fr-FR"/>
              </w:rPr>
              <w:t xml:space="preserve"> détenu ou contrôlé par un ressortissant de l’Union européenne, si le navire est immatriculé conformément à la législation d’un État membre de l’Union européenne et bat pavillon d’un État membre de l’Union européenne :</w:t>
            </w:r>
          </w:p>
          <w:p>
            <w:pPr>
              <w:autoSpaceDE w:val="0"/>
              <w:autoSpaceDN w:val="0"/>
              <w:adjustRightInd w:val="0"/>
              <w:spacing w:before="60" w:after="60" w:line="240" w:lineRule="auto"/>
              <w:rPr>
                <w:noProof/>
                <w:lang w:val="fr-FR"/>
              </w:rPr>
            </w:pPr>
            <w:r>
              <w:rPr>
                <w:noProof/>
                <w:lang w:val="fr-FR"/>
              </w:rPr>
              <w:t>a)</w:t>
            </w:r>
            <w:r>
              <w:rPr>
                <w:noProof/>
                <w:lang w:val="fr-FR"/>
              </w:rPr>
              <w:tab/>
              <w:t>repositionnement à titre non commercial de conteneurs vides achetés ou loués;</w:t>
            </w:r>
          </w:p>
        </w:tc>
      </w:tr>
      <w:tr>
        <w:trPr>
          <w:trHeight w:val="3064"/>
        </w:trPr>
        <w:tc>
          <w:tcPr>
            <w:tcW w:w="3000" w:type="dxa"/>
            <w:tcBorders>
              <w:bottom w:val="single" w:sz="4" w:space="0" w:color="FFFFFF" w:themeColor="background1"/>
            </w:tcBorders>
            <w:shd w:val="clear" w:color="auto" w:fill="auto"/>
          </w:tcPr>
          <w:p>
            <w:pPr>
              <w:pageBreakBefore/>
              <w:autoSpaceDE w:val="0"/>
              <w:autoSpaceDN w:val="0"/>
              <w:adjustRightInd w:val="0"/>
              <w:spacing w:before="60" w:after="60" w:line="240" w:lineRule="auto"/>
              <w:rPr>
                <w:b/>
                <w:bCs/>
                <w:noProof/>
                <w:color w:val="000000"/>
                <w:lang w:val="fr-FR"/>
              </w:rPr>
            </w:pP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noProof/>
                <w:lang w:val="fr-FR"/>
              </w:rPr>
              <w:t>b)</w:t>
            </w:r>
            <w:r>
              <w:rPr>
                <w:noProof/>
                <w:lang w:val="fr-FR"/>
              </w:rPr>
              <w:tab/>
              <w:t xml:space="preserve">i) transport continu en amont et en aval de fret international du port d’Halifax au port de Montréal et du port de Montréal au port d’Halifax au moyen de navires inscrits aux premiers registres (nationaux) visés au paragraphe 1 de l’annexe de la communication C(2004) 43 de la Commission – Orientations communautaires sur les aides d’État au transport maritime; </w:t>
            </w:r>
          </w:p>
          <w:p>
            <w:pPr>
              <w:autoSpaceDE w:val="0"/>
              <w:autoSpaceDN w:val="0"/>
              <w:adjustRightInd w:val="0"/>
              <w:spacing w:before="60" w:after="60" w:line="240" w:lineRule="auto"/>
              <w:rPr>
                <w:noProof/>
                <w:lang w:val="fr-FR"/>
              </w:rPr>
            </w:pPr>
            <w:r>
              <w:rPr>
                <w:noProof/>
                <w:lang w:val="fr-FR"/>
              </w:rPr>
              <w:tab/>
              <w:t>ii) transport en amont et en aval de fret conteneurisé international du port d’Halifax au port de Montréal et du port de Montréal au port d’Halifax, en tant que voyage unique concurrent d’un tronçon international, au moyen de navires inscrits aux premiers registres (nationaux) ou aux seconds registres (internationaux) visés aux paragraphes 1, 2 et 4 de l’annexe de la communication C(2004) 43 de la Commission – Orientations communautaires sur les aides d’État au transport maritime;</w:t>
            </w:r>
          </w:p>
          <w:p>
            <w:pPr>
              <w:autoSpaceDE w:val="0"/>
              <w:autoSpaceDN w:val="0"/>
              <w:adjustRightInd w:val="0"/>
              <w:spacing w:before="60" w:after="60" w:line="240" w:lineRule="auto"/>
              <w:rPr>
                <w:noProof/>
                <w:lang w:val="fr-FR"/>
              </w:rPr>
            </w:pPr>
            <w:r>
              <w:rPr>
                <w:noProof/>
                <w:lang w:val="fr-FR"/>
              </w:rPr>
              <w:t>c) dragage.</w:t>
            </w:r>
          </w:p>
        </w:tc>
      </w:tr>
      <w:tr>
        <w:trPr>
          <w:trHeight w:val="135"/>
        </w:trPr>
        <w:tc>
          <w:tcPr>
            <w:tcW w:w="3000" w:type="dxa"/>
            <w:tcBorders>
              <w:top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tcBorders>
              <w:top w:val="single" w:sz="4" w:space="0" w:color="FFFFFF" w:themeColor="background1"/>
            </w:tcBorders>
            <w:shd w:val="clear" w:color="auto" w:fill="auto"/>
          </w:tcPr>
          <w:p>
            <w:pPr>
              <w:spacing w:before="60" w:after="60" w:line="240" w:lineRule="auto"/>
              <w:rPr>
                <w:noProof/>
                <w:lang w:val="fr-FR"/>
              </w:rPr>
            </w:pPr>
            <w:r>
              <w:rPr>
                <w:i/>
                <w:noProof/>
                <w:lang w:val="fr-FR"/>
              </w:rPr>
              <w:t>Loi sur le cabotage,</w:t>
            </w:r>
            <w:r>
              <w:rPr>
                <w:noProof/>
                <w:lang w:val="fr-FR"/>
              </w:rPr>
              <w:t xml:space="preserve"> L.C. 1992, ch. 31</w:t>
            </w:r>
          </w:p>
          <w:p>
            <w:pPr>
              <w:spacing w:before="60" w:after="60" w:line="240" w:lineRule="auto"/>
              <w:rPr>
                <w:noProof/>
                <w:lang w:val="fr-FR"/>
              </w:rPr>
            </w:pPr>
            <w:r>
              <w:rPr>
                <w:i/>
                <w:noProof/>
                <w:lang w:val="fr-FR"/>
              </w:rPr>
              <w:t>Loi de 2001 sur la marine marchande du Canada</w:t>
            </w:r>
            <w:r>
              <w:rPr>
                <w:noProof/>
                <w:lang w:val="fr-FR"/>
              </w:rPr>
              <w:t xml:space="preserve">, L.C. 2001, ch. 26 </w:t>
            </w:r>
          </w:p>
          <w:p>
            <w:pPr>
              <w:spacing w:before="60" w:after="60" w:line="240" w:lineRule="auto"/>
              <w:rPr>
                <w:noProof/>
                <w:lang w:val="fr-FR"/>
              </w:rPr>
            </w:pPr>
            <w:r>
              <w:rPr>
                <w:i/>
                <w:noProof/>
                <w:lang w:val="fr-FR"/>
              </w:rPr>
              <w:t>Loi sur les douanes,</w:t>
            </w:r>
            <w:r>
              <w:rPr>
                <w:noProof/>
                <w:lang w:val="fr-FR"/>
              </w:rPr>
              <w:t xml:space="preserve"> L.R.C. 1985 (2</w:t>
            </w:r>
            <w:r>
              <w:rPr>
                <w:noProof/>
                <w:vertAlign w:val="superscript"/>
                <w:lang w:val="fr-FR"/>
              </w:rPr>
              <w:t>e</w:t>
            </w:r>
            <w:r>
              <w:rPr>
                <w:noProof/>
                <w:lang w:val="fr-FR"/>
              </w:rPr>
              <w:t> suppl.), ch. 1</w:t>
            </w:r>
          </w:p>
          <w:p>
            <w:pPr>
              <w:autoSpaceDE w:val="0"/>
              <w:autoSpaceDN w:val="0"/>
              <w:adjustRightInd w:val="0"/>
              <w:spacing w:before="60" w:after="60" w:line="240" w:lineRule="auto"/>
              <w:rPr>
                <w:noProof/>
                <w:lang w:val="fr-FR"/>
              </w:rPr>
            </w:pPr>
            <w:r>
              <w:rPr>
                <w:i/>
                <w:noProof/>
                <w:lang w:val="fr-FR"/>
              </w:rPr>
              <w:t>Loi sur la compétence extracôtière du Canada pour les douanes et l’accise,</w:t>
            </w:r>
            <w:r>
              <w:rPr>
                <w:noProof/>
                <w:lang w:val="fr-FR"/>
              </w:rPr>
              <w:t xml:space="preserve"> L.R.C. 1985, ch. C-53</w:t>
            </w:r>
          </w:p>
        </w:tc>
      </w:tr>
    </w:tbl>
    <w:p>
      <w:pPr>
        <w:spacing w:before="60" w:after="60" w:line="240" w:lineRule="auto"/>
        <w:rPr>
          <w:noProof/>
          <w:lang w:val="fr-FR"/>
        </w:rPr>
      </w:pPr>
    </w:p>
    <w:p>
      <w:pPr>
        <w:spacing w:before="60" w:after="60" w:line="240" w:lineRule="auto"/>
        <w:rPr>
          <w:noProof/>
          <w:lang w:val="fr-FR"/>
        </w:rPr>
      </w:pPr>
      <w:r>
        <w:rPr>
          <w:noProof/>
          <w:lang w:val="fr-FR"/>
        </w:rPr>
        <w:br w:type="page"/>
      </w: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spacing w:before="60" w:after="60" w:line="240" w:lineRule="auto"/>
              <w:jc w:val="center"/>
              <w:rPr>
                <w:noProof/>
                <w:lang w:val="fr-FR"/>
              </w:rPr>
            </w:pPr>
            <w:r>
              <w:rPr>
                <w:b/>
                <w:noProof/>
                <w:lang w:val="fr-FR"/>
              </w:rPr>
              <w:t>Réserve II-C-15</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Services de transports maritimes et services de transports par les voies navigables intérieures</w:t>
            </w:r>
          </w:p>
          <w:p>
            <w:pPr>
              <w:spacing w:before="60" w:after="60" w:line="240" w:lineRule="auto"/>
              <w:rPr>
                <w:noProof/>
                <w:lang w:val="fr-FR"/>
              </w:rPr>
            </w:pPr>
            <w:r>
              <w:rPr>
                <w:noProof/>
                <w:lang w:val="fr-FR"/>
              </w:rPr>
              <w:t>Services annexes des transports par eau</w:t>
            </w:r>
          </w:p>
          <w:p>
            <w:pPr>
              <w:spacing w:before="60" w:after="60" w:line="240" w:lineRule="auto"/>
              <w:rPr>
                <w:noProof/>
                <w:lang w:val="fr-FR"/>
              </w:rPr>
            </w:pPr>
            <w:r>
              <w:rPr>
                <w:noProof/>
                <w:lang w:val="fr-FR"/>
              </w:rPr>
              <w:t>Toute autre activité maritime de nature commerciale menée depuis un navire dans des eaux d’intérêt mutuel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color w:val="000000"/>
                <w:lang w:val="fr-FR"/>
              </w:rPr>
              <w:t>CPC 721, 722 et 745; toute autre activité commerciale maritime menée depuis un navire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spacing w:before="60" w:after="60" w:line="240" w:lineRule="auto"/>
              <w:rPr>
                <w:noProof/>
                <w:lang w:val="fr-FR"/>
              </w:rPr>
            </w:pPr>
            <w:r>
              <w:rPr>
                <w:noProof/>
                <w:lang w:val="fr-FR"/>
              </w:rPr>
              <w:t xml:space="preserve">Traitement de la nation la plus favorisée </w:t>
            </w:r>
          </w:p>
          <w:p>
            <w:pPr>
              <w:autoSpaceDE w:val="0"/>
              <w:autoSpaceDN w:val="0"/>
              <w:adjustRightInd w:val="0"/>
              <w:spacing w:before="60" w:after="60" w:line="240" w:lineRule="auto"/>
              <w:rPr>
                <w:noProof/>
                <w:lang w:val="fr-FR"/>
              </w:rPr>
            </w:pPr>
            <w:r>
              <w:rPr>
                <w:noProof/>
                <w:lang w:val="fr-FR"/>
              </w:rPr>
              <w:t>Obligations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Commerce transfrontières des services et Services de transport maritime international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Le Canada se réserve le droit d’adopter ou de maintenir une mesure relative à la mise en œuvre d’accords, d’arrangements et d’autres engagements de nature formelle ou informelle conclus avec d’autres pays concernant des activités maritimes menées dans des eaux d’intérêt mutuel, dans des domaines comme la lutte contre la pollution (y compris l’exigence de doubles coques pour les pétroliers), la sécurité de la navigation, les normes d’inspection des chalands, la qualité de l’eau, le pilotage, le sauvetage, la lutte contre la drogue et les communications maritimes.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II-C-16</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CPC 07</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Le Canada se réserve le droit d’adopter ou de maintenir une mesure relative au nombre ou au type d’entités juridiques gérant ou exploitant des infrastructures de transport détenues ou contrôlées par le Canada.</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II-C-17</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rPr>
          <w:trHeight w:val="4554"/>
        </w:trPr>
        <w:tc>
          <w:tcPr>
            <w:tcW w:w="30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b/>
                <w:noProof/>
                <w:color w:val="000000"/>
                <w:lang w:val="fr-FR"/>
              </w:rPr>
              <w:t>Sous-secteur :</w:t>
            </w: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lang w:val="fr-FR"/>
              </w:rPr>
            </w:pPr>
            <w:r>
              <w:rPr>
                <w:noProof/>
                <w:lang w:val="fr-FR"/>
              </w:rPr>
              <w:t xml:space="preserve">Tous les sous-secteurs des services de transports autres que les suivants : </w:t>
            </w:r>
          </w:p>
          <w:p>
            <w:pPr>
              <w:spacing w:before="60" w:after="60" w:line="240" w:lineRule="auto"/>
              <w:rPr>
                <w:noProof/>
                <w:lang w:val="fr-FR"/>
              </w:rPr>
            </w:pPr>
            <w:r>
              <w:rPr>
                <w:noProof/>
                <w:lang w:val="fr-FR"/>
              </w:rPr>
              <w:t xml:space="preserve">Services de dépôt et d’entreposage des conteneurs maritimes </w:t>
            </w:r>
          </w:p>
          <w:p>
            <w:pPr>
              <w:spacing w:before="60" w:after="60" w:line="240" w:lineRule="auto"/>
              <w:rPr>
                <w:noProof/>
                <w:lang w:val="fr-FR"/>
              </w:rPr>
            </w:pPr>
            <w:r>
              <w:rPr>
                <w:noProof/>
                <w:lang w:val="fr-FR"/>
              </w:rPr>
              <w:t xml:space="preserve">Services d’agence maritime </w:t>
            </w:r>
          </w:p>
          <w:p>
            <w:pPr>
              <w:spacing w:before="60" w:after="60" w:line="240" w:lineRule="auto"/>
              <w:rPr>
                <w:noProof/>
                <w:lang w:val="fr-FR"/>
              </w:rPr>
            </w:pPr>
            <w:r>
              <w:rPr>
                <w:noProof/>
                <w:lang w:val="fr-FR"/>
              </w:rPr>
              <w:t xml:space="preserve">Services d’expédition de fret maritime </w:t>
            </w:r>
          </w:p>
          <w:p>
            <w:pPr>
              <w:spacing w:before="60" w:after="60" w:line="240" w:lineRule="auto"/>
              <w:rPr>
                <w:noProof/>
                <w:lang w:val="fr-FR"/>
              </w:rPr>
            </w:pPr>
            <w:r>
              <w:rPr>
                <w:noProof/>
                <w:lang w:val="fr-FR"/>
              </w:rPr>
              <w:t>Services de réparation et de maintenance des aéronefs</w:t>
            </w:r>
          </w:p>
          <w:p>
            <w:pPr>
              <w:spacing w:before="60" w:after="60" w:line="240" w:lineRule="auto"/>
              <w:rPr>
                <w:noProof/>
                <w:lang w:val="fr-FR"/>
              </w:rPr>
            </w:pPr>
            <w:r>
              <w:rPr>
                <w:noProof/>
                <w:lang w:val="fr-FR"/>
              </w:rPr>
              <w:t xml:space="preserve">Systèmes informatisés de réservation </w:t>
            </w:r>
          </w:p>
          <w:p>
            <w:pPr>
              <w:spacing w:before="60" w:after="60" w:line="240" w:lineRule="auto"/>
              <w:rPr>
                <w:noProof/>
                <w:lang w:val="fr-FR"/>
              </w:rPr>
            </w:pPr>
            <w:r>
              <w:rPr>
                <w:noProof/>
                <w:lang w:val="fr-FR"/>
              </w:rPr>
              <w:t>Services de transports ferroviaires de voyageurs et de marchandises</w:t>
            </w:r>
          </w:p>
          <w:p>
            <w:pPr>
              <w:spacing w:before="60" w:after="60" w:line="240" w:lineRule="auto"/>
              <w:rPr>
                <w:noProof/>
                <w:lang w:val="fr-FR"/>
              </w:rPr>
            </w:pPr>
            <w:r>
              <w:rPr>
                <w:noProof/>
                <w:lang w:val="fr-FR"/>
              </w:rPr>
              <w:t>Maintenance et réparation de matériel de transports ferroviaires</w:t>
            </w:r>
          </w:p>
          <w:p>
            <w:pPr>
              <w:autoSpaceDE w:val="0"/>
              <w:autoSpaceDN w:val="0"/>
              <w:adjustRightInd w:val="0"/>
              <w:spacing w:before="60" w:after="60" w:line="240" w:lineRule="auto"/>
              <w:rPr>
                <w:noProof/>
                <w:lang w:val="fr-FR"/>
              </w:rPr>
            </w:pPr>
            <w:r>
              <w:rPr>
                <w:noProof/>
                <w:lang w:val="fr-FR"/>
              </w:rPr>
              <w:t>Services de réparation n.c.a. de véhicules automobiles, remorques et semi-remorques, à forfait ou sous contrat</w:t>
            </w:r>
          </w:p>
          <w:p>
            <w:pPr>
              <w:spacing w:before="60" w:after="60" w:line="240" w:lineRule="auto"/>
              <w:rPr>
                <w:noProof/>
                <w:lang w:val="fr-FR"/>
              </w:rPr>
            </w:pPr>
            <w:r>
              <w:rPr>
                <w:noProof/>
                <w:lang w:val="fr-FR"/>
              </w:rPr>
              <w:t>Services d’entretien et de réparation de véhicules automobiles</w:t>
            </w:r>
          </w:p>
          <w:p>
            <w:pPr>
              <w:autoSpaceDE w:val="0"/>
              <w:autoSpaceDN w:val="0"/>
              <w:adjustRightInd w:val="0"/>
              <w:spacing w:before="60" w:after="60" w:line="240" w:lineRule="auto"/>
              <w:rPr>
                <w:noProof/>
                <w:lang w:val="fr-FR"/>
              </w:rPr>
            </w:pPr>
            <w:r>
              <w:rPr>
                <w:noProof/>
                <w:lang w:val="fr-FR"/>
              </w:rPr>
              <w:t>Services d’entretien et de réparation de motocycles et motoneiges</w:t>
            </w:r>
          </w:p>
        </w:tc>
      </w:tr>
      <w:tr>
        <w:trPr>
          <w:trHeight w:val="1641"/>
        </w:trPr>
        <w:tc>
          <w:tcPr>
            <w:tcW w:w="3000" w:type="dxa"/>
            <w:tcBorders>
              <w:top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p>
        </w:tc>
        <w:tc>
          <w:tcPr>
            <w:tcW w:w="6500" w:type="dxa"/>
            <w:tcBorders>
              <w:top w:val="single" w:sz="4" w:space="0" w:color="FFFFFF" w:themeColor="background1"/>
            </w:tcBorders>
            <w:shd w:val="clear" w:color="auto" w:fill="auto"/>
          </w:tcPr>
          <w:p>
            <w:pPr>
              <w:spacing w:before="60" w:after="60" w:line="240" w:lineRule="auto"/>
              <w:rPr>
                <w:noProof/>
                <w:lang w:val="fr-FR"/>
              </w:rPr>
            </w:pPr>
            <w:r>
              <w:rPr>
                <w:noProof/>
                <w:lang w:val="fr-FR"/>
              </w:rPr>
              <w:t>Services de manutention pour les transports terrestres</w:t>
            </w:r>
          </w:p>
          <w:p>
            <w:pPr>
              <w:spacing w:before="60" w:after="60" w:line="240" w:lineRule="auto"/>
              <w:rPr>
                <w:noProof/>
                <w:lang w:val="fr-FR"/>
              </w:rPr>
            </w:pPr>
            <w:r>
              <w:rPr>
                <w:noProof/>
                <w:lang w:val="fr-FR"/>
              </w:rPr>
              <w:t>Services d’entreposage pour les transports terrestres</w:t>
            </w:r>
          </w:p>
          <w:p>
            <w:pPr>
              <w:spacing w:before="60" w:after="60" w:line="240" w:lineRule="auto"/>
              <w:rPr>
                <w:noProof/>
                <w:lang w:val="fr-FR"/>
              </w:rPr>
            </w:pPr>
            <w:r>
              <w:rPr>
                <w:noProof/>
                <w:lang w:val="fr-FR"/>
              </w:rPr>
              <w:t>Services d’agences de transports de marchandises pour les transports terrestres</w:t>
            </w:r>
          </w:p>
          <w:p>
            <w:pPr>
              <w:spacing w:before="60" w:after="60" w:line="240" w:lineRule="auto"/>
              <w:rPr>
                <w:noProof/>
                <w:lang w:val="fr-FR"/>
              </w:rPr>
            </w:pPr>
            <w:r>
              <w:rPr>
                <w:noProof/>
                <w:lang w:val="fr-FR"/>
              </w:rPr>
              <w:t>Autres services annexes et auxiliaires des transports pour les transports terrestres</w:t>
            </w:r>
          </w:p>
        </w:tc>
      </w:tr>
      <w:tr>
        <w:tc>
          <w:tcPr>
            <w:tcW w:w="3000" w:type="dxa"/>
            <w:shd w:val="clear" w:color="auto" w:fill="auto"/>
          </w:tcPr>
          <w:p>
            <w:pPr>
              <w:pageBreakBefore/>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lang w:val="fr-FR"/>
              </w:rPr>
            </w:pPr>
            <w:r>
              <w:rPr>
                <w:noProof/>
                <w:lang w:val="fr-FR"/>
              </w:rPr>
              <w:t>CPC 07, CPC 51, CPC 61, CPC 886, ainsi que toute autre activité commerciale menée par un navire, un aéronef, un véhicule automobile ou du matériel de transports ferroviaires, ou liée à ces derniers, autre que :</w:t>
            </w:r>
          </w:p>
          <w:p>
            <w:pPr>
              <w:spacing w:before="60" w:after="60" w:line="240" w:lineRule="auto"/>
              <w:rPr>
                <w:noProof/>
                <w:lang w:val="fr-FR"/>
              </w:rPr>
            </w:pPr>
            <w:r>
              <w:rPr>
                <w:noProof/>
                <w:lang w:val="fr-FR"/>
              </w:rPr>
              <w:t>CPC 6112</w:t>
            </w:r>
          </w:p>
          <w:p>
            <w:pPr>
              <w:spacing w:before="60" w:after="60" w:line="240" w:lineRule="auto"/>
              <w:rPr>
                <w:noProof/>
                <w:lang w:val="fr-FR"/>
              </w:rPr>
            </w:pPr>
            <w:r>
              <w:rPr>
                <w:noProof/>
                <w:lang w:val="fr-FR"/>
              </w:rPr>
              <w:t>CPC 6122</w:t>
            </w:r>
          </w:p>
          <w:p>
            <w:pPr>
              <w:spacing w:before="60" w:after="60" w:line="240" w:lineRule="auto"/>
              <w:rPr>
                <w:noProof/>
                <w:lang w:val="fr-FR"/>
              </w:rPr>
            </w:pPr>
            <w:r>
              <w:rPr>
                <w:noProof/>
                <w:lang w:val="fr-FR"/>
              </w:rPr>
              <w:t>CPC 7111</w:t>
            </w:r>
          </w:p>
          <w:p>
            <w:pPr>
              <w:spacing w:before="60" w:after="60" w:line="240" w:lineRule="auto"/>
              <w:rPr>
                <w:noProof/>
                <w:lang w:val="fr-FR"/>
              </w:rPr>
            </w:pPr>
            <w:r>
              <w:rPr>
                <w:noProof/>
                <w:lang w:val="fr-FR"/>
              </w:rPr>
              <w:t>CPC 7112</w:t>
            </w:r>
          </w:p>
          <w:p>
            <w:pPr>
              <w:spacing w:before="60" w:after="60" w:line="240" w:lineRule="auto"/>
              <w:rPr>
                <w:noProof/>
                <w:lang w:val="fr-FR"/>
              </w:rPr>
            </w:pPr>
            <w:r>
              <w:rPr>
                <w:noProof/>
                <w:lang w:val="fr-FR"/>
              </w:rPr>
              <w:t>CPC 741 (services de transports terrestres seulement)</w:t>
            </w:r>
          </w:p>
          <w:p>
            <w:pPr>
              <w:spacing w:before="60" w:after="60" w:line="240" w:lineRule="auto"/>
              <w:rPr>
                <w:noProof/>
                <w:lang w:val="fr-FR"/>
              </w:rPr>
            </w:pPr>
            <w:r>
              <w:rPr>
                <w:noProof/>
                <w:lang w:val="fr-FR"/>
              </w:rPr>
              <w:t xml:space="preserve">CPC 742 (services de transports terrestres seulement) </w:t>
            </w:r>
          </w:p>
          <w:p>
            <w:pPr>
              <w:spacing w:before="60" w:after="60" w:line="240" w:lineRule="auto"/>
              <w:rPr>
                <w:noProof/>
                <w:lang w:val="fr-FR"/>
              </w:rPr>
            </w:pPr>
            <w:r>
              <w:rPr>
                <w:noProof/>
                <w:lang w:val="fr-FR"/>
              </w:rPr>
              <w:t>CPC 7480 (services de transports terrestres seulement)</w:t>
            </w:r>
          </w:p>
          <w:p>
            <w:pPr>
              <w:spacing w:before="60" w:after="60" w:line="240" w:lineRule="auto"/>
              <w:rPr>
                <w:noProof/>
                <w:lang w:val="fr-FR"/>
              </w:rPr>
            </w:pPr>
            <w:r>
              <w:rPr>
                <w:noProof/>
                <w:lang w:val="fr-FR"/>
              </w:rPr>
              <w:t>CPC 7490 (services de transports terrestres seulement)</w:t>
            </w:r>
          </w:p>
          <w:p>
            <w:pPr>
              <w:spacing w:before="60" w:after="60" w:line="240" w:lineRule="auto"/>
              <w:rPr>
                <w:noProof/>
                <w:lang w:val="fr-FR"/>
              </w:rPr>
            </w:pPr>
            <w:r>
              <w:rPr>
                <w:noProof/>
                <w:lang w:val="fr-FR"/>
              </w:rPr>
              <w:t xml:space="preserve">CPC 8867 </w:t>
            </w:r>
          </w:p>
          <w:p>
            <w:pPr>
              <w:spacing w:before="60" w:after="60" w:line="240" w:lineRule="auto"/>
              <w:rPr>
                <w:noProof/>
                <w:lang w:val="fr-FR"/>
              </w:rPr>
            </w:pPr>
            <w:r>
              <w:rPr>
                <w:noProof/>
                <w:lang w:val="fr-FR"/>
              </w:rPr>
              <w:t>CPC 8868 (matériel de transports ferroviaires seulement)</w:t>
            </w:r>
          </w:p>
          <w:p>
            <w:pPr>
              <w:spacing w:before="60" w:after="60" w:line="240" w:lineRule="auto"/>
              <w:rPr>
                <w:noProof/>
                <w:lang w:val="fr-FR"/>
              </w:rPr>
            </w:pPr>
            <w:r>
              <w:rPr>
                <w:noProof/>
                <w:lang w:val="fr-FR"/>
              </w:rPr>
              <w:t>Services de systèmes informatisés de réservation, au sens des articles 8.1 (Définitions) et 9.1 (Définitions)</w:t>
            </w:r>
          </w:p>
          <w:p>
            <w:pPr>
              <w:spacing w:before="60" w:after="60" w:line="240" w:lineRule="auto"/>
              <w:rPr>
                <w:noProof/>
                <w:lang w:val="fr-FR"/>
              </w:rPr>
            </w:pPr>
            <w:r>
              <w:rPr>
                <w:noProof/>
                <w:lang w:val="fr-FR"/>
              </w:rPr>
              <w:t xml:space="preserve">Services de réparation et de maintenance des aéronefs, au sens des articles 8.1 (Définitions) et 9.1 (Définitions) </w:t>
            </w:r>
          </w:p>
          <w:p>
            <w:pPr>
              <w:spacing w:before="60" w:after="60" w:line="240" w:lineRule="auto"/>
              <w:rPr>
                <w:noProof/>
                <w:szCs w:val="24"/>
                <w:lang w:val="fr-FR"/>
              </w:rPr>
            </w:pPr>
            <w:r>
              <w:rPr>
                <w:noProof/>
                <w:lang w:val="fr-FR"/>
              </w:rPr>
              <w:t>Services de dépôt et d’entreposage des conteneurs maritimes, services d’agence maritime, services d’expédition de fret maritime, au sens de l’article 14.1 (Définitions)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p>
            <w:pPr>
              <w:autoSpaceDE w:val="0"/>
              <w:autoSpaceDN w:val="0"/>
              <w:adjustRightInd w:val="0"/>
              <w:spacing w:before="60" w:after="60" w:line="240" w:lineRule="auto"/>
              <w:rPr>
                <w:noProof/>
                <w:lang w:val="fr-FR"/>
              </w:rPr>
            </w:pPr>
            <w:r>
              <w:rPr>
                <w:noProof/>
                <w:lang w:val="fr-FR"/>
              </w:rPr>
              <w:t>Obligations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Commerce transfrontières des services et Services de transport maritime international</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lang w:val="fr-FR"/>
              </w:rPr>
            </w:pPr>
            <w:r>
              <w:rPr>
                <w:noProof/>
                <w:lang w:val="fr-FR"/>
              </w:rPr>
              <w:t>Le Canada se réserve le droit d’adopter ou de maintenir une mesure relative à la désignation, à l’établissement, à l’expansion ou à l’exploitation de monopoles ou de fournisseurs de services exclusifs dans le secteur des transports.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noProof/>
                <w:lang w:val="fr-FR"/>
              </w:rPr>
            </w:pPr>
            <w:r>
              <w:rPr>
                <w:b/>
                <w:noProof/>
                <w:lang w:val="fr-FR"/>
              </w:rPr>
              <w:t>Réserve II-C-18</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Transports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tabs>
                <w:tab w:val="left" w:pos="2880"/>
              </w:tabs>
              <w:spacing w:before="60" w:after="60" w:line="240" w:lineRule="auto"/>
              <w:outlineLvl w:val="0"/>
              <w:rPr>
                <w:bCs/>
                <w:noProof/>
                <w:lang w:val="fr-FR"/>
              </w:rPr>
            </w:pPr>
            <w:r>
              <w:rPr>
                <w:noProof/>
                <w:lang w:val="fr-FR"/>
              </w:rPr>
              <w:t>Services annexes et auxiliaires des transports</w:t>
            </w:r>
          </w:p>
          <w:p>
            <w:pPr>
              <w:spacing w:before="60" w:after="60" w:line="240" w:lineRule="auto"/>
              <w:rPr>
                <w:noProof/>
                <w:lang w:val="fr-FR"/>
              </w:rPr>
            </w:pPr>
            <w:r>
              <w:rPr>
                <w:noProof/>
                <w:lang w:val="fr-FR"/>
              </w:rPr>
              <w:t>Services d’assistance en escale, au sens des articles 8.1 (Définitions) et 9.1 (Définitions)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outlineLvl w:val="0"/>
              <w:rPr>
                <w:noProof/>
                <w:szCs w:val="24"/>
                <w:lang w:val="fr-FR"/>
              </w:rPr>
            </w:pPr>
            <w:r>
              <w:rPr>
                <w:noProof/>
                <w:color w:val="000000"/>
                <w:lang w:val="fr-FR"/>
              </w:rPr>
              <w:t>CPC 74, services d’assistance en escale, au sens des articles 8.1 (Définitions) et 9.1 (Définitions)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Investissement</w:t>
            </w:r>
          </w:p>
        </w:tc>
      </w:tr>
      <w:tr>
        <w:trPr>
          <w:trHeight w:val="2026"/>
        </w:trPr>
        <w:tc>
          <w:tcPr>
            <w:tcW w:w="3000" w:type="dxa"/>
            <w:tcBorders>
              <w:bottom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p>
        </w:tc>
        <w:tc>
          <w:tcPr>
            <w:tcW w:w="6500" w:type="dxa"/>
            <w:tcBorders>
              <w:bottom w:val="single" w:sz="4" w:space="0" w:color="FFFFFF" w:themeColor="background1"/>
            </w:tcBorders>
            <w:shd w:val="clear" w:color="auto" w:fill="auto"/>
          </w:tcPr>
          <w:p>
            <w:pPr>
              <w:autoSpaceDE w:val="0"/>
              <w:autoSpaceDN w:val="0"/>
              <w:adjustRightInd w:val="0"/>
              <w:spacing w:before="60" w:after="60" w:line="240" w:lineRule="auto"/>
              <w:rPr>
                <w:noProof/>
                <w:szCs w:val="24"/>
                <w:lang w:val="fr-FR"/>
              </w:rPr>
            </w:pPr>
            <w:r>
              <w:rPr>
                <w:noProof/>
                <w:lang w:val="fr-FR"/>
              </w:rPr>
              <w:t>1.</w:t>
            </w:r>
            <w:r>
              <w:rPr>
                <w:noProof/>
                <w:lang w:val="fr-FR"/>
              </w:rPr>
              <w:tab/>
              <w:t>Le Canada se réserve le droit d’adopter ou de maintenir une mesure limitant le nombre de fournisseurs de certains services annexes et auxiliaires des transports liés aux activités suivantes : la prise en charge des passagers et la manutention de marchandises et de cargaisons (y compris le courrier), ainsi que les services de transports qui soutiennent les transporteurs aux aéroports, où des restrictions physiques ou opérationnelles résultent principalement de considérations relatives à la sûreté ou à la sécurité.</w:t>
            </w:r>
          </w:p>
          <w:p>
            <w:pPr>
              <w:autoSpaceDE w:val="0"/>
              <w:autoSpaceDN w:val="0"/>
              <w:adjustRightInd w:val="0"/>
              <w:spacing w:before="60" w:after="60" w:line="240" w:lineRule="auto"/>
              <w:rPr>
                <w:noProof/>
                <w:szCs w:val="24"/>
                <w:lang w:val="fr-FR"/>
              </w:rPr>
            </w:pPr>
            <w:r>
              <w:rPr>
                <w:noProof/>
                <w:lang w:val="fr-FR"/>
              </w:rPr>
              <w:t>2.</w:t>
            </w:r>
            <w:r>
              <w:rPr>
                <w:noProof/>
                <w:lang w:val="fr-FR"/>
              </w:rPr>
              <w:tab/>
              <w:t>Il est entendu que, dans le cas des services d’assistance en escale, la présente réserve n’a aucune incidence sur les droits et les obligations du Canada découlant de l’</w:t>
            </w:r>
            <w:r>
              <w:rPr>
                <w:i/>
                <w:noProof/>
                <w:lang w:val="fr-FR"/>
              </w:rPr>
              <w:t>Accord sur le transport aérien entre le Canada et la Communauté européenne et ses États membres</w:t>
            </w:r>
            <w:r>
              <w:rPr>
                <w:noProof/>
                <w:lang w:val="fr-FR"/>
              </w:rPr>
              <w:t>, fait à Bruxelles, le 17 décembre 2009, et à Ottawa, le 18 décembre 2009.</w:t>
            </w:r>
          </w:p>
        </w:tc>
      </w:tr>
      <w:tr>
        <w:trPr>
          <w:trHeight w:val="497"/>
        </w:trPr>
        <w:tc>
          <w:tcPr>
            <w:tcW w:w="3000" w:type="dxa"/>
            <w:tcBorders>
              <w:top w:val="single" w:sz="4" w:space="0" w:color="FFFFFF" w:themeColor="background1"/>
            </w:tcBorders>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tcBorders>
              <w:top w:val="single" w:sz="4" w:space="0" w:color="FFFFFF" w:themeColor="background1"/>
            </w:tcBorders>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p>
      <w:pPr>
        <w:spacing w:before="60" w:after="60" w:line="240" w:lineRule="auto"/>
        <w:rPr>
          <w:noProof/>
          <w:lang w:val="fr-FR"/>
        </w:rPr>
      </w:pPr>
      <w:r>
        <w:rPr>
          <w:noProof/>
          <w:lang w:val="fr-FR"/>
        </w:rPr>
        <w:br w:type="page"/>
      </w: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spacing w:before="60" w:after="60" w:line="240" w:lineRule="auto"/>
              <w:jc w:val="center"/>
              <w:rPr>
                <w:bCs/>
                <w:noProof/>
                <w:lang w:val="fr-FR"/>
              </w:rPr>
            </w:pPr>
            <w:r>
              <w:rPr>
                <w:b/>
                <w:noProof/>
                <w:lang w:val="fr-FR"/>
              </w:rPr>
              <w:t>Réserve II-C-19</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noProof/>
                <w:lang w:val="fr-FR"/>
              </w:rPr>
              <w:t>Services fournis aux entreprises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r>
              <w:rPr>
                <w:noProof/>
                <w:lang w:val="fr-FR"/>
              </w:rPr>
              <w:t>Services d’essais et d’analyses techniques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r>
              <w:rPr>
                <w:noProof/>
                <w:lang w:val="fr-FR"/>
              </w:rPr>
              <w:t>CPC 8676</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Accès aux marchés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 :</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 et Commerce transfrontières des services</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szCs w:val="24"/>
                <w:lang w:val="fr-FR"/>
              </w:rPr>
            </w:pPr>
            <w:bookmarkStart w:id="2" w:name="OLE_LINK1"/>
            <w:bookmarkStart w:id="3" w:name="OLE_LINK2"/>
            <w:r>
              <w:rPr>
                <w:noProof/>
                <w:lang w:val="fr-FR"/>
              </w:rPr>
              <w:t>1.</w:t>
            </w:r>
            <w:r>
              <w:rPr>
                <w:noProof/>
                <w:lang w:val="fr-FR"/>
              </w:rPr>
              <w:tab/>
              <w:t>Le Canada se réserve le droit d’adopter ou de maintenir une mesure ayant une incidence sur l’inspection et la certification obligatoires des navires pour le compte du Canada.</w:t>
            </w:r>
          </w:p>
          <w:p>
            <w:pPr>
              <w:autoSpaceDE w:val="0"/>
              <w:autoSpaceDN w:val="0"/>
              <w:adjustRightInd w:val="0"/>
              <w:spacing w:before="60" w:after="60" w:line="240" w:lineRule="auto"/>
              <w:rPr>
                <w:noProof/>
                <w:szCs w:val="24"/>
                <w:lang w:val="fr-FR"/>
              </w:rPr>
            </w:pPr>
            <w:r>
              <w:rPr>
                <w:noProof/>
                <w:lang w:val="fr-FR"/>
              </w:rPr>
              <w:t>2.</w:t>
            </w:r>
            <w:r>
              <w:rPr>
                <w:noProof/>
                <w:lang w:val="fr-FR"/>
              </w:rPr>
              <w:tab/>
              <w:t>Il est entendu que seule une personne, une société de classification ou une autre organisation autorisée par le Canada peut effectuer des inspections obligatoires et délivrer des documents maritimes canadiens visant des navires immatriculés au Canada et leur équipement pour le compte du Canada.</w:t>
            </w:r>
            <w:bookmarkEnd w:id="2"/>
            <w:bookmarkEnd w:id="3"/>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tbl>
      <w:tblPr>
        <w:tblW w:w="9500" w:type="dxa"/>
        <w:tblLayout w:type="fixed"/>
        <w:tblLook w:val="04A0" w:firstRow="1" w:lastRow="0" w:firstColumn="1" w:lastColumn="0" w:noHBand="0" w:noVBand="1"/>
      </w:tblPr>
      <w:tblGrid>
        <w:gridCol w:w="3000"/>
        <w:gridCol w:w="6500"/>
      </w:tblGrid>
      <w:tr>
        <w:tc>
          <w:tcPr>
            <w:tcW w:w="9500" w:type="dxa"/>
            <w:gridSpan w:val="2"/>
            <w:shd w:val="clear" w:color="auto" w:fill="auto"/>
          </w:tcPr>
          <w:p>
            <w:pPr>
              <w:pageBreakBefore/>
              <w:spacing w:before="60" w:after="60" w:line="240" w:lineRule="auto"/>
              <w:jc w:val="center"/>
              <w:rPr>
                <w:bCs/>
                <w:noProof/>
                <w:lang w:val="fr-FR"/>
              </w:rPr>
            </w:pPr>
            <w:r>
              <w:rPr>
                <w:b/>
                <w:noProof/>
                <w:lang w:val="fr-FR"/>
              </w:rPr>
              <w:t>Réserve II-C-20</w:t>
            </w:r>
          </w:p>
        </w:tc>
      </w:tr>
      <w:tr>
        <w:tc>
          <w:tcPr>
            <w:tcW w:w="3000" w:type="dxa"/>
            <w:shd w:val="clear" w:color="auto" w:fill="auto"/>
          </w:tcPr>
          <w:p>
            <w:pPr>
              <w:spacing w:before="60" w:after="60" w:line="240" w:lineRule="auto"/>
              <w:rPr>
                <w:noProof/>
                <w:lang w:val="fr-FR"/>
              </w:rPr>
            </w:pPr>
            <w:r>
              <w:rPr>
                <w:b/>
                <w:bCs/>
                <w:noProof/>
                <w:color w:val="000000"/>
                <w:lang w:val="fr-FR"/>
              </w:rPr>
              <w:t>Secteur :</w:t>
            </w:r>
          </w:p>
        </w:tc>
        <w:tc>
          <w:tcPr>
            <w:tcW w:w="6500" w:type="dxa"/>
            <w:shd w:val="clear" w:color="auto" w:fill="auto"/>
          </w:tcPr>
          <w:p>
            <w:pPr>
              <w:spacing w:before="60" w:after="60" w:line="240" w:lineRule="auto"/>
              <w:rPr>
                <w:noProof/>
                <w:lang w:val="fr-FR"/>
              </w:rPr>
            </w:pPr>
            <w:r>
              <w:rPr>
                <w:bCs/>
                <w:noProof/>
                <w:lang w:val="fr-FR"/>
              </w:rPr>
              <w:t>Tous les secteurs</w:t>
            </w:r>
          </w:p>
        </w:tc>
      </w:tr>
      <w:tr>
        <w:tc>
          <w:tcPr>
            <w:tcW w:w="3000" w:type="dxa"/>
            <w:shd w:val="clear" w:color="auto" w:fill="auto"/>
          </w:tcPr>
          <w:p>
            <w:pPr>
              <w:autoSpaceDE w:val="0"/>
              <w:autoSpaceDN w:val="0"/>
              <w:adjustRightInd w:val="0"/>
              <w:spacing w:before="60" w:after="60" w:line="240" w:lineRule="auto"/>
              <w:rPr>
                <w:noProof/>
                <w:lang w:val="fr-FR"/>
              </w:rPr>
            </w:pPr>
            <w:r>
              <w:rPr>
                <w:b/>
                <w:noProof/>
                <w:color w:val="000000"/>
                <w:lang w:val="fr-FR"/>
              </w:rPr>
              <w:t xml:space="preserve">Sous-secteur : </w:t>
            </w:r>
          </w:p>
        </w:tc>
        <w:tc>
          <w:tcPr>
            <w:tcW w:w="6500" w:type="dxa"/>
            <w:shd w:val="clear" w:color="auto" w:fill="auto"/>
          </w:tcPr>
          <w:p>
            <w:pPr>
              <w:spacing w:before="60" w:after="60" w:line="240" w:lineRule="auto"/>
              <w:rPr>
                <w:noProof/>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Classification de l’industrie :</w:t>
            </w:r>
          </w:p>
        </w:tc>
        <w:tc>
          <w:tcPr>
            <w:tcW w:w="6500" w:type="dxa"/>
            <w:shd w:val="clear" w:color="auto" w:fill="auto"/>
          </w:tcPr>
          <w:p>
            <w:pPr>
              <w:spacing w:before="60" w:after="60" w:line="240" w:lineRule="auto"/>
              <w:rPr>
                <w:noProof/>
                <w:szCs w:val="24"/>
                <w:lang w:val="fr-FR"/>
              </w:rPr>
            </w:pP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Type de réserve :</w:t>
            </w:r>
          </w:p>
        </w:tc>
        <w:tc>
          <w:tcPr>
            <w:tcW w:w="6500" w:type="dxa"/>
            <w:shd w:val="clear" w:color="auto" w:fill="auto"/>
          </w:tcPr>
          <w:p>
            <w:pPr>
              <w:autoSpaceDE w:val="0"/>
              <w:autoSpaceDN w:val="0"/>
              <w:adjustRightInd w:val="0"/>
              <w:spacing w:before="60" w:after="60" w:line="240" w:lineRule="auto"/>
              <w:rPr>
                <w:noProof/>
                <w:lang w:val="fr-FR"/>
              </w:rPr>
            </w:pPr>
            <w:r>
              <w:rPr>
                <w:noProof/>
                <w:lang w:val="fr-FR"/>
              </w:rPr>
              <w:t>Traitement de la nation la plus favorisée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Description</w:t>
            </w:r>
          </w:p>
        </w:tc>
        <w:tc>
          <w:tcPr>
            <w:tcW w:w="6500" w:type="dxa"/>
            <w:shd w:val="clear" w:color="auto" w:fill="auto"/>
          </w:tcPr>
          <w:p>
            <w:pPr>
              <w:autoSpaceDE w:val="0"/>
              <w:autoSpaceDN w:val="0"/>
              <w:adjustRightInd w:val="0"/>
              <w:spacing w:before="60" w:after="60" w:line="240" w:lineRule="auto"/>
              <w:rPr>
                <w:b/>
                <w:bCs/>
                <w:noProof/>
                <w:color w:val="000000"/>
                <w:lang w:val="fr-FR"/>
              </w:rPr>
            </w:pPr>
            <w:r>
              <w:rPr>
                <w:b/>
                <w:noProof/>
                <w:lang w:val="fr-FR"/>
              </w:rPr>
              <w:t>Investissement</w:t>
            </w:r>
          </w:p>
        </w:tc>
      </w:tr>
      <w:tr>
        <w:tc>
          <w:tcPr>
            <w:tcW w:w="3000" w:type="dxa"/>
            <w:shd w:val="clear" w:color="auto" w:fill="auto"/>
          </w:tcPr>
          <w:p>
            <w:pPr>
              <w:autoSpaceDE w:val="0"/>
              <w:autoSpaceDN w:val="0"/>
              <w:adjustRightInd w:val="0"/>
              <w:spacing w:before="60" w:after="60" w:line="240" w:lineRule="auto"/>
              <w:rPr>
                <w:b/>
                <w:bCs/>
                <w:noProof/>
                <w:color w:val="000000"/>
                <w:lang w:val="fr-FR"/>
              </w:rPr>
            </w:pPr>
          </w:p>
        </w:tc>
        <w:tc>
          <w:tcPr>
            <w:tcW w:w="6500" w:type="dxa"/>
            <w:shd w:val="clear" w:color="auto" w:fill="auto"/>
          </w:tcPr>
          <w:p>
            <w:pPr>
              <w:autoSpaceDE w:val="0"/>
              <w:autoSpaceDN w:val="0"/>
              <w:adjustRightInd w:val="0"/>
              <w:spacing w:before="60" w:after="60" w:line="240" w:lineRule="auto"/>
              <w:rPr>
                <w:noProof/>
                <w:szCs w:val="24"/>
                <w:lang w:val="fr-FR"/>
              </w:rPr>
            </w:pPr>
            <w:r>
              <w:rPr>
                <w:noProof/>
                <w:lang w:val="fr-FR"/>
              </w:rPr>
              <w:t>1.</w:t>
            </w:r>
            <w:r>
              <w:rPr>
                <w:noProof/>
                <w:lang w:val="fr-FR"/>
              </w:rPr>
              <w:tab/>
              <w:t>Le Canada se réserve le droit d’adopter ou de maintenir une mesure accordant un traitement différencié en vertu de tout accord international bilatéral ou multilatéral en vigueur ou signé avant le 1</w:t>
            </w:r>
            <w:r>
              <w:rPr>
                <w:noProof/>
                <w:vertAlign w:val="superscript"/>
                <w:lang w:val="fr-FR"/>
              </w:rPr>
              <w:t xml:space="preserve">er </w:t>
            </w:r>
            <w:r>
              <w:rPr>
                <w:noProof/>
                <w:lang w:val="fr-FR"/>
              </w:rPr>
              <w:t>janvier 1994.</w:t>
            </w:r>
          </w:p>
          <w:p>
            <w:pPr>
              <w:autoSpaceDE w:val="0"/>
              <w:autoSpaceDN w:val="0"/>
              <w:adjustRightInd w:val="0"/>
              <w:spacing w:before="60" w:after="60" w:line="240" w:lineRule="auto"/>
              <w:rPr>
                <w:noProof/>
                <w:szCs w:val="24"/>
                <w:lang w:val="fr-FR"/>
              </w:rPr>
            </w:pPr>
            <w:r>
              <w:rPr>
                <w:noProof/>
                <w:lang w:val="fr-FR"/>
              </w:rPr>
              <w:t>2.</w:t>
            </w:r>
            <w:r>
              <w:rPr>
                <w:noProof/>
                <w:lang w:val="fr-FR"/>
              </w:rPr>
              <w:tab/>
              <w:t>Le Canada se réserve le droit d’adopter ou de maintenir une mesure accordant un traitement différencié en vertu de tout accord bilatéral ou multilatéral existant ou futur relatif aux domaines suivants :</w:t>
            </w:r>
          </w:p>
          <w:p>
            <w:pPr>
              <w:autoSpaceDE w:val="0"/>
              <w:autoSpaceDN w:val="0"/>
              <w:adjustRightInd w:val="0"/>
              <w:spacing w:before="60" w:after="60" w:line="240" w:lineRule="auto"/>
              <w:rPr>
                <w:noProof/>
                <w:szCs w:val="24"/>
                <w:lang w:val="fr-FR"/>
              </w:rPr>
            </w:pPr>
            <w:r>
              <w:rPr>
                <w:noProof/>
                <w:lang w:val="fr-FR"/>
              </w:rPr>
              <w:t>a)</w:t>
            </w:r>
            <w:r>
              <w:rPr>
                <w:noProof/>
                <w:lang w:val="fr-FR"/>
              </w:rPr>
              <w:tab/>
              <w:t>l’aviation;</w:t>
            </w:r>
          </w:p>
          <w:p>
            <w:pPr>
              <w:autoSpaceDE w:val="0"/>
              <w:autoSpaceDN w:val="0"/>
              <w:adjustRightInd w:val="0"/>
              <w:spacing w:before="60" w:after="60" w:line="240" w:lineRule="auto"/>
              <w:rPr>
                <w:noProof/>
                <w:szCs w:val="24"/>
                <w:lang w:val="fr-FR"/>
              </w:rPr>
            </w:pPr>
            <w:r>
              <w:rPr>
                <w:noProof/>
                <w:lang w:val="fr-FR"/>
              </w:rPr>
              <w:t>b)</w:t>
            </w:r>
            <w:r>
              <w:rPr>
                <w:noProof/>
                <w:lang w:val="fr-FR"/>
              </w:rPr>
              <w:tab/>
              <w:t>les pêches;</w:t>
            </w:r>
          </w:p>
          <w:p>
            <w:pPr>
              <w:autoSpaceDE w:val="0"/>
              <w:autoSpaceDN w:val="0"/>
              <w:adjustRightInd w:val="0"/>
              <w:spacing w:before="60" w:after="60" w:line="240" w:lineRule="auto"/>
              <w:ind w:hanging="686"/>
              <w:rPr>
                <w:noProof/>
                <w:szCs w:val="24"/>
                <w:lang w:val="fr-FR"/>
              </w:rPr>
            </w:pPr>
            <w:r>
              <w:rPr>
                <w:noProof/>
                <w:lang w:val="fr-FR"/>
              </w:rPr>
              <w:t>c)</w:t>
            </w:r>
            <w:r>
              <w:rPr>
                <w:noProof/>
                <w:lang w:val="fr-FR"/>
              </w:rPr>
              <w:tab/>
              <w:t>c)</w:t>
            </w:r>
            <w:r>
              <w:rPr>
                <w:noProof/>
                <w:lang w:val="fr-FR"/>
              </w:rPr>
              <w:tab/>
              <w:t>les affaires maritimes, y compris le sauvetage.</w:t>
            </w:r>
          </w:p>
        </w:tc>
      </w:tr>
      <w:tr>
        <w:tc>
          <w:tcPr>
            <w:tcW w:w="3000" w:type="dxa"/>
            <w:shd w:val="clear" w:color="auto" w:fill="auto"/>
          </w:tcPr>
          <w:p>
            <w:pPr>
              <w:autoSpaceDE w:val="0"/>
              <w:autoSpaceDN w:val="0"/>
              <w:adjustRightInd w:val="0"/>
              <w:spacing w:before="60" w:after="60" w:line="240" w:lineRule="auto"/>
              <w:rPr>
                <w:b/>
                <w:bCs/>
                <w:noProof/>
                <w:color w:val="000000"/>
                <w:lang w:val="fr-FR"/>
              </w:rPr>
            </w:pPr>
            <w:r>
              <w:rPr>
                <w:b/>
                <w:noProof/>
                <w:color w:val="000000"/>
                <w:lang w:val="fr-FR"/>
              </w:rPr>
              <w:t>Mesures existantes :</w:t>
            </w:r>
          </w:p>
        </w:tc>
        <w:tc>
          <w:tcPr>
            <w:tcW w:w="6500" w:type="dxa"/>
            <w:shd w:val="clear" w:color="auto" w:fill="auto"/>
          </w:tcPr>
          <w:p>
            <w:pPr>
              <w:autoSpaceDE w:val="0"/>
              <w:autoSpaceDN w:val="0"/>
              <w:adjustRightInd w:val="0"/>
              <w:spacing w:before="60" w:after="60" w:line="240" w:lineRule="auto"/>
              <w:rPr>
                <w:noProof/>
                <w:lang w:val="fr-FR"/>
              </w:rPr>
            </w:pPr>
          </w:p>
        </w:tc>
      </w:tr>
    </w:tbl>
    <w:p>
      <w:pPr>
        <w:spacing w:before="60" w:after="60" w:line="240" w:lineRule="auto"/>
        <w:rPr>
          <w:noProof/>
          <w:lang w:val="fr-FR"/>
        </w:rPr>
      </w:pPr>
    </w:p>
    <w:p>
      <w:pPr>
        <w:spacing w:before="60" w:after="60" w:line="240" w:lineRule="auto"/>
        <w:rPr>
          <w:noProof/>
          <w:lang w:val="fr-FR"/>
        </w:rPr>
      </w:pPr>
    </w:p>
    <w:sectPr>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7" w:h="16839"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Bold">
    <w:altName w:val="Trebuchet MS"/>
    <w:panose1 w:val="020B0703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EUAlbertina">
    <w:altName w:val="EU Alberti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739412"/>
      <w:docPartObj>
        <w:docPartGallery w:val="Page Numbers (Bottom of Page)"/>
        <w:docPartUnique/>
      </w:docPartObj>
    </w:sdtPr>
    <w:sdtEndPr>
      <w:rPr>
        <w:noProof/>
      </w:rPr>
    </w:sdtEndPr>
    <w:sdtContent>
      <w:p>
        <w:pPr>
          <w:pStyle w:val="Footer"/>
          <w:jc w:val="center"/>
        </w:pPr>
      </w:p>
      <w:p>
        <w:pPr>
          <w:pStyle w:val="Footer"/>
          <w:jc w:val="center"/>
          <w:rPr>
            <w:lang w:val="fr-BE"/>
          </w:rPr>
        </w:pPr>
        <w:r>
          <w:rPr>
            <w:lang w:val="fr-BE"/>
          </w:rPr>
          <w:t xml:space="preserve">EU/CA/R/Annexe II/fr </w:t>
        </w:r>
        <w:r>
          <w:fldChar w:fldCharType="begin"/>
        </w:r>
        <w:r>
          <w:rPr>
            <w:lang w:val="fr-BE"/>
          </w:rPr>
          <w:instrText xml:space="preserve"> PAGE   \* MERGEFORMAT </w:instrText>
        </w:r>
        <w:r>
          <w:fldChar w:fldCharType="separate"/>
        </w:r>
        <w:r>
          <w:rPr>
            <w:noProof/>
            <w:lang w:val="fr-BE"/>
          </w:rPr>
          <w:t>1</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493057"/>
      <w:docPartObj>
        <w:docPartGallery w:val="Page Numbers (Bottom of Page)"/>
        <w:docPartUnique/>
      </w:docPartObj>
    </w:sdtPr>
    <w:sdtEndPr>
      <w:rPr>
        <w:noProof/>
      </w:rPr>
    </w:sdtEndPr>
    <w:sdtContent>
      <w:p>
        <w:pPr>
          <w:pStyle w:val="Footer"/>
          <w:jc w:val="center"/>
        </w:pPr>
      </w:p>
      <w:p>
        <w:pPr>
          <w:pStyle w:val="Footer"/>
          <w:jc w:val="center"/>
          <w:rPr>
            <w:lang w:val="fr-BE"/>
          </w:rPr>
        </w:pPr>
        <w:r>
          <w:rPr>
            <w:lang w:val="fr-BE"/>
          </w:rPr>
          <w:t xml:space="preserve">EU/CA/R/Annexe II/fr </w:t>
        </w:r>
        <w:r>
          <w:fldChar w:fldCharType="begin"/>
        </w:r>
        <w:r>
          <w:rPr>
            <w:lang w:val="fr-BE"/>
          </w:rPr>
          <w:instrText xml:space="preserve"> PAGE   \* MERGEFORMAT </w:instrText>
        </w:r>
        <w:r>
          <w:fldChar w:fldCharType="separate"/>
        </w:r>
        <w:r>
          <w:rPr>
            <w:noProof/>
            <w:lang w:val="fr-BE"/>
          </w:rPr>
          <w:t>27</w:t>
        </w:r>
        <w:r>
          <w:rPr>
            <w:noProof/>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rPr>
          <w:lang w:val="fr-FR"/>
        </w:rPr>
      </w:pPr>
      <w:r>
        <w:rPr>
          <w:rStyle w:val="FootnoteReference"/>
        </w:rPr>
        <w:footnoteRef/>
      </w:r>
      <w:r>
        <w:rPr>
          <w:lang w:val="fr-FR"/>
        </w:rPr>
        <w:tab/>
        <w:t>Le Canada se réserve le droit de ne pas accorder ces avantages aux entreprises des États-Unis d’Amérique.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2DA2F6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B7426B6"/>
    <w:lvl w:ilvl="0">
      <w:start w:val="1"/>
      <w:numFmt w:val="decimal"/>
      <w:pStyle w:val="ListNumber3"/>
      <w:lvlText w:val="%1."/>
      <w:lvlJc w:val="left"/>
      <w:pPr>
        <w:tabs>
          <w:tab w:val="num" w:pos="926"/>
        </w:tabs>
        <w:ind w:left="926" w:hanging="360"/>
      </w:pPr>
    </w:lvl>
  </w:abstractNum>
  <w:abstractNum w:abstractNumId="3">
    <w:nsid w:val="FFFFFF7F"/>
    <w:multiLevelType w:val="singleLevel"/>
    <w:tmpl w:val="DE8663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748442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20C56E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63ED9C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8BEEC7E"/>
    <w:lvl w:ilvl="0">
      <w:start w:val="1"/>
      <w:numFmt w:val="decimal"/>
      <w:pStyle w:val="ListNumber"/>
      <w:lvlText w:val="%1."/>
      <w:lvlJc w:val="left"/>
      <w:pPr>
        <w:tabs>
          <w:tab w:val="num" w:pos="360"/>
        </w:tabs>
        <w:ind w:left="360" w:hanging="360"/>
      </w:pPr>
    </w:lvl>
  </w:abstractNum>
  <w:abstractNum w:abstractNumId="9">
    <w:nsid w:val="FFFFFF89"/>
    <w:multiLevelType w:val="singleLevel"/>
    <w:tmpl w:val="2E7832A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D26212"/>
    <w:multiLevelType w:val="multilevel"/>
    <w:tmpl w:val="537E8FF6"/>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0B5C0823"/>
    <w:multiLevelType w:val="multilevel"/>
    <w:tmpl w:val="990E35A0"/>
    <w:styleLink w:val="List0"/>
    <w:lvl w:ilvl="0">
      <w:start w:val="1"/>
      <w:numFmt w:val="decimal"/>
      <w:lvlText w:val="%1."/>
      <w:lvlJc w:val="left"/>
      <w:rPr>
        <w:rFonts w:ascii="Trebuchet MS Bold" w:eastAsia="Trebuchet MS Bold" w:hAnsi="Trebuchet MS Bold" w:cs="Trebuchet MS Bold"/>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2">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13">
    <w:nsid w:val="102226A5"/>
    <w:multiLevelType w:val="multilevel"/>
    <w:tmpl w:val="8A9646CE"/>
    <w:styleLink w:val="List21"/>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4">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5">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6">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9">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1">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22">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23">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4">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5">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6">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9">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3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1">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34136A7"/>
    <w:multiLevelType w:val="hybridMultilevel"/>
    <w:tmpl w:val="B30AFA5A"/>
    <w:styleLink w:val="List01"/>
    <w:lvl w:ilvl="0" w:tplc="08090017">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3">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4">
    <w:nsid w:val="59C35D6C"/>
    <w:multiLevelType w:val="multilevel"/>
    <w:tmpl w:val="7E3E732A"/>
    <w:styleLink w:val="List1"/>
    <w:lvl w:ilvl="0">
      <w:start w:val="1"/>
      <w:numFmt w:val="bullet"/>
      <w:lvlText w:val="-"/>
      <w:lvlJc w:val="left"/>
      <w:rPr>
        <w:rFonts w:ascii="Trebuchet MS" w:eastAsia="Trebuchet MS" w:hAnsi="Trebuchet MS" w:cs="Trebuchet MS"/>
        <w:position w:val="0"/>
      </w:rPr>
    </w:lvl>
    <w:lvl w:ilvl="1">
      <w:numFmt w:val="bullet"/>
      <w:lvlText w:val="o"/>
      <w:lvlJc w:val="left"/>
      <w:rPr>
        <w:rFonts w:ascii="Trebuchet MS Bold" w:eastAsia="Trebuchet MS Bold" w:hAnsi="Trebuchet MS Bold" w:cs="Trebuchet MS Bold"/>
        <w:position w:val="0"/>
      </w:rPr>
    </w:lvl>
    <w:lvl w:ilvl="2">
      <w:start w:val="1"/>
      <w:numFmt w:val="bullet"/>
      <w:lvlText w:val="▪"/>
      <w:lvlJc w:val="left"/>
      <w:rPr>
        <w:rFonts w:ascii="Trebuchet MS" w:eastAsia="Trebuchet MS" w:hAnsi="Trebuchet MS" w:cs="Trebuchet MS"/>
        <w:position w:val="0"/>
      </w:rPr>
    </w:lvl>
    <w:lvl w:ilvl="3">
      <w:start w:val="1"/>
      <w:numFmt w:val="bullet"/>
      <w:lvlText w:val="•"/>
      <w:lvlJc w:val="left"/>
      <w:rPr>
        <w:rFonts w:ascii="Trebuchet MS" w:eastAsia="Trebuchet MS" w:hAnsi="Trebuchet MS" w:cs="Trebuchet MS"/>
        <w:position w:val="0"/>
      </w:rPr>
    </w:lvl>
    <w:lvl w:ilvl="4">
      <w:start w:val="1"/>
      <w:numFmt w:val="bullet"/>
      <w:lvlText w:val="o"/>
      <w:lvlJc w:val="left"/>
      <w:rPr>
        <w:rFonts w:ascii="Trebuchet MS" w:eastAsia="Trebuchet MS" w:hAnsi="Trebuchet MS" w:cs="Trebuchet MS"/>
        <w:position w:val="0"/>
      </w:rPr>
    </w:lvl>
    <w:lvl w:ilvl="5">
      <w:start w:val="1"/>
      <w:numFmt w:val="bullet"/>
      <w:lvlText w:val="▪"/>
      <w:lvlJc w:val="left"/>
      <w:rPr>
        <w:rFonts w:ascii="Trebuchet MS" w:eastAsia="Trebuchet MS" w:hAnsi="Trebuchet MS" w:cs="Trebuchet MS"/>
        <w:position w:val="0"/>
      </w:rPr>
    </w:lvl>
    <w:lvl w:ilvl="6">
      <w:start w:val="1"/>
      <w:numFmt w:val="bullet"/>
      <w:lvlText w:val="•"/>
      <w:lvlJc w:val="left"/>
      <w:rPr>
        <w:rFonts w:ascii="Trebuchet MS" w:eastAsia="Trebuchet MS" w:hAnsi="Trebuchet MS" w:cs="Trebuchet MS"/>
        <w:position w:val="0"/>
      </w:rPr>
    </w:lvl>
    <w:lvl w:ilvl="7">
      <w:start w:val="1"/>
      <w:numFmt w:val="bullet"/>
      <w:lvlText w:val="o"/>
      <w:lvlJc w:val="left"/>
      <w:rPr>
        <w:rFonts w:ascii="Trebuchet MS" w:eastAsia="Trebuchet MS" w:hAnsi="Trebuchet MS" w:cs="Trebuchet MS"/>
        <w:position w:val="0"/>
      </w:rPr>
    </w:lvl>
    <w:lvl w:ilvl="8">
      <w:start w:val="1"/>
      <w:numFmt w:val="bullet"/>
      <w:lvlText w:val="▪"/>
      <w:lvlJc w:val="left"/>
      <w:rPr>
        <w:rFonts w:ascii="Trebuchet MS" w:eastAsia="Trebuchet MS" w:hAnsi="Trebuchet MS" w:cs="Trebuchet MS"/>
        <w:position w:val="0"/>
      </w:rPr>
    </w:lvl>
  </w:abstractNum>
  <w:abstractNum w:abstractNumId="35">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6">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8">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1">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43">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44">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5">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46">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2"/>
  </w:num>
  <w:num w:numId="2">
    <w:abstractNumId w:val="25"/>
  </w:num>
  <w:num w:numId="3">
    <w:abstractNumId w:val="45"/>
  </w:num>
  <w:num w:numId="4">
    <w:abstractNumId w:val="15"/>
  </w:num>
  <w:num w:numId="5">
    <w:abstractNumId w:val="29"/>
  </w:num>
  <w:num w:numId="6">
    <w:abstractNumId w:val="23"/>
  </w:num>
  <w:num w:numId="7">
    <w:abstractNumId w:val="26"/>
  </w:num>
  <w:num w:numId="8">
    <w:abstractNumId w:val="43"/>
  </w:num>
  <w:num w:numId="9">
    <w:abstractNumId w:val="21"/>
  </w:num>
  <w:num w:numId="10">
    <w:abstractNumId w:val="12"/>
  </w:num>
  <w:num w:numId="11">
    <w:abstractNumId w:val="16"/>
  </w:num>
  <w:num w:numId="12">
    <w:abstractNumId w:val="16"/>
  </w:num>
  <w:num w:numId="13">
    <w:abstractNumId w:val="16"/>
  </w:num>
  <w:num w:numId="14">
    <w:abstractNumId w:val="16"/>
  </w:num>
  <w:num w:numId="15">
    <w:abstractNumId w:val="9"/>
  </w:num>
  <w:num w:numId="16">
    <w:abstractNumId w:val="7"/>
  </w:num>
  <w:num w:numId="17">
    <w:abstractNumId w:val="6"/>
  </w:num>
  <w:num w:numId="18">
    <w:abstractNumId w:val="5"/>
  </w:num>
  <w:num w:numId="19">
    <w:abstractNumId w:val="8"/>
  </w:num>
  <w:num w:numId="20">
    <w:abstractNumId w:val="3"/>
  </w:num>
  <w:num w:numId="21">
    <w:abstractNumId w:val="2"/>
  </w:num>
  <w:num w:numId="22">
    <w:abstractNumId w:val="1"/>
  </w:num>
  <w:num w:numId="23">
    <w:abstractNumId w:val="32"/>
  </w:num>
  <w:num w:numId="24">
    <w:abstractNumId w:val="39"/>
  </w:num>
  <w:num w:numId="25">
    <w:abstractNumId w:val="11"/>
  </w:num>
  <w:num w:numId="26">
    <w:abstractNumId w:val="13"/>
  </w:num>
  <w:num w:numId="27">
    <w:abstractNumId w:val="10"/>
  </w:num>
  <w:num w:numId="28">
    <w:abstractNumId w:val="4"/>
  </w:num>
  <w:num w:numId="29">
    <w:abstractNumId w:val="0"/>
  </w:num>
  <w:num w:numId="30">
    <w:abstractNumId w:val="24"/>
  </w:num>
  <w:num w:numId="31">
    <w:abstractNumId w:val="41"/>
  </w:num>
  <w:num w:numId="32">
    <w:abstractNumId w:val="40"/>
  </w:num>
  <w:num w:numId="33">
    <w:abstractNumId w:val="44"/>
  </w:num>
  <w:num w:numId="34">
    <w:abstractNumId w:val="18"/>
  </w:num>
  <w:num w:numId="35">
    <w:abstractNumId w:val="31"/>
  </w:num>
  <w:num w:numId="36">
    <w:abstractNumId w:val="34"/>
  </w:num>
  <w:num w:numId="37">
    <w:abstractNumId w:val="37"/>
  </w:num>
  <w:num w:numId="38">
    <w:abstractNumId w:val="27"/>
  </w:num>
  <w:num w:numId="39">
    <w:abstractNumId w:val="42"/>
  </w:num>
  <w:num w:numId="40">
    <w:abstractNumId w:val="20"/>
  </w:num>
  <w:num w:numId="41">
    <w:abstractNumId w:val="28"/>
  </w:num>
  <w:num w:numId="42">
    <w:abstractNumId w:val="17"/>
  </w:num>
  <w:num w:numId="43">
    <w:abstractNumId w:val="38"/>
  </w:num>
  <w:num w:numId="44">
    <w:abstractNumId w:val="14"/>
  </w:num>
  <w:num w:numId="45">
    <w:abstractNumId w:val="30"/>
  </w:num>
  <w:num w:numId="46">
    <w:abstractNumId w:val="35"/>
  </w:num>
  <w:num w:numId="47">
    <w:abstractNumId w:val="36"/>
  </w:num>
  <w:num w:numId="48">
    <w:abstractNumId w:val="19"/>
  </w:num>
  <w:num w:numId="49">
    <w:abstractNumId w:val="33"/>
  </w:num>
  <w:num w:numId="50">
    <w:abstractNumId w:val="4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nb-NO"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Num" w:val="0"/>
    <w:docVar w:name="COVERPAGE_EXISTS" w:val="True"/>
    <w:docVar w:name="DocStatus" w:val="Green"/>
    <w:docVar w:name="DW_DocType" w:val="_GENEN"/>
    <w:docVar w:name="FigNum" w:val="1"/>
    <w:docVar w:name="LW_ACCOMPAGNANT.CP" w:val="à la"/>
    <w:docVar w:name="LW_ANNEX_NBR_FIRST" w:val="9"/>
    <w:docVar w:name="LW_ANNEX_NBR_LAST" w:val="9"/>
    <w:docVar w:name="LW_CONFIDENCE" w:val=" "/>
    <w:docVar w:name="LW_CONST_RESTREINT_UE" w:val="RESTREINT UE"/>
    <w:docVar w:name="LW_CORRIGENDUM" w:val="&lt;UNUSED&gt;"/>
    <w:docVar w:name="LW_COVERPAGE_GUID" w:val="E03CA71D6AD24AD79484E7D96F602025"/>
    <w:docVar w:name="LW_CROSSREFERENCE" w:val="&lt;UNUSED&gt;"/>
    <w:docVar w:name="LW_DocType" w:val="_GENEN"/>
    <w:docVar w:name="LW_EMISSION" w:val="5.7.2016"/>
    <w:docVar w:name="LW_EMISSION_ISODATE" w:val="2016-07-05"/>
    <w:docVar w:name="LW_EMISSION_LOCATION" w:val="STR"/>
    <w:docVar w:name="LW_EMISSION_PREFIX" w:val="Strasbourg, le "/>
    <w:docVar w:name="LW_EMISSION_SUFFIX" w:val=" "/>
    <w:docVar w:name="LW_ID_DOCTYPE_NONLW" w:val="CP-036"/>
    <w:docVar w:name="LW_LANGUE" w:val="FR"/>
    <w:docVar w:name="LW_MARKING" w:val="&lt;UNUSED&gt;"/>
    <w:docVar w:name="LW_NOM.INST" w:val="COMMISSION EUROPÉENNE"/>
    <w:docVar w:name="LW_NOM.INST_JOINTDOC" w:val="&lt;EMPTY&gt;"/>
    <w:docVar w:name="LW_OBJETACTEPRINCIPAL.CP" w:val="relative à la conclusion de l\u8217?accord économique et commercial global entre le Canada, d\u8217?une part, et l\u8217?Union européenne et ses États membres, d\u8217?autre part_x000b_"/>
    <w:docVar w:name="LW_PART_NBR" w:val="1"/>
    <w:docVar w:name="LW_PART_NBR_TOTAL" w:val="3"/>
    <w:docVar w:name="LW_REF.INST.NEW" w:val="COM"/>
    <w:docVar w:name="LW_REF.INST.NEW_ADOPTED" w:val="final"/>
    <w:docVar w:name="LW_REF.INST.NEW_TEXT" w:val="(2016) 443"/>
    <w:docVar w:name="LW_REF.INTERNE" w:val="&lt;UNUSED&gt;"/>
    <w:docVar w:name="LW_SUPERTITRE" w:val="&lt;UNUSED&gt;"/>
    <w:docVar w:name="LW_TITRE.OBJ.CP" w:val="&lt;UNUSED&gt;"/>
    <w:docVar w:name="LW_TYPE.DOC.CP" w:val="ANNEXE_x000b_"/>
    <w:docVar w:name="LW_TYPEACTEPRINCIPAL.CP" w:val="proposition de décision du Conseil"/>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0" w:qFormat="1"/>
    <w:lsdException w:name="table of figures" w:uiPriority="0"/>
    <w:lsdException w:name="envelope address" w:uiPriority="0"/>
    <w:lsdException w:name="envelope return"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uiPriority w:val="9"/>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uiPriority w:val="99"/>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character" w:customStyle="1" w:styleId="Heading5Char">
    <w:name w:val="Heading 5 Char"/>
    <w:basedOn w:val="DefaultParagraphFont"/>
    <w:link w:val="Heading5"/>
    <w:uiPriority w:val="9"/>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nhideWhenUsed/>
    <w:pPr>
      <w:widowControl/>
      <w:spacing w:before="120" w:line="240" w:lineRule="auto"/>
      <w:jc w:val="both"/>
    </w:pPr>
    <w:rPr>
      <w:rFonts w:eastAsiaTheme="minorHAnsi"/>
      <w:szCs w:val="22"/>
      <w:lang w:eastAsia="en-US"/>
    </w:rPr>
  </w:style>
  <w:style w:type="paragraph" w:styleId="ListBullet">
    <w:name w:val="List Bullet"/>
    <w:basedOn w:val="Normal"/>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rPr>
      <w:rFonts w:ascii="Tahoma" w:hAnsi="Tahoma" w:cs="Tahoma"/>
      <w:sz w:val="16"/>
      <w:szCs w:val="16"/>
      <w:lang w:eastAsia="fr-BE"/>
    </w:rPr>
  </w:style>
  <w:style w:type="paragraph" w:styleId="BodyText">
    <w:name w:val="Body Text"/>
    <w:aliases w:val="Texto independiente Car,Car1 Car, Car1 Car"/>
    <w:basedOn w:val="Normal"/>
    <w:link w:val="BodyTextChar"/>
    <w:uiPriority w:val="99"/>
    <w:pPr>
      <w:widowControl/>
      <w:suppressAutoHyphens/>
      <w:spacing w:before="120" w:after="120" w:line="240" w:lineRule="auto"/>
      <w:jc w:val="both"/>
    </w:pPr>
    <w:rPr>
      <w:rFonts w:eastAsia="Batang"/>
      <w:kern w:val="1"/>
      <w:lang w:eastAsia="ar-SA"/>
    </w:rPr>
  </w:style>
  <w:style w:type="character" w:customStyle="1" w:styleId="BodyTextChar">
    <w:name w:val="Body Text Char"/>
    <w:aliases w:val="Texto independiente Car Char,Car1 Car Char, Car1 Car Char"/>
    <w:basedOn w:val="DefaultParagraphFont"/>
    <w:link w:val="BodyText"/>
    <w:uiPriority w:val="99"/>
    <w:rPr>
      <w:rFonts w:eastAsia="Batang"/>
      <w:kern w:val="1"/>
      <w:sz w:val="24"/>
      <w:lang w:eastAsia="ar-SA"/>
    </w:rPr>
  </w:style>
  <w:style w:type="character" w:customStyle="1" w:styleId="ManualNumPar1Char">
    <w:name w:val="Manual NumPar 1 Char"/>
    <w:locked/>
    <w:rPr>
      <w:rFonts w:ascii="Times New Roman" w:hAnsi="Times New Roman" w:cs="Times New Roman"/>
      <w:sz w:val="24"/>
      <w:lang w:val="en-GB"/>
    </w:rPr>
  </w:style>
  <w:style w:type="character" w:customStyle="1" w:styleId="Text1Char">
    <w:name w:val="Text 1 Char"/>
    <w:rPr>
      <w:rFonts w:ascii="Times New Roman" w:hAnsi="Times New Roman" w:cs="Times New Roman"/>
      <w:sz w:val="24"/>
      <w:lang w:val="en-GB"/>
    </w:rPr>
  </w:style>
  <w:style w:type="paragraph" w:customStyle="1" w:styleId="Annexetitreacte">
    <w:name w:val="Annexe titre (acte)"/>
    <w:basedOn w:val="Normal"/>
    <w:next w:val="Normal"/>
    <w:pPr>
      <w:widowControl/>
      <w:spacing w:before="120" w:after="120" w:line="240" w:lineRule="auto"/>
      <w:jc w:val="center"/>
    </w:pPr>
    <w:rPr>
      <w:b/>
      <w:bCs/>
      <w:szCs w:val="24"/>
      <w:u w:val="single"/>
      <w:lang w:eastAsia="de-DE"/>
    </w:rPr>
  </w:style>
  <w:style w:type="paragraph" w:styleId="ListParagraph">
    <w:name w:val="List Paragraph"/>
    <w:basedOn w:val="Normal"/>
    <w:uiPriority w:val="34"/>
    <w:qFormat/>
    <w:pPr>
      <w:widowControl/>
      <w:spacing w:after="200" w:line="276" w:lineRule="auto"/>
      <w:ind w:left="720"/>
      <w:contextualSpacing/>
    </w:pPr>
    <w:rPr>
      <w:rFonts w:asciiTheme="minorHAnsi" w:eastAsiaTheme="minorHAnsi" w:hAnsiTheme="minorHAnsi" w:cstheme="minorBidi"/>
      <w:sz w:val="22"/>
      <w:szCs w:val="22"/>
      <w:lang w:val="en-CA" w:eastAsia="en-US"/>
    </w:rPr>
  </w:style>
  <w:style w:type="numbering" w:customStyle="1" w:styleId="NoList1">
    <w:name w:val="No List1"/>
    <w:next w:val="NoList"/>
    <w:uiPriority w:val="99"/>
    <w:semiHidden/>
    <w:unhideWhenUsed/>
  </w:style>
  <w:style w:type="paragraph" w:customStyle="1" w:styleId="Car">
    <w:name w:val="Car"/>
    <w:basedOn w:val="Normal"/>
    <w:uiPriority w:val="99"/>
    <w:pPr>
      <w:widowControl/>
      <w:spacing w:line="240" w:lineRule="auto"/>
    </w:pPr>
    <w:rPr>
      <w:szCs w:val="24"/>
      <w:lang w:val="pl-PL" w:eastAsia="pl-PL"/>
    </w:rPr>
  </w:style>
  <w:style w:type="paragraph" w:customStyle="1" w:styleId="Blockquote">
    <w:name w:val="Blockquote"/>
    <w:basedOn w:val="Normal"/>
    <w:uiPriority w:val="99"/>
    <w:pPr>
      <w:widowControl/>
      <w:pBdr>
        <w:top w:val="dashSmallGap" w:sz="6" w:space="7" w:color="DDDDDD"/>
        <w:left w:val="dashSmallGap" w:sz="6" w:space="7" w:color="DDDDDD"/>
        <w:bottom w:val="dashSmallGap" w:sz="6" w:space="7" w:color="DDDDDD"/>
        <w:right w:val="dashSmallGap" w:sz="6" w:space="7" w:color="DDDDDD"/>
      </w:pBdr>
      <w:shd w:val="solid" w:color="FFFFFF" w:fill="auto"/>
      <w:spacing w:line="240" w:lineRule="auto"/>
    </w:pPr>
    <w:rPr>
      <w:rFonts w:ascii="Verdana" w:hAnsi="Verdana" w:cs="Verdana"/>
      <w:sz w:val="20"/>
      <w:szCs w:val="24"/>
      <w:bdr w:val="dashSmallGap" w:sz="6" w:space="0" w:color="DDDDDD"/>
      <w:shd w:val="solid" w:color="FFFFFF" w:fill="auto"/>
      <w:lang w:val="ru-RU" w:eastAsia="ru-RU"/>
    </w:rPr>
  </w:style>
  <w:style w:type="paragraph" w:customStyle="1" w:styleId="Preformatted">
    <w:name w:val="Preformatted"/>
    <w:basedOn w:val="Normal"/>
    <w:uiPriority w:val="99"/>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sz w:val="20"/>
      <w:lang w:val="es-GT" w:eastAsia="en-US"/>
    </w:rPr>
  </w:style>
  <w:style w:type="character" w:customStyle="1" w:styleId="Point1Char">
    <w:name w:val="Point 1 Char"/>
    <w:basedOn w:val="DefaultParagraphFont"/>
    <w:uiPriority w:val="99"/>
    <w:locked/>
    <w:rPr>
      <w:rFonts w:ascii="Times New Roman" w:hAnsi="Times New Roman" w:cs="Times New Roman"/>
      <w:sz w:val="24"/>
      <w:lang w:val="en-GB"/>
    </w:rPr>
  </w:style>
  <w:style w:type="paragraph" w:customStyle="1" w:styleId="ListDash">
    <w:name w:val="List Dash"/>
    <w:basedOn w:val="Normal"/>
    <w:pPr>
      <w:widowControl/>
      <w:numPr>
        <w:numId w:val="24"/>
      </w:numPr>
      <w:spacing w:after="240" w:line="240" w:lineRule="auto"/>
      <w:jc w:val="both"/>
    </w:pPr>
    <w:rPr>
      <w:lang w:eastAsia="en-US"/>
    </w:rPr>
  </w:style>
  <w:style w:type="character" w:styleId="Strong">
    <w:name w:val="Strong"/>
    <w:basedOn w:val="DefaultParagraphFont"/>
    <w:uiPriority w:val="22"/>
    <w:qFormat/>
    <w:rPr>
      <w:rFonts w:cs="Times New Roman"/>
      <w:b/>
      <w:bCs/>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H5">
    <w:name w:val="H5"/>
    <w:basedOn w:val="Normal"/>
    <w:next w:val="Normal"/>
    <w:uiPriority w:val="99"/>
    <w:pPr>
      <w:keepNext/>
      <w:widowControl/>
      <w:spacing w:before="100" w:after="100" w:line="240" w:lineRule="auto"/>
      <w:outlineLvl w:val="5"/>
    </w:pPr>
    <w:rPr>
      <w:b/>
      <w:bCs/>
      <w:sz w:val="20"/>
      <w:lang w:val="es-GT" w:eastAsia="en-US"/>
    </w:rPr>
  </w:style>
  <w:style w:type="paragraph" w:styleId="DocumentMap">
    <w:name w:val="Document Map"/>
    <w:basedOn w:val="Normal"/>
    <w:link w:val="DocumentMapChar"/>
    <w:pPr>
      <w:widowControl/>
      <w:shd w:val="clear" w:color="auto" w:fill="000080"/>
      <w:spacing w:line="240" w:lineRule="auto"/>
    </w:pPr>
    <w:rPr>
      <w:rFonts w:ascii="Tahoma" w:hAnsi="Tahoma" w:cs="Tahoma"/>
      <w:szCs w:val="24"/>
      <w:lang w:eastAsia="en-GB"/>
    </w:rPr>
  </w:style>
  <w:style w:type="character" w:customStyle="1" w:styleId="DocumentMapChar">
    <w:name w:val="Document Map Char"/>
    <w:basedOn w:val="DefaultParagraphFont"/>
    <w:link w:val="DocumentMap"/>
    <w:rPr>
      <w:rFonts w:ascii="Tahoma" w:hAnsi="Tahoma" w:cs="Tahoma"/>
      <w:sz w:val="24"/>
      <w:szCs w:val="24"/>
      <w:shd w:val="clear" w:color="auto" w:fill="000080"/>
    </w:rPr>
  </w:style>
  <w:style w:type="paragraph" w:styleId="Revision">
    <w:name w:val="Revision"/>
    <w:hidden/>
    <w:uiPriority w:val="99"/>
    <w:semiHidden/>
    <w:rPr>
      <w:sz w:val="24"/>
      <w:szCs w:val="24"/>
    </w:rPr>
  </w:style>
  <w:style w:type="character" w:styleId="Emphasis">
    <w:name w:val="Emphasis"/>
    <w:basedOn w:val="DefaultParagraphFont"/>
    <w:qFormat/>
    <w:rPr>
      <w:i/>
      <w:iCs/>
    </w:rPr>
  </w:style>
  <w:style w:type="numbering" w:customStyle="1" w:styleId="List0">
    <w:name w:val="List 0"/>
    <w:basedOn w:val="NoList"/>
    <w:pPr>
      <w:numPr>
        <w:numId w:val="25"/>
      </w:numPr>
    </w:pPr>
  </w:style>
  <w:style w:type="numbering" w:customStyle="1" w:styleId="List21">
    <w:name w:val="List 21"/>
    <w:basedOn w:val="NoList"/>
    <w:pPr>
      <w:numPr>
        <w:numId w:val="26"/>
      </w:numPr>
    </w:pPr>
  </w:style>
  <w:style w:type="numbering" w:customStyle="1" w:styleId="List31">
    <w:name w:val="List 31"/>
    <w:basedOn w:val="NoList"/>
    <w:pPr>
      <w:numPr>
        <w:numId w:val="27"/>
      </w:numPr>
    </w:pPr>
  </w:style>
  <w:style w:type="character" w:styleId="FollowedHyperlink">
    <w:name w:val="FollowedHyperlink"/>
    <w:basedOn w:val="DefaultParagraphFont"/>
    <w:unhideWhenUsed/>
    <w:rPr>
      <w:color w:val="800080"/>
      <w:u w:val="single"/>
    </w:rPr>
  </w:style>
  <w:style w:type="paragraph" w:customStyle="1" w:styleId="xl65">
    <w:name w:val="xl65"/>
    <w:basedOn w:val="Normal"/>
    <w:pPr>
      <w:widowControl/>
      <w:pBdr>
        <w:top w:val="single" w:sz="8" w:space="0" w:color="D4D4D4"/>
        <w:left w:val="single" w:sz="8" w:space="0" w:color="D4D4D4"/>
        <w:bottom w:val="single" w:sz="8" w:space="0" w:color="D4D4D4"/>
        <w:right w:val="single" w:sz="8" w:space="0" w:color="D4D4D4"/>
      </w:pBdr>
      <w:spacing w:before="100" w:beforeAutospacing="1" w:after="100" w:afterAutospacing="1" w:line="240" w:lineRule="auto"/>
      <w:jc w:val="center"/>
      <w:textAlignment w:val="center"/>
    </w:pPr>
    <w:rPr>
      <w:color w:val="222222"/>
      <w:szCs w:val="24"/>
      <w:lang w:eastAsia="en-GB"/>
    </w:rPr>
  </w:style>
  <w:style w:type="paragraph" w:customStyle="1" w:styleId="xl66">
    <w:name w:val="xl66"/>
    <w:basedOn w:val="Normal"/>
    <w:pPr>
      <w:widowControl/>
      <w:pBdr>
        <w:top w:val="single" w:sz="8" w:space="0" w:color="D4D4D4"/>
        <w:bottom w:val="single" w:sz="8" w:space="0" w:color="D4D4D4"/>
        <w:right w:val="single" w:sz="8" w:space="0" w:color="D4D4D4"/>
      </w:pBdr>
      <w:spacing w:before="100" w:beforeAutospacing="1" w:after="100" w:afterAutospacing="1" w:line="240" w:lineRule="auto"/>
      <w:jc w:val="center"/>
      <w:textAlignment w:val="center"/>
    </w:pPr>
    <w:rPr>
      <w:color w:val="222222"/>
      <w:szCs w:val="24"/>
      <w:lang w:eastAsia="en-GB"/>
    </w:rPr>
  </w:style>
  <w:style w:type="paragraph" w:customStyle="1" w:styleId="xl67">
    <w:name w:val="xl67"/>
    <w:basedOn w:val="Normal"/>
    <w:pPr>
      <w:widowControl/>
      <w:spacing w:before="100" w:beforeAutospacing="1" w:after="100" w:afterAutospacing="1" w:line="240" w:lineRule="auto"/>
      <w:textAlignment w:val="top"/>
    </w:pPr>
    <w:rPr>
      <w:szCs w:val="24"/>
      <w:lang w:eastAsia="en-GB"/>
    </w:rPr>
  </w:style>
  <w:style w:type="paragraph" w:customStyle="1" w:styleId="xl68">
    <w:name w:val="xl68"/>
    <w:basedOn w:val="Normal"/>
    <w:pPr>
      <w:widowControl/>
      <w:spacing w:before="100" w:beforeAutospacing="1" w:after="100" w:afterAutospacing="1" w:line="240" w:lineRule="auto"/>
      <w:textAlignment w:val="top"/>
    </w:pPr>
    <w:rPr>
      <w:szCs w:val="24"/>
      <w:lang w:eastAsia="en-GB"/>
    </w:rPr>
  </w:style>
  <w:style w:type="paragraph" w:customStyle="1" w:styleId="xl69">
    <w:name w:val="xl69"/>
    <w:basedOn w:val="Normal"/>
    <w:pPr>
      <w:widowControl/>
      <w:spacing w:before="100" w:beforeAutospacing="1" w:after="100" w:afterAutospacing="1" w:line="240" w:lineRule="auto"/>
      <w:jc w:val="center"/>
      <w:textAlignment w:val="top"/>
    </w:pPr>
    <w:rPr>
      <w:szCs w:val="24"/>
      <w:lang w:eastAsia="en-GB"/>
    </w:rPr>
  </w:style>
  <w:style w:type="paragraph" w:customStyle="1" w:styleId="xl70">
    <w:name w:val="xl70"/>
    <w:basedOn w:val="Normal"/>
    <w:pPr>
      <w:widowControl/>
      <w:spacing w:before="100" w:beforeAutospacing="1" w:after="100" w:afterAutospacing="1" w:line="240" w:lineRule="auto"/>
      <w:jc w:val="center"/>
    </w:pPr>
    <w:rPr>
      <w:szCs w:val="24"/>
      <w:lang w:eastAsia="en-GB"/>
    </w:rPr>
  </w:style>
  <w:style w:type="paragraph" w:customStyle="1" w:styleId="xl71">
    <w:name w:val="xl71"/>
    <w:basedOn w:val="Normal"/>
    <w:pPr>
      <w:widowControl/>
      <w:spacing w:before="100" w:beforeAutospacing="1" w:after="100" w:afterAutospacing="1" w:line="240" w:lineRule="auto"/>
      <w:jc w:val="center"/>
      <w:textAlignment w:val="top"/>
    </w:pPr>
    <w:rPr>
      <w:szCs w:val="24"/>
      <w:lang w:eastAsia="en-GB"/>
    </w:rPr>
  </w:style>
  <w:style w:type="paragraph" w:customStyle="1" w:styleId="xl72">
    <w:name w:val="xl72"/>
    <w:basedOn w:val="Normal"/>
    <w:pPr>
      <w:widowControl/>
      <w:spacing w:before="100" w:beforeAutospacing="1" w:after="100" w:afterAutospacing="1" w:line="240" w:lineRule="auto"/>
      <w:jc w:val="center"/>
      <w:textAlignment w:val="top"/>
    </w:pPr>
    <w:rPr>
      <w:rFonts w:ascii="Arial" w:hAnsi="Arial" w:cs="Arial"/>
      <w:szCs w:val="24"/>
      <w:lang w:eastAsia="en-GB"/>
    </w:rPr>
  </w:style>
  <w:style w:type="paragraph" w:customStyle="1" w:styleId="xl73">
    <w:name w:val="xl73"/>
    <w:basedOn w:val="Normal"/>
    <w:pPr>
      <w:widowControl/>
      <w:spacing w:before="100" w:beforeAutospacing="1" w:after="100" w:afterAutospacing="1" w:line="240" w:lineRule="auto"/>
      <w:jc w:val="center"/>
      <w:textAlignment w:val="top"/>
    </w:pPr>
    <w:rPr>
      <w:rFonts w:ascii="Arial" w:hAnsi="Arial" w:cs="Arial"/>
      <w:szCs w:val="24"/>
      <w:lang w:eastAsia="en-GB"/>
    </w:rPr>
  </w:style>
  <w:style w:type="paragraph" w:customStyle="1" w:styleId="xl74">
    <w:name w:val="xl74"/>
    <w:basedOn w:val="Normal"/>
    <w:pPr>
      <w:widowControl/>
      <w:spacing w:before="100" w:beforeAutospacing="1" w:after="100" w:afterAutospacing="1" w:line="240" w:lineRule="auto"/>
      <w:textAlignment w:val="top"/>
    </w:pPr>
    <w:rPr>
      <w:rFonts w:ascii="Arial" w:hAnsi="Arial" w:cs="Arial"/>
      <w:szCs w:val="24"/>
      <w:lang w:eastAsia="en-GB"/>
    </w:rPr>
  </w:style>
  <w:style w:type="paragraph" w:customStyle="1" w:styleId="font5">
    <w:name w:val="font5"/>
    <w:basedOn w:val="Normal"/>
    <w:pPr>
      <w:widowControl/>
      <w:spacing w:before="100" w:beforeAutospacing="1" w:after="100" w:afterAutospacing="1" w:line="240" w:lineRule="auto"/>
    </w:pPr>
    <w:rPr>
      <w:rFonts w:ascii="Arial" w:hAnsi="Arial" w:cs="Arial"/>
      <w:color w:val="000000"/>
      <w:sz w:val="20"/>
      <w:lang w:eastAsia="en-GB"/>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0"/>
      <w:lang w:eastAsia="en-GB"/>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color w:val="000000"/>
      <w:sz w:val="20"/>
      <w:lang w:eastAsia="en-GB"/>
    </w:rPr>
  </w:style>
  <w:style w:type="paragraph" w:customStyle="1" w:styleId="xl77">
    <w:name w:val="xl77"/>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color w:val="000000"/>
      <w:sz w:val="20"/>
      <w:lang w:eastAsia="en-GB"/>
    </w:rPr>
  </w:style>
  <w:style w:type="paragraph" w:customStyle="1" w:styleId="xl78">
    <w:name w:val="xl78"/>
    <w:basedOn w:val="Normal"/>
    <w:pPr>
      <w:widowControl/>
      <w:spacing w:before="100" w:beforeAutospacing="1" w:after="100" w:afterAutospacing="1" w:line="240" w:lineRule="auto"/>
      <w:jc w:val="right"/>
    </w:pPr>
    <w:rPr>
      <w:rFonts w:ascii="Arial" w:hAnsi="Arial" w:cs="Arial"/>
      <w:b/>
      <w:bCs/>
      <w:sz w:val="20"/>
      <w:lang w:eastAsia="en-GB"/>
    </w:rPr>
  </w:style>
  <w:style w:type="paragraph" w:customStyle="1" w:styleId="xl79">
    <w:name w:val="xl79"/>
    <w:basedOn w:val="Normal"/>
    <w:pPr>
      <w:widowControl/>
      <w:spacing w:before="100" w:beforeAutospacing="1" w:after="100" w:afterAutospacing="1" w:line="240" w:lineRule="auto"/>
    </w:pPr>
    <w:rPr>
      <w:rFonts w:ascii="Arial" w:hAnsi="Arial" w:cs="Arial"/>
      <w:b/>
      <w:bCs/>
      <w:color w:val="000000"/>
      <w:sz w:val="20"/>
      <w:lang w:eastAsia="en-GB"/>
    </w:rPr>
  </w:style>
  <w:style w:type="paragraph" w:customStyle="1" w:styleId="xl80">
    <w:name w:val="xl80"/>
    <w:basedOn w:val="Normal"/>
    <w:pPr>
      <w:widowControl/>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1">
    <w:name w:val="xl81"/>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2">
    <w:name w:val="xl82"/>
    <w:basedOn w:val="Normal"/>
    <w:pPr>
      <w:widowControl/>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numbering" w:customStyle="1" w:styleId="NoList2">
    <w:name w:val="No List2"/>
    <w:next w:val="NoList"/>
    <w:uiPriority w:val="99"/>
    <w:semiHidden/>
    <w:unhideWhenUsed/>
  </w:style>
  <w:style w:type="character" w:customStyle="1" w:styleId="WW8Num1z0">
    <w:name w:val="WW8Num1z0"/>
    <w:rPr>
      <w:sz w:val="24"/>
      <w:szCs w:val="24"/>
    </w:rPr>
  </w:style>
  <w:style w:type="character" w:customStyle="1" w:styleId="WW8Num2z0">
    <w:name w:val="WW8Num2z0"/>
    <w:rPr>
      <w:sz w:val="24"/>
      <w:szCs w:val="24"/>
    </w:rPr>
  </w:style>
  <w:style w:type="character" w:customStyle="1" w:styleId="WW8Num4z0">
    <w:name w:val="WW8Num4z0"/>
    <w:rPr>
      <w:sz w:val="24"/>
      <w:szCs w:val="24"/>
    </w:rPr>
  </w:style>
  <w:style w:type="character" w:customStyle="1" w:styleId="WW8Num5z0">
    <w:name w:val="WW8Num5z0"/>
    <w:rPr>
      <w:sz w:val="24"/>
      <w:szCs w:val="24"/>
    </w:rPr>
  </w:style>
  <w:style w:type="character" w:customStyle="1" w:styleId="WW8Num6z0">
    <w:name w:val="WW8Num6z0"/>
    <w:rPr>
      <w:sz w:val="24"/>
      <w:szCs w:val="24"/>
    </w:rPr>
  </w:style>
  <w:style w:type="character" w:customStyle="1" w:styleId="WW8Num7z0">
    <w:name w:val="WW8Num7z0"/>
    <w:rPr>
      <w:sz w:val="24"/>
      <w:szCs w:val="24"/>
    </w:rPr>
  </w:style>
  <w:style w:type="character" w:customStyle="1" w:styleId="WW8Num9z0">
    <w:name w:val="WW8Num9z0"/>
    <w:rPr>
      <w:sz w:val="24"/>
      <w:szCs w:val="24"/>
    </w:rPr>
  </w:style>
  <w:style w:type="character" w:customStyle="1" w:styleId="WW8Num10z0">
    <w:name w:val="WW8Num10z0"/>
    <w:rPr>
      <w:sz w:val="24"/>
      <w:szCs w:val="24"/>
    </w:rPr>
  </w:style>
  <w:style w:type="character" w:customStyle="1" w:styleId="WW8Num11z0">
    <w:name w:val="WW8Num11z0"/>
    <w:rPr>
      <w:sz w:val="24"/>
      <w:szCs w:val="24"/>
    </w:rPr>
  </w:style>
  <w:style w:type="character" w:customStyle="1" w:styleId="WW8Num12z0">
    <w:name w:val="WW8Num12z0"/>
    <w:rPr>
      <w:sz w:val="24"/>
      <w:szCs w:val="24"/>
    </w:rPr>
  </w:style>
  <w:style w:type="character" w:customStyle="1" w:styleId="WW8Num17z0">
    <w:name w:val="WW8Num17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1z0">
    <w:name w:val="WW8Num21z0"/>
    <w:rPr>
      <w:sz w:val="24"/>
      <w:szCs w:val="24"/>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DefaultParagraphFont">
    <w:name w:val="WW-Default Paragraph Font"/>
  </w:style>
  <w:style w:type="character" w:customStyle="1" w:styleId="WW-Absatz-Standardschriftart1">
    <w:name w:val="WW-Absatz-Standardschriftart1"/>
  </w:style>
  <w:style w:type="character" w:customStyle="1" w:styleId="WW-DefaultParagraphFont1">
    <w:name w:val="WW-Default Paragraph Font1"/>
  </w:style>
  <w:style w:type="character" w:customStyle="1" w:styleId="ListLabel1">
    <w:name w:val="ListLabel 1"/>
    <w:rPr>
      <w:sz w:val="24"/>
      <w:szCs w:val="24"/>
    </w:rPr>
  </w:style>
  <w:style w:type="character" w:customStyle="1" w:styleId="WW-DefaultParagraphFont11">
    <w:name w:val="WW-Default Paragraph Font11"/>
  </w:style>
  <w:style w:type="character" w:customStyle="1" w:styleId="PageNumber1">
    <w:name w:val="Page Number1"/>
    <w:basedOn w:val="WW-DefaultParagraphFont11"/>
  </w:style>
  <w:style w:type="character" w:customStyle="1" w:styleId="apple-style-span">
    <w:name w:val="apple-style-span"/>
    <w:basedOn w:val="WW-DefaultParagraphFont11"/>
  </w:style>
  <w:style w:type="character" w:customStyle="1" w:styleId="NumberingSymbols">
    <w:name w:val="Numbering Symbols"/>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paragraph" w:customStyle="1" w:styleId="Heading">
    <w:name w:val="Heading"/>
    <w:basedOn w:val="Normal"/>
    <w:next w:val="BodyText"/>
    <w:pPr>
      <w:keepNext/>
      <w:widowControl/>
      <w:suppressAutoHyphens/>
      <w:spacing w:before="240" w:after="120" w:line="240" w:lineRule="auto"/>
    </w:pPr>
    <w:rPr>
      <w:rFonts w:ascii="Arial" w:eastAsia="SimSun" w:hAnsi="Arial" w:cs="Mangal"/>
      <w:kern w:val="1"/>
      <w:sz w:val="28"/>
      <w:szCs w:val="28"/>
      <w:lang w:val="en-CA" w:eastAsia="ar-SA"/>
    </w:rPr>
  </w:style>
  <w:style w:type="paragraph" w:styleId="List">
    <w:name w:val="List"/>
    <w:basedOn w:val="BodyText"/>
    <w:pPr>
      <w:spacing w:before="0"/>
      <w:jc w:val="left"/>
    </w:pPr>
    <w:rPr>
      <w:rFonts w:eastAsia="Times New Roman" w:cs="Mangal"/>
      <w:szCs w:val="24"/>
      <w:lang w:val="en-CA"/>
    </w:rPr>
  </w:style>
  <w:style w:type="paragraph" w:customStyle="1" w:styleId="Index">
    <w:name w:val="Index"/>
    <w:basedOn w:val="Normal"/>
    <w:pPr>
      <w:widowControl/>
      <w:suppressLineNumbers/>
      <w:suppressAutoHyphens/>
      <w:spacing w:line="240" w:lineRule="auto"/>
    </w:pPr>
    <w:rPr>
      <w:rFonts w:cs="Mangal"/>
      <w:kern w:val="1"/>
      <w:szCs w:val="24"/>
      <w:lang w:val="en-CA" w:eastAsia="ar-SA"/>
    </w:rPr>
  </w:style>
  <w:style w:type="paragraph" w:styleId="NormalWeb">
    <w:name w:val="Normal (Web)"/>
    <w:basedOn w:val="Normal"/>
    <w:uiPriority w:val="99"/>
    <w:pPr>
      <w:widowControl/>
      <w:suppressAutoHyphens/>
      <w:spacing w:line="240" w:lineRule="auto"/>
    </w:pPr>
    <w:rPr>
      <w:kern w:val="1"/>
      <w:szCs w:val="24"/>
      <w:lang w:val="en-CA" w:eastAsia="ar-SA"/>
    </w:rPr>
  </w:style>
  <w:style w:type="paragraph" w:customStyle="1" w:styleId="div">
    <w:name w:val="div"/>
    <w:basedOn w:val="Normal"/>
    <w:pPr>
      <w:widowControl/>
      <w:suppressAutoHyphens/>
      <w:spacing w:line="240" w:lineRule="auto"/>
    </w:pPr>
    <w:rPr>
      <w:kern w:val="1"/>
      <w:szCs w:val="24"/>
      <w:lang w:val="en-CA" w:eastAsia="ar-SA"/>
    </w:rPr>
  </w:style>
  <w:style w:type="paragraph" w:customStyle="1" w:styleId="text1">
    <w:name w:val="text1"/>
    <w:basedOn w:val="Normal"/>
    <w:pPr>
      <w:widowControl/>
      <w:suppressAutoHyphens/>
      <w:spacing w:line="240" w:lineRule="auto"/>
    </w:pPr>
    <w:rPr>
      <w:kern w:val="1"/>
      <w:szCs w:val="24"/>
      <w:lang w:val="en-CA" w:eastAsia="ar-SA"/>
    </w:rPr>
  </w:style>
  <w:style w:type="paragraph" w:customStyle="1" w:styleId="preformatted0">
    <w:name w:val="preformatted"/>
    <w:basedOn w:val="Normal"/>
    <w:pPr>
      <w:widowControl/>
      <w:suppressAutoHyphens/>
      <w:spacing w:line="240" w:lineRule="auto"/>
    </w:pPr>
    <w:rPr>
      <w:kern w:val="1"/>
      <w:szCs w:val="24"/>
      <w:lang w:val="en-CA" w:eastAsia="ar-SA"/>
    </w:rPr>
  </w:style>
  <w:style w:type="paragraph" w:customStyle="1" w:styleId="subsectiontitle">
    <w:name w:val="subsectiontitle"/>
    <w:basedOn w:val="Normal"/>
    <w:pPr>
      <w:widowControl/>
      <w:suppressAutoHyphens/>
      <w:spacing w:line="240" w:lineRule="auto"/>
    </w:pPr>
    <w:rPr>
      <w:kern w:val="1"/>
      <w:szCs w:val="24"/>
      <w:lang w:val="en-CA" w:eastAsia="ar-SA"/>
    </w:rPr>
  </w:style>
  <w:style w:type="paragraph" w:customStyle="1" w:styleId="point1">
    <w:name w:val="point1"/>
    <w:basedOn w:val="Normal"/>
    <w:pPr>
      <w:widowControl/>
      <w:suppressAutoHyphens/>
      <w:spacing w:line="240" w:lineRule="auto"/>
    </w:pPr>
    <w:rPr>
      <w:kern w:val="1"/>
      <w:szCs w:val="24"/>
      <w:lang w:val="en-CA" w:eastAsia="ar-SA"/>
    </w:rPr>
  </w:style>
  <w:style w:type="paragraph" w:customStyle="1" w:styleId="Framecontents">
    <w:name w:val="Frame contents"/>
    <w:basedOn w:val="BodyText"/>
    <w:pPr>
      <w:spacing w:before="0"/>
      <w:jc w:val="left"/>
    </w:pPr>
    <w:rPr>
      <w:rFonts w:eastAsia="Times New Roman"/>
      <w:szCs w:val="24"/>
      <w:lang w:val="en-CA"/>
    </w:rPr>
  </w:style>
  <w:style w:type="paragraph" w:customStyle="1" w:styleId="TableContents">
    <w:name w:val="Table Contents"/>
    <w:basedOn w:val="Normal"/>
    <w:pPr>
      <w:widowControl/>
      <w:suppressLineNumbers/>
      <w:suppressAutoHyphens/>
      <w:spacing w:line="240" w:lineRule="auto"/>
    </w:pPr>
    <w:rPr>
      <w:kern w:val="1"/>
      <w:szCs w:val="24"/>
      <w:lang w:val="en-CA" w:eastAsia="ar-SA"/>
    </w:rPr>
  </w:style>
  <w:style w:type="paragraph" w:customStyle="1" w:styleId="TableHeading">
    <w:name w:val="Table Heading"/>
    <w:basedOn w:val="TableContents"/>
    <w:pPr>
      <w:jc w:val="center"/>
    </w:pPr>
    <w:rPr>
      <w:b/>
      <w:bCs/>
    </w:rPr>
  </w:style>
  <w:style w:type="paragraph" w:customStyle="1" w:styleId="a">
    <w:name w:val="목록 단락"/>
    <w:basedOn w:val="Normal"/>
    <w:pPr>
      <w:widowControl/>
      <w:suppressAutoHyphens/>
      <w:spacing w:before="120" w:after="120" w:line="240" w:lineRule="auto"/>
      <w:ind w:left="800"/>
      <w:jc w:val="both"/>
    </w:pPr>
    <w:rPr>
      <w:rFonts w:eastAsia="Batang"/>
      <w:kern w:val="1"/>
      <w:lang w:eastAsia="ar-SA"/>
    </w:rPr>
  </w:style>
  <w:style w:type="paragraph" w:customStyle="1" w:styleId="NormalWeb6">
    <w:name w:val="Normal (Web)6"/>
    <w:basedOn w:val="Normal"/>
    <w:pPr>
      <w:widowControl/>
      <w:suppressAutoHyphens/>
      <w:spacing w:line="240" w:lineRule="auto"/>
    </w:pPr>
    <w:rPr>
      <w:kern w:val="1"/>
      <w:szCs w:val="24"/>
      <w:lang w:eastAsia="ar-SA"/>
    </w:rPr>
  </w:style>
  <w:style w:type="character" w:customStyle="1" w:styleId="EndnoteTextChar">
    <w:name w:val="Endnote Text Char"/>
    <w:basedOn w:val="DefaultParagraphFont"/>
    <w:link w:val="EndnoteText"/>
    <w:rPr>
      <w:sz w:val="24"/>
      <w:lang w:eastAsia="fr-BE"/>
    </w:rPr>
  </w:style>
  <w:style w:type="paragraph" w:styleId="BodyTextIndent2">
    <w:name w:val="Body Text Indent 2"/>
    <w:basedOn w:val="Normal"/>
    <w:link w:val="BodyTextIndent2Char"/>
    <w:unhideWhenUsed/>
    <w:pPr>
      <w:widowControl/>
      <w:spacing w:after="120" w:line="480" w:lineRule="auto"/>
      <w:ind w:left="283"/>
    </w:pPr>
    <w:rPr>
      <w:rFonts w:asciiTheme="minorHAnsi" w:eastAsiaTheme="minorHAnsi" w:hAnsiTheme="minorHAnsi" w:cstheme="minorBidi"/>
      <w:sz w:val="22"/>
      <w:szCs w:val="22"/>
      <w:lang w:val="en-CA" w:eastAsia="en-US"/>
    </w:rPr>
  </w:style>
  <w:style w:type="character" w:customStyle="1" w:styleId="BodyTextIndent2Char">
    <w:name w:val="Body Text Indent 2 Char"/>
    <w:basedOn w:val="DefaultParagraphFont"/>
    <w:link w:val="BodyTextIndent2"/>
    <w:rPr>
      <w:rFonts w:asciiTheme="minorHAnsi" w:eastAsiaTheme="minorHAnsi" w:hAnsiTheme="minorHAnsi" w:cstheme="minorBidi"/>
      <w:sz w:val="22"/>
      <w:szCs w:val="22"/>
      <w:lang w:val="en-CA" w:eastAsia="en-US"/>
    </w:rPr>
  </w:style>
  <w:style w:type="paragraph" w:styleId="BodyTextIndent">
    <w:name w:val="Body Text Indent"/>
    <w:basedOn w:val="Normal"/>
    <w:link w:val="BodyTextIndentChar"/>
    <w:unhideWhenUsed/>
    <w:pPr>
      <w:widowControl/>
      <w:spacing w:after="120" w:line="276" w:lineRule="auto"/>
      <w:ind w:left="283"/>
    </w:pPr>
    <w:rPr>
      <w:rFonts w:asciiTheme="minorHAnsi" w:eastAsiaTheme="minorHAnsi" w:hAnsiTheme="minorHAnsi" w:cstheme="minorBidi"/>
      <w:sz w:val="22"/>
      <w:szCs w:val="22"/>
      <w:lang w:val="en-CA" w:eastAsia="en-US"/>
    </w:rPr>
  </w:style>
  <w:style w:type="character" w:customStyle="1" w:styleId="BodyTextIndentChar">
    <w:name w:val="Body Text Indent Char"/>
    <w:basedOn w:val="DefaultParagraphFont"/>
    <w:link w:val="BodyTextIndent"/>
    <w:rPr>
      <w:rFonts w:asciiTheme="minorHAnsi" w:eastAsiaTheme="minorHAnsi" w:hAnsiTheme="minorHAnsi" w:cstheme="minorBidi"/>
      <w:sz w:val="22"/>
      <w:szCs w:val="22"/>
      <w:lang w:val="en-CA" w:eastAsia="en-US"/>
    </w:rPr>
  </w:style>
  <w:style w:type="numbering" w:customStyle="1" w:styleId="NoList3">
    <w:name w:val="No List3"/>
    <w:next w:val="NoList"/>
    <w:semiHidden/>
  </w:style>
  <w:style w:type="paragraph" w:styleId="BlockText">
    <w:name w:val="Block Text"/>
    <w:basedOn w:val="Normal"/>
    <w:pPr>
      <w:widowControl/>
      <w:tabs>
        <w:tab w:val="left" w:pos="720"/>
      </w:tabs>
      <w:spacing w:after="240" w:line="240" w:lineRule="auto"/>
      <w:ind w:left="1440" w:right="1440"/>
      <w:jc w:val="both"/>
    </w:pPr>
    <w:rPr>
      <w:sz w:val="22"/>
      <w:lang w:eastAsia="en-GB"/>
    </w:rPr>
  </w:style>
  <w:style w:type="paragraph" w:styleId="BodyText2">
    <w:name w:val="Body Text 2"/>
    <w:basedOn w:val="Normal"/>
    <w:link w:val="BodyText2Char"/>
    <w:uiPriority w:val="99"/>
    <w:pPr>
      <w:widowControl/>
      <w:tabs>
        <w:tab w:val="num" w:pos="1440"/>
      </w:tabs>
      <w:spacing w:after="240" w:line="240" w:lineRule="auto"/>
      <w:ind w:left="1440" w:hanging="720"/>
      <w:jc w:val="both"/>
    </w:pPr>
    <w:rPr>
      <w:sz w:val="22"/>
      <w:lang w:eastAsia="en-US"/>
    </w:rPr>
  </w:style>
  <w:style w:type="character" w:customStyle="1" w:styleId="BodyText2Char">
    <w:name w:val="Body Text 2 Char"/>
    <w:basedOn w:val="DefaultParagraphFont"/>
    <w:link w:val="BodyText2"/>
    <w:uiPriority w:val="99"/>
    <w:rPr>
      <w:sz w:val="22"/>
      <w:lang w:eastAsia="en-US"/>
    </w:rPr>
  </w:style>
  <w:style w:type="paragraph" w:styleId="BodyText3">
    <w:name w:val="Body Text 3"/>
    <w:basedOn w:val="Normal"/>
    <w:link w:val="BodyText3Char"/>
    <w:uiPriority w:val="99"/>
    <w:pPr>
      <w:widowControl/>
      <w:tabs>
        <w:tab w:val="num" w:pos="2160"/>
      </w:tabs>
      <w:spacing w:after="240" w:line="240" w:lineRule="auto"/>
      <w:ind w:left="2160" w:hanging="720"/>
      <w:jc w:val="both"/>
    </w:pPr>
    <w:rPr>
      <w:sz w:val="22"/>
      <w:lang w:eastAsia="en-US"/>
    </w:rPr>
  </w:style>
  <w:style w:type="character" w:customStyle="1" w:styleId="BodyText3Char">
    <w:name w:val="Body Text 3 Char"/>
    <w:basedOn w:val="DefaultParagraphFont"/>
    <w:link w:val="BodyText3"/>
    <w:uiPriority w:val="99"/>
    <w:rPr>
      <w:sz w:val="22"/>
      <w:lang w:eastAsia="en-US"/>
    </w:rPr>
  </w:style>
  <w:style w:type="paragraph" w:customStyle="1" w:styleId="BodyText4">
    <w:name w:val="Body Text 4"/>
    <w:basedOn w:val="Normal"/>
    <w:pPr>
      <w:widowControl/>
      <w:tabs>
        <w:tab w:val="num" w:pos="2160"/>
      </w:tabs>
      <w:spacing w:after="240" w:line="240" w:lineRule="auto"/>
      <w:ind w:left="2160" w:hanging="720"/>
      <w:jc w:val="both"/>
    </w:pPr>
    <w:rPr>
      <w:sz w:val="22"/>
      <w:lang w:eastAsia="en-US"/>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lang w:eastAsia="en-US"/>
    </w:rPr>
  </w:style>
  <w:style w:type="character" w:customStyle="1" w:styleId="PlainTextChar">
    <w:name w:val="Plain Text Char"/>
    <w:basedOn w:val="DefaultParagraphFont"/>
    <w:link w:val="PlainText"/>
    <w:uiPriority w:val="99"/>
    <w:rPr>
      <w:rFonts w:ascii="Courier New" w:hAnsi="Courier New"/>
      <w:lang w:eastAsia="en-US"/>
    </w:rPr>
  </w:style>
  <w:style w:type="paragraph" w:styleId="Subtitle">
    <w:name w:val="Subtitle"/>
    <w:basedOn w:val="Normal"/>
    <w:link w:val="SubtitleChar"/>
    <w:qFormat/>
    <w:pPr>
      <w:widowControl/>
      <w:tabs>
        <w:tab w:val="left" w:pos="720"/>
      </w:tabs>
      <w:spacing w:line="240" w:lineRule="auto"/>
      <w:jc w:val="center"/>
      <w:outlineLvl w:val="1"/>
    </w:pPr>
    <w:rPr>
      <w:sz w:val="22"/>
      <w:lang w:eastAsia="en-US"/>
    </w:rPr>
  </w:style>
  <w:style w:type="character" w:customStyle="1" w:styleId="SubtitleChar">
    <w:name w:val="Subtitle Char"/>
    <w:basedOn w:val="DefaultParagraphFont"/>
    <w:link w:val="Subtitle"/>
    <w:rPr>
      <w:sz w:val="22"/>
      <w:lang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itle">
    <w:name w:val="Title"/>
    <w:basedOn w:val="Normal"/>
    <w:link w:val="TitleChar"/>
    <w:qFormat/>
    <w:pPr>
      <w:widowControl/>
      <w:tabs>
        <w:tab w:val="left" w:pos="720"/>
      </w:tabs>
      <w:spacing w:line="240" w:lineRule="auto"/>
      <w:jc w:val="center"/>
    </w:pPr>
    <w:rPr>
      <w:b/>
      <w:caps/>
      <w:kern w:val="28"/>
      <w:sz w:val="22"/>
      <w:lang w:eastAsia="en-US"/>
    </w:rPr>
  </w:style>
  <w:style w:type="character" w:customStyle="1" w:styleId="TitleChar">
    <w:name w:val="Title Char"/>
    <w:basedOn w:val="DefaultParagraphFont"/>
    <w:link w:val="Title"/>
    <w:rPr>
      <w:b/>
      <w:caps/>
      <w:kern w:val="28"/>
      <w:sz w:val="22"/>
      <w:lang w:eastAsia="en-US"/>
    </w:rPr>
  </w:style>
  <w:style w:type="paragraph" w:customStyle="1" w:styleId="Title2">
    <w:name w:val="Title 2"/>
    <w:basedOn w:val="Normal"/>
    <w:pPr>
      <w:widowControl/>
      <w:tabs>
        <w:tab w:val="left" w:pos="720"/>
      </w:tabs>
      <w:spacing w:line="240" w:lineRule="auto"/>
      <w:jc w:val="center"/>
    </w:pPr>
    <w:rPr>
      <w:sz w:val="22"/>
      <w:u w:val="single"/>
      <w:lang w:eastAsia="en-US"/>
    </w:rPr>
  </w:style>
  <w:style w:type="paragraph" w:customStyle="1" w:styleId="Title3">
    <w:name w:val="Title 3"/>
    <w:basedOn w:val="Normal"/>
    <w:pPr>
      <w:widowControl/>
      <w:tabs>
        <w:tab w:val="left" w:pos="720"/>
      </w:tabs>
      <w:spacing w:line="240" w:lineRule="auto"/>
      <w:jc w:val="center"/>
    </w:pPr>
    <w:rPr>
      <w:i/>
      <w:sz w:val="22"/>
      <w:lang w:eastAsia="en-US"/>
    </w:rPr>
  </w:style>
  <w:style w:type="paragraph" w:customStyle="1" w:styleId="TitleCountry">
    <w:name w:val="Title Country"/>
    <w:basedOn w:val="Normal"/>
    <w:pPr>
      <w:widowControl/>
      <w:tabs>
        <w:tab w:val="left" w:pos="720"/>
      </w:tabs>
      <w:spacing w:line="240" w:lineRule="auto"/>
      <w:jc w:val="center"/>
    </w:pPr>
    <w:rPr>
      <w:caps/>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customStyle="1" w:styleId="Quotation">
    <w:name w:val="Quotation"/>
    <w:basedOn w:val="Normal"/>
    <w:pPr>
      <w:widowControl/>
      <w:tabs>
        <w:tab w:val="left" w:pos="720"/>
      </w:tabs>
      <w:spacing w:after="240" w:line="240" w:lineRule="auto"/>
      <w:ind w:left="720" w:right="720"/>
      <w:jc w:val="both"/>
    </w:pPr>
    <w:rPr>
      <w:sz w:val="22"/>
      <w:lang w:eastAsia="en-US"/>
    </w:rPr>
  </w:style>
  <w:style w:type="paragraph" w:customStyle="1" w:styleId="QuotationDouble">
    <w:name w:val="Quotation Double"/>
    <w:basedOn w:val="Normal"/>
    <w:pPr>
      <w:widowControl/>
      <w:tabs>
        <w:tab w:val="left" w:pos="720"/>
      </w:tabs>
      <w:spacing w:after="240" w:line="240" w:lineRule="auto"/>
      <w:ind w:left="1440" w:right="1440"/>
      <w:jc w:val="both"/>
    </w:pPr>
    <w:rPr>
      <w:sz w:val="22"/>
      <w:lang w:eastAsia="en-US"/>
    </w:rPr>
  </w:style>
  <w:style w:type="paragraph" w:customStyle="1" w:styleId="FootnoteQuotation">
    <w:name w:val="Footnote Quotation"/>
    <w:basedOn w:val="Normal"/>
    <w:pPr>
      <w:widowControl/>
      <w:tabs>
        <w:tab w:val="left" w:pos="720"/>
      </w:tabs>
      <w:spacing w:line="240" w:lineRule="auto"/>
      <w:ind w:left="720" w:right="720"/>
      <w:jc w:val="both"/>
    </w:pPr>
    <w:rPr>
      <w:sz w:val="20"/>
      <w:lang w:eastAsia="en-US"/>
    </w:rPr>
  </w:style>
  <w:style w:type="paragraph" w:customStyle="1" w:styleId="BodyText5">
    <w:name w:val="Body Text 5"/>
    <w:basedOn w:val="Normal"/>
    <w:pPr>
      <w:widowControl/>
      <w:tabs>
        <w:tab w:val="left" w:pos="720"/>
        <w:tab w:val="num" w:pos="2880"/>
      </w:tabs>
      <w:spacing w:after="240" w:line="240" w:lineRule="auto"/>
      <w:ind w:left="2160"/>
      <w:jc w:val="both"/>
    </w:pPr>
    <w:rPr>
      <w:lang w:eastAsia="en-GB"/>
    </w:rPr>
  </w:style>
  <w:style w:type="paragraph" w:styleId="BodyTextIndent3">
    <w:name w:val="Body Text Indent 3"/>
    <w:basedOn w:val="Normal"/>
    <w:link w:val="BodyTextIndent3Char"/>
    <w:pPr>
      <w:widowControl/>
      <w:tabs>
        <w:tab w:val="left" w:pos="-1440"/>
        <w:tab w:val="left" w:pos="720"/>
      </w:tabs>
      <w:spacing w:line="240" w:lineRule="auto"/>
      <w:ind w:left="2160" w:hanging="720"/>
      <w:jc w:val="both"/>
    </w:pPr>
    <w:rPr>
      <w:sz w:val="20"/>
      <w:lang w:eastAsia="en-GB"/>
    </w:rPr>
  </w:style>
  <w:style w:type="character" w:customStyle="1" w:styleId="BodyTextIndent3Char">
    <w:name w:val="Body Text Indent 3 Char"/>
    <w:basedOn w:val="DefaultParagraphFont"/>
    <w:link w:val="BodyTextIndent3"/>
  </w:style>
  <w:style w:type="character" w:customStyle="1" w:styleId="BodyTextChar1">
    <w:name w:val="Body Text Char1"/>
    <w:rPr>
      <w:sz w:val="22"/>
      <w:lang w:val="en-GB" w:eastAsia="en-US" w:bidi="ar-SA"/>
    </w:rPr>
  </w:style>
  <w:style w:type="numbering" w:customStyle="1" w:styleId="NoList4">
    <w:name w:val="No List4"/>
    <w:next w:val="NoList"/>
    <w:uiPriority w:val="99"/>
    <w:semiHidden/>
    <w:unhideWhenUsed/>
  </w:style>
  <w:style w:type="character" w:customStyle="1" w:styleId="WW8Num15z3">
    <w:name w:val="WW8Num15z3"/>
    <w:rPr>
      <w:rFonts w:ascii="Symbol" w:hAnsi="Symbol"/>
    </w:rPr>
  </w:style>
  <w:style w:type="paragraph" w:customStyle="1" w:styleId="AddressTL">
    <w:name w:val="AddressTL"/>
    <w:basedOn w:val="Normal"/>
    <w:next w:val="Normal"/>
    <w:pPr>
      <w:widowControl/>
      <w:spacing w:after="720" w:line="240" w:lineRule="auto"/>
    </w:pPr>
    <w:rPr>
      <w:lang w:eastAsia="en-US"/>
    </w:rPr>
  </w:style>
  <w:style w:type="paragraph" w:customStyle="1" w:styleId="AddressTR">
    <w:name w:val="AddressTR"/>
    <w:basedOn w:val="Normal"/>
    <w:next w:val="Normal"/>
    <w:pPr>
      <w:widowControl/>
      <w:spacing w:after="720" w:line="240" w:lineRule="auto"/>
      <w:ind w:left="5103"/>
    </w:pPr>
    <w:rPr>
      <w:lang w:eastAsia="en-US"/>
    </w:rPr>
  </w:style>
  <w:style w:type="paragraph" w:styleId="BodyTextFirstIndent">
    <w:name w:val="Body Text First Indent"/>
    <w:basedOn w:val="BodyText"/>
    <w:link w:val="BodyTextFirstIndentChar"/>
    <w:pPr>
      <w:suppressAutoHyphens w:val="0"/>
      <w:spacing w:before="0"/>
      <w:ind w:firstLine="210"/>
    </w:pPr>
    <w:rPr>
      <w:rFonts w:eastAsia="Times New Roman"/>
      <w:kern w:val="0"/>
      <w:lang w:eastAsia="en-US"/>
    </w:rPr>
  </w:style>
  <w:style w:type="character" w:customStyle="1" w:styleId="BodyTextFirstIndentChar">
    <w:name w:val="Body Text First Indent Char"/>
    <w:basedOn w:val="BodyTextChar"/>
    <w:link w:val="BodyTextFirstIndent"/>
    <w:rPr>
      <w:rFonts w:eastAsia="Batang"/>
      <w:kern w:val="1"/>
      <w:sz w:val="24"/>
      <w:lang w:eastAsia="en-US"/>
    </w:rPr>
  </w:style>
  <w:style w:type="paragraph" w:styleId="BodyTextFirstIndent2">
    <w:name w:val="Body Text First Indent 2"/>
    <w:basedOn w:val="BodyTextIndent"/>
    <w:link w:val="BodyTextFirstIndent2Char"/>
    <w:pPr>
      <w:spacing w:line="240" w:lineRule="auto"/>
      <w:ind w:firstLine="210"/>
      <w:jc w:val="both"/>
    </w:pPr>
    <w:rPr>
      <w:rFonts w:ascii="Times New Roman" w:eastAsia="Times New Roman" w:hAnsi="Times New Roman" w:cs="Times New Roman"/>
      <w:sz w:val="24"/>
      <w:szCs w:val="20"/>
      <w:lang w:val="en-GB"/>
    </w:rPr>
  </w:style>
  <w:style w:type="character" w:customStyle="1" w:styleId="BodyTextFirstIndent2Char">
    <w:name w:val="Body Text First Indent 2 Char"/>
    <w:basedOn w:val="BodyTextIndentChar"/>
    <w:link w:val="BodyTextFirstIndent2"/>
    <w:rPr>
      <w:rFonts w:asciiTheme="minorHAnsi" w:eastAsiaTheme="minorHAnsi" w:hAnsiTheme="minorHAnsi" w:cstheme="minorBidi"/>
      <w:sz w:val="24"/>
      <w:szCs w:val="22"/>
      <w:lang w:val="en-CA" w:eastAsia="en-US"/>
    </w:rPr>
  </w:style>
  <w:style w:type="paragraph" w:styleId="Closing">
    <w:name w:val="Closing"/>
    <w:basedOn w:val="Normal"/>
    <w:next w:val="Signature"/>
    <w:link w:val="ClosingChar"/>
    <w:pPr>
      <w:widowControl/>
      <w:tabs>
        <w:tab w:val="left" w:pos="5103"/>
      </w:tabs>
      <w:spacing w:before="240" w:after="240" w:line="240" w:lineRule="auto"/>
      <w:ind w:left="5103"/>
    </w:pPr>
    <w:rPr>
      <w:lang w:eastAsia="en-US"/>
    </w:rPr>
  </w:style>
  <w:style w:type="character" w:customStyle="1" w:styleId="ClosingChar">
    <w:name w:val="Closing Char"/>
    <w:basedOn w:val="DefaultParagraphFont"/>
    <w:link w:val="Closing"/>
    <w:rPr>
      <w:sz w:val="24"/>
      <w:lang w:eastAsia="en-US"/>
    </w:rPr>
  </w:style>
  <w:style w:type="paragraph" w:styleId="Signature">
    <w:name w:val="Signature"/>
    <w:basedOn w:val="Normal"/>
    <w:next w:val="Contact"/>
    <w:link w:val="SignatureChar"/>
    <w:pPr>
      <w:widowControl/>
      <w:tabs>
        <w:tab w:val="left" w:pos="5103"/>
      </w:tabs>
      <w:spacing w:before="1200" w:line="240" w:lineRule="auto"/>
      <w:ind w:left="5103"/>
      <w:jc w:val="center"/>
    </w:pPr>
    <w:rPr>
      <w:lang w:eastAsia="en-US"/>
    </w:rPr>
  </w:style>
  <w:style w:type="character" w:customStyle="1" w:styleId="SignatureChar">
    <w:name w:val="Signature Char"/>
    <w:basedOn w:val="DefaultParagraphFont"/>
    <w:link w:val="Signature"/>
    <w:rPr>
      <w:sz w:val="24"/>
      <w:lang w:eastAsia="en-US"/>
    </w:rPr>
  </w:style>
  <w:style w:type="paragraph" w:customStyle="1" w:styleId="Enclosures">
    <w:name w:val="Enclosures"/>
    <w:basedOn w:val="Normal"/>
    <w:next w:val="Participants"/>
    <w:pPr>
      <w:keepNext/>
      <w:keepLines/>
      <w:widowControl/>
      <w:tabs>
        <w:tab w:val="left" w:pos="5670"/>
      </w:tabs>
      <w:spacing w:before="480" w:line="240" w:lineRule="auto"/>
      <w:ind w:left="1985" w:hanging="1985"/>
    </w:pPr>
    <w:rPr>
      <w:lang w:eastAsia="en-US"/>
    </w:rPr>
  </w:style>
  <w:style w:type="paragraph" w:customStyle="1" w:styleId="Participants">
    <w:name w:val="Participants"/>
    <w:basedOn w:val="Normal"/>
    <w:next w:val="Copies"/>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customStyle="1" w:styleId="Copies">
    <w:name w:val="Copies"/>
    <w:basedOn w:val="Normal"/>
    <w:next w:val="Normal"/>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styleId="Date">
    <w:name w:val="Date"/>
    <w:basedOn w:val="Normal"/>
    <w:next w:val="References"/>
    <w:link w:val="DateChar"/>
    <w:uiPriority w:val="99"/>
    <w:pPr>
      <w:widowControl/>
      <w:spacing w:line="240" w:lineRule="auto"/>
      <w:ind w:left="5103" w:right="-567"/>
    </w:pPr>
    <w:rPr>
      <w:lang w:eastAsia="en-US"/>
    </w:rPr>
  </w:style>
  <w:style w:type="character" w:customStyle="1" w:styleId="DateChar">
    <w:name w:val="Date Char"/>
    <w:basedOn w:val="DefaultParagraphFont"/>
    <w:link w:val="Date"/>
    <w:uiPriority w:val="99"/>
    <w:rPr>
      <w:sz w:val="24"/>
      <w:lang w:eastAsia="en-US"/>
    </w:rPr>
  </w:style>
  <w:style w:type="paragraph" w:customStyle="1" w:styleId="References">
    <w:name w:val="References"/>
    <w:basedOn w:val="Normal"/>
    <w:next w:val="AddressTR"/>
    <w:uiPriority w:val="99"/>
    <w:pPr>
      <w:widowControl/>
      <w:spacing w:after="240" w:line="240" w:lineRule="auto"/>
      <w:ind w:left="5103"/>
    </w:pPr>
    <w:rPr>
      <w:sz w:val="20"/>
      <w:lang w:eastAsia="en-US"/>
    </w:rPr>
  </w:style>
  <w:style w:type="paragraph" w:customStyle="1" w:styleId="DoubSign">
    <w:name w:val="DoubSign"/>
    <w:basedOn w:val="Normal"/>
    <w:next w:val="Contact"/>
    <w:pPr>
      <w:widowControl/>
      <w:tabs>
        <w:tab w:val="left" w:pos="5103"/>
      </w:tabs>
      <w:spacing w:before="1200" w:line="240" w:lineRule="auto"/>
    </w:pPr>
    <w:rPr>
      <w:lang w:eastAsia="en-US"/>
    </w:rPr>
  </w:style>
  <w:style w:type="paragraph" w:styleId="EnvelopeReturn">
    <w:name w:val="envelope return"/>
    <w:basedOn w:val="Normal"/>
    <w:pPr>
      <w:widowControl/>
      <w:spacing w:line="240" w:lineRule="auto"/>
      <w:jc w:val="both"/>
    </w:pPr>
    <w:rPr>
      <w:sz w:val="20"/>
      <w:lang w:eastAsia="en-US"/>
    </w:rPr>
  </w:style>
  <w:style w:type="paragraph" w:styleId="Index2">
    <w:name w:val="index 2"/>
    <w:basedOn w:val="Normal"/>
    <w:next w:val="Normal"/>
    <w:autoRedefine/>
    <w:pPr>
      <w:widowControl/>
      <w:spacing w:after="240" w:line="240" w:lineRule="auto"/>
      <w:ind w:left="480" w:hanging="240"/>
      <w:jc w:val="both"/>
    </w:pPr>
    <w:rPr>
      <w:lang w:eastAsia="en-US"/>
    </w:rPr>
  </w:style>
  <w:style w:type="paragraph" w:styleId="Index3">
    <w:name w:val="index 3"/>
    <w:basedOn w:val="Normal"/>
    <w:next w:val="Normal"/>
    <w:autoRedefine/>
    <w:pPr>
      <w:widowControl/>
      <w:spacing w:after="240" w:line="240" w:lineRule="auto"/>
      <w:ind w:left="720" w:hanging="240"/>
      <w:jc w:val="both"/>
    </w:pPr>
    <w:rPr>
      <w:lang w:eastAsia="en-US"/>
    </w:rPr>
  </w:style>
  <w:style w:type="paragraph" w:styleId="Index4">
    <w:name w:val="index 4"/>
    <w:basedOn w:val="Normal"/>
    <w:next w:val="Normal"/>
    <w:autoRedefine/>
    <w:pPr>
      <w:widowControl/>
      <w:spacing w:after="240" w:line="240" w:lineRule="auto"/>
      <w:ind w:left="960" w:hanging="240"/>
      <w:jc w:val="both"/>
    </w:pPr>
    <w:rPr>
      <w:lang w:eastAsia="en-US"/>
    </w:rPr>
  </w:style>
  <w:style w:type="paragraph" w:styleId="Index5">
    <w:name w:val="index 5"/>
    <w:basedOn w:val="Normal"/>
    <w:next w:val="Normal"/>
    <w:autoRedefine/>
    <w:pPr>
      <w:widowControl/>
      <w:spacing w:after="240" w:line="240" w:lineRule="auto"/>
      <w:ind w:left="1200" w:hanging="240"/>
      <w:jc w:val="both"/>
    </w:pPr>
    <w:rPr>
      <w:lang w:eastAsia="en-US"/>
    </w:rPr>
  </w:style>
  <w:style w:type="paragraph" w:styleId="Index6">
    <w:name w:val="index 6"/>
    <w:basedOn w:val="Normal"/>
    <w:next w:val="Normal"/>
    <w:autoRedefine/>
    <w:pPr>
      <w:widowControl/>
      <w:spacing w:after="240" w:line="240" w:lineRule="auto"/>
      <w:ind w:left="1440" w:hanging="240"/>
      <w:jc w:val="both"/>
    </w:pPr>
    <w:rPr>
      <w:lang w:eastAsia="en-US"/>
    </w:rPr>
  </w:style>
  <w:style w:type="paragraph" w:styleId="Index7">
    <w:name w:val="index 7"/>
    <w:basedOn w:val="Normal"/>
    <w:next w:val="Normal"/>
    <w:autoRedefine/>
    <w:pPr>
      <w:widowControl/>
      <w:spacing w:after="240" w:line="240" w:lineRule="auto"/>
      <w:ind w:left="1680" w:hanging="240"/>
      <w:jc w:val="both"/>
    </w:pPr>
    <w:rPr>
      <w:lang w:eastAsia="en-US"/>
    </w:rPr>
  </w:style>
  <w:style w:type="paragraph" w:styleId="Index8">
    <w:name w:val="index 8"/>
    <w:basedOn w:val="Normal"/>
    <w:next w:val="Normal"/>
    <w:autoRedefine/>
    <w:pPr>
      <w:widowControl/>
      <w:spacing w:after="240" w:line="240" w:lineRule="auto"/>
      <w:ind w:left="1920" w:hanging="240"/>
      <w:jc w:val="both"/>
    </w:pPr>
    <w:rPr>
      <w:lang w:eastAsia="en-US"/>
    </w:rPr>
  </w:style>
  <w:style w:type="paragraph" w:styleId="Index9">
    <w:name w:val="index 9"/>
    <w:basedOn w:val="Normal"/>
    <w:next w:val="Normal"/>
    <w:autoRedefine/>
    <w:pPr>
      <w:widowControl/>
      <w:spacing w:after="240" w:line="240" w:lineRule="auto"/>
      <w:ind w:left="2160" w:hanging="240"/>
      <w:jc w:val="both"/>
    </w:pPr>
    <w:rPr>
      <w:lang w:eastAsia="en-US"/>
    </w:rPr>
  </w:style>
  <w:style w:type="paragraph" w:styleId="List2">
    <w:name w:val="List 2"/>
    <w:basedOn w:val="Normal"/>
    <w:pPr>
      <w:widowControl/>
      <w:spacing w:after="240" w:line="240" w:lineRule="auto"/>
      <w:ind w:left="566" w:hanging="283"/>
      <w:jc w:val="both"/>
    </w:pPr>
    <w:rPr>
      <w:lang w:eastAsia="en-US"/>
    </w:rPr>
  </w:style>
  <w:style w:type="paragraph" w:styleId="List3">
    <w:name w:val="List 3"/>
    <w:basedOn w:val="Normal"/>
    <w:pPr>
      <w:widowControl/>
      <w:spacing w:after="240" w:line="240" w:lineRule="auto"/>
      <w:ind w:left="849" w:hanging="283"/>
      <w:jc w:val="both"/>
    </w:pPr>
    <w:rPr>
      <w:lang w:eastAsia="en-US"/>
    </w:rPr>
  </w:style>
  <w:style w:type="paragraph" w:styleId="List4">
    <w:name w:val="List 4"/>
    <w:basedOn w:val="Normal"/>
    <w:pPr>
      <w:widowControl/>
      <w:spacing w:after="240" w:line="240" w:lineRule="auto"/>
      <w:ind w:left="1132" w:hanging="283"/>
      <w:jc w:val="both"/>
    </w:pPr>
    <w:rPr>
      <w:lang w:eastAsia="en-US"/>
    </w:rPr>
  </w:style>
  <w:style w:type="paragraph" w:styleId="List5">
    <w:name w:val="List 5"/>
    <w:basedOn w:val="Normal"/>
    <w:pPr>
      <w:widowControl/>
      <w:spacing w:after="240" w:line="240" w:lineRule="auto"/>
      <w:ind w:left="1415" w:hanging="283"/>
      <w:jc w:val="both"/>
    </w:pPr>
    <w:rPr>
      <w:lang w:eastAsia="en-US"/>
    </w:rPr>
  </w:style>
  <w:style w:type="paragraph" w:styleId="ListBullet5">
    <w:name w:val="List Bullet 5"/>
    <w:basedOn w:val="Normal"/>
    <w:autoRedefine/>
    <w:pPr>
      <w:widowControl/>
      <w:numPr>
        <w:numId w:val="28"/>
      </w:numPr>
      <w:spacing w:after="240" w:line="240" w:lineRule="auto"/>
      <w:jc w:val="both"/>
    </w:pPr>
    <w:rPr>
      <w:lang w:eastAsia="en-US"/>
    </w:rPr>
  </w:style>
  <w:style w:type="paragraph" w:styleId="ListContinue">
    <w:name w:val="List Continue"/>
    <w:basedOn w:val="Normal"/>
    <w:pPr>
      <w:widowControl/>
      <w:spacing w:after="120" w:line="240" w:lineRule="auto"/>
      <w:ind w:left="283"/>
      <w:jc w:val="both"/>
    </w:pPr>
    <w:rPr>
      <w:lang w:eastAsia="en-US"/>
    </w:rPr>
  </w:style>
  <w:style w:type="paragraph" w:styleId="ListContinue2">
    <w:name w:val="List Continue 2"/>
    <w:basedOn w:val="Normal"/>
    <w:pPr>
      <w:widowControl/>
      <w:spacing w:after="120" w:line="240" w:lineRule="auto"/>
      <w:ind w:left="566"/>
      <w:jc w:val="both"/>
    </w:pPr>
    <w:rPr>
      <w:lang w:eastAsia="en-US"/>
    </w:rPr>
  </w:style>
  <w:style w:type="paragraph" w:styleId="ListContinue3">
    <w:name w:val="List Continue 3"/>
    <w:basedOn w:val="Normal"/>
    <w:pPr>
      <w:widowControl/>
      <w:spacing w:after="120" w:line="240" w:lineRule="auto"/>
      <w:ind w:left="849"/>
      <w:jc w:val="both"/>
    </w:pPr>
    <w:rPr>
      <w:lang w:eastAsia="en-US"/>
    </w:rPr>
  </w:style>
  <w:style w:type="paragraph" w:styleId="ListContinue4">
    <w:name w:val="List Continue 4"/>
    <w:basedOn w:val="Normal"/>
    <w:pPr>
      <w:widowControl/>
      <w:spacing w:after="120" w:line="240" w:lineRule="auto"/>
      <w:ind w:left="1132"/>
      <w:jc w:val="both"/>
    </w:pPr>
    <w:rPr>
      <w:lang w:eastAsia="en-US"/>
    </w:rPr>
  </w:style>
  <w:style w:type="paragraph" w:styleId="ListContinue5">
    <w:name w:val="List Continue 5"/>
    <w:basedOn w:val="Normal"/>
    <w:pPr>
      <w:widowControl/>
      <w:spacing w:after="120" w:line="240" w:lineRule="auto"/>
      <w:ind w:left="1415"/>
      <w:jc w:val="both"/>
    </w:pPr>
    <w:rPr>
      <w:lang w:eastAsia="en-US"/>
    </w:rPr>
  </w:style>
  <w:style w:type="paragraph" w:styleId="ListNumber5">
    <w:name w:val="List Number 5"/>
    <w:basedOn w:val="Normal"/>
    <w:pPr>
      <w:widowControl/>
      <w:numPr>
        <w:numId w:val="29"/>
      </w:numPr>
      <w:spacing w:after="240" w:line="240" w:lineRule="auto"/>
      <w:jc w:val="both"/>
    </w:pPr>
    <w:rPr>
      <w:lang w:eastAsia="en-US"/>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character" w:customStyle="1" w:styleId="MacroTextChar">
    <w:name w:val="Macro Text Char"/>
    <w:basedOn w:val="DefaultParagraphFont"/>
    <w:link w:val="MacroText"/>
    <w:rPr>
      <w:rFonts w:ascii="Courier New" w:hAnsi="Courier New"/>
      <w:lang w:eastAsia="en-US"/>
    </w:rPr>
  </w:style>
  <w:style w:type="paragraph" w:styleId="MessageHeader">
    <w:name w:val="Message Header"/>
    <w:basedOn w:val="Normal"/>
    <w:link w:val="MessageHeaderChar"/>
    <w:pPr>
      <w:widowControl/>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hAnsi="Arial"/>
      <w:lang w:eastAsia="en-US"/>
    </w:rPr>
  </w:style>
  <w:style w:type="character" w:customStyle="1" w:styleId="MessageHeaderChar">
    <w:name w:val="Message Header Char"/>
    <w:basedOn w:val="DefaultParagraphFont"/>
    <w:link w:val="MessageHeader"/>
    <w:rPr>
      <w:rFonts w:ascii="Arial" w:hAnsi="Arial"/>
      <w:sz w:val="24"/>
      <w:shd w:val="pct20" w:color="auto" w:fill="auto"/>
      <w:lang w:eastAsia="en-US"/>
    </w:rPr>
  </w:style>
  <w:style w:type="paragraph" w:styleId="NormalIndent">
    <w:name w:val="Normal Indent"/>
    <w:basedOn w:val="Normal"/>
    <w:pPr>
      <w:widowControl/>
      <w:spacing w:after="240" w:line="240" w:lineRule="auto"/>
      <w:ind w:left="720"/>
      <w:jc w:val="both"/>
    </w:pPr>
    <w:rPr>
      <w:lang w:eastAsia="en-US"/>
    </w:rPr>
  </w:style>
  <w:style w:type="paragraph" w:styleId="NoteHeading">
    <w:name w:val="Note Heading"/>
    <w:basedOn w:val="Normal"/>
    <w:next w:val="Normal"/>
    <w:link w:val="NoteHeadingChar"/>
    <w:pPr>
      <w:widowControl/>
      <w:spacing w:after="240" w:line="240" w:lineRule="auto"/>
      <w:jc w:val="both"/>
    </w:pPr>
    <w:rPr>
      <w:lang w:eastAsia="en-US"/>
    </w:rPr>
  </w:style>
  <w:style w:type="character" w:customStyle="1" w:styleId="NoteHeadingChar">
    <w:name w:val="Note Heading Char"/>
    <w:basedOn w:val="DefaultParagraphFont"/>
    <w:link w:val="NoteHeading"/>
    <w:rPr>
      <w:sz w:val="24"/>
      <w:lang w:eastAsia="en-US"/>
    </w:rPr>
  </w:style>
  <w:style w:type="paragraph" w:customStyle="1" w:styleId="NoteHead">
    <w:name w:val="NoteHead"/>
    <w:basedOn w:val="Normal"/>
    <w:next w:val="Subject"/>
    <w:pPr>
      <w:widowControl/>
      <w:spacing w:before="720" w:after="720" w:line="240" w:lineRule="auto"/>
      <w:jc w:val="center"/>
    </w:pPr>
    <w:rPr>
      <w:b/>
      <w:smallCaps/>
      <w:lang w:eastAsia="en-US"/>
    </w:rPr>
  </w:style>
  <w:style w:type="paragraph" w:customStyle="1" w:styleId="Subject">
    <w:name w:val="Subject"/>
    <w:basedOn w:val="Normal"/>
    <w:next w:val="Normal"/>
    <w:pPr>
      <w:widowControl/>
      <w:spacing w:after="480" w:line="240" w:lineRule="auto"/>
      <w:ind w:left="1531" w:hanging="1531"/>
    </w:pPr>
    <w:rPr>
      <w:b/>
      <w:lang w:eastAsia="en-US"/>
    </w:rPr>
  </w:style>
  <w:style w:type="paragraph" w:customStyle="1" w:styleId="NoteList">
    <w:name w:val="NoteList"/>
    <w:basedOn w:val="Normal"/>
    <w:next w:val="Subject"/>
    <w:pPr>
      <w:widowControl/>
      <w:tabs>
        <w:tab w:val="left" w:pos="5823"/>
      </w:tabs>
      <w:spacing w:before="720" w:after="720" w:line="240" w:lineRule="auto"/>
      <w:ind w:left="5104" w:hanging="3119"/>
    </w:pPr>
    <w:rPr>
      <w:b/>
      <w:smallCaps/>
      <w:lang w:eastAsia="en-US"/>
    </w:rPr>
  </w:style>
  <w:style w:type="paragraph" w:styleId="Salutation">
    <w:name w:val="Salutation"/>
    <w:basedOn w:val="Normal"/>
    <w:next w:val="Normal"/>
    <w:link w:val="SalutationChar"/>
    <w:pPr>
      <w:widowControl/>
      <w:spacing w:after="240" w:line="240" w:lineRule="auto"/>
      <w:jc w:val="both"/>
    </w:pPr>
    <w:rPr>
      <w:lang w:eastAsia="en-US"/>
    </w:rPr>
  </w:style>
  <w:style w:type="character" w:customStyle="1" w:styleId="SalutationChar">
    <w:name w:val="Salutation Char"/>
    <w:basedOn w:val="DefaultParagraphFont"/>
    <w:link w:val="Salutation"/>
    <w:rPr>
      <w:sz w:val="24"/>
      <w:lang w:eastAsia="en-US"/>
    </w:rPr>
  </w:style>
  <w:style w:type="paragraph" w:customStyle="1" w:styleId="YReferences">
    <w:name w:val="YReferences"/>
    <w:basedOn w:val="Normal"/>
    <w:next w:val="Normal"/>
    <w:pPr>
      <w:widowControl/>
      <w:spacing w:after="480" w:line="240" w:lineRule="auto"/>
      <w:ind w:left="1531" w:hanging="1531"/>
      <w:jc w:val="both"/>
    </w:pPr>
    <w:rPr>
      <w:lang w:eastAsia="en-US"/>
    </w:rPr>
  </w:style>
  <w:style w:type="paragraph" w:customStyle="1" w:styleId="ListBullet1">
    <w:name w:val="List Bullet 1"/>
    <w:basedOn w:val="Text10"/>
    <w:pPr>
      <w:numPr>
        <w:numId w:val="30"/>
      </w:numPr>
      <w:spacing w:before="0" w:after="240"/>
    </w:pPr>
    <w:rPr>
      <w:rFonts w:eastAsia="Times New Roman"/>
      <w:szCs w:val="20"/>
    </w:rPr>
  </w:style>
  <w:style w:type="paragraph" w:customStyle="1" w:styleId="ListDash1">
    <w:name w:val="List Dash 1"/>
    <w:basedOn w:val="Text10"/>
    <w:pPr>
      <w:numPr>
        <w:numId w:val="31"/>
      </w:numPr>
      <w:spacing w:before="0" w:after="240"/>
    </w:pPr>
    <w:rPr>
      <w:rFonts w:eastAsia="Times New Roman"/>
      <w:szCs w:val="20"/>
    </w:rPr>
  </w:style>
  <w:style w:type="paragraph" w:customStyle="1" w:styleId="ListDash2">
    <w:name w:val="List Dash 2"/>
    <w:basedOn w:val="Text2"/>
    <w:pPr>
      <w:numPr>
        <w:numId w:val="32"/>
      </w:numPr>
      <w:spacing w:before="0" w:after="240"/>
    </w:pPr>
    <w:rPr>
      <w:rFonts w:eastAsia="Times New Roman"/>
      <w:szCs w:val="20"/>
    </w:rPr>
  </w:style>
  <w:style w:type="paragraph" w:customStyle="1" w:styleId="ListDash3">
    <w:name w:val="List Dash 3"/>
    <w:basedOn w:val="Text3"/>
    <w:pPr>
      <w:numPr>
        <w:numId w:val="33"/>
      </w:numPr>
      <w:spacing w:before="0" w:after="240"/>
    </w:pPr>
    <w:rPr>
      <w:rFonts w:eastAsia="Times New Roman"/>
      <w:szCs w:val="20"/>
    </w:rPr>
  </w:style>
  <w:style w:type="paragraph" w:customStyle="1" w:styleId="ListDash4">
    <w:name w:val="List Dash 4"/>
    <w:basedOn w:val="Text4"/>
    <w:pPr>
      <w:numPr>
        <w:numId w:val="34"/>
      </w:numPr>
      <w:tabs>
        <w:tab w:val="clear" w:pos="3163"/>
      </w:tabs>
      <w:spacing w:before="0" w:after="240"/>
      <w:ind w:left="2880" w:firstLine="0"/>
    </w:pPr>
    <w:rPr>
      <w:rFonts w:eastAsia="Times New Roman"/>
      <w:szCs w:val="20"/>
    </w:rPr>
  </w:style>
  <w:style w:type="paragraph" w:customStyle="1" w:styleId="ListNumberLevel2">
    <w:name w:val="List Number (Level 2)"/>
    <w:basedOn w:val="Normal"/>
    <w:pPr>
      <w:widowControl/>
      <w:tabs>
        <w:tab w:val="num" w:pos="1417"/>
      </w:tabs>
      <w:spacing w:after="240" w:line="240" w:lineRule="auto"/>
      <w:ind w:left="1417" w:hanging="708"/>
      <w:jc w:val="both"/>
    </w:pPr>
    <w:rPr>
      <w:lang w:eastAsia="en-US"/>
    </w:rPr>
  </w:style>
  <w:style w:type="paragraph" w:customStyle="1" w:styleId="ListNumberLevel3">
    <w:name w:val="List Number (Level 3)"/>
    <w:basedOn w:val="Normal"/>
    <w:pPr>
      <w:widowControl/>
      <w:tabs>
        <w:tab w:val="num" w:pos="2126"/>
      </w:tabs>
      <w:spacing w:after="240" w:line="240" w:lineRule="auto"/>
      <w:ind w:left="2126" w:hanging="709"/>
      <w:jc w:val="both"/>
    </w:pPr>
    <w:rPr>
      <w:lang w:eastAsia="en-US"/>
    </w:rPr>
  </w:style>
  <w:style w:type="paragraph" w:customStyle="1" w:styleId="ListNumberLevel4">
    <w:name w:val="List Number (Level 4)"/>
    <w:basedOn w:val="Normal"/>
    <w:pPr>
      <w:widowControl/>
      <w:tabs>
        <w:tab w:val="num" w:pos="2835"/>
      </w:tabs>
      <w:spacing w:after="240" w:line="240" w:lineRule="auto"/>
      <w:ind w:left="2835" w:hanging="709"/>
      <w:jc w:val="both"/>
    </w:pPr>
    <w:rPr>
      <w:lang w:eastAsia="en-US"/>
    </w:rPr>
  </w:style>
  <w:style w:type="paragraph" w:customStyle="1" w:styleId="ListNumber1">
    <w:name w:val="List Number 1"/>
    <w:basedOn w:val="Text10"/>
    <w:pPr>
      <w:numPr>
        <w:numId w:val="35"/>
      </w:numPr>
      <w:spacing w:before="0" w:after="240"/>
    </w:pPr>
    <w:rPr>
      <w:rFonts w:eastAsia="Times New Roman"/>
      <w:szCs w:val="20"/>
    </w:rPr>
  </w:style>
  <w:style w:type="paragraph" w:customStyle="1" w:styleId="ListNumber1Level2">
    <w:name w:val="List Number 1 (Level 2)"/>
    <w:basedOn w:val="Text10"/>
    <w:pPr>
      <w:numPr>
        <w:ilvl w:val="1"/>
        <w:numId w:val="35"/>
      </w:numPr>
      <w:spacing w:before="0" w:after="240"/>
    </w:pPr>
    <w:rPr>
      <w:rFonts w:eastAsia="Times New Roman"/>
      <w:szCs w:val="20"/>
    </w:rPr>
  </w:style>
  <w:style w:type="paragraph" w:customStyle="1" w:styleId="ListNumber1Level3">
    <w:name w:val="List Number 1 (Level 3)"/>
    <w:basedOn w:val="Text10"/>
    <w:pPr>
      <w:numPr>
        <w:ilvl w:val="2"/>
        <w:numId w:val="35"/>
      </w:numPr>
      <w:spacing w:before="0" w:after="240"/>
    </w:pPr>
    <w:rPr>
      <w:rFonts w:eastAsia="Times New Roman"/>
      <w:szCs w:val="20"/>
    </w:rPr>
  </w:style>
  <w:style w:type="paragraph" w:customStyle="1" w:styleId="ListNumber1Level4">
    <w:name w:val="List Number 1 (Level 4)"/>
    <w:basedOn w:val="Text10"/>
    <w:pPr>
      <w:numPr>
        <w:ilvl w:val="3"/>
        <w:numId w:val="35"/>
      </w:numPr>
      <w:spacing w:before="0" w:after="240"/>
    </w:pPr>
    <w:rPr>
      <w:rFonts w:eastAsia="Times New Roman"/>
      <w:szCs w:val="20"/>
    </w:rPr>
  </w:style>
  <w:style w:type="paragraph" w:customStyle="1" w:styleId="ListNumber2Level2">
    <w:name w:val="List Number 2 (Level 2)"/>
    <w:basedOn w:val="Text2"/>
    <w:pPr>
      <w:tabs>
        <w:tab w:val="num" w:pos="2494"/>
      </w:tabs>
      <w:spacing w:before="0" w:after="240"/>
      <w:ind w:left="2494" w:hanging="708"/>
    </w:pPr>
    <w:rPr>
      <w:rFonts w:eastAsia="Times New Roman"/>
      <w:szCs w:val="20"/>
    </w:rPr>
  </w:style>
  <w:style w:type="paragraph" w:customStyle="1" w:styleId="ListNumber2Level3">
    <w:name w:val="List Number 2 (Level 3)"/>
    <w:basedOn w:val="Text2"/>
    <w:pPr>
      <w:tabs>
        <w:tab w:val="num" w:pos="3203"/>
      </w:tabs>
      <w:spacing w:before="0" w:after="240"/>
      <w:ind w:left="3203" w:hanging="709"/>
    </w:pPr>
    <w:rPr>
      <w:rFonts w:eastAsia="Times New Roman"/>
      <w:szCs w:val="20"/>
    </w:rPr>
  </w:style>
  <w:style w:type="paragraph" w:customStyle="1" w:styleId="ListNumber2Level4">
    <w:name w:val="List Number 2 (Level 4)"/>
    <w:basedOn w:val="Text2"/>
    <w:pPr>
      <w:tabs>
        <w:tab w:val="num" w:pos="3912"/>
      </w:tabs>
      <w:spacing w:before="0" w:after="240"/>
      <w:ind w:left="3901" w:hanging="703"/>
    </w:pPr>
    <w:rPr>
      <w:rFonts w:eastAsia="Times New Roman"/>
      <w:szCs w:val="20"/>
    </w:rPr>
  </w:style>
  <w:style w:type="paragraph" w:customStyle="1" w:styleId="ListNumber3Level2">
    <w:name w:val="List Number 3 (Level 2)"/>
    <w:basedOn w:val="Text3"/>
    <w:pPr>
      <w:tabs>
        <w:tab w:val="num" w:pos="3333"/>
      </w:tabs>
      <w:spacing w:before="0" w:after="240"/>
      <w:ind w:left="3333" w:hanging="708"/>
    </w:pPr>
    <w:rPr>
      <w:rFonts w:eastAsia="Times New Roman"/>
      <w:szCs w:val="20"/>
    </w:rPr>
  </w:style>
  <w:style w:type="paragraph" w:customStyle="1" w:styleId="ListNumber3Level3">
    <w:name w:val="List Number 3 (Level 3)"/>
    <w:basedOn w:val="Text3"/>
    <w:pPr>
      <w:tabs>
        <w:tab w:val="num" w:pos="4042"/>
      </w:tabs>
      <w:spacing w:before="0" w:after="240"/>
      <w:ind w:left="4042" w:hanging="709"/>
    </w:pPr>
    <w:rPr>
      <w:rFonts w:eastAsia="Times New Roman"/>
      <w:szCs w:val="20"/>
    </w:rPr>
  </w:style>
  <w:style w:type="paragraph" w:customStyle="1" w:styleId="ListNumber3Level4">
    <w:name w:val="List Number 3 (Level 4)"/>
    <w:basedOn w:val="Text3"/>
    <w:pPr>
      <w:tabs>
        <w:tab w:val="num" w:pos="4751"/>
      </w:tabs>
      <w:spacing w:before="0" w:after="240"/>
      <w:ind w:left="4751" w:hanging="709"/>
    </w:pPr>
    <w:rPr>
      <w:rFonts w:eastAsia="Times New Roman"/>
      <w:szCs w:val="20"/>
    </w:rPr>
  </w:style>
  <w:style w:type="paragraph" w:customStyle="1" w:styleId="ListNumber4Level2">
    <w:name w:val="List Number 4 (Level 2)"/>
    <w:basedOn w:val="Text4"/>
    <w:pPr>
      <w:spacing w:before="0" w:after="240"/>
      <w:ind w:left="2880"/>
    </w:pPr>
    <w:rPr>
      <w:rFonts w:eastAsia="Times New Roman"/>
      <w:szCs w:val="20"/>
    </w:rPr>
  </w:style>
  <w:style w:type="paragraph" w:customStyle="1" w:styleId="ListNumber4Level3">
    <w:name w:val="List Number 4 (Level 3)"/>
    <w:basedOn w:val="Text4"/>
    <w:pPr>
      <w:spacing w:before="0" w:after="240"/>
      <w:ind w:left="2880"/>
    </w:pPr>
    <w:rPr>
      <w:rFonts w:eastAsia="Times New Roman"/>
      <w:szCs w:val="20"/>
    </w:rPr>
  </w:style>
  <w:style w:type="paragraph" w:customStyle="1" w:styleId="ListNumber4Level4">
    <w:name w:val="List Number 4 (Level 4)"/>
    <w:basedOn w:val="Text4"/>
    <w:pPr>
      <w:spacing w:before="0" w:after="240"/>
      <w:ind w:left="2880"/>
    </w:pPr>
    <w:rPr>
      <w:rFonts w:eastAsia="Times New Roman"/>
      <w:szCs w:val="20"/>
    </w:rPr>
  </w:style>
  <w:style w:type="paragraph" w:customStyle="1" w:styleId="Contact">
    <w:name w:val="Contact"/>
    <w:basedOn w:val="Normal"/>
    <w:next w:val="Normal"/>
    <w:pPr>
      <w:widowControl/>
      <w:spacing w:before="480" w:line="240" w:lineRule="auto"/>
      <w:ind w:left="567" w:hanging="567"/>
    </w:pPr>
    <w:rPr>
      <w:lang w:eastAsia="en-US"/>
    </w:rPr>
  </w:style>
  <w:style w:type="paragraph" w:customStyle="1" w:styleId="DisclaimerNotice">
    <w:name w:val="Disclaimer Notice"/>
    <w:basedOn w:val="Normal"/>
    <w:next w:val="AddressTR"/>
    <w:pPr>
      <w:widowControl/>
      <w:spacing w:after="240" w:line="240" w:lineRule="auto"/>
      <w:ind w:left="5103"/>
    </w:pPr>
    <w:rPr>
      <w:i/>
      <w:sz w:val="20"/>
      <w:lang w:eastAsia="en-US"/>
    </w:rPr>
  </w:style>
  <w:style w:type="paragraph" w:customStyle="1" w:styleId="Disclaimer">
    <w:name w:val="Disclaimer"/>
    <w:basedOn w:val="Normal"/>
    <w:pPr>
      <w:keepLines/>
      <w:widowControl/>
      <w:pBdr>
        <w:top w:val="single" w:sz="4" w:space="1" w:color="auto"/>
      </w:pBdr>
      <w:spacing w:before="480" w:line="240" w:lineRule="auto"/>
      <w:jc w:val="both"/>
    </w:pPr>
    <w:rPr>
      <w:i/>
      <w:lang w:eastAsia="en-US"/>
    </w:rPr>
  </w:style>
  <w:style w:type="paragraph" w:customStyle="1" w:styleId="DisclaimerSJ">
    <w:name w:val="Disclaimer_SJ"/>
    <w:basedOn w:val="Normal"/>
    <w:next w:val="Normal"/>
    <w:pPr>
      <w:widowControl/>
      <w:spacing w:line="240" w:lineRule="auto"/>
      <w:jc w:val="both"/>
    </w:pPr>
    <w:rPr>
      <w:rFonts w:ascii="Arial" w:hAnsi="Arial"/>
      <w:b/>
      <w:sz w:val="16"/>
      <w:lang w:eastAsia="en-US"/>
    </w:rPr>
  </w:style>
  <w:style w:type="paragraph" w:customStyle="1" w:styleId="Designator">
    <w:name w:val="Designator"/>
    <w:basedOn w:val="Normal"/>
    <w:pPr>
      <w:widowControl/>
      <w:spacing w:line="240" w:lineRule="auto"/>
      <w:jc w:val="center"/>
    </w:pPr>
    <w:rPr>
      <w:b/>
      <w:caps/>
      <w:sz w:val="32"/>
      <w:lang w:eastAsia="en-US"/>
    </w:rPr>
  </w:style>
  <w:style w:type="paragraph" w:customStyle="1" w:styleId="Releasable">
    <w:name w:val="Releasable"/>
    <w:basedOn w:val="Normal"/>
    <w:qFormat/>
    <w:pPr>
      <w:widowControl/>
      <w:spacing w:line="240" w:lineRule="auto"/>
      <w:jc w:val="center"/>
    </w:pPr>
    <w:rPr>
      <w:b/>
      <w:caps/>
      <w:sz w:val="32"/>
      <w:lang w:val="de-DE" w:eastAsia="en-US"/>
    </w:rPr>
  </w:style>
  <w:style w:type="paragraph" w:customStyle="1" w:styleId="RUE">
    <w:name w:val="RUE"/>
    <w:basedOn w:val="Normal"/>
    <w:pPr>
      <w:widowControl/>
      <w:spacing w:line="240" w:lineRule="auto"/>
      <w:jc w:val="center"/>
    </w:pPr>
    <w:rPr>
      <w:b/>
      <w:caps/>
      <w:sz w:val="32"/>
      <w:bdr w:val="single" w:sz="18" w:space="0" w:color="auto"/>
      <w:lang w:val="de-DE" w:eastAsia="en-US"/>
    </w:rPr>
  </w:style>
  <w:style w:type="paragraph" w:customStyle="1" w:styleId="ConfidentialUE">
    <w:name w:val="Confidential UE"/>
    <w:basedOn w:val="Normal"/>
    <w:pPr>
      <w:widowControl/>
      <w:spacing w:line="240" w:lineRule="auto"/>
      <w:jc w:val="center"/>
    </w:pPr>
    <w:rPr>
      <w:b/>
      <w:caps/>
      <w:sz w:val="32"/>
      <w:bdr w:val="single" w:sz="18" w:space="0" w:color="auto"/>
      <w:lang w:eastAsia="en-US"/>
    </w:rPr>
  </w:style>
  <w:style w:type="paragraph" w:customStyle="1" w:styleId="TrsSecretUE">
    <w:name w:val="Très Secret UE"/>
    <w:basedOn w:val="Normal"/>
    <w:pPr>
      <w:widowControl/>
      <w:spacing w:line="240" w:lineRule="auto"/>
      <w:jc w:val="center"/>
    </w:pPr>
    <w:rPr>
      <w:b/>
      <w:caps/>
      <w:color w:val="FF0000"/>
      <w:sz w:val="32"/>
      <w:bdr w:val="single" w:sz="18" w:space="0" w:color="FF0000"/>
      <w:lang w:eastAsia="en-US"/>
    </w:rPr>
  </w:style>
  <w:style w:type="paragraph" w:customStyle="1" w:styleId="SecretUE">
    <w:name w:val="Secret UE"/>
    <w:basedOn w:val="Normal"/>
    <w:pPr>
      <w:widowControl/>
      <w:spacing w:line="240" w:lineRule="auto"/>
      <w:jc w:val="center"/>
    </w:pPr>
    <w:rPr>
      <w:b/>
      <w:caps/>
      <w:color w:val="FF0000"/>
      <w:sz w:val="32"/>
      <w:bdr w:val="single" w:sz="18" w:space="0" w:color="FF0000"/>
      <w:lang w:eastAsia="en-US"/>
    </w:rPr>
  </w:style>
  <w:style w:type="numbering" w:customStyle="1" w:styleId="NoList11">
    <w:name w:val="No List11"/>
    <w:next w:val="NoList"/>
    <w:semiHidden/>
  </w:style>
  <w:style w:type="paragraph" w:customStyle="1" w:styleId="Listecouleur-Accent11">
    <w:name w:val="Liste couleur - Accent 11"/>
    <w:basedOn w:val="Normal"/>
    <w:pPr>
      <w:widowControl/>
      <w:spacing w:after="200" w:line="276" w:lineRule="auto"/>
      <w:ind w:left="720"/>
      <w:contextualSpacing/>
    </w:pPr>
    <w:rPr>
      <w:rFonts w:ascii="Calibri" w:eastAsia="Calibri" w:hAnsi="Calibri" w:cs="Calibri"/>
      <w:sz w:val="22"/>
      <w:szCs w:val="22"/>
      <w:lang w:val="en-US" w:eastAsia="en-US"/>
    </w:rPr>
  </w:style>
  <w:style w:type="table" w:customStyle="1" w:styleId="TableGrid1">
    <w:name w:val="Table Grid1"/>
    <w:basedOn w:val="TableNormal"/>
    <w:next w:val="TableGrid"/>
    <w:rPr>
      <w:rFonts w:ascii="Calibri" w:eastAsia="Calibri" w:hAnsi="Calibri" w:cs="Calibri"/>
      <w:lang w:val="fr-BE" w:eastAsia="fr-B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Style1"/>
    <w:basedOn w:val="Normal"/>
    <w:pPr>
      <w:widowControl/>
      <w:spacing w:after="200" w:line="276" w:lineRule="auto"/>
    </w:pPr>
    <w:rPr>
      <w:rFonts w:ascii="Calibri" w:eastAsia="Calibri" w:hAnsi="Calibri" w:cs="Calibri"/>
      <w:szCs w:val="24"/>
      <w:lang w:val="en-US" w:eastAsia="en-US"/>
    </w:rPr>
  </w:style>
  <w:style w:type="paragraph" w:customStyle="1" w:styleId="Style2">
    <w:name w:val="Style2"/>
    <w:basedOn w:val="Normal"/>
    <w:pPr>
      <w:widowControl/>
      <w:spacing w:after="200" w:line="276" w:lineRule="auto"/>
    </w:pPr>
    <w:rPr>
      <w:rFonts w:ascii="Calibri" w:eastAsia="Calibri" w:hAnsi="Calibri" w:cs="Calibri"/>
      <w:szCs w:val="24"/>
      <w:lang w:val="en-US" w:eastAsia="en-US"/>
    </w:rPr>
  </w:style>
  <w:style w:type="paragraph" w:customStyle="1" w:styleId="Listecouleur-Accent12">
    <w:name w:val="Liste couleur - Accent 12"/>
    <w:basedOn w:val="Normal"/>
    <w:pPr>
      <w:widowControl/>
      <w:spacing w:after="200" w:line="276" w:lineRule="auto"/>
      <w:ind w:left="720"/>
    </w:pPr>
    <w:rPr>
      <w:rFonts w:ascii="Calibri" w:eastAsia="Calibri" w:hAnsi="Calibri" w:cs="Calibri"/>
      <w:sz w:val="22"/>
      <w:szCs w:val="22"/>
      <w:lang w:val="en-US" w:eastAsia="en-US"/>
    </w:rPr>
  </w:style>
  <w:style w:type="character" w:customStyle="1" w:styleId="CommentTextChar1">
    <w:name w:val="Comment Text Char1"/>
    <w:semiHidden/>
    <w:rPr>
      <w:rFonts w:ascii="Times New Roman" w:eastAsia="Times New Roman" w:hAnsi="Times New Roman" w:cs="Times New Roman"/>
      <w:sz w:val="20"/>
      <w:szCs w:val="20"/>
      <w:lang w:val="en-GB"/>
    </w:rPr>
  </w:style>
  <w:style w:type="numbering" w:customStyle="1" w:styleId="NoList21">
    <w:name w:val="No List21"/>
    <w:next w:val="NoList"/>
    <w:semiHidden/>
  </w:style>
  <w:style w:type="numbering" w:customStyle="1" w:styleId="NoList5">
    <w:name w:val="No List5"/>
    <w:next w:val="NoList"/>
    <w:uiPriority w:val="99"/>
    <w:semiHidden/>
    <w:unhideWhenUsed/>
  </w:style>
  <w:style w:type="character" w:styleId="HTMLDefinition">
    <w:name w:val="HTML Definition"/>
    <w:basedOn w:val="DefaultParagraphFont"/>
    <w:uiPriority w:val="99"/>
    <w:unhideWhenUsed/>
    <w:rPr>
      <w:i/>
      <w:iCs/>
    </w:rPr>
  </w:style>
  <w:style w:type="character" w:customStyle="1" w:styleId="msoins0">
    <w:name w:val="msoins"/>
    <w:basedOn w:val="DefaultParagraphFont"/>
  </w:style>
  <w:style w:type="numbering" w:customStyle="1" w:styleId="NoList6">
    <w:name w:val="No List6"/>
    <w:next w:val="NoList"/>
    <w:uiPriority w:val="99"/>
    <w:semiHidden/>
    <w:unhideWhenUsed/>
  </w:style>
  <w:style w:type="table" w:customStyle="1" w:styleId="TableGrid2">
    <w:name w:val="Table Grid2"/>
    <w:basedOn w:val="TableNormal"/>
    <w:next w:val="TableGrid"/>
    <w:uiPriority w:val="59"/>
    <w:rPr>
      <w:rFonts w:eastAsiaTheme="minorHAnsi" w:cstheme="minorBidi"/>
      <w:sz w:val="24"/>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style>
  <w:style w:type="character" w:customStyle="1" w:styleId="formreadable1">
    <w:name w:val="formreadable1"/>
    <w:basedOn w:val="DefaultParagraphFont"/>
    <w:rPr>
      <w:rFonts w:ascii="Arial" w:hAnsi="Arial" w:cs="Arial" w:hint="default"/>
      <w:b/>
      <w:bCs/>
      <w:i w:val="0"/>
      <w:iCs w:val="0"/>
      <w:strike w:val="0"/>
      <w:dstrike w:val="0"/>
      <w:color w:val="000000"/>
      <w:sz w:val="17"/>
      <w:szCs w:val="17"/>
      <w:u w:val="none"/>
      <w:effect w:val="none"/>
      <w:shd w:val="clear" w:color="auto" w:fill="E6E6E6"/>
    </w:rPr>
  </w:style>
  <w:style w:type="numbering" w:customStyle="1" w:styleId="NoList7">
    <w:name w:val="No List7"/>
    <w:next w:val="NoList"/>
    <w:uiPriority w:val="99"/>
    <w:semiHidden/>
    <w:unhideWhenUsed/>
  </w:style>
  <w:style w:type="paragraph" w:customStyle="1" w:styleId="CM4">
    <w:name w:val="CM4"/>
    <w:basedOn w:val="Normal"/>
    <w:next w:val="Normal"/>
    <w:uiPriority w:val="99"/>
    <w:pPr>
      <w:widowControl/>
      <w:autoSpaceDE w:val="0"/>
      <w:autoSpaceDN w:val="0"/>
      <w:adjustRightInd w:val="0"/>
      <w:spacing w:before="60" w:after="60" w:line="240" w:lineRule="auto"/>
    </w:pPr>
    <w:rPr>
      <w:rFonts w:ascii="EUAlbertina" w:hAnsi="EUAlbertina"/>
      <w:szCs w:val="24"/>
      <w:lang w:val="en-CA" w:eastAsia="en-CA"/>
    </w:rPr>
  </w:style>
  <w:style w:type="numbering" w:customStyle="1" w:styleId="List01">
    <w:name w:val="List 01"/>
    <w:basedOn w:val="NoList"/>
    <w:pPr>
      <w:numPr>
        <w:numId w:val="23"/>
      </w:numPr>
    </w:pPr>
  </w:style>
  <w:style w:type="numbering" w:customStyle="1" w:styleId="List1">
    <w:name w:val="List 1"/>
    <w:basedOn w:val="NoList"/>
    <w:pPr>
      <w:numPr>
        <w:numId w:val="36"/>
      </w:numPr>
    </w:p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A">
    <w:name w:val="Body A"/>
    <w:pPr>
      <w:pBdr>
        <w:top w:val="nil"/>
        <w:left w:val="nil"/>
        <w:bottom w:val="nil"/>
        <w:right w:val="nil"/>
        <w:between w:val="nil"/>
        <w:bar w:val="nil"/>
      </w:pBdr>
    </w:pPr>
    <w:rPr>
      <w:rFonts w:ascii="Calibri" w:eastAsia="Calibri" w:hAnsi="Calibri" w:cs="Calibri"/>
      <w:color w:val="000000"/>
      <w:sz w:val="22"/>
      <w:szCs w:val="22"/>
      <w:u w:color="000000"/>
      <w:bdr w:val="nil"/>
      <w:lang w:val="en-US" w:eastAsia="en-CA"/>
    </w:rPr>
  </w:style>
  <w:style w:type="numbering" w:customStyle="1" w:styleId="NoList8">
    <w:name w:val="No List8"/>
    <w:next w:val="NoList"/>
    <w:uiPriority w:val="99"/>
    <w:semiHidden/>
    <w:unhideWhenUsed/>
  </w:style>
  <w:style w:type="paragraph" w:customStyle="1" w:styleId="Level1">
    <w:name w:val="Level 1"/>
    <w:uiPriority w:val="99"/>
    <w:pPr>
      <w:ind w:left="720"/>
      <w:jc w:val="both"/>
    </w:pPr>
    <w:rPr>
      <w:sz w:val="24"/>
      <w:lang w:val="en-US" w:eastAsia="en-US"/>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BodyTextIn">
    <w:name w:val="Body Text In"/>
    <w:uiPriority w:val="99"/>
    <w:pPr>
      <w:tabs>
        <w:tab w:val="left" w:pos="28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ind w:left="282"/>
    </w:pPr>
    <w:rPr>
      <w:lang w:val="en-CA" w:eastAsia="en-US"/>
    </w:rPr>
  </w:style>
  <w:style w:type="paragraph" w:customStyle="1" w:styleId="Clause">
    <w:name w:val="Clause"/>
    <w:basedOn w:val="Normal"/>
    <w:uiPriority w:val="99"/>
    <w:pPr>
      <w:widowControl/>
      <w:tabs>
        <w:tab w:val="left" w:pos="720"/>
        <w:tab w:val="left" w:pos="1440"/>
        <w:tab w:val="left" w:pos="2160"/>
      </w:tabs>
      <w:spacing w:after="240" w:line="240" w:lineRule="auto"/>
      <w:ind w:left="2160" w:hanging="720"/>
    </w:pPr>
    <w:rPr>
      <w:lang w:val="en-US" w:eastAsia="en-US"/>
    </w:rPr>
  </w:style>
  <w:style w:type="paragraph" w:customStyle="1" w:styleId="num">
    <w:name w:val="num"/>
    <w:basedOn w:val="Normal"/>
    <w:pPr>
      <w:widowControl/>
      <w:spacing w:after="240" w:line="240" w:lineRule="auto"/>
      <w:ind w:left="850" w:hanging="850"/>
      <w:jc w:val="both"/>
    </w:pPr>
    <w:rPr>
      <w:rFonts w:eastAsia="Batang"/>
      <w:lang w:eastAsia="en-GB"/>
    </w:rPr>
  </w:style>
  <w:style w:type="paragraph" w:customStyle="1" w:styleId="para">
    <w:name w:val="para"/>
    <w:basedOn w:val="Normal"/>
    <w:pPr>
      <w:widowControl/>
      <w:spacing w:after="240" w:line="240" w:lineRule="auto"/>
    </w:pPr>
    <w:rPr>
      <w:rFonts w:eastAsia="Batang"/>
      <w:lang w:val="en-US" w:eastAsia="en-US"/>
    </w:rPr>
  </w:style>
  <w:style w:type="paragraph" w:customStyle="1" w:styleId="body0">
    <w:name w:val="body"/>
    <w:basedOn w:val="Normal"/>
    <w:uiPriority w:val="99"/>
    <w:pPr>
      <w:widowControl/>
      <w:spacing w:before="100" w:beforeAutospacing="1" w:after="100" w:afterAutospacing="1" w:line="240" w:lineRule="auto"/>
    </w:pPr>
    <w:rPr>
      <w:rFonts w:eastAsiaTheme="minorHAnsi"/>
      <w:szCs w:val="24"/>
      <w:lang w:val="en-CA" w:eastAsia="en-CA"/>
    </w:rPr>
  </w:style>
  <w:style w:type="numbering" w:customStyle="1" w:styleId="NoList9">
    <w:name w:val="No List9"/>
    <w:next w:val="NoList"/>
    <w:uiPriority w:val="99"/>
    <w:semiHidden/>
    <w:unhideWhenUsed/>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character" w:customStyle="1" w:styleId="hps">
    <w:name w:val="hps"/>
  </w:style>
  <w:style w:type="numbering" w:customStyle="1" w:styleId="NoList10">
    <w:name w:val="No List10"/>
    <w:next w:val="NoList"/>
    <w:uiPriority w:val="99"/>
    <w:semiHidden/>
    <w:unhideWhenUsed/>
  </w:style>
  <w:style w:type="numbering" w:customStyle="1" w:styleId="NoList12">
    <w:name w:val="No List12"/>
    <w:next w:val="NoList"/>
    <w:uiPriority w:val="99"/>
    <w:semiHidden/>
    <w:unhideWhenUsed/>
  </w:style>
  <w:style w:type="paragraph" w:customStyle="1" w:styleId="Point10">
    <w:name w:val="Point 1"/>
    <w:basedOn w:val="Normal"/>
    <w:pPr>
      <w:widowControl/>
      <w:spacing w:before="120" w:after="120" w:line="240" w:lineRule="auto"/>
      <w:ind w:left="1417" w:hanging="567"/>
      <w:jc w:val="both"/>
    </w:pPr>
    <w:rPr>
      <w:rFonts w:eastAsiaTheme="minorHAnsi"/>
      <w:szCs w:val="22"/>
      <w:lang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0">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37"/>
      </w:numPr>
    </w:pPr>
  </w:style>
  <w:style w:type="paragraph" w:customStyle="1" w:styleId="Tiret1">
    <w:name w:val="Tiret 1"/>
    <w:basedOn w:val="Point10"/>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0"/>
    <w:pPr>
      <w:widowControl/>
      <w:numPr>
        <w:numId w:val="42"/>
      </w:numPr>
      <w:spacing w:before="120" w:after="120" w:line="240" w:lineRule="auto"/>
      <w:jc w:val="both"/>
    </w:pPr>
    <w:rPr>
      <w:rFonts w:eastAsiaTheme="minorHAnsi"/>
      <w:szCs w:val="22"/>
      <w:lang w:eastAsia="en-US"/>
    </w:rPr>
  </w:style>
  <w:style w:type="paragraph" w:customStyle="1" w:styleId="NumPar2">
    <w:name w:val="NumPar 2"/>
    <w:basedOn w:val="Normal"/>
    <w:next w:val="Text10"/>
    <w:pPr>
      <w:widowControl/>
      <w:numPr>
        <w:ilvl w:val="1"/>
        <w:numId w:val="42"/>
      </w:numPr>
      <w:spacing w:before="120" w:after="120" w:line="240" w:lineRule="auto"/>
      <w:jc w:val="both"/>
    </w:pPr>
    <w:rPr>
      <w:rFonts w:eastAsiaTheme="minorHAnsi"/>
      <w:szCs w:val="22"/>
      <w:lang w:eastAsia="en-US"/>
    </w:rPr>
  </w:style>
  <w:style w:type="paragraph" w:customStyle="1" w:styleId="NumPar3">
    <w:name w:val="NumPar 3"/>
    <w:basedOn w:val="Normal"/>
    <w:next w:val="Text10"/>
    <w:pPr>
      <w:widowControl/>
      <w:numPr>
        <w:ilvl w:val="2"/>
        <w:numId w:val="42"/>
      </w:numPr>
      <w:spacing w:before="120" w:after="120" w:line="240" w:lineRule="auto"/>
      <w:jc w:val="both"/>
    </w:pPr>
    <w:rPr>
      <w:rFonts w:eastAsiaTheme="minorHAnsi"/>
      <w:szCs w:val="22"/>
      <w:lang w:eastAsia="en-US"/>
    </w:rPr>
  </w:style>
  <w:style w:type="paragraph" w:customStyle="1" w:styleId="NumPar4">
    <w:name w:val="NumPar 4"/>
    <w:basedOn w:val="Normal"/>
    <w:next w:val="Text10"/>
    <w:pPr>
      <w:widowControl/>
      <w:numPr>
        <w:ilvl w:val="3"/>
        <w:numId w:val="42"/>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0"/>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0"/>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0"/>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0"/>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44"/>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44"/>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44"/>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44"/>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44"/>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44"/>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44"/>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44"/>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44"/>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45"/>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46"/>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47"/>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48"/>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49"/>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50"/>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bCs/>
      <w:szCs w:val="24"/>
    </w:rPr>
  </w:style>
  <w:style w:type="character" w:customStyle="1" w:styleId="FooterCoverPageChar">
    <w:name w:val="Footer Cover Page Char"/>
    <w:basedOn w:val="DefaultParagraphFont"/>
    <w:link w:val="FooterCoverPage"/>
    <w:rPr>
      <w:bCs/>
      <w:sz w:val="24"/>
      <w:szCs w:val="24"/>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bCs/>
      <w:szCs w:val="24"/>
    </w:rPr>
  </w:style>
  <w:style w:type="character" w:customStyle="1" w:styleId="HeaderCoverPageChar">
    <w:name w:val="Header Cover Page Char"/>
    <w:basedOn w:val="DefaultParagraphFont"/>
    <w:link w:val="HeaderCoverPage"/>
    <w:rPr>
      <w:bCs/>
      <w:sz w:val="24"/>
      <w:szCs w:val="24"/>
      <w:lang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0" w:qFormat="1"/>
    <w:lsdException w:name="table of figures" w:uiPriority="0"/>
    <w:lsdException w:name="envelope address" w:uiPriority="0"/>
    <w:lsdException w:name="envelope return"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uiPriority w:val="9"/>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uiPriority w:val="99"/>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character" w:customStyle="1" w:styleId="Heading5Char">
    <w:name w:val="Heading 5 Char"/>
    <w:basedOn w:val="DefaultParagraphFont"/>
    <w:link w:val="Heading5"/>
    <w:uiPriority w:val="9"/>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nhideWhenUsed/>
    <w:pPr>
      <w:widowControl/>
      <w:spacing w:before="120" w:line="240" w:lineRule="auto"/>
      <w:jc w:val="both"/>
    </w:pPr>
    <w:rPr>
      <w:rFonts w:eastAsiaTheme="minorHAnsi"/>
      <w:szCs w:val="22"/>
      <w:lang w:eastAsia="en-US"/>
    </w:rPr>
  </w:style>
  <w:style w:type="paragraph" w:styleId="ListBullet">
    <w:name w:val="List Bullet"/>
    <w:basedOn w:val="Normal"/>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rPr>
      <w:rFonts w:ascii="Tahoma" w:hAnsi="Tahoma" w:cs="Tahoma"/>
      <w:sz w:val="16"/>
      <w:szCs w:val="16"/>
      <w:lang w:eastAsia="fr-BE"/>
    </w:rPr>
  </w:style>
  <w:style w:type="paragraph" w:styleId="BodyText">
    <w:name w:val="Body Text"/>
    <w:aliases w:val="Texto independiente Car,Car1 Car, Car1 Car"/>
    <w:basedOn w:val="Normal"/>
    <w:link w:val="BodyTextChar"/>
    <w:uiPriority w:val="99"/>
    <w:pPr>
      <w:widowControl/>
      <w:suppressAutoHyphens/>
      <w:spacing w:before="120" w:after="120" w:line="240" w:lineRule="auto"/>
      <w:jc w:val="both"/>
    </w:pPr>
    <w:rPr>
      <w:rFonts w:eastAsia="Batang"/>
      <w:kern w:val="1"/>
      <w:lang w:eastAsia="ar-SA"/>
    </w:rPr>
  </w:style>
  <w:style w:type="character" w:customStyle="1" w:styleId="BodyTextChar">
    <w:name w:val="Body Text Char"/>
    <w:aliases w:val="Texto independiente Car Char,Car1 Car Char, Car1 Car Char"/>
    <w:basedOn w:val="DefaultParagraphFont"/>
    <w:link w:val="BodyText"/>
    <w:uiPriority w:val="99"/>
    <w:rPr>
      <w:rFonts w:eastAsia="Batang"/>
      <w:kern w:val="1"/>
      <w:sz w:val="24"/>
      <w:lang w:eastAsia="ar-SA"/>
    </w:rPr>
  </w:style>
  <w:style w:type="character" w:customStyle="1" w:styleId="ManualNumPar1Char">
    <w:name w:val="Manual NumPar 1 Char"/>
    <w:locked/>
    <w:rPr>
      <w:rFonts w:ascii="Times New Roman" w:hAnsi="Times New Roman" w:cs="Times New Roman"/>
      <w:sz w:val="24"/>
      <w:lang w:val="en-GB"/>
    </w:rPr>
  </w:style>
  <w:style w:type="character" w:customStyle="1" w:styleId="Text1Char">
    <w:name w:val="Text 1 Char"/>
    <w:rPr>
      <w:rFonts w:ascii="Times New Roman" w:hAnsi="Times New Roman" w:cs="Times New Roman"/>
      <w:sz w:val="24"/>
      <w:lang w:val="en-GB"/>
    </w:rPr>
  </w:style>
  <w:style w:type="paragraph" w:customStyle="1" w:styleId="Annexetitreacte">
    <w:name w:val="Annexe titre (acte)"/>
    <w:basedOn w:val="Normal"/>
    <w:next w:val="Normal"/>
    <w:pPr>
      <w:widowControl/>
      <w:spacing w:before="120" w:after="120" w:line="240" w:lineRule="auto"/>
      <w:jc w:val="center"/>
    </w:pPr>
    <w:rPr>
      <w:b/>
      <w:bCs/>
      <w:szCs w:val="24"/>
      <w:u w:val="single"/>
      <w:lang w:eastAsia="de-DE"/>
    </w:rPr>
  </w:style>
  <w:style w:type="paragraph" w:styleId="ListParagraph">
    <w:name w:val="List Paragraph"/>
    <w:basedOn w:val="Normal"/>
    <w:uiPriority w:val="34"/>
    <w:qFormat/>
    <w:pPr>
      <w:widowControl/>
      <w:spacing w:after="200" w:line="276" w:lineRule="auto"/>
      <w:ind w:left="720"/>
      <w:contextualSpacing/>
    </w:pPr>
    <w:rPr>
      <w:rFonts w:asciiTheme="minorHAnsi" w:eastAsiaTheme="minorHAnsi" w:hAnsiTheme="minorHAnsi" w:cstheme="minorBidi"/>
      <w:sz w:val="22"/>
      <w:szCs w:val="22"/>
      <w:lang w:val="en-CA" w:eastAsia="en-US"/>
    </w:rPr>
  </w:style>
  <w:style w:type="numbering" w:customStyle="1" w:styleId="NoList1">
    <w:name w:val="No List1"/>
    <w:next w:val="NoList"/>
    <w:uiPriority w:val="99"/>
    <w:semiHidden/>
    <w:unhideWhenUsed/>
  </w:style>
  <w:style w:type="paragraph" w:customStyle="1" w:styleId="Car">
    <w:name w:val="Car"/>
    <w:basedOn w:val="Normal"/>
    <w:uiPriority w:val="99"/>
    <w:pPr>
      <w:widowControl/>
      <w:spacing w:line="240" w:lineRule="auto"/>
    </w:pPr>
    <w:rPr>
      <w:szCs w:val="24"/>
      <w:lang w:val="pl-PL" w:eastAsia="pl-PL"/>
    </w:rPr>
  </w:style>
  <w:style w:type="paragraph" w:customStyle="1" w:styleId="Blockquote">
    <w:name w:val="Blockquote"/>
    <w:basedOn w:val="Normal"/>
    <w:uiPriority w:val="99"/>
    <w:pPr>
      <w:widowControl/>
      <w:pBdr>
        <w:top w:val="dashSmallGap" w:sz="6" w:space="7" w:color="DDDDDD"/>
        <w:left w:val="dashSmallGap" w:sz="6" w:space="7" w:color="DDDDDD"/>
        <w:bottom w:val="dashSmallGap" w:sz="6" w:space="7" w:color="DDDDDD"/>
        <w:right w:val="dashSmallGap" w:sz="6" w:space="7" w:color="DDDDDD"/>
      </w:pBdr>
      <w:shd w:val="solid" w:color="FFFFFF" w:fill="auto"/>
      <w:spacing w:line="240" w:lineRule="auto"/>
    </w:pPr>
    <w:rPr>
      <w:rFonts w:ascii="Verdana" w:hAnsi="Verdana" w:cs="Verdana"/>
      <w:sz w:val="20"/>
      <w:szCs w:val="24"/>
      <w:bdr w:val="dashSmallGap" w:sz="6" w:space="0" w:color="DDDDDD"/>
      <w:shd w:val="solid" w:color="FFFFFF" w:fill="auto"/>
      <w:lang w:val="ru-RU" w:eastAsia="ru-RU"/>
    </w:rPr>
  </w:style>
  <w:style w:type="paragraph" w:customStyle="1" w:styleId="Preformatted">
    <w:name w:val="Preformatted"/>
    <w:basedOn w:val="Normal"/>
    <w:uiPriority w:val="99"/>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sz w:val="20"/>
      <w:lang w:val="es-GT" w:eastAsia="en-US"/>
    </w:rPr>
  </w:style>
  <w:style w:type="character" w:customStyle="1" w:styleId="Point1Char">
    <w:name w:val="Point 1 Char"/>
    <w:basedOn w:val="DefaultParagraphFont"/>
    <w:uiPriority w:val="99"/>
    <w:locked/>
    <w:rPr>
      <w:rFonts w:ascii="Times New Roman" w:hAnsi="Times New Roman" w:cs="Times New Roman"/>
      <w:sz w:val="24"/>
      <w:lang w:val="en-GB"/>
    </w:rPr>
  </w:style>
  <w:style w:type="paragraph" w:customStyle="1" w:styleId="ListDash">
    <w:name w:val="List Dash"/>
    <w:basedOn w:val="Normal"/>
    <w:pPr>
      <w:widowControl/>
      <w:numPr>
        <w:numId w:val="24"/>
      </w:numPr>
      <w:spacing w:after="240" w:line="240" w:lineRule="auto"/>
      <w:jc w:val="both"/>
    </w:pPr>
    <w:rPr>
      <w:lang w:eastAsia="en-US"/>
    </w:rPr>
  </w:style>
  <w:style w:type="character" w:styleId="Strong">
    <w:name w:val="Strong"/>
    <w:basedOn w:val="DefaultParagraphFont"/>
    <w:uiPriority w:val="22"/>
    <w:qFormat/>
    <w:rPr>
      <w:rFonts w:cs="Times New Roman"/>
      <w:b/>
      <w:bCs/>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H5">
    <w:name w:val="H5"/>
    <w:basedOn w:val="Normal"/>
    <w:next w:val="Normal"/>
    <w:uiPriority w:val="99"/>
    <w:pPr>
      <w:keepNext/>
      <w:widowControl/>
      <w:spacing w:before="100" w:after="100" w:line="240" w:lineRule="auto"/>
      <w:outlineLvl w:val="5"/>
    </w:pPr>
    <w:rPr>
      <w:b/>
      <w:bCs/>
      <w:sz w:val="20"/>
      <w:lang w:val="es-GT" w:eastAsia="en-US"/>
    </w:rPr>
  </w:style>
  <w:style w:type="paragraph" w:styleId="DocumentMap">
    <w:name w:val="Document Map"/>
    <w:basedOn w:val="Normal"/>
    <w:link w:val="DocumentMapChar"/>
    <w:pPr>
      <w:widowControl/>
      <w:shd w:val="clear" w:color="auto" w:fill="000080"/>
      <w:spacing w:line="240" w:lineRule="auto"/>
    </w:pPr>
    <w:rPr>
      <w:rFonts w:ascii="Tahoma" w:hAnsi="Tahoma" w:cs="Tahoma"/>
      <w:szCs w:val="24"/>
      <w:lang w:eastAsia="en-GB"/>
    </w:rPr>
  </w:style>
  <w:style w:type="character" w:customStyle="1" w:styleId="DocumentMapChar">
    <w:name w:val="Document Map Char"/>
    <w:basedOn w:val="DefaultParagraphFont"/>
    <w:link w:val="DocumentMap"/>
    <w:rPr>
      <w:rFonts w:ascii="Tahoma" w:hAnsi="Tahoma" w:cs="Tahoma"/>
      <w:sz w:val="24"/>
      <w:szCs w:val="24"/>
      <w:shd w:val="clear" w:color="auto" w:fill="000080"/>
    </w:rPr>
  </w:style>
  <w:style w:type="paragraph" w:styleId="Revision">
    <w:name w:val="Revision"/>
    <w:hidden/>
    <w:uiPriority w:val="99"/>
    <w:semiHidden/>
    <w:rPr>
      <w:sz w:val="24"/>
      <w:szCs w:val="24"/>
    </w:rPr>
  </w:style>
  <w:style w:type="character" w:styleId="Emphasis">
    <w:name w:val="Emphasis"/>
    <w:basedOn w:val="DefaultParagraphFont"/>
    <w:qFormat/>
    <w:rPr>
      <w:i/>
      <w:iCs/>
    </w:rPr>
  </w:style>
  <w:style w:type="numbering" w:customStyle="1" w:styleId="List0">
    <w:name w:val="List 0"/>
    <w:basedOn w:val="NoList"/>
    <w:pPr>
      <w:numPr>
        <w:numId w:val="25"/>
      </w:numPr>
    </w:pPr>
  </w:style>
  <w:style w:type="numbering" w:customStyle="1" w:styleId="List21">
    <w:name w:val="List 21"/>
    <w:basedOn w:val="NoList"/>
    <w:pPr>
      <w:numPr>
        <w:numId w:val="26"/>
      </w:numPr>
    </w:pPr>
  </w:style>
  <w:style w:type="numbering" w:customStyle="1" w:styleId="List31">
    <w:name w:val="List 31"/>
    <w:basedOn w:val="NoList"/>
    <w:pPr>
      <w:numPr>
        <w:numId w:val="27"/>
      </w:numPr>
    </w:pPr>
  </w:style>
  <w:style w:type="character" w:styleId="FollowedHyperlink">
    <w:name w:val="FollowedHyperlink"/>
    <w:basedOn w:val="DefaultParagraphFont"/>
    <w:unhideWhenUsed/>
    <w:rPr>
      <w:color w:val="800080"/>
      <w:u w:val="single"/>
    </w:rPr>
  </w:style>
  <w:style w:type="paragraph" w:customStyle="1" w:styleId="xl65">
    <w:name w:val="xl65"/>
    <w:basedOn w:val="Normal"/>
    <w:pPr>
      <w:widowControl/>
      <w:pBdr>
        <w:top w:val="single" w:sz="8" w:space="0" w:color="D4D4D4"/>
        <w:left w:val="single" w:sz="8" w:space="0" w:color="D4D4D4"/>
        <w:bottom w:val="single" w:sz="8" w:space="0" w:color="D4D4D4"/>
        <w:right w:val="single" w:sz="8" w:space="0" w:color="D4D4D4"/>
      </w:pBdr>
      <w:spacing w:before="100" w:beforeAutospacing="1" w:after="100" w:afterAutospacing="1" w:line="240" w:lineRule="auto"/>
      <w:jc w:val="center"/>
      <w:textAlignment w:val="center"/>
    </w:pPr>
    <w:rPr>
      <w:color w:val="222222"/>
      <w:szCs w:val="24"/>
      <w:lang w:eastAsia="en-GB"/>
    </w:rPr>
  </w:style>
  <w:style w:type="paragraph" w:customStyle="1" w:styleId="xl66">
    <w:name w:val="xl66"/>
    <w:basedOn w:val="Normal"/>
    <w:pPr>
      <w:widowControl/>
      <w:pBdr>
        <w:top w:val="single" w:sz="8" w:space="0" w:color="D4D4D4"/>
        <w:bottom w:val="single" w:sz="8" w:space="0" w:color="D4D4D4"/>
        <w:right w:val="single" w:sz="8" w:space="0" w:color="D4D4D4"/>
      </w:pBdr>
      <w:spacing w:before="100" w:beforeAutospacing="1" w:after="100" w:afterAutospacing="1" w:line="240" w:lineRule="auto"/>
      <w:jc w:val="center"/>
      <w:textAlignment w:val="center"/>
    </w:pPr>
    <w:rPr>
      <w:color w:val="222222"/>
      <w:szCs w:val="24"/>
      <w:lang w:eastAsia="en-GB"/>
    </w:rPr>
  </w:style>
  <w:style w:type="paragraph" w:customStyle="1" w:styleId="xl67">
    <w:name w:val="xl67"/>
    <w:basedOn w:val="Normal"/>
    <w:pPr>
      <w:widowControl/>
      <w:spacing w:before="100" w:beforeAutospacing="1" w:after="100" w:afterAutospacing="1" w:line="240" w:lineRule="auto"/>
      <w:textAlignment w:val="top"/>
    </w:pPr>
    <w:rPr>
      <w:szCs w:val="24"/>
      <w:lang w:eastAsia="en-GB"/>
    </w:rPr>
  </w:style>
  <w:style w:type="paragraph" w:customStyle="1" w:styleId="xl68">
    <w:name w:val="xl68"/>
    <w:basedOn w:val="Normal"/>
    <w:pPr>
      <w:widowControl/>
      <w:spacing w:before="100" w:beforeAutospacing="1" w:after="100" w:afterAutospacing="1" w:line="240" w:lineRule="auto"/>
      <w:textAlignment w:val="top"/>
    </w:pPr>
    <w:rPr>
      <w:szCs w:val="24"/>
      <w:lang w:eastAsia="en-GB"/>
    </w:rPr>
  </w:style>
  <w:style w:type="paragraph" w:customStyle="1" w:styleId="xl69">
    <w:name w:val="xl69"/>
    <w:basedOn w:val="Normal"/>
    <w:pPr>
      <w:widowControl/>
      <w:spacing w:before="100" w:beforeAutospacing="1" w:after="100" w:afterAutospacing="1" w:line="240" w:lineRule="auto"/>
      <w:jc w:val="center"/>
      <w:textAlignment w:val="top"/>
    </w:pPr>
    <w:rPr>
      <w:szCs w:val="24"/>
      <w:lang w:eastAsia="en-GB"/>
    </w:rPr>
  </w:style>
  <w:style w:type="paragraph" w:customStyle="1" w:styleId="xl70">
    <w:name w:val="xl70"/>
    <w:basedOn w:val="Normal"/>
    <w:pPr>
      <w:widowControl/>
      <w:spacing w:before="100" w:beforeAutospacing="1" w:after="100" w:afterAutospacing="1" w:line="240" w:lineRule="auto"/>
      <w:jc w:val="center"/>
    </w:pPr>
    <w:rPr>
      <w:szCs w:val="24"/>
      <w:lang w:eastAsia="en-GB"/>
    </w:rPr>
  </w:style>
  <w:style w:type="paragraph" w:customStyle="1" w:styleId="xl71">
    <w:name w:val="xl71"/>
    <w:basedOn w:val="Normal"/>
    <w:pPr>
      <w:widowControl/>
      <w:spacing w:before="100" w:beforeAutospacing="1" w:after="100" w:afterAutospacing="1" w:line="240" w:lineRule="auto"/>
      <w:jc w:val="center"/>
      <w:textAlignment w:val="top"/>
    </w:pPr>
    <w:rPr>
      <w:szCs w:val="24"/>
      <w:lang w:eastAsia="en-GB"/>
    </w:rPr>
  </w:style>
  <w:style w:type="paragraph" w:customStyle="1" w:styleId="xl72">
    <w:name w:val="xl72"/>
    <w:basedOn w:val="Normal"/>
    <w:pPr>
      <w:widowControl/>
      <w:spacing w:before="100" w:beforeAutospacing="1" w:after="100" w:afterAutospacing="1" w:line="240" w:lineRule="auto"/>
      <w:jc w:val="center"/>
      <w:textAlignment w:val="top"/>
    </w:pPr>
    <w:rPr>
      <w:rFonts w:ascii="Arial" w:hAnsi="Arial" w:cs="Arial"/>
      <w:szCs w:val="24"/>
      <w:lang w:eastAsia="en-GB"/>
    </w:rPr>
  </w:style>
  <w:style w:type="paragraph" w:customStyle="1" w:styleId="xl73">
    <w:name w:val="xl73"/>
    <w:basedOn w:val="Normal"/>
    <w:pPr>
      <w:widowControl/>
      <w:spacing w:before="100" w:beforeAutospacing="1" w:after="100" w:afterAutospacing="1" w:line="240" w:lineRule="auto"/>
      <w:jc w:val="center"/>
      <w:textAlignment w:val="top"/>
    </w:pPr>
    <w:rPr>
      <w:rFonts w:ascii="Arial" w:hAnsi="Arial" w:cs="Arial"/>
      <w:szCs w:val="24"/>
      <w:lang w:eastAsia="en-GB"/>
    </w:rPr>
  </w:style>
  <w:style w:type="paragraph" w:customStyle="1" w:styleId="xl74">
    <w:name w:val="xl74"/>
    <w:basedOn w:val="Normal"/>
    <w:pPr>
      <w:widowControl/>
      <w:spacing w:before="100" w:beforeAutospacing="1" w:after="100" w:afterAutospacing="1" w:line="240" w:lineRule="auto"/>
      <w:textAlignment w:val="top"/>
    </w:pPr>
    <w:rPr>
      <w:rFonts w:ascii="Arial" w:hAnsi="Arial" w:cs="Arial"/>
      <w:szCs w:val="24"/>
      <w:lang w:eastAsia="en-GB"/>
    </w:rPr>
  </w:style>
  <w:style w:type="paragraph" w:customStyle="1" w:styleId="font5">
    <w:name w:val="font5"/>
    <w:basedOn w:val="Normal"/>
    <w:pPr>
      <w:widowControl/>
      <w:spacing w:before="100" w:beforeAutospacing="1" w:after="100" w:afterAutospacing="1" w:line="240" w:lineRule="auto"/>
    </w:pPr>
    <w:rPr>
      <w:rFonts w:ascii="Arial" w:hAnsi="Arial" w:cs="Arial"/>
      <w:color w:val="000000"/>
      <w:sz w:val="20"/>
      <w:lang w:eastAsia="en-GB"/>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0"/>
      <w:lang w:eastAsia="en-GB"/>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color w:val="000000"/>
      <w:sz w:val="20"/>
      <w:lang w:eastAsia="en-GB"/>
    </w:rPr>
  </w:style>
  <w:style w:type="paragraph" w:customStyle="1" w:styleId="xl77">
    <w:name w:val="xl77"/>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color w:val="000000"/>
      <w:sz w:val="20"/>
      <w:lang w:eastAsia="en-GB"/>
    </w:rPr>
  </w:style>
  <w:style w:type="paragraph" w:customStyle="1" w:styleId="xl78">
    <w:name w:val="xl78"/>
    <w:basedOn w:val="Normal"/>
    <w:pPr>
      <w:widowControl/>
      <w:spacing w:before="100" w:beforeAutospacing="1" w:after="100" w:afterAutospacing="1" w:line="240" w:lineRule="auto"/>
      <w:jc w:val="right"/>
    </w:pPr>
    <w:rPr>
      <w:rFonts w:ascii="Arial" w:hAnsi="Arial" w:cs="Arial"/>
      <w:b/>
      <w:bCs/>
      <w:sz w:val="20"/>
      <w:lang w:eastAsia="en-GB"/>
    </w:rPr>
  </w:style>
  <w:style w:type="paragraph" w:customStyle="1" w:styleId="xl79">
    <w:name w:val="xl79"/>
    <w:basedOn w:val="Normal"/>
    <w:pPr>
      <w:widowControl/>
      <w:spacing w:before="100" w:beforeAutospacing="1" w:after="100" w:afterAutospacing="1" w:line="240" w:lineRule="auto"/>
    </w:pPr>
    <w:rPr>
      <w:rFonts w:ascii="Arial" w:hAnsi="Arial" w:cs="Arial"/>
      <w:b/>
      <w:bCs/>
      <w:color w:val="000000"/>
      <w:sz w:val="20"/>
      <w:lang w:eastAsia="en-GB"/>
    </w:rPr>
  </w:style>
  <w:style w:type="paragraph" w:customStyle="1" w:styleId="xl80">
    <w:name w:val="xl80"/>
    <w:basedOn w:val="Normal"/>
    <w:pPr>
      <w:widowControl/>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1">
    <w:name w:val="xl81"/>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2">
    <w:name w:val="xl82"/>
    <w:basedOn w:val="Normal"/>
    <w:pPr>
      <w:widowControl/>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numbering" w:customStyle="1" w:styleId="NoList2">
    <w:name w:val="No List2"/>
    <w:next w:val="NoList"/>
    <w:uiPriority w:val="99"/>
    <w:semiHidden/>
    <w:unhideWhenUsed/>
  </w:style>
  <w:style w:type="character" w:customStyle="1" w:styleId="WW8Num1z0">
    <w:name w:val="WW8Num1z0"/>
    <w:rPr>
      <w:sz w:val="24"/>
      <w:szCs w:val="24"/>
    </w:rPr>
  </w:style>
  <w:style w:type="character" w:customStyle="1" w:styleId="WW8Num2z0">
    <w:name w:val="WW8Num2z0"/>
    <w:rPr>
      <w:sz w:val="24"/>
      <w:szCs w:val="24"/>
    </w:rPr>
  </w:style>
  <w:style w:type="character" w:customStyle="1" w:styleId="WW8Num4z0">
    <w:name w:val="WW8Num4z0"/>
    <w:rPr>
      <w:sz w:val="24"/>
      <w:szCs w:val="24"/>
    </w:rPr>
  </w:style>
  <w:style w:type="character" w:customStyle="1" w:styleId="WW8Num5z0">
    <w:name w:val="WW8Num5z0"/>
    <w:rPr>
      <w:sz w:val="24"/>
      <w:szCs w:val="24"/>
    </w:rPr>
  </w:style>
  <w:style w:type="character" w:customStyle="1" w:styleId="WW8Num6z0">
    <w:name w:val="WW8Num6z0"/>
    <w:rPr>
      <w:sz w:val="24"/>
      <w:szCs w:val="24"/>
    </w:rPr>
  </w:style>
  <w:style w:type="character" w:customStyle="1" w:styleId="WW8Num7z0">
    <w:name w:val="WW8Num7z0"/>
    <w:rPr>
      <w:sz w:val="24"/>
      <w:szCs w:val="24"/>
    </w:rPr>
  </w:style>
  <w:style w:type="character" w:customStyle="1" w:styleId="WW8Num9z0">
    <w:name w:val="WW8Num9z0"/>
    <w:rPr>
      <w:sz w:val="24"/>
      <w:szCs w:val="24"/>
    </w:rPr>
  </w:style>
  <w:style w:type="character" w:customStyle="1" w:styleId="WW8Num10z0">
    <w:name w:val="WW8Num10z0"/>
    <w:rPr>
      <w:sz w:val="24"/>
      <w:szCs w:val="24"/>
    </w:rPr>
  </w:style>
  <w:style w:type="character" w:customStyle="1" w:styleId="WW8Num11z0">
    <w:name w:val="WW8Num11z0"/>
    <w:rPr>
      <w:sz w:val="24"/>
      <w:szCs w:val="24"/>
    </w:rPr>
  </w:style>
  <w:style w:type="character" w:customStyle="1" w:styleId="WW8Num12z0">
    <w:name w:val="WW8Num12z0"/>
    <w:rPr>
      <w:sz w:val="24"/>
      <w:szCs w:val="24"/>
    </w:rPr>
  </w:style>
  <w:style w:type="character" w:customStyle="1" w:styleId="WW8Num17z0">
    <w:name w:val="WW8Num17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1z0">
    <w:name w:val="WW8Num21z0"/>
    <w:rPr>
      <w:sz w:val="24"/>
      <w:szCs w:val="24"/>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DefaultParagraphFont">
    <w:name w:val="WW-Default Paragraph Font"/>
  </w:style>
  <w:style w:type="character" w:customStyle="1" w:styleId="WW-Absatz-Standardschriftart1">
    <w:name w:val="WW-Absatz-Standardschriftart1"/>
  </w:style>
  <w:style w:type="character" w:customStyle="1" w:styleId="WW-DefaultParagraphFont1">
    <w:name w:val="WW-Default Paragraph Font1"/>
  </w:style>
  <w:style w:type="character" w:customStyle="1" w:styleId="ListLabel1">
    <w:name w:val="ListLabel 1"/>
    <w:rPr>
      <w:sz w:val="24"/>
      <w:szCs w:val="24"/>
    </w:rPr>
  </w:style>
  <w:style w:type="character" w:customStyle="1" w:styleId="WW-DefaultParagraphFont11">
    <w:name w:val="WW-Default Paragraph Font11"/>
  </w:style>
  <w:style w:type="character" w:customStyle="1" w:styleId="PageNumber1">
    <w:name w:val="Page Number1"/>
    <w:basedOn w:val="WW-DefaultParagraphFont11"/>
  </w:style>
  <w:style w:type="character" w:customStyle="1" w:styleId="apple-style-span">
    <w:name w:val="apple-style-span"/>
    <w:basedOn w:val="WW-DefaultParagraphFont11"/>
  </w:style>
  <w:style w:type="character" w:customStyle="1" w:styleId="NumberingSymbols">
    <w:name w:val="Numbering Symbols"/>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paragraph" w:customStyle="1" w:styleId="Heading">
    <w:name w:val="Heading"/>
    <w:basedOn w:val="Normal"/>
    <w:next w:val="BodyText"/>
    <w:pPr>
      <w:keepNext/>
      <w:widowControl/>
      <w:suppressAutoHyphens/>
      <w:spacing w:before="240" w:after="120" w:line="240" w:lineRule="auto"/>
    </w:pPr>
    <w:rPr>
      <w:rFonts w:ascii="Arial" w:eastAsia="SimSun" w:hAnsi="Arial" w:cs="Mangal"/>
      <w:kern w:val="1"/>
      <w:sz w:val="28"/>
      <w:szCs w:val="28"/>
      <w:lang w:val="en-CA" w:eastAsia="ar-SA"/>
    </w:rPr>
  </w:style>
  <w:style w:type="paragraph" w:styleId="List">
    <w:name w:val="List"/>
    <w:basedOn w:val="BodyText"/>
    <w:pPr>
      <w:spacing w:before="0"/>
      <w:jc w:val="left"/>
    </w:pPr>
    <w:rPr>
      <w:rFonts w:eastAsia="Times New Roman" w:cs="Mangal"/>
      <w:szCs w:val="24"/>
      <w:lang w:val="en-CA"/>
    </w:rPr>
  </w:style>
  <w:style w:type="paragraph" w:customStyle="1" w:styleId="Index">
    <w:name w:val="Index"/>
    <w:basedOn w:val="Normal"/>
    <w:pPr>
      <w:widowControl/>
      <w:suppressLineNumbers/>
      <w:suppressAutoHyphens/>
      <w:spacing w:line="240" w:lineRule="auto"/>
    </w:pPr>
    <w:rPr>
      <w:rFonts w:cs="Mangal"/>
      <w:kern w:val="1"/>
      <w:szCs w:val="24"/>
      <w:lang w:val="en-CA" w:eastAsia="ar-SA"/>
    </w:rPr>
  </w:style>
  <w:style w:type="paragraph" w:styleId="NormalWeb">
    <w:name w:val="Normal (Web)"/>
    <w:basedOn w:val="Normal"/>
    <w:uiPriority w:val="99"/>
    <w:pPr>
      <w:widowControl/>
      <w:suppressAutoHyphens/>
      <w:spacing w:line="240" w:lineRule="auto"/>
    </w:pPr>
    <w:rPr>
      <w:kern w:val="1"/>
      <w:szCs w:val="24"/>
      <w:lang w:val="en-CA" w:eastAsia="ar-SA"/>
    </w:rPr>
  </w:style>
  <w:style w:type="paragraph" w:customStyle="1" w:styleId="div">
    <w:name w:val="div"/>
    <w:basedOn w:val="Normal"/>
    <w:pPr>
      <w:widowControl/>
      <w:suppressAutoHyphens/>
      <w:spacing w:line="240" w:lineRule="auto"/>
    </w:pPr>
    <w:rPr>
      <w:kern w:val="1"/>
      <w:szCs w:val="24"/>
      <w:lang w:val="en-CA" w:eastAsia="ar-SA"/>
    </w:rPr>
  </w:style>
  <w:style w:type="paragraph" w:customStyle="1" w:styleId="text1">
    <w:name w:val="text1"/>
    <w:basedOn w:val="Normal"/>
    <w:pPr>
      <w:widowControl/>
      <w:suppressAutoHyphens/>
      <w:spacing w:line="240" w:lineRule="auto"/>
    </w:pPr>
    <w:rPr>
      <w:kern w:val="1"/>
      <w:szCs w:val="24"/>
      <w:lang w:val="en-CA" w:eastAsia="ar-SA"/>
    </w:rPr>
  </w:style>
  <w:style w:type="paragraph" w:customStyle="1" w:styleId="preformatted0">
    <w:name w:val="preformatted"/>
    <w:basedOn w:val="Normal"/>
    <w:pPr>
      <w:widowControl/>
      <w:suppressAutoHyphens/>
      <w:spacing w:line="240" w:lineRule="auto"/>
    </w:pPr>
    <w:rPr>
      <w:kern w:val="1"/>
      <w:szCs w:val="24"/>
      <w:lang w:val="en-CA" w:eastAsia="ar-SA"/>
    </w:rPr>
  </w:style>
  <w:style w:type="paragraph" w:customStyle="1" w:styleId="subsectiontitle">
    <w:name w:val="subsectiontitle"/>
    <w:basedOn w:val="Normal"/>
    <w:pPr>
      <w:widowControl/>
      <w:suppressAutoHyphens/>
      <w:spacing w:line="240" w:lineRule="auto"/>
    </w:pPr>
    <w:rPr>
      <w:kern w:val="1"/>
      <w:szCs w:val="24"/>
      <w:lang w:val="en-CA" w:eastAsia="ar-SA"/>
    </w:rPr>
  </w:style>
  <w:style w:type="paragraph" w:customStyle="1" w:styleId="point1">
    <w:name w:val="point1"/>
    <w:basedOn w:val="Normal"/>
    <w:pPr>
      <w:widowControl/>
      <w:suppressAutoHyphens/>
      <w:spacing w:line="240" w:lineRule="auto"/>
    </w:pPr>
    <w:rPr>
      <w:kern w:val="1"/>
      <w:szCs w:val="24"/>
      <w:lang w:val="en-CA" w:eastAsia="ar-SA"/>
    </w:rPr>
  </w:style>
  <w:style w:type="paragraph" w:customStyle="1" w:styleId="Framecontents">
    <w:name w:val="Frame contents"/>
    <w:basedOn w:val="BodyText"/>
    <w:pPr>
      <w:spacing w:before="0"/>
      <w:jc w:val="left"/>
    </w:pPr>
    <w:rPr>
      <w:rFonts w:eastAsia="Times New Roman"/>
      <w:szCs w:val="24"/>
      <w:lang w:val="en-CA"/>
    </w:rPr>
  </w:style>
  <w:style w:type="paragraph" w:customStyle="1" w:styleId="TableContents">
    <w:name w:val="Table Contents"/>
    <w:basedOn w:val="Normal"/>
    <w:pPr>
      <w:widowControl/>
      <w:suppressLineNumbers/>
      <w:suppressAutoHyphens/>
      <w:spacing w:line="240" w:lineRule="auto"/>
    </w:pPr>
    <w:rPr>
      <w:kern w:val="1"/>
      <w:szCs w:val="24"/>
      <w:lang w:val="en-CA" w:eastAsia="ar-SA"/>
    </w:rPr>
  </w:style>
  <w:style w:type="paragraph" w:customStyle="1" w:styleId="TableHeading">
    <w:name w:val="Table Heading"/>
    <w:basedOn w:val="TableContents"/>
    <w:pPr>
      <w:jc w:val="center"/>
    </w:pPr>
    <w:rPr>
      <w:b/>
      <w:bCs/>
    </w:rPr>
  </w:style>
  <w:style w:type="paragraph" w:customStyle="1" w:styleId="a">
    <w:name w:val="목록 단락"/>
    <w:basedOn w:val="Normal"/>
    <w:pPr>
      <w:widowControl/>
      <w:suppressAutoHyphens/>
      <w:spacing w:before="120" w:after="120" w:line="240" w:lineRule="auto"/>
      <w:ind w:left="800"/>
      <w:jc w:val="both"/>
    </w:pPr>
    <w:rPr>
      <w:rFonts w:eastAsia="Batang"/>
      <w:kern w:val="1"/>
      <w:lang w:eastAsia="ar-SA"/>
    </w:rPr>
  </w:style>
  <w:style w:type="paragraph" w:customStyle="1" w:styleId="NormalWeb6">
    <w:name w:val="Normal (Web)6"/>
    <w:basedOn w:val="Normal"/>
    <w:pPr>
      <w:widowControl/>
      <w:suppressAutoHyphens/>
      <w:spacing w:line="240" w:lineRule="auto"/>
    </w:pPr>
    <w:rPr>
      <w:kern w:val="1"/>
      <w:szCs w:val="24"/>
      <w:lang w:eastAsia="ar-SA"/>
    </w:rPr>
  </w:style>
  <w:style w:type="character" w:customStyle="1" w:styleId="EndnoteTextChar">
    <w:name w:val="Endnote Text Char"/>
    <w:basedOn w:val="DefaultParagraphFont"/>
    <w:link w:val="EndnoteText"/>
    <w:rPr>
      <w:sz w:val="24"/>
      <w:lang w:eastAsia="fr-BE"/>
    </w:rPr>
  </w:style>
  <w:style w:type="paragraph" w:styleId="BodyTextIndent2">
    <w:name w:val="Body Text Indent 2"/>
    <w:basedOn w:val="Normal"/>
    <w:link w:val="BodyTextIndent2Char"/>
    <w:unhideWhenUsed/>
    <w:pPr>
      <w:widowControl/>
      <w:spacing w:after="120" w:line="480" w:lineRule="auto"/>
      <w:ind w:left="283"/>
    </w:pPr>
    <w:rPr>
      <w:rFonts w:asciiTheme="minorHAnsi" w:eastAsiaTheme="minorHAnsi" w:hAnsiTheme="minorHAnsi" w:cstheme="minorBidi"/>
      <w:sz w:val="22"/>
      <w:szCs w:val="22"/>
      <w:lang w:val="en-CA" w:eastAsia="en-US"/>
    </w:rPr>
  </w:style>
  <w:style w:type="character" w:customStyle="1" w:styleId="BodyTextIndent2Char">
    <w:name w:val="Body Text Indent 2 Char"/>
    <w:basedOn w:val="DefaultParagraphFont"/>
    <w:link w:val="BodyTextIndent2"/>
    <w:rPr>
      <w:rFonts w:asciiTheme="minorHAnsi" w:eastAsiaTheme="minorHAnsi" w:hAnsiTheme="minorHAnsi" w:cstheme="minorBidi"/>
      <w:sz w:val="22"/>
      <w:szCs w:val="22"/>
      <w:lang w:val="en-CA" w:eastAsia="en-US"/>
    </w:rPr>
  </w:style>
  <w:style w:type="paragraph" w:styleId="BodyTextIndent">
    <w:name w:val="Body Text Indent"/>
    <w:basedOn w:val="Normal"/>
    <w:link w:val="BodyTextIndentChar"/>
    <w:unhideWhenUsed/>
    <w:pPr>
      <w:widowControl/>
      <w:spacing w:after="120" w:line="276" w:lineRule="auto"/>
      <w:ind w:left="283"/>
    </w:pPr>
    <w:rPr>
      <w:rFonts w:asciiTheme="minorHAnsi" w:eastAsiaTheme="minorHAnsi" w:hAnsiTheme="minorHAnsi" w:cstheme="minorBidi"/>
      <w:sz w:val="22"/>
      <w:szCs w:val="22"/>
      <w:lang w:val="en-CA" w:eastAsia="en-US"/>
    </w:rPr>
  </w:style>
  <w:style w:type="character" w:customStyle="1" w:styleId="BodyTextIndentChar">
    <w:name w:val="Body Text Indent Char"/>
    <w:basedOn w:val="DefaultParagraphFont"/>
    <w:link w:val="BodyTextIndent"/>
    <w:rPr>
      <w:rFonts w:asciiTheme="minorHAnsi" w:eastAsiaTheme="minorHAnsi" w:hAnsiTheme="minorHAnsi" w:cstheme="minorBidi"/>
      <w:sz w:val="22"/>
      <w:szCs w:val="22"/>
      <w:lang w:val="en-CA" w:eastAsia="en-US"/>
    </w:rPr>
  </w:style>
  <w:style w:type="numbering" w:customStyle="1" w:styleId="NoList3">
    <w:name w:val="No List3"/>
    <w:next w:val="NoList"/>
    <w:semiHidden/>
  </w:style>
  <w:style w:type="paragraph" w:styleId="BlockText">
    <w:name w:val="Block Text"/>
    <w:basedOn w:val="Normal"/>
    <w:pPr>
      <w:widowControl/>
      <w:tabs>
        <w:tab w:val="left" w:pos="720"/>
      </w:tabs>
      <w:spacing w:after="240" w:line="240" w:lineRule="auto"/>
      <w:ind w:left="1440" w:right="1440"/>
      <w:jc w:val="both"/>
    </w:pPr>
    <w:rPr>
      <w:sz w:val="22"/>
      <w:lang w:eastAsia="en-GB"/>
    </w:rPr>
  </w:style>
  <w:style w:type="paragraph" w:styleId="BodyText2">
    <w:name w:val="Body Text 2"/>
    <w:basedOn w:val="Normal"/>
    <w:link w:val="BodyText2Char"/>
    <w:uiPriority w:val="99"/>
    <w:pPr>
      <w:widowControl/>
      <w:tabs>
        <w:tab w:val="num" w:pos="1440"/>
      </w:tabs>
      <w:spacing w:after="240" w:line="240" w:lineRule="auto"/>
      <w:ind w:left="1440" w:hanging="720"/>
      <w:jc w:val="both"/>
    </w:pPr>
    <w:rPr>
      <w:sz w:val="22"/>
      <w:lang w:eastAsia="en-US"/>
    </w:rPr>
  </w:style>
  <w:style w:type="character" w:customStyle="1" w:styleId="BodyText2Char">
    <w:name w:val="Body Text 2 Char"/>
    <w:basedOn w:val="DefaultParagraphFont"/>
    <w:link w:val="BodyText2"/>
    <w:uiPriority w:val="99"/>
    <w:rPr>
      <w:sz w:val="22"/>
      <w:lang w:eastAsia="en-US"/>
    </w:rPr>
  </w:style>
  <w:style w:type="paragraph" w:styleId="BodyText3">
    <w:name w:val="Body Text 3"/>
    <w:basedOn w:val="Normal"/>
    <w:link w:val="BodyText3Char"/>
    <w:uiPriority w:val="99"/>
    <w:pPr>
      <w:widowControl/>
      <w:tabs>
        <w:tab w:val="num" w:pos="2160"/>
      </w:tabs>
      <w:spacing w:after="240" w:line="240" w:lineRule="auto"/>
      <w:ind w:left="2160" w:hanging="720"/>
      <w:jc w:val="both"/>
    </w:pPr>
    <w:rPr>
      <w:sz w:val="22"/>
      <w:lang w:eastAsia="en-US"/>
    </w:rPr>
  </w:style>
  <w:style w:type="character" w:customStyle="1" w:styleId="BodyText3Char">
    <w:name w:val="Body Text 3 Char"/>
    <w:basedOn w:val="DefaultParagraphFont"/>
    <w:link w:val="BodyText3"/>
    <w:uiPriority w:val="99"/>
    <w:rPr>
      <w:sz w:val="22"/>
      <w:lang w:eastAsia="en-US"/>
    </w:rPr>
  </w:style>
  <w:style w:type="paragraph" w:customStyle="1" w:styleId="BodyText4">
    <w:name w:val="Body Text 4"/>
    <w:basedOn w:val="Normal"/>
    <w:pPr>
      <w:widowControl/>
      <w:tabs>
        <w:tab w:val="num" w:pos="2160"/>
      </w:tabs>
      <w:spacing w:after="240" w:line="240" w:lineRule="auto"/>
      <w:ind w:left="2160" w:hanging="720"/>
      <w:jc w:val="both"/>
    </w:pPr>
    <w:rPr>
      <w:sz w:val="22"/>
      <w:lang w:eastAsia="en-US"/>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lang w:eastAsia="en-US"/>
    </w:rPr>
  </w:style>
  <w:style w:type="character" w:customStyle="1" w:styleId="PlainTextChar">
    <w:name w:val="Plain Text Char"/>
    <w:basedOn w:val="DefaultParagraphFont"/>
    <w:link w:val="PlainText"/>
    <w:uiPriority w:val="99"/>
    <w:rPr>
      <w:rFonts w:ascii="Courier New" w:hAnsi="Courier New"/>
      <w:lang w:eastAsia="en-US"/>
    </w:rPr>
  </w:style>
  <w:style w:type="paragraph" w:styleId="Subtitle">
    <w:name w:val="Subtitle"/>
    <w:basedOn w:val="Normal"/>
    <w:link w:val="SubtitleChar"/>
    <w:qFormat/>
    <w:pPr>
      <w:widowControl/>
      <w:tabs>
        <w:tab w:val="left" w:pos="720"/>
      </w:tabs>
      <w:spacing w:line="240" w:lineRule="auto"/>
      <w:jc w:val="center"/>
      <w:outlineLvl w:val="1"/>
    </w:pPr>
    <w:rPr>
      <w:sz w:val="22"/>
      <w:lang w:eastAsia="en-US"/>
    </w:rPr>
  </w:style>
  <w:style w:type="character" w:customStyle="1" w:styleId="SubtitleChar">
    <w:name w:val="Subtitle Char"/>
    <w:basedOn w:val="DefaultParagraphFont"/>
    <w:link w:val="Subtitle"/>
    <w:rPr>
      <w:sz w:val="22"/>
      <w:lang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itle">
    <w:name w:val="Title"/>
    <w:basedOn w:val="Normal"/>
    <w:link w:val="TitleChar"/>
    <w:qFormat/>
    <w:pPr>
      <w:widowControl/>
      <w:tabs>
        <w:tab w:val="left" w:pos="720"/>
      </w:tabs>
      <w:spacing w:line="240" w:lineRule="auto"/>
      <w:jc w:val="center"/>
    </w:pPr>
    <w:rPr>
      <w:b/>
      <w:caps/>
      <w:kern w:val="28"/>
      <w:sz w:val="22"/>
      <w:lang w:eastAsia="en-US"/>
    </w:rPr>
  </w:style>
  <w:style w:type="character" w:customStyle="1" w:styleId="TitleChar">
    <w:name w:val="Title Char"/>
    <w:basedOn w:val="DefaultParagraphFont"/>
    <w:link w:val="Title"/>
    <w:rPr>
      <w:b/>
      <w:caps/>
      <w:kern w:val="28"/>
      <w:sz w:val="22"/>
      <w:lang w:eastAsia="en-US"/>
    </w:rPr>
  </w:style>
  <w:style w:type="paragraph" w:customStyle="1" w:styleId="Title2">
    <w:name w:val="Title 2"/>
    <w:basedOn w:val="Normal"/>
    <w:pPr>
      <w:widowControl/>
      <w:tabs>
        <w:tab w:val="left" w:pos="720"/>
      </w:tabs>
      <w:spacing w:line="240" w:lineRule="auto"/>
      <w:jc w:val="center"/>
    </w:pPr>
    <w:rPr>
      <w:sz w:val="22"/>
      <w:u w:val="single"/>
      <w:lang w:eastAsia="en-US"/>
    </w:rPr>
  </w:style>
  <w:style w:type="paragraph" w:customStyle="1" w:styleId="Title3">
    <w:name w:val="Title 3"/>
    <w:basedOn w:val="Normal"/>
    <w:pPr>
      <w:widowControl/>
      <w:tabs>
        <w:tab w:val="left" w:pos="720"/>
      </w:tabs>
      <w:spacing w:line="240" w:lineRule="auto"/>
      <w:jc w:val="center"/>
    </w:pPr>
    <w:rPr>
      <w:i/>
      <w:sz w:val="22"/>
      <w:lang w:eastAsia="en-US"/>
    </w:rPr>
  </w:style>
  <w:style w:type="paragraph" w:customStyle="1" w:styleId="TitleCountry">
    <w:name w:val="Title Country"/>
    <w:basedOn w:val="Normal"/>
    <w:pPr>
      <w:widowControl/>
      <w:tabs>
        <w:tab w:val="left" w:pos="720"/>
      </w:tabs>
      <w:spacing w:line="240" w:lineRule="auto"/>
      <w:jc w:val="center"/>
    </w:pPr>
    <w:rPr>
      <w:caps/>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customStyle="1" w:styleId="Quotation">
    <w:name w:val="Quotation"/>
    <w:basedOn w:val="Normal"/>
    <w:pPr>
      <w:widowControl/>
      <w:tabs>
        <w:tab w:val="left" w:pos="720"/>
      </w:tabs>
      <w:spacing w:after="240" w:line="240" w:lineRule="auto"/>
      <w:ind w:left="720" w:right="720"/>
      <w:jc w:val="both"/>
    </w:pPr>
    <w:rPr>
      <w:sz w:val="22"/>
      <w:lang w:eastAsia="en-US"/>
    </w:rPr>
  </w:style>
  <w:style w:type="paragraph" w:customStyle="1" w:styleId="QuotationDouble">
    <w:name w:val="Quotation Double"/>
    <w:basedOn w:val="Normal"/>
    <w:pPr>
      <w:widowControl/>
      <w:tabs>
        <w:tab w:val="left" w:pos="720"/>
      </w:tabs>
      <w:spacing w:after="240" w:line="240" w:lineRule="auto"/>
      <w:ind w:left="1440" w:right="1440"/>
      <w:jc w:val="both"/>
    </w:pPr>
    <w:rPr>
      <w:sz w:val="22"/>
      <w:lang w:eastAsia="en-US"/>
    </w:rPr>
  </w:style>
  <w:style w:type="paragraph" w:customStyle="1" w:styleId="FootnoteQuotation">
    <w:name w:val="Footnote Quotation"/>
    <w:basedOn w:val="Normal"/>
    <w:pPr>
      <w:widowControl/>
      <w:tabs>
        <w:tab w:val="left" w:pos="720"/>
      </w:tabs>
      <w:spacing w:line="240" w:lineRule="auto"/>
      <w:ind w:left="720" w:right="720"/>
      <w:jc w:val="both"/>
    </w:pPr>
    <w:rPr>
      <w:sz w:val="20"/>
      <w:lang w:eastAsia="en-US"/>
    </w:rPr>
  </w:style>
  <w:style w:type="paragraph" w:customStyle="1" w:styleId="BodyText5">
    <w:name w:val="Body Text 5"/>
    <w:basedOn w:val="Normal"/>
    <w:pPr>
      <w:widowControl/>
      <w:tabs>
        <w:tab w:val="left" w:pos="720"/>
        <w:tab w:val="num" w:pos="2880"/>
      </w:tabs>
      <w:spacing w:after="240" w:line="240" w:lineRule="auto"/>
      <w:ind w:left="2160"/>
      <w:jc w:val="both"/>
    </w:pPr>
    <w:rPr>
      <w:lang w:eastAsia="en-GB"/>
    </w:rPr>
  </w:style>
  <w:style w:type="paragraph" w:styleId="BodyTextIndent3">
    <w:name w:val="Body Text Indent 3"/>
    <w:basedOn w:val="Normal"/>
    <w:link w:val="BodyTextIndent3Char"/>
    <w:pPr>
      <w:widowControl/>
      <w:tabs>
        <w:tab w:val="left" w:pos="-1440"/>
        <w:tab w:val="left" w:pos="720"/>
      </w:tabs>
      <w:spacing w:line="240" w:lineRule="auto"/>
      <w:ind w:left="2160" w:hanging="720"/>
      <w:jc w:val="both"/>
    </w:pPr>
    <w:rPr>
      <w:sz w:val="20"/>
      <w:lang w:eastAsia="en-GB"/>
    </w:rPr>
  </w:style>
  <w:style w:type="character" w:customStyle="1" w:styleId="BodyTextIndent3Char">
    <w:name w:val="Body Text Indent 3 Char"/>
    <w:basedOn w:val="DefaultParagraphFont"/>
    <w:link w:val="BodyTextIndent3"/>
  </w:style>
  <w:style w:type="character" w:customStyle="1" w:styleId="BodyTextChar1">
    <w:name w:val="Body Text Char1"/>
    <w:rPr>
      <w:sz w:val="22"/>
      <w:lang w:val="en-GB" w:eastAsia="en-US" w:bidi="ar-SA"/>
    </w:rPr>
  </w:style>
  <w:style w:type="numbering" w:customStyle="1" w:styleId="NoList4">
    <w:name w:val="No List4"/>
    <w:next w:val="NoList"/>
    <w:uiPriority w:val="99"/>
    <w:semiHidden/>
    <w:unhideWhenUsed/>
  </w:style>
  <w:style w:type="character" w:customStyle="1" w:styleId="WW8Num15z3">
    <w:name w:val="WW8Num15z3"/>
    <w:rPr>
      <w:rFonts w:ascii="Symbol" w:hAnsi="Symbol"/>
    </w:rPr>
  </w:style>
  <w:style w:type="paragraph" w:customStyle="1" w:styleId="AddressTL">
    <w:name w:val="AddressTL"/>
    <w:basedOn w:val="Normal"/>
    <w:next w:val="Normal"/>
    <w:pPr>
      <w:widowControl/>
      <w:spacing w:after="720" w:line="240" w:lineRule="auto"/>
    </w:pPr>
    <w:rPr>
      <w:lang w:eastAsia="en-US"/>
    </w:rPr>
  </w:style>
  <w:style w:type="paragraph" w:customStyle="1" w:styleId="AddressTR">
    <w:name w:val="AddressTR"/>
    <w:basedOn w:val="Normal"/>
    <w:next w:val="Normal"/>
    <w:pPr>
      <w:widowControl/>
      <w:spacing w:after="720" w:line="240" w:lineRule="auto"/>
      <w:ind w:left="5103"/>
    </w:pPr>
    <w:rPr>
      <w:lang w:eastAsia="en-US"/>
    </w:rPr>
  </w:style>
  <w:style w:type="paragraph" w:styleId="BodyTextFirstIndent">
    <w:name w:val="Body Text First Indent"/>
    <w:basedOn w:val="BodyText"/>
    <w:link w:val="BodyTextFirstIndentChar"/>
    <w:pPr>
      <w:suppressAutoHyphens w:val="0"/>
      <w:spacing w:before="0"/>
      <w:ind w:firstLine="210"/>
    </w:pPr>
    <w:rPr>
      <w:rFonts w:eastAsia="Times New Roman"/>
      <w:kern w:val="0"/>
      <w:lang w:eastAsia="en-US"/>
    </w:rPr>
  </w:style>
  <w:style w:type="character" w:customStyle="1" w:styleId="BodyTextFirstIndentChar">
    <w:name w:val="Body Text First Indent Char"/>
    <w:basedOn w:val="BodyTextChar"/>
    <w:link w:val="BodyTextFirstIndent"/>
    <w:rPr>
      <w:rFonts w:eastAsia="Batang"/>
      <w:kern w:val="1"/>
      <w:sz w:val="24"/>
      <w:lang w:eastAsia="en-US"/>
    </w:rPr>
  </w:style>
  <w:style w:type="paragraph" w:styleId="BodyTextFirstIndent2">
    <w:name w:val="Body Text First Indent 2"/>
    <w:basedOn w:val="BodyTextIndent"/>
    <w:link w:val="BodyTextFirstIndent2Char"/>
    <w:pPr>
      <w:spacing w:line="240" w:lineRule="auto"/>
      <w:ind w:firstLine="210"/>
      <w:jc w:val="both"/>
    </w:pPr>
    <w:rPr>
      <w:rFonts w:ascii="Times New Roman" w:eastAsia="Times New Roman" w:hAnsi="Times New Roman" w:cs="Times New Roman"/>
      <w:sz w:val="24"/>
      <w:szCs w:val="20"/>
      <w:lang w:val="en-GB"/>
    </w:rPr>
  </w:style>
  <w:style w:type="character" w:customStyle="1" w:styleId="BodyTextFirstIndent2Char">
    <w:name w:val="Body Text First Indent 2 Char"/>
    <w:basedOn w:val="BodyTextIndentChar"/>
    <w:link w:val="BodyTextFirstIndent2"/>
    <w:rPr>
      <w:rFonts w:asciiTheme="minorHAnsi" w:eastAsiaTheme="minorHAnsi" w:hAnsiTheme="minorHAnsi" w:cstheme="minorBidi"/>
      <w:sz w:val="24"/>
      <w:szCs w:val="22"/>
      <w:lang w:val="en-CA" w:eastAsia="en-US"/>
    </w:rPr>
  </w:style>
  <w:style w:type="paragraph" w:styleId="Closing">
    <w:name w:val="Closing"/>
    <w:basedOn w:val="Normal"/>
    <w:next w:val="Signature"/>
    <w:link w:val="ClosingChar"/>
    <w:pPr>
      <w:widowControl/>
      <w:tabs>
        <w:tab w:val="left" w:pos="5103"/>
      </w:tabs>
      <w:spacing w:before="240" w:after="240" w:line="240" w:lineRule="auto"/>
      <w:ind w:left="5103"/>
    </w:pPr>
    <w:rPr>
      <w:lang w:eastAsia="en-US"/>
    </w:rPr>
  </w:style>
  <w:style w:type="character" w:customStyle="1" w:styleId="ClosingChar">
    <w:name w:val="Closing Char"/>
    <w:basedOn w:val="DefaultParagraphFont"/>
    <w:link w:val="Closing"/>
    <w:rPr>
      <w:sz w:val="24"/>
      <w:lang w:eastAsia="en-US"/>
    </w:rPr>
  </w:style>
  <w:style w:type="paragraph" w:styleId="Signature">
    <w:name w:val="Signature"/>
    <w:basedOn w:val="Normal"/>
    <w:next w:val="Contact"/>
    <w:link w:val="SignatureChar"/>
    <w:pPr>
      <w:widowControl/>
      <w:tabs>
        <w:tab w:val="left" w:pos="5103"/>
      </w:tabs>
      <w:spacing w:before="1200" w:line="240" w:lineRule="auto"/>
      <w:ind w:left="5103"/>
      <w:jc w:val="center"/>
    </w:pPr>
    <w:rPr>
      <w:lang w:eastAsia="en-US"/>
    </w:rPr>
  </w:style>
  <w:style w:type="character" w:customStyle="1" w:styleId="SignatureChar">
    <w:name w:val="Signature Char"/>
    <w:basedOn w:val="DefaultParagraphFont"/>
    <w:link w:val="Signature"/>
    <w:rPr>
      <w:sz w:val="24"/>
      <w:lang w:eastAsia="en-US"/>
    </w:rPr>
  </w:style>
  <w:style w:type="paragraph" w:customStyle="1" w:styleId="Enclosures">
    <w:name w:val="Enclosures"/>
    <w:basedOn w:val="Normal"/>
    <w:next w:val="Participants"/>
    <w:pPr>
      <w:keepNext/>
      <w:keepLines/>
      <w:widowControl/>
      <w:tabs>
        <w:tab w:val="left" w:pos="5670"/>
      </w:tabs>
      <w:spacing w:before="480" w:line="240" w:lineRule="auto"/>
      <w:ind w:left="1985" w:hanging="1985"/>
    </w:pPr>
    <w:rPr>
      <w:lang w:eastAsia="en-US"/>
    </w:rPr>
  </w:style>
  <w:style w:type="paragraph" w:customStyle="1" w:styleId="Participants">
    <w:name w:val="Participants"/>
    <w:basedOn w:val="Normal"/>
    <w:next w:val="Copies"/>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customStyle="1" w:styleId="Copies">
    <w:name w:val="Copies"/>
    <w:basedOn w:val="Normal"/>
    <w:next w:val="Normal"/>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styleId="Date">
    <w:name w:val="Date"/>
    <w:basedOn w:val="Normal"/>
    <w:next w:val="References"/>
    <w:link w:val="DateChar"/>
    <w:uiPriority w:val="99"/>
    <w:pPr>
      <w:widowControl/>
      <w:spacing w:line="240" w:lineRule="auto"/>
      <w:ind w:left="5103" w:right="-567"/>
    </w:pPr>
    <w:rPr>
      <w:lang w:eastAsia="en-US"/>
    </w:rPr>
  </w:style>
  <w:style w:type="character" w:customStyle="1" w:styleId="DateChar">
    <w:name w:val="Date Char"/>
    <w:basedOn w:val="DefaultParagraphFont"/>
    <w:link w:val="Date"/>
    <w:uiPriority w:val="99"/>
    <w:rPr>
      <w:sz w:val="24"/>
      <w:lang w:eastAsia="en-US"/>
    </w:rPr>
  </w:style>
  <w:style w:type="paragraph" w:customStyle="1" w:styleId="References">
    <w:name w:val="References"/>
    <w:basedOn w:val="Normal"/>
    <w:next w:val="AddressTR"/>
    <w:uiPriority w:val="99"/>
    <w:pPr>
      <w:widowControl/>
      <w:spacing w:after="240" w:line="240" w:lineRule="auto"/>
      <w:ind w:left="5103"/>
    </w:pPr>
    <w:rPr>
      <w:sz w:val="20"/>
      <w:lang w:eastAsia="en-US"/>
    </w:rPr>
  </w:style>
  <w:style w:type="paragraph" w:customStyle="1" w:styleId="DoubSign">
    <w:name w:val="DoubSign"/>
    <w:basedOn w:val="Normal"/>
    <w:next w:val="Contact"/>
    <w:pPr>
      <w:widowControl/>
      <w:tabs>
        <w:tab w:val="left" w:pos="5103"/>
      </w:tabs>
      <w:spacing w:before="1200" w:line="240" w:lineRule="auto"/>
    </w:pPr>
    <w:rPr>
      <w:lang w:eastAsia="en-US"/>
    </w:rPr>
  </w:style>
  <w:style w:type="paragraph" w:styleId="EnvelopeReturn">
    <w:name w:val="envelope return"/>
    <w:basedOn w:val="Normal"/>
    <w:pPr>
      <w:widowControl/>
      <w:spacing w:line="240" w:lineRule="auto"/>
      <w:jc w:val="both"/>
    </w:pPr>
    <w:rPr>
      <w:sz w:val="20"/>
      <w:lang w:eastAsia="en-US"/>
    </w:rPr>
  </w:style>
  <w:style w:type="paragraph" w:styleId="Index2">
    <w:name w:val="index 2"/>
    <w:basedOn w:val="Normal"/>
    <w:next w:val="Normal"/>
    <w:autoRedefine/>
    <w:pPr>
      <w:widowControl/>
      <w:spacing w:after="240" w:line="240" w:lineRule="auto"/>
      <w:ind w:left="480" w:hanging="240"/>
      <w:jc w:val="both"/>
    </w:pPr>
    <w:rPr>
      <w:lang w:eastAsia="en-US"/>
    </w:rPr>
  </w:style>
  <w:style w:type="paragraph" w:styleId="Index3">
    <w:name w:val="index 3"/>
    <w:basedOn w:val="Normal"/>
    <w:next w:val="Normal"/>
    <w:autoRedefine/>
    <w:pPr>
      <w:widowControl/>
      <w:spacing w:after="240" w:line="240" w:lineRule="auto"/>
      <w:ind w:left="720" w:hanging="240"/>
      <w:jc w:val="both"/>
    </w:pPr>
    <w:rPr>
      <w:lang w:eastAsia="en-US"/>
    </w:rPr>
  </w:style>
  <w:style w:type="paragraph" w:styleId="Index4">
    <w:name w:val="index 4"/>
    <w:basedOn w:val="Normal"/>
    <w:next w:val="Normal"/>
    <w:autoRedefine/>
    <w:pPr>
      <w:widowControl/>
      <w:spacing w:after="240" w:line="240" w:lineRule="auto"/>
      <w:ind w:left="960" w:hanging="240"/>
      <w:jc w:val="both"/>
    </w:pPr>
    <w:rPr>
      <w:lang w:eastAsia="en-US"/>
    </w:rPr>
  </w:style>
  <w:style w:type="paragraph" w:styleId="Index5">
    <w:name w:val="index 5"/>
    <w:basedOn w:val="Normal"/>
    <w:next w:val="Normal"/>
    <w:autoRedefine/>
    <w:pPr>
      <w:widowControl/>
      <w:spacing w:after="240" w:line="240" w:lineRule="auto"/>
      <w:ind w:left="1200" w:hanging="240"/>
      <w:jc w:val="both"/>
    </w:pPr>
    <w:rPr>
      <w:lang w:eastAsia="en-US"/>
    </w:rPr>
  </w:style>
  <w:style w:type="paragraph" w:styleId="Index6">
    <w:name w:val="index 6"/>
    <w:basedOn w:val="Normal"/>
    <w:next w:val="Normal"/>
    <w:autoRedefine/>
    <w:pPr>
      <w:widowControl/>
      <w:spacing w:after="240" w:line="240" w:lineRule="auto"/>
      <w:ind w:left="1440" w:hanging="240"/>
      <w:jc w:val="both"/>
    </w:pPr>
    <w:rPr>
      <w:lang w:eastAsia="en-US"/>
    </w:rPr>
  </w:style>
  <w:style w:type="paragraph" w:styleId="Index7">
    <w:name w:val="index 7"/>
    <w:basedOn w:val="Normal"/>
    <w:next w:val="Normal"/>
    <w:autoRedefine/>
    <w:pPr>
      <w:widowControl/>
      <w:spacing w:after="240" w:line="240" w:lineRule="auto"/>
      <w:ind w:left="1680" w:hanging="240"/>
      <w:jc w:val="both"/>
    </w:pPr>
    <w:rPr>
      <w:lang w:eastAsia="en-US"/>
    </w:rPr>
  </w:style>
  <w:style w:type="paragraph" w:styleId="Index8">
    <w:name w:val="index 8"/>
    <w:basedOn w:val="Normal"/>
    <w:next w:val="Normal"/>
    <w:autoRedefine/>
    <w:pPr>
      <w:widowControl/>
      <w:spacing w:after="240" w:line="240" w:lineRule="auto"/>
      <w:ind w:left="1920" w:hanging="240"/>
      <w:jc w:val="both"/>
    </w:pPr>
    <w:rPr>
      <w:lang w:eastAsia="en-US"/>
    </w:rPr>
  </w:style>
  <w:style w:type="paragraph" w:styleId="Index9">
    <w:name w:val="index 9"/>
    <w:basedOn w:val="Normal"/>
    <w:next w:val="Normal"/>
    <w:autoRedefine/>
    <w:pPr>
      <w:widowControl/>
      <w:spacing w:after="240" w:line="240" w:lineRule="auto"/>
      <w:ind w:left="2160" w:hanging="240"/>
      <w:jc w:val="both"/>
    </w:pPr>
    <w:rPr>
      <w:lang w:eastAsia="en-US"/>
    </w:rPr>
  </w:style>
  <w:style w:type="paragraph" w:styleId="List2">
    <w:name w:val="List 2"/>
    <w:basedOn w:val="Normal"/>
    <w:pPr>
      <w:widowControl/>
      <w:spacing w:after="240" w:line="240" w:lineRule="auto"/>
      <w:ind w:left="566" w:hanging="283"/>
      <w:jc w:val="both"/>
    </w:pPr>
    <w:rPr>
      <w:lang w:eastAsia="en-US"/>
    </w:rPr>
  </w:style>
  <w:style w:type="paragraph" w:styleId="List3">
    <w:name w:val="List 3"/>
    <w:basedOn w:val="Normal"/>
    <w:pPr>
      <w:widowControl/>
      <w:spacing w:after="240" w:line="240" w:lineRule="auto"/>
      <w:ind w:left="849" w:hanging="283"/>
      <w:jc w:val="both"/>
    </w:pPr>
    <w:rPr>
      <w:lang w:eastAsia="en-US"/>
    </w:rPr>
  </w:style>
  <w:style w:type="paragraph" w:styleId="List4">
    <w:name w:val="List 4"/>
    <w:basedOn w:val="Normal"/>
    <w:pPr>
      <w:widowControl/>
      <w:spacing w:after="240" w:line="240" w:lineRule="auto"/>
      <w:ind w:left="1132" w:hanging="283"/>
      <w:jc w:val="both"/>
    </w:pPr>
    <w:rPr>
      <w:lang w:eastAsia="en-US"/>
    </w:rPr>
  </w:style>
  <w:style w:type="paragraph" w:styleId="List5">
    <w:name w:val="List 5"/>
    <w:basedOn w:val="Normal"/>
    <w:pPr>
      <w:widowControl/>
      <w:spacing w:after="240" w:line="240" w:lineRule="auto"/>
      <w:ind w:left="1415" w:hanging="283"/>
      <w:jc w:val="both"/>
    </w:pPr>
    <w:rPr>
      <w:lang w:eastAsia="en-US"/>
    </w:rPr>
  </w:style>
  <w:style w:type="paragraph" w:styleId="ListBullet5">
    <w:name w:val="List Bullet 5"/>
    <w:basedOn w:val="Normal"/>
    <w:autoRedefine/>
    <w:pPr>
      <w:widowControl/>
      <w:numPr>
        <w:numId w:val="28"/>
      </w:numPr>
      <w:spacing w:after="240" w:line="240" w:lineRule="auto"/>
      <w:jc w:val="both"/>
    </w:pPr>
    <w:rPr>
      <w:lang w:eastAsia="en-US"/>
    </w:rPr>
  </w:style>
  <w:style w:type="paragraph" w:styleId="ListContinue">
    <w:name w:val="List Continue"/>
    <w:basedOn w:val="Normal"/>
    <w:pPr>
      <w:widowControl/>
      <w:spacing w:after="120" w:line="240" w:lineRule="auto"/>
      <w:ind w:left="283"/>
      <w:jc w:val="both"/>
    </w:pPr>
    <w:rPr>
      <w:lang w:eastAsia="en-US"/>
    </w:rPr>
  </w:style>
  <w:style w:type="paragraph" w:styleId="ListContinue2">
    <w:name w:val="List Continue 2"/>
    <w:basedOn w:val="Normal"/>
    <w:pPr>
      <w:widowControl/>
      <w:spacing w:after="120" w:line="240" w:lineRule="auto"/>
      <w:ind w:left="566"/>
      <w:jc w:val="both"/>
    </w:pPr>
    <w:rPr>
      <w:lang w:eastAsia="en-US"/>
    </w:rPr>
  </w:style>
  <w:style w:type="paragraph" w:styleId="ListContinue3">
    <w:name w:val="List Continue 3"/>
    <w:basedOn w:val="Normal"/>
    <w:pPr>
      <w:widowControl/>
      <w:spacing w:after="120" w:line="240" w:lineRule="auto"/>
      <w:ind w:left="849"/>
      <w:jc w:val="both"/>
    </w:pPr>
    <w:rPr>
      <w:lang w:eastAsia="en-US"/>
    </w:rPr>
  </w:style>
  <w:style w:type="paragraph" w:styleId="ListContinue4">
    <w:name w:val="List Continue 4"/>
    <w:basedOn w:val="Normal"/>
    <w:pPr>
      <w:widowControl/>
      <w:spacing w:after="120" w:line="240" w:lineRule="auto"/>
      <w:ind w:left="1132"/>
      <w:jc w:val="both"/>
    </w:pPr>
    <w:rPr>
      <w:lang w:eastAsia="en-US"/>
    </w:rPr>
  </w:style>
  <w:style w:type="paragraph" w:styleId="ListContinue5">
    <w:name w:val="List Continue 5"/>
    <w:basedOn w:val="Normal"/>
    <w:pPr>
      <w:widowControl/>
      <w:spacing w:after="120" w:line="240" w:lineRule="auto"/>
      <w:ind w:left="1415"/>
      <w:jc w:val="both"/>
    </w:pPr>
    <w:rPr>
      <w:lang w:eastAsia="en-US"/>
    </w:rPr>
  </w:style>
  <w:style w:type="paragraph" w:styleId="ListNumber5">
    <w:name w:val="List Number 5"/>
    <w:basedOn w:val="Normal"/>
    <w:pPr>
      <w:widowControl/>
      <w:numPr>
        <w:numId w:val="29"/>
      </w:numPr>
      <w:spacing w:after="240" w:line="240" w:lineRule="auto"/>
      <w:jc w:val="both"/>
    </w:pPr>
    <w:rPr>
      <w:lang w:eastAsia="en-US"/>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character" w:customStyle="1" w:styleId="MacroTextChar">
    <w:name w:val="Macro Text Char"/>
    <w:basedOn w:val="DefaultParagraphFont"/>
    <w:link w:val="MacroText"/>
    <w:rPr>
      <w:rFonts w:ascii="Courier New" w:hAnsi="Courier New"/>
      <w:lang w:eastAsia="en-US"/>
    </w:rPr>
  </w:style>
  <w:style w:type="paragraph" w:styleId="MessageHeader">
    <w:name w:val="Message Header"/>
    <w:basedOn w:val="Normal"/>
    <w:link w:val="MessageHeaderChar"/>
    <w:pPr>
      <w:widowControl/>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hAnsi="Arial"/>
      <w:lang w:eastAsia="en-US"/>
    </w:rPr>
  </w:style>
  <w:style w:type="character" w:customStyle="1" w:styleId="MessageHeaderChar">
    <w:name w:val="Message Header Char"/>
    <w:basedOn w:val="DefaultParagraphFont"/>
    <w:link w:val="MessageHeader"/>
    <w:rPr>
      <w:rFonts w:ascii="Arial" w:hAnsi="Arial"/>
      <w:sz w:val="24"/>
      <w:shd w:val="pct20" w:color="auto" w:fill="auto"/>
      <w:lang w:eastAsia="en-US"/>
    </w:rPr>
  </w:style>
  <w:style w:type="paragraph" w:styleId="NormalIndent">
    <w:name w:val="Normal Indent"/>
    <w:basedOn w:val="Normal"/>
    <w:pPr>
      <w:widowControl/>
      <w:spacing w:after="240" w:line="240" w:lineRule="auto"/>
      <w:ind w:left="720"/>
      <w:jc w:val="both"/>
    </w:pPr>
    <w:rPr>
      <w:lang w:eastAsia="en-US"/>
    </w:rPr>
  </w:style>
  <w:style w:type="paragraph" w:styleId="NoteHeading">
    <w:name w:val="Note Heading"/>
    <w:basedOn w:val="Normal"/>
    <w:next w:val="Normal"/>
    <w:link w:val="NoteHeadingChar"/>
    <w:pPr>
      <w:widowControl/>
      <w:spacing w:after="240" w:line="240" w:lineRule="auto"/>
      <w:jc w:val="both"/>
    </w:pPr>
    <w:rPr>
      <w:lang w:eastAsia="en-US"/>
    </w:rPr>
  </w:style>
  <w:style w:type="character" w:customStyle="1" w:styleId="NoteHeadingChar">
    <w:name w:val="Note Heading Char"/>
    <w:basedOn w:val="DefaultParagraphFont"/>
    <w:link w:val="NoteHeading"/>
    <w:rPr>
      <w:sz w:val="24"/>
      <w:lang w:eastAsia="en-US"/>
    </w:rPr>
  </w:style>
  <w:style w:type="paragraph" w:customStyle="1" w:styleId="NoteHead">
    <w:name w:val="NoteHead"/>
    <w:basedOn w:val="Normal"/>
    <w:next w:val="Subject"/>
    <w:pPr>
      <w:widowControl/>
      <w:spacing w:before="720" w:after="720" w:line="240" w:lineRule="auto"/>
      <w:jc w:val="center"/>
    </w:pPr>
    <w:rPr>
      <w:b/>
      <w:smallCaps/>
      <w:lang w:eastAsia="en-US"/>
    </w:rPr>
  </w:style>
  <w:style w:type="paragraph" w:customStyle="1" w:styleId="Subject">
    <w:name w:val="Subject"/>
    <w:basedOn w:val="Normal"/>
    <w:next w:val="Normal"/>
    <w:pPr>
      <w:widowControl/>
      <w:spacing w:after="480" w:line="240" w:lineRule="auto"/>
      <w:ind w:left="1531" w:hanging="1531"/>
    </w:pPr>
    <w:rPr>
      <w:b/>
      <w:lang w:eastAsia="en-US"/>
    </w:rPr>
  </w:style>
  <w:style w:type="paragraph" w:customStyle="1" w:styleId="NoteList">
    <w:name w:val="NoteList"/>
    <w:basedOn w:val="Normal"/>
    <w:next w:val="Subject"/>
    <w:pPr>
      <w:widowControl/>
      <w:tabs>
        <w:tab w:val="left" w:pos="5823"/>
      </w:tabs>
      <w:spacing w:before="720" w:after="720" w:line="240" w:lineRule="auto"/>
      <w:ind w:left="5104" w:hanging="3119"/>
    </w:pPr>
    <w:rPr>
      <w:b/>
      <w:smallCaps/>
      <w:lang w:eastAsia="en-US"/>
    </w:rPr>
  </w:style>
  <w:style w:type="paragraph" w:styleId="Salutation">
    <w:name w:val="Salutation"/>
    <w:basedOn w:val="Normal"/>
    <w:next w:val="Normal"/>
    <w:link w:val="SalutationChar"/>
    <w:pPr>
      <w:widowControl/>
      <w:spacing w:after="240" w:line="240" w:lineRule="auto"/>
      <w:jc w:val="both"/>
    </w:pPr>
    <w:rPr>
      <w:lang w:eastAsia="en-US"/>
    </w:rPr>
  </w:style>
  <w:style w:type="character" w:customStyle="1" w:styleId="SalutationChar">
    <w:name w:val="Salutation Char"/>
    <w:basedOn w:val="DefaultParagraphFont"/>
    <w:link w:val="Salutation"/>
    <w:rPr>
      <w:sz w:val="24"/>
      <w:lang w:eastAsia="en-US"/>
    </w:rPr>
  </w:style>
  <w:style w:type="paragraph" w:customStyle="1" w:styleId="YReferences">
    <w:name w:val="YReferences"/>
    <w:basedOn w:val="Normal"/>
    <w:next w:val="Normal"/>
    <w:pPr>
      <w:widowControl/>
      <w:spacing w:after="480" w:line="240" w:lineRule="auto"/>
      <w:ind w:left="1531" w:hanging="1531"/>
      <w:jc w:val="both"/>
    </w:pPr>
    <w:rPr>
      <w:lang w:eastAsia="en-US"/>
    </w:rPr>
  </w:style>
  <w:style w:type="paragraph" w:customStyle="1" w:styleId="ListBullet1">
    <w:name w:val="List Bullet 1"/>
    <w:basedOn w:val="Text10"/>
    <w:pPr>
      <w:numPr>
        <w:numId w:val="30"/>
      </w:numPr>
      <w:spacing w:before="0" w:after="240"/>
    </w:pPr>
    <w:rPr>
      <w:rFonts w:eastAsia="Times New Roman"/>
      <w:szCs w:val="20"/>
    </w:rPr>
  </w:style>
  <w:style w:type="paragraph" w:customStyle="1" w:styleId="ListDash1">
    <w:name w:val="List Dash 1"/>
    <w:basedOn w:val="Text10"/>
    <w:pPr>
      <w:numPr>
        <w:numId w:val="31"/>
      </w:numPr>
      <w:spacing w:before="0" w:after="240"/>
    </w:pPr>
    <w:rPr>
      <w:rFonts w:eastAsia="Times New Roman"/>
      <w:szCs w:val="20"/>
    </w:rPr>
  </w:style>
  <w:style w:type="paragraph" w:customStyle="1" w:styleId="ListDash2">
    <w:name w:val="List Dash 2"/>
    <w:basedOn w:val="Text2"/>
    <w:pPr>
      <w:numPr>
        <w:numId w:val="32"/>
      </w:numPr>
      <w:spacing w:before="0" w:after="240"/>
    </w:pPr>
    <w:rPr>
      <w:rFonts w:eastAsia="Times New Roman"/>
      <w:szCs w:val="20"/>
    </w:rPr>
  </w:style>
  <w:style w:type="paragraph" w:customStyle="1" w:styleId="ListDash3">
    <w:name w:val="List Dash 3"/>
    <w:basedOn w:val="Text3"/>
    <w:pPr>
      <w:numPr>
        <w:numId w:val="33"/>
      </w:numPr>
      <w:spacing w:before="0" w:after="240"/>
    </w:pPr>
    <w:rPr>
      <w:rFonts w:eastAsia="Times New Roman"/>
      <w:szCs w:val="20"/>
    </w:rPr>
  </w:style>
  <w:style w:type="paragraph" w:customStyle="1" w:styleId="ListDash4">
    <w:name w:val="List Dash 4"/>
    <w:basedOn w:val="Text4"/>
    <w:pPr>
      <w:numPr>
        <w:numId w:val="34"/>
      </w:numPr>
      <w:tabs>
        <w:tab w:val="clear" w:pos="3163"/>
      </w:tabs>
      <w:spacing w:before="0" w:after="240"/>
      <w:ind w:left="2880" w:firstLine="0"/>
    </w:pPr>
    <w:rPr>
      <w:rFonts w:eastAsia="Times New Roman"/>
      <w:szCs w:val="20"/>
    </w:rPr>
  </w:style>
  <w:style w:type="paragraph" w:customStyle="1" w:styleId="ListNumberLevel2">
    <w:name w:val="List Number (Level 2)"/>
    <w:basedOn w:val="Normal"/>
    <w:pPr>
      <w:widowControl/>
      <w:tabs>
        <w:tab w:val="num" w:pos="1417"/>
      </w:tabs>
      <w:spacing w:after="240" w:line="240" w:lineRule="auto"/>
      <w:ind w:left="1417" w:hanging="708"/>
      <w:jc w:val="both"/>
    </w:pPr>
    <w:rPr>
      <w:lang w:eastAsia="en-US"/>
    </w:rPr>
  </w:style>
  <w:style w:type="paragraph" w:customStyle="1" w:styleId="ListNumberLevel3">
    <w:name w:val="List Number (Level 3)"/>
    <w:basedOn w:val="Normal"/>
    <w:pPr>
      <w:widowControl/>
      <w:tabs>
        <w:tab w:val="num" w:pos="2126"/>
      </w:tabs>
      <w:spacing w:after="240" w:line="240" w:lineRule="auto"/>
      <w:ind w:left="2126" w:hanging="709"/>
      <w:jc w:val="both"/>
    </w:pPr>
    <w:rPr>
      <w:lang w:eastAsia="en-US"/>
    </w:rPr>
  </w:style>
  <w:style w:type="paragraph" w:customStyle="1" w:styleId="ListNumberLevel4">
    <w:name w:val="List Number (Level 4)"/>
    <w:basedOn w:val="Normal"/>
    <w:pPr>
      <w:widowControl/>
      <w:tabs>
        <w:tab w:val="num" w:pos="2835"/>
      </w:tabs>
      <w:spacing w:after="240" w:line="240" w:lineRule="auto"/>
      <w:ind w:left="2835" w:hanging="709"/>
      <w:jc w:val="both"/>
    </w:pPr>
    <w:rPr>
      <w:lang w:eastAsia="en-US"/>
    </w:rPr>
  </w:style>
  <w:style w:type="paragraph" w:customStyle="1" w:styleId="ListNumber1">
    <w:name w:val="List Number 1"/>
    <w:basedOn w:val="Text10"/>
    <w:pPr>
      <w:numPr>
        <w:numId w:val="35"/>
      </w:numPr>
      <w:spacing w:before="0" w:after="240"/>
    </w:pPr>
    <w:rPr>
      <w:rFonts w:eastAsia="Times New Roman"/>
      <w:szCs w:val="20"/>
    </w:rPr>
  </w:style>
  <w:style w:type="paragraph" w:customStyle="1" w:styleId="ListNumber1Level2">
    <w:name w:val="List Number 1 (Level 2)"/>
    <w:basedOn w:val="Text10"/>
    <w:pPr>
      <w:numPr>
        <w:ilvl w:val="1"/>
        <w:numId w:val="35"/>
      </w:numPr>
      <w:spacing w:before="0" w:after="240"/>
    </w:pPr>
    <w:rPr>
      <w:rFonts w:eastAsia="Times New Roman"/>
      <w:szCs w:val="20"/>
    </w:rPr>
  </w:style>
  <w:style w:type="paragraph" w:customStyle="1" w:styleId="ListNumber1Level3">
    <w:name w:val="List Number 1 (Level 3)"/>
    <w:basedOn w:val="Text10"/>
    <w:pPr>
      <w:numPr>
        <w:ilvl w:val="2"/>
        <w:numId w:val="35"/>
      </w:numPr>
      <w:spacing w:before="0" w:after="240"/>
    </w:pPr>
    <w:rPr>
      <w:rFonts w:eastAsia="Times New Roman"/>
      <w:szCs w:val="20"/>
    </w:rPr>
  </w:style>
  <w:style w:type="paragraph" w:customStyle="1" w:styleId="ListNumber1Level4">
    <w:name w:val="List Number 1 (Level 4)"/>
    <w:basedOn w:val="Text10"/>
    <w:pPr>
      <w:numPr>
        <w:ilvl w:val="3"/>
        <w:numId w:val="35"/>
      </w:numPr>
      <w:spacing w:before="0" w:after="240"/>
    </w:pPr>
    <w:rPr>
      <w:rFonts w:eastAsia="Times New Roman"/>
      <w:szCs w:val="20"/>
    </w:rPr>
  </w:style>
  <w:style w:type="paragraph" w:customStyle="1" w:styleId="ListNumber2Level2">
    <w:name w:val="List Number 2 (Level 2)"/>
    <w:basedOn w:val="Text2"/>
    <w:pPr>
      <w:tabs>
        <w:tab w:val="num" w:pos="2494"/>
      </w:tabs>
      <w:spacing w:before="0" w:after="240"/>
      <w:ind w:left="2494" w:hanging="708"/>
    </w:pPr>
    <w:rPr>
      <w:rFonts w:eastAsia="Times New Roman"/>
      <w:szCs w:val="20"/>
    </w:rPr>
  </w:style>
  <w:style w:type="paragraph" w:customStyle="1" w:styleId="ListNumber2Level3">
    <w:name w:val="List Number 2 (Level 3)"/>
    <w:basedOn w:val="Text2"/>
    <w:pPr>
      <w:tabs>
        <w:tab w:val="num" w:pos="3203"/>
      </w:tabs>
      <w:spacing w:before="0" w:after="240"/>
      <w:ind w:left="3203" w:hanging="709"/>
    </w:pPr>
    <w:rPr>
      <w:rFonts w:eastAsia="Times New Roman"/>
      <w:szCs w:val="20"/>
    </w:rPr>
  </w:style>
  <w:style w:type="paragraph" w:customStyle="1" w:styleId="ListNumber2Level4">
    <w:name w:val="List Number 2 (Level 4)"/>
    <w:basedOn w:val="Text2"/>
    <w:pPr>
      <w:tabs>
        <w:tab w:val="num" w:pos="3912"/>
      </w:tabs>
      <w:spacing w:before="0" w:after="240"/>
      <w:ind w:left="3901" w:hanging="703"/>
    </w:pPr>
    <w:rPr>
      <w:rFonts w:eastAsia="Times New Roman"/>
      <w:szCs w:val="20"/>
    </w:rPr>
  </w:style>
  <w:style w:type="paragraph" w:customStyle="1" w:styleId="ListNumber3Level2">
    <w:name w:val="List Number 3 (Level 2)"/>
    <w:basedOn w:val="Text3"/>
    <w:pPr>
      <w:tabs>
        <w:tab w:val="num" w:pos="3333"/>
      </w:tabs>
      <w:spacing w:before="0" w:after="240"/>
      <w:ind w:left="3333" w:hanging="708"/>
    </w:pPr>
    <w:rPr>
      <w:rFonts w:eastAsia="Times New Roman"/>
      <w:szCs w:val="20"/>
    </w:rPr>
  </w:style>
  <w:style w:type="paragraph" w:customStyle="1" w:styleId="ListNumber3Level3">
    <w:name w:val="List Number 3 (Level 3)"/>
    <w:basedOn w:val="Text3"/>
    <w:pPr>
      <w:tabs>
        <w:tab w:val="num" w:pos="4042"/>
      </w:tabs>
      <w:spacing w:before="0" w:after="240"/>
      <w:ind w:left="4042" w:hanging="709"/>
    </w:pPr>
    <w:rPr>
      <w:rFonts w:eastAsia="Times New Roman"/>
      <w:szCs w:val="20"/>
    </w:rPr>
  </w:style>
  <w:style w:type="paragraph" w:customStyle="1" w:styleId="ListNumber3Level4">
    <w:name w:val="List Number 3 (Level 4)"/>
    <w:basedOn w:val="Text3"/>
    <w:pPr>
      <w:tabs>
        <w:tab w:val="num" w:pos="4751"/>
      </w:tabs>
      <w:spacing w:before="0" w:after="240"/>
      <w:ind w:left="4751" w:hanging="709"/>
    </w:pPr>
    <w:rPr>
      <w:rFonts w:eastAsia="Times New Roman"/>
      <w:szCs w:val="20"/>
    </w:rPr>
  </w:style>
  <w:style w:type="paragraph" w:customStyle="1" w:styleId="ListNumber4Level2">
    <w:name w:val="List Number 4 (Level 2)"/>
    <w:basedOn w:val="Text4"/>
    <w:pPr>
      <w:spacing w:before="0" w:after="240"/>
      <w:ind w:left="2880"/>
    </w:pPr>
    <w:rPr>
      <w:rFonts w:eastAsia="Times New Roman"/>
      <w:szCs w:val="20"/>
    </w:rPr>
  </w:style>
  <w:style w:type="paragraph" w:customStyle="1" w:styleId="ListNumber4Level3">
    <w:name w:val="List Number 4 (Level 3)"/>
    <w:basedOn w:val="Text4"/>
    <w:pPr>
      <w:spacing w:before="0" w:after="240"/>
      <w:ind w:left="2880"/>
    </w:pPr>
    <w:rPr>
      <w:rFonts w:eastAsia="Times New Roman"/>
      <w:szCs w:val="20"/>
    </w:rPr>
  </w:style>
  <w:style w:type="paragraph" w:customStyle="1" w:styleId="ListNumber4Level4">
    <w:name w:val="List Number 4 (Level 4)"/>
    <w:basedOn w:val="Text4"/>
    <w:pPr>
      <w:spacing w:before="0" w:after="240"/>
      <w:ind w:left="2880"/>
    </w:pPr>
    <w:rPr>
      <w:rFonts w:eastAsia="Times New Roman"/>
      <w:szCs w:val="20"/>
    </w:rPr>
  </w:style>
  <w:style w:type="paragraph" w:customStyle="1" w:styleId="Contact">
    <w:name w:val="Contact"/>
    <w:basedOn w:val="Normal"/>
    <w:next w:val="Normal"/>
    <w:pPr>
      <w:widowControl/>
      <w:spacing w:before="480" w:line="240" w:lineRule="auto"/>
      <w:ind w:left="567" w:hanging="567"/>
    </w:pPr>
    <w:rPr>
      <w:lang w:eastAsia="en-US"/>
    </w:rPr>
  </w:style>
  <w:style w:type="paragraph" w:customStyle="1" w:styleId="DisclaimerNotice">
    <w:name w:val="Disclaimer Notice"/>
    <w:basedOn w:val="Normal"/>
    <w:next w:val="AddressTR"/>
    <w:pPr>
      <w:widowControl/>
      <w:spacing w:after="240" w:line="240" w:lineRule="auto"/>
      <w:ind w:left="5103"/>
    </w:pPr>
    <w:rPr>
      <w:i/>
      <w:sz w:val="20"/>
      <w:lang w:eastAsia="en-US"/>
    </w:rPr>
  </w:style>
  <w:style w:type="paragraph" w:customStyle="1" w:styleId="Disclaimer">
    <w:name w:val="Disclaimer"/>
    <w:basedOn w:val="Normal"/>
    <w:pPr>
      <w:keepLines/>
      <w:widowControl/>
      <w:pBdr>
        <w:top w:val="single" w:sz="4" w:space="1" w:color="auto"/>
      </w:pBdr>
      <w:spacing w:before="480" w:line="240" w:lineRule="auto"/>
      <w:jc w:val="both"/>
    </w:pPr>
    <w:rPr>
      <w:i/>
      <w:lang w:eastAsia="en-US"/>
    </w:rPr>
  </w:style>
  <w:style w:type="paragraph" w:customStyle="1" w:styleId="DisclaimerSJ">
    <w:name w:val="Disclaimer_SJ"/>
    <w:basedOn w:val="Normal"/>
    <w:next w:val="Normal"/>
    <w:pPr>
      <w:widowControl/>
      <w:spacing w:line="240" w:lineRule="auto"/>
      <w:jc w:val="both"/>
    </w:pPr>
    <w:rPr>
      <w:rFonts w:ascii="Arial" w:hAnsi="Arial"/>
      <w:b/>
      <w:sz w:val="16"/>
      <w:lang w:eastAsia="en-US"/>
    </w:rPr>
  </w:style>
  <w:style w:type="paragraph" w:customStyle="1" w:styleId="Designator">
    <w:name w:val="Designator"/>
    <w:basedOn w:val="Normal"/>
    <w:pPr>
      <w:widowControl/>
      <w:spacing w:line="240" w:lineRule="auto"/>
      <w:jc w:val="center"/>
    </w:pPr>
    <w:rPr>
      <w:b/>
      <w:caps/>
      <w:sz w:val="32"/>
      <w:lang w:eastAsia="en-US"/>
    </w:rPr>
  </w:style>
  <w:style w:type="paragraph" w:customStyle="1" w:styleId="Releasable">
    <w:name w:val="Releasable"/>
    <w:basedOn w:val="Normal"/>
    <w:qFormat/>
    <w:pPr>
      <w:widowControl/>
      <w:spacing w:line="240" w:lineRule="auto"/>
      <w:jc w:val="center"/>
    </w:pPr>
    <w:rPr>
      <w:b/>
      <w:caps/>
      <w:sz w:val="32"/>
      <w:lang w:val="de-DE" w:eastAsia="en-US"/>
    </w:rPr>
  </w:style>
  <w:style w:type="paragraph" w:customStyle="1" w:styleId="RUE">
    <w:name w:val="RUE"/>
    <w:basedOn w:val="Normal"/>
    <w:pPr>
      <w:widowControl/>
      <w:spacing w:line="240" w:lineRule="auto"/>
      <w:jc w:val="center"/>
    </w:pPr>
    <w:rPr>
      <w:b/>
      <w:caps/>
      <w:sz w:val="32"/>
      <w:bdr w:val="single" w:sz="18" w:space="0" w:color="auto"/>
      <w:lang w:val="de-DE" w:eastAsia="en-US"/>
    </w:rPr>
  </w:style>
  <w:style w:type="paragraph" w:customStyle="1" w:styleId="ConfidentialUE">
    <w:name w:val="Confidential UE"/>
    <w:basedOn w:val="Normal"/>
    <w:pPr>
      <w:widowControl/>
      <w:spacing w:line="240" w:lineRule="auto"/>
      <w:jc w:val="center"/>
    </w:pPr>
    <w:rPr>
      <w:b/>
      <w:caps/>
      <w:sz w:val="32"/>
      <w:bdr w:val="single" w:sz="18" w:space="0" w:color="auto"/>
      <w:lang w:eastAsia="en-US"/>
    </w:rPr>
  </w:style>
  <w:style w:type="paragraph" w:customStyle="1" w:styleId="TrsSecretUE">
    <w:name w:val="Très Secret UE"/>
    <w:basedOn w:val="Normal"/>
    <w:pPr>
      <w:widowControl/>
      <w:spacing w:line="240" w:lineRule="auto"/>
      <w:jc w:val="center"/>
    </w:pPr>
    <w:rPr>
      <w:b/>
      <w:caps/>
      <w:color w:val="FF0000"/>
      <w:sz w:val="32"/>
      <w:bdr w:val="single" w:sz="18" w:space="0" w:color="FF0000"/>
      <w:lang w:eastAsia="en-US"/>
    </w:rPr>
  </w:style>
  <w:style w:type="paragraph" w:customStyle="1" w:styleId="SecretUE">
    <w:name w:val="Secret UE"/>
    <w:basedOn w:val="Normal"/>
    <w:pPr>
      <w:widowControl/>
      <w:spacing w:line="240" w:lineRule="auto"/>
      <w:jc w:val="center"/>
    </w:pPr>
    <w:rPr>
      <w:b/>
      <w:caps/>
      <w:color w:val="FF0000"/>
      <w:sz w:val="32"/>
      <w:bdr w:val="single" w:sz="18" w:space="0" w:color="FF0000"/>
      <w:lang w:eastAsia="en-US"/>
    </w:rPr>
  </w:style>
  <w:style w:type="numbering" w:customStyle="1" w:styleId="NoList11">
    <w:name w:val="No List11"/>
    <w:next w:val="NoList"/>
    <w:semiHidden/>
  </w:style>
  <w:style w:type="paragraph" w:customStyle="1" w:styleId="Listecouleur-Accent11">
    <w:name w:val="Liste couleur - Accent 11"/>
    <w:basedOn w:val="Normal"/>
    <w:pPr>
      <w:widowControl/>
      <w:spacing w:after="200" w:line="276" w:lineRule="auto"/>
      <w:ind w:left="720"/>
      <w:contextualSpacing/>
    </w:pPr>
    <w:rPr>
      <w:rFonts w:ascii="Calibri" w:eastAsia="Calibri" w:hAnsi="Calibri" w:cs="Calibri"/>
      <w:sz w:val="22"/>
      <w:szCs w:val="22"/>
      <w:lang w:val="en-US" w:eastAsia="en-US"/>
    </w:rPr>
  </w:style>
  <w:style w:type="table" w:customStyle="1" w:styleId="TableGrid1">
    <w:name w:val="Table Grid1"/>
    <w:basedOn w:val="TableNormal"/>
    <w:next w:val="TableGrid"/>
    <w:rPr>
      <w:rFonts w:ascii="Calibri" w:eastAsia="Calibri" w:hAnsi="Calibri" w:cs="Calibri"/>
      <w:lang w:val="fr-BE" w:eastAsia="fr-B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Style1"/>
    <w:basedOn w:val="Normal"/>
    <w:pPr>
      <w:widowControl/>
      <w:spacing w:after="200" w:line="276" w:lineRule="auto"/>
    </w:pPr>
    <w:rPr>
      <w:rFonts w:ascii="Calibri" w:eastAsia="Calibri" w:hAnsi="Calibri" w:cs="Calibri"/>
      <w:szCs w:val="24"/>
      <w:lang w:val="en-US" w:eastAsia="en-US"/>
    </w:rPr>
  </w:style>
  <w:style w:type="paragraph" w:customStyle="1" w:styleId="Style2">
    <w:name w:val="Style2"/>
    <w:basedOn w:val="Normal"/>
    <w:pPr>
      <w:widowControl/>
      <w:spacing w:after="200" w:line="276" w:lineRule="auto"/>
    </w:pPr>
    <w:rPr>
      <w:rFonts w:ascii="Calibri" w:eastAsia="Calibri" w:hAnsi="Calibri" w:cs="Calibri"/>
      <w:szCs w:val="24"/>
      <w:lang w:val="en-US" w:eastAsia="en-US"/>
    </w:rPr>
  </w:style>
  <w:style w:type="paragraph" w:customStyle="1" w:styleId="Listecouleur-Accent12">
    <w:name w:val="Liste couleur - Accent 12"/>
    <w:basedOn w:val="Normal"/>
    <w:pPr>
      <w:widowControl/>
      <w:spacing w:after="200" w:line="276" w:lineRule="auto"/>
      <w:ind w:left="720"/>
    </w:pPr>
    <w:rPr>
      <w:rFonts w:ascii="Calibri" w:eastAsia="Calibri" w:hAnsi="Calibri" w:cs="Calibri"/>
      <w:sz w:val="22"/>
      <w:szCs w:val="22"/>
      <w:lang w:val="en-US" w:eastAsia="en-US"/>
    </w:rPr>
  </w:style>
  <w:style w:type="character" w:customStyle="1" w:styleId="CommentTextChar1">
    <w:name w:val="Comment Text Char1"/>
    <w:semiHidden/>
    <w:rPr>
      <w:rFonts w:ascii="Times New Roman" w:eastAsia="Times New Roman" w:hAnsi="Times New Roman" w:cs="Times New Roman"/>
      <w:sz w:val="20"/>
      <w:szCs w:val="20"/>
      <w:lang w:val="en-GB"/>
    </w:rPr>
  </w:style>
  <w:style w:type="numbering" w:customStyle="1" w:styleId="NoList21">
    <w:name w:val="No List21"/>
    <w:next w:val="NoList"/>
    <w:semiHidden/>
  </w:style>
  <w:style w:type="numbering" w:customStyle="1" w:styleId="NoList5">
    <w:name w:val="No List5"/>
    <w:next w:val="NoList"/>
    <w:uiPriority w:val="99"/>
    <w:semiHidden/>
    <w:unhideWhenUsed/>
  </w:style>
  <w:style w:type="character" w:styleId="HTMLDefinition">
    <w:name w:val="HTML Definition"/>
    <w:basedOn w:val="DefaultParagraphFont"/>
    <w:uiPriority w:val="99"/>
    <w:unhideWhenUsed/>
    <w:rPr>
      <w:i/>
      <w:iCs/>
    </w:rPr>
  </w:style>
  <w:style w:type="character" w:customStyle="1" w:styleId="msoins0">
    <w:name w:val="msoins"/>
    <w:basedOn w:val="DefaultParagraphFont"/>
  </w:style>
  <w:style w:type="numbering" w:customStyle="1" w:styleId="NoList6">
    <w:name w:val="No List6"/>
    <w:next w:val="NoList"/>
    <w:uiPriority w:val="99"/>
    <w:semiHidden/>
    <w:unhideWhenUsed/>
  </w:style>
  <w:style w:type="table" w:customStyle="1" w:styleId="TableGrid2">
    <w:name w:val="Table Grid2"/>
    <w:basedOn w:val="TableNormal"/>
    <w:next w:val="TableGrid"/>
    <w:uiPriority w:val="59"/>
    <w:rPr>
      <w:rFonts w:eastAsiaTheme="minorHAnsi" w:cstheme="minorBidi"/>
      <w:sz w:val="24"/>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style>
  <w:style w:type="character" w:customStyle="1" w:styleId="formreadable1">
    <w:name w:val="formreadable1"/>
    <w:basedOn w:val="DefaultParagraphFont"/>
    <w:rPr>
      <w:rFonts w:ascii="Arial" w:hAnsi="Arial" w:cs="Arial" w:hint="default"/>
      <w:b/>
      <w:bCs/>
      <w:i w:val="0"/>
      <w:iCs w:val="0"/>
      <w:strike w:val="0"/>
      <w:dstrike w:val="0"/>
      <w:color w:val="000000"/>
      <w:sz w:val="17"/>
      <w:szCs w:val="17"/>
      <w:u w:val="none"/>
      <w:effect w:val="none"/>
      <w:shd w:val="clear" w:color="auto" w:fill="E6E6E6"/>
    </w:rPr>
  </w:style>
  <w:style w:type="numbering" w:customStyle="1" w:styleId="NoList7">
    <w:name w:val="No List7"/>
    <w:next w:val="NoList"/>
    <w:uiPriority w:val="99"/>
    <w:semiHidden/>
    <w:unhideWhenUsed/>
  </w:style>
  <w:style w:type="paragraph" w:customStyle="1" w:styleId="CM4">
    <w:name w:val="CM4"/>
    <w:basedOn w:val="Normal"/>
    <w:next w:val="Normal"/>
    <w:uiPriority w:val="99"/>
    <w:pPr>
      <w:widowControl/>
      <w:autoSpaceDE w:val="0"/>
      <w:autoSpaceDN w:val="0"/>
      <w:adjustRightInd w:val="0"/>
      <w:spacing w:before="60" w:after="60" w:line="240" w:lineRule="auto"/>
    </w:pPr>
    <w:rPr>
      <w:rFonts w:ascii="EUAlbertina" w:hAnsi="EUAlbertina"/>
      <w:szCs w:val="24"/>
      <w:lang w:val="en-CA" w:eastAsia="en-CA"/>
    </w:rPr>
  </w:style>
  <w:style w:type="numbering" w:customStyle="1" w:styleId="List01">
    <w:name w:val="List 01"/>
    <w:basedOn w:val="NoList"/>
    <w:pPr>
      <w:numPr>
        <w:numId w:val="23"/>
      </w:numPr>
    </w:pPr>
  </w:style>
  <w:style w:type="numbering" w:customStyle="1" w:styleId="List1">
    <w:name w:val="List 1"/>
    <w:basedOn w:val="NoList"/>
    <w:pPr>
      <w:numPr>
        <w:numId w:val="36"/>
      </w:numPr>
    </w:p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A">
    <w:name w:val="Body A"/>
    <w:pPr>
      <w:pBdr>
        <w:top w:val="nil"/>
        <w:left w:val="nil"/>
        <w:bottom w:val="nil"/>
        <w:right w:val="nil"/>
        <w:between w:val="nil"/>
        <w:bar w:val="nil"/>
      </w:pBdr>
    </w:pPr>
    <w:rPr>
      <w:rFonts w:ascii="Calibri" w:eastAsia="Calibri" w:hAnsi="Calibri" w:cs="Calibri"/>
      <w:color w:val="000000"/>
      <w:sz w:val="22"/>
      <w:szCs w:val="22"/>
      <w:u w:color="000000"/>
      <w:bdr w:val="nil"/>
      <w:lang w:val="en-US" w:eastAsia="en-CA"/>
    </w:rPr>
  </w:style>
  <w:style w:type="numbering" w:customStyle="1" w:styleId="NoList8">
    <w:name w:val="No List8"/>
    <w:next w:val="NoList"/>
    <w:uiPriority w:val="99"/>
    <w:semiHidden/>
    <w:unhideWhenUsed/>
  </w:style>
  <w:style w:type="paragraph" w:customStyle="1" w:styleId="Level1">
    <w:name w:val="Level 1"/>
    <w:uiPriority w:val="99"/>
    <w:pPr>
      <w:ind w:left="720"/>
      <w:jc w:val="both"/>
    </w:pPr>
    <w:rPr>
      <w:sz w:val="24"/>
      <w:lang w:val="en-US" w:eastAsia="en-US"/>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BodyTextIn">
    <w:name w:val="Body Text In"/>
    <w:uiPriority w:val="99"/>
    <w:pPr>
      <w:tabs>
        <w:tab w:val="left" w:pos="28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ind w:left="282"/>
    </w:pPr>
    <w:rPr>
      <w:lang w:val="en-CA" w:eastAsia="en-US"/>
    </w:rPr>
  </w:style>
  <w:style w:type="paragraph" w:customStyle="1" w:styleId="Clause">
    <w:name w:val="Clause"/>
    <w:basedOn w:val="Normal"/>
    <w:uiPriority w:val="99"/>
    <w:pPr>
      <w:widowControl/>
      <w:tabs>
        <w:tab w:val="left" w:pos="720"/>
        <w:tab w:val="left" w:pos="1440"/>
        <w:tab w:val="left" w:pos="2160"/>
      </w:tabs>
      <w:spacing w:after="240" w:line="240" w:lineRule="auto"/>
      <w:ind w:left="2160" w:hanging="720"/>
    </w:pPr>
    <w:rPr>
      <w:lang w:val="en-US" w:eastAsia="en-US"/>
    </w:rPr>
  </w:style>
  <w:style w:type="paragraph" w:customStyle="1" w:styleId="num">
    <w:name w:val="num"/>
    <w:basedOn w:val="Normal"/>
    <w:pPr>
      <w:widowControl/>
      <w:spacing w:after="240" w:line="240" w:lineRule="auto"/>
      <w:ind w:left="850" w:hanging="850"/>
      <w:jc w:val="both"/>
    </w:pPr>
    <w:rPr>
      <w:rFonts w:eastAsia="Batang"/>
      <w:lang w:eastAsia="en-GB"/>
    </w:rPr>
  </w:style>
  <w:style w:type="paragraph" w:customStyle="1" w:styleId="para">
    <w:name w:val="para"/>
    <w:basedOn w:val="Normal"/>
    <w:pPr>
      <w:widowControl/>
      <w:spacing w:after="240" w:line="240" w:lineRule="auto"/>
    </w:pPr>
    <w:rPr>
      <w:rFonts w:eastAsia="Batang"/>
      <w:lang w:val="en-US" w:eastAsia="en-US"/>
    </w:rPr>
  </w:style>
  <w:style w:type="paragraph" w:customStyle="1" w:styleId="body0">
    <w:name w:val="body"/>
    <w:basedOn w:val="Normal"/>
    <w:uiPriority w:val="99"/>
    <w:pPr>
      <w:widowControl/>
      <w:spacing w:before="100" w:beforeAutospacing="1" w:after="100" w:afterAutospacing="1" w:line="240" w:lineRule="auto"/>
    </w:pPr>
    <w:rPr>
      <w:rFonts w:eastAsiaTheme="minorHAnsi"/>
      <w:szCs w:val="24"/>
      <w:lang w:val="en-CA" w:eastAsia="en-CA"/>
    </w:rPr>
  </w:style>
  <w:style w:type="numbering" w:customStyle="1" w:styleId="NoList9">
    <w:name w:val="No List9"/>
    <w:next w:val="NoList"/>
    <w:uiPriority w:val="99"/>
    <w:semiHidden/>
    <w:unhideWhenUsed/>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character" w:customStyle="1" w:styleId="hps">
    <w:name w:val="hps"/>
  </w:style>
  <w:style w:type="numbering" w:customStyle="1" w:styleId="NoList10">
    <w:name w:val="No List10"/>
    <w:next w:val="NoList"/>
    <w:uiPriority w:val="99"/>
    <w:semiHidden/>
    <w:unhideWhenUsed/>
  </w:style>
  <w:style w:type="numbering" w:customStyle="1" w:styleId="NoList12">
    <w:name w:val="No List12"/>
    <w:next w:val="NoList"/>
    <w:uiPriority w:val="99"/>
    <w:semiHidden/>
    <w:unhideWhenUsed/>
  </w:style>
  <w:style w:type="paragraph" w:customStyle="1" w:styleId="Point10">
    <w:name w:val="Point 1"/>
    <w:basedOn w:val="Normal"/>
    <w:pPr>
      <w:widowControl/>
      <w:spacing w:before="120" w:after="120" w:line="240" w:lineRule="auto"/>
      <w:ind w:left="1417" w:hanging="567"/>
      <w:jc w:val="both"/>
    </w:pPr>
    <w:rPr>
      <w:rFonts w:eastAsiaTheme="minorHAnsi"/>
      <w:szCs w:val="22"/>
      <w:lang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0">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37"/>
      </w:numPr>
    </w:pPr>
  </w:style>
  <w:style w:type="paragraph" w:customStyle="1" w:styleId="Tiret1">
    <w:name w:val="Tiret 1"/>
    <w:basedOn w:val="Point10"/>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0"/>
    <w:pPr>
      <w:widowControl/>
      <w:numPr>
        <w:numId w:val="42"/>
      </w:numPr>
      <w:spacing w:before="120" w:after="120" w:line="240" w:lineRule="auto"/>
      <w:jc w:val="both"/>
    </w:pPr>
    <w:rPr>
      <w:rFonts w:eastAsiaTheme="minorHAnsi"/>
      <w:szCs w:val="22"/>
      <w:lang w:eastAsia="en-US"/>
    </w:rPr>
  </w:style>
  <w:style w:type="paragraph" w:customStyle="1" w:styleId="NumPar2">
    <w:name w:val="NumPar 2"/>
    <w:basedOn w:val="Normal"/>
    <w:next w:val="Text10"/>
    <w:pPr>
      <w:widowControl/>
      <w:numPr>
        <w:ilvl w:val="1"/>
        <w:numId w:val="42"/>
      </w:numPr>
      <w:spacing w:before="120" w:after="120" w:line="240" w:lineRule="auto"/>
      <w:jc w:val="both"/>
    </w:pPr>
    <w:rPr>
      <w:rFonts w:eastAsiaTheme="minorHAnsi"/>
      <w:szCs w:val="22"/>
      <w:lang w:eastAsia="en-US"/>
    </w:rPr>
  </w:style>
  <w:style w:type="paragraph" w:customStyle="1" w:styleId="NumPar3">
    <w:name w:val="NumPar 3"/>
    <w:basedOn w:val="Normal"/>
    <w:next w:val="Text10"/>
    <w:pPr>
      <w:widowControl/>
      <w:numPr>
        <w:ilvl w:val="2"/>
        <w:numId w:val="42"/>
      </w:numPr>
      <w:spacing w:before="120" w:after="120" w:line="240" w:lineRule="auto"/>
      <w:jc w:val="both"/>
    </w:pPr>
    <w:rPr>
      <w:rFonts w:eastAsiaTheme="minorHAnsi"/>
      <w:szCs w:val="22"/>
      <w:lang w:eastAsia="en-US"/>
    </w:rPr>
  </w:style>
  <w:style w:type="paragraph" w:customStyle="1" w:styleId="NumPar4">
    <w:name w:val="NumPar 4"/>
    <w:basedOn w:val="Normal"/>
    <w:next w:val="Text10"/>
    <w:pPr>
      <w:widowControl/>
      <w:numPr>
        <w:ilvl w:val="3"/>
        <w:numId w:val="42"/>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0"/>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0"/>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0"/>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0"/>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44"/>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44"/>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44"/>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44"/>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44"/>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44"/>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44"/>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44"/>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44"/>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45"/>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46"/>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47"/>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48"/>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49"/>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50"/>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bCs/>
      <w:szCs w:val="24"/>
    </w:rPr>
  </w:style>
  <w:style w:type="character" w:customStyle="1" w:styleId="FooterCoverPageChar">
    <w:name w:val="Footer Cover Page Char"/>
    <w:basedOn w:val="DefaultParagraphFont"/>
    <w:link w:val="FooterCoverPage"/>
    <w:rPr>
      <w:bCs/>
      <w:sz w:val="24"/>
      <w:szCs w:val="24"/>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bCs/>
      <w:szCs w:val="24"/>
    </w:rPr>
  </w:style>
  <w:style w:type="character" w:customStyle="1" w:styleId="HeaderCoverPageChar">
    <w:name w:val="Header Cover Page Char"/>
    <w:basedOn w:val="DefaultParagraphFont"/>
    <w:link w:val="HeaderCoverPage"/>
    <w:rPr>
      <w:bCs/>
      <w:sz w:val="24"/>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EDDE5-E782-41A3-B4A7-32C3DF54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28</Pages>
  <Words>3917</Words>
  <Characters>22176</Characters>
  <Application>Microsoft Office Word</Application>
  <DocSecurity>0</DocSecurity>
  <Lines>792</Lines>
  <Paragraphs>457</Paragraphs>
  <ScaleCrop>false</ScaleCrop>
  <HeadingPairs>
    <vt:vector size="2" baseType="variant">
      <vt:variant>
        <vt:lpstr>Title</vt:lpstr>
      </vt:variant>
      <vt:variant>
        <vt:i4>1</vt:i4>
      </vt:variant>
    </vt:vector>
  </HeadingPairs>
  <TitlesOfParts>
    <vt:vector size="1" baseType="lpstr">
      <vt:lpstr>GEN</vt:lpstr>
    </vt:vector>
  </TitlesOfParts>
  <Company>DTI</Company>
  <LinksUpToDate>false</LinksUpToDate>
  <CharactersWithSpaces>25636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11</cp:revision>
  <cp:lastPrinted>2004-04-02T13:43:00Z</cp:lastPrinted>
  <dcterms:created xsi:type="dcterms:W3CDTF">2016-06-06T20:06:00Z</dcterms:created>
  <dcterms:modified xsi:type="dcterms:W3CDTF">2016-07-07T14:27:00Z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9</vt:lpwstr>
  </property>
  <property fmtid="{D5CDD505-2E9C-101B-9397-08002B2CF9AE}" pid="3" name="Last annex">
    <vt:lpwstr>9</vt:lpwstr>
  </property>
  <property fmtid="{D5CDD505-2E9C-101B-9397-08002B2CF9AE}" pid="4" name="Part">
    <vt:lpwstr>1</vt:lpwstr>
  </property>
  <property fmtid="{D5CDD505-2E9C-101B-9397-08002B2CF9AE}" pid="5" name="Total parts">
    <vt:lpwstr>3</vt:lpwstr>
  </property>
  <property fmtid="{D5CDD505-2E9C-101B-9397-08002B2CF9AE}" pid="6" name="Classification">
    <vt:lpwstr> </vt:lpwstr>
  </property>
  <property fmtid="{D5CDD505-2E9C-101B-9397-08002B2CF9AE}" pid="7" name="DocStatus">
    <vt:lpwstr>Green</vt:lpwstr>
  </property>
  <property name="OP_sanitized" fmtid="{D5CDD505-2E9C-101B-9397-08002B2CF9AE}" pid="8">
    <vt:lpwstr>True</vt:lpwstr>
  </property>
</Properties>
</file>