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D1683A" w14:textId="1036B58C" w:rsidR="00FA5543" w:rsidRPr="00C34031" w:rsidRDefault="00516924" w:rsidP="00516924">
      <w:pPr>
        <w:pStyle w:val="Pagedecouverture"/>
        <w:rPr>
          <w:noProof/>
        </w:rPr>
      </w:pPr>
      <w:r>
        <w:rPr>
          <w:noProof/>
        </w:rPr>
        <w:pict w14:anchorId="4B0CC0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39958802-1B4B-4335-A246-89BBB9CC8760" style="width:455.25pt;height:414pt">
            <v:imagedata r:id="rId11" o:title=""/>
          </v:shape>
        </w:pict>
      </w:r>
    </w:p>
    <w:p w14:paraId="5E984E56" w14:textId="77777777" w:rsidR="00FA5543" w:rsidRPr="00C34031" w:rsidRDefault="00FA5543" w:rsidP="00FA5543">
      <w:pPr>
        <w:rPr>
          <w:noProof/>
        </w:rPr>
        <w:sectPr w:rsidR="00FA5543" w:rsidRPr="00C34031" w:rsidSect="00516924">
          <w:footerReference w:type="even" r:id="rId12"/>
          <w:footerReference w:type="default" r:id="rId13"/>
          <w:pgSz w:w="11907" w:h="16839"/>
          <w:pgMar w:top="1134" w:right="1417" w:bottom="1134" w:left="1417" w:header="709" w:footer="709" w:gutter="0"/>
          <w:pgNumType w:start="0"/>
          <w:cols w:space="720"/>
          <w:docGrid w:linePitch="360"/>
        </w:sectPr>
      </w:pPr>
    </w:p>
    <w:p w14:paraId="14022E35" w14:textId="77777777" w:rsidR="00FA5543" w:rsidRPr="00C34031" w:rsidRDefault="00FA5543" w:rsidP="00390489">
      <w:pPr>
        <w:pStyle w:val="Exposdesmotifstitre"/>
        <w:rPr>
          <w:noProof/>
        </w:rPr>
      </w:pPr>
      <w:bookmarkStart w:id="0" w:name="_GoBack"/>
      <w:bookmarkEnd w:id="0"/>
      <w:r w:rsidRPr="00C34031">
        <w:rPr>
          <w:noProof/>
        </w:rPr>
        <w:lastRenderedPageBreak/>
        <w:t>DŮVODOVÁ ZPRÁVA</w:t>
      </w:r>
    </w:p>
    <w:p w14:paraId="32B36F7C" w14:textId="77777777" w:rsidR="00FA5543" w:rsidRPr="00C34031" w:rsidRDefault="00FA5543" w:rsidP="00390489">
      <w:pPr>
        <w:pStyle w:val="ManualHeading1"/>
        <w:rPr>
          <w:noProof/>
        </w:rPr>
      </w:pPr>
      <w:r w:rsidRPr="00C34031">
        <w:rPr>
          <w:noProof/>
        </w:rPr>
        <w:t>1.</w:t>
      </w:r>
      <w:r w:rsidRPr="00C34031">
        <w:rPr>
          <w:noProof/>
        </w:rPr>
        <w:tab/>
        <w:t>SOUVISLOSTI NÁVRHU</w:t>
      </w:r>
    </w:p>
    <w:p w14:paraId="28C8C5C9" w14:textId="77777777" w:rsidR="00FA5543" w:rsidRPr="00C34031" w:rsidRDefault="00FA5543" w:rsidP="00390489">
      <w:pPr>
        <w:pStyle w:val="ManualHeading2"/>
        <w:rPr>
          <w:rFonts w:eastAsia="Arial Unicode MS"/>
          <w:noProof/>
        </w:rPr>
      </w:pPr>
      <w:r w:rsidRPr="00C34031">
        <w:rPr>
          <w:noProof/>
          <w:color w:val="000000"/>
          <w:u w:color="000000"/>
          <w:bdr w:val="nil"/>
        </w:rPr>
        <w:t>•</w:t>
      </w:r>
      <w:r w:rsidRPr="00C34031">
        <w:rPr>
          <w:noProof/>
          <w:color w:val="000000"/>
          <w:u w:color="000000"/>
          <w:bdr w:val="nil"/>
        </w:rPr>
        <w:tab/>
      </w:r>
      <w:r w:rsidRPr="00C34031">
        <w:rPr>
          <w:noProof/>
        </w:rPr>
        <w:t>Odůvodnění a cíle návrhu</w:t>
      </w:r>
    </w:p>
    <w:p w14:paraId="39586C6A" w14:textId="77777777" w:rsidR="7B167BC2" w:rsidRPr="00C34031" w:rsidRDefault="7B167BC2" w:rsidP="001616AE">
      <w:pPr>
        <w:pBdr>
          <w:top w:val="nil"/>
          <w:left w:val="nil"/>
          <w:bottom w:val="nil"/>
          <w:right w:val="nil"/>
          <w:between w:val="nil"/>
          <w:bar w:val="nil"/>
        </w:pBdr>
        <w:spacing w:before="0" w:after="240"/>
        <w:rPr>
          <w:rFonts w:eastAsia="Times New Roman"/>
          <w:noProof/>
          <w:szCs w:val="24"/>
        </w:rPr>
      </w:pPr>
      <w:r w:rsidRPr="00C34031">
        <w:rPr>
          <w:noProof/>
        </w:rPr>
        <w:t>Mario Draghi ve své zprávě „Budoucnost evropské konkurenceschopnosti“ zdůraznil, že Evropa musí vytvořit regulační prostředí, které usnadní konkurenceschopnost a odolnost</w:t>
      </w:r>
      <w:r w:rsidR="00A5393E" w:rsidRPr="00C34031">
        <w:rPr>
          <w:rStyle w:val="FootnoteReference"/>
          <w:rFonts w:eastAsia="Times New Roman"/>
          <w:noProof/>
          <w:szCs w:val="24"/>
        </w:rPr>
        <w:footnoteReference w:id="2"/>
      </w:r>
      <w:r w:rsidRPr="00C34031">
        <w:rPr>
          <w:noProof/>
        </w:rPr>
        <w:t>. V Budapešťském prohlášení o Nové dohodě pro konkurenceschopnost vyzvaly Evropy hlavy států a předsedové vlád EU k „revoluční[mu] procesu zjednodušování, který povede k jasnému, jednoduchému a inteligentnímu regulačnímu rámci pro podniky a prudce sníží administrativní a regulační zátěž a zátěž spojenou s podáváním zpráv, zejména pro malé a střední podniky“</w:t>
      </w:r>
      <w:r w:rsidR="00547CFA" w:rsidRPr="00C34031">
        <w:rPr>
          <w:rStyle w:val="FootnoteReference"/>
          <w:rFonts w:eastAsia="Times New Roman"/>
          <w:noProof/>
          <w:szCs w:val="24"/>
        </w:rPr>
        <w:footnoteReference w:id="3"/>
      </w:r>
      <w:r w:rsidRPr="00C34031">
        <w:rPr>
          <w:noProof/>
        </w:rPr>
        <w:t>. Řada společností a zúčastněných stran vyjádřila své obavy ohledně administrativní zátěže vyplývající z řady aktů EU, včetně nařízení (EU) 2023/956, kterým se zavádí mechanismus uhlíkového vyrovnání na hranicích (dále jen „nařízení o CBAM“)</w:t>
      </w:r>
      <w:r w:rsidR="00573190" w:rsidRPr="00C34031">
        <w:rPr>
          <w:rStyle w:val="FootnoteReference"/>
          <w:rFonts w:eastAsia="Times New Roman"/>
          <w:noProof/>
          <w:szCs w:val="24"/>
        </w:rPr>
        <w:footnoteReference w:id="4"/>
      </w:r>
      <w:r w:rsidRPr="00C34031">
        <w:rPr>
          <w:noProof/>
        </w:rPr>
        <w:t>.</w:t>
      </w:r>
    </w:p>
    <w:p w14:paraId="1043E16C" w14:textId="77777777" w:rsidR="707FA910" w:rsidRPr="00C34031" w:rsidRDefault="20421817" w:rsidP="139DF8FE">
      <w:pPr>
        <w:tabs>
          <w:tab w:val="num" w:pos="709"/>
        </w:tabs>
        <w:rPr>
          <w:rFonts w:eastAsia="Times New Roman"/>
          <w:noProof/>
        </w:rPr>
      </w:pPr>
      <w:r w:rsidRPr="00C34031">
        <w:rPr>
          <w:noProof/>
        </w:rPr>
        <w:t>Ve svém sdělení o Kompasu konkurenceschopnosti pro EU Komise potvrdila, že bude usilovat o bezprecedentní zjednodušení, aby bylo dohodnutých politických cílů dosaženo co nejjednodušším, nejcílenějším, nejúčinnějším a nejméně zatěžujícím způsobem.</w:t>
      </w:r>
      <w:r w:rsidRPr="00C34031">
        <w:rPr>
          <w:noProof/>
          <w:sz w:val="22"/>
          <w:vertAlign w:val="superscript"/>
        </w:rPr>
        <w:t xml:space="preserve"> </w:t>
      </w:r>
      <w:r w:rsidRPr="00C34031">
        <w:rPr>
          <w:noProof/>
        </w:rPr>
        <w:t>Ve svém sdělení nazvaném „Evropa jednodušší a rychlejší: Sdělení o provádění a zjednodušování“ stanovila Komise program v oblasti provádění a zjednodušování, který přináší rychlá a viditelná zlepšení pro lidi a podniky v praxi, přičemž vyžaduje více než jen postupný přístup a zdůrazňuje potřebu odvážných kroků k zefektivnění a zjednodušení unijních, vnitrostátních a regionálních pravidel</w:t>
      </w:r>
      <w:r w:rsidR="00E6373D" w:rsidRPr="00C34031">
        <w:rPr>
          <w:rStyle w:val="FootnoteReference"/>
          <w:rFonts w:eastAsia="Times New Roman"/>
          <w:noProof/>
        </w:rPr>
        <w:footnoteReference w:id="5"/>
      </w:r>
      <w:r w:rsidRPr="00C34031">
        <w:rPr>
          <w:noProof/>
        </w:rPr>
        <w:t>.</w:t>
      </w:r>
    </w:p>
    <w:p w14:paraId="172BA795" w14:textId="77777777" w:rsidR="00987B76" w:rsidRPr="00C34031" w:rsidRDefault="00B438FC" w:rsidP="00987B76">
      <w:pPr>
        <w:pBdr>
          <w:top w:val="nil"/>
          <w:left w:val="nil"/>
          <w:bottom w:val="nil"/>
          <w:right w:val="nil"/>
          <w:between w:val="nil"/>
          <w:bar w:val="nil"/>
        </w:pBdr>
        <w:spacing w:before="0" w:after="240"/>
        <w:rPr>
          <w:noProof/>
        </w:rPr>
      </w:pPr>
      <w:r w:rsidRPr="00C34031">
        <w:rPr>
          <w:noProof/>
        </w:rPr>
        <w:t xml:space="preserve">Administrativní požadavky, včetně požadavků na podávání zpráv, hrají klíčovou roli při zajišťování správného prosazování a řádného monitorování právních předpisů. Obecně platí, že jejich náklady jsou do značné míry kompenzovány přínosy, které přinášejí. Požadavky na podávání zpráv však mohou také představovat nepřiměřenou zátěž pro zúčastněné strany, což se týká zejména malých a středních podniků a mikropodniků. </w:t>
      </w:r>
    </w:p>
    <w:p w14:paraId="00C8AD37" w14:textId="77777777" w:rsidR="00987B76" w:rsidRPr="00C34031" w:rsidRDefault="00987B76" w:rsidP="00987B76">
      <w:pPr>
        <w:pBdr>
          <w:top w:val="nil"/>
          <w:left w:val="nil"/>
          <w:bottom w:val="nil"/>
          <w:right w:val="nil"/>
          <w:between w:val="nil"/>
          <w:bar w:val="nil"/>
        </w:pBdr>
        <w:spacing w:before="0" w:after="240"/>
        <w:rPr>
          <w:noProof/>
        </w:rPr>
      </w:pPr>
      <w:r w:rsidRPr="00C34031">
        <w:rPr>
          <w:noProof/>
        </w:rPr>
        <w:t xml:space="preserve">Tento návrh přinese zjednodušení a nákladově efektivní zlepšení nařízení o CBAM, aniž to ovlivní dosažení cílů v této oblasti politiky. Navrhovaná opatření neohrozí environmentální cíl CBAM, ale spíše umožní účinnější CBAM, přičemž klíčové zásady nastavení tohoto mechanismu zůstanou nezměněny. </w:t>
      </w:r>
    </w:p>
    <w:p w14:paraId="2DA9BF4B" w14:textId="77777777" w:rsidR="00987B76" w:rsidRPr="00C34031" w:rsidRDefault="00987B76" w:rsidP="141814AC">
      <w:pPr>
        <w:pBdr>
          <w:top w:val="nil"/>
          <w:left w:val="nil"/>
          <w:bottom w:val="nil"/>
          <w:right w:val="nil"/>
          <w:between w:val="nil"/>
          <w:bar w:val="nil"/>
        </w:pBdr>
        <w:spacing w:before="0" w:after="240"/>
        <w:rPr>
          <w:noProof/>
        </w:rPr>
      </w:pPr>
      <w:r w:rsidRPr="00C34031">
        <w:rPr>
          <w:noProof/>
        </w:rPr>
        <w:t xml:space="preserve">Návrh usnadní dovozcům zboží do Unie plnění povinností podávat zprávy CBAM tím, že zjednoduší některé z těch požadavků na podávání zpráv CBAM, které jsou založeny na složitých výpočtech a postupech shromažďování údajů, jež by bránily účinnému provádění CBAM. </w:t>
      </w:r>
    </w:p>
    <w:p w14:paraId="641C6F72" w14:textId="77777777" w:rsidR="00FA5543" w:rsidRPr="00C34031" w:rsidRDefault="00987B76" w:rsidP="00987B76">
      <w:pPr>
        <w:pBdr>
          <w:top w:val="nil"/>
          <w:left w:val="nil"/>
          <w:bottom w:val="nil"/>
          <w:right w:val="nil"/>
          <w:between w:val="nil"/>
          <w:bar w:val="nil"/>
        </w:pBdr>
        <w:spacing w:before="0" w:after="240"/>
        <w:rPr>
          <w:rFonts w:eastAsia="Arial Unicode MS"/>
          <w:noProof/>
        </w:rPr>
      </w:pPr>
      <w:r w:rsidRPr="00C34031">
        <w:rPr>
          <w:noProof/>
        </w:rPr>
        <w:t>Kromě toho návrh posílí monitorování CBAM a dohled nad ním. Zvýší schopnost Komise zpracovávat údaje a vyměňovat si příslušné informace s vnitrostátními orgány s cílem maximalizovat užitečnost informací, které zúčastněné strany podávají ve zprávách. Umožní také Komisi, aby lépe odhalovala rizika a příslušným vnitrostátním orgánům, aby byly v případě potřeby lépe vybaveny k přijímání vhodných opatření.</w:t>
      </w:r>
    </w:p>
    <w:p w14:paraId="31EC4D88" w14:textId="77777777" w:rsidR="00EB182C" w:rsidRPr="00C34031" w:rsidRDefault="00EB182C" w:rsidP="00987B76">
      <w:pPr>
        <w:pBdr>
          <w:top w:val="nil"/>
          <w:left w:val="nil"/>
          <w:bottom w:val="nil"/>
          <w:right w:val="nil"/>
          <w:between w:val="nil"/>
          <w:bar w:val="nil"/>
        </w:pBdr>
        <w:spacing w:before="0" w:after="240"/>
        <w:rPr>
          <w:rFonts w:eastAsia="Arial Unicode MS"/>
          <w:noProof/>
        </w:rPr>
      </w:pPr>
      <w:r w:rsidRPr="00C34031">
        <w:rPr>
          <w:noProof/>
        </w:rPr>
        <w:t>Zjednodušení mechanismu bude také klíčovým faktorem pro případné budoucí rozšíření oblasti působnosti. V druhé polovině roku 2025 Komise předloží komplexní zprávu o přezkumu CBAM, jak je stanoveno v článku 30 nařízení o CBAM, která připraví půdu pro případné rozšíření působnosti CBAM.</w:t>
      </w:r>
    </w:p>
    <w:p w14:paraId="516725C9" w14:textId="77777777" w:rsidR="00FA5543" w:rsidRPr="00C34031" w:rsidRDefault="00FA5543" w:rsidP="00390489">
      <w:pPr>
        <w:pStyle w:val="ManualHeading2"/>
        <w:rPr>
          <w:rFonts w:eastAsia="Arial Unicode MS"/>
          <w:noProof/>
          <w:color w:val="000000"/>
          <w:u w:color="000000"/>
          <w:bdr w:val="nil"/>
        </w:rPr>
      </w:pPr>
      <w:r w:rsidRPr="00C34031">
        <w:rPr>
          <w:noProof/>
          <w:color w:val="000000"/>
          <w:u w:color="000000"/>
          <w:bdr w:val="nil"/>
        </w:rPr>
        <w:t>•</w:t>
      </w:r>
      <w:r w:rsidRPr="00C34031">
        <w:rPr>
          <w:noProof/>
          <w:color w:val="000000"/>
          <w:u w:color="000000"/>
          <w:bdr w:val="nil"/>
        </w:rPr>
        <w:tab/>
      </w:r>
      <w:r w:rsidRPr="00C34031">
        <w:rPr>
          <w:noProof/>
        </w:rPr>
        <w:t>Soulad s platnými předpisy v této oblasti politiky</w:t>
      </w:r>
    </w:p>
    <w:p w14:paraId="7D215F84" w14:textId="77777777" w:rsidR="001730AF" w:rsidRPr="00C34031" w:rsidRDefault="001730AF" w:rsidP="00390489">
      <w:pPr>
        <w:pBdr>
          <w:top w:val="nil"/>
          <w:left w:val="nil"/>
          <w:bottom w:val="nil"/>
          <w:right w:val="nil"/>
          <w:between w:val="nil"/>
          <w:bar w:val="nil"/>
        </w:pBdr>
        <w:spacing w:before="0" w:after="240"/>
        <w:rPr>
          <w:noProof/>
        </w:rPr>
      </w:pPr>
      <w:r w:rsidRPr="00C34031">
        <w:rPr>
          <w:noProof/>
        </w:rPr>
        <w:t>Tento návrh je součástí balíčku opatření, jejichž cílem je zjednodušit požadavky na podávání zpráv, a to prostřednictvím komplexního zkoumáním stávajících požadavků s cílem posoudit jejich relevanci do budoucna a zefektivnit je. Vychází ze stávajících pravidel nařízení o CBAM, prováděcího nařízení Komise (EU) 2023/1773 ze dne 17. srpna 2023, kterým se stanoví oznamovací povinnosti pro přechodné období</w:t>
      </w:r>
      <w:r w:rsidR="00C40371" w:rsidRPr="00C34031">
        <w:rPr>
          <w:rStyle w:val="FootnoteReference"/>
          <w:rFonts w:eastAsia="Arial Unicode MS"/>
          <w:noProof/>
        </w:rPr>
        <w:footnoteReference w:id="6"/>
      </w:r>
      <w:r w:rsidRPr="00C34031">
        <w:rPr>
          <w:noProof/>
        </w:rPr>
        <w:t>, a prováděcího nařízení Komise (EU) 2024/3210 ze dne 18. prosince 2024, kterým se stanoví pravidla pro rejstřík CBAM</w:t>
      </w:r>
      <w:r w:rsidR="00C40371" w:rsidRPr="00C34031">
        <w:rPr>
          <w:rStyle w:val="FootnoteReference"/>
          <w:rFonts w:eastAsia="Arial Unicode MS"/>
          <w:noProof/>
        </w:rPr>
        <w:footnoteReference w:id="7"/>
      </w:r>
      <w:r w:rsidRPr="00C34031">
        <w:rPr>
          <w:noProof/>
        </w:rPr>
        <w:t>.</w:t>
      </w:r>
    </w:p>
    <w:p w14:paraId="045A4072" w14:textId="77777777" w:rsidR="00FA5543" w:rsidRPr="00C34031" w:rsidRDefault="00FA5543" w:rsidP="00390489">
      <w:pPr>
        <w:pStyle w:val="ManualHeading2"/>
        <w:rPr>
          <w:rFonts w:eastAsia="Arial Unicode MS"/>
          <w:noProof/>
        </w:rPr>
      </w:pPr>
      <w:r w:rsidRPr="00C34031">
        <w:rPr>
          <w:noProof/>
          <w:color w:val="000000"/>
          <w:u w:color="000000"/>
          <w:bdr w:val="nil"/>
        </w:rPr>
        <w:t>•</w:t>
      </w:r>
      <w:r w:rsidRPr="00C34031">
        <w:rPr>
          <w:noProof/>
          <w:color w:val="000000"/>
          <w:u w:color="000000"/>
          <w:bdr w:val="nil"/>
        </w:rPr>
        <w:tab/>
      </w:r>
      <w:r w:rsidRPr="00C34031">
        <w:rPr>
          <w:noProof/>
        </w:rPr>
        <w:t>Soulad s ostatními politikami Unie</w:t>
      </w:r>
    </w:p>
    <w:p w14:paraId="156701B3" w14:textId="77777777" w:rsidR="00FA5543" w:rsidRPr="00C34031" w:rsidRDefault="00E35C72" w:rsidP="00390489">
      <w:pPr>
        <w:pBdr>
          <w:top w:val="nil"/>
          <w:left w:val="nil"/>
          <w:bottom w:val="nil"/>
          <w:right w:val="nil"/>
          <w:between w:val="nil"/>
          <w:bar w:val="nil"/>
        </w:pBdr>
        <w:spacing w:before="0" w:after="240"/>
        <w:rPr>
          <w:rFonts w:eastAsia="Arial Unicode MS"/>
          <w:noProof/>
        </w:rPr>
      </w:pPr>
      <w:r w:rsidRPr="00C34031">
        <w:rPr>
          <w:noProof/>
        </w:rPr>
        <w:t>Návrh je v souladu s cíli programu zlepšování právní úpravy, neboť posílí schopnost Komise vykonávat obecný dohled nad CBAM a zároveň zabrání nákladům (jak na straně Komise, tak na straně subjektů poskytujících informace), které by jinak vznikly při shromažďování informací jinými prostředky.</w:t>
      </w:r>
    </w:p>
    <w:p w14:paraId="2BB8F0EB" w14:textId="77777777" w:rsidR="00FA5543" w:rsidRPr="00C34031" w:rsidRDefault="00FA5543" w:rsidP="00390489">
      <w:pPr>
        <w:pStyle w:val="ManualHeading1"/>
        <w:rPr>
          <w:noProof/>
        </w:rPr>
      </w:pPr>
      <w:r w:rsidRPr="00C34031">
        <w:rPr>
          <w:noProof/>
        </w:rPr>
        <w:t>2.</w:t>
      </w:r>
      <w:r w:rsidRPr="00C34031">
        <w:rPr>
          <w:noProof/>
        </w:rPr>
        <w:tab/>
        <w:t>PRÁVNÍ ZÁKLAD, SUBSIDIARITA A PROPORCIONALITA</w:t>
      </w:r>
    </w:p>
    <w:p w14:paraId="70FF2662" w14:textId="77777777" w:rsidR="00FA5543" w:rsidRPr="00C34031" w:rsidRDefault="00FA5543" w:rsidP="00390489">
      <w:pPr>
        <w:pStyle w:val="ManualHeading2"/>
        <w:rPr>
          <w:rFonts w:eastAsia="Arial Unicode MS"/>
          <w:noProof/>
          <w:u w:color="000000"/>
          <w:bdr w:val="nil"/>
        </w:rPr>
      </w:pPr>
      <w:r w:rsidRPr="00C34031">
        <w:rPr>
          <w:noProof/>
          <w:u w:color="000000"/>
          <w:bdr w:val="nil"/>
        </w:rPr>
        <w:t>•</w:t>
      </w:r>
      <w:r w:rsidRPr="00C34031">
        <w:rPr>
          <w:noProof/>
          <w:u w:color="000000"/>
          <w:bdr w:val="nil"/>
        </w:rPr>
        <w:tab/>
        <w:t>Právní základ</w:t>
      </w:r>
    </w:p>
    <w:p w14:paraId="07707497" w14:textId="77777777" w:rsidR="009C10C3" w:rsidRPr="00C34031" w:rsidRDefault="009C10C3" w:rsidP="009C10C3">
      <w:pPr>
        <w:pBdr>
          <w:top w:val="nil"/>
          <w:left w:val="nil"/>
          <w:bottom w:val="nil"/>
          <w:right w:val="nil"/>
          <w:between w:val="nil"/>
          <w:bar w:val="nil"/>
        </w:pBdr>
        <w:spacing w:before="0" w:after="240"/>
        <w:rPr>
          <w:noProof/>
        </w:rPr>
      </w:pPr>
      <w:r w:rsidRPr="00C34031">
        <w:rPr>
          <w:noProof/>
        </w:rPr>
        <w:t xml:space="preserve">Návrh mění stávající nařízení. Právní základ návrhu je tedy stejný jako právní základ pozměněného nařízení, konkrétně čl. 192 odst. 1 Smlouvy o fungování Evropské unie (dále jen „SFEU“) v oblasti ochrany životního prostředí. </w:t>
      </w:r>
    </w:p>
    <w:p w14:paraId="0035896B" w14:textId="77777777" w:rsidR="00FA5543" w:rsidRPr="00C34031" w:rsidRDefault="009C10C3" w:rsidP="00390489">
      <w:pPr>
        <w:pBdr>
          <w:top w:val="nil"/>
          <w:left w:val="nil"/>
          <w:bottom w:val="nil"/>
          <w:right w:val="nil"/>
          <w:between w:val="nil"/>
          <w:bar w:val="nil"/>
        </w:pBdr>
        <w:spacing w:before="0" w:after="240"/>
        <w:rPr>
          <w:rFonts w:eastAsia="Arial Unicode MS"/>
          <w:noProof/>
        </w:rPr>
      </w:pPr>
      <w:r w:rsidRPr="00C34031">
        <w:rPr>
          <w:noProof/>
        </w:rPr>
        <w:t>Podle článku 191 a čl. 192 odst. 1 SFEU přispívá Unie mimo jiné k sledování následujících cílů: zachování, ochraně a zlepšování kvality životního prostředí, podpoře opatření na mezinárodní úrovni určených k řešení regionálních a celosvětových problémů životního prostředí, a zejména boji proti změně klimatu.</w:t>
      </w:r>
    </w:p>
    <w:p w14:paraId="20E58911" w14:textId="77777777" w:rsidR="00FA5543" w:rsidRPr="00C34031" w:rsidRDefault="00FA5543" w:rsidP="00390489">
      <w:pPr>
        <w:pStyle w:val="ManualHeading2"/>
        <w:rPr>
          <w:rFonts w:eastAsia="Arial Unicode MS"/>
          <w:noProof/>
          <w:u w:color="000000"/>
          <w:bdr w:val="nil"/>
        </w:rPr>
      </w:pPr>
      <w:r w:rsidRPr="00C34031">
        <w:rPr>
          <w:noProof/>
          <w:u w:color="000000"/>
          <w:bdr w:val="nil"/>
        </w:rPr>
        <w:t>•</w:t>
      </w:r>
      <w:r w:rsidRPr="00C34031">
        <w:rPr>
          <w:noProof/>
          <w:u w:color="000000"/>
          <w:bdr w:val="nil"/>
        </w:rPr>
        <w:tab/>
        <w:t xml:space="preserve">Subsidiarita (v případě nevýlučné pravomoci) </w:t>
      </w:r>
    </w:p>
    <w:p w14:paraId="20C817B0" w14:textId="77777777" w:rsidR="00073DA8" w:rsidRPr="00C34031" w:rsidRDefault="00073DA8" w:rsidP="00073DA8">
      <w:pPr>
        <w:pBdr>
          <w:top w:val="nil"/>
          <w:left w:val="nil"/>
          <w:bottom w:val="nil"/>
          <w:right w:val="nil"/>
          <w:between w:val="nil"/>
          <w:bar w:val="nil"/>
        </w:pBdr>
        <w:spacing w:before="0" w:after="240"/>
        <w:rPr>
          <w:noProof/>
        </w:rPr>
      </w:pPr>
      <w:r w:rsidRPr="00C34031">
        <w:rPr>
          <w:noProof/>
        </w:rPr>
        <w:t xml:space="preserve">Nařízení o CBAM vytvořilo společný a jednotný rámec, který zajistí, že se na dovozy bude uplatňovat stejná cenová politika ohledně uhlíku, jaká se uplatňuje na vnitřním trhu EU. </w:t>
      </w:r>
    </w:p>
    <w:p w14:paraId="374179E1" w14:textId="77777777" w:rsidR="00FA5543" w:rsidRPr="00C34031" w:rsidRDefault="00073DA8" w:rsidP="00390489">
      <w:pPr>
        <w:pBdr>
          <w:top w:val="nil"/>
          <w:left w:val="nil"/>
          <w:bottom w:val="nil"/>
          <w:right w:val="nil"/>
          <w:between w:val="nil"/>
          <w:bar w:val="nil"/>
        </w:pBdr>
        <w:spacing w:before="0" w:after="240"/>
        <w:rPr>
          <w:rFonts w:eastAsia="Arial Unicode MS"/>
          <w:noProof/>
        </w:rPr>
      </w:pPr>
      <w:r w:rsidRPr="00C34031">
        <w:rPr>
          <w:noProof/>
        </w:rPr>
        <w:t>Zjednodušení tohoto nařízení, které tento návrh předpokládá, dále posílí právní jistotu a racionalizuje požadavky na podávání zpráv.</w:t>
      </w:r>
    </w:p>
    <w:p w14:paraId="65ED7664" w14:textId="77777777" w:rsidR="00FA5543" w:rsidRPr="00C34031" w:rsidRDefault="00FA5543" w:rsidP="00390489">
      <w:pPr>
        <w:pStyle w:val="ManualHeading2"/>
        <w:rPr>
          <w:rFonts w:eastAsia="Arial Unicode MS"/>
          <w:noProof/>
          <w:u w:color="000000"/>
          <w:bdr w:val="nil"/>
        </w:rPr>
      </w:pPr>
      <w:r w:rsidRPr="00C34031">
        <w:rPr>
          <w:noProof/>
          <w:u w:color="000000"/>
          <w:bdr w:val="nil"/>
        </w:rPr>
        <w:t>•</w:t>
      </w:r>
      <w:r w:rsidRPr="00C34031">
        <w:rPr>
          <w:noProof/>
          <w:u w:color="000000"/>
          <w:bdr w:val="nil"/>
        </w:rPr>
        <w:tab/>
        <w:t>Proporcionalita</w:t>
      </w:r>
    </w:p>
    <w:p w14:paraId="61E3C95F" w14:textId="77777777" w:rsidR="006B3776" w:rsidRPr="00C34031" w:rsidRDefault="006B3776" w:rsidP="006B3776">
      <w:pPr>
        <w:pBdr>
          <w:top w:val="nil"/>
          <w:left w:val="nil"/>
          <w:bottom w:val="nil"/>
          <w:right w:val="nil"/>
          <w:between w:val="nil"/>
          <w:bar w:val="nil"/>
        </w:pBdr>
        <w:spacing w:before="0" w:after="240"/>
        <w:rPr>
          <w:noProof/>
        </w:rPr>
      </w:pPr>
      <w:r w:rsidRPr="00C34031">
        <w:rPr>
          <w:noProof/>
        </w:rPr>
        <w:t>Zjednodušení administrativních požadavků, včetně požadavků na podávání zpráv, zjednodušuje právní rámec zavedením změn stávajících požadavků, které nemají vliv na podstatu cílů politiky. Návrh se proto omezuje na ty změny, které jsou nezbytné ke snížení regulační zátěže a k zajištění dodržování předpisů účinnějším způsobem, aniž by se změnila podstata dotčených právních předpisů.</w:t>
      </w:r>
    </w:p>
    <w:p w14:paraId="7AB122B1" w14:textId="77777777" w:rsidR="006B3776" w:rsidRPr="00C34031" w:rsidRDefault="006B3776" w:rsidP="006B3776">
      <w:pPr>
        <w:pBdr>
          <w:top w:val="nil"/>
          <w:left w:val="nil"/>
          <w:bottom w:val="nil"/>
          <w:right w:val="nil"/>
          <w:between w:val="nil"/>
          <w:bar w:val="nil"/>
        </w:pBdr>
        <w:spacing w:before="0" w:after="240"/>
        <w:rPr>
          <w:noProof/>
        </w:rPr>
      </w:pPr>
      <w:r w:rsidRPr="00C34031">
        <w:rPr>
          <w:noProof/>
        </w:rPr>
        <w:t xml:space="preserve">Návrh je v souladu se zásadou proporcionality, tj. nepřekračuje rámec toho, co je nezbytné pro dosažení cílů Smluv. Proporcionalita návrhu má několik důležitých aspektů. </w:t>
      </w:r>
    </w:p>
    <w:p w14:paraId="788CD0B1" w14:textId="77777777" w:rsidR="006B3776" w:rsidRPr="00C34031" w:rsidRDefault="006B3776" w:rsidP="006B3776">
      <w:pPr>
        <w:pBdr>
          <w:top w:val="nil"/>
          <w:left w:val="nil"/>
          <w:bottom w:val="nil"/>
          <w:right w:val="nil"/>
          <w:between w:val="nil"/>
          <w:bar w:val="nil"/>
        </w:pBdr>
        <w:spacing w:before="0" w:after="240"/>
        <w:rPr>
          <w:noProof/>
        </w:rPr>
      </w:pPr>
      <w:r w:rsidRPr="00C34031">
        <w:rPr>
          <w:noProof/>
        </w:rPr>
        <w:t xml:space="preserve">Za prvé se uznává, že pro dovozce je náročné vypořádat se s požadavky na podávání zpráv CBAM, přičemž příslušné orgány členských států musí zároveň plnit důležité úkoly v oblasti dohledu. Tento problém bude zmírněn zavedením prahové hodnoty, která umožní osvobodit některé dovozce od povinností vyplývajících z CBAM. </w:t>
      </w:r>
    </w:p>
    <w:p w14:paraId="4D2F01D3" w14:textId="77777777" w:rsidR="00FA5543" w:rsidRPr="00C34031" w:rsidRDefault="006B3776" w:rsidP="00390489">
      <w:pPr>
        <w:pBdr>
          <w:top w:val="nil"/>
          <w:left w:val="nil"/>
          <w:bottom w:val="nil"/>
          <w:right w:val="nil"/>
          <w:between w:val="nil"/>
          <w:bar w:val="nil"/>
        </w:pBdr>
        <w:spacing w:before="0" w:after="240"/>
        <w:rPr>
          <w:rFonts w:eastAsia="Arial Unicode MS"/>
          <w:noProof/>
        </w:rPr>
      </w:pPr>
      <w:r w:rsidRPr="00C34031">
        <w:rPr>
          <w:noProof/>
        </w:rPr>
        <w:t>Za druhé, pokud jde o dovozce v oblasti působnosti CBAM, návrh obsahuje změny požadavků na podávání zpráv se zaměřením na ty, jež jsou nezbytné za účelem snížení regulační zátěže a zajištění účinnějšího dodržování předpisů.</w:t>
      </w:r>
    </w:p>
    <w:p w14:paraId="1F65C84E" w14:textId="77777777" w:rsidR="00FA5543" w:rsidRPr="00C34031" w:rsidRDefault="00FA5543" w:rsidP="00390489">
      <w:pPr>
        <w:pStyle w:val="ManualHeading2"/>
        <w:rPr>
          <w:rFonts w:eastAsia="Arial Unicode MS"/>
          <w:noProof/>
          <w:u w:color="000000"/>
          <w:bdr w:val="nil"/>
        </w:rPr>
      </w:pPr>
      <w:r w:rsidRPr="00C34031">
        <w:rPr>
          <w:noProof/>
          <w:u w:color="000000"/>
          <w:bdr w:val="nil"/>
        </w:rPr>
        <w:t>•</w:t>
      </w:r>
      <w:r w:rsidRPr="00C34031">
        <w:rPr>
          <w:noProof/>
          <w:u w:color="000000"/>
          <w:bdr w:val="nil"/>
        </w:rPr>
        <w:tab/>
        <w:t>Volba nástroje</w:t>
      </w:r>
    </w:p>
    <w:p w14:paraId="1EC22B35" w14:textId="77777777" w:rsidR="00FA5543" w:rsidRPr="00C34031" w:rsidRDefault="00202ACC" w:rsidP="00390489">
      <w:pPr>
        <w:pBdr>
          <w:top w:val="nil"/>
          <w:left w:val="nil"/>
          <w:bottom w:val="nil"/>
          <w:right w:val="nil"/>
          <w:between w:val="nil"/>
          <w:bar w:val="nil"/>
        </w:pBdr>
        <w:spacing w:before="0" w:after="240"/>
        <w:rPr>
          <w:rFonts w:eastAsia="Arial Unicode MS"/>
          <w:noProof/>
        </w:rPr>
      </w:pPr>
      <w:r w:rsidRPr="00C34031">
        <w:rPr>
          <w:noProof/>
        </w:rPr>
        <w:t xml:space="preserve">Návrh vyžaduje změnu nařízení o CBAM. Stanoví zvláštní pravidla nezbytná pro zjednodušené uplatňování některých ustanovení nařízení o CBAM, pokud sledovaných cílů nelze dosáhnout přijetím prováděcích opatření, neboť vyžadují změnu základních ustanovení nařízení o CBAM. To se týká výjimky </w:t>
      </w:r>
      <w:r w:rsidRPr="00C34031">
        <w:rPr>
          <w:i/>
          <w:noProof/>
        </w:rPr>
        <w:t>de minimis</w:t>
      </w:r>
      <w:r w:rsidRPr="00C34031">
        <w:rPr>
          <w:noProof/>
        </w:rPr>
        <w:t>, povinnosti podávat zprávy, výpočtu obsažených emisí a výpočtu finančního vyrovnání.</w:t>
      </w:r>
    </w:p>
    <w:p w14:paraId="1A00660D" w14:textId="77777777" w:rsidR="00FA5543" w:rsidRPr="00C34031" w:rsidRDefault="00FA5543" w:rsidP="00390489">
      <w:pPr>
        <w:pStyle w:val="ManualHeading1"/>
        <w:rPr>
          <w:noProof/>
        </w:rPr>
      </w:pPr>
      <w:r w:rsidRPr="00C34031">
        <w:rPr>
          <w:noProof/>
        </w:rPr>
        <w:t>3.</w:t>
      </w:r>
      <w:r w:rsidRPr="00C34031">
        <w:rPr>
          <w:noProof/>
        </w:rPr>
        <w:tab/>
        <w:t xml:space="preserve">VÝSLEDKY HODNOCENÍ </w:t>
      </w:r>
      <w:r w:rsidRPr="00C34031">
        <w:rPr>
          <w:i/>
          <w:iCs/>
          <w:noProof/>
        </w:rPr>
        <w:t>EX POST</w:t>
      </w:r>
      <w:r w:rsidRPr="00C34031">
        <w:rPr>
          <w:noProof/>
        </w:rPr>
        <w:t>, KONZULTACÍ SE ZÚČASTNĚNÝMI STRANAMI A POSOUZENÍ DOPADŮ</w:t>
      </w:r>
    </w:p>
    <w:p w14:paraId="1C57B360" w14:textId="77777777" w:rsidR="00FA5543" w:rsidRPr="00C34031" w:rsidRDefault="00FA5543" w:rsidP="00390489">
      <w:pPr>
        <w:pStyle w:val="ManualHeading2"/>
        <w:rPr>
          <w:rFonts w:eastAsia="Arial Unicode MS"/>
          <w:noProof/>
          <w:u w:color="000000"/>
          <w:bdr w:val="nil"/>
        </w:rPr>
      </w:pPr>
      <w:r w:rsidRPr="00C34031">
        <w:rPr>
          <w:noProof/>
          <w:u w:color="000000"/>
          <w:bdr w:val="nil"/>
        </w:rPr>
        <w:t>•</w:t>
      </w:r>
      <w:r w:rsidRPr="00C34031">
        <w:rPr>
          <w:noProof/>
          <w:u w:color="000000"/>
          <w:bdr w:val="nil"/>
        </w:rPr>
        <w:tab/>
        <w:t xml:space="preserve">Hodnocení </w:t>
      </w:r>
      <w:r w:rsidRPr="00C34031">
        <w:rPr>
          <w:i/>
          <w:iCs/>
          <w:noProof/>
          <w:u w:color="000000"/>
          <w:bdr w:val="nil"/>
        </w:rPr>
        <w:t>ex post</w:t>
      </w:r>
      <w:r w:rsidRPr="00C34031">
        <w:rPr>
          <w:noProof/>
          <w:u w:color="000000"/>
          <w:bdr w:val="nil"/>
        </w:rPr>
        <w:t xml:space="preserve"> / kontroly účelnosti platných právních předpisů</w:t>
      </w:r>
    </w:p>
    <w:p w14:paraId="6B893B9F" w14:textId="77777777" w:rsidR="00FA5543" w:rsidRPr="00C34031" w:rsidRDefault="00D460ED" w:rsidP="00390489">
      <w:pPr>
        <w:pBdr>
          <w:top w:val="nil"/>
          <w:left w:val="nil"/>
          <w:bottom w:val="nil"/>
          <w:right w:val="nil"/>
          <w:between w:val="nil"/>
          <w:bar w:val="nil"/>
        </w:pBdr>
        <w:spacing w:before="0" w:after="240"/>
        <w:rPr>
          <w:rFonts w:eastAsia="Arial Unicode MS"/>
          <w:noProof/>
        </w:rPr>
      </w:pPr>
      <w:r w:rsidRPr="00C34031">
        <w:rPr>
          <w:noProof/>
        </w:rPr>
        <w:t>Návrh vychází ze zkušeností získaných při provádění nařízení o CBAM od 1. října 2023, kdy se tento mechanismus začal uplatňovat v přechodné fázi.</w:t>
      </w:r>
    </w:p>
    <w:p w14:paraId="0AC12320" w14:textId="77777777" w:rsidR="00FA5543" w:rsidRPr="00C34031" w:rsidRDefault="00FA5543" w:rsidP="00390489">
      <w:pPr>
        <w:pStyle w:val="ManualHeading2"/>
        <w:rPr>
          <w:rFonts w:eastAsia="Arial Unicode MS"/>
          <w:noProof/>
          <w:u w:color="000000"/>
          <w:bdr w:val="nil"/>
        </w:rPr>
      </w:pPr>
      <w:r w:rsidRPr="00C34031">
        <w:rPr>
          <w:noProof/>
          <w:u w:color="000000"/>
          <w:bdr w:val="nil"/>
        </w:rPr>
        <w:t>•</w:t>
      </w:r>
      <w:r w:rsidRPr="00C34031">
        <w:rPr>
          <w:noProof/>
          <w:u w:color="000000"/>
          <w:bdr w:val="nil"/>
        </w:rPr>
        <w:tab/>
        <w:t>Konzultace se zúčastněnými stranami</w:t>
      </w:r>
    </w:p>
    <w:p w14:paraId="2E6D2684" w14:textId="77777777" w:rsidR="00B10535" w:rsidRPr="00C34031" w:rsidRDefault="00B10535" w:rsidP="00B10535">
      <w:pPr>
        <w:pBdr>
          <w:top w:val="nil"/>
          <w:left w:val="nil"/>
          <w:bottom w:val="nil"/>
          <w:right w:val="nil"/>
          <w:between w:val="nil"/>
          <w:bar w:val="nil"/>
        </w:pBdr>
        <w:spacing w:before="0" w:after="240"/>
        <w:rPr>
          <w:noProof/>
        </w:rPr>
      </w:pPr>
      <w:r w:rsidRPr="00C34031">
        <w:rPr>
          <w:noProof/>
        </w:rPr>
        <w:t>Od doby, kdy se dne 1. října 2023 začal CBAM v přechodné fázi uplatňovat, útvary Komise prostřednictvím několika komunikačních kanálů průběžně konzultují zúčastněné strany v Unii a ve třetích zemích, které jsou pro CBAM relevantní. V roce 2023 útvary Komise prodloužily pověření expertní skupiny pro CBAM</w:t>
      </w:r>
      <w:r w:rsidR="00CD1B1D" w:rsidRPr="00C34031">
        <w:rPr>
          <w:rStyle w:val="FootnoteReference"/>
          <w:rFonts w:eastAsia="Arial Unicode MS"/>
          <w:noProof/>
        </w:rPr>
        <w:footnoteReference w:id="8"/>
      </w:r>
      <w:r w:rsidRPr="00C34031">
        <w:rPr>
          <w:noProof/>
        </w:rPr>
        <w:t xml:space="preserve">, jejímž úkolem je pomáhat útvarům Komise při vývoji a provádění CBAM, využívat technické odborné znalosti a zajišťovat výměnu zkušeností a osvědčených postupů při provádění CBAM.  </w:t>
      </w:r>
    </w:p>
    <w:p w14:paraId="2C6B7005" w14:textId="77777777" w:rsidR="00B10535" w:rsidRPr="00C34031" w:rsidRDefault="00B10535" w:rsidP="00B10535">
      <w:pPr>
        <w:pBdr>
          <w:top w:val="nil"/>
          <w:left w:val="nil"/>
          <w:bottom w:val="nil"/>
          <w:right w:val="nil"/>
          <w:between w:val="nil"/>
          <w:bar w:val="nil"/>
        </w:pBdr>
        <w:spacing w:before="0" w:after="240"/>
        <w:rPr>
          <w:noProof/>
        </w:rPr>
      </w:pPr>
      <w:r w:rsidRPr="00C34031">
        <w:rPr>
          <w:noProof/>
        </w:rPr>
        <w:t>V roce 2023 útvary Komise rovněž zahájily rozsáhlou komunikační kampaň s cílem zvýšit informovanost o CBAM, a to i ve třetích zemích, vysvětlit pravidla a poskytnout užitečné rady, jak by CBAM mohly provádět příslušné zúčastněné strany (např. dovozci, výrobci ze třetích zemí, vnitrostátní orgány). Tato komunikační kampaň se opírala o veřejně dostupné živé webové semináře v několika jazycích EU. Užitečné materiály jsou k dispozici na internetových stránkách věnovaných CBAM</w:t>
      </w:r>
      <w:r w:rsidR="00CD1B1D" w:rsidRPr="00C34031">
        <w:rPr>
          <w:rStyle w:val="FootnoteReference"/>
          <w:rFonts w:eastAsia="Arial Unicode MS"/>
          <w:noProof/>
        </w:rPr>
        <w:footnoteReference w:id="9"/>
      </w:r>
      <w:r w:rsidRPr="00C34031">
        <w:rPr>
          <w:noProof/>
        </w:rPr>
        <w:t xml:space="preserve">: cílené materiály pro elektronické učení, otázky a odpovědi, pokyny (přeložené i do úředních jazyků zemí mimo EU). </w:t>
      </w:r>
    </w:p>
    <w:p w14:paraId="30B53008" w14:textId="77777777" w:rsidR="00B10535" w:rsidRPr="00C34031" w:rsidRDefault="00B10535" w:rsidP="00B10535">
      <w:pPr>
        <w:pBdr>
          <w:top w:val="nil"/>
          <w:left w:val="nil"/>
          <w:bottom w:val="nil"/>
          <w:right w:val="nil"/>
          <w:between w:val="nil"/>
          <w:bar w:val="nil"/>
        </w:pBdr>
        <w:spacing w:before="0" w:after="240"/>
        <w:rPr>
          <w:noProof/>
        </w:rPr>
      </w:pPr>
      <w:r w:rsidRPr="00C34031">
        <w:rPr>
          <w:noProof/>
        </w:rPr>
        <w:t>Komise byla rovněž v pravidelném kontaktu s vnitrostátními orgány příslušnými pro CBAM, aby s nimi projednala různé otázky týkající se provádění CBAM s cílem zlepšit jeho fungování a účinnost.</w:t>
      </w:r>
    </w:p>
    <w:p w14:paraId="32006FEF" w14:textId="77777777" w:rsidR="00B10535" w:rsidRPr="00C34031" w:rsidRDefault="00B10535" w:rsidP="00B10535">
      <w:pPr>
        <w:pBdr>
          <w:top w:val="nil"/>
          <w:left w:val="nil"/>
          <w:bottom w:val="nil"/>
          <w:right w:val="nil"/>
          <w:between w:val="nil"/>
          <w:bar w:val="nil"/>
        </w:pBdr>
        <w:spacing w:before="0" w:after="240"/>
        <w:rPr>
          <w:noProof/>
        </w:rPr>
      </w:pPr>
      <w:r w:rsidRPr="00C34031">
        <w:rPr>
          <w:noProof/>
        </w:rPr>
        <w:t xml:space="preserve">Dne 6. února 2025 uspořádala Komise konzultační den na vysoké úrovni s klíčovými zúčastněnými stranami s cílem vyzkoušet hlavní myšlenky legislativního balíčku týkajícího se zjednodušení cílených politik, včetně CBAM, a shromáždit podněty a zpětnou vazbu před jeho přijetím dne 26. února 2025. </w:t>
      </w:r>
    </w:p>
    <w:p w14:paraId="55D2F32C" w14:textId="77777777" w:rsidR="00FA5543" w:rsidRPr="00C34031" w:rsidRDefault="00B10535" w:rsidP="00390489">
      <w:pPr>
        <w:pBdr>
          <w:top w:val="nil"/>
          <w:left w:val="nil"/>
          <w:bottom w:val="nil"/>
          <w:right w:val="nil"/>
          <w:between w:val="nil"/>
          <w:bar w:val="nil"/>
        </w:pBdr>
        <w:spacing w:before="0" w:after="240"/>
        <w:rPr>
          <w:rFonts w:eastAsia="Arial Unicode MS"/>
          <w:noProof/>
        </w:rPr>
      </w:pPr>
      <w:r w:rsidRPr="00C34031">
        <w:rPr>
          <w:noProof/>
        </w:rPr>
        <w:t>Na základě těchto opatření a opakovaných veřejných setkání s příslušnými zástupci podniků z Unie a třetích zemí shromáždily útvary Komise od zúčastněných stran dostatečnou zpětnou vazbu k přijetí nejlepších opatření k dosažení cíle návrhu: zjednodušit složitá pravidla pro podávání zpráv s cílem snížit regulační zátěž a zajistit účinné zavádění CBAM při zachování jeho environmentálního cíle a cíle v oblasti klimatu.</w:t>
      </w:r>
    </w:p>
    <w:p w14:paraId="18C7C68A" w14:textId="77777777" w:rsidR="00FA5543" w:rsidRPr="00C34031" w:rsidRDefault="00FA5543" w:rsidP="00390489">
      <w:pPr>
        <w:pStyle w:val="ManualHeading2"/>
        <w:rPr>
          <w:rFonts w:eastAsia="Arial Unicode MS"/>
          <w:noProof/>
          <w:u w:color="000000"/>
          <w:bdr w:val="nil"/>
        </w:rPr>
      </w:pPr>
      <w:r w:rsidRPr="00C34031">
        <w:rPr>
          <w:noProof/>
          <w:u w:color="000000"/>
          <w:bdr w:val="nil"/>
        </w:rPr>
        <w:t>•</w:t>
      </w:r>
      <w:r w:rsidRPr="00C34031">
        <w:rPr>
          <w:noProof/>
          <w:u w:color="000000"/>
          <w:bdr w:val="nil"/>
        </w:rPr>
        <w:tab/>
        <w:t>Získání a využití výsledků odborných konzultací</w:t>
      </w:r>
    </w:p>
    <w:p w14:paraId="431850A8" w14:textId="77777777" w:rsidR="00FA5543" w:rsidRPr="00C34031" w:rsidRDefault="004D66C1" w:rsidP="00390489">
      <w:pPr>
        <w:pBdr>
          <w:top w:val="nil"/>
          <w:left w:val="nil"/>
          <w:bottom w:val="nil"/>
          <w:right w:val="nil"/>
          <w:between w:val="nil"/>
          <w:bar w:val="nil"/>
        </w:pBdr>
        <w:spacing w:before="0" w:after="240"/>
        <w:rPr>
          <w:rFonts w:eastAsia="Arial Unicode MS"/>
          <w:noProof/>
        </w:rPr>
      </w:pPr>
      <w:r w:rsidRPr="00C34031">
        <w:rPr>
          <w:noProof/>
        </w:rPr>
        <w:t>Návrh byl vypracován v návaznosti na proces vnitřní kontroly stávajících povinností podávání zpráv a vychází ze zkušeností s prováděním souvisejících právních předpisů, včetně údajů shromážděných prostřednictvím čtvrtletní zprávy CBAM předkládaných deklaranty. Vzhledem k tomu, že se jedná o jeden z kroků procesu průběžného posuzování požadavků na podávání zpráv v právních předpisech Unie, bude kontrola této zátěže a jejího dopadu na zúčastněné strany pokračovat i v budoucnu.</w:t>
      </w:r>
    </w:p>
    <w:p w14:paraId="16DB2389" w14:textId="77777777" w:rsidR="00FA5543" w:rsidRPr="00C34031" w:rsidRDefault="00FA5543" w:rsidP="00390489">
      <w:pPr>
        <w:pStyle w:val="ManualHeading2"/>
        <w:rPr>
          <w:rFonts w:eastAsia="Arial Unicode MS"/>
          <w:noProof/>
          <w:u w:color="000000"/>
          <w:bdr w:val="nil"/>
        </w:rPr>
      </w:pPr>
      <w:r w:rsidRPr="00C34031">
        <w:rPr>
          <w:noProof/>
          <w:u w:color="000000"/>
          <w:bdr w:val="nil"/>
        </w:rPr>
        <w:t>•</w:t>
      </w:r>
      <w:r w:rsidRPr="00C34031">
        <w:rPr>
          <w:noProof/>
          <w:u w:color="000000"/>
          <w:bdr w:val="nil"/>
        </w:rPr>
        <w:tab/>
        <w:t>Posouzení dopadů</w:t>
      </w:r>
    </w:p>
    <w:p w14:paraId="6FEF04D3" w14:textId="77777777" w:rsidR="00F00736" w:rsidRPr="00C34031" w:rsidRDefault="00F00736" w:rsidP="00F00736">
      <w:pPr>
        <w:pBdr>
          <w:top w:val="nil"/>
          <w:left w:val="nil"/>
          <w:bottom w:val="nil"/>
          <w:right w:val="nil"/>
          <w:between w:val="nil"/>
          <w:bar w:val="nil"/>
        </w:pBdr>
        <w:spacing w:before="0" w:after="240"/>
        <w:rPr>
          <w:noProof/>
        </w:rPr>
      </w:pPr>
      <w:r w:rsidRPr="00C34031">
        <w:rPr>
          <w:noProof/>
        </w:rPr>
        <w:t xml:space="preserve">Návrh se týká cílených změn nařízení o CBAM s cílem zjednodušit některé jeho požadavky, včetně podávání zpráv. Hlavní opatření vycházejí ze zkušeností s prováděním tohoto nařízení a výše uvedených souvisejících prováděcích aktů. Navrhované cílené změny zajišťují účinnější a účelnější provádění stávajícího mechanismu. </w:t>
      </w:r>
    </w:p>
    <w:p w14:paraId="3F990C7C" w14:textId="77777777" w:rsidR="00FA5543" w:rsidRPr="00C34031" w:rsidRDefault="00F00736" w:rsidP="00390489">
      <w:pPr>
        <w:pBdr>
          <w:top w:val="nil"/>
          <w:left w:val="nil"/>
          <w:bottom w:val="nil"/>
          <w:right w:val="nil"/>
          <w:between w:val="nil"/>
          <w:bar w:val="nil"/>
        </w:pBdr>
        <w:spacing w:before="0" w:after="240"/>
        <w:rPr>
          <w:rFonts w:eastAsia="Arial Unicode MS"/>
          <w:noProof/>
        </w:rPr>
      </w:pPr>
      <w:r w:rsidRPr="00C34031">
        <w:rPr>
          <w:noProof/>
        </w:rPr>
        <w:t>K tomuto návrhu je připojen analytický dokument, pracovní dokument útvarů Komise nazvaný „Na cestě k jednoduššímu a účinnějšímu mechanismus uhlíkového vyrovnání na hranicích“</w:t>
      </w:r>
      <w:r w:rsidR="00733279" w:rsidRPr="00C34031">
        <w:rPr>
          <w:rStyle w:val="FootnoteReference"/>
          <w:rFonts w:eastAsia="Arial Unicode MS"/>
          <w:noProof/>
        </w:rPr>
        <w:footnoteReference w:id="10"/>
      </w:r>
      <w:r w:rsidRPr="00C34031">
        <w:rPr>
          <w:noProof/>
        </w:rPr>
        <w:t>. Tento analytický dokument vychází z analýzy provedené v původním posouzení dopadů provedeném v roce 2021 a dále ji doplňuje.</w:t>
      </w:r>
    </w:p>
    <w:p w14:paraId="6D80D85F" w14:textId="77777777" w:rsidR="00FA5543" w:rsidRPr="00C34031" w:rsidRDefault="00FA5543" w:rsidP="00F00736">
      <w:pPr>
        <w:pBdr>
          <w:top w:val="nil"/>
          <w:left w:val="nil"/>
          <w:bottom w:val="nil"/>
          <w:right w:val="nil"/>
          <w:between w:val="nil"/>
          <w:bar w:val="nil"/>
        </w:pBdr>
        <w:spacing w:before="0" w:after="240"/>
        <w:rPr>
          <w:rFonts w:eastAsia="Arial Unicode MS"/>
          <w:noProof/>
          <w:u w:color="000000"/>
          <w:bdr w:val="nil"/>
        </w:rPr>
      </w:pPr>
      <w:r w:rsidRPr="00C34031">
        <w:rPr>
          <w:noProof/>
          <w:u w:color="000000"/>
          <w:bdr w:val="nil"/>
        </w:rPr>
        <w:t>•</w:t>
      </w:r>
      <w:r w:rsidRPr="00C34031">
        <w:rPr>
          <w:noProof/>
          <w:u w:color="000000"/>
          <w:bdr w:val="nil"/>
        </w:rPr>
        <w:tab/>
      </w:r>
      <w:r w:rsidRPr="00C34031">
        <w:rPr>
          <w:b/>
          <w:noProof/>
          <w:u w:color="000000"/>
          <w:bdr w:val="nil"/>
        </w:rPr>
        <w:t>Účelnost právních předpisů a zjednodušení</w:t>
      </w:r>
    </w:p>
    <w:p w14:paraId="02F9A0DD" w14:textId="77777777" w:rsidR="00FA5543" w:rsidRPr="00C34031" w:rsidRDefault="009D10CF" w:rsidP="00390489">
      <w:pPr>
        <w:pBdr>
          <w:top w:val="nil"/>
          <w:left w:val="nil"/>
          <w:bottom w:val="nil"/>
          <w:right w:val="nil"/>
          <w:between w:val="nil"/>
          <w:bar w:val="nil"/>
        </w:pBdr>
        <w:spacing w:before="0" w:after="240"/>
        <w:rPr>
          <w:rFonts w:eastAsia="Arial Unicode MS"/>
          <w:noProof/>
        </w:rPr>
      </w:pPr>
      <w:r w:rsidRPr="00C34031">
        <w:rPr>
          <w:noProof/>
        </w:rPr>
        <w:t>V posouzení dopadů z roku 2021 připojeném k legislativnímu návrhu CBAM</w:t>
      </w:r>
      <w:r w:rsidR="00AD2CD3" w:rsidRPr="00C34031">
        <w:rPr>
          <w:rStyle w:val="FootnoteReference"/>
          <w:rFonts w:eastAsia="Arial Unicode MS"/>
          <w:noProof/>
        </w:rPr>
        <w:footnoteReference w:id="11"/>
      </w:r>
      <w:r w:rsidRPr="00C34031">
        <w:rPr>
          <w:noProof/>
        </w:rPr>
        <w:t xml:space="preserve"> dospěla Komise k závěru, že vzhledem k tomu, že se CBAM původně vztahoval na dovoz vybraných základních materiálů a výrobků z nich, budou hlavními dotčenými podniky velké podniky, avšak v praxi by CBAM vedl k relativně vyšším nákladům na dodržování předpisů u malých a středních podniků ve srovnání s velkými podniky spadajícími do oblasti působnosti CBAM, např. těmi, které dovážejí zboží podléhající CBAM nad rámec výjimky.</w:t>
      </w:r>
    </w:p>
    <w:p w14:paraId="3D9CE493" w14:textId="77777777" w:rsidR="00BB7416" w:rsidRPr="00C34031" w:rsidRDefault="00BB7416" w:rsidP="00BB7416">
      <w:pPr>
        <w:pBdr>
          <w:top w:val="nil"/>
          <w:left w:val="nil"/>
          <w:bottom w:val="nil"/>
          <w:right w:val="nil"/>
          <w:between w:val="nil"/>
          <w:bar w:val="nil"/>
        </w:pBdr>
        <w:spacing w:before="0" w:after="240"/>
        <w:rPr>
          <w:rFonts w:eastAsia="Arial Unicode MS"/>
          <w:noProof/>
        </w:rPr>
      </w:pPr>
      <w:r w:rsidRPr="00C34031">
        <w:rPr>
          <w:noProof/>
        </w:rPr>
        <w:t>Na základě zkušeností s prováděním CBAM v přechodné fázi a na základě posouzení zpětné vazby od zúčastněných stran od 1. října 2023 je zřejmé, že CBAM vyžaduje dva druhy hlavních zjednodušení: širší výjimku z požadavků CBAM pro dovozce velmi malého množství zboží podléhajícího CBAM a soubor zjednodušení pro ostatní dovozce zboží podléhajícího CBAM s cílem usnadnit jim dodržování správních požadavků.</w:t>
      </w:r>
    </w:p>
    <w:p w14:paraId="46F9AE46" w14:textId="77777777" w:rsidR="00FA5543" w:rsidRPr="00C34031" w:rsidRDefault="00BB7416" w:rsidP="00390489">
      <w:pPr>
        <w:pBdr>
          <w:top w:val="nil"/>
          <w:left w:val="nil"/>
          <w:bottom w:val="nil"/>
          <w:right w:val="nil"/>
          <w:between w:val="nil"/>
          <w:bar w:val="nil"/>
        </w:pBdr>
        <w:spacing w:before="0" w:after="240"/>
        <w:rPr>
          <w:rFonts w:eastAsia="Arial Unicode MS"/>
          <w:noProof/>
        </w:rPr>
      </w:pPr>
      <w:r w:rsidRPr="00C34031">
        <w:rPr>
          <w:noProof/>
        </w:rPr>
        <w:t>Očekává se, že navrhované zjednodušení osvobodí přibližně 90 % dovozců od povinností vyplývajících z CBAM a zároveň zachová více než 99 % obsažených emisí v oblasti působnosti CBAM, čímž bude zachována environmentální povaha tohoto mechanismu.</w:t>
      </w:r>
    </w:p>
    <w:p w14:paraId="739FA039" w14:textId="77777777" w:rsidR="00FA5543" w:rsidRPr="00C34031" w:rsidRDefault="00FA5543" w:rsidP="00390489">
      <w:pPr>
        <w:pStyle w:val="ManualHeading2"/>
        <w:rPr>
          <w:rFonts w:eastAsia="Arial Unicode MS"/>
          <w:noProof/>
          <w:u w:color="000000"/>
          <w:bdr w:val="nil"/>
        </w:rPr>
      </w:pPr>
      <w:r w:rsidRPr="00C34031">
        <w:rPr>
          <w:noProof/>
          <w:u w:color="000000"/>
          <w:bdr w:val="nil"/>
        </w:rPr>
        <w:t>•</w:t>
      </w:r>
      <w:r w:rsidRPr="00C34031">
        <w:rPr>
          <w:noProof/>
          <w:u w:color="000000"/>
          <w:bdr w:val="nil"/>
        </w:rPr>
        <w:tab/>
        <w:t>Základní práva</w:t>
      </w:r>
    </w:p>
    <w:p w14:paraId="4DD2A105" w14:textId="77777777" w:rsidR="00FA5543" w:rsidRPr="00C34031" w:rsidRDefault="004A10FE" w:rsidP="00390489">
      <w:pPr>
        <w:pBdr>
          <w:top w:val="nil"/>
          <w:left w:val="nil"/>
          <w:bottom w:val="nil"/>
          <w:right w:val="nil"/>
          <w:between w:val="nil"/>
          <w:bar w:val="nil"/>
        </w:pBdr>
        <w:spacing w:before="0" w:after="240"/>
        <w:rPr>
          <w:rFonts w:eastAsia="Arial Unicode MS"/>
          <w:noProof/>
        </w:rPr>
      </w:pPr>
      <w:r w:rsidRPr="00C34031">
        <w:rPr>
          <w:noProof/>
        </w:rPr>
        <w:t>Návrh dodržuje základní práva a zásady uznávané zejména Listinou základních práv Unie. Přispívá zejména k dosažení cíle vysoké úrovně ochrany životního prostředí v souladu se zásadou udržitelného rozvoje stanovenou v článku 37 Listiny.</w:t>
      </w:r>
    </w:p>
    <w:p w14:paraId="24780F77" w14:textId="77777777" w:rsidR="00FA5543" w:rsidRPr="00C34031" w:rsidRDefault="00FA5543" w:rsidP="00390489">
      <w:pPr>
        <w:pStyle w:val="ManualHeading1"/>
        <w:rPr>
          <w:noProof/>
        </w:rPr>
      </w:pPr>
      <w:r w:rsidRPr="00C34031">
        <w:rPr>
          <w:noProof/>
        </w:rPr>
        <w:t>4.</w:t>
      </w:r>
      <w:r w:rsidRPr="00C34031">
        <w:rPr>
          <w:noProof/>
        </w:rPr>
        <w:tab/>
        <w:t>ROZPOČTOVÉ DŮSLEDKY</w:t>
      </w:r>
    </w:p>
    <w:p w14:paraId="2CF6091F" w14:textId="77777777" w:rsidR="00FA5543" w:rsidRPr="00C34031" w:rsidRDefault="00B51269" w:rsidP="00390489">
      <w:pPr>
        <w:pBdr>
          <w:top w:val="nil"/>
          <w:left w:val="nil"/>
          <w:bottom w:val="nil"/>
          <w:right w:val="nil"/>
          <w:between w:val="nil"/>
          <w:bar w:val="nil"/>
        </w:pBdr>
        <w:spacing w:before="0" w:after="240"/>
        <w:rPr>
          <w:rFonts w:eastAsia="Arial Unicode MS"/>
          <w:noProof/>
        </w:rPr>
      </w:pPr>
      <w:r w:rsidRPr="00C34031">
        <w:rPr>
          <w:noProof/>
        </w:rPr>
        <w:t>Tento návrh bude mít důsledky pro rozpočet EU. Jeho dopad je posouzen v legislativním finančním a digitálním výkazu, který je připojen k tomuto návrhu.</w:t>
      </w:r>
    </w:p>
    <w:p w14:paraId="75C8A946" w14:textId="77777777" w:rsidR="00FA5543" w:rsidRPr="00C34031" w:rsidRDefault="00FA5543" w:rsidP="00390489">
      <w:pPr>
        <w:pStyle w:val="ManualHeading1"/>
        <w:rPr>
          <w:noProof/>
        </w:rPr>
      </w:pPr>
      <w:r w:rsidRPr="00C34031">
        <w:rPr>
          <w:noProof/>
        </w:rPr>
        <w:t>5.</w:t>
      </w:r>
      <w:r w:rsidRPr="00C34031">
        <w:rPr>
          <w:noProof/>
        </w:rPr>
        <w:tab/>
        <w:t>OSTATNÍ PRVKY</w:t>
      </w:r>
    </w:p>
    <w:p w14:paraId="2E12D96B" w14:textId="77777777" w:rsidR="00FA5543" w:rsidRPr="00C34031" w:rsidRDefault="00FA5543" w:rsidP="00390489">
      <w:pPr>
        <w:pStyle w:val="ManualHeading2"/>
        <w:rPr>
          <w:rFonts w:eastAsia="Arial Unicode MS"/>
          <w:noProof/>
          <w:u w:color="000000"/>
          <w:bdr w:val="nil"/>
        </w:rPr>
      </w:pPr>
      <w:r w:rsidRPr="00C34031">
        <w:rPr>
          <w:noProof/>
          <w:u w:color="000000"/>
          <w:bdr w:val="nil"/>
        </w:rPr>
        <w:t>•</w:t>
      </w:r>
      <w:r w:rsidRPr="00C34031">
        <w:rPr>
          <w:noProof/>
          <w:u w:color="000000"/>
          <w:bdr w:val="nil"/>
        </w:rPr>
        <w:tab/>
        <w:t>Prováděcí plány a způsob monitorování, hodnocení a podávání zpráv</w:t>
      </w:r>
    </w:p>
    <w:p w14:paraId="242BA26F" w14:textId="77777777" w:rsidR="008F1CB9" w:rsidRPr="00C34031" w:rsidRDefault="008F1CB9" w:rsidP="008F1CB9">
      <w:pPr>
        <w:pBdr>
          <w:top w:val="nil"/>
          <w:left w:val="nil"/>
          <w:bottom w:val="nil"/>
          <w:right w:val="nil"/>
          <w:between w:val="nil"/>
          <w:bar w:val="nil"/>
        </w:pBdr>
        <w:spacing w:before="0" w:after="240"/>
        <w:rPr>
          <w:noProof/>
        </w:rPr>
      </w:pPr>
      <w:r w:rsidRPr="00C34031">
        <w:rPr>
          <w:noProof/>
        </w:rPr>
        <w:t xml:space="preserve">Vzhledem k tomu, že návrh mění nařízení o CBAM, neobsahuje další prováděcí plány a opatření pro monitorování, hodnocení a podávání zpráv nad rámec stávajících plánů a opatření podle uvedeného nařízení. </w:t>
      </w:r>
    </w:p>
    <w:p w14:paraId="39033785" w14:textId="77777777" w:rsidR="008F1CB9" w:rsidRPr="00C34031" w:rsidRDefault="008F1CB9" w:rsidP="008F1CB9">
      <w:pPr>
        <w:pBdr>
          <w:top w:val="nil"/>
          <w:left w:val="nil"/>
          <w:bottom w:val="nil"/>
          <w:right w:val="nil"/>
          <w:between w:val="nil"/>
          <w:bar w:val="nil"/>
        </w:pBdr>
        <w:spacing w:before="0" w:after="240"/>
        <w:rPr>
          <w:noProof/>
        </w:rPr>
      </w:pPr>
      <w:r w:rsidRPr="00C34031">
        <w:rPr>
          <w:noProof/>
        </w:rPr>
        <w:t>Je však důležité připomenout, že Komise bude i nadále zajišťovat, aby byly zavedeny mechanismy sloužící k monitorování a hodnocení fungování mechanismu uhlíkového vyrovnání na hranicích, včetně jeho uplatňování vůči praktikám obcházení, a vyhodnotí ho ve vztahu k hlavním cílům tohoto politického opatření. Jelikož je mechanismus uhlíkového vyrovnání na hranicích jedním z politických opatření navrhovaných v rámci balíčku „Fit for 55“, který Komise přijala v červenci 2021</w:t>
      </w:r>
      <w:r w:rsidR="00ED0DEA" w:rsidRPr="00C34031">
        <w:rPr>
          <w:rStyle w:val="FootnoteReference"/>
          <w:rFonts w:eastAsia="Arial Unicode MS"/>
          <w:noProof/>
        </w:rPr>
        <w:footnoteReference w:id="12"/>
      </w:r>
      <w:r w:rsidRPr="00C34031">
        <w:rPr>
          <w:noProof/>
        </w:rPr>
        <w:t>, bude monitorování a hodnocení prováděno v souladu s ostatními politickými opatřeními navrhovanými v rámci uvedeného balíčku.</w:t>
      </w:r>
    </w:p>
    <w:p w14:paraId="4B75AFD3" w14:textId="77777777" w:rsidR="00FA5543" w:rsidRPr="00C34031" w:rsidRDefault="008F1CB9" w:rsidP="00390489">
      <w:pPr>
        <w:pBdr>
          <w:top w:val="nil"/>
          <w:left w:val="nil"/>
          <w:bottom w:val="nil"/>
          <w:right w:val="nil"/>
          <w:between w:val="nil"/>
          <w:bar w:val="nil"/>
        </w:pBdr>
        <w:spacing w:before="0" w:after="240"/>
        <w:rPr>
          <w:rFonts w:eastAsia="Arial Unicode MS"/>
          <w:noProof/>
        </w:rPr>
      </w:pPr>
      <w:r w:rsidRPr="00C34031">
        <w:rPr>
          <w:noProof/>
        </w:rPr>
        <w:t>Komise bude monitorovat, jak je CBAM prováděn, aby se promítl do její analýzy, a bude pravidelně podávat zprávy Evropskému parlamentu a Radě o uplatňování nařízení o CBAM. V rámci tohoto podávání zpráv Komise navrhne možné změny ke zlepšení jeho fungování a shromáždí nezbytné informace pro případné další rozšíření působnosti CBAM, včetně informací o dalším zboží, u něhož by mohl hrozit únik uhlíku, jako jsou například navazující výrobky. Tyto zprávy by měly rovněž obsahovat posouzení dopadu CBAM na únik uhlíku, a to i v souvislosti s vývozem, a jeho hospodářský, environmentální, sociální a územní dopad v celé Unii.</w:t>
      </w:r>
    </w:p>
    <w:p w14:paraId="7CE70891" w14:textId="77777777" w:rsidR="00FA5543" w:rsidRPr="00C34031" w:rsidRDefault="00FA5543" w:rsidP="00390489">
      <w:pPr>
        <w:pStyle w:val="ManualHeading2"/>
        <w:rPr>
          <w:rFonts w:eastAsia="Arial Unicode MS"/>
          <w:noProof/>
          <w:u w:color="000000"/>
          <w:bdr w:val="nil"/>
        </w:rPr>
      </w:pPr>
      <w:r w:rsidRPr="00C34031">
        <w:rPr>
          <w:noProof/>
          <w:u w:color="000000"/>
          <w:bdr w:val="nil"/>
        </w:rPr>
        <w:t>•</w:t>
      </w:r>
      <w:r w:rsidRPr="00C34031">
        <w:rPr>
          <w:noProof/>
          <w:u w:color="000000"/>
          <w:bdr w:val="nil"/>
        </w:rPr>
        <w:tab/>
        <w:t>Podrobné vysvětlení konkrétních ustanovení návrhu</w:t>
      </w:r>
    </w:p>
    <w:p w14:paraId="4640977D"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 xml:space="preserve">Návrh obsahuje dva druhy zjednodušení. </w:t>
      </w:r>
    </w:p>
    <w:p w14:paraId="37007725"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 xml:space="preserve">Za prvé, dovozci malých množství zboží podléhajícího CBAM, která představují velmi malá množství obsažených emisí dovážených do Unie a ve většině případů odpovídají malým a středním podnikům a jednotlivcům, budou od povinností vyplývajících z CBAM osvobozeni. U těchto dovozců administrativní zátěž vyplývající z dodržování povinností vyplývajících z CBAM výrazně převažuje nad přínosem pro životní prostředí a regulaci. Důvodem je kombinace i) nevýznamného podílu obsažených emisí ve veškerém zboží podléhajícím CBAM, které se dováží do Unie, a ii) neschopnosti vnitrostátních orgánů prosazovat pravidla z důvodu velkého počtu dovozců malého množství zboží podléhajícího CBAM. </w:t>
      </w:r>
    </w:p>
    <w:p w14:paraId="27E78D07"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Za druhé, návrh obsahuje soubor zjednodušení pro dovozce zboží podléhajícího CBAM nad prahovou hodnotou s cílem usnadnit jim dodržování požadavků na podávání zpráv. Návrh zejména zjednodušuje a zefektivňuje povolovací postup pro příslušné vnitrostátní orgány a Komisi, postupy shromažďování údajů od výrobců ze třetích zemí pro schválené deklaranty pro CBAM, výpočet obsažených emisí u určitého zboží, pravidla pro ověřování emisí, výpočet finanční odpovědnosti schválených deklarantů pro CBAM v roce dovozu do EU a nárok schválených deklarantů pro CBAM na ceny uhlíku zaplacené ve třetích zemích, kde se zboží vyrábí.</w:t>
      </w:r>
    </w:p>
    <w:p w14:paraId="7919FD10"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 xml:space="preserve">Ustanovení čl. 1 bodu 1 mění výjimku z povinností vyplývajících z CBAM zavedením nové hmotnostní prahové hodnoty stanovené v nové příloze VII nařízení o CBAM s cílem vyjmout dovozce velmi malých množství zboží. </w:t>
      </w:r>
    </w:p>
    <w:p w14:paraId="750E3F80"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Ustanovení čl. 1 bodu 2 mění definice dovozce a provozovatele s cílem usnadnit požadavky na podávání zpráv.</w:t>
      </w:r>
    </w:p>
    <w:p w14:paraId="3EA718E5" w14:textId="77777777" w:rsidR="00C55E4F" w:rsidRPr="00C34031" w:rsidRDefault="00790288" w:rsidP="00487207">
      <w:pPr>
        <w:pBdr>
          <w:top w:val="nil"/>
          <w:left w:val="nil"/>
          <w:bottom w:val="nil"/>
          <w:right w:val="nil"/>
          <w:between w:val="nil"/>
          <w:bar w:val="nil"/>
        </w:pBdr>
        <w:spacing w:before="0" w:after="240"/>
        <w:rPr>
          <w:noProof/>
        </w:rPr>
      </w:pPr>
      <w:r w:rsidRPr="00C34031">
        <w:rPr>
          <w:noProof/>
        </w:rPr>
        <w:t xml:space="preserve">V čl. 1 bodě 3 a čl. 1 bodě 4 písm. b) jsou vyvozeny důsledky nové prahové hodnoty pro pravidla týkající se povolení, které musí být dovozcům uděleno pro dovoz zboží přesahujícího tuto prahovou hodnotu, a je stanovena možnost, aby schválení deklaranti pro CBAM, kteří jsou i nadále právně odpovědní za své povinnosti vyplývající z CBAM, mohli v rejstříku CBAM technicky delegovat požadavky na podávání zpráv na třetí strany s cílem usnadnit jejich plnění. </w:t>
      </w:r>
    </w:p>
    <w:p w14:paraId="2B72EBB9" w14:textId="77777777" w:rsidR="00007A90" w:rsidRPr="00C34031" w:rsidRDefault="00007A90" w:rsidP="00007A90">
      <w:pPr>
        <w:pBdr>
          <w:top w:val="nil"/>
          <w:left w:val="nil"/>
          <w:bottom w:val="nil"/>
          <w:right w:val="nil"/>
          <w:between w:val="nil"/>
          <w:bar w:val="nil"/>
        </w:pBdr>
        <w:spacing w:before="0" w:after="240"/>
        <w:rPr>
          <w:noProof/>
        </w:rPr>
      </w:pPr>
      <w:r w:rsidRPr="00C34031">
        <w:rPr>
          <w:noProof/>
        </w:rPr>
        <w:t xml:space="preserve">V čl. 1 bodě 4 písm. a) se mění roční lhůta pro předložení ročního prohlášení CBAM. </w:t>
      </w:r>
    </w:p>
    <w:p w14:paraId="72C9EC93"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Ustanovení čl. 1 bodu 4 písm. c) zavádí možnost schválených deklarantů pro CBAM žádat o cenu uhlíku zaplacenou v jiné třetí zemi, než je země původu.</w:t>
      </w:r>
    </w:p>
    <w:p w14:paraId="4785B179" w14:textId="77777777" w:rsidR="000661B9" w:rsidRPr="00C34031" w:rsidRDefault="000661B9" w:rsidP="000661B9">
      <w:pPr>
        <w:pBdr>
          <w:top w:val="nil"/>
          <w:left w:val="nil"/>
          <w:bottom w:val="nil"/>
          <w:right w:val="nil"/>
          <w:between w:val="nil"/>
          <w:bar w:val="nil"/>
        </w:pBdr>
        <w:spacing w:before="0" w:after="240"/>
        <w:rPr>
          <w:noProof/>
        </w:rPr>
      </w:pPr>
      <w:r w:rsidRPr="00C34031">
        <w:rPr>
          <w:noProof/>
        </w:rPr>
        <w:t xml:space="preserve">Ustanovení čl. 1 bodu 4 písm. d) a čl. 1 bodu 6 mění pravidla pro ověřování emisí tak, aby se povinnost ověřovat obsažené emise vztahovala pouze na skutečné hodnoty. </w:t>
      </w:r>
    </w:p>
    <w:p w14:paraId="6EF6425A" w14:textId="77777777" w:rsidR="00790288" w:rsidRPr="00C34031" w:rsidRDefault="00F64343" w:rsidP="00790288">
      <w:pPr>
        <w:pBdr>
          <w:top w:val="nil"/>
          <w:left w:val="nil"/>
          <w:bottom w:val="nil"/>
          <w:right w:val="nil"/>
          <w:between w:val="nil"/>
          <w:bar w:val="nil"/>
        </w:pBdr>
        <w:spacing w:before="0" w:after="240"/>
        <w:rPr>
          <w:noProof/>
        </w:rPr>
      </w:pPr>
      <w:r w:rsidRPr="00C34031">
        <w:rPr>
          <w:noProof/>
        </w:rPr>
        <w:t xml:space="preserve">Ustanovení čl. 1 bodu 5 mění výpočet obsažených emisí v případě příslušných vstupních materiálů (prekurzorů). </w:t>
      </w:r>
    </w:p>
    <w:p w14:paraId="785C56E6" w14:textId="77777777" w:rsidR="00790288" w:rsidRPr="00C34031" w:rsidRDefault="7670F3A7" w:rsidP="139DF8FE">
      <w:pPr>
        <w:pBdr>
          <w:top w:val="nil"/>
          <w:left w:val="nil"/>
          <w:bottom w:val="nil"/>
          <w:right w:val="nil"/>
          <w:between w:val="nil"/>
          <w:bar w:val="nil"/>
        </w:pBdr>
        <w:spacing w:before="0" w:after="240"/>
        <w:rPr>
          <w:noProof/>
        </w:rPr>
      </w:pPr>
      <w:r w:rsidRPr="00C34031">
        <w:rPr>
          <w:noProof/>
        </w:rPr>
        <w:t xml:space="preserve">Ustanovení čl. 1 bodu 7 zavádí možnost, aby schválení deklaranti pro CBAM používali standardní ceny uhlíku vypočtené a zpřístupněné Komisí a požadovali ceny uhlíku zaplacené v jiných třetích zemích, než je země původu zboží. </w:t>
      </w:r>
    </w:p>
    <w:p w14:paraId="097EBE74"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 xml:space="preserve">Ustanovení čl. 1 bodu 8 usnadňuje povinnost podávání zpráv zavedením několika změn na portálu zřízeném podle článku 10 za účelem registrace provozovatelů a zařízení ve třetích zemích. </w:t>
      </w:r>
    </w:p>
    <w:p w14:paraId="5E5D1638"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 xml:space="preserve">Ustanovení čl. 1 bodu 9 zavádí registraci akreditovaných ověřovatelů, aby měli přístup do rejstříku CBAM a mohli plnit určité příslušné úkoly s cílem usnadnit podávání zpráv. </w:t>
      </w:r>
    </w:p>
    <w:p w14:paraId="342A5762"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Ustanovení čl. 1 bodu 10 posiluje pravomoci, které členské státy udělují svým příslušným vnitrostátním orgánům k plnění povinností a odpovědností souvisejících s CBAM.</w:t>
      </w:r>
    </w:p>
    <w:p w14:paraId="576719CD"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Ustanovení čl. 1 bodu 11 a 13 vyvozují důsledky změn zavedených tímto návrhem, pokud jde o požadavky na rejstřík CBAM, analýzu rizik a monitorování.</w:t>
      </w:r>
    </w:p>
    <w:p w14:paraId="2955A717"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 xml:space="preserve">Ustanovení čl. 1 bodu 12 zefektivňuje konzultace s ostatními příslušnými orgány a Komisí s cílem snížit nadměrnou administrativní zátěž. </w:t>
      </w:r>
    </w:p>
    <w:p w14:paraId="55F7DA1F"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 xml:space="preserve">Ustanovení čl. 1 bodu 14 stanoví datum zahájení prodeje certifikátů CBAM na únor 2027 s cílem řešit významné nejistoty související s rokem 2026, který je prvním rokem po přechodném období, a zefektivňuje výměnu informací mezi rejstříkem CBAM a společnou centrální platformou. </w:t>
      </w:r>
    </w:p>
    <w:p w14:paraId="2077BD04"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 xml:space="preserve">Ustanovení čl. 1 bodu 15 a 18 vyvozují důsledky přesunu prodeje certifikátů do roku 2027 na stanovení finančního vyrovnání pro rok 2026. </w:t>
      </w:r>
    </w:p>
    <w:p w14:paraId="2C9B0F8E"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Ustanovení čl. 1 bodu 16 zjednodušuje od roku 2027 výpočet očekávaného finančního závazku schválených deklarantů pro CBAM během roku dovozu.</w:t>
      </w:r>
    </w:p>
    <w:p w14:paraId="53B090E7"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 xml:space="preserve">V čl. 1 bodě 17 se mění limit pro zpětný odkup s cílem usnadnit způsob, jakým může schválený deklarant pro CBAM spravovat svůj finanční závazek vyplývající z CBAM, a vyvozuje se důsledek změny roční lhůty pro podání prohlášení CBAM. </w:t>
      </w:r>
    </w:p>
    <w:p w14:paraId="37B3D159" w14:textId="77777777" w:rsidR="003E04C7" w:rsidRPr="00C34031" w:rsidRDefault="00790288" w:rsidP="00790288">
      <w:pPr>
        <w:pBdr>
          <w:top w:val="nil"/>
          <w:left w:val="nil"/>
          <w:bottom w:val="nil"/>
          <w:right w:val="nil"/>
          <w:between w:val="nil"/>
          <w:bar w:val="nil"/>
        </w:pBdr>
        <w:spacing w:before="0" w:after="240"/>
        <w:rPr>
          <w:noProof/>
        </w:rPr>
      </w:pPr>
      <w:r w:rsidRPr="00C34031">
        <w:rPr>
          <w:noProof/>
        </w:rPr>
        <w:t>Ustanovení čl. 1 bodu 19 mění rozsah informací vyměňovaných s celními orgány, příslušnými orgány a Komisí tak, aby odrážel zavedení výjimky.</w:t>
      </w:r>
    </w:p>
    <w:p w14:paraId="08731E99" w14:textId="77777777" w:rsidR="00790288" w:rsidRPr="00C34031" w:rsidRDefault="003E04C7" w:rsidP="00790288">
      <w:pPr>
        <w:pBdr>
          <w:top w:val="nil"/>
          <w:left w:val="nil"/>
          <w:bottom w:val="nil"/>
          <w:right w:val="nil"/>
          <w:between w:val="nil"/>
          <w:bar w:val="nil"/>
        </w:pBdr>
        <w:spacing w:before="0" w:after="240"/>
        <w:rPr>
          <w:noProof/>
        </w:rPr>
      </w:pPr>
      <w:r w:rsidRPr="00C34031">
        <w:rPr>
          <w:noProof/>
        </w:rPr>
        <w:t xml:space="preserve">Ustanovení čl. 1 bodu 20 a 22 zavádějí pravidla a výměnu informací o monitorování výjimky. </w:t>
      </w:r>
    </w:p>
    <w:p w14:paraId="43699033"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 xml:space="preserve">Ustanovení čl. 1 bodu 21 zavádí možnost příslušných orgánů upravit výši pokuty na základě relevantních skutečností a okolností a vyvozuje důsledky nové výjimky. </w:t>
      </w:r>
    </w:p>
    <w:p w14:paraId="43CDCC58"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V čl. 1  bodu 23 se mění zmocnění, které spolunormotvůrci udělili Komisi k přijímání aktů v přenesené pravomoci, s ohledem na zjednodušení, která tento návrh přináší.</w:t>
      </w:r>
    </w:p>
    <w:p w14:paraId="49252150"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 xml:space="preserve">Ustanovení čl. 1 bodu 24 doplňuje podávání zpráv Komisí spolunormotvůrcům o uplatňování výjimky, a to ve znění tohoto návrhu. </w:t>
      </w:r>
    </w:p>
    <w:p w14:paraId="307BCFA2"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 xml:space="preserve">Ustanovení čl. 1 bodu 25 mění seznam zboží podléhajícího CBAM tak, že vylučuje nekalcinované kaolinitické jíly. </w:t>
      </w:r>
    </w:p>
    <w:p w14:paraId="18D93DF7" w14:textId="77777777" w:rsidR="00790288" w:rsidRPr="00C34031" w:rsidRDefault="00790288" w:rsidP="00790288">
      <w:pPr>
        <w:pBdr>
          <w:top w:val="nil"/>
          <w:left w:val="nil"/>
          <w:bottom w:val="nil"/>
          <w:right w:val="nil"/>
          <w:between w:val="nil"/>
          <w:bar w:val="nil"/>
        </w:pBdr>
        <w:spacing w:before="0" w:after="240"/>
        <w:rPr>
          <w:noProof/>
        </w:rPr>
      </w:pPr>
      <w:r w:rsidRPr="00C34031">
        <w:rPr>
          <w:noProof/>
        </w:rPr>
        <w:t>Ustanovení čl. 1 bodu 26 doplňuje elektřinu na seznam zboží podléhajícího CBAM, u něhož se při výpočtu obsažených emisí zohledňují pouze přímé emise.</w:t>
      </w:r>
    </w:p>
    <w:p w14:paraId="612AE47A" w14:textId="77777777" w:rsidR="00CA6F4D" w:rsidRPr="00C34031" w:rsidRDefault="000661B9" w:rsidP="00390489">
      <w:pPr>
        <w:pBdr>
          <w:top w:val="nil"/>
          <w:left w:val="nil"/>
          <w:bottom w:val="nil"/>
          <w:right w:val="nil"/>
          <w:between w:val="nil"/>
          <w:bar w:val="nil"/>
        </w:pBdr>
        <w:spacing w:before="0" w:after="240"/>
        <w:rPr>
          <w:noProof/>
        </w:rPr>
      </w:pPr>
      <w:r w:rsidRPr="00C34031">
        <w:rPr>
          <w:noProof/>
        </w:rPr>
        <w:t>V čl. 1 bodě 27 se mění příloha IV nařízení (EU) 2023/956 tak, aby byly vyloučeny vstupní materiály, které podléhaly systému EU ETS nebo systému pro stanovení ceny uhlíku, který je plně propojen se systémem EU ETS.</w:t>
      </w:r>
    </w:p>
    <w:p w14:paraId="458BFB8E" w14:textId="77777777" w:rsidR="00833020" w:rsidRPr="00C34031" w:rsidRDefault="00CA6F4D" w:rsidP="00790288">
      <w:pPr>
        <w:pBdr>
          <w:top w:val="nil"/>
          <w:left w:val="nil"/>
          <w:bottom w:val="nil"/>
          <w:right w:val="nil"/>
          <w:between w:val="nil"/>
          <w:bar w:val="nil"/>
        </w:pBdr>
        <w:spacing w:before="0" w:after="240"/>
        <w:rPr>
          <w:noProof/>
        </w:rPr>
      </w:pPr>
      <w:r w:rsidRPr="00C34031">
        <w:rPr>
          <w:noProof/>
        </w:rPr>
        <w:t>Ustanovení čl. 1 bodu 28 zavádí novou přílohu VII, která stanoví prahovou hodnotu uvedenou v čl. 1 odst. 1 písm. b).</w:t>
      </w:r>
    </w:p>
    <w:p w14:paraId="263E4B42" w14:textId="77777777" w:rsidR="00FA5543" w:rsidRPr="00C34031" w:rsidRDefault="00790288" w:rsidP="00390489">
      <w:pPr>
        <w:pBdr>
          <w:top w:val="nil"/>
          <w:left w:val="nil"/>
          <w:bottom w:val="nil"/>
          <w:right w:val="nil"/>
          <w:between w:val="nil"/>
          <w:bar w:val="nil"/>
        </w:pBdr>
        <w:spacing w:before="0" w:after="240"/>
        <w:rPr>
          <w:noProof/>
        </w:rPr>
      </w:pPr>
      <w:r w:rsidRPr="00C34031">
        <w:rPr>
          <w:noProof/>
        </w:rPr>
        <w:t>A konečně, přílohy obsahují několik zjednodušení výpočtu obsažených emisí za účelem usnadnění povinnosti podávat zprávy, například v případě standardních hodnot nebo prekurzorů vyrobených v EU.</w:t>
      </w:r>
    </w:p>
    <w:p w14:paraId="3ED9E032" w14:textId="77777777" w:rsidR="00FA5543" w:rsidRPr="00C34031" w:rsidRDefault="00FA5543" w:rsidP="00390489">
      <w:pPr>
        <w:rPr>
          <w:noProof/>
        </w:rPr>
        <w:sectPr w:rsidR="00FA5543" w:rsidRPr="00C34031" w:rsidSect="00516924">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pPr>
    </w:p>
    <w:p w14:paraId="477AA100" w14:textId="73E76B37" w:rsidR="00346B03" w:rsidRPr="00C34031" w:rsidRDefault="0011563D" w:rsidP="0011563D">
      <w:pPr>
        <w:pStyle w:val="Rfrenceinterinstitutionnelle"/>
        <w:rPr>
          <w:noProof/>
        </w:rPr>
      </w:pPr>
      <w:r>
        <w:rPr>
          <w:noProof/>
        </w:rPr>
        <w:t>2025/0039 (COD)</w:t>
      </w:r>
    </w:p>
    <w:p w14:paraId="467F57BD" w14:textId="47F96E19" w:rsidR="00FA5543" w:rsidRPr="00C34031" w:rsidRDefault="0011563D" w:rsidP="0011563D">
      <w:pPr>
        <w:pStyle w:val="Statut"/>
        <w:rPr>
          <w:noProof/>
        </w:rPr>
      </w:pPr>
      <w:r w:rsidRPr="0011563D">
        <w:rPr>
          <w:noProof/>
        </w:rPr>
        <w:t>Návrh</w:t>
      </w:r>
    </w:p>
    <w:p w14:paraId="1E55C63A" w14:textId="2216E26F" w:rsidR="00FA5543" w:rsidRPr="00C34031" w:rsidRDefault="0011563D" w:rsidP="0011563D">
      <w:pPr>
        <w:pStyle w:val="Typedudocument"/>
        <w:rPr>
          <w:noProof/>
        </w:rPr>
      </w:pPr>
      <w:r w:rsidRPr="0011563D">
        <w:rPr>
          <w:noProof/>
        </w:rPr>
        <w:t>NAŘÍZENÍ EVROPSKÉHO PARLAMENTU A RADY,</w:t>
      </w:r>
    </w:p>
    <w:p w14:paraId="5BA26D5E" w14:textId="193C9AE0" w:rsidR="00FA5543" w:rsidRPr="00C34031" w:rsidRDefault="0011563D" w:rsidP="0011563D">
      <w:pPr>
        <w:pStyle w:val="Titreobjet"/>
        <w:rPr>
          <w:noProof/>
        </w:rPr>
      </w:pPr>
      <w:r w:rsidRPr="0011563D">
        <w:rPr>
          <w:noProof/>
        </w:rPr>
        <w:t>kterým se mění nařízení (EU) 2023/956, pokud jde o zjednodušení a posílení mechanismu uhlíkového vyrovnání na hranicích</w:t>
      </w:r>
    </w:p>
    <w:p w14:paraId="014AA83D" w14:textId="505A9856" w:rsidR="00FA5543" w:rsidRPr="00C34031" w:rsidRDefault="0011563D" w:rsidP="0011563D">
      <w:pPr>
        <w:pStyle w:val="IntrtEEE"/>
        <w:rPr>
          <w:noProof/>
        </w:rPr>
      </w:pPr>
      <w:r w:rsidRPr="0011563D">
        <w:rPr>
          <w:noProof/>
        </w:rPr>
        <w:t>(Text s významem pro EHP)</w:t>
      </w:r>
    </w:p>
    <w:p w14:paraId="2824CDA8" w14:textId="77777777" w:rsidR="00FA5543" w:rsidRPr="00C34031" w:rsidRDefault="00FA5543" w:rsidP="00390489">
      <w:pPr>
        <w:pStyle w:val="Institutionquiagit"/>
        <w:rPr>
          <w:noProof/>
        </w:rPr>
      </w:pPr>
      <w:r w:rsidRPr="00C34031">
        <w:rPr>
          <w:noProof/>
        </w:rPr>
        <w:t>EVROPSKÝ PARLAMENT A RADA EVROPSKÉ UNIE,</w:t>
      </w:r>
    </w:p>
    <w:p w14:paraId="26F260EE" w14:textId="77777777" w:rsidR="00FA5543" w:rsidRPr="00C34031" w:rsidRDefault="00FA5543" w:rsidP="00390489">
      <w:pPr>
        <w:rPr>
          <w:noProof/>
        </w:rPr>
      </w:pPr>
      <w:r w:rsidRPr="00C34031">
        <w:rPr>
          <w:noProof/>
        </w:rPr>
        <w:t>s ohledem na Smlouvu o fungování Evropské unie, a zejména na čl. 192 odst. 1 této smlouvy,</w:t>
      </w:r>
    </w:p>
    <w:p w14:paraId="3B7D4099" w14:textId="77777777" w:rsidR="00FA5543" w:rsidRPr="00C34031" w:rsidRDefault="00FA5543" w:rsidP="00390489">
      <w:pPr>
        <w:rPr>
          <w:noProof/>
        </w:rPr>
      </w:pPr>
      <w:r w:rsidRPr="00C34031">
        <w:rPr>
          <w:noProof/>
        </w:rPr>
        <w:t>s ohledem na návrh Evropské komise,</w:t>
      </w:r>
    </w:p>
    <w:p w14:paraId="4F23FD45" w14:textId="77777777" w:rsidR="00FA5543" w:rsidRPr="00C34031" w:rsidRDefault="00FA5543" w:rsidP="00390489">
      <w:pPr>
        <w:rPr>
          <w:noProof/>
        </w:rPr>
      </w:pPr>
      <w:r w:rsidRPr="00C34031">
        <w:rPr>
          <w:noProof/>
        </w:rPr>
        <w:t>po postoupení návrhu legislativního aktu vnitrostátním parlamentům,</w:t>
      </w:r>
    </w:p>
    <w:p w14:paraId="32B80D65" w14:textId="77777777" w:rsidR="00FA5543" w:rsidRPr="00C34031" w:rsidRDefault="00FA5543" w:rsidP="00390489">
      <w:pPr>
        <w:rPr>
          <w:noProof/>
        </w:rPr>
      </w:pPr>
      <w:r w:rsidRPr="00C34031">
        <w:rPr>
          <w:noProof/>
        </w:rPr>
        <w:t>s ohledem na stanovisko Evropského hospodářského a sociálního výboru</w:t>
      </w:r>
      <w:r w:rsidRPr="00C34031">
        <w:rPr>
          <w:rStyle w:val="FootnoteReference"/>
          <w:noProof/>
        </w:rPr>
        <w:footnoteReference w:id="13"/>
      </w:r>
      <w:r w:rsidRPr="00C34031">
        <w:rPr>
          <w:noProof/>
        </w:rPr>
        <w:t xml:space="preserve">, </w:t>
      </w:r>
    </w:p>
    <w:p w14:paraId="59E6A08D" w14:textId="77777777" w:rsidR="00FA5543" w:rsidRPr="00C34031" w:rsidRDefault="00FA5543" w:rsidP="00390489">
      <w:pPr>
        <w:rPr>
          <w:noProof/>
        </w:rPr>
      </w:pPr>
      <w:r w:rsidRPr="00C34031">
        <w:rPr>
          <w:noProof/>
        </w:rPr>
        <w:t>s ohledem na stanovisko Výboru regionů</w:t>
      </w:r>
      <w:r w:rsidRPr="00C34031">
        <w:rPr>
          <w:rStyle w:val="FootnoteReference"/>
          <w:noProof/>
        </w:rPr>
        <w:footnoteReference w:id="14"/>
      </w:r>
      <w:r w:rsidRPr="00C34031">
        <w:rPr>
          <w:noProof/>
        </w:rPr>
        <w:t xml:space="preserve">, </w:t>
      </w:r>
    </w:p>
    <w:p w14:paraId="7FAA1849" w14:textId="77777777" w:rsidR="00FA5543" w:rsidRPr="00C34031" w:rsidRDefault="00FA5543" w:rsidP="00390489">
      <w:pPr>
        <w:rPr>
          <w:noProof/>
        </w:rPr>
      </w:pPr>
      <w:r w:rsidRPr="00C34031">
        <w:rPr>
          <w:noProof/>
        </w:rPr>
        <w:t>v souladu s řádným legislativním postupem,</w:t>
      </w:r>
    </w:p>
    <w:p w14:paraId="3B72AB45" w14:textId="77777777" w:rsidR="005E4844" w:rsidRPr="00C34031" w:rsidRDefault="00FA5543" w:rsidP="005E4844">
      <w:pPr>
        <w:rPr>
          <w:noProof/>
        </w:rPr>
      </w:pPr>
      <w:r w:rsidRPr="00C34031">
        <w:rPr>
          <w:noProof/>
        </w:rPr>
        <w:t>vzhledem k těmto důvodům:</w:t>
      </w:r>
    </w:p>
    <w:p w14:paraId="39214E8F" w14:textId="77777777" w:rsidR="005E4844" w:rsidRPr="00C34031" w:rsidRDefault="0074784E" w:rsidP="0074784E">
      <w:pPr>
        <w:pStyle w:val="ManualConsidrant"/>
        <w:rPr>
          <w:noProof/>
        </w:rPr>
      </w:pPr>
      <w:r w:rsidRPr="00C34031">
        <w:rPr>
          <w:noProof/>
        </w:rPr>
        <w:t>(1)</w:t>
      </w:r>
      <w:r w:rsidRPr="00C34031">
        <w:rPr>
          <w:noProof/>
        </w:rPr>
        <w:tab/>
        <w:t>Během přechodného období, které začalo dne 1. října 2023, Komise shromažďovala údaje a informace o provádění mechanismu uhlíkového vyrovnání na hranicích (dále jen „CBAM“), jak je stanoveno v nařízení Evropského parlamentu a Rady (EU) 2023/956</w:t>
      </w:r>
      <w:r w:rsidR="003F4D14" w:rsidRPr="00C34031">
        <w:rPr>
          <w:rStyle w:val="FootnoteReference"/>
          <w:noProof/>
        </w:rPr>
        <w:footnoteReference w:id="15"/>
      </w:r>
      <w:r w:rsidRPr="00C34031">
        <w:rPr>
          <w:noProof/>
        </w:rPr>
        <w:t>, mimo jiné prostřednictvím analýzy čtvrtletních zpráv předkládaných oznamujícími deklaranty. Shromážděné informace a výměny se zúčastněnými stranami, mimo jiné v rámci expertní skupiny pro CBAM, nastínily možnosti zjednodušení a zlepšení CBAM. Unie je odhodlána zajistit hladké zavedení CBAM během doby po přechodném období, které začíná dne 1. ledna 2026.</w:t>
      </w:r>
    </w:p>
    <w:p w14:paraId="4DCF8B48" w14:textId="77777777" w:rsidR="00C430B6" w:rsidRPr="00C34031" w:rsidRDefault="0074784E" w:rsidP="0074784E">
      <w:pPr>
        <w:pStyle w:val="ManualConsidrant"/>
        <w:rPr>
          <w:noProof/>
        </w:rPr>
      </w:pPr>
      <w:r w:rsidRPr="00C34031">
        <w:rPr>
          <w:noProof/>
        </w:rPr>
        <w:t>(2)</w:t>
      </w:r>
      <w:r w:rsidRPr="00C34031">
        <w:rPr>
          <w:noProof/>
        </w:rPr>
        <w:tab/>
        <w:t>Na základě získaných zkušeností a údajů shromážděných během přechodného období ukazuje rozdělení dovozců zboží podléhajícího CBAM do Unie, že za naprostou většinu emisí obsažených v tomto zboží je zodpovědná pouze malá část dovozců. Výjimka uplatňovaná na dovoz zboží nepatrné hodnoty podle článku 23 nařízení (ES) č. 1186/2009 (zásilky v hodnotě nižší než 150 EUR) se jeví jako nedostatečná k zajištění toho, aby se CBAM vztahoval na dovozce úměrně jejich dopadu na emise, na které se vztahuje nařízení (EU) 2023/956. Pro tyto dovozce malých množství zboží by splnění požadavků na podávání zpráv CBAM a finančních povinností vyplývajících z CBAM mohlo představovat nepřiměřenou zátěž. Kromě toho Komise v rámci balíčku celních reforem na rok 2023 navrhla tuto výjimku zrušit</w:t>
      </w:r>
      <w:r w:rsidR="00BC0D3D" w:rsidRPr="00C34031">
        <w:rPr>
          <w:rStyle w:val="FootnoteReference"/>
          <w:noProof/>
        </w:rPr>
        <w:footnoteReference w:id="16"/>
      </w:r>
      <w:r w:rsidRPr="00C34031">
        <w:rPr>
          <w:noProof/>
        </w:rPr>
        <w:t>. Proto by měla být zavedena nová výjimka s cílem osvobodit dovozce malých množství z hlediska hmotnosti v případě zboží podléhajícího CBAM od povinností, které vyplývají z CBAM, a zároveň zachovat environmentální cíl tohoto mechanismu a jeho schopnost dosáhnout svého cíle v oblasti klimatu.</w:t>
      </w:r>
    </w:p>
    <w:p w14:paraId="2E1F2000" w14:textId="77777777" w:rsidR="00C430B6" w:rsidRPr="00C34031" w:rsidRDefault="0074784E" w:rsidP="0074784E">
      <w:pPr>
        <w:pStyle w:val="ManualConsidrant"/>
        <w:rPr>
          <w:noProof/>
        </w:rPr>
      </w:pPr>
      <w:r w:rsidRPr="00C34031">
        <w:rPr>
          <w:noProof/>
        </w:rPr>
        <w:t>(3)</w:t>
      </w:r>
      <w:r w:rsidRPr="00C34031">
        <w:rPr>
          <w:noProof/>
        </w:rPr>
        <w:tab/>
        <w:t>V nařízení (EU) 2023/956 by měla být zavedena nová prahová hodnota založená na kumulativní hmotnosti na dovozce za rok, která zajistí, že v oblasti působnosti zůstane více než 99 % emisí. Jedná se o spolehlivý a cílený přístup, neboť přesně odráží environmentální povahu CBAM tím, že při stanovení prahové hodnoty zohledňuje všechny dovezené emise za určité období. Odstraňuje také riziko obcházení prostřednictvím umělého rozdělování zásilek od jednoho dovozce.</w:t>
      </w:r>
    </w:p>
    <w:p w14:paraId="7B1B677A" w14:textId="77777777" w:rsidR="0079054A" w:rsidRPr="00C34031" w:rsidRDefault="0074784E" w:rsidP="0074784E">
      <w:pPr>
        <w:pStyle w:val="ManualConsidrant"/>
        <w:rPr>
          <w:noProof/>
        </w:rPr>
      </w:pPr>
      <w:r w:rsidRPr="00C34031">
        <w:rPr>
          <w:noProof/>
        </w:rPr>
        <w:t>(4)</w:t>
      </w:r>
      <w:r w:rsidRPr="00C34031">
        <w:rPr>
          <w:noProof/>
        </w:rPr>
        <w:tab/>
        <w:t>Prahová hodnota založená na hmotnosti odrážející průměrnou intenzitu emisí objemu dováženého zboží podléhajícího CBAM by lépe vyjadřovala cíl CBAM v oblasti klimatu. Jednotná hmotnostní prahová hodnota uplatňovaná kumulativně na veškeré zboží podléhající CBAM v odvětvích železa a oceli, hliníku, hnojiv a cementu, které dovozci dovezou během kalendářního roku, je pro dovozce nejjednodušším návrhem, neboť nebudou muset získávat ani poskytovat žádné další údaje kromě údajů uvedených v celním prohlášení, čímž se pro tyto dovozce podstatně sníží administrativní zátěž související s CBAM. Prahová hodnota stanovená na úroveň 50 tun osvobodí naprostou většinu dovozců od povinností podle nařízení (EU) 2023/956 a zároveň zachová více než 99 % obsažených emisí v oblasti působnosti CBAM. Za účelem stanovení prahové hodnoty by měla být zavedena nová příloha VII.</w:t>
      </w:r>
    </w:p>
    <w:p w14:paraId="655DBE76" w14:textId="77777777" w:rsidR="0079054A" w:rsidRPr="00C34031" w:rsidRDefault="0074784E" w:rsidP="0074784E">
      <w:pPr>
        <w:pStyle w:val="ManualConsidrant"/>
        <w:rPr>
          <w:noProof/>
        </w:rPr>
      </w:pPr>
      <w:r w:rsidRPr="00C34031">
        <w:rPr>
          <w:noProof/>
        </w:rPr>
        <w:t>(5)</w:t>
      </w:r>
      <w:r w:rsidRPr="00C34031">
        <w:rPr>
          <w:noProof/>
        </w:rPr>
        <w:tab/>
        <w:t>Hlavní zásady, jimiž se řídí prahová hodnota, včetně zajištění toho, aby téměř všechny obsažené emise byly nadále v oblasti působnosti CBAM, by měly být stanoveny v nařízení (EU) 2023/956, aby byla zajištěna právní jistota. Nařízení (EU) 2023/956 by mělo rovněž stanovit možnost přepočítat prahovou hodnotu na základě aktualizované průměrné intenzity emisí dováženého zboží nebo významných změn ve struktuře obchodu nebo praktik obcházení, které mají vliv na pokrytí obsažených emisí v oblasti působnosti CBAM.</w:t>
      </w:r>
    </w:p>
    <w:p w14:paraId="58609A8B" w14:textId="77777777" w:rsidR="00C430B6" w:rsidRPr="00C34031" w:rsidRDefault="0074784E" w:rsidP="0074784E">
      <w:pPr>
        <w:pStyle w:val="ManualConsidrant"/>
        <w:rPr>
          <w:noProof/>
        </w:rPr>
      </w:pPr>
      <w:r w:rsidRPr="00C34031">
        <w:rPr>
          <w:noProof/>
        </w:rPr>
        <w:t>(6)</w:t>
      </w:r>
      <w:r w:rsidRPr="00C34031">
        <w:rPr>
          <w:noProof/>
        </w:rPr>
        <w:tab/>
        <w:t>Aby bylo zajištěno, že výjimka je dostatečně cílená, měla by se vztahovat na dovozce. Nepřímý celní zástupce by měl být vzhledem k povaze své činnosti a souvisejícím povinnostem podle nařízení (EU) 2023/956 vždy povinen získat povolení.</w:t>
      </w:r>
    </w:p>
    <w:p w14:paraId="0D15B2FF" w14:textId="77777777" w:rsidR="0079054A" w:rsidRPr="00C34031" w:rsidRDefault="0074784E" w:rsidP="0074784E">
      <w:pPr>
        <w:pStyle w:val="ManualConsidrant"/>
        <w:rPr>
          <w:noProof/>
          <w:color w:val="000000" w:themeColor="text1"/>
        </w:rPr>
      </w:pPr>
      <w:r w:rsidRPr="00C34031">
        <w:rPr>
          <w:noProof/>
        </w:rPr>
        <w:t>(7)</w:t>
      </w:r>
      <w:r w:rsidRPr="00C34031">
        <w:rPr>
          <w:noProof/>
        </w:rPr>
        <w:tab/>
        <w:t>Příslušné orgány a Komise by měly na základě celních informací monitorovat množství dováženého zboží, aby posoudily dodržování prahové hodnoty. Aby mohly příslušné orgány přijímat informovaná rozhodnutí, měly by celní orgány a Komise zpřístupnit těmto příslušným orgánům nezbytné informace a údaje. Pokud příslušný orgán dojde k závěru, že dovozce překročil prahovou hodnotu, měl by tuto informaci sdělit celním orgánům, které by následně neměly povolit další dovoz zboží od tohoto dovozce až do konce kalendářního roku nebo do doby, než tento dovozce získá status schváleného deklaranta pro CBAM</w:t>
      </w:r>
      <w:r w:rsidRPr="00C34031">
        <w:rPr>
          <w:noProof/>
          <w:color w:val="000000" w:themeColor="text1"/>
        </w:rPr>
        <w:t>.</w:t>
      </w:r>
    </w:p>
    <w:p w14:paraId="148094B7" w14:textId="77777777" w:rsidR="00C430B6" w:rsidRPr="00C34031" w:rsidRDefault="0074784E" w:rsidP="0074784E">
      <w:pPr>
        <w:pStyle w:val="ManualConsidrant"/>
        <w:rPr>
          <w:noProof/>
        </w:rPr>
      </w:pPr>
      <w:r w:rsidRPr="00C34031">
        <w:rPr>
          <w:noProof/>
        </w:rPr>
        <w:t>(8)</w:t>
      </w:r>
      <w:r w:rsidRPr="00C34031">
        <w:rPr>
          <w:noProof/>
        </w:rPr>
        <w:tab/>
        <w:t>Pokud dovozce očekává překročení roční prahové hodnoty nebo má v úmyslu dovážet zboží po překročení prahové hodnoty, měl by požádat o povolení podle článku 5 nařízení (EU) 2023/956. Na dovozce, kterým nebylo uděleno povolení před překročením prahové hodnoty, by se měly vztahovat sankce na dovážené zboží jako celku v souladu s čl. 26 odst. 2 nařízení (EU) 2023/956. Zaplacení pokuty v souladu s čl. 26 odst. 2 uvedeného nařízení by mělo dovozce zprostit povinnosti podat prohlášení CBAM a vyřadit certifikáty CBAM.</w:t>
      </w:r>
    </w:p>
    <w:p w14:paraId="23D5ED2D" w14:textId="77777777" w:rsidR="0079054A" w:rsidRPr="00C34031" w:rsidRDefault="0074784E" w:rsidP="0074784E">
      <w:pPr>
        <w:pStyle w:val="ManualConsidrant"/>
        <w:rPr>
          <w:noProof/>
        </w:rPr>
      </w:pPr>
      <w:r w:rsidRPr="00C34031">
        <w:rPr>
          <w:noProof/>
        </w:rPr>
        <w:t>(9)</w:t>
      </w:r>
      <w:r w:rsidRPr="00C34031">
        <w:rPr>
          <w:noProof/>
        </w:rPr>
        <w:tab/>
        <w:t>Aby bylo zajištěno, že definice dovozce zahrnuje všechny příslušné celní režimy, je nutné ji změnit tak, aby zahrnovala případ zjednodušeného celního režimu, kdy se předkládá pouze vyúčtování režimu podle čl. 175 odst. 5 nařízení Komise v přenesené pravomoci (EU) 2015/2446</w:t>
      </w:r>
      <w:r w:rsidR="00BA78D2" w:rsidRPr="00C34031">
        <w:rPr>
          <w:rStyle w:val="FootnoteReference"/>
          <w:noProof/>
        </w:rPr>
        <w:footnoteReference w:id="17"/>
      </w:r>
      <w:r w:rsidRPr="00C34031">
        <w:rPr>
          <w:noProof/>
        </w:rPr>
        <w:t>.</w:t>
      </w:r>
    </w:p>
    <w:p w14:paraId="60F88FC4" w14:textId="77777777" w:rsidR="0079054A" w:rsidRPr="00C34031" w:rsidRDefault="0074784E" w:rsidP="0074784E">
      <w:pPr>
        <w:pStyle w:val="ManualConsidrant"/>
        <w:rPr>
          <w:noProof/>
        </w:rPr>
      </w:pPr>
      <w:r w:rsidRPr="00C34031">
        <w:rPr>
          <w:noProof/>
        </w:rPr>
        <w:t>(10)</w:t>
      </w:r>
      <w:r w:rsidRPr="00C34031">
        <w:rPr>
          <w:noProof/>
        </w:rPr>
        <w:tab/>
        <w:t>Aby se dosáhlo rovnováhy mezi účinností povolovacího postupu a rizikovým profilem žadatelů, měl by být konzultační postup pro příslušný orgán nepovinný. Konzultační postup by měl příslušnému orgánu umožnit konzultace s dalšími příslušnými orgány a Komisí, pokud to považuje za nezbytné na základě informací předložených žadatelem a celních informací zpřístupněných v rejstříku CBAM.</w:t>
      </w:r>
    </w:p>
    <w:p w14:paraId="3AB049CA" w14:textId="77777777" w:rsidR="00C430B6" w:rsidRPr="00C34031" w:rsidRDefault="0074784E" w:rsidP="0074784E">
      <w:pPr>
        <w:pStyle w:val="ManualConsidrant"/>
        <w:rPr>
          <w:noProof/>
        </w:rPr>
      </w:pPr>
      <w:r w:rsidRPr="00C34031">
        <w:rPr>
          <w:noProof/>
        </w:rPr>
        <w:t>(11)</w:t>
      </w:r>
      <w:r w:rsidRPr="00C34031">
        <w:rPr>
          <w:noProof/>
        </w:rPr>
        <w:tab/>
        <w:t>Aby byla zajištěna dodatečná flexibilita, měli by mít schválení deklaranti pro CBAM možnost pověřit podáváním prohlášení CBAM třetí osobu. Za podání prohlášení CBAM by měl i nadále nést odpovědnost schválený deklarant pro CBAM. Aby mohla tato třetí strana poskytnout požadované pověření a přístup, musí splňovat určité technické podmínky, včetně toho, že je držitelem registračního a identifikačního čísla hospodářských subjektů (EORI) a že je usazena v členském státě.</w:t>
      </w:r>
    </w:p>
    <w:p w14:paraId="180BA054" w14:textId="77777777" w:rsidR="00C430B6" w:rsidRPr="00C34031" w:rsidRDefault="0074784E" w:rsidP="0074784E">
      <w:pPr>
        <w:pStyle w:val="ManualConsidrant"/>
        <w:rPr>
          <w:noProof/>
        </w:rPr>
      </w:pPr>
      <w:r w:rsidRPr="00C34031">
        <w:rPr>
          <w:noProof/>
        </w:rPr>
        <w:t>(12)</w:t>
      </w:r>
      <w:r w:rsidRPr="00C34031">
        <w:rPr>
          <w:noProof/>
        </w:rPr>
        <w:tab/>
        <w:t xml:space="preserve">Schválení deklaranti pro CBAM jsou povinni podat své roční prohlášení CBAM a vyřadit odpovídající počet certifikátů do 31. května roku následujícího po roce dovozu. S cílem poskytnout schváleným deklarantům pro CBAM flexibilitu při plnění jejich povinností by pozdější datum podání poskytlo schváleným deklarantům pro CBAM více času na shromáždění nezbytných informací, zajištění ověření obsažených emisí akreditovaným ověřovatelem a zakoupení odpovídajícího počtu certifikátů CBAM. Datum zrušení certifikátů CBAM by mělo být odpovídajícím způsobem upraveno. </w:t>
      </w:r>
    </w:p>
    <w:p w14:paraId="1112771B" w14:textId="77777777" w:rsidR="0079054A" w:rsidRPr="00C34031" w:rsidRDefault="0074784E" w:rsidP="0074784E">
      <w:pPr>
        <w:pStyle w:val="ManualConsidrant"/>
        <w:rPr>
          <w:noProof/>
        </w:rPr>
      </w:pPr>
      <w:r w:rsidRPr="00C34031">
        <w:rPr>
          <w:noProof/>
        </w:rPr>
        <w:t>(13)</w:t>
      </w:r>
      <w:r w:rsidRPr="00C34031">
        <w:rPr>
          <w:noProof/>
        </w:rPr>
        <w:tab/>
        <w:t>Emise obsažené v některých výrobcích z hliníku a oceli, které jsou v současnosti zahrnuty do oblasti působnosti CBAM, jsou dány především emisemi obsaženými ve vstupních materiálech (prekurzorech), zatímco emise vznikající během fází výroby tohoto zboží jsou obvykle poměrně nízké. Sestávají z dokončovacích procesů, které jsou prováděny samostatnými zařízeními, na něž se nevztahuje systém EU pro obchodování s emisemi („EU ETS“), jak je stanoveno ve směrnici Evropského parlamentu a Rady 2003/87/ES</w:t>
      </w:r>
      <w:r w:rsidR="00A3576B" w:rsidRPr="00C34031">
        <w:rPr>
          <w:rStyle w:val="FootnoteReference"/>
          <w:noProof/>
        </w:rPr>
        <w:footnoteReference w:id="18"/>
      </w:r>
      <w:r w:rsidRPr="00C34031">
        <w:rPr>
          <w:noProof/>
        </w:rPr>
        <w:t>, s výjimkou integrovaných zařízení. Emise obsažené v těchto výrobních procesech by měly být vyloučeny z  systémových hranic výpočtu emisí.</w:t>
      </w:r>
    </w:p>
    <w:p w14:paraId="0C701051" w14:textId="77777777" w:rsidR="0079054A" w:rsidRPr="00C34031" w:rsidRDefault="0074784E" w:rsidP="0074784E">
      <w:pPr>
        <w:pStyle w:val="ManualConsidrant"/>
        <w:rPr>
          <w:noProof/>
        </w:rPr>
      </w:pPr>
      <w:r w:rsidRPr="00C34031">
        <w:rPr>
          <w:noProof/>
        </w:rPr>
        <w:t>(14)</w:t>
      </w:r>
      <w:r w:rsidRPr="00C34031">
        <w:rPr>
          <w:noProof/>
        </w:rPr>
        <w:tab/>
        <w:t>Pokud se na vstupní materiály (prekurzory) již vztahuje systém EU ETS nebo systém stanovování cen uhlíku, který je plně propojen se systémem EU ETS, neměly by se emise obsažené v těchto prekurzorech započítávat do výpočtu emisí obsažených ve složeném zboží.</w:t>
      </w:r>
    </w:p>
    <w:p w14:paraId="422EAE2B" w14:textId="77777777" w:rsidR="0079054A" w:rsidRPr="00C34031" w:rsidRDefault="0074784E" w:rsidP="0074784E">
      <w:pPr>
        <w:pStyle w:val="ManualConsidrant"/>
        <w:rPr>
          <w:noProof/>
        </w:rPr>
      </w:pPr>
      <w:r w:rsidRPr="00C34031">
        <w:rPr>
          <w:noProof/>
        </w:rPr>
        <w:t>(15)</w:t>
      </w:r>
      <w:r w:rsidRPr="00C34031">
        <w:rPr>
          <w:noProof/>
        </w:rPr>
        <w:tab/>
        <w:t>Schválení deklaranti pro CBAM jsou povinni podávat roční prohlášení CBAM obsahující výpočet obsažených emisí buď na základě standardních hodnot, nebo skutečných hodnot ověřených akreditovanými ověřovateli. Standardní hodnoty vypočítá a zpřístupní Komise. Ověřování obsažených emisí by se proto mělo vztahovat pouze na skutečné hodnoty.</w:t>
      </w:r>
    </w:p>
    <w:p w14:paraId="13DC910C" w14:textId="77777777" w:rsidR="0079054A" w:rsidRPr="00C34031" w:rsidRDefault="0074784E" w:rsidP="0074784E">
      <w:pPr>
        <w:pStyle w:val="ManualConsidrant"/>
        <w:rPr>
          <w:noProof/>
        </w:rPr>
      </w:pPr>
      <w:r w:rsidRPr="00C34031">
        <w:rPr>
          <w:noProof/>
        </w:rPr>
        <w:t>(16)</w:t>
      </w:r>
      <w:r w:rsidRPr="00C34031">
        <w:rPr>
          <w:noProof/>
        </w:rPr>
        <w:tab/>
        <w:t>Informace shromážděné během přechodného období ukazují na obtíže oznamujících deklarantů při získávání požadovaných informací o ceně uhlíku skutečně zaplacené ve třetí zemi. Aby se usnadnil odpočet ceny uhlíku, měla by Komise pokud možno stanovit roční průměrnou cenu uhlíku vyjádřenou v EUR/tunu CO</w:t>
      </w:r>
      <w:r w:rsidRPr="00C34031">
        <w:rPr>
          <w:noProof/>
          <w:vertAlign w:val="subscript"/>
        </w:rPr>
        <w:t>2</w:t>
      </w:r>
      <w:r w:rsidRPr="00C34031">
        <w:rPr>
          <w:noProof/>
        </w:rPr>
        <w:t xml:space="preserve"> ekv. skutečné zaplacené ceny uhlíku, a to na základě nejlepších dostupných údajů ze spolehlivých, veřejně dostupných informací a informací poskytnutých třetími zeměmi, a to i na konzervativním základě. </w:t>
      </w:r>
    </w:p>
    <w:p w14:paraId="0FB542A4" w14:textId="77777777" w:rsidR="0079054A" w:rsidRPr="00C34031" w:rsidRDefault="0074784E" w:rsidP="0074784E">
      <w:pPr>
        <w:pStyle w:val="ManualConsidrant"/>
        <w:rPr>
          <w:noProof/>
        </w:rPr>
      </w:pPr>
      <w:r w:rsidRPr="00C34031">
        <w:rPr>
          <w:noProof/>
        </w:rPr>
        <w:t>(17)</w:t>
      </w:r>
      <w:r w:rsidRPr="00C34031">
        <w:rPr>
          <w:noProof/>
        </w:rPr>
        <w:tab/>
        <w:t>Schválení deklaranti pro CBAM mohou požadovat, aby byl počet certifikátů CBAM, které jsou povinni vyřadit, snížen tak, aby to odpovídalo ceně uhlíku, která byla za obsažené emise skutečně zaplacena v zemi původu. Vzhledem k tomu, že cena uhlíku může být zaplacena v jiné třetí zemi, než je země původu dováženého zboží, měla by být tato cena uhlíku rovněž způsobilá pro odpočet.</w:t>
      </w:r>
    </w:p>
    <w:p w14:paraId="37CA59C8" w14:textId="77777777" w:rsidR="0079054A" w:rsidRPr="00C34031" w:rsidRDefault="0074784E" w:rsidP="0074784E">
      <w:pPr>
        <w:pStyle w:val="ManualConsidrant"/>
        <w:rPr>
          <w:noProof/>
        </w:rPr>
      </w:pPr>
      <w:r w:rsidRPr="00C34031">
        <w:rPr>
          <w:noProof/>
        </w:rPr>
        <w:t>(18)</w:t>
      </w:r>
      <w:r w:rsidRPr="00C34031">
        <w:rPr>
          <w:noProof/>
        </w:rPr>
        <w:tab/>
        <w:t>Aby se zlepšila spolehlivost údajů o emisích obsažených v rejstříku CBAM a usnadnilo se předkládání údajů, měli by mít akreditovaní ověřovatelé na žádost provozovatele ve třetích zemích umožněn přístup do rejstříku CBAM za účelem ověření obsažených emisí. Kromě toho by mateřské společnosti nebo podniky ve spojení s těmito provozovateli měly mít přístup do rejstříku CBAM za účelem registrace a sdílení příslušných údajů jménem kontrolovaného provozovatele. Provozovatelé by měli být povinni uvést registrační číslo společnosti nebo činnosti, aby byla zajištěna jejich identifikace.</w:t>
      </w:r>
    </w:p>
    <w:p w14:paraId="68E31D14" w14:textId="77777777" w:rsidR="0079054A" w:rsidRPr="00C34031" w:rsidRDefault="0074784E" w:rsidP="0074784E">
      <w:pPr>
        <w:pStyle w:val="ManualConsidrant"/>
        <w:rPr>
          <w:noProof/>
        </w:rPr>
      </w:pPr>
      <w:r w:rsidRPr="00C34031">
        <w:rPr>
          <w:noProof/>
        </w:rPr>
        <w:t>(19)</w:t>
      </w:r>
      <w:r w:rsidRPr="00C34031">
        <w:rPr>
          <w:noProof/>
        </w:rPr>
        <w:tab/>
        <w:t xml:space="preserve">Za účelem podpory provádění nařízení (EU) 2023/956 na vnitrostátní úrovni by členské státy měly zajistit, aby příslušné orgány měly nezbytné pravomoci k plnění svých povinností. </w:t>
      </w:r>
    </w:p>
    <w:p w14:paraId="6BDF76C8" w14:textId="77777777" w:rsidR="0079054A" w:rsidRPr="00C34031" w:rsidRDefault="0074784E" w:rsidP="0074784E">
      <w:pPr>
        <w:pStyle w:val="ManualConsidrant"/>
        <w:rPr>
          <w:noProof/>
        </w:rPr>
      </w:pPr>
      <w:r w:rsidRPr="00C34031">
        <w:rPr>
          <w:noProof/>
        </w:rPr>
        <w:t>(20)</w:t>
      </w:r>
      <w:r w:rsidRPr="00C34031">
        <w:rPr>
          <w:noProof/>
        </w:rPr>
        <w:tab/>
        <w:t>Aby měli schválení deklaranti pro CBAM dostatek času připravit se na splnění pozměněných povinností podle nařízení (EU) 2023/956, měly by členské státy v roce 2027 zahájit prodej certifikátů CBAM pro emise obsažené ve zboží dovezeném v roce 2026. Cena certifikátů CBAM zakoupených v roce 2027 a odpovídajících emisím obsaženým ve zboží dovezeném do EU v roce 2026 by měla odrážet ceny povolenek EU ETS v roce 2026.</w:t>
      </w:r>
    </w:p>
    <w:p w14:paraId="76DCD3C9" w14:textId="77777777" w:rsidR="0079054A" w:rsidRPr="00C34031" w:rsidRDefault="0074784E" w:rsidP="0074784E">
      <w:pPr>
        <w:pStyle w:val="ManualConsidrant"/>
        <w:rPr>
          <w:noProof/>
        </w:rPr>
      </w:pPr>
      <w:r w:rsidRPr="00C34031">
        <w:rPr>
          <w:noProof/>
        </w:rPr>
        <w:t>(21)</w:t>
      </w:r>
      <w:r w:rsidRPr="00C34031">
        <w:rPr>
          <w:noProof/>
        </w:rPr>
        <w:tab/>
        <w:t>Povinnost schválených deklarantů pro CBAM zajistit, aby počet certifikátů CBAM na jejich účtu v rejstříku CBAM na konci každého čtvrtletí odpovídal alespoň 80 % emisí obsažených ve zboží, které dovezli od začátku roku, není dostatečně přizpůsobena očekávanému finančnímu vyrovnání. Je proto nezbytné snížit poměr z 80 % na 50 % a začlenit přidělování bezplatných povolenek v rámci systému EU ETS. Kromě toho by měl mít schválený deklarant pro CBAM možnost spolehnout se na informace předložené v prohlášení CBAM v předchozím roce pro stejné zboží a třetí země.</w:t>
      </w:r>
    </w:p>
    <w:p w14:paraId="10B5AD0D" w14:textId="77777777" w:rsidR="0079054A" w:rsidRPr="00C34031" w:rsidRDefault="0074784E" w:rsidP="0074784E">
      <w:pPr>
        <w:pStyle w:val="ManualConsidrant"/>
        <w:rPr>
          <w:noProof/>
        </w:rPr>
      </w:pPr>
      <w:r w:rsidRPr="00C34031">
        <w:rPr>
          <w:noProof/>
        </w:rPr>
        <w:t>(22)</w:t>
      </w:r>
      <w:r w:rsidRPr="00C34031">
        <w:rPr>
          <w:noProof/>
        </w:rPr>
        <w:tab/>
        <w:t>Omezení zpětného odkupu by mělo být rovněž přesněji sladěno s počtem certifikátů CBAM, které musí schválení deklaranti pro CBAM zakoupit během roku dovozu.</w:t>
      </w:r>
    </w:p>
    <w:p w14:paraId="24BC75E9" w14:textId="77777777" w:rsidR="0079054A" w:rsidRPr="00C34031" w:rsidRDefault="0074784E" w:rsidP="0074784E">
      <w:pPr>
        <w:pStyle w:val="ManualConsidrant"/>
        <w:rPr>
          <w:noProof/>
        </w:rPr>
      </w:pPr>
      <w:r w:rsidRPr="00C34031">
        <w:rPr>
          <w:noProof/>
        </w:rPr>
        <w:t>(23)</w:t>
      </w:r>
      <w:r w:rsidRPr="00C34031">
        <w:rPr>
          <w:noProof/>
        </w:rPr>
        <w:tab/>
        <w:t xml:space="preserve">Vzhledem k tomu, že certifikáty CBAM jsou zrušeny bez náhrady, není na konci pracovního dne nutná výměna informací ze společné centrální platformy do rejstříku CBAM.  </w:t>
      </w:r>
    </w:p>
    <w:p w14:paraId="6D04293C" w14:textId="77777777" w:rsidR="0079054A" w:rsidRPr="00C34031" w:rsidRDefault="0074784E" w:rsidP="0074784E">
      <w:pPr>
        <w:pStyle w:val="ManualConsidrant"/>
        <w:rPr>
          <w:noProof/>
        </w:rPr>
      </w:pPr>
      <w:r w:rsidRPr="00C34031">
        <w:rPr>
          <w:noProof/>
        </w:rPr>
        <w:t>(24)</w:t>
      </w:r>
      <w:r w:rsidRPr="00C34031">
        <w:rPr>
          <w:noProof/>
        </w:rPr>
        <w:tab/>
        <w:t>Příslušné orgány by při uplatňování sankcí měly mít možnost zohlednit konkrétní okolnosti, jako je úmyslné nebo nedbalostní jednání deklaranta. To by umožnilo snížit výši pokuty v případě nevýznamných nebo neúmyslných chyb.</w:t>
      </w:r>
    </w:p>
    <w:p w14:paraId="53AEC879" w14:textId="77777777" w:rsidR="0079054A" w:rsidRPr="00C34031" w:rsidRDefault="0074784E" w:rsidP="0074784E">
      <w:pPr>
        <w:pStyle w:val="ManualConsidrant"/>
        <w:rPr>
          <w:noProof/>
        </w:rPr>
      </w:pPr>
      <w:r w:rsidRPr="00C34031">
        <w:rPr>
          <w:noProof/>
        </w:rPr>
        <w:t>(25)</w:t>
      </w:r>
      <w:r w:rsidRPr="00C34031">
        <w:rPr>
          <w:noProof/>
        </w:rPr>
        <w:tab/>
        <w:t>CBAM se vztahuje na určité uhlíkově náročné zboží dovážené do Unie. Seznam zboží podléhajícího CBAM v příloze I nařízení (EU) 2023/956 zahrnuje „[j]iné kaolinitické jíly“ v seznamu cementářského zboží. Zatímco kalcinované kaolinitické jíly jsou uhlíkově náročné výrobky, u nekalcinovaných kaolinitických jílů tomu tak není. Nekalcinované kaolinitické jíly by proto měly být z oblasti působnosti CBAM vyloučeny.</w:t>
      </w:r>
    </w:p>
    <w:p w14:paraId="734DB686" w14:textId="77777777" w:rsidR="0079054A" w:rsidRPr="00C34031" w:rsidRDefault="0074784E" w:rsidP="0074784E">
      <w:pPr>
        <w:pStyle w:val="ManualConsidrant"/>
        <w:rPr>
          <w:noProof/>
        </w:rPr>
      </w:pPr>
      <w:r w:rsidRPr="00C34031">
        <w:rPr>
          <w:noProof/>
        </w:rPr>
        <w:t>(26)</w:t>
      </w:r>
      <w:r w:rsidRPr="00C34031">
        <w:rPr>
          <w:noProof/>
        </w:rPr>
        <w:tab/>
        <w:t xml:space="preserve">Příloha II nařízení (EU) 2023/956 uvádí seznam zboží, u něhož by se při výpočtu obsažených emisí měly zohledňovat pouze přímé emise. U zboží, které v této příloze není uvedeno, by měly být zohledněny přímé i nepřímé emise. Vzhledem k tomu, že nepřímé emise nejsou v případě výroby elektřiny relevantní, měla by být elektřina doplněna na seznam zboží v této příloze. </w:t>
      </w:r>
    </w:p>
    <w:p w14:paraId="07603A74" w14:textId="77777777" w:rsidR="00C430B6" w:rsidRPr="00C34031" w:rsidRDefault="0074784E" w:rsidP="0074784E">
      <w:pPr>
        <w:pStyle w:val="ManualConsidrant"/>
        <w:rPr>
          <w:noProof/>
        </w:rPr>
      </w:pPr>
      <w:r w:rsidRPr="00C34031">
        <w:rPr>
          <w:noProof/>
        </w:rPr>
        <w:t>(27)</w:t>
      </w:r>
      <w:r w:rsidRPr="00C34031">
        <w:rPr>
          <w:noProof/>
        </w:rPr>
        <w:tab/>
        <w:t xml:space="preserve">Je rovněž nezbytné zjednodušit způsoby stanovení standardních hodnot v případech, kdy pro určitý druh zboží nejsou k dispozici spolehlivé údaje pro vyvážející zemi. V těchto případech by měla být standardní hodnota v zájmu zabránění úniku uhlíku stanovena na úrovni průměrné intenzity emisí deseti vyvážejících zemí s nejvyšší intenzitou emisí, pro které jsou k dispozici spolehlivé údaje, což je vhodný průměr pro zajištění environmentálního cíle CBAM. Tím není dotčena možnost upravit tyto standardní hodnoty na základě charakteristik specifických pro daný region podle bodu 7 přílohy IV CBAM. </w:t>
      </w:r>
    </w:p>
    <w:p w14:paraId="11AF2CB7" w14:textId="77777777" w:rsidR="00437EB7" w:rsidRPr="00C34031" w:rsidRDefault="0074784E" w:rsidP="0074784E">
      <w:pPr>
        <w:pStyle w:val="ManualConsidrant"/>
        <w:rPr>
          <w:noProof/>
          <w:color w:val="000000" w:themeColor="text1"/>
        </w:rPr>
      </w:pPr>
      <w:r w:rsidRPr="00C34031">
        <w:rPr>
          <w:noProof/>
        </w:rPr>
        <w:t>(28)</w:t>
      </w:r>
      <w:r w:rsidRPr="00C34031">
        <w:rPr>
          <w:noProof/>
        </w:rPr>
        <w:tab/>
        <w:t>Za účelem změny jiných než podstatných prvků nařízení (EU) 2023/956 by měla být na Komisi přenesena pravomoc přijímat akty v souladu s článkem 290 Smlouvy o fungování Evropské unie, pokud jde o změnu prahové hodnoty v příloze VII uvedeného nařízení, jak je stanoveno v souladu s čl. 2 odst. 3a uvedeného nařízení. Je obzvláště důležité, aby Komise v rámci přípravné činnosti vedla odpovídající konzultace, a to i na odborné úrovni, a aby tyto konzultace probíhaly v souladu se zásadami stanovenými v interinstitucionální dohodě ze dne 13. dubna 2016 o zdokonalení tvorby právních předpisů*. Pro zajištění rovné účasti na vypracovávání aktů v přenesené pravomoci obdrží Evropský parlament a Rada veškeré dokumenty současně s odborníky z členských států a jejich odborníci mají automaticky přístup na zasedání expertních skupin Komise, jež se věnují přípravě aktů v přenesené pravomoci.</w:t>
      </w:r>
    </w:p>
    <w:p w14:paraId="08532148" w14:textId="77777777" w:rsidR="00BB469E" w:rsidRPr="00C34031" w:rsidRDefault="00BB469E" w:rsidP="005E4844">
      <w:pPr>
        <w:pStyle w:val="Text1"/>
        <w:rPr>
          <w:noProof/>
          <w:vertAlign w:val="superscript"/>
        </w:rPr>
      </w:pPr>
      <w:r w:rsidRPr="00C34031">
        <w:rPr>
          <w:noProof/>
          <w:vertAlign w:val="superscript"/>
        </w:rPr>
        <w:t>* Interinstitucionální dohoda mezi Evropským parlamentem, Radou Evropské unie a Evropskou komisí o zdokonalení tvorby právních předpisů, interinstitucionální dohoda ze dne 13. dubna 2016 o zdokonalení tvorby právních předpisů (Úř. věst. L 123, 12.5.2016, s. 1, ELI: </w:t>
      </w:r>
      <w:hyperlink r:id="rId19" w:history="1">
        <w:r w:rsidRPr="00C34031">
          <w:rPr>
            <w:rStyle w:val="Hyperlink"/>
            <w:noProof/>
          </w:rPr>
          <w:t>http://data.europa.eu/eli/agree_interinstit/2016/512/oj</w:t>
        </w:r>
      </w:hyperlink>
      <w:r w:rsidRPr="00C34031">
        <w:rPr>
          <w:noProof/>
          <w:vertAlign w:val="superscript"/>
        </w:rPr>
        <w:t>).</w:t>
      </w:r>
    </w:p>
    <w:p w14:paraId="78306E7E" w14:textId="77777777" w:rsidR="0079054A" w:rsidRPr="00C34031" w:rsidRDefault="0074784E" w:rsidP="0074784E">
      <w:pPr>
        <w:pStyle w:val="ManualConsidrant"/>
        <w:rPr>
          <w:noProof/>
        </w:rPr>
      </w:pPr>
      <w:r w:rsidRPr="00C34031">
        <w:rPr>
          <w:noProof/>
        </w:rPr>
        <w:t>(29)</w:t>
      </w:r>
      <w:r w:rsidRPr="00C34031">
        <w:rPr>
          <w:noProof/>
        </w:rPr>
        <w:tab/>
        <w:t>Jelikož cílů tohoto nařízení nemůže být uspokojivě dosaženo členskými státy, totiž zjednodušením některých povinností a posílením mechanismu, který Unie přijala s cílem zabránit riziku úniku uhlíku, a tím snížit celosvětové emise uhlíku, ale spíše jich, vzhledem k rozsahu a účinkům této směrnice, může být lépe dosaženo na úrovni Unie, může Unie přijmout opatření v souladu se zásadou subsidiarity stanovenou v článku 5 Smlouvy o Evropské unii. V souladu se zásadou proporcionality stanovenou v uvedeném článku nepřekračuje toto nařízení rámec toho, co je nezbytné pro dosažení těchto cílů.</w:t>
      </w:r>
    </w:p>
    <w:p w14:paraId="750BBF79" w14:textId="77777777" w:rsidR="00D10628" w:rsidRPr="00C34031" w:rsidRDefault="0074784E" w:rsidP="0074784E">
      <w:pPr>
        <w:pStyle w:val="ManualConsidrant"/>
        <w:rPr>
          <w:noProof/>
        </w:rPr>
      </w:pPr>
      <w:r w:rsidRPr="00C34031">
        <w:rPr>
          <w:noProof/>
        </w:rPr>
        <w:t>(30)</w:t>
      </w:r>
      <w:r w:rsidRPr="00C34031">
        <w:rPr>
          <w:noProof/>
        </w:rPr>
        <w:tab/>
        <w:t>Nařízení (EU) 2023/956 by proto mělo být odpovídajícím způsobem změněno,</w:t>
      </w:r>
    </w:p>
    <w:p w14:paraId="5EBD6DC8" w14:textId="77777777" w:rsidR="00FA5543" w:rsidRPr="00C34031" w:rsidRDefault="00FA5543" w:rsidP="00390489">
      <w:pPr>
        <w:pStyle w:val="Formuledadoption"/>
        <w:rPr>
          <w:noProof/>
        </w:rPr>
      </w:pPr>
      <w:r w:rsidRPr="00C34031">
        <w:rPr>
          <w:noProof/>
        </w:rPr>
        <w:t>PŘIJALY TOTO NAŘÍZENÍ:</w:t>
      </w:r>
    </w:p>
    <w:p w14:paraId="24296FFE" w14:textId="77777777" w:rsidR="00FA5543" w:rsidRPr="00C34031" w:rsidRDefault="00FA5543" w:rsidP="00390489">
      <w:pPr>
        <w:pStyle w:val="Titrearticle"/>
        <w:rPr>
          <w:noProof/>
        </w:rPr>
      </w:pPr>
      <w:r w:rsidRPr="00C34031">
        <w:rPr>
          <w:noProof/>
        </w:rPr>
        <w:t>Článek 1</w:t>
      </w:r>
    </w:p>
    <w:p w14:paraId="64BA310C" w14:textId="77777777" w:rsidR="00A33883" w:rsidRPr="00C34031" w:rsidRDefault="00A33883" w:rsidP="00A33883">
      <w:pPr>
        <w:pStyle w:val="Titrearticle"/>
        <w:rPr>
          <w:b/>
          <w:bCs/>
          <w:i w:val="0"/>
          <w:iCs/>
          <w:noProof/>
        </w:rPr>
      </w:pPr>
      <w:r w:rsidRPr="00C34031">
        <w:rPr>
          <w:b/>
          <w:i w:val="0"/>
          <w:noProof/>
        </w:rPr>
        <w:t>Změny nařízení (EU) 2023/956</w:t>
      </w:r>
    </w:p>
    <w:p w14:paraId="55F88807" w14:textId="77777777" w:rsidR="00A33883" w:rsidRPr="00C34031" w:rsidRDefault="00A33883" w:rsidP="00741D62">
      <w:pPr>
        <w:rPr>
          <w:noProof/>
          <w:color w:val="000000" w:themeColor="text1"/>
        </w:rPr>
      </w:pPr>
      <w:r w:rsidRPr="00C34031">
        <w:rPr>
          <w:noProof/>
          <w:color w:val="000000" w:themeColor="text1"/>
        </w:rPr>
        <w:t>Nařízení (EU) 2023/956 se mění takto: </w:t>
      </w:r>
    </w:p>
    <w:p w14:paraId="3A87593F" w14:textId="77777777" w:rsidR="00741D62" w:rsidRPr="00C34031" w:rsidRDefault="0074784E" w:rsidP="0074784E">
      <w:pPr>
        <w:pStyle w:val="Point0"/>
        <w:rPr>
          <w:noProof/>
        </w:rPr>
      </w:pPr>
      <w:r w:rsidRPr="00C34031">
        <w:rPr>
          <w:noProof/>
        </w:rPr>
        <w:t>1)</w:t>
      </w:r>
      <w:r w:rsidRPr="00C34031">
        <w:rPr>
          <w:noProof/>
        </w:rPr>
        <w:tab/>
        <w:t>Článek 2 se mění takto: </w:t>
      </w:r>
    </w:p>
    <w:p w14:paraId="7577A485" w14:textId="77777777" w:rsidR="00741D62" w:rsidRPr="00C34031" w:rsidRDefault="0074784E" w:rsidP="0074784E">
      <w:pPr>
        <w:pStyle w:val="Point1"/>
        <w:rPr>
          <w:noProof/>
        </w:rPr>
      </w:pPr>
      <w:r w:rsidRPr="00C34031">
        <w:rPr>
          <w:noProof/>
        </w:rPr>
        <w:t>a)</w:t>
      </w:r>
      <w:r w:rsidRPr="00C34031">
        <w:rPr>
          <w:noProof/>
        </w:rPr>
        <w:tab/>
        <w:t>odstavec 3 se nahrazuje tímto:  </w:t>
      </w:r>
    </w:p>
    <w:p w14:paraId="09EF6BF8" w14:textId="77777777" w:rsidR="00514E43" w:rsidRPr="00C34031" w:rsidRDefault="00741D62" w:rsidP="00741D62">
      <w:pPr>
        <w:ind w:left="850"/>
        <w:rPr>
          <w:noProof/>
        </w:rPr>
      </w:pPr>
      <w:r w:rsidRPr="00C34031">
        <w:rPr>
          <w:noProof/>
        </w:rPr>
        <w:t>„3. Odchylně od odstavců 1 a 2 se toto nařízení nevztahuje na zboží, které má být přepraveno nebo použito v souvislosti s vojenskými činnostmi podle čl. 1 bodu 49 nařízení Komise v přenesené pravomoci (EU) 2015/2446*.</w:t>
      </w:r>
    </w:p>
    <w:p w14:paraId="410DC111" w14:textId="77777777" w:rsidR="00741D62" w:rsidRPr="00C34031" w:rsidRDefault="00FD3F83" w:rsidP="00741D62">
      <w:pPr>
        <w:ind w:left="850"/>
        <w:rPr>
          <w:noProof/>
        </w:rPr>
      </w:pPr>
      <w:r w:rsidRPr="00C34031">
        <w:rPr>
          <w:noProof/>
          <w:vertAlign w:val="superscript"/>
        </w:rPr>
        <w:t xml:space="preserve">* Nařízení Komise v přenesené pravomoci (EU) 2015/2446 ze dne 28. července 2015, kterým se doplňuje nařízení Evropského parlamentu a Rady (EU) č. 952/2013, pokud jde o podrobná pravidla k některým ustanovením celního kodexu Unie (Úř. věst. L 343, 29.12.2015, s. 1, ELI: </w:t>
      </w:r>
      <w:hyperlink r:id="rId20" w:history="1">
        <w:r w:rsidRPr="00C34031">
          <w:rPr>
            <w:rStyle w:val="Hyperlink"/>
            <w:noProof/>
            <w:vertAlign w:val="superscript"/>
          </w:rPr>
          <w:t>http://data.europa.eu/eli/reg_del/2015/2446/oj</w:t>
        </w:r>
      </w:hyperlink>
      <w:r w:rsidRPr="00C34031">
        <w:rPr>
          <w:noProof/>
          <w:vertAlign w:val="superscript"/>
        </w:rPr>
        <w:t>).</w:t>
      </w:r>
      <w:r w:rsidRPr="00C34031">
        <w:rPr>
          <w:noProof/>
        </w:rPr>
        <w:t>“;  </w:t>
      </w:r>
    </w:p>
    <w:p w14:paraId="47B476F4" w14:textId="77777777" w:rsidR="00294345" w:rsidRPr="00C34031" w:rsidRDefault="0074784E" w:rsidP="0074784E">
      <w:pPr>
        <w:pStyle w:val="Point1"/>
        <w:rPr>
          <w:noProof/>
        </w:rPr>
      </w:pPr>
      <w:r w:rsidRPr="00C34031">
        <w:rPr>
          <w:noProof/>
        </w:rPr>
        <w:t>b)</w:t>
      </w:r>
      <w:r w:rsidRPr="00C34031">
        <w:rPr>
          <w:noProof/>
        </w:rPr>
        <w:tab/>
        <w:t xml:space="preserve">vkládá se nový odstavec 3a, který zní: </w:t>
      </w:r>
    </w:p>
    <w:p w14:paraId="714436F2" w14:textId="77777777" w:rsidR="00C6591F" w:rsidRPr="00C34031" w:rsidRDefault="00741D62" w:rsidP="00C6591F">
      <w:pPr>
        <w:ind w:left="850"/>
        <w:rPr>
          <w:noProof/>
          <w:szCs w:val="24"/>
        </w:rPr>
      </w:pPr>
      <w:r w:rsidRPr="00C34031">
        <w:rPr>
          <w:noProof/>
        </w:rPr>
        <w:t>„3a. Odchylně od odstavců 1 a 2 jsou dovozci, včetně schválených deklarantů pro CBAM, osvobozeni od povinností podle tohoto nařízení, pokud zboží uvedené v příloze I, s výjimkou elektřiny a vodíku, nepřekročí kumulativně za kalendářní rok hmotnostní prahovou hodnotu stanovenou v bodě 1 přílohy VII.</w:t>
      </w:r>
    </w:p>
    <w:p w14:paraId="60FCC69E" w14:textId="77777777" w:rsidR="00ED2294" w:rsidRPr="00C34031" w:rsidRDefault="00ED2294" w:rsidP="00C6591F">
      <w:pPr>
        <w:ind w:left="850"/>
        <w:rPr>
          <w:noProof/>
          <w:szCs w:val="24"/>
        </w:rPr>
      </w:pPr>
      <w:r w:rsidRPr="00C34031">
        <w:rPr>
          <w:noProof/>
        </w:rPr>
        <w:t>Prahová hodnota stanovená v bodě 1 přílohy VII zajistí, že se na nejméně 99 % emisí obsažených v dováženém zboží a zušlechtěných výrobcích podle čl. 2 odst. 1 a 2 nevztahuje výjimka uvedená v prvním pododstavci.</w:t>
      </w:r>
    </w:p>
    <w:p w14:paraId="5C5C7A08" w14:textId="77777777" w:rsidR="00741D62" w:rsidRPr="00C34031" w:rsidRDefault="00C6591F" w:rsidP="00C6591F">
      <w:pPr>
        <w:ind w:left="850"/>
        <w:rPr>
          <w:noProof/>
        </w:rPr>
      </w:pPr>
      <w:r w:rsidRPr="00C34031">
        <w:rPr>
          <w:noProof/>
        </w:rPr>
        <w:t xml:space="preserve">Komise je zmocněna přijímat akty v přenesené pravomoci za účelem změny hmotnostní prahové hodnoty stanovené v příloze VII, aby se zohlednila podstatná změna průměrné intenzity emisí zboží použité pro výpočet prahové hodnoty stanovené v bodě 1 přílohy VII nebo významné změny ve struktuře obchodu se zbožím, včetně praktik obcházení této prahové hodnoty podle čl. 27 odst. 2 písm. b).“ </w:t>
      </w:r>
    </w:p>
    <w:p w14:paraId="62C26E8E" w14:textId="77777777" w:rsidR="00741D62" w:rsidRPr="00C34031" w:rsidRDefault="0074784E" w:rsidP="0074784E">
      <w:pPr>
        <w:pStyle w:val="Point0"/>
        <w:rPr>
          <w:noProof/>
        </w:rPr>
      </w:pPr>
      <w:r w:rsidRPr="00C34031">
        <w:rPr>
          <w:noProof/>
        </w:rPr>
        <w:t>2)</w:t>
      </w:r>
      <w:r w:rsidRPr="00C34031">
        <w:rPr>
          <w:noProof/>
        </w:rPr>
        <w:tab/>
        <w:t>Článek 3 se mění takto:</w:t>
      </w:r>
    </w:p>
    <w:p w14:paraId="58181BC5" w14:textId="77777777" w:rsidR="00DB79BE" w:rsidRPr="00C34031" w:rsidRDefault="0074784E" w:rsidP="0074784E">
      <w:pPr>
        <w:pStyle w:val="Point1"/>
        <w:rPr>
          <w:noProof/>
        </w:rPr>
      </w:pPr>
      <w:r w:rsidRPr="00C34031">
        <w:rPr>
          <w:noProof/>
        </w:rPr>
        <w:t>a)</w:t>
      </w:r>
      <w:r w:rsidRPr="00C34031">
        <w:rPr>
          <w:noProof/>
        </w:rPr>
        <w:tab/>
        <w:t xml:space="preserve">bod 15 se nahrazuje tímto: </w:t>
      </w:r>
    </w:p>
    <w:p w14:paraId="2FEE3AC5" w14:textId="77777777" w:rsidR="00425206" w:rsidRPr="00C34031" w:rsidRDefault="00636BCB" w:rsidP="00636BCB">
      <w:pPr>
        <w:ind w:left="850"/>
        <w:rPr>
          <w:noProof/>
        </w:rPr>
      </w:pPr>
      <w:r w:rsidRPr="00C34031">
        <w:rPr>
          <w:noProof/>
        </w:rPr>
        <w:t xml:space="preserve">„15) „dovozcem“ osoba podávající celní prohlášení s návrhem na propuštění zboží do volného oběhu nebo vyúčtování režimu v souladu s čl. 175 odst. 5 nařízení v přenesené pravomoci (EU) 2015/2446 vlastním jménem a na vlastní účet, nebo podává-li celní prohlášení nepřímý celní zástupce v souladu s článkem 18 nařízení (EU) č. 952/2013, osoba, jejímž jménem je toto prohlášení podáno;“ </w:t>
      </w:r>
    </w:p>
    <w:p w14:paraId="6151681D" w14:textId="77777777" w:rsidR="00425A09" w:rsidRPr="00C34031" w:rsidRDefault="0074784E" w:rsidP="0074784E">
      <w:pPr>
        <w:pStyle w:val="Point1"/>
        <w:rPr>
          <w:noProof/>
        </w:rPr>
      </w:pPr>
      <w:r w:rsidRPr="00C34031">
        <w:rPr>
          <w:noProof/>
        </w:rPr>
        <w:t>b)</w:t>
      </w:r>
      <w:r w:rsidRPr="00C34031">
        <w:rPr>
          <w:noProof/>
        </w:rPr>
        <w:tab/>
        <w:t xml:space="preserve">bod 31 se nahrazuje tímto: </w:t>
      </w:r>
    </w:p>
    <w:p w14:paraId="0B14047E" w14:textId="77777777" w:rsidR="00DF5FB5" w:rsidRPr="00C34031" w:rsidRDefault="00600BA4" w:rsidP="00600BA4">
      <w:pPr>
        <w:ind w:left="850"/>
        <w:rPr>
          <w:noProof/>
        </w:rPr>
      </w:pPr>
      <w:r w:rsidRPr="00C34031">
        <w:rPr>
          <w:noProof/>
        </w:rPr>
        <w:t>„31) „provozovatelem“ jakákoli osoba, která provozuje nebo řídí zařízení ve třetí zemi, včetně mateřské společnosti řídící zařízení ve třetí zemi;“.</w:t>
      </w:r>
    </w:p>
    <w:p w14:paraId="19FD1517" w14:textId="77777777" w:rsidR="0094704A" w:rsidRPr="00C34031" w:rsidRDefault="0074784E" w:rsidP="0074784E">
      <w:pPr>
        <w:pStyle w:val="Point0"/>
        <w:rPr>
          <w:noProof/>
        </w:rPr>
      </w:pPr>
      <w:r w:rsidRPr="00C34031">
        <w:rPr>
          <w:noProof/>
        </w:rPr>
        <w:t>3)</w:t>
      </w:r>
      <w:r w:rsidRPr="00C34031">
        <w:rPr>
          <w:noProof/>
        </w:rPr>
        <w:tab/>
        <w:t xml:space="preserve">Článek 5 se mění takto: </w:t>
      </w:r>
    </w:p>
    <w:p w14:paraId="1D1ED97E" w14:textId="77777777" w:rsidR="00277CB6" w:rsidRPr="00C34031" w:rsidRDefault="0074784E" w:rsidP="0074784E">
      <w:pPr>
        <w:pStyle w:val="Point1"/>
        <w:rPr>
          <w:noProof/>
        </w:rPr>
      </w:pPr>
      <w:r w:rsidRPr="00C34031">
        <w:rPr>
          <w:noProof/>
        </w:rPr>
        <w:t>a)</w:t>
      </w:r>
      <w:r w:rsidRPr="00C34031">
        <w:rPr>
          <w:noProof/>
        </w:rPr>
        <w:tab/>
        <w:t xml:space="preserve">odstavec 1 se nahrazuje tímto: </w:t>
      </w:r>
    </w:p>
    <w:p w14:paraId="438A6AD9" w14:textId="77777777" w:rsidR="00454D71" w:rsidRPr="00C34031" w:rsidRDefault="00454D71" w:rsidP="00454D71">
      <w:pPr>
        <w:ind w:left="850"/>
        <w:rPr>
          <w:i/>
          <w:noProof/>
        </w:rPr>
      </w:pPr>
      <w:r w:rsidRPr="00C34031">
        <w:rPr>
          <w:noProof/>
        </w:rPr>
        <w:t xml:space="preserve">„1. Každý dovozce usazený v členském státě požádá před dovozem zboží na celní území Unie o status schváleného deklaranta pro CBAM (dále jen „žádost o povolení“). </w:t>
      </w:r>
    </w:p>
    <w:p w14:paraId="3031E9E3" w14:textId="77777777" w:rsidR="00DF5FB5" w:rsidRPr="00C34031" w:rsidRDefault="00454D71" w:rsidP="00454D71">
      <w:pPr>
        <w:ind w:left="850"/>
        <w:rPr>
          <w:noProof/>
        </w:rPr>
      </w:pPr>
      <w:r w:rsidRPr="00C34031">
        <w:rPr>
          <w:noProof/>
        </w:rPr>
        <w:t xml:space="preserve">Nepřímý celní zástupce podá žádost o povolení, je-li nepřímý celní dovozce zastupován nepřímým celním zástupcem  v souladu s článkem 18 nařízení (EU) č. 952/2013 a souhlasí-li nepřímý celní zástupce s tím, že bude jednat jako schválený deklarant pro CBAM, včetně případů, kdy se na tohoto dovozce vztahuje výjimka podle čl. 2 odst. 3a.“; </w:t>
      </w:r>
    </w:p>
    <w:p w14:paraId="05E68841" w14:textId="77777777" w:rsidR="00E03382" w:rsidRPr="00C34031" w:rsidRDefault="0074784E" w:rsidP="0074784E">
      <w:pPr>
        <w:pStyle w:val="Point1"/>
        <w:rPr>
          <w:noProof/>
        </w:rPr>
      </w:pPr>
      <w:r w:rsidRPr="00C34031">
        <w:rPr>
          <w:noProof/>
        </w:rPr>
        <w:t>b)</w:t>
      </w:r>
      <w:r w:rsidRPr="00C34031">
        <w:rPr>
          <w:noProof/>
        </w:rPr>
        <w:tab/>
        <w:t xml:space="preserve">vkládá se nový odstavec 1a, který zní: </w:t>
      </w:r>
    </w:p>
    <w:p w14:paraId="7805D078" w14:textId="77777777" w:rsidR="001F1E2E" w:rsidRPr="00C34031" w:rsidRDefault="001F1E2E" w:rsidP="001F1E2E">
      <w:pPr>
        <w:ind w:left="850"/>
        <w:rPr>
          <w:noProof/>
        </w:rPr>
      </w:pPr>
      <w:r w:rsidRPr="00C34031">
        <w:rPr>
          <w:noProof/>
        </w:rPr>
        <w:t>„1a. Dovozce podá žádost o povolení v souladu s odstavcem 1, pokud očekává, že překročí prahovou hodnotu stanovenou v bodě 1 přílohy VII.“;</w:t>
      </w:r>
    </w:p>
    <w:p w14:paraId="121B87E7" w14:textId="77777777" w:rsidR="002B145C" w:rsidRPr="00C34031" w:rsidRDefault="0074784E" w:rsidP="0074784E">
      <w:pPr>
        <w:pStyle w:val="Point1"/>
        <w:rPr>
          <w:noProof/>
        </w:rPr>
      </w:pPr>
      <w:r w:rsidRPr="00C34031">
        <w:rPr>
          <w:noProof/>
        </w:rPr>
        <w:t>c)</w:t>
      </w:r>
      <w:r w:rsidRPr="00C34031">
        <w:rPr>
          <w:noProof/>
        </w:rPr>
        <w:tab/>
        <w:t xml:space="preserve">odstavec 2 se nahrazuje tímto: </w:t>
      </w:r>
    </w:p>
    <w:p w14:paraId="45396995" w14:textId="77777777" w:rsidR="00DF5FB5" w:rsidRPr="00C34031" w:rsidRDefault="00EB7AF4" w:rsidP="00EB7AF4">
      <w:pPr>
        <w:ind w:left="850"/>
        <w:rPr>
          <w:noProof/>
        </w:rPr>
      </w:pPr>
      <w:r w:rsidRPr="00C34031">
        <w:rPr>
          <w:noProof/>
        </w:rPr>
        <w:t xml:space="preserve">„2. Pokud dovozce není usazen v členském státě, požádá nepřímý celní zástupce o status schváleného deklaranta pro CBAM, a to i v případě, že se na tohoto dovozce vztahuje výjimka podle čl. 2 odst. 3a.“; </w:t>
      </w:r>
    </w:p>
    <w:p w14:paraId="4694499A" w14:textId="77777777" w:rsidR="000E62BE" w:rsidRPr="00C34031" w:rsidRDefault="0074784E" w:rsidP="0074784E">
      <w:pPr>
        <w:pStyle w:val="Point1"/>
        <w:rPr>
          <w:noProof/>
        </w:rPr>
      </w:pPr>
      <w:r w:rsidRPr="00C34031">
        <w:rPr>
          <w:noProof/>
        </w:rPr>
        <w:t>d)</w:t>
      </w:r>
      <w:r w:rsidRPr="00C34031">
        <w:rPr>
          <w:noProof/>
        </w:rPr>
        <w:tab/>
        <w:t>v odstavci 5 se písmeno g) nahrazuje tímto:</w:t>
      </w:r>
    </w:p>
    <w:p w14:paraId="41D875EE" w14:textId="77777777" w:rsidR="00081E85" w:rsidRPr="00C34031" w:rsidRDefault="00353281" w:rsidP="00353281">
      <w:pPr>
        <w:ind w:left="850"/>
        <w:rPr>
          <w:noProof/>
        </w:rPr>
      </w:pPr>
      <w:r w:rsidRPr="00C34031">
        <w:rPr>
          <w:noProof/>
        </w:rPr>
        <w:t>„g) odhadovaná peněžní hodnota, objem dovozů zboží na celní území Unie podle druhu zboží a informace o členských státech dovozu za kalendářní rok, během něhož se žádost podává, a ve vztahu k následujícímu kalendářnímu roku;“</w:t>
      </w:r>
    </w:p>
    <w:p w14:paraId="28311543" w14:textId="77777777" w:rsidR="00786DE9" w:rsidRPr="00C34031" w:rsidRDefault="0074784E" w:rsidP="0074784E">
      <w:pPr>
        <w:pStyle w:val="Point1"/>
        <w:rPr>
          <w:noProof/>
        </w:rPr>
      </w:pPr>
      <w:r w:rsidRPr="00C34031">
        <w:rPr>
          <w:noProof/>
        </w:rPr>
        <w:t>e)</w:t>
      </w:r>
      <w:r w:rsidRPr="00C34031">
        <w:rPr>
          <w:noProof/>
        </w:rPr>
        <w:tab/>
        <w:t xml:space="preserve">vkládá se nový odstavec 7a, který zní: </w:t>
      </w:r>
    </w:p>
    <w:p w14:paraId="7E097118" w14:textId="77777777" w:rsidR="00081E85" w:rsidRPr="00C34031" w:rsidRDefault="00FC5BD5" w:rsidP="00FC5BD5">
      <w:pPr>
        <w:ind w:left="850"/>
        <w:rPr>
          <w:noProof/>
        </w:rPr>
      </w:pPr>
      <w:r w:rsidRPr="00C34031">
        <w:rPr>
          <w:noProof/>
        </w:rPr>
        <w:t>„7a. Schválený deklarant pro CBAM může pověřit podáváním prohlášení CBAM podle článku 6 osobu jednající jménem a na účet tohoto deklaranta. Schválený deklarant pro CBAM je i nadále odpovědný za plnění povinností stanovených v tomto nařízení pro schválené deklaranty pro CBAM.“</w:t>
      </w:r>
    </w:p>
    <w:p w14:paraId="4B44AA0B" w14:textId="77777777" w:rsidR="00DD6ACA" w:rsidRPr="00C34031" w:rsidRDefault="0074784E" w:rsidP="0074784E">
      <w:pPr>
        <w:pStyle w:val="Point0"/>
        <w:rPr>
          <w:noProof/>
        </w:rPr>
      </w:pPr>
      <w:r w:rsidRPr="00C34031">
        <w:rPr>
          <w:noProof/>
        </w:rPr>
        <w:t>4)</w:t>
      </w:r>
      <w:r w:rsidRPr="00C34031">
        <w:rPr>
          <w:noProof/>
        </w:rPr>
        <w:tab/>
        <w:t xml:space="preserve">Článek 6 se mění takto: </w:t>
      </w:r>
    </w:p>
    <w:p w14:paraId="243C3972" w14:textId="77777777" w:rsidR="000869AC" w:rsidRPr="00C34031" w:rsidRDefault="0074784E" w:rsidP="0074784E">
      <w:pPr>
        <w:pStyle w:val="Point1"/>
        <w:rPr>
          <w:noProof/>
        </w:rPr>
      </w:pPr>
      <w:r w:rsidRPr="00C34031">
        <w:rPr>
          <w:noProof/>
        </w:rPr>
        <w:t>a)</w:t>
      </w:r>
      <w:r w:rsidRPr="00C34031">
        <w:rPr>
          <w:noProof/>
        </w:rPr>
        <w:tab/>
        <w:t xml:space="preserve">odstavec 1 se nahrazuje tímto: </w:t>
      </w:r>
    </w:p>
    <w:p w14:paraId="35748EE6" w14:textId="77777777" w:rsidR="0022437F" w:rsidRPr="00C34031" w:rsidRDefault="2C53B788" w:rsidP="00CD359D">
      <w:pPr>
        <w:ind w:left="850"/>
        <w:rPr>
          <w:noProof/>
        </w:rPr>
      </w:pPr>
      <w:r w:rsidRPr="00C34031">
        <w:rPr>
          <w:noProof/>
        </w:rPr>
        <w:t>„1.</w:t>
      </w:r>
      <w:r w:rsidRPr="00C34031">
        <w:rPr>
          <w:noProof/>
        </w:rPr>
        <w:tab/>
        <w:t>Do 31. srpna každého roku podá každý schválený deklarant pro CBAM prohlášení CBAM za předcházející kalendářní rok prostřednictvím rejstříku uvedeného v článku 14, přičemž poprvé tak učiní v roce 2027 s prohlášením za rok 2026.“</w:t>
      </w:r>
    </w:p>
    <w:p w14:paraId="539AE824" w14:textId="77777777" w:rsidR="00E41E6A" w:rsidRPr="00C34031" w:rsidRDefault="0074784E" w:rsidP="0074784E">
      <w:pPr>
        <w:pStyle w:val="Point1"/>
        <w:rPr>
          <w:noProof/>
        </w:rPr>
      </w:pPr>
      <w:r w:rsidRPr="00C34031">
        <w:rPr>
          <w:noProof/>
        </w:rPr>
        <w:t>b)</w:t>
      </w:r>
      <w:r w:rsidRPr="00C34031">
        <w:rPr>
          <w:noProof/>
        </w:rPr>
        <w:tab/>
        <w:t xml:space="preserve">odstavec 2 se nahrazuje tímto: </w:t>
      </w:r>
    </w:p>
    <w:p w14:paraId="78C89E11" w14:textId="77777777" w:rsidR="00E41E6A" w:rsidRPr="00C34031" w:rsidRDefault="006879CB" w:rsidP="006879CB">
      <w:pPr>
        <w:ind w:left="850"/>
        <w:rPr>
          <w:noProof/>
          <w:szCs w:val="24"/>
        </w:rPr>
      </w:pPr>
      <w:r w:rsidRPr="00C34031">
        <w:rPr>
          <w:noProof/>
        </w:rPr>
        <w:t>2. „Prohlášení CBAM obsahuje tyto informace:</w:t>
      </w:r>
    </w:p>
    <w:p w14:paraId="4364EF15" w14:textId="77777777" w:rsidR="001359C2" w:rsidRPr="00C34031" w:rsidRDefault="001359C2" w:rsidP="001359C2">
      <w:pPr>
        <w:ind w:left="850"/>
        <w:rPr>
          <w:noProof/>
        </w:rPr>
      </w:pPr>
      <w:r w:rsidRPr="00C34031">
        <w:rPr>
          <w:noProof/>
        </w:rPr>
        <w:t>a) celkové množství každého jednotlivého druhu zboží dovezeného během předcházejícího kalendářního roku vyjádřené v případě elektřiny v megawatthodinách a v případě ostatního zboží v tunách, včetně dováženého zboží pod prahovou hodnotou stanovenou v bodě 1 přílohy VII;</w:t>
      </w:r>
    </w:p>
    <w:p w14:paraId="1234CAAE" w14:textId="77777777" w:rsidR="001359C2" w:rsidRPr="00C34031" w:rsidRDefault="001359C2" w:rsidP="001359C2">
      <w:pPr>
        <w:ind w:left="850"/>
        <w:rPr>
          <w:noProof/>
        </w:rPr>
      </w:pPr>
      <w:r w:rsidRPr="00C34031">
        <w:rPr>
          <w:noProof/>
        </w:rPr>
        <w:t>b) celkové emise obsažené ve zboží uvedeném v písmenu a) tohoto odstavce vyjádřené v případě elektřiny v tunách emisí CO</w:t>
      </w:r>
      <w:r w:rsidRPr="00C34031">
        <w:rPr>
          <w:noProof/>
          <w:vertAlign w:val="subscript"/>
        </w:rPr>
        <w:t>2</w:t>
      </w:r>
      <w:r w:rsidRPr="00C34031">
        <w:rPr>
          <w:noProof/>
        </w:rPr>
        <w:t xml:space="preserve"> ekv. na megawatthodinu nebo v případě ostatního zboží v tunách emisí CO</w:t>
      </w:r>
      <w:r w:rsidRPr="00C34031">
        <w:rPr>
          <w:noProof/>
          <w:vertAlign w:val="subscript"/>
        </w:rPr>
        <w:t>2</w:t>
      </w:r>
      <w:r w:rsidRPr="00C34031">
        <w:rPr>
          <w:noProof/>
        </w:rPr>
        <w:t xml:space="preserve"> ekv. na tunu každého jednotlivého druhu zboží, vypočtené v souladu s článkem 7 a ověřené při použití skutečných emisí v souladu s článkem 8;</w:t>
      </w:r>
    </w:p>
    <w:p w14:paraId="0E5024B8" w14:textId="77777777" w:rsidR="001359C2" w:rsidRPr="00C34031" w:rsidRDefault="001359C2" w:rsidP="001359C2">
      <w:pPr>
        <w:ind w:left="850"/>
        <w:rPr>
          <w:noProof/>
        </w:rPr>
      </w:pPr>
      <w:r w:rsidRPr="00C34031">
        <w:rPr>
          <w:noProof/>
        </w:rPr>
        <w:t>c) celkový počet certifikátů CBAM, jež mají být vyřazeny, odpovídající celkovým obsaženým emisím podle písmene b) tohoto odstavce, po uplatnění snížení na základě ceny uhlíku zaplacené ve třetí zemi v souladu s článkem 9 a úpravě nezbytné k zohlednění toho, v jakém rozsahu jsou přidělovány bezplatné povolenky v rámci systému EU ETS v souladu s článkem 31;</w:t>
      </w:r>
    </w:p>
    <w:p w14:paraId="339D6077" w14:textId="77777777" w:rsidR="001359C2" w:rsidRPr="00C34031" w:rsidRDefault="001359C2" w:rsidP="001359C2">
      <w:pPr>
        <w:ind w:left="850"/>
        <w:rPr>
          <w:noProof/>
        </w:rPr>
      </w:pPr>
      <w:r w:rsidRPr="00C34031">
        <w:rPr>
          <w:noProof/>
        </w:rPr>
        <w:t>d) v příslušných případech kopie ověřovacích zpráv vydaných akreditovanými ověřovateli podle článku 8 a přílohy VI.“;</w:t>
      </w:r>
    </w:p>
    <w:p w14:paraId="378A82DB" w14:textId="77777777" w:rsidR="00B864A0" w:rsidRPr="00C34031" w:rsidRDefault="0074784E" w:rsidP="0074784E">
      <w:pPr>
        <w:pStyle w:val="Point1"/>
        <w:rPr>
          <w:noProof/>
        </w:rPr>
      </w:pPr>
      <w:r w:rsidRPr="00C34031">
        <w:rPr>
          <w:noProof/>
        </w:rPr>
        <w:t>c)</w:t>
      </w:r>
      <w:r w:rsidRPr="00C34031">
        <w:rPr>
          <w:noProof/>
        </w:rPr>
        <w:tab/>
        <w:t xml:space="preserve">odstavec 6 se nahrazuje tímto: </w:t>
      </w:r>
    </w:p>
    <w:p w14:paraId="57CAEC4A" w14:textId="77777777" w:rsidR="00081E85" w:rsidRPr="00C34031" w:rsidRDefault="7A65C892" w:rsidP="00C63A4F">
      <w:pPr>
        <w:ind w:left="850"/>
        <w:rPr>
          <w:noProof/>
        </w:rPr>
      </w:pPr>
      <w:r w:rsidRPr="00C34031">
        <w:rPr>
          <w:noProof/>
        </w:rPr>
        <w:t>„6.</w:t>
      </w:r>
      <w:r w:rsidRPr="00C34031">
        <w:rPr>
          <w:noProof/>
        </w:rPr>
        <w:tab/>
        <w:t>Komisi je svěřena pravomoc přijímat prováděcí akty týkající se standardního formátu prohlášení CBAM, včetně podrobných informací podle jednotlivých zařízení a zemí původu nebo jiných třetích zemí a druhů zboží, jež mají být vykázány na podporu celkových údajů uvedených v odstavci 2 tohoto článku, a to zejména pokud jde o obsažené emise, zaplacenou cenu uhlíku, standardní cenu uhlíku, postupu pro podávání prohlášení CBAM prostřednictvím rejstříku CBAM a podmínek pro vyřazování certifikátů CBAM podle odst. 2 písm. c) tohoto článku, v souladu s čl. 22 odst. 1, a to zejména pokud jde o postup a výběr certifikátů, jež mají být vyřazeny, schváleným deklarantem pro CBAM. Tyto prováděcí akty se přijímají přezkumným postupem podle čl. 29 odst. 2.“</w:t>
      </w:r>
    </w:p>
    <w:p w14:paraId="1ED7BFD5" w14:textId="77777777" w:rsidR="001503FF" w:rsidRPr="00C34031" w:rsidRDefault="0074784E" w:rsidP="0074784E">
      <w:pPr>
        <w:pStyle w:val="Point0"/>
        <w:rPr>
          <w:noProof/>
        </w:rPr>
      </w:pPr>
      <w:r w:rsidRPr="00C34031">
        <w:rPr>
          <w:noProof/>
        </w:rPr>
        <w:t>5)</w:t>
      </w:r>
      <w:r w:rsidRPr="00C34031">
        <w:rPr>
          <w:noProof/>
        </w:rPr>
        <w:tab/>
        <w:t xml:space="preserve">Článek 7 se mění takto: </w:t>
      </w:r>
    </w:p>
    <w:p w14:paraId="55E705E6" w14:textId="77777777" w:rsidR="00C719D4" w:rsidRPr="00C34031" w:rsidRDefault="0074784E" w:rsidP="0074784E">
      <w:pPr>
        <w:pStyle w:val="Point1"/>
        <w:rPr>
          <w:noProof/>
        </w:rPr>
      </w:pPr>
      <w:r w:rsidRPr="00C34031">
        <w:rPr>
          <w:noProof/>
        </w:rPr>
        <w:t>a)</w:t>
      </w:r>
      <w:r w:rsidRPr="00C34031">
        <w:rPr>
          <w:noProof/>
        </w:rPr>
        <w:tab/>
        <w:t xml:space="preserve">odstavec 5 se nahrazuje tímto: </w:t>
      </w:r>
    </w:p>
    <w:p w14:paraId="1ADA3940" w14:textId="77777777" w:rsidR="00081E85" w:rsidRPr="00C34031" w:rsidRDefault="007253BC" w:rsidP="007253BC">
      <w:pPr>
        <w:ind w:left="850"/>
        <w:rPr>
          <w:noProof/>
        </w:rPr>
      </w:pPr>
      <w:r w:rsidRPr="00C34031">
        <w:rPr>
          <w:noProof/>
        </w:rPr>
        <w:t>„5. Schválený deklarant pro CBAM vede záznamy o údajích potřebných k výpočtu obsažených emisí v souladu s požadavky stanovenými v příloze V. Tyto záznamy musí být dostatečně podrobné, aby ověřovatelé akreditovaní podle článku 18 mohli v příslušných případech ověřit obsažené emise v souladu s článkem 8 a přílohou VI a aby Komise a příslušný orgán mohly přezkoumat prohlášení CBAM v souladu s čl. 19 odst. 2.“;</w:t>
      </w:r>
    </w:p>
    <w:p w14:paraId="40D306EB" w14:textId="77777777" w:rsidR="00656EB7" w:rsidRPr="00C34031" w:rsidRDefault="0074784E" w:rsidP="0074784E">
      <w:pPr>
        <w:pStyle w:val="Point1"/>
        <w:rPr>
          <w:noProof/>
        </w:rPr>
      </w:pPr>
      <w:r w:rsidRPr="00C34031">
        <w:rPr>
          <w:noProof/>
        </w:rPr>
        <w:t>b)</w:t>
      </w:r>
      <w:r w:rsidRPr="00C34031">
        <w:rPr>
          <w:noProof/>
        </w:rPr>
        <w:tab/>
        <w:t xml:space="preserve">v odstavci 7 se písmeno a) nahrazuje tímto: </w:t>
      </w:r>
    </w:p>
    <w:p w14:paraId="7ABD47D3" w14:textId="77777777" w:rsidR="00081E85" w:rsidRPr="00C34031" w:rsidRDefault="005144EA" w:rsidP="005144EA">
      <w:pPr>
        <w:ind w:left="850"/>
        <w:rPr>
          <w:noProof/>
        </w:rPr>
      </w:pPr>
      <w:r w:rsidRPr="00C34031">
        <w:rPr>
          <w:noProof/>
        </w:rPr>
        <w:t>„a) použití prvků metod výpočtu uvedených v příloze IV, včetně stanovení systémových hranic výrobních procesů, které se omezí na systémové hranice výrobních procesů, na něž se vztahuje systém EU ETS, a příslušných vstupních materiálů (prekurzorů), emisních faktorů, hodnot skutečných emisí specifických pro dané zařízení a standardních hodnot a jejich příslušného použití na jednotlivé zboží, jakož i stanovení metod k zajištění spolehlivosti údajů, na jejichž základě se stanoví standardní hodnoty, včetně úrovně podrobnosti údajů a včetně další specifikace zboží, které má být pro účely přílohy IV bodu 1 považováno za „jednoduché zboží“ a „složené zboží“. Tyto prováděcí akty rovněž upřesní prvky důkazů prokazujících, že jsou splněna kritéria požadovaná k odůvodnění použití skutečných emisí u elektřiny spotřebované ve výrobních procesech zboží pro účely odstavce 2, které jsou uvedeny v příloze IV bodech 5 a 6;“.</w:t>
      </w:r>
    </w:p>
    <w:p w14:paraId="4A795D6B" w14:textId="77777777" w:rsidR="00C5648E" w:rsidRPr="00C34031" w:rsidRDefault="0074784E" w:rsidP="0074784E">
      <w:pPr>
        <w:pStyle w:val="Point0"/>
        <w:rPr>
          <w:noProof/>
        </w:rPr>
      </w:pPr>
      <w:r w:rsidRPr="00C34031">
        <w:rPr>
          <w:noProof/>
        </w:rPr>
        <w:t>6)</w:t>
      </w:r>
      <w:r w:rsidRPr="00C34031">
        <w:rPr>
          <w:noProof/>
        </w:rPr>
        <w:tab/>
        <w:t xml:space="preserve">V článku 8 se odstavec 1 nahrazuje tímto: </w:t>
      </w:r>
    </w:p>
    <w:p w14:paraId="2D019DC6" w14:textId="77777777" w:rsidR="00081E85" w:rsidRPr="00C34031" w:rsidRDefault="00665119" w:rsidP="00665119">
      <w:pPr>
        <w:ind w:left="850"/>
        <w:rPr>
          <w:noProof/>
        </w:rPr>
      </w:pPr>
      <w:r w:rsidRPr="00C34031">
        <w:rPr>
          <w:noProof/>
        </w:rPr>
        <w:t>„1. Pokud jsou obsažené emise stanoveny na základě skutečných emisí, schválený deklarant pro CBAM zajistí, aby celkové obsažené emise uvedené v prohlášení CBAM podaném v souladu s článkem 6 ověřil ověřovatel akreditovaný podle článku 18 na základě zásad ověřování stanovených v příloze VI.“</w:t>
      </w:r>
    </w:p>
    <w:p w14:paraId="320E8ED8" w14:textId="77777777" w:rsidR="003F15F8" w:rsidRPr="00C34031" w:rsidRDefault="0074784E" w:rsidP="0074784E">
      <w:pPr>
        <w:pStyle w:val="Point0"/>
        <w:rPr>
          <w:noProof/>
        </w:rPr>
      </w:pPr>
      <w:r w:rsidRPr="00C34031">
        <w:rPr>
          <w:noProof/>
        </w:rPr>
        <w:t>7)</w:t>
      </w:r>
      <w:r w:rsidRPr="00C34031">
        <w:rPr>
          <w:noProof/>
        </w:rPr>
        <w:tab/>
        <w:t>Článek 9 se nahrazuje tímto:</w:t>
      </w:r>
    </w:p>
    <w:p w14:paraId="738ACD1B" w14:textId="77777777" w:rsidR="00081E85" w:rsidRPr="00C34031" w:rsidRDefault="002A2137" w:rsidP="00CD359D">
      <w:pPr>
        <w:pStyle w:val="Titrearticle"/>
        <w:rPr>
          <w:noProof/>
        </w:rPr>
      </w:pPr>
      <w:r w:rsidRPr="00C34031">
        <w:rPr>
          <w:noProof/>
        </w:rPr>
        <w:t>„Článek 9</w:t>
      </w:r>
    </w:p>
    <w:p w14:paraId="2EEB8071" w14:textId="77777777" w:rsidR="00081E85" w:rsidRPr="00C34031" w:rsidRDefault="58FD30F9" w:rsidP="00CD359D">
      <w:pPr>
        <w:pStyle w:val="Titrearticle"/>
        <w:rPr>
          <w:b/>
          <w:bCs/>
          <w:noProof/>
        </w:rPr>
      </w:pPr>
      <w:r w:rsidRPr="00C34031">
        <w:rPr>
          <w:b/>
          <w:noProof/>
        </w:rPr>
        <w:t>Cena uhlíku zaplacená ve třetí zemi</w:t>
      </w:r>
    </w:p>
    <w:p w14:paraId="1BAB3DCE" w14:textId="77777777" w:rsidR="00081E85" w:rsidRPr="00C34031" w:rsidRDefault="002A2137" w:rsidP="002A2137">
      <w:pPr>
        <w:ind w:left="850"/>
        <w:rPr>
          <w:noProof/>
        </w:rPr>
      </w:pPr>
      <w:r w:rsidRPr="00C34031">
        <w:rPr>
          <w:noProof/>
        </w:rPr>
        <w:t xml:space="preserve">1. Schválený deklarant pro CBAM se může v prohlášení CBAM domáhat snížení počtu certifikátů CBAM, které mají být vyřazeny, aby byla zohledněna cena uhlíku, která byla za deklarované obsažené emise zaplacena ve třetí zemi. Snížení lze uplatnit pouze v případě, že cena uhlíku byla skutečně zaplacena ve třetí zemi. V takovém případě se zohlední jakákoli sleva nebo jiná forma náhrady dostupná v dané zemi, která by vedla ke snížení ceny uhlíku. </w:t>
      </w:r>
    </w:p>
    <w:p w14:paraId="136EB7A5" w14:textId="77777777" w:rsidR="00B279C4" w:rsidRPr="00C34031" w:rsidRDefault="002664AA" w:rsidP="002664AA">
      <w:pPr>
        <w:ind w:left="850"/>
        <w:rPr>
          <w:noProof/>
        </w:rPr>
      </w:pPr>
      <w:r w:rsidRPr="00C34031">
        <w:rPr>
          <w:noProof/>
        </w:rPr>
        <w:t>2. Schválený deklarant pro CBAM vede záznamy o dokumentaci potřebné k prokázání toho, že se na deklarované obsažené emise vztahovala cena uhlíku ve třetí zemi, která byla skutečně zaplacena, jak je uvedeno v odstavci 1. Schválený deklarant pro CBAM uchovává především doklady o jakékoli slevě nebo jiné formě dostupné náhrady, zejména odkazy na příslušné právní předpisy dané země. Informace obsažené v této dokumentaci ověří osoba nezávislá na schváleném deklarantovi pro CBAM a na orgánech třetí země. V dokumentaci musí být uvedeno jméno a kontaktní údaje této nezávislé osoby. Schválený deklarant pro CBAM rovněž uchovává doklady o skutečném zaplacení ceny uhlíku.</w:t>
      </w:r>
    </w:p>
    <w:p w14:paraId="1987E413" w14:textId="77777777" w:rsidR="00081E85" w:rsidRPr="00C34031" w:rsidRDefault="00B279C4" w:rsidP="002664AA">
      <w:pPr>
        <w:ind w:left="850"/>
        <w:rPr>
          <w:noProof/>
        </w:rPr>
      </w:pPr>
      <w:r w:rsidRPr="00C34031">
        <w:rPr>
          <w:noProof/>
        </w:rPr>
        <w:t xml:space="preserve">3. Schválený deklarant pro CBAM uchovává záznamy podle odstavce 2 do konce čtvrtého roku následujícího po roce, v němž bylo nebo mělo být prohlášení CBAM podáno. </w:t>
      </w:r>
    </w:p>
    <w:p w14:paraId="0D456A0C" w14:textId="77777777" w:rsidR="00035EEC" w:rsidRPr="00C34031" w:rsidRDefault="2FCB2E32" w:rsidP="00035EEC">
      <w:pPr>
        <w:ind w:left="850"/>
        <w:rPr>
          <w:noProof/>
        </w:rPr>
      </w:pPr>
      <w:r w:rsidRPr="00C34031">
        <w:rPr>
          <w:noProof/>
        </w:rPr>
        <w:t>3a. Odchylně od odstavců 1, 2 a 3, pokud nelze určit cenu uhlíku skutečně zaplacenou ve třetí zemi za deklarované obsažené emise, může schválený deklarant pro CBAM v prohlášení CBAM požadovat snížení počtu vyřazovaných certifikátů CBAM s cílem zohlednit cenu uhlíku pro deklarované obsažené emise, a to odkazem na roční standardní ceny uhlíku. V takovém případě se zohlední jakákoli sleva nebo jiná forma náhrady dostupná v dané zemi, která by vedla ke snížení standardní ceny uhlíku. O snížení lze žádat pouze v případě, že cena uhlíku byla stanovena podle pravidel platných ve třetí zemi a pro tuto třetí zemi lze stanovit roční standardní cenu uhlíku, a to i na konzervativním základě.</w:t>
      </w:r>
    </w:p>
    <w:p w14:paraId="3B020A3A" w14:textId="77777777" w:rsidR="00081E85" w:rsidRPr="00C34031" w:rsidRDefault="4580D096" w:rsidP="00035EEC">
      <w:pPr>
        <w:ind w:left="850"/>
        <w:rPr>
          <w:noProof/>
        </w:rPr>
      </w:pPr>
      <w:r w:rsidRPr="00C34031">
        <w:rPr>
          <w:noProof/>
        </w:rPr>
        <w:t xml:space="preserve">Od roku 2027 může Komise pro třetí země, v nichž jsou zavedena pravidla pro stanovování cen uhlíku, určit a zveřejnit metodiku a zpřístupnit v rejstříku CBAM uvedeném v článku 14 standardní ceny uhlíku pro tyto třetí země na základě nejlepších dostupných údajů ze spolehlivých, veřejně dostupných informací a informací poskytnutých těmito třetími zeměmi. V takovém případě se zohlední jakákoli sleva nebo jiná forma náhrady dostupná v dané zemi, která by vedla ke snížení standardní ceny uhlíku. </w:t>
      </w:r>
    </w:p>
    <w:p w14:paraId="584F31EE" w14:textId="77777777" w:rsidR="00081E85" w:rsidRPr="00C34031" w:rsidRDefault="00BF79FF" w:rsidP="003556CE">
      <w:pPr>
        <w:ind w:left="850"/>
        <w:rPr>
          <w:noProof/>
        </w:rPr>
      </w:pPr>
      <w:r w:rsidRPr="00C34031">
        <w:rPr>
          <w:noProof/>
        </w:rPr>
        <w:t xml:space="preserve">4. Komisi je svěřena pravomoc přijímat prováděcí akty, pokud jde o průměrné roční ceny uhlíku skutečně zaplacené v souladu s odstavcem 1 a ročních standardních cen uhlíku pro třetí země v souladu s odstavcem 3a na odpovídající snížení počtu certifikátů CBAM, které mají být vyřazeny. Tyto akty se rovněž týkají převodu ceny uhlíku vyjádřené v cizí měně na eura na základě ročního průměrného směnného kurzu, požadovaných dokladů o skutečném zaplacení ceny uhlíku, příkladů jakékoli příslušné slevy či jiné formy náhrady uvedené v odstavci 1, kvalifikace nezávislé osoby podle odstavce 2 tohoto článku a podmínek pro zajištění její nezávislosti. Tyto prováděcí akty se přijímají přezkumným postupem podle čl. 29 odst. 2.“ </w:t>
      </w:r>
    </w:p>
    <w:p w14:paraId="713B4FA6" w14:textId="77777777" w:rsidR="00453006" w:rsidRPr="00C34031" w:rsidRDefault="0074784E" w:rsidP="0074784E">
      <w:pPr>
        <w:pStyle w:val="Point0"/>
        <w:rPr>
          <w:noProof/>
        </w:rPr>
      </w:pPr>
      <w:r w:rsidRPr="00C34031">
        <w:rPr>
          <w:noProof/>
        </w:rPr>
        <w:t>8)</w:t>
      </w:r>
      <w:r w:rsidRPr="00C34031">
        <w:rPr>
          <w:noProof/>
        </w:rPr>
        <w:tab/>
        <w:t xml:space="preserve">Článek 10 se nahrazuje tímto: </w:t>
      </w:r>
    </w:p>
    <w:p w14:paraId="0B6B8B7E" w14:textId="77777777" w:rsidR="003E087B" w:rsidRPr="00C34031" w:rsidRDefault="003E087B" w:rsidP="00CD359D">
      <w:pPr>
        <w:pStyle w:val="Titrearticle"/>
        <w:rPr>
          <w:noProof/>
        </w:rPr>
      </w:pPr>
      <w:r w:rsidRPr="00C34031">
        <w:rPr>
          <w:noProof/>
        </w:rPr>
        <w:t>„Článek 10</w:t>
      </w:r>
    </w:p>
    <w:p w14:paraId="37D321BD" w14:textId="77777777" w:rsidR="003E087B" w:rsidRPr="00C34031" w:rsidRDefault="003E087B" w:rsidP="00CD359D">
      <w:pPr>
        <w:pStyle w:val="Titrearticle"/>
        <w:rPr>
          <w:b/>
          <w:bCs/>
          <w:noProof/>
        </w:rPr>
      </w:pPr>
      <w:r w:rsidRPr="00C34031">
        <w:rPr>
          <w:b/>
          <w:noProof/>
        </w:rPr>
        <w:t>Registrace provozovatelů a zařízení ve třetích zemích</w:t>
      </w:r>
    </w:p>
    <w:p w14:paraId="39C215A5" w14:textId="77777777" w:rsidR="003E087B" w:rsidRPr="00C34031" w:rsidRDefault="00100A19" w:rsidP="001925C8">
      <w:pPr>
        <w:ind w:left="850"/>
        <w:rPr>
          <w:noProof/>
        </w:rPr>
      </w:pPr>
      <w:r w:rsidRPr="00C34031">
        <w:rPr>
          <w:noProof/>
        </w:rPr>
        <w:t xml:space="preserve">1. Na žádost provozovatele zařízení, které se nachází ve třetí zemi, zaznamená Komise informace o tomto provozovateli a jeho zařízení v rejstříku CBAM uvedeném v článku 14. </w:t>
      </w:r>
    </w:p>
    <w:p w14:paraId="65C52771" w14:textId="77777777" w:rsidR="003E087B" w:rsidRPr="00C34031" w:rsidRDefault="00100A19" w:rsidP="001925C8">
      <w:pPr>
        <w:ind w:left="850"/>
        <w:rPr>
          <w:noProof/>
        </w:rPr>
      </w:pPr>
      <w:r w:rsidRPr="00C34031">
        <w:rPr>
          <w:noProof/>
        </w:rPr>
        <w:t xml:space="preserve">2. Žádost o registraci podle odstavce 1 obsahuje následující informace, které je při registraci třeba zadat do rejstříku CBAM: </w:t>
      </w:r>
    </w:p>
    <w:p w14:paraId="57870559" w14:textId="77777777" w:rsidR="003E087B" w:rsidRPr="00C34031" w:rsidRDefault="00100A19" w:rsidP="00CD359D">
      <w:pPr>
        <w:ind w:left="850"/>
        <w:rPr>
          <w:noProof/>
        </w:rPr>
      </w:pPr>
      <w:r w:rsidRPr="00C34031">
        <w:rPr>
          <w:noProof/>
        </w:rPr>
        <w:t>a) jméno či název, adresu, registrační číslo společnosti nebo činnosti, kontaktní údaje provozovatele a v příslušných případech jeho ovládajícího subjektu včetně jeho mateřské společnosti spolu s podpůrnými dokumenty;</w:t>
      </w:r>
    </w:p>
    <w:p w14:paraId="71E5055D" w14:textId="77777777" w:rsidR="003E087B" w:rsidRPr="00C34031" w:rsidRDefault="00100A19" w:rsidP="00CD359D">
      <w:pPr>
        <w:ind w:left="850"/>
        <w:rPr>
          <w:noProof/>
        </w:rPr>
      </w:pPr>
      <w:r w:rsidRPr="00C34031">
        <w:rPr>
          <w:noProof/>
        </w:rPr>
        <w:t xml:space="preserve">b) umístění každého jednotlivého zařízení včetně jeho úplné adresy a zeměpisných souřadnic vyjádřených šestimístnými údaji o zeměpisné délce a šířce; </w:t>
      </w:r>
    </w:p>
    <w:p w14:paraId="7A0BBF69" w14:textId="77777777" w:rsidR="003E087B" w:rsidRPr="00C34031" w:rsidRDefault="00100A19" w:rsidP="00CD359D">
      <w:pPr>
        <w:ind w:left="850"/>
        <w:rPr>
          <w:noProof/>
        </w:rPr>
      </w:pPr>
      <w:r w:rsidRPr="00C34031">
        <w:rPr>
          <w:noProof/>
        </w:rPr>
        <w:t>c) hlavní hospodářskou činnost zařízení.</w:t>
      </w:r>
    </w:p>
    <w:p w14:paraId="2FBB1E73" w14:textId="77777777" w:rsidR="003E087B" w:rsidRPr="00C34031" w:rsidRDefault="00100A19" w:rsidP="001925C8">
      <w:pPr>
        <w:ind w:left="850"/>
        <w:rPr>
          <w:noProof/>
        </w:rPr>
      </w:pPr>
      <w:r w:rsidRPr="00C34031">
        <w:rPr>
          <w:noProof/>
        </w:rPr>
        <w:t xml:space="preserve">3. Komise oznámí provozovateli, že byl zaregistrován v rejstříku CBAM. Registrace zůstane v platnosti po dobu pěti let ode dne, kdy byla oznámena provozovateli zařízení. </w:t>
      </w:r>
    </w:p>
    <w:p w14:paraId="388BECA2" w14:textId="77777777" w:rsidR="003E087B" w:rsidRPr="00C34031" w:rsidRDefault="00100A19" w:rsidP="001925C8">
      <w:pPr>
        <w:ind w:left="850"/>
        <w:rPr>
          <w:noProof/>
        </w:rPr>
      </w:pPr>
      <w:r w:rsidRPr="00C34031">
        <w:rPr>
          <w:noProof/>
        </w:rPr>
        <w:t xml:space="preserve">4. Provozovatel Komisi neprodleně oznámí veškeré změny informací uvedených v odstavci 2, které nastanou po registraci, a Komise provede aktualizaci příslušných informací v rejstříku CBAM. </w:t>
      </w:r>
    </w:p>
    <w:p w14:paraId="6B01C7EF" w14:textId="77777777" w:rsidR="003E087B" w:rsidRPr="00C34031" w:rsidRDefault="00100A19" w:rsidP="001925C8">
      <w:pPr>
        <w:ind w:left="850"/>
        <w:rPr>
          <w:noProof/>
        </w:rPr>
      </w:pPr>
      <w:r w:rsidRPr="00C34031">
        <w:rPr>
          <w:noProof/>
        </w:rPr>
        <w:t xml:space="preserve">5. Provozovatel: </w:t>
      </w:r>
    </w:p>
    <w:p w14:paraId="3E6007CC" w14:textId="77777777" w:rsidR="003E087B" w:rsidRPr="00C34031" w:rsidRDefault="00100A19" w:rsidP="00CD359D">
      <w:pPr>
        <w:ind w:left="850"/>
        <w:rPr>
          <w:noProof/>
        </w:rPr>
      </w:pPr>
      <w:r w:rsidRPr="00C34031">
        <w:rPr>
          <w:noProof/>
        </w:rPr>
        <w:t xml:space="preserve">a) stanoví obsažené emise vypočítané v souladu s metodami stanovenými v příloze IV podle druhu zboží vyrobeného v zařízení podle odstavce 1 tohoto článku; </w:t>
      </w:r>
    </w:p>
    <w:p w14:paraId="0517ED36" w14:textId="77777777" w:rsidR="003E087B" w:rsidRPr="00C34031" w:rsidRDefault="00361C44" w:rsidP="00CD359D">
      <w:pPr>
        <w:ind w:left="850"/>
        <w:rPr>
          <w:noProof/>
        </w:rPr>
      </w:pPr>
      <w:r w:rsidRPr="00C34031">
        <w:rPr>
          <w:noProof/>
        </w:rPr>
        <w:t>b) zajistí, aby obsažené emise podle písmene a) tohoto odstavce byly ověřeny ověřovatelem akreditovaným podle článku 18 v souladu se zásadami ověřování stanovenými v příloze VI;</w:t>
      </w:r>
    </w:p>
    <w:p w14:paraId="01F3EAC4" w14:textId="77777777" w:rsidR="003E087B" w:rsidRPr="00C34031" w:rsidRDefault="00361C44" w:rsidP="00CD359D">
      <w:pPr>
        <w:ind w:left="850"/>
        <w:rPr>
          <w:noProof/>
        </w:rPr>
      </w:pPr>
      <w:r w:rsidRPr="00C34031">
        <w:rPr>
          <w:noProof/>
        </w:rPr>
        <w:t>c) uchovává po dobu čtyř let od provedení ověření kopii ověřovací zprávy, jakož i záznamy o informacích potřebných k výpočtu emisí obsažených ve zboží v souladu s požadavky stanovenými v příloze V a v příslušných případech kopii dokumentace potřebné k prokázání toho, že na deklarované obsažené emise se vztahovala cena uhlíku ve třetí zemi, která byla skutečně zaplacena, a to až do konce čtvrtého roku následujícího po roce, v němž nezávislá osoba potvrdila informace obsažené v této dokumentaci v souladu s čl. 9 odst. 2;</w:t>
      </w:r>
    </w:p>
    <w:p w14:paraId="058212E2" w14:textId="77777777" w:rsidR="00F367B4" w:rsidRPr="00C34031" w:rsidRDefault="00F367B4" w:rsidP="00CD359D">
      <w:pPr>
        <w:ind w:left="850"/>
        <w:rPr>
          <w:noProof/>
        </w:rPr>
      </w:pPr>
      <w:r w:rsidRPr="00C34031">
        <w:rPr>
          <w:noProof/>
        </w:rPr>
        <w:t>d) v příslušných případech určí cenu uhlíku zaplacenou ve třetí zemi v souladu s článkem 9 a nahraje průvodní dokumentaci a důkazy.</w:t>
      </w:r>
    </w:p>
    <w:p w14:paraId="6A1B2BFD" w14:textId="77777777" w:rsidR="003E087B" w:rsidRPr="00C34031" w:rsidRDefault="00361C44" w:rsidP="001925C8">
      <w:pPr>
        <w:ind w:left="850"/>
        <w:rPr>
          <w:noProof/>
        </w:rPr>
      </w:pPr>
      <w:r w:rsidRPr="00C34031">
        <w:rPr>
          <w:noProof/>
        </w:rPr>
        <w:t>6. Záznamy podle odst. 5 písm. c) tohoto článku jsou dostatečně podrobné, aby bylo možné ověřit obsažené emise v souladu s článkem 8 a přílohou VI a aby bylo možné přezkoumat v souladu s článkem 19 prohlášení CBAM vypracované schváleným deklarantem pro CBAM, jemuž byly relevantní informace zpřístupněny v souladu s odstavcem 7 tohoto článku.</w:t>
      </w:r>
    </w:p>
    <w:p w14:paraId="2F73691C" w14:textId="77777777" w:rsidR="003E087B" w:rsidRPr="00C34031" w:rsidRDefault="00361C44" w:rsidP="001925C8">
      <w:pPr>
        <w:ind w:left="850"/>
        <w:rPr>
          <w:noProof/>
        </w:rPr>
      </w:pPr>
      <w:r w:rsidRPr="00C34031">
        <w:rPr>
          <w:noProof/>
        </w:rPr>
        <w:t xml:space="preserve">7. Provozovatel může schválenému deklarantovi pro CBAM zpřístupnit informace o ověření obsažených emisí a o ceně uhlíku zaplacené ve třetí zemi podle odstavce 5 tohoto článku. Schválený deklarant pro CBAM je oprávněn tyto zpřístupněné informace využít ke splnění povinnosti podle článku 8. </w:t>
      </w:r>
    </w:p>
    <w:p w14:paraId="79942A6A" w14:textId="77777777" w:rsidR="003E087B" w:rsidRPr="00C34031" w:rsidRDefault="00361C44" w:rsidP="001925C8">
      <w:pPr>
        <w:ind w:left="850"/>
        <w:rPr>
          <w:noProof/>
        </w:rPr>
      </w:pPr>
      <w:r w:rsidRPr="00C34031">
        <w:rPr>
          <w:noProof/>
        </w:rPr>
        <w:t>8. Provozovatel může kdykoli požádat o zrušení registrace v rejstříku CBAM. Komise na základě této žádosti a po oznámení příslušným orgánům zruší registraci provozovatele a vymaže informace o tomto provozovateli a o jeho zařízení z rejstříku CBAM, pokud tyto informace nejsou nezbytné pro přezkum podaných prohlášení CBAM. Komise může poté, co umožnila slyšení dotčeného hospodářského subjektu, a po konzultaci s příslušnými orgány rovněž zrušit registraci informací, pokud Komise zjistí, že informace o tomto subjektu již nejsou přesné. Komise o zrušení registrací informuje příslušné orgány.“</w:t>
      </w:r>
    </w:p>
    <w:p w14:paraId="442C1D24" w14:textId="77777777" w:rsidR="00973402" w:rsidRPr="00C34031" w:rsidRDefault="0074784E" w:rsidP="0074784E">
      <w:pPr>
        <w:pStyle w:val="Point0"/>
        <w:rPr>
          <w:noProof/>
        </w:rPr>
      </w:pPr>
      <w:r w:rsidRPr="00C34031">
        <w:rPr>
          <w:noProof/>
        </w:rPr>
        <w:t>9)</w:t>
      </w:r>
      <w:r w:rsidRPr="00C34031">
        <w:rPr>
          <w:noProof/>
        </w:rPr>
        <w:tab/>
        <w:t xml:space="preserve">Vkládá se nový článek 10a, který zní: </w:t>
      </w:r>
    </w:p>
    <w:p w14:paraId="6B66D900" w14:textId="77777777" w:rsidR="00EB1BCA" w:rsidRPr="00C34031" w:rsidRDefault="00EB1BCA" w:rsidP="00CD359D">
      <w:pPr>
        <w:pStyle w:val="Titrearticle"/>
        <w:rPr>
          <w:noProof/>
        </w:rPr>
      </w:pPr>
      <w:r w:rsidRPr="00C34031">
        <w:rPr>
          <w:noProof/>
        </w:rPr>
        <w:t>„Článek 10a</w:t>
      </w:r>
    </w:p>
    <w:p w14:paraId="639FB68E" w14:textId="77777777" w:rsidR="00EB1BCA" w:rsidRPr="00C34031" w:rsidRDefault="00EB1BCA" w:rsidP="00CD359D">
      <w:pPr>
        <w:pStyle w:val="Titrearticle"/>
        <w:rPr>
          <w:noProof/>
        </w:rPr>
      </w:pPr>
      <w:r w:rsidRPr="00C34031">
        <w:rPr>
          <w:b/>
          <w:noProof/>
        </w:rPr>
        <w:t>Registrace akreditovaných ověřovatelů</w:t>
      </w:r>
    </w:p>
    <w:p w14:paraId="012B529C" w14:textId="77777777" w:rsidR="00EB1BCA" w:rsidRPr="00C34031" w:rsidRDefault="00EB1BCA" w:rsidP="001925C8">
      <w:pPr>
        <w:ind w:left="850"/>
        <w:rPr>
          <w:noProof/>
        </w:rPr>
      </w:pPr>
      <w:r w:rsidRPr="00C34031">
        <w:rPr>
          <w:noProof/>
        </w:rPr>
        <w:t xml:space="preserve">1. Je-li akreditace udělena v souladu s článkem 18, podá akreditovaný ověřovatel žádost o registraci do rejstříku CBAM příslušnému orgánu členského státu, v němž je vnitrostátní akreditační orgán usazen. Žádost o registraci se podává do dvou měsíců od udělení akreditace. Příslušný orgán zaregistruje informace o akreditovaných ověřovatelích v rejstříku CBAM. </w:t>
      </w:r>
    </w:p>
    <w:p w14:paraId="760CE929" w14:textId="77777777" w:rsidR="00EB1BCA" w:rsidRPr="00C34031" w:rsidRDefault="00EB1BCA" w:rsidP="001925C8">
      <w:pPr>
        <w:ind w:left="850"/>
        <w:rPr>
          <w:noProof/>
        </w:rPr>
      </w:pPr>
      <w:r w:rsidRPr="00C34031">
        <w:rPr>
          <w:noProof/>
        </w:rPr>
        <w:t>2. Žádost o registraci podle odstavce 1 obsahuje alespoň následující informace, které je při registraci třeba zadat do rejstříku CBAM:</w:t>
      </w:r>
    </w:p>
    <w:p w14:paraId="6859B677" w14:textId="77777777" w:rsidR="00EB1BCA" w:rsidRPr="00C34031" w:rsidRDefault="00EB1BCA" w:rsidP="00CD359D">
      <w:pPr>
        <w:ind w:left="850"/>
        <w:rPr>
          <w:noProof/>
        </w:rPr>
      </w:pPr>
      <w:r w:rsidRPr="00C34031">
        <w:rPr>
          <w:noProof/>
        </w:rPr>
        <w:t>a) jméno či název a jedinečné akreditační číslo ověřovatele;</w:t>
      </w:r>
    </w:p>
    <w:p w14:paraId="54B9E040" w14:textId="77777777" w:rsidR="00EB1BCA" w:rsidRPr="00C34031" w:rsidRDefault="00EB1BCA" w:rsidP="00CD359D">
      <w:pPr>
        <w:ind w:left="850"/>
        <w:rPr>
          <w:noProof/>
        </w:rPr>
      </w:pPr>
      <w:r w:rsidRPr="00C34031">
        <w:rPr>
          <w:noProof/>
        </w:rPr>
        <w:t>b) rozsah akreditace relevantní pro CBAM;</w:t>
      </w:r>
    </w:p>
    <w:p w14:paraId="79DCDC1A" w14:textId="77777777" w:rsidR="00EB1BCA" w:rsidRPr="00C34031" w:rsidRDefault="00EB1BCA" w:rsidP="00CD359D">
      <w:pPr>
        <w:ind w:left="850"/>
        <w:rPr>
          <w:noProof/>
        </w:rPr>
      </w:pPr>
      <w:r w:rsidRPr="00C34031">
        <w:rPr>
          <w:noProof/>
        </w:rPr>
        <w:t>c) země usazení ověřovatele;</w:t>
      </w:r>
    </w:p>
    <w:p w14:paraId="28F4BE05" w14:textId="77777777" w:rsidR="00EB1BCA" w:rsidRPr="00C34031" w:rsidRDefault="00EB1BCA" w:rsidP="00CD359D">
      <w:pPr>
        <w:ind w:left="850"/>
        <w:rPr>
          <w:noProof/>
        </w:rPr>
      </w:pPr>
      <w:r w:rsidRPr="00C34031">
        <w:rPr>
          <w:noProof/>
        </w:rPr>
        <w:t>d) datum akreditace a datum ukončení platnosti osvědčení o akreditaci relevantních pro CBAM;</w:t>
      </w:r>
    </w:p>
    <w:p w14:paraId="502A80EF" w14:textId="77777777" w:rsidR="00EB1BCA" w:rsidRPr="00C34031" w:rsidRDefault="00EB1BCA" w:rsidP="00CD359D">
      <w:pPr>
        <w:ind w:left="850"/>
        <w:rPr>
          <w:noProof/>
        </w:rPr>
      </w:pPr>
      <w:r w:rsidRPr="00C34031">
        <w:rPr>
          <w:noProof/>
        </w:rPr>
        <w:t>e) veškeré informace o správních opatřeních uložených ověřovateli, které jsou relevantní pro CBAM;</w:t>
      </w:r>
    </w:p>
    <w:p w14:paraId="09A136BB" w14:textId="77777777" w:rsidR="00EB1BCA" w:rsidRPr="00C34031" w:rsidRDefault="00EB1BCA" w:rsidP="00CD359D">
      <w:pPr>
        <w:ind w:left="850"/>
        <w:rPr>
          <w:noProof/>
        </w:rPr>
      </w:pPr>
      <w:r w:rsidRPr="00C34031">
        <w:rPr>
          <w:noProof/>
        </w:rPr>
        <w:t>f) kopie osvědčení o akreditaci.</w:t>
      </w:r>
    </w:p>
    <w:p w14:paraId="08BD589D" w14:textId="77777777" w:rsidR="00EB1BCA" w:rsidRPr="00C34031" w:rsidRDefault="00EB1BCA" w:rsidP="001925C8">
      <w:pPr>
        <w:ind w:left="850"/>
        <w:rPr>
          <w:noProof/>
        </w:rPr>
      </w:pPr>
      <w:r w:rsidRPr="00C34031">
        <w:rPr>
          <w:noProof/>
        </w:rPr>
        <w:t>3. Příslušný orgán oznámí ověřovateli, že byl zaregistrován v rejstříku CBAM.</w:t>
      </w:r>
    </w:p>
    <w:p w14:paraId="62FD26BF" w14:textId="77777777" w:rsidR="00EB1BCA" w:rsidRPr="00C34031" w:rsidRDefault="00EB1BCA" w:rsidP="001925C8">
      <w:pPr>
        <w:ind w:left="850"/>
        <w:rPr>
          <w:noProof/>
        </w:rPr>
      </w:pPr>
      <w:r w:rsidRPr="00C34031">
        <w:rPr>
          <w:noProof/>
        </w:rPr>
        <w:t xml:space="preserve">4. Akreditovaný ověřovatel oznámí příslušnému orgánu veškeré změny informací uvedených v odstavci 2, které nastanou po registraci. Příslušný orgán zajistí, aby byly příslušné informace v rejstříku CBAM řádně aktualizovány. </w:t>
      </w:r>
    </w:p>
    <w:p w14:paraId="24C45191" w14:textId="77777777" w:rsidR="00EB1BCA" w:rsidRPr="00C34031" w:rsidRDefault="00EB1BCA" w:rsidP="001925C8">
      <w:pPr>
        <w:ind w:left="850"/>
        <w:rPr>
          <w:noProof/>
        </w:rPr>
      </w:pPr>
      <w:r w:rsidRPr="00C34031">
        <w:rPr>
          <w:noProof/>
        </w:rPr>
        <w:t xml:space="preserve">5. Ověřovatel ověří obsažené emise v rejstříku CBAM na žádost provozovatele podle čl. 10 odst. 5 písm. b). </w:t>
      </w:r>
    </w:p>
    <w:p w14:paraId="1A79FBE6" w14:textId="77777777" w:rsidR="00EB1BCA" w:rsidRPr="00C34031" w:rsidRDefault="00EB1BCA" w:rsidP="001925C8">
      <w:pPr>
        <w:ind w:left="850"/>
        <w:rPr>
          <w:noProof/>
        </w:rPr>
      </w:pPr>
      <w:r w:rsidRPr="00C34031">
        <w:rPr>
          <w:noProof/>
        </w:rPr>
        <w:t>6. Příslušný orgán zruší registraci ověřovatele v rejstříku CBAM, pokud ověřovatel již není akreditován podle článku 18 nebo pokud nesplnil povinnost stanovenou v odstavci 4. Příslušný orgán oznámí zrušení registrace Komisi a ostatním příslušným orgánům. Příslušný orgán vymaže informace o tomto akreditovaném ověřovateli z rejstříku CBAM za předpokladu, že tyto informace nejsou nezbytné pro přezkum podaných prohlášení CBAM.“</w:t>
      </w:r>
    </w:p>
    <w:p w14:paraId="54C16053" w14:textId="77777777" w:rsidR="00545AD4" w:rsidRPr="00C34031" w:rsidRDefault="0074784E" w:rsidP="0074784E">
      <w:pPr>
        <w:pStyle w:val="Point0"/>
        <w:rPr>
          <w:noProof/>
        </w:rPr>
      </w:pPr>
      <w:r w:rsidRPr="00C34031">
        <w:rPr>
          <w:noProof/>
        </w:rPr>
        <w:t>10)</w:t>
      </w:r>
      <w:r w:rsidRPr="00C34031">
        <w:rPr>
          <w:noProof/>
        </w:rPr>
        <w:tab/>
        <w:t xml:space="preserve">Článek 11 se mění takto: </w:t>
      </w:r>
    </w:p>
    <w:p w14:paraId="19992BB8" w14:textId="77777777" w:rsidR="001A114B" w:rsidRPr="00C34031" w:rsidRDefault="0074784E" w:rsidP="0074784E">
      <w:pPr>
        <w:pStyle w:val="Point1"/>
        <w:rPr>
          <w:noProof/>
        </w:rPr>
      </w:pPr>
      <w:r w:rsidRPr="00C34031">
        <w:rPr>
          <w:noProof/>
        </w:rPr>
        <w:t>a)</w:t>
      </w:r>
      <w:r w:rsidRPr="00C34031">
        <w:rPr>
          <w:noProof/>
        </w:rPr>
        <w:tab/>
        <w:t xml:space="preserve">v odst. 1 prvním pododstavci se doplňuje nová věta, která zní: </w:t>
      </w:r>
    </w:p>
    <w:p w14:paraId="242EE3F9" w14:textId="77777777" w:rsidR="00081E85" w:rsidRPr="00C34031" w:rsidRDefault="00126623" w:rsidP="00126623">
      <w:pPr>
        <w:pStyle w:val="Text1"/>
        <w:rPr>
          <w:noProof/>
        </w:rPr>
      </w:pPr>
      <w:r w:rsidRPr="00C34031">
        <w:rPr>
          <w:noProof/>
        </w:rPr>
        <w:t>„Každý členský stát zajistí, aby určený orgán měl veškeré pravomoci nezbytné pro výkon svých funkcí a povinností podle tohoto nařízení.“;</w:t>
      </w:r>
    </w:p>
    <w:p w14:paraId="35EC8ECA" w14:textId="77777777" w:rsidR="00B47984" w:rsidRPr="00C34031" w:rsidRDefault="0074784E" w:rsidP="0074784E">
      <w:pPr>
        <w:pStyle w:val="Point1"/>
        <w:rPr>
          <w:noProof/>
        </w:rPr>
      </w:pPr>
      <w:r w:rsidRPr="00C34031">
        <w:rPr>
          <w:noProof/>
        </w:rPr>
        <w:t>b)</w:t>
      </w:r>
      <w:r w:rsidRPr="00C34031">
        <w:rPr>
          <w:noProof/>
        </w:rPr>
        <w:tab/>
        <w:t xml:space="preserve">doplňuje se nový odstavec 3, který zní: </w:t>
      </w:r>
    </w:p>
    <w:p w14:paraId="4F2EB239" w14:textId="77777777" w:rsidR="00081E85" w:rsidRPr="00C34031" w:rsidRDefault="000515A6" w:rsidP="000515A6">
      <w:pPr>
        <w:ind w:left="850"/>
        <w:rPr>
          <w:noProof/>
        </w:rPr>
      </w:pPr>
      <w:r w:rsidRPr="00C34031">
        <w:rPr>
          <w:noProof/>
        </w:rPr>
        <w:t xml:space="preserve">„3. Na žádost Komise poskytnou příslušné orgány Komisi informace o provádění tohoto nařízení. Tyto informace může Komise použít pro zprávu podle čl. 30 odst. 6.“ </w:t>
      </w:r>
    </w:p>
    <w:p w14:paraId="4D78228D" w14:textId="77777777" w:rsidR="00A54B01" w:rsidRPr="00C34031" w:rsidRDefault="0074784E" w:rsidP="0074784E">
      <w:pPr>
        <w:pStyle w:val="Point0"/>
        <w:rPr>
          <w:noProof/>
        </w:rPr>
      </w:pPr>
      <w:r w:rsidRPr="00C34031">
        <w:rPr>
          <w:noProof/>
        </w:rPr>
        <w:t>11)</w:t>
      </w:r>
      <w:r w:rsidRPr="00C34031">
        <w:rPr>
          <w:noProof/>
        </w:rPr>
        <w:tab/>
        <w:t xml:space="preserve">Článek 14 se mění takto: </w:t>
      </w:r>
    </w:p>
    <w:p w14:paraId="14D26001" w14:textId="77777777" w:rsidR="00A07D94" w:rsidRPr="00C34031" w:rsidRDefault="0074784E" w:rsidP="0074784E">
      <w:pPr>
        <w:pStyle w:val="Point1"/>
        <w:rPr>
          <w:noProof/>
        </w:rPr>
      </w:pPr>
      <w:r w:rsidRPr="00C34031">
        <w:rPr>
          <w:noProof/>
        </w:rPr>
        <w:t>a)</w:t>
      </w:r>
      <w:r w:rsidRPr="00C34031">
        <w:rPr>
          <w:noProof/>
        </w:rPr>
        <w:tab/>
        <w:t xml:space="preserve">odstavce 3 a 4 se nahrazují tímto: </w:t>
      </w:r>
    </w:p>
    <w:p w14:paraId="65B9C59A" w14:textId="77777777" w:rsidR="00081E85" w:rsidRPr="00C34031" w:rsidRDefault="00023214" w:rsidP="00023214">
      <w:pPr>
        <w:ind w:left="850"/>
        <w:rPr>
          <w:noProof/>
        </w:rPr>
      </w:pPr>
      <w:r w:rsidRPr="00C34031">
        <w:rPr>
          <w:noProof/>
        </w:rPr>
        <w:t>„3. Rejstřík CBAM obsahuje v samostatné části rejstříku informace o provozovatelích a zařízeních ve třetích zemích zaregistrovaných v souladu s čl. 10 odst. 2 a informace o akreditovaných ověřovatelích registrovaných v souladu s článkem 10a.</w:t>
      </w:r>
    </w:p>
    <w:p w14:paraId="22DE8A7A" w14:textId="77777777" w:rsidR="00081E85" w:rsidRPr="00C34031" w:rsidRDefault="006F0069" w:rsidP="006F0069">
      <w:pPr>
        <w:ind w:left="850"/>
        <w:rPr>
          <w:noProof/>
        </w:rPr>
      </w:pPr>
      <w:r w:rsidRPr="00C34031">
        <w:rPr>
          <w:noProof/>
        </w:rPr>
        <w:t>4. Informace v rejstříku CBAM uvedené v odstavcích 2 a 3 jsou důvěrné, s výjimkou jmen či názvů, adres, registračních čísel společnosti nebo činnosti, kontaktních údajů provozovatelů, umístění zařízení ve třetích zemích a informací o akreditovaných ověřovatelích podle čl. 10a odst. 2. Provozovatel se může rozhodnout, že své jméno či název, adresu, registrační číslo společnosti nebo činnosti, kontaktní údaje a umístění svých zařízení nezpřístupní veřejnosti. Veřejné informace v rejstříku CBAM Komise zpřístupní v interoperabilním formátu.“;</w:t>
      </w:r>
    </w:p>
    <w:p w14:paraId="4E732284" w14:textId="77777777" w:rsidR="00C92FC0" w:rsidRPr="00C34031" w:rsidRDefault="0074784E" w:rsidP="0074784E">
      <w:pPr>
        <w:pStyle w:val="Point1"/>
        <w:rPr>
          <w:noProof/>
        </w:rPr>
      </w:pPr>
      <w:r w:rsidRPr="00C34031">
        <w:rPr>
          <w:noProof/>
        </w:rPr>
        <w:t>b)</w:t>
      </w:r>
      <w:r w:rsidRPr="00C34031">
        <w:rPr>
          <w:noProof/>
        </w:rPr>
        <w:tab/>
        <w:t>odstavec 6 se nahrazuje tímto:</w:t>
      </w:r>
    </w:p>
    <w:p w14:paraId="320004A3" w14:textId="77777777" w:rsidR="00081E85" w:rsidRPr="00C34031" w:rsidRDefault="00385B69" w:rsidP="00385B69">
      <w:pPr>
        <w:ind w:left="850"/>
        <w:rPr>
          <w:noProof/>
        </w:rPr>
      </w:pPr>
      <w:r w:rsidRPr="00C34031">
        <w:rPr>
          <w:noProof/>
        </w:rPr>
        <w:t>„6. Komise přijme prováděcí akty týkající se infrastruktury a konkrétních procesů a postupů rejstříku CBAM, včetně analýzy rizik uvedené v článku 15, elektronických databází obsahujících informace uvedené v odstavcích 2 a 3 tohoto článku, postupů a technických pověření pro výkon pověření podle čl. 5 odst. 7a, údajů z účtů v rejstříku CBAM uvedených v článku 16, předávání informací o prodeji a zpětném odkupu certifikátů CBAM do rejstříku CBAM podle článku 20 a křížovém ověřování informací podle čl. 25 odst. 3. Tyto prováděcí akty se přijímají přezkumným postupem podle čl. 29 odst. 2.“</w:t>
      </w:r>
    </w:p>
    <w:p w14:paraId="45BE9D28" w14:textId="77777777" w:rsidR="008F0D28" w:rsidRPr="00C34031" w:rsidRDefault="0074784E" w:rsidP="0074784E">
      <w:pPr>
        <w:pStyle w:val="Point0"/>
        <w:rPr>
          <w:noProof/>
        </w:rPr>
      </w:pPr>
      <w:r w:rsidRPr="00C34031">
        <w:rPr>
          <w:noProof/>
        </w:rPr>
        <w:t>12)</w:t>
      </w:r>
      <w:r w:rsidRPr="00C34031">
        <w:rPr>
          <w:noProof/>
        </w:rPr>
        <w:tab/>
        <w:t xml:space="preserve">Článek 17 se mění takto: </w:t>
      </w:r>
    </w:p>
    <w:p w14:paraId="3C9FED5C" w14:textId="77777777" w:rsidR="001E483F" w:rsidRPr="00C34031" w:rsidRDefault="0074784E" w:rsidP="0074784E">
      <w:pPr>
        <w:pStyle w:val="Point1"/>
        <w:rPr>
          <w:noProof/>
        </w:rPr>
      </w:pPr>
      <w:r w:rsidRPr="00C34031">
        <w:rPr>
          <w:noProof/>
        </w:rPr>
        <w:t>a)</w:t>
      </w:r>
      <w:r w:rsidRPr="00C34031">
        <w:rPr>
          <w:noProof/>
        </w:rPr>
        <w:tab/>
        <w:t xml:space="preserve">v odstavci 1 se dosavadní druhý pododstavec nahrazuje tímto: </w:t>
      </w:r>
    </w:p>
    <w:p w14:paraId="5E61B67D" w14:textId="77777777" w:rsidR="002436B8" w:rsidRPr="00C34031" w:rsidRDefault="002436B8" w:rsidP="002436B8">
      <w:pPr>
        <w:ind w:left="850"/>
        <w:rPr>
          <w:noProof/>
        </w:rPr>
      </w:pPr>
      <w:r w:rsidRPr="00C34031">
        <w:rPr>
          <w:noProof/>
        </w:rPr>
        <w:t>„Před udělením statusu schváleného deklaranta pro CBAM může příslušný orgán prostřednictvím rejstříku CBAM konzultovat příslušné orgány nebo Komisi ohledně splnění podmínek a kritérií nezbytných pro přijetí kladného rozhodnutí. Konzultace se uskuteční ve lhůtě stanovené pro dané rozhodnutí a nepřesáhne 15 kalendářních dnů.</w:t>
      </w:r>
    </w:p>
    <w:p w14:paraId="65A2D1F8" w14:textId="77777777" w:rsidR="00081E85" w:rsidRPr="00C34031" w:rsidRDefault="002436B8" w:rsidP="002436B8">
      <w:pPr>
        <w:ind w:left="850"/>
        <w:rPr>
          <w:noProof/>
        </w:rPr>
      </w:pPr>
      <w:r w:rsidRPr="00C34031">
        <w:rPr>
          <w:noProof/>
        </w:rPr>
        <w:t xml:space="preserve">Konzultační postup lze použít také pro účely opětovného posouzení a monitorování rozhodnutí.“; </w:t>
      </w:r>
    </w:p>
    <w:p w14:paraId="325DFAE6" w14:textId="77777777" w:rsidR="00FD0E25" w:rsidRPr="00C34031" w:rsidRDefault="0074784E" w:rsidP="0074784E">
      <w:pPr>
        <w:pStyle w:val="Point1"/>
        <w:rPr>
          <w:noProof/>
        </w:rPr>
      </w:pPr>
      <w:r w:rsidRPr="00C34031">
        <w:rPr>
          <w:noProof/>
        </w:rPr>
        <w:t>b)</w:t>
      </w:r>
      <w:r w:rsidRPr="00C34031">
        <w:rPr>
          <w:noProof/>
        </w:rPr>
        <w:tab/>
        <w:t>v odstavci 8 se dosavadní druhý pododstavec nahrazuje tímto:</w:t>
      </w:r>
    </w:p>
    <w:p w14:paraId="5A6F214B" w14:textId="77777777" w:rsidR="00081E85" w:rsidRPr="00C34031" w:rsidRDefault="00A06904" w:rsidP="00A06904">
      <w:pPr>
        <w:ind w:left="850"/>
        <w:rPr>
          <w:noProof/>
        </w:rPr>
      </w:pPr>
      <w:r w:rsidRPr="00C34031">
        <w:rPr>
          <w:noProof/>
        </w:rPr>
        <w:t>„Před zrušením statusu schváleného deklaranta pro CBAM příslušný orgán schválenému deklarantovi pro CBAM umožní, aby se mohl vyjádřit. Příslušný orgán může konzultovat podmínky a kritéria pro zrušení s příslušnými orgány nebo s Komisí prostřednictvím rejstříku CBAM. Konzultace nepřesáhne 15 kalendářních dnů.“;</w:t>
      </w:r>
    </w:p>
    <w:p w14:paraId="745D2EFB" w14:textId="77777777" w:rsidR="00513CFE" w:rsidRPr="00C34031" w:rsidRDefault="0074784E" w:rsidP="0074784E">
      <w:pPr>
        <w:pStyle w:val="Point1"/>
        <w:rPr>
          <w:noProof/>
        </w:rPr>
      </w:pPr>
      <w:r w:rsidRPr="00C34031">
        <w:rPr>
          <w:noProof/>
        </w:rPr>
        <w:t>c)</w:t>
      </w:r>
      <w:r w:rsidRPr="00C34031">
        <w:rPr>
          <w:noProof/>
        </w:rPr>
        <w:tab/>
        <w:t xml:space="preserve">v odst. 10 se písmeno e) nahrazuje tímto: </w:t>
      </w:r>
    </w:p>
    <w:p w14:paraId="35E0533D" w14:textId="77777777" w:rsidR="00081E85" w:rsidRPr="00C34031" w:rsidRDefault="00B45A81" w:rsidP="00B45A81">
      <w:pPr>
        <w:ind w:left="850"/>
        <w:rPr>
          <w:noProof/>
        </w:rPr>
      </w:pPr>
      <w:r w:rsidRPr="00C34031">
        <w:rPr>
          <w:noProof/>
        </w:rPr>
        <w:t>„e) konkrétní lhůty, rozsah a formát konzultačního postupu uvedeného v odstavcích 1 a 8 tohoto článku.“</w:t>
      </w:r>
    </w:p>
    <w:p w14:paraId="79E60EF8" w14:textId="77777777" w:rsidR="001232C6" w:rsidRPr="00C34031" w:rsidRDefault="0074784E" w:rsidP="0074784E">
      <w:pPr>
        <w:pStyle w:val="Point0"/>
        <w:rPr>
          <w:noProof/>
        </w:rPr>
      </w:pPr>
      <w:r w:rsidRPr="00C34031">
        <w:rPr>
          <w:noProof/>
        </w:rPr>
        <w:t>13)</w:t>
      </w:r>
      <w:r w:rsidRPr="00C34031">
        <w:rPr>
          <w:noProof/>
        </w:rPr>
        <w:tab/>
        <w:t>V čl. 19 odst. 3 se druhý pododstavec nahrazuje tímto:</w:t>
      </w:r>
    </w:p>
    <w:p w14:paraId="09D928B3" w14:textId="77777777" w:rsidR="00081E85" w:rsidRPr="00C34031" w:rsidRDefault="00204D81" w:rsidP="00204D81">
      <w:pPr>
        <w:ind w:left="850"/>
        <w:rPr>
          <w:noProof/>
        </w:rPr>
      </w:pPr>
      <w:r w:rsidRPr="00C34031">
        <w:rPr>
          <w:noProof/>
        </w:rPr>
        <w:t xml:space="preserve">„Komise rovněž usnadní výměnu informací s příslušnými orgány o podvodných činnostech, závěrech podle článku 25a a sankcích uložených v souladu s článkem 26.“ </w:t>
      </w:r>
    </w:p>
    <w:p w14:paraId="6AFAFE04" w14:textId="77777777" w:rsidR="00E97312" w:rsidRPr="00C34031" w:rsidRDefault="0074784E" w:rsidP="0074784E">
      <w:pPr>
        <w:pStyle w:val="Point0"/>
        <w:rPr>
          <w:noProof/>
        </w:rPr>
      </w:pPr>
      <w:r w:rsidRPr="00C34031">
        <w:rPr>
          <w:noProof/>
        </w:rPr>
        <w:t>14)</w:t>
      </w:r>
      <w:r w:rsidRPr="00C34031">
        <w:rPr>
          <w:noProof/>
        </w:rPr>
        <w:tab/>
        <w:t>Článek 20 se mění takto:</w:t>
      </w:r>
    </w:p>
    <w:p w14:paraId="39EFD8FD" w14:textId="77777777" w:rsidR="00862AFB" w:rsidRPr="00C34031" w:rsidRDefault="0074784E" w:rsidP="0074784E">
      <w:pPr>
        <w:pStyle w:val="Point1"/>
        <w:rPr>
          <w:noProof/>
        </w:rPr>
      </w:pPr>
      <w:r w:rsidRPr="00C34031">
        <w:rPr>
          <w:noProof/>
        </w:rPr>
        <w:t>a)</w:t>
      </w:r>
      <w:r w:rsidRPr="00C34031">
        <w:rPr>
          <w:noProof/>
        </w:rPr>
        <w:tab/>
        <w:t xml:space="preserve">odstavec 1 se nahrazuje tímto: </w:t>
      </w:r>
    </w:p>
    <w:p w14:paraId="41642D5D" w14:textId="77777777" w:rsidR="00081E85" w:rsidRPr="00C34031" w:rsidRDefault="001A61E8" w:rsidP="001A61E8">
      <w:pPr>
        <w:ind w:left="850"/>
        <w:rPr>
          <w:noProof/>
        </w:rPr>
      </w:pPr>
      <w:r w:rsidRPr="00C34031">
        <w:rPr>
          <w:noProof/>
        </w:rPr>
        <w:t>„1. Od 1. února 2027 členský stát prodává certifikáty CBAM na společné centrální platformě schváleným deklarantům pro CBAM usazeným v tomto členském státě.“;</w:t>
      </w:r>
    </w:p>
    <w:p w14:paraId="3B2D1F41" w14:textId="77777777" w:rsidR="00F33B71" w:rsidRPr="00C34031" w:rsidRDefault="0074784E" w:rsidP="0074784E">
      <w:pPr>
        <w:pStyle w:val="Point1"/>
        <w:rPr>
          <w:noProof/>
        </w:rPr>
      </w:pPr>
      <w:r w:rsidRPr="00C34031">
        <w:rPr>
          <w:noProof/>
        </w:rPr>
        <w:t>b)</w:t>
      </w:r>
      <w:r w:rsidRPr="00C34031">
        <w:rPr>
          <w:noProof/>
        </w:rPr>
        <w:tab/>
        <w:t xml:space="preserve">odstavec 3 se nahrazuje tímto: </w:t>
      </w:r>
    </w:p>
    <w:p w14:paraId="4D14CB9E" w14:textId="77777777" w:rsidR="00671985" w:rsidRPr="00C34031" w:rsidRDefault="005C0F5F" w:rsidP="005C0F5F">
      <w:pPr>
        <w:ind w:left="850"/>
        <w:rPr>
          <w:noProof/>
        </w:rPr>
      </w:pPr>
      <w:r w:rsidRPr="00C34031">
        <w:rPr>
          <w:noProof/>
        </w:rPr>
        <w:t>„3. Informace o prodeji a zpětném odkupu certifikátů CBAM v rámci společné centrální platformy se na konci každého pracovního dne převedou do rejstříku CBAM.“;</w:t>
      </w:r>
    </w:p>
    <w:p w14:paraId="31D43F6C" w14:textId="77777777" w:rsidR="00671985" w:rsidRPr="00C34031" w:rsidRDefault="0074784E" w:rsidP="0074784E">
      <w:pPr>
        <w:pStyle w:val="Point1"/>
        <w:rPr>
          <w:noProof/>
        </w:rPr>
      </w:pPr>
      <w:r w:rsidRPr="00C34031">
        <w:rPr>
          <w:noProof/>
        </w:rPr>
        <w:t>c)</w:t>
      </w:r>
      <w:r w:rsidRPr="00C34031">
        <w:rPr>
          <w:noProof/>
        </w:rPr>
        <w:tab/>
        <w:t>odstavec 6 se nahrazuje tímto:</w:t>
      </w:r>
    </w:p>
    <w:p w14:paraId="3691CF9A" w14:textId="77777777" w:rsidR="00671985" w:rsidRPr="00C34031" w:rsidRDefault="00671985" w:rsidP="00671985">
      <w:pPr>
        <w:ind w:left="1080"/>
        <w:contextualSpacing/>
        <w:rPr>
          <w:noProof/>
        </w:rPr>
      </w:pPr>
      <w:r w:rsidRPr="00C34031">
        <w:rPr>
          <w:noProof/>
        </w:rPr>
        <w:t>„6. Komisi je v souladu s článkem 28 svěřena pravomoc přijímat akty v přenesené pravomoci, kterými doplní toto nařízení tím, že dále vymezí harmonogram, správu a další aspekty související s řízením prodeje a zpětného odkupu certifikátů CBAM, přičemž usiluje o soulad s postupy nařízení Komise v přenesené pravomoci (EU) 2023/2830</w:t>
      </w:r>
      <w:r w:rsidRPr="00C34031">
        <w:rPr>
          <w:noProof/>
          <w:vertAlign w:val="superscript"/>
        </w:rPr>
        <w:t>*</w:t>
      </w:r>
      <w:r w:rsidRPr="00C34031">
        <w:rPr>
          <w:noProof/>
        </w:rPr>
        <w:t>.</w:t>
      </w:r>
    </w:p>
    <w:p w14:paraId="12D617B9" w14:textId="77777777" w:rsidR="00671985" w:rsidRPr="00C34031" w:rsidRDefault="00671985" w:rsidP="00671985">
      <w:pPr>
        <w:pBdr>
          <w:bottom w:val="single" w:sz="6" w:space="1" w:color="auto"/>
        </w:pBdr>
        <w:ind w:left="1080"/>
        <w:contextualSpacing/>
        <w:rPr>
          <w:noProof/>
          <w:vertAlign w:val="superscript"/>
        </w:rPr>
      </w:pPr>
    </w:p>
    <w:p w14:paraId="3A58C057" w14:textId="77777777" w:rsidR="001232C6" w:rsidRPr="00C34031" w:rsidRDefault="00671985" w:rsidP="005C0F5F">
      <w:pPr>
        <w:ind w:left="850"/>
        <w:rPr>
          <w:noProof/>
          <w:szCs w:val="24"/>
          <w:vertAlign w:val="superscript"/>
        </w:rPr>
      </w:pPr>
      <w:r w:rsidRPr="00C34031">
        <w:rPr>
          <w:noProof/>
          <w:vertAlign w:val="superscript"/>
        </w:rPr>
        <w:t xml:space="preserve">Nařízení Komise v přenesené pravomoci (EU) 2023/2830 ze dne 17. října 2023, kterým se doplňuje směrnice Evropského parlamentu a Rady 2003/87/ES stanovením pravidel pro harmonogram, správu a jiné aspekty dražeb povolenek na emise skleníkových plynů (Úř. věst. L, 2023/2830, 20.12.2023, ELI: </w:t>
      </w:r>
      <w:hyperlink r:id="rId21" w:history="1">
        <w:r w:rsidRPr="00C34031">
          <w:rPr>
            <w:rStyle w:val="Hyperlink"/>
            <w:noProof/>
            <w:vertAlign w:val="superscript"/>
          </w:rPr>
          <w:t>http://data.europa.eu/eli/reg_del/2023/2830/oj</w:t>
        </w:r>
      </w:hyperlink>
      <w:r w:rsidRPr="00C34031">
        <w:rPr>
          <w:noProof/>
        </w:rPr>
        <w:t>)</w:t>
      </w:r>
      <w:r w:rsidRPr="00C34031">
        <w:rPr>
          <w:noProof/>
          <w:vertAlign w:val="superscript"/>
        </w:rPr>
        <w:t xml:space="preserve">“. </w:t>
      </w:r>
    </w:p>
    <w:p w14:paraId="79D7A2EB" w14:textId="77777777" w:rsidR="00450766" w:rsidRPr="00C34031" w:rsidRDefault="0074784E" w:rsidP="0074784E">
      <w:pPr>
        <w:pStyle w:val="Point0"/>
        <w:rPr>
          <w:noProof/>
        </w:rPr>
      </w:pPr>
      <w:r w:rsidRPr="00C34031">
        <w:rPr>
          <w:noProof/>
        </w:rPr>
        <w:t>15)</w:t>
      </w:r>
      <w:r w:rsidRPr="00C34031">
        <w:rPr>
          <w:noProof/>
        </w:rPr>
        <w:tab/>
        <w:t xml:space="preserve">Článek 21 se mění takto: </w:t>
      </w:r>
    </w:p>
    <w:p w14:paraId="6091FEFD" w14:textId="77777777" w:rsidR="00BF2A88" w:rsidRPr="00C34031" w:rsidRDefault="0074784E" w:rsidP="0074784E">
      <w:pPr>
        <w:pStyle w:val="Point1"/>
        <w:rPr>
          <w:noProof/>
        </w:rPr>
      </w:pPr>
      <w:r w:rsidRPr="00C34031">
        <w:rPr>
          <w:noProof/>
        </w:rPr>
        <w:t>a)</w:t>
      </w:r>
      <w:r w:rsidRPr="00C34031">
        <w:rPr>
          <w:noProof/>
        </w:rPr>
        <w:tab/>
        <w:t>v odstavci 1 se první pododstavec nahrazuje tímto:</w:t>
      </w:r>
    </w:p>
    <w:p w14:paraId="5BF02638" w14:textId="77777777" w:rsidR="00264B9D" w:rsidRPr="00C34031" w:rsidRDefault="00E3719E" w:rsidP="00CD359D">
      <w:pPr>
        <w:ind w:left="850"/>
        <w:rPr>
          <w:noProof/>
        </w:rPr>
      </w:pPr>
      <w:r w:rsidRPr="00C34031">
        <w:rPr>
          <w:noProof/>
        </w:rPr>
        <w:t>„Komise vypočítá cenu certifikátů CBAM jako průměr uzavíracích cen povolenek EU ETS na dražební platformě v souladu s postupy stanovenými v nařízení v přenesené pravomoci (EU) 2023/2830 za každý kalendářní týden.“;</w:t>
      </w:r>
    </w:p>
    <w:p w14:paraId="26F72B48" w14:textId="77777777" w:rsidR="006F7A94" w:rsidRPr="00C34031" w:rsidRDefault="0074784E" w:rsidP="0074784E">
      <w:pPr>
        <w:pStyle w:val="Point1"/>
        <w:rPr>
          <w:noProof/>
        </w:rPr>
      </w:pPr>
      <w:r w:rsidRPr="00C34031">
        <w:rPr>
          <w:noProof/>
        </w:rPr>
        <w:t>b)</w:t>
      </w:r>
      <w:r w:rsidRPr="00C34031">
        <w:rPr>
          <w:noProof/>
        </w:rPr>
        <w:tab/>
        <w:t xml:space="preserve">vkládá se nový odstavec 1a, který zní: </w:t>
      </w:r>
    </w:p>
    <w:p w14:paraId="73442313" w14:textId="77777777" w:rsidR="001232C6" w:rsidRPr="00C34031" w:rsidRDefault="00974AD3" w:rsidP="00974AD3">
      <w:pPr>
        <w:ind w:left="850"/>
        <w:rPr>
          <w:noProof/>
        </w:rPr>
      </w:pPr>
      <w:r w:rsidRPr="00C34031">
        <w:rPr>
          <w:noProof/>
        </w:rPr>
        <w:t xml:space="preserve">„1a. Odchylně od odstavce 1 vypočítá Komise pro rok 2026 cenu certifikátů CBAM, která odpovídá obsaženým emisím deklarovaným v souladu s čl. 6 odst. 2 písm. b) v roce 2027, a to jako čtvrtletní průměr uzavíracích cen povolenek EU ETS na dražební platformě v souladu s postupy stanovenými v nařízení v přenesené pravomoci (EU) 2023/2830 za čtvrtletí dovozu zboží, jemuž tyto emise odpovídají.“; </w:t>
      </w:r>
    </w:p>
    <w:p w14:paraId="18027967" w14:textId="77777777" w:rsidR="00F62CEB" w:rsidRPr="00C34031" w:rsidRDefault="0074784E" w:rsidP="0074784E">
      <w:pPr>
        <w:pStyle w:val="Point1"/>
        <w:rPr>
          <w:noProof/>
        </w:rPr>
      </w:pPr>
      <w:r w:rsidRPr="00C34031">
        <w:rPr>
          <w:noProof/>
        </w:rPr>
        <w:t>c)</w:t>
      </w:r>
      <w:r w:rsidRPr="00C34031">
        <w:rPr>
          <w:noProof/>
        </w:rPr>
        <w:tab/>
        <w:t xml:space="preserve">odstavec 3 se nahrazuje tímto: </w:t>
      </w:r>
    </w:p>
    <w:p w14:paraId="31F834AB" w14:textId="77777777" w:rsidR="001232C6" w:rsidRPr="00C34031" w:rsidRDefault="00C56B86" w:rsidP="00C56B86">
      <w:pPr>
        <w:ind w:left="850"/>
        <w:rPr>
          <w:noProof/>
        </w:rPr>
      </w:pPr>
      <w:r w:rsidRPr="00C34031">
        <w:rPr>
          <w:noProof/>
        </w:rPr>
        <w:t xml:space="preserve">„3. Komisi je svěřena pravomoc přijímat prováděcí akty, pokud jde o uplatňování metodiky výpočtu ceny certifikátů CBAM podle odstavců 1 a 1a tohoto článku a praktická opatření pro zveřejnění této ceny. Tyto prováděcí akty se přijímají přezkumným postupem podle čl. 29 odst. 2.“ </w:t>
      </w:r>
    </w:p>
    <w:p w14:paraId="1A094C34" w14:textId="77777777" w:rsidR="001A7768" w:rsidRPr="00C34031" w:rsidRDefault="0074784E" w:rsidP="0074784E">
      <w:pPr>
        <w:pStyle w:val="Point0"/>
        <w:rPr>
          <w:noProof/>
        </w:rPr>
      </w:pPr>
      <w:r w:rsidRPr="00C34031">
        <w:rPr>
          <w:noProof/>
        </w:rPr>
        <w:t>16)</w:t>
      </w:r>
      <w:r w:rsidRPr="00C34031">
        <w:rPr>
          <w:noProof/>
        </w:rPr>
        <w:tab/>
        <w:t xml:space="preserve">Článek 22 se mění takto: </w:t>
      </w:r>
    </w:p>
    <w:p w14:paraId="71BD36B0" w14:textId="77777777" w:rsidR="00CD359D" w:rsidRPr="00C34031" w:rsidRDefault="0074784E" w:rsidP="0074784E">
      <w:pPr>
        <w:pStyle w:val="Point1"/>
        <w:rPr>
          <w:noProof/>
        </w:rPr>
      </w:pPr>
      <w:r w:rsidRPr="00C34031">
        <w:rPr>
          <w:noProof/>
        </w:rPr>
        <w:t>a)</w:t>
      </w:r>
      <w:r w:rsidRPr="00C34031">
        <w:rPr>
          <w:noProof/>
        </w:rPr>
        <w:tab/>
        <w:t>v odstavci 1 se první věta nahrazuje tímto:</w:t>
      </w:r>
    </w:p>
    <w:p w14:paraId="02E7E8F0" w14:textId="77777777" w:rsidR="00E835C0" w:rsidRPr="00C34031" w:rsidRDefault="19F5483F" w:rsidP="00CD359D">
      <w:pPr>
        <w:ind w:left="850"/>
        <w:rPr>
          <w:noProof/>
        </w:rPr>
      </w:pPr>
      <w:r w:rsidRPr="00C34031">
        <w:rPr>
          <w:noProof/>
        </w:rPr>
        <w:t>„Do 31. srpna každého roku vyřadí schválený deklarant pro CBAM prostřednictvím rejstříku CBAM za kalendářní rok předcházející roku daného vyřazení takový počet certifikátů CBAM, který odpovídá obsaženým emisím deklarovaným v souladu s čl. 6 odst. 2 písm. c) a ověřeným v souladu s článkem 8, přičemž poprvé tak učiní v roce 2027 za rok 2026.“;</w:t>
      </w:r>
    </w:p>
    <w:p w14:paraId="15E0015A" w14:textId="77777777" w:rsidR="009F5574" w:rsidRPr="00C34031" w:rsidRDefault="0074784E" w:rsidP="0074784E">
      <w:pPr>
        <w:pStyle w:val="Point1"/>
        <w:rPr>
          <w:noProof/>
        </w:rPr>
      </w:pPr>
      <w:r w:rsidRPr="00C34031">
        <w:rPr>
          <w:noProof/>
        </w:rPr>
        <w:t>b)</w:t>
      </w:r>
      <w:r w:rsidRPr="00C34031">
        <w:rPr>
          <w:noProof/>
        </w:rPr>
        <w:tab/>
        <w:t xml:space="preserve">odstavec 2 se nahrazuje tímto: </w:t>
      </w:r>
    </w:p>
    <w:p w14:paraId="4DA09C15" w14:textId="77777777" w:rsidR="001E44A6" w:rsidRPr="00C34031" w:rsidRDefault="001E44A6" w:rsidP="001E44A6">
      <w:pPr>
        <w:ind w:left="850"/>
        <w:rPr>
          <w:noProof/>
        </w:rPr>
      </w:pPr>
      <w:r w:rsidRPr="00C34031">
        <w:rPr>
          <w:noProof/>
        </w:rPr>
        <w:t xml:space="preserve">„2. Od prvního čtvrtletí roku 2027 schválený deklarant pro CBAM zajistí, aby počet certifikátů CBAM na jeho účtu v rejstříku CBAM na konci každého čtvrtletí odpovídal alespoň 50 % emisí obsažených ve veškerém zboží, které dovezl od začátku kalendářního roku, s přihlédnutím k úpravě o přidělení bezplatných povolenek podle článku 31, jež se stanoví odkazem na: </w:t>
      </w:r>
    </w:p>
    <w:p w14:paraId="2590BFED" w14:textId="77777777" w:rsidR="001E44A6" w:rsidRPr="00C34031" w:rsidRDefault="001E44A6" w:rsidP="00CD359D">
      <w:pPr>
        <w:ind w:left="850"/>
        <w:rPr>
          <w:noProof/>
        </w:rPr>
      </w:pPr>
      <w:r w:rsidRPr="00C34031">
        <w:rPr>
          <w:noProof/>
        </w:rPr>
        <w:t xml:space="preserve">a) standardní hodnoty v souladu s metodami uvedenými v příloze IV bez přirážky podle bodu 4.1 uvedené přílohy;  </w:t>
      </w:r>
    </w:p>
    <w:p w14:paraId="3D1FA8F6" w14:textId="77777777" w:rsidR="001232C6" w:rsidRPr="00C34031" w:rsidRDefault="001E44A6" w:rsidP="00CD359D">
      <w:pPr>
        <w:ind w:left="850"/>
        <w:rPr>
          <w:noProof/>
        </w:rPr>
      </w:pPr>
      <w:r w:rsidRPr="00C34031">
        <w:rPr>
          <w:noProof/>
        </w:rPr>
        <w:t>b) počet certifikátů CBAM vyřazených v souladu s odstavcem 1 za kalendářní rok předcházející roku daného vyřazení, pokud celní prohlášení pro dovoz zboží odkazuje na stejné zboží podle kódu KN a zemí původu jako prohlášení CBAM předložené za předchozí kalendářní rok.“;</w:t>
      </w:r>
    </w:p>
    <w:p w14:paraId="02A1B23F" w14:textId="77777777" w:rsidR="00161676" w:rsidRPr="00C34031" w:rsidRDefault="0074784E" w:rsidP="0074784E">
      <w:pPr>
        <w:pStyle w:val="Point1"/>
        <w:rPr>
          <w:noProof/>
        </w:rPr>
      </w:pPr>
      <w:r w:rsidRPr="00C34031">
        <w:rPr>
          <w:noProof/>
        </w:rPr>
        <w:t>c)</w:t>
      </w:r>
      <w:r w:rsidRPr="00C34031">
        <w:rPr>
          <w:noProof/>
        </w:rPr>
        <w:tab/>
        <w:t xml:space="preserve">vkládá se nový odstavec 2a, který zní:  </w:t>
      </w:r>
    </w:p>
    <w:p w14:paraId="103FDC4D" w14:textId="77777777" w:rsidR="001232C6" w:rsidRPr="00C34031" w:rsidRDefault="006E3740" w:rsidP="006E3740">
      <w:pPr>
        <w:ind w:left="850"/>
        <w:rPr>
          <w:noProof/>
        </w:rPr>
      </w:pPr>
      <w:r w:rsidRPr="00C34031">
        <w:rPr>
          <w:noProof/>
        </w:rPr>
        <w:t>„2a. Schválený deklarant pro CBAM splní povinnost stanovenou v odstavci 2 na konci čtvrtletí, v němž schválený deklarant pro CBAM překročí prahovou hodnotu stanovenou v příloze VII.“</w:t>
      </w:r>
    </w:p>
    <w:p w14:paraId="7CF33F67" w14:textId="77777777" w:rsidR="00A07456" w:rsidRPr="00C34031" w:rsidRDefault="0074784E" w:rsidP="0074784E">
      <w:pPr>
        <w:pStyle w:val="Point0"/>
        <w:rPr>
          <w:noProof/>
        </w:rPr>
      </w:pPr>
      <w:r w:rsidRPr="00C34031">
        <w:rPr>
          <w:noProof/>
        </w:rPr>
        <w:t>17)</w:t>
      </w:r>
      <w:r w:rsidRPr="00C34031">
        <w:rPr>
          <w:noProof/>
        </w:rPr>
        <w:tab/>
        <w:t xml:space="preserve">Článek 23 se mění takto: </w:t>
      </w:r>
    </w:p>
    <w:p w14:paraId="1AD44390" w14:textId="77777777" w:rsidR="00CC2B5F" w:rsidRPr="00C34031" w:rsidRDefault="0074784E" w:rsidP="0074784E">
      <w:pPr>
        <w:pStyle w:val="Point1"/>
        <w:rPr>
          <w:noProof/>
        </w:rPr>
      </w:pPr>
      <w:r w:rsidRPr="00C34031">
        <w:rPr>
          <w:noProof/>
        </w:rPr>
        <w:t>a)</w:t>
      </w:r>
      <w:r w:rsidRPr="00C34031">
        <w:rPr>
          <w:noProof/>
        </w:rPr>
        <w:tab/>
        <w:t>v odst. 1 druhém pododstavci se druhá věta nahrazuje tímto:</w:t>
      </w:r>
    </w:p>
    <w:p w14:paraId="5C30A994" w14:textId="77777777" w:rsidR="00F85F15" w:rsidRPr="00C34031" w:rsidRDefault="00E52472" w:rsidP="00CD359D">
      <w:pPr>
        <w:ind w:left="850"/>
        <w:rPr>
          <w:noProof/>
        </w:rPr>
      </w:pPr>
      <w:r w:rsidRPr="00C34031">
        <w:rPr>
          <w:noProof/>
        </w:rPr>
        <w:t>Schválený deklarant pro CBAM předloží žádost o zpětný odkup do 30. [listopadu] každého roku, během nějž byly certifikáty CBAM vyřazeny.“;</w:t>
      </w:r>
    </w:p>
    <w:p w14:paraId="51E66A6E" w14:textId="77777777" w:rsidR="00D756F2" w:rsidRPr="00C34031" w:rsidRDefault="0074784E" w:rsidP="0074784E">
      <w:pPr>
        <w:pStyle w:val="Point1"/>
        <w:rPr>
          <w:noProof/>
        </w:rPr>
      </w:pPr>
      <w:r w:rsidRPr="00C34031">
        <w:rPr>
          <w:noProof/>
        </w:rPr>
        <w:t>b)</w:t>
      </w:r>
      <w:r w:rsidRPr="00C34031">
        <w:rPr>
          <w:noProof/>
        </w:rPr>
        <w:tab/>
        <w:t xml:space="preserve">odstavec 2 se nahrazuje tímto: </w:t>
      </w:r>
    </w:p>
    <w:p w14:paraId="0F8DEBBC" w14:textId="77777777" w:rsidR="001232C6" w:rsidRPr="00C34031" w:rsidRDefault="00076362" w:rsidP="00076362">
      <w:pPr>
        <w:ind w:left="850"/>
        <w:rPr>
          <w:noProof/>
        </w:rPr>
      </w:pPr>
      <w:r w:rsidRPr="00C34031">
        <w:rPr>
          <w:noProof/>
        </w:rPr>
        <w:t xml:space="preserve">„2. Počet certifikátů CBAM zakoupených během kalendářního roku a podléhajících zpětnému odkupu podle odstavce 1 je omezen na celkový počet certifikátů CBAM potřebných ke splnění povinností stanovených v čl. 22 odst. 2 během daného kalendářního roku.“; </w:t>
      </w:r>
    </w:p>
    <w:p w14:paraId="529942BE" w14:textId="77777777" w:rsidR="003A3AE3" w:rsidRPr="00C34031" w:rsidRDefault="0074784E" w:rsidP="0074784E">
      <w:pPr>
        <w:pStyle w:val="Point1"/>
        <w:rPr>
          <w:noProof/>
        </w:rPr>
      </w:pPr>
      <w:r w:rsidRPr="00C34031">
        <w:rPr>
          <w:noProof/>
        </w:rPr>
        <w:t>c)</w:t>
      </w:r>
      <w:r w:rsidRPr="00C34031">
        <w:rPr>
          <w:noProof/>
        </w:rPr>
        <w:tab/>
        <w:t xml:space="preserve">vkládá se nový odstavec 2a, který zní: </w:t>
      </w:r>
    </w:p>
    <w:p w14:paraId="5CA25CBF" w14:textId="77777777" w:rsidR="001232C6" w:rsidRPr="00C34031" w:rsidRDefault="009B6168" w:rsidP="009B6168">
      <w:pPr>
        <w:ind w:left="850"/>
        <w:rPr>
          <w:noProof/>
        </w:rPr>
      </w:pPr>
      <w:r w:rsidRPr="00C34031">
        <w:rPr>
          <w:noProof/>
        </w:rPr>
        <w:t xml:space="preserve">„2a. Odchylně od odstavce 2 podléhá počet certifikátů CBAM, který odpovídá obsaženým emisím deklarovaným v souladu s čl. 6 odst. 2 v roce 2027 za rok 2026 a který nebyl vyřazen v souladu s čl. 22 odst. 1, zpětnému odkupu podle odstavce 1 až v roce 2027.“ </w:t>
      </w:r>
    </w:p>
    <w:p w14:paraId="5BCCF08A" w14:textId="77777777" w:rsidR="007B46D6" w:rsidRPr="00C34031" w:rsidRDefault="0074784E" w:rsidP="0074784E">
      <w:pPr>
        <w:pStyle w:val="Point0"/>
        <w:rPr>
          <w:noProof/>
        </w:rPr>
      </w:pPr>
      <w:r w:rsidRPr="00C34031">
        <w:rPr>
          <w:noProof/>
        </w:rPr>
        <w:t>18)</w:t>
      </w:r>
      <w:r w:rsidRPr="00C34031">
        <w:rPr>
          <w:noProof/>
        </w:rPr>
        <w:tab/>
        <w:t xml:space="preserve">Článek 24 se mění takto: </w:t>
      </w:r>
    </w:p>
    <w:p w14:paraId="6034C036" w14:textId="77777777" w:rsidR="00CE7A8F" w:rsidRPr="00C34031" w:rsidRDefault="0074784E" w:rsidP="0074784E">
      <w:pPr>
        <w:pStyle w:val="Point1"/>
        <w:rPr>
          <w:noProof/>
        </w:rPr>
      </w:pPr>
      <w:r w:rsidRPr="00C34031">
        <w:rPr>
          <w:noProof/>
        </w:rPr>
        <w:t>a)</w:t>
      </w:r>
      <w:r w:rsidRPr="00C34031">
        <w:rPr>
          <w:noProof/>
        </w:rPr>
        <w:tab/>
        <w:t>v prvním pododstavci se první věta nahrazuje tímto:</w:t>
      </w:r>
    </w:p>
    <w:p w14:paraId="62BECEE7" w14:textId="77777777" w:rsidR="008764C8" w:rsidRPr="00C34031" w:rsidRDefault="1210F6A1" w:rsidP="00CD359D">
      <w:pPr>
        <w:ind w:left="850"/>
        <w:rPr>
          <w:noProof/>
        </w:rPr>
      </w:pPr>
      <w:r w:rsidRPr="00C34031">
        <w:rPr>
          <w:noProof/>
        </w:rPr>
        <w:t>„Dne 1. října každého roku zruší Komise platnost veškerých certifikátů CBAM, které byly zakoupeny během roku před předchozím kalendářním rokem a které zůstaly na účtu schváleného deklaranta pro CBAM v rejstříku CBAM. Platnost těchto certifikátů CBAM se zruší bez jakékoli náhrady.“;</w:t>
      </w:r>
    </w:p>
    <w:p w14:paraId="4D14545A" w14:textId="77777777" w:rsidR="001232C6" w:rsidRPr="00C34031" w:rsidRDefault="0074784E" w:rsidP="0074784E">
      <w:pPr>
        <w:pStyle w:val="Point1"/>
        <w:rPr>
          <w:noProof/>
        </w:rPr>
      </w:pPr>
      <w:r w:rsidRPr="00C34031">
        <w:rPr>
          <w:noProof/>
        </w:rPr>
        <w:t>b)</w:t>
      </w:r>
      <w:r w:rsidRPr="00C34031">
        <w:rPr>
          <w:noProof/>
        </w:rPr>
        <w:tab/>
        <w:t xml:space="preserve">doplňuje se nový pododstavec, který zní: </w:t>
      </w:r>
    </w:p>
    <w:p w14:paraId="1FF4D1C5" w14:textId="77777777" w:rsidR="001232C6" w:rsidRPr="00C34031" w:rsidRDefault="002C3F5C" w:rsidP="002C3F5C">
      <w:pPr>
        <w:ind w:left="850"/>
        <w:rPr>
          <w:noProof/>
        </w:rPr>
      </w:pPr>
      <w:r w:rsidRPr="00C34031">
        <w:rPr>
          <w:noProof/>
        </w:rPr>
        <w:t xml:space="preserve">„Odchylně od prvního pododstavce Komise ke dni 1. [prosince] 2027 zruší všechny certifikáty CBAM, které odpovídají obsaženým emisím deklarovaným v souladu s čl. 6 odst. 2 v roce 2027 za rok 2026. Platnost těchto certifikátů CBAM se zruší bez jakékoli náhrady.“ </w:t>
      </w:r>
    </w:p>
    <w:p w14:paraId="0E203A93" w14:textId="77777777" w:rsidR="0030678E" w:rsidRPr="00C34031" w:rsidRDefault="0074784E" w:rsidP="0074784E">
      <w:pPr>
        <w:pStyle w:val="Point0"/>
        <w:rPr>
          <w:noProof/>
        </w:rPr>
      </w:pPr>
      <w:r w:rsidRPr="00C34031">
        <w:rPr>
          <w:noProof/>
        </w:rPr>
        <w:t>19)</w:t>
      </w:r>
      <w:r w:rsidRPr="00C34031">
        <w:rPr>
          <w:noProof/>
        </w:rPr>
        <w:tab/>
        <w:t xml:space="preserve">Článek 25 se mění takto: </w:t>
      </w:r>
    </w:p>
    <w:p w14:paraId="0573E23D" w14:textId="77777777" w:rsidR="00D05D05" w:rsidRPr="00C34031" w:rsidRDefault="0074784E" w:rsidP="0074784E">
      <w:pPr>
        <w:pStyle w:val="Point1"/>
        <w:rPr>
          <w:noProof/>
        </w:rPr>
      </w:pPr>
      <w:r w:rsidRPr="00C34031">
        <w:rPr>
          <w:noProof/>
        </w:rPr>
        <w:t>a)</w:t>
      </w:r>
      <w:r w:rsidRPr="00C34031">
        <w:rPr>
          <w:noProof/>
        </w:rPr>
        <w:tab/>
        <w:t xml:space="preserve">v odstavci 2 se druhá věta nahrazuje tímto: </w:t>
      </w:r>
    </w:p>
    <w:p w14:paraId="49BAE08D" w14:textId="77777777" w:rsidR="001232C6" w:rsidRPr="00C34031" w:rsidRDefault="00704C6F" w:rsidP="00704C6F">
      <w:pPr>
        <w:ind w:left="850"/>
        <w:rPr>
          <w:noProof/>
        </w:rPr>
      </w:pPr>
      <w:r w:rsidRPr="00C34031">
        <w:rPr>
          <w:noProof/>
        </w:rPr>
        <w:t>„Tyto informace zahrnují číslo EORI nebo formu identifikace deklarovanou v souladu s čl. 6 odst. 2 nařízení v přenesené pravomoci (EU) 2015/2446 a jméno či název, adresu a kontaktní údaje dovozce nebo schváleného deklaranta pro CBAM, jakož i číslo účtu CBAM schváleného deklaranta pro CBAM, osmimístný kód KN zboží, množství, zemi původu, datum celního prohlášení a celní režim.“;</w:t>
      </w:r>
    </w:p>
    <w:p w14:paraId="21456960" w14:textId="77777777" w:rsidR="001103C4" w:rsidRPr="00C34031" w:rsidRDefault="0074784E" w:rsidP="0074784E">
      <w:pPr>
        <w:pStyle w:val="Point1"/>
        <w:rPr>
          <w:noProof/>
        </w:rPr>
      </w:pPr>
      <w:r w:rsidRPr="00C34031">
        <w:rPr>
          <w:noProof/>
        </w:rPr>
        <w:t>b)</w:t>
      </w:r>
      <w:r w:rsidRPr="00C34031">
        <w:rPr>
          <w:noProof/>
        </w:rPr>
        <w:tab/>
        <w:t xml:space="preserve">odstavec 3 se nahrazuje tímto: </w:t>
      </w:r>
    </w:p>
    <w:p w14:paraId="7EE84DC8" w14:textId="77777777" w:rsidR="001232C6" w:rsidRPr="00C34031" w:rsidRDefault="003547BD" w:rsidP="003547BD">
      <w:pPr>
        <w:ind w:left="850"/>
        <w:rPr>
          <w:noProof/>
        </w:rPr>
      </w:pPr>
      <w:r w:rsidRPr="00C34031">
        <w:rPr>
          <w:noProof/>
        </w:rPr>
        <w:t xml:space="preserve">„3. Komise sdělí informace uvedené v odstavci 2 tohoto článku příslušnému orgánu členského státu, v němž je schválený deklarant pro CBAM nebo dovozce usazen, a u každého deklaranta pro CBAM tyto informace křížově ověří srovnáním s údaji v rejstříku CBAM podle článku 14.“; </w:t>
      </w:r>
    </w:p>
    <w:p w14:paraId="30FCDD8E" w14:textId="77777777" w:rsidR="001B050A" w:rsidRPr="00C34031" w:rsidRDefault="0074784E" w:rsidP="0074784E">
      <w:pPr>
        <w:pStyle w:val="Point1"/>
        <w:rPr>
          <w:noProof/>
        </w:rPr>
      </w:pPr>
      <w:r w:rsidRPr="00C34031">
        <w:rPr>
          <w:noProof/>
        </w:rPr>
        <w:t>c)</w:t>
      </w:r>
      <w:r w:rsidRPr="00C34031">
        <w:rPr>
          <w:noProof/>
        </w:rPr>
        <w:tab/>
        <w:t xml:space="preserve">odstavec 4 se nahrazuje tímto: </w:t>
      </w:r>
    </w:p>
    <w:p w14:paraId="6FCC59A3" w14:textId="77777777" w:rsidR="001232C6" w:rsidRPr="00C34031" w:rsidRDefault="001111EE" w:rsidP="001111EE">
      <w:pPr>
        <w:ind w:left="850"/>
        <w:rPr>
          <w:noProof/>
        </w:rPr>
      </w:pPr>
      <w:r w:rsidRPr="00C34031">
        <w:rPr>
          <w:noProof/>
        </w:rPr>
        <w:t>„4. Celní orgány mohou v souladu s čl. 12 odst. 1 nařízení (EU) č. 952/2013 sdělit Komisi a příslušnému orgánu členského státu, který udělil status schváleného deklaranta pro CBAM, nebo příslušnému orgánu členského státu, v němž je dovozce usazen, důvěrné informace, které celní orgány získaly při plnění svých povinností nebo které jim byly poskytnuty jako důvěrné.“</w:t>
      </w:r>
    </w:p>
    <w:p w14:paraId="0D97C63E" w14:textId="77777777" w:rsidR="00A11743" w:rsidRPr="00C34031" w:rsidRDefault="0074784E" w:rsidP="0074784E">
      <w:pPr>
        <w:pStyle w:val="Point0"/>
        <w:rPr>
          <w:noProof/>
        </w:rPr>
      </w:pPr>
      <w:r w:rsidRPr="00C34031">
        <w:rPr>
          <w:noProof/>
        </w:rPr>
        <w:t>20)</w:t>
      </w:r>
      <w:r w:rsidRPr="00C34031">
        <w:rPr>
          <w:noProof/>
        </w:rPr>
        <w:tab/>
        <w:t xml:space="preserve">vkládá se nový článek 25a, který zní: </w:t>
      </w:r>
    </w:p>
    <w:p w14:paraId="129CEE1A" w14:textId="77777777" w:rsidR="00B1207F" w:rsidRPr="00C34031" w:rsidRDefault="00B1207F" w:rsidP="00CD359D">
      <w:pPr>
        <w:pStyle w:val="Titrearticle"/>
        <w:rPr>
          <w:noProof/>
        </w:rPr>
      </w:pPr>
      <w:r w:rsidRPr="00C34031">
        <w:rPr>
          <w:noProof/>
        </w:rPr>
        <w:t>„Článek 25a</w:t>
      </w:r>
    </w:p>
    <w:p w14:paraId="29670A0D" w14:textId="77777777" w:rsidR="00B1207F" w:rsidRPr="00C34031" w:rsidRDefault="00B1207F" w:rsidP="00CD359D">
      <w:pPr>
        <w:pStyle w:val="Titrearticle"/>
        <w:rPr>
          <w:noProof/>
        </w:rPr>
      </w:pPr>
      <w:r w:rsidRPr="00C34031">
        <w:rPr>
          <w:b/>
          <w:noProof/>
        </w:rPr>
        <w:t>Monitorování a vymáhání prahové hodnoty stanovené v příloze VII bodě 1</w:t>
      </w:r>
    </w:p>
    <w:p w14:paraId="70F96DCF" w14:textId="77777777" w:rsidR="00B1207F" w:rsidRPr="00C34031" w:rsidRDefault="00B1207F" w:rsidP="00B1207F">
      <w:pPr>
        <w:ind w:left="850"/>
        <w:rPr>
          <w:noProof/>
        </w:rPr>
      </w:pPr>
      <w:r w:rsidRPr="00C34031">
        <w:rPr>
          <w:noProof/>
        </w:rPr>
        <w:t>1. Příslušné orgány a Komise monitorují dovoz zboží uvedeného v příloze l a odpovídající prahovou hodnotu stanovenou v příloze VII bodě 1.</w:t>
      </w:r>
    </w:p>
    <w:p w14:paraId="2BF69D47" w14:textId="77777777" w:rsidR="00B1207F" w:rsidRPr="00C34031" w:rsidRDefault="00B1207F" w:rsidP="00B1207F">
      <w:pPr>
        <w:ind w:left="850"/>
        <w:rPr>
          <w:noProof/>
        </w:rPr>
      </w:pPr>
      <w:r w:rsidRPr="00C34031">
        <w:rPr>
          <w:noProof/>
        </w:rPr>
        <w:t xml:space="preserve">Komise si s příslušnými orgány pravidelně a automaticky vyměňuje informace nezbytné pro monitorování dovozců v rejstříku CBAM. </w:t>
      </w:r>
    </w:p>
    <w:p w14:paraId="2EFC8908" w14:textId="77777777" w:rsidR="00B1207F" w:rsidRPr="00C34031" w:rsidRDefault="00B1207F" w:rsidP="00B1207F">
      <w:pPr>
        <w:ind w:left="850"/>
        <w:rPr>
          <w:noProof/>
        </w:rPr>
      </w:pPr>
      <w:r w:rsidRPr="00C34031">
        <w:rPr>
          <w:noProof/>
        </w:rPr>
        <w:t>2. Pokud se Komise na základě předběžného posouzení domnívá, že dovozce překročil prahovou hodnotu, sdělí informace, z nichž předběžné posouzení vychází, příslušnému orgánu členského státu, v němž je dovozce usazen.</w:t>
      </w:r>
    </w:p>
    <w:p w14:paraId="2921C263" w14:textId="77777777" w:rsidR="00B1207F" w:rsidRPr="00C34031" w:rsidRDefault="009011C2" w:rsidP="00B1207F">
      <w:pPr>
        <w:ind w:left="850"/>
        <w:rPr>
          <w:noProof/>
        </w:rPr>
      </w:pPr>
      <w:r w:rsidRPr="00C34031">
        <w:rPr>
          <w:noProof/>
        </w:rPr>
        <w:t xml:space="preserve">Příslušný orgán si může od dovozce, celních orgánů nebo Komise vyžádat listinné důkazy nezbytné pro posouzení, zda dovozce překročil prahovou hodnotu. </w:t>
      </w:r>
    </w:p>
    <w:p w14:paraId="0F2B1893" w14:textId="77777777" w:rsidR="00B1207F" w:rsidRPr="00C34031" w:rsidRDefault="00B1207F" w:rsidP="00B1207F">
      <w:pPr>
        <w:ind w:left="850"/>
        <w:rPr>
          <w:noProof/>
        </w:rPr>
      </w:pPr>
      <w:r w:rsidRPr="00C34031">
        <w:rPr>
          <w:noProof/>
        </w:rPr>
        <w:t xml:space="preserve">3. Pokud příslušný orgán dojde k závěru, že dovozce překročil prahovou hodnotu, informuje dovozce o svém rozhodnutí. Rozhodnutí obsahuje důvody rozhodnutí, jakož i informace o právu na odvolání, pokutách uložených podle čl. 26 odst. 2 a žádost o případné podání žádosti o povolení v souladu s článkem 5. Příslušný orgán rovněž oznámí toto rozhodnutí celním orgánům a Komisi prostřednictvím rejstříku CBAM. </w:t>
      </w:r>
    </w:p>
    <w:p w14:paraId="035A7342" w14:textId="77777777" w:rsidR="00B1207F" w:rsidRPr="00C34031" w:rsidRDefault="00B1207F" w:rsidP="00B1207F">
      <w:pPr>
        <w:ind w:left="850"/>
        <w:rPr>
          <w:noProof/>
        </w:rPr>
      </w:pPr>
      <w:r w:rsidRPr="00C34031">
        <w:rPr>
          <w:noProof/>
        </w:rPr>
        <w:t>Podání odvolání nemá odkladný účinek na výkon napadeného rozhodnutí.</w:t>
      </w:r>
    </w:p>
    <w:p w14:paraId="400452C4" w14:textId="77777777" w:rsidR="0022412C" w:rsidRPr="00C34031" w:rsidRDefault="00B1207F" w:rsidP="00B1207F">
      <w:pPr>
        <w:ind w:left="850"/>
        <w:rPr>
          <w:noProof/>
        </w:rPr>
      </w:pPr>
      <w:r w:rsidRPr="00C34031">
        <w:rPr>
          <w:noProof/>
        </w:rPr>
        <w:t xml:space="preserve">4. Při vyvozování závěru, zda dovozce překročil prahovou hodnotu v souladu s odstavcem 3, příslušný orgán nepřihlíží k praktikám nebo opatřením či jejich sledu, které byly zavedeny s hlavním účelem nebo s jedním z hlavních účelů dostat se pod prahové hodnoty, a proto nejsou s ohledem na všechny relevantní skutečnosti a okolnosti skutečné. </w:t>
      </w:r>
    </w:p>
    <w:p w14:paraId="00E7EDFE" w14:textId="77777777" w:rsidR="00B1207F" w:rsidRPr="00C34031" w:rsidRDefault="0022412C" w:rsidP="00B1207F">
      <w:pPr>
        <w:ind w:left="850"/>
        <w:rPr>
          <w:noProof/>
        </w:rPr>
      </w:pPr>
      <w:r w:rsidRPr="00C34031">
        <w:rPr>
          <w:noProof/>
        </w:rPr>
        <w:t>Praktiky nebo opatření či jejich sled se nepovažují za skutečné, pokud nebyly zavedeny z platných obchodních důvodů, které odrážejí hospodářskou realitu. Všichni dovozci, kteří se na těchto praktikách nebo opatřeních podílejí, nesou společnou odpovědnost za pokutu uloženou v souladu s čl. 26 odst. 2.</w:t>
      </w:r>
    </w:p>
    <w:p w14:paraId="5CA1D302" w14:textId="77777777" w:rsidR="00B1207F" w:rsidRPr="00C34031" w:rsidRDefault="001A6327" w:rsidP="00B1207F">
      <w:pPr>
        <w:ind w:left="850"/>
        <w:rPr>
          <w:noProof/>
        </w:rPr>
      </w:pPr>
      <w:r w:rsidRPr="00C34031">
        <w:rPr>
          <w:noProof/>
        </w:rPr>
        <w:t xml:space="preserve">V těchto případech má příslušný orgán za to, že dovozce byl zapojen do závažného porušení tohoto nařízení pro účely čl. 17 odst. 2 písm. a). </w:t>
      </w:r>
    </w:p>
    <w:p w14:paraId="4728D43C" w14:textId="77777777" w:rsidR="001232C6" w:rsidRPr="00C34031" w:rsidRDefault="00B1207F" w:rsidP="00B1207F">
      <w:pPr>
        <w:ind w:left="850"/>
        <w:rPr>
          <w:noProof/>
        </w:rPr>
      </w:pPr>
      <w:r w:rsidRPr="00C34031">
        <w:rPr>
          <w:noProof/>
        </w:rPr>
        <w:t xml:space="preserve">5. Komise pravidelně stanoví konkrétní rizikové faktory a body, jimž je třeba věnovat pozornost, a to na základě analýzy rizik v souvislosti s prahovou hodnotou, přičemž zohlední informace obsažené v rejstříku CBAM, údaje sdělené celními orgány v souladu s článkem 25 a další relevantní zdroje informací, včetně nesrovnalostí zjištěných v důsledku kontrol prováděných v souladu s čl. 15 odst. 1.“ </w:t>
      </w:r>
    </w:p>
    <w:p w14:paraId="0462E54E" w14:textId="77777777" w:rsidR="00215E2F" w:rsidRPr="00C34031" w:rsidRDefault="0074784E" w:rsidP="0074784E">
      <w:pPr>
        <w:pStyle w:val="Point0"/>
        <w:rPr>
          <w:noProof/>
        </w:rPr>
      </w:pPr>
      <w:r w:rsidRPr="00C34031">
        <w:rPr>
          <w:noProof/>
        </w:rPr>
        <w:t>21)</w:t>
      </w:r>
      <w:r w:rsidRPr="00C34031">
        <w:rPr>
          <w:noProof/>
        </w:rPr>
        <w:tab/>
        <w:t xml:space="preserve">Článek 26 se mění takto: </w:t>
      </w:r>
    </w:p>
    <w:p w14:paraId="61039D34" w14:textId="77777777" w:rsidR="00EA6E37" w:rsidRPr="00C34031" w:rsidRDefault="0074784E" w:rsidP="0074784E">
      <w:pPr>
        <w:pStyle w:val="Point1"/>
        <w:rPr>
          <w:noProof/>
        </w:rPr>
      </w:pPr>
      <w:r w:rsidRPr="00C34031">
        <w:rPr>
          <w:noProof/>
        </w:rPr>
        <w:t>a)</w:t>
      </w:r>
      <w:r w:rsidRPr="00C34031">
        <w:rPr>
          <w:noProof/>
        </w:rPr>
        <w:tab/>
        <w:t xml:space="preserve">vkládá se nový odstavec 1a, který zní:  </w:t>
      </w:r>
    </w:p>
    <w:p w14:paraId="62B2B2C0" w14:textId="77777777" w:rsidR="00543CB2" w:rsidRPr="00C34031" w:rsidRDefault="00543CB2" w:rsidP="00543CB2">
      <w:pPr>
        <w:ind w:left="850"/>
        <w:rPr>
          <w:noProof/>
        </w:rPr>
      </w:pPr>
      <w:r w:rsidRPr="00C34031">
        <w:rPr>
          <w:noProof/>
        </w:rPr>
        <w:t xml:space="preserve">„1a. Příslušný orgán může snížit výši pokuty vypočtené v souladu s odstavcem 1 s ohledem na jeden nebo více z následujících faktorů: </w:t>
      </w:r>
    </w:p>
    <w:p w14:paraId="7C8047F0" w14:textId="77777777" w:rsidR="00543CB2" w:rsidRPr="00C34031" w:rsidRDefault="00543CB2" w:rsidP="00CD359D">
      <w:pPr>
        <w:ind w:left="850"/>
        <w:rPr>
          <w:noProof/>
        </w:rPr>
      </w:pPr>
      <w:r w:rsidRPr="00C34031">
        <w:rPr>
          <w:noProof/>
        </w:rPr>
        <w:t>a)</w:t>
      </w:r>
      <w:r w:rsidRPr="00C34031">
        <w:rPr>
          <w:noProof/>
        </w:rPr>
        <w:tab/>
        <w:t>rozsah neoznámených informací;</w:t>
      </w:r>
      <w:r w:rsidRPr="00C34031">
        <w:rPr>
          <w:noProof/>
        </w:rPr>
        <w:tab/>
      </w:r>
    </w:p>
    <w:p w14:paraId="6054BA5F" w14:textId="77777777" w:rsidR="00543CB2" w:rsidRPr="00C34031" w:rsidRDefault="00543CB2" w:rsidP="00CD359D">
      <w:pPr>
        <w:ind w:left="850"/>
        <w:rPr>
          <w:noProof/>
        </w:rPr>
      </w:pPr>
      <w:r w:rsidRPr="00C34031">
        <w:rPr>
          <w:noProof/>
        </w:rPr>
        <w:t>b)</w:t>
      </w:r>
      <w:r w:rsidRPr="00C34031">
        <w:rPr>
          <w:noProof/>
        </w:rPr>
        <w:tab/>
        <w:t xml:space="preserve">úroveň spolupráce a připravenost schváleného deklaranta pro CBAM vyhovět žádostem o informace; </w:t>
      </w:r>
    </w:p>
    <w:p w14:paraId="2D7EB5D7" w14:textId="77777777" w:rsidR="00543CB2" w:rsidRPr="00C34031" w:rsidRDefault="00543CB2" w:rsidP="00CD359D">
      <w:pPr>
        <w:ind w:left="850"/>
        <w:rPr>
          <w:noProof/>
        </w:rPr>
      </w:pPr>
      <w:r w:rsidRPr="00C34031">
        <w:rPr>
          <w:noProof/>
        </w:rPr>
        <w:t>c)</w:t>
      </w:r>
      <w:r w:rsidRPr="00C34031">
        <w:rPr>
          <w:noProof/>
        </w:rPr>
        <w:tab/>
        <w:t>neúmyslné jednání schváleného deklaranta pro CBAM;</w:t>
      </w:r>
    </w:p>
    <w:p w14:paraId="7112BF16" w14:textId="77777777" w:rsidR="001232C6" w:rsidRPr="00C34031" w:rsidRDefault="00543CB2" w:rsidP="00CD359D">
      <w:pPr>
        <w:ind w:left="850"/>
        <w:rPr>
          <w:noProof/>
        </w:rPr>
      </w:pPr>
      <w:r w:rsidRPr="00C34031">
        <w:rPr>
          <w:noProof/>
        </w:rPr>
        <w:t>d)</w:t>
      </w:r>
      <w:r w:rsidRPr="00C34031">
        <w:rPr>
          <w:noProof/>
        </w:rPr>
        <w:tab/>
        <w:t>dodržování předpisů schváleným deklarantem pro CBAM v minulosti.“;</w:t>
      </w:r>
    </w:p>
    <w:p w14:paraId="7739A1DB" w14:textId="77777777" w:rsidR="007C619C" w:rsidRPr="00C34031" w:rsidRDefault="0074784E" w:rsidP="0074784E">
      <w:pPr>
        <w:pStyle w:val="Point1"/>
        <w:rPr>
          <w:noProof/>
        </w:rPr>
      </w:pPr>
      <w:r w:rsidRPr="00C34031">
        <w:rPr>
          <w:noProof/>
        </w:rPr>
        <w:t>b)</w:t>
      </w:r>
      <w:r w:rsidRPr="00C34031">
        <w:rPr>
          <w:noProof/>
        </w:rPr>
        <w:tab/>
        <w:t>odstavce 2 a 3 se nahrazují tímto:</w:t>
      </w:r>
    </w:p>
    <w:p w14:paraId="790339ED" w14:textId="77777777" w:rsidR="001232C6" w:rsidRPr="00C34031" w:rsidRDefault="00600A90" w:rsidP="00600A90">
      <w:pPr>
        <w:ind w:left="850"/>
        <w:rPr>
          <w:noProof/>
        </w:rPr>
      </w:pPr>
      <w:r w:rsidRPr="00C34031">
        <w:rPr>
          <w:noProof/>
        </w:rPr>
        <w:t>„2. Pokud jiná osoba než schválený deklarant pro CBAM uvede zboží na celní území Unie, aniž by splnila povinnosti podle tohoto nařízení, je povinna zaplatit pokutu. Tato pokuta musí být účinná, přiměřená a odrazující a činí – v závislosti zejména na době trvání, závažnosti, rozsahu, úmyslné povaze a opakování tohoto porušení povinnosti a na úrovni spolupráce dané osoby s příslušným orgánem trojnásobek až pětinásobek pokuty uvedené v odstavci 1, a to podle roku uvedení zboží na celní území Unie, za každý certifikát CBAM, který daná osoba nevyřadila. Zaplacením pokuty je osoba zproštěna povinnosti podat prohlášení CBAM nebo vyřadit certifikáty.</w:t>
      </w:r>
    </w:p>
    <w:p w14:paraId="0BD2448B" w14:textId="77777777" w:rsidR="001232C6" w:rsidRPr="00C34031" w:rsidRDefault="00FF2638" w:rsidP="00FF2638">
      <w:pPr>
        <w:ind w:left="850"/>
        <w:rPr>
          <w:noProof/>
        </w:rPr>
      </w:pPr>
      <w:r w:rsidRPr="00C34031">
        <w:rPr>
          <w:noProof/>
        </w:rPr>
        <w:t xml:space="preserve">3. Zaplacení pokuty v souladu s odstavcem 1 nezprošťuje schváleného deklaranta pro CBAM povinnosti vyřadit zbývající počet certifikátů CBAM, který měl v příslušném roce vyřadit.“ </w:t>
      </w:r>
    </w:p>
    <w:p w14:paraId="1C9C3D53" w14:textId="77777777" w:rsidR="00CC0F29" w:rsidRPr="00C34031" w:rsidRDefault="0074784E" w:rsidP="0074784E">
      <w:pPr>
        <w:pStyle w:val="Point0"/>
        <w:rPr>
          <w:noProof/>
        </w:rPr>
      </w:pPr>
      <w:r w:rsidRPr="00C34031">
        <w:rPr>
          <w:noProof/>
        </w:rPr>
        <w:t>22)</w:t>
      </w:r>
      <w:r w:rsidRPr="00C34031">
        <w:rPr>
          <w:noProof/>
        </w:rPr>
        <w:tab/>
        <w:t xml:space="preserve">V čl. 27 odst. 2 se písmeno b) nahrazuje tímto: </w:t>
      </w:r>
    </w:p>
    <w:p w14:paraId="30E94ECD" w14:textId="77777777" w:rsidR="001232C6" w:rsidRPr="00C34031" w:rsidRDefault="00F47F7E" w:rsidP="00F47F7E">
      <w:pPr>
        <w:ind w:left="850"/>
        <w:rPr>
          <w:noProof/>
        </w:rPr>
      </w:pPr>
      <w:r w:rsidRPr="00C34031">
        <w:rPr>
          <w:noProof/>
        </w:rPr>
        <w:t>„b) umělém rozdělení dovozů, a to i prostřednictvím jiných než skutečných opatření tak, aby se zabránilo překročení prahové hodnoty uvedené v čl. 2 odst. 3a.“</w:t>
      </w:r>
    </w:p>
    <w:p w14:paraId="0180EA6A" w14:textId="77777777" w:rsidR="001232C6" w:rsidRPr="00C34031" w:rsidRDefault="0074784E" w:rsidP="0074784E">
      <w:pPr>
        <w:pStyle w:val="Point0"/>
        <w:rPr>
          <w:noProof/>
        </w:rPr>
      </w:pPr>
      <w:r w:rsidRPr="00C34031">
        <w:rPr>
          <w:noProof/>
        </w:rPr>
        <w:t>23)</w:t>
      </w:r>
      <w:r w:rsidRPr="00C34031">
        <w:rPr>
          <w:noProof/>
        </w:rPr>
        <w:tab/>
        <w:t>Článek 28 se mění takto:</w:t>
      </w:r>
    </w:p>
    <w:p w14:paraId="49AD931D" w14:textId="77777777" w:rsidR="000231D1" w:rsidRPr="00C34031" w:rsidRDefault="0074784E" w:rsidP="0074784E">
      <w:pPr>
        <w:pStyle w:val="Point1"/>
        <w:rPr>
          <w:noProof/>
        </w:rPr>
      </w:pPr>
      <w:r w:rsidRPr="00C34031">
        <w:rPr>
          <w:noProof/>
        </w:rPr>
        <w:t>a)</w:t>
      </w:r>
      <w:r w:rsidRPr="00C34031">
        <w:rPr>
          <w:noProof/>
        </w:rPr>
        <w:tab/>
        <w:t xml:space="preserve">odstavce 2 a 3 se nahrazují tímto: </w:t>
      </w:r>
    </w:p>
    <w:p w14:paraId="22F198A1" w14:textId="77777777" w:rsidR="001232C6" w:rsidRPr="00C34031" w:rsidRDefault="064940EE" w:rsidP="00AC64EE">
      <w:pPr>
        <w:ind w:left="850"/>
        <w:rPr>
          <w:noProof/>
        </w:rPr>
      </w:pPr>
      <w:r w:rsidRPr="00C34031">
        <w:rPr>
          <w:noProof/>
        </w:rPr>
        <w:t>„2. Pravomoc přijímat akty v přenesené pravomoci uvedená čl. 2 odst. 3a, 10 a 11, čl. 18 odst. 3, čl. 20 odst. 6 a čl. 27 odst. 6 je Komisi svěřena na dobu pěti let od [datum zveřejnění]. Komise vypracuje zprávu o přenesené pravomoci nejpozději devět měsíců před koncem tohoto pětiletého období. Přenesení pravomoci se automaticky prodlužuje o stejně dlouhá období, pokud Evropský parlament ani Rada nevysloví proti tomuto prodloužení námitku nejpozději tři měsíce před koncem každého z těchto období.</w:t>
      </w:r>
    </w:p>
    <w:p w14:paraId="2979164E" w14:textId="77777777" w:rsidR="001232C6" w:rsidRPr="00C34031" w:rsidRDefault="00D344CC" w:rsidP="00D344CC">
      <w:pPr>
        <w:ind w:left="850"/>
        <w:rPr>
          <w:noProof/>
        </w:rPr>
      </w:pPr>
      <w:r w:rsidRPr="00C34031">
        <w:rPr>
          <w:noProof/>
        </w:rPr>
        <w:t xml:space="preserve">3. Evropský parlament nebo Rada mohou přenesení pravomoci uvedené v čl. 2 odst. 3a, 10 a 11, čl. 9 odst. 5, čl. 18 odst. 3, čl. 20 odst. 6 a čl. 27 odst. 6 kdykoliv zrušit.“; </w:t>
      </w:r>
    </w:p>
    <w:p w14:paraId="2559828F" w14:textId="77777777" w:rsidR="001232C6" w:rsidRPr="00C34031" w:rsidRDefault="0074784E" w:rsidP="0074784E">
      <w:pPr>
        <w:pStyle w:val="Point1"/>
        <w:rPr>
          <w:noProof/>
        </w:rPr>
      </w:pPr>
      <w:r w:rsidRPr="00C34031">
        <w:rPr>
          <w:noProof/>
        </w:rPr>
        <w:t>b)</w:t>
      </w:r>
      <w:r w:rsidRPr="00C34031">
        <w:rPr>
          <w:noProof/>
        </w:rPr>
        <w:tab/>
        <w:t xml:space="preserve"> odstavec 7 se nahrazuje tímto:</w:t>
      </w:r>
    </w:p>
    <w:p w14:paraId="75F261B7" w14:textId="77777777" w:rsidR="001232C6" w:rsidRPr="00C34031" w:rsidRDefault="00917C1B" w:rsidP="00917C1B">
      <w:pPr>
        <w:ind w:left="850"/>
        <w:rPr>
          <w:noProof/>
        </w:rPr>
      </w:pPr>
      <w:r w:rsidRPr="00C34031">
        <w:rPr>
          <w:noProof/>
        </w:rPr>
        <w:t xml:space="preserve">„7. Akt v přenesené pravomoci přijatý podle čl. 2 odst. 3a, 10 a 11, čl. 9 odst. 5, čl. 18 odst. 3, čl. 20 odst. 6 nebo čl. 27 odst. 6 vstoupí v platnost pouze tehdy, pokud proti němu Evropský parlament ani Rada nevysloví námitky ve lhůtě dvou měsíců ode dne, kdy jim byl tento akt oznámen, nebo pokud Evropský parlament i Rada před uplynutím této lhůty informují Komisi o tom, že námitky nevysloví. Z podnětu Evropského parlamentu nebo Rady se tato lhůta prodlouží o dva měsíce.“ </w:t>
      </w:r>
    </w:p>
    <w:p w14:paraId="6E9BAB67" w14:textId="77777777" w:rsidR="003E3397" w:rsidRPr="00C34031" w:rsidRDefault="0074784E" w:rsidP="0074784E">
      <w:pPr>
        <w:pStyle w:val="Point0"/>
        <w:rPr>
          <w:noProof/>
        </w:rPr>
      </w:pPr>
      <w:r w:rsidRPr="00C34031">
        <w:rPr>
          <w:noProof/>
        </w:rPr>
        <w:t>24)</w:t>
      </w:r>
      <w:r w:rsidRPr="00C34031">
        <w:rPr>
          <w:noProof/>
        </w:rPr>
        <w:tab/>
        <w:t xml:space="preserve">V čl. 30 odst. 6 písm. b) se vkládá nový bod, který zní: </w:t>
      </w:r>
    </w:p>
    <w:p w14:paraId="650B8D6B" w14:textId="77777777" w:rsidR="00C35AF6" w:rsidRPr="00C34031" w:rsidRDefault="00556329" w:rsidP="00CD359D">
      <w:pPr>
        <w:ind w:left="850"/>
        <w:rPr>
          <w:noProof/>
        </w:rPr>
      </w:pPr>
      <w:r w:rsidRPr="00C34031">
        <w:rPr>
          <w:noProof/>
        </w:rPr>
        <w:t xml:space="preserve">„v) použití prahové hodnoty stanovené v příloze VII bodě 1.“ </w:t>
      </w:r>
    </w:p>
    <w:p w14:paraId="073D3D95" w14:textId="77777777" w:rsidR="00795386" w:rsidRPr="00C34031" w:rsidRDefault="0074784E" w:rsidP="0074784E">
      <w:pPr>
        <w:pStyle w:val="Point0"/>
        <w:rPr>
          <w:noProof/>
        </w:rPr>
      </w:pPr>
      <w:r w:rsidRPr="00C34031">
        <w:rPr>
          <w:noProof/>
        </w:rPr>
        <w:t>25)</w:t>
      </w:r>
      <w:r w:rsidRPr="00C34031">
        <w:rPr>
          <w:noProof/>
        </w:rPr>
        <w:tab/>
        <w:t xml:space="preserve">Ustanovení čl. 36 odst. 2 se mění takto: </w:t>
      </w:r>
    </w:p>
    <w:p w14:paraId="53702C55" w14:textId="77777777" w:rsidR="00E96575" w:rsidRPr="00C34031" w:rsidRDefault="0074784E" w:rsidP="0074784E">
      <w:pPr>
        <w:pStyle w:val="Point1"/>
        <w:rPr>
          <w:noProof/>
        </w:rPr>
      </w:pPr>
      <w:r w:rsidRPr="00C34031">
        <w:rPr>
          <w:noProof/>
        </w:rPr>
        <w:t>a)</w:t>
      </w:r>
      <w:r w:rsidRPr="00C34031">
        <w:rPr>
          <w:noProof/>
        </w:rPr>
        <w:tab/>
        <w:t>písmeno b) se nahrazuje tímto:</w:t>
      </w:r>
    </w:p>
    <w:p w14:paraId="1161A35B" w14:textId="77777777" w:rsidR="005709A6" w:rsidRPr="00C34031" w:rsidRDefault="00E96575" w:rsidP="00CD359D">
      <w:pPr>
        <w:ind w:left="850"/>
        <w:rPr>
          <w:noProof/>
        </w:rPr>
      </w:pPr>
      <w:r w:rsidRPr="00C34031">
        <w:rPr>
          <w:noProof/>
        </w:rPr>
        <w:t xml:space="preserve"> „ustanovení čl. 2 odst. 2, články 4, 6 až 9, 15 a 19, článek 21 až čl. 22 odst. 1, čl. 22 odst. 3, články 27 a 31 se použijí ode dne 1. ledna 2026.“;</w:t>
      </w:r>
    </w:p>
    <w:p w14:paraId="69C491CE" w14:textId="77777777" w:rsidR="00E96575" w:rsidRPr="00C34031" w:rsidRDefault="0074784E" w:rsidP="0074784E">
      <w:pPr>
        <w:pStyle w:val="Point1"/>
        <w:rPr>
          <w:noProof/>
        </w:rPr>
      </w:pPr>
      <w:r w:rsidRPr="00C34031">
        <w:rPr>
          <w:noProof/>
        </w:rPr>
        <w:t>b)</w:t>
      </w:r>
      <w:r w:rsidRPr="00C34031">
        <w:rPr>
          <w:noProof/>
        </w:rPr>
        <w:tab/>
        <w:t xml:space="preserve">doplňují se nové body, které znějí: </w:t>
      </w:r>
    </w:p>
    <w:p w14:paraId="351A6B12" w14:textId="77777777" w:rsidR="000976DB" w:rsidRPr="00C34031" w:rsidRDefault="00CD359D" w:rsidP="00CD359D">
      <w:pPr>
        <w:ind w:left="850"/>
        <w:rPr>
          <w:noProof/>
        </w:rPr>
      </w:pPr>
      <w:r w:rsidRPr="00C34031">
        <w:rPr>
          <w:noProof/>
        </w:rPr>
        <w:t>c) ustanovení čl. 22 odst. 2 se použije ode dne 1. ledna 2027;</w:t>
      </w:r>
    </w:p>
    <w:p w14:paraId="518A6635" w14:textId="77777777" w:rsidR="007F2872" w:rsidRPr="00C34031" w:rsidRDefault="00CD359D" w:rsidP="00CD359D">
      <w:pPr>
        <w:ind w:left="850"/>
        <w:rPr>
          <w:noProof/>
        </w:rPr>
      </w:pPr>
      <w:r w:rsidRPr="00C34031">
        <w:rPr>
          <w:noProof/>
        </w:rPr>
        <w:t>d) ustanovení čl. 20 odst. 1, 3, 4 a 5 se použijí ode dne 1. února 2027.“</w:t>
      </w:r>
    </w:p>
    <w:p w14:paraId="457FE2D5" w14:textId="77777777" w:rsidR="00C42145" w:rsidRPr="00C34031" w:rsidRDefault="0074784E" w:rsidP="0074784E">
      <w:pPr>
        <w:pStyle w:val="Point0"/>
        <w:rPr>
          <w:noProof/>
        </w:rPr>
      </w:pPr>
      <w:r w:rsidRPr="00C34031">
        <w:rPr>
          <w:noProof/>
        </w:rPr>
        <w:t>26)</w:t>
      </w:r>
      <w:r w:rsidRPr="00C34031">
        <w:rPr>
          <w:noProof/>
        </w:rPr>
        <w:tab/>
        <w:t>V příloze I se znění kódu KN „2507 00 80 – Jiné kaolinitické jíly“ nahrazuje slovy „2507 00 80 – Jiné kaolinitické jíly [kromě nekalcinovaných kaolinitických jílů]“.</w:t>
      </w:r>
    </w:p>
    <w:p w14:paraId="562DEE94" w14:textId="77777777" w:rsidR="00BF4593" w:rsidRPr="00C34031" w:rsidRDefault="0074784E" w:rsidP="0074784E">
      <w:pPr>
        <w:pStyle w:val="Point0"/>
        <w:rPr>
          <w:noProof/>
        </w:rPr>
      </w:pPr>
      <w:r w:rsidRPr="00C34031">
        <w:rPr>
          <w:noProof/>
        </w:rPr>
        <w:t>27)</w:t>
      </w:r>
      <w:r w:rsidRPr="00C34031">
        <w:rPr>
          <w:noProof/>
        </w:rPr>
        <w:tab/>
        <w:t xml:space="preserve">V příloze II se doplňuje nová tabulka, která zní: </w:t>
      </w:r>
    </w:p>
    <w:p w14:paraId="3B267E81" w14:textId="77777777" w:rsidR="007D56F6" w:rsidRPr="00C34031" w:rsidRDefault="007D56F6" w:rsidP="007D56F6">
      <w:pPr>
        <w:ind w:left="850"/>
        <w:rPr>
          <w:noProof/>
        </w:rPr>
      </w:pPr>
      <w:r w:rsidRPr="00C34031">
        <w:rPr>
          <w:noProof/>
        </w:rPr>
        <w:t xml:space="preserve">  „[Elektřina</w:t>
      </w:r>
    </w:p>
    <w:tbl>
      <w:tblPr>
        <w:tblStyle w:val="TableGrid"/>
        <w:tblW w:w="0" w:type="auto"/>
        <w:tblInd w:w="1218" w:type="dxa"/>
        <w:tblLook w:val="04A0" w:firstRow="1" w:lastRow="0" w:firstColumn="1" w:lastColumn="0" w:noHBand="0" w:noVBand="1"/>
      </w:tblPr>
      <w:tblGrid>
        <w:gridCol w:w="3321"/>
        <w:gridCol w:w="3321"/>
      </w:tblGrid>
      <w:tr w:rsidR="007D56F6" w:rsidRPr="00C34031" w14:paraId="02638A11" w14:textId="77777777" w:rsidTr="00682576">
        <w:trPr>
          <w:trHeight w:val="257"/>
        </w:trPr>
        <w:tc>
          <w:tcPr>
            <w:tcW w:w="3321" w:type="dxa"/>
          </w:tcPr>
          <w:p w14:paraId="4ECFF36E" w14:textId="77777777" w:rsidR="007D56F6" w:rsidRPr="00C34031" w:rsidRDefault="007D56F6" w:rsidP="007D56F6">
            <w:pPr>
              <w:ind w:left="850"/>
              <w:rPr>
                <w:rFonts w:eastAsiaTheme="minorHAnsi"/>
                <w:noProof/>
                <w:szCs w:val="22"/>
              </w:rPr>
            </w:pPr>
            <w:r w:rsidRPr="00C34031">
              <w:rPr>
                <w:noProof/>
              </w:rPr>
              <w:t>Kód KN</w:t>
            </w:r>
          </w:p>
        </w:tc>
        <w:tc>
          <w:tcPr>
            <w:tcW w:w="3321" w:type="dxa"/>
          </w:tcPr>
          <w:p w14:paraId="1ABA9143" w14:textId="77777777" w:rsidR="007D56F6" w:rsidRPr="00C34031" w:rsidRDefault="007D56F6" w:rsidP="007D56F6">
            <w:pPr>
              <w:ind w:left="850"/>
              <w:rPr>
                <w:rFonts w:eastAsiaTheme="minorHAnsi"/>
                <w:noProof/>
                <w:szCs w:val="22"/>
              </w:rPr>
            </w:pPr>
            <w:r w:rsidRPr="00C34031">
              <w:rPr>
                <w:noProof/>
              </w:rPr>
              <w:t>Skleníkový plyn</w:t>
            </w:r>
          </w:p>
        </w:tc>
      </w:tr>
      <w:tr w:rsidR="007D56F6" w:rsidRPr="00C34031" w14:paraId="4323553D" w14:textId="77777777" w:rsidTr="00682576">
        <w:trPr>
          <w:trHeight w:val="246"/>
        </w:trPr>
        <w:tc>
          <w:tcPr>
            <w:tcW w:w="3321" w:type="dxa"/>
          </w:tcPr>
          <w:p w14:paraId="3FB44FAB" w14:textId="77777777" w:rsidR="007D56F6" w:rsidRPr="00C34031" w:rsidRDefault="007D56F6" w:rsidP="007D56F6">
            <w:pPr>
              <w:ind w:left="850"/>
              <w:rPr>
                <w:rFonts w:eastAsiaTheme="minorHAnsi"/>
                <w:noProof/>
                <w:szCs w:val="22"/>
              </w:rPr>
            </w:pPr>
            <w:r w:rsidRPr="00C34031">
              <w:rPr>
                <w:noProof/>
              </w:rPr>
              <w:t>2716 00 00 – Elektrická energie</w:t>
            </w:r>
          </w:p>
        </w:tc>
        <w:tc>
          <w:tcPr>
            <w:tcW w:w="3321" w:type="dxa"/>
          </w:tcPr>
          <w:p w14:paraId="03613462" w14:textId="77777777" w:rsidR="007D56F6" w:rsidRPr="00C34031" w:rsidRDefault="007D56F6" w:rsidP="007D56F6">
            <w:pPr>
              <w:ind w:left="850"/>
              <w:rPr>
                <w:rFonts w:eastAsiaTheme="minorHAnsi"/>
                <w:noProof/>
                <w:szCs w:val="22"/>
              </w:rPr>
            </w:pPr>
            <w:r w:rsidRPr="00C34031">
              <w:rPr>
                <w:noProof/>
              </w:rPr>
              <w:t>Oxid uhličitý</w:t>
            </w:r>
          </w:p>
        </w:tc>
      </w:tr>
    </w:tbl>
    <w:p w14:paraId="3D89E37F" w14:textId="77777777" w:rsidR="007D56F6" w:rsidRPr="00C34031" w:rsidRDefault="007D56F6" w:rsidP="007D56F6">
      <w:pPr>
        <w:ind w:left="850"/>
        <w:rPr>
          <w:noProof/>
        </w:rPr>
      </w:pPr>
      <w:r w:rsidRPr="00C34031">
        <w:rPr>
          <w:noProof/>
        </w:rPr>
        <w:tab/>
        <w:t>]“.</w:t>
      </w:r>
    </w:p>
    <w:p w14:paraId="6DE94CE9" w14:textId="77777777" w:rsidR="008645F9" w:rsidRPr="00C34031" w:rsidRDefault="0074784E" w:rsidP="0074784E">
      <w:pPr>
        <w:pStyle w:val="Point0"/>
        <w:rPr>
          <w:noProof/>
        </w:rPr>
      </w:pPr>
      <w:r w:rsidRPr="00C34031">
        <w:rPr>
          <w:noProof/>
        </w:rPr>
        <w:t>28)</w:t>
      </w:r>
      <w:r w:rsidRPr="00C34031">
        <w:rPr>
          <w:noProof/>
        </w:rPr>
        <w:tab/>
        <w:t xml:space="preserve">Příloha IV se mění v souladu s přílohou I tohoto nařízení. </w:t>
      </w:r>
    </w:p>
    <w:p w14:paraId="2A387551" w14:textId="77777777" w:rsidR="00946998" w:rsidRPr="00C34031" w:rsidRDefault="005A7561" w:rsidP="00ED3746">
      <w:pPr>
        <w:ind w:left="850"/>
        <w:rPr>
          <w:noProof/>
        </w:rPr>
      </w:pPr>
      <w:r w:rsidRPr="00C34031">
        <w:rPr>
          <w:noProof/>
        </w:rPr>
        <w:t>V příloze VI oddíle 2 písm. k) se bod iii) nahrazuje tímto: iii) identifikace zařízení, kde byl vstupní materiál (prekurzor) vyroben, a skutečné emise vzniklé při výrobě tohoto materiálu;“.</w:t>
      </w:r>
    </w:p>
    <w:p w14:paraId="52F962D7" w14:textId="77777777" w:rsidR="008645F9" w:rsidRPr="00C34031" w:rsidRDefault="0074784E" w:rsidP="0074784E">
      <w:pPr>
        <w:pStyle w:val="Point0"/>
        <w:rPr>
          <w:noProof/>
        </w:rPr>
      </w:pPr>
      <w:r w:rsidRPr="00C34031">
        <w:rPr>
          <w:noProof/>
        </w:rPr>
        <w:t>29)</w:t>
      </w:r>
      <w:r w:rsidRPr="00C34031">
        <w:rPr>
          <w:noProof/>
        </w:rPr>
        <w:tab/>
        <w:t xml:space="preserve">Doplňuje se nová příloha VII v souladu s přílohou II tohoto nařízení. </w:t>
      </w:r>
    </w:p>
    <w:p w14:paraId="4451B7B5" w14:textId="77777777" w:rsidR="00741D62" w:rsidRPr="00C34031" w:rsidRDefault="00741D62" w:rsidP="00741D62">
      <w:pPr>
        <w:pStyle w:val="Titrearticle"/>
        <w:rPr>
          <w:noProof/>
        </w:rPr>
      </w:pPr>
      <w:r w:rsidRPr="00C34031">
        <w:rPr>
          <w:noProof/>
        </w:rPr>
        <w:t>Článek 2</w:t>
      </w:r>
    </w:p>
    <w:p w14:paraId="0E018049" w14:textId="77777777" w:rsidR="00741D62" w:rsidRPr="00C34031" w:rsidRDefault="00741D62" w:rsidP="00741D62">
      <w:pPr>
        <w:pStyle w:val="Titrearticle"/>
        <w:rPr>
          <w:b/>
          <w:bCs/>
          <w:i w:val="0"/>
          <w:iCs/>
          <w:noProof/>
        </w:rPr>
      </w:pPr>
      <w:r w:rsidRPr="00C34031">
        <w:rPr>
          <w:b/>
          <w:i w:val="0"/>
          <w:noProof/>
        </w:rPr>
        <w:t>Vstup v platnost</w:t>
      </w:r>
    </w:p>
    <w:p w14:paraId="6AA328B7" w14:textId="77777777" w:rsidR="00741D62" w:rsidRPr="00C34031" w:rsidRDefault="00741D62" w:rsidP="00741D62">
      <w:pPr>
        <w:rPr>
          <w:noProof/>
        </w:rPr>
      </w:pPr>
      <w:r w:rsidRPr="00C34031">
        <w:rPr>
          <w:noProof/>
        </w:rPr>
        <w:t>Toto nařízení vstupuje v platnost třetím dnem po vyhlášení v </w:t>
      </w:r>
      <w:r w:rsidRPr="00C34031">
        <w:rPr>
          <w:i/>
          <w:noProof/>
        </w:rPr>
        <w:t>Úředním věstníku Evropské unie</w:t>
      </w:r>
      <w:r w:rsidRPr="00C34031">
        <w:rPr>
          <w:noProof/>
        </w:rPr>
        <w:t>. </w:t>
      </w:r>
    </w:p>
    <w:p w14:paraId="105DD72A" w14:textId="77777777" w:rsidR="00741D62" w:rsidRPr="00C34031" w:rsidRDefault="00741D62" w:rsidP="00A26F5D">
      <w:pPr>
        <w:keepNext/>
        <w:keepLines/>
        <w:rPr>
          <w:noProof/>
        </w:rPr>
      </w:pPr>
      <w:r w:rsidRPr="00C34031">
        <w:rPr>
          <w:noProof/>
        </w:rPr>
        <w:t>Toto nařízení je závazné v celém rozsahu a přímo použitelné ve všech členských státech. </w:t>
      </w:r>
    </w:p>
    <w:p w14:paraId="7B142232" w14:textId="05B2C53E" w:rsidR="00FA5543" w:rsidRPr="00C34031" w:rsidRDefault="0011563D" w:rsidP="00A26F5D">
      <w:pPr>
        <w:pStyle w:val="Fait"/>
        <w:rPr>
          <w:noProof/>
        </w:rPr>
      </w:pPr>
      <w:r>
        <w:rPr>
          <w:noProof/>
        </w:rPr>
        <w:t>V Bruselu dne</w:t>
      </w:r>
    </w:p>
    <w:p w14:paraId="4E70E45B" w14:textId="77777777" w:rsidR="00FA5543" w:rsidRPr="00C34031" w:rsidRDefault="00FA5543" w:rsidP="00A26F5D">
      <w:pPr>
        <w:pStyle w:val="Institutionquisigne"/>
        <w:rPr>
          <w:noProof/>
        </w:rPr>
      </w:pPr>
      <w:r w:rsidRPr="00C34031">
        <w:rPr>
          <w:noProof/>
        </w:rPr>
        <w:t>Za Evropský parlament</w:t>
      </w:r>
      <w:r w:rsidRPr="00C34031">
        <w:rPr>
          <w:noProof/>
        </w:rPr>
        <w:tab/>
        <w:t>Za Radu</w:t>
      </w:r>
    </w:p>
    <w:p w14:paraId="5BF54B34" w14:textId="77777777" w:rsidR="00487EF7" w:rsidRPr="00C34031" w:rsidRDefault="00FA5543" w:rsidP="00A26F5D">
      <w:pPr>
        <w:pStyle w:val="Personnequisigne"/>
        <w:keepNext/>
        <w:rPr>
          <w:noProof/>
        </w:rPr>
      </w:pPr>
      <w:r w:rsidRPr="00C34031">
        <w:rPr>
          <w:noProof/>
        </w:rPr>
        <w:t>předseda/předsedkyně</w:t>
      </w:r>
      <w:r w:rsidRPr="00C34031">
        <w:rPr>
          <w:noProof/>
        </w:rPr>
        <w:tab/>
        <w:t>předseda/předsedkyně</w:t>
      </w:r>
    </w:p>
    <w:p w14:paraId="6C52E30E" w14:textId="77777777" w:rsidR="00643433" w:rsidRPr="00C34031" w:rsidRDefault="00643433" w:rsidP="00A26F5D">
      <w:pPr>
        <w:keepNext/>
        <w:spacing w:before="0" w:after="200" w:line="276" w:lineRule="auto"/>
        <w:jc w:val="left"/>
        <w:rPr>
          <w:i/>
          <w:noProof/>
        </w:rPr>
      </w:pPr>
      <w:r w:rsidRPr="00C34031">
        <w:rPr>
          <w:noProof/>
        </w:rPr>
        <w:br w:type="page"/>
      </w:r>
    </w:p>
    <w:p w14:paraId="42DD6FC5" w14:textId="77777777" w:rsidR="004D30D3" w:rsidRPr="00C34031" w:rsidRDefault="004D30D3" w:rsidP="00F605F1">
      <w:pPr>
        <w:pStyle w:val="Institutionquisigne"/>
        <w:rPr>
          <w:noProof/>
        </w:rPr>
      </w:pPr>
    </w:p>
    <w:p w14:paraId="4415B0C2" w14:textId="77777777" w:rsidR="00FA5543" w:rsidRPr="00C34031" w:rsidRDefault="00FA5543" w:rsidP="00390489">
      <w:pPr>
        <w:pStyle w:val="Fichefinanciretitre"/>
        <w:keepNext/>
        <w:rPr>
          <w:noProof/>
        </w:rPr>
      </w:pPr>
      <w:r w:rsidRPr="00C34031">
        <w:rPr>
          <w:noProof/>
        </w:rPr>
        <w:t>LEGISLATIVNÍ FINANČNÍ A DIGITÁLNÍ VÝKAZ</w:t>
      </w:r>
    </w:p>
    <w:p w14:paraId="0F2AD44D" w14:textId="77777777" w:rsidR="00FA5543" w:rsidRPr="00C34031" w:rsidRDefault="00FA5543" w:rsidP="00390489">
      <w:pPr>
        <w:pStyle w:val="TOC1"/>
        <w:rPr>
          <w:rFonts w:asciiTheme="minorHAnsi" w:eastAsiaTheme="minorEastAsia" w:hAnsiTheme="minorHAnsi" w:cstheme="minorBidi"/>
          <w:noProof/>
          <w:kern w:val="2"/>
          <w:sz w:val="22"/>
          <w14:ligatures w14:val="standardContextual"/>
        </w:rPr>
      </w:pPr>
      <w:r w:rsidRPr="00C34031">
        <w:rPr>
          <w:noProof/>
        </w:rPr>
        <w:t>1.</w:t>
      </w:r>
      <w:r w:rsidRPr="00C34031">
        <w:rPr>
          <w:rFonts w:asciiTheme="minorHAnsi" w:hAnsiTheme="minorHAnsi"/>
          <w:noProof/>
          <w:sz w:val="22"/>
        </w:rPr>
        <w:tab/>
      </w:r>
      <w:r w:rsidRPr="00C34031">
        <w:rPr>
          <w:noProof/>
        </w:rPr>
        <w:t>RÁMEC NÁVRHU/PODNĚTU</w:t>
      </w:r>
      <w:r w:rsidRPr="00C34031">
        <w:rPr>
          <w:noProof/>
          <w:webHidden/>
        </w:rPr>
        <w:tab/>
        <w:t>3</w:t>
      </w:r>
    </w:p>
    <w:p w14:paraId="791F4EEF"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1.1.</w:t>
      </w:r>
      <w:r w:rsidRPr="00C34031">
        <w:rPr>
          <w:rFonts w:asciiTheme="minorHAnsi" w:hAnsiTheme="minorHAnsi"/>
          <w:noProof/>
          <w:sz w:val="22"/>
        </w:rPr>
        <w:tab/>
      </w:r>
      <w:r w:rsidRPr="00C34031">
        <w:rPr>
          <w:noProof/>
        </w:rPr>
        <w:t>Název návrhu/podnětu</w:t>
      </w:r>
      <w:r w:rsidRPr="00C34031">
        <w:rPr>
          <w:noProof/>
          <w:webHidden/>
        </w:rPr>
        <w:tab/>
        <w:t>3</w:t>
      </w:r>
    </w:p>
    <w:p w14:paraId="4124132C"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1.2.</w:t>
      </w:r>
      <w:r w:rsidRPr="00C34031">
        <w:rPr>
          <w:rFonts w:asciiTheme="minorHAnsi" w:hAnsiTheme="minorHAnsi"/>
          <w:noProof/>
          <w:sz w:val="22"/>
        </w:rPr>
        <w:tab/>
      </w:r>
      <w:r w:rsidRPr="00C34031">
        <w:rPr>
          <w:noProof/>
        </w:rPr>
        <w:t>Příslušné oblasti politik</w:t>
      </w:r>
      <w:r w:rsidRPr="00C34031">
        <w:rPr>
          <w:noProof/>
          <w:webHidden/>
        </w:rPr>
        <w:tab/>
        <w:t>3</w:t>
      </w:r>
    </w:p>
    <w:p w14:paraId="20004BA3"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1.3.</w:t>
      </w:r>
      <w:r w:rsidRPr="00C34031">
        <w:rPr>
          <w:rFonts w:asciiTheme="minorHAnsi" w:hAnsiTheme="minorHAnsi"/>
          <w:noProof/>
          <w:sz w:val="22"/>
        </w:rPr>
        <w:tab/>
      </w:r>
      <w:r w:rsidRPr="00C34031">
        <w:rPr>
          <w:noProof/>
        </w:rPr>
        <w:t>Cíle</w:t>
      </w:r>
      <w:r w:rsidRPr="00C34031">
        <w:rPr>
          <w:noProof/>
          <w:webHidden/>
        </w:rPr>
        <w:tab/>
        <w:t>3</w:t>
      </w:r>
    </w:p>
    <w:p w14:paraId="46627F16"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1.3.1.</w:t>
      </w:r>
      <w:r w:rsidRPr="00C34031">
        <w:rPr>
          <w:rFonts w:asciiTheme="minorHAnsi" w:hAnsiTheme="minorHAnsi"/>
          <w:noProof/>
          <w:sz w:val="22"/>
        </w:rPr>
        <w:tab/>
      </w:r>
      <w:r w:rsidRPr="00C34031">
        <w:rPr>
          <w:noProof/>
        </w:rPr>
        <w:t>Obecné cíle</w:t>
      </w:r>
      <w:r w:rsidRPr="00C34031">
        <w:rPr>
          <w:noProof/>
          <w:webHidden/>
        </w:rPr>
        <w:tab/>
        <w:t>3</w:t>
      </w:r>
    </w:p>
    <w:p w14:paraId="4BB244C9"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1.3.2.</w:t>
      </w:r>
      <w:r w:rsidRPr="00C34031">
        <w:rPr>
          <w:rFonts w:asciiTheme="minorHAnsi" w:hAnsiTheme="minorHAnsi"/>
          <w:noProof/>
          <w:sz w:val="22"/>
        </w:rPr>
        <w:tab/>
      </w:r>
      <w:r w:rsidRPr="00C34031">
        <w:rPr>
          <w:noProof/>
        </w:rPr>
        <w:t>Specifické cíle</w:t>
      </w:r>
      <w:r w:rsidRPr="00C34031">
        <w:rPr>
          <w:noProof/>
          <w:webHidden/>
        </w:rPr>
        <w:tab/>
        <w:t>3</w:t>
      </w:r>
    </w:p>
    <w:p w14:paraId="1105AC0A"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1.3.3.</w:t>
      </w:r>
      <w:r w:rsidRPr="00C34031">
        <w:rPr>
          <w:rFonts w:asciiTheme="minorHAnsi" w:hAnsiTheme="minorHAnsi"/>
          <w:noProof/>
          <w:sz w:val="22"/>
        </w:rPr>
        <w:tab/>
      </w:r>
      <w:r w:rsidRPr="00C34031">
        <w:rPr>
          <w:noProof/>
        </w:rPr>
        <w:t>Očekávané výsledky a dopady</w:t>
      </w:r>
      <w:r w:rsidRPr="00C34031">
        <w:rPr>
          <w:noProof/>
          <w:webHidden/>
        </w:rPr>
        <w:tab/>
        <w:t>3</w:t>
      </w:r>
    </w:p>
    <w:p w14:paraId="21A5A705"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1.3.4.</w:t>
      </w:r>
      <w:r w:rsidRPr="00C34031">
        <w:rPr>
          <w:rFonts w:asciiTheme="minorHAnsi" w:hAnsiTheme="minorHAnsi"/>
          <w:noProof/>
          <w:sz w:val="22"/>
        </w:rPr>
        <w:tab/>
      </w:r>
      <w:r w:rsidRPr="00C34031">
        <w:rPr>
          <w:noProof/>
        </w:rPr>
        <w:t>Ukazatele výkonnosti</w:t>
      </w:r>
      <w:r w:rsidRPr="00C34031">
        <w:rPr>
          <w:noProof/>
          <w:webHidden/>
        </w:rPr>
        <w:tab/>
        <w:t>3</w:t>
      </w:r>
    </w:p>
    <w:p w14:paraId="6B0524CF"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1.4.</w:t>
      </w:r>
      <w:r w:rsidRPr="00C34031">
        <w:rPr>
          <w:rFonts w:asciiTheme="minorHAnsi" w:hAnsiTheme="minorHAnsi"/>
          <w:noProof/>
          <w:sz w:val="22"/>
        </w:rPr>
        <w:tab/>
      </w:r>
      <w:r w:rsidRPr="00C34031">
        <w:rPr>
          <w:noProof/>
        </w:rPr>
        <w:t>Návrh/podnět se týká:</w:t>
      </w:r>
      <w:r w:rsidRPr="00C34031">
        <w:rPr>
          <w:noProof/>
          <w:webHidden/>
        </w:rPr>
        <w:tab/>
        <w:t>4</w:t>
      </w:r>
    </w:p>
    <w:p w14:paraId="3F6209AB"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1.5.</w:t>
      </w:r>
      <w:r w:rsidRPr="00C34031">
        <w:rPr>
          <w:rFonts w:asciiTheme="minorHAnsi" w:hAnsiTheme="minorHAnsi"/>
          <w:noProof/>
          <w:sz w:val="22"/>
        </w:rPr>
        <w:tab/>
      </w:r>
      <w:r w:rsidRPr="00C34031">
        <w:rPr>
          <w:noProof/>
        </w:rPr>
        <w:t>Odůvodnění návrhu/podnětu</w:t>
      </w:r>
      <w:r w:rsidRPr="00C34031">
        <w:rPr>
          <w:noProof/>
          <w:webHidden/>
        </w:rPr>
        <w:tab/>
        <w:t>4</w:t>
      </w:r>
    </w:p>
    <w:p w14:paraId="2F19B153"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1.5.1.</w:t>
      </w:r>
      <w:r w:rsidRPr="00C34031">
        <w:rPr>
          <w:rFonts w:asciiTheme="minorHAnsi" w:hAnsiTheme="minorHAnsi"/>
          <w:noProof/>
          <w:sz w:val="22"/>
        </w:rPr>
        <w:tab/>
      </w:r>
      <w:r w:rsidRPr="00C34031">
        <w:rPr>
          <w:noProof/>
        </w:rPr>
        <w:t>Potřeby, které mají být uspokojeny v krátkodobém nebo dlouhodobém horizontu, včetně podrobného harmonogramu pro zahajovací fázi provádění podnětu</w:t>
      </w:r>
      <w:r w:rsidRPr="00C34031">
        <w:rPr>
          <w:noProof/>
          <w:webHidden/>
        </w:rPr>
        <w:tab/>
        <w:t>4</w:t>
      </w:r>
    </w:p>
    <w:p w14:paraId="07B48C95"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1.5.2.</w:t>
      </w:r>
      <w:r w:rsidRPr="00C34031">
        <w:rPr>
          <w:rFonts w:asciiTheme="minorHAnsi" w:hAnsiTheme="minorHAnsi"/>
          <w:noProof/>
          <w:sz w:val="22"/>
        </w:rPr>
        <w:tab/>
      </w:r>
      <w:r w:rsidRPr="00C34031">
        <w:rPr>
          <w:noProof/>
        </w:rPr>
        <w:t>Přidaná hodnota ze zapojení EU (může být důsledkem různých faktorů, např. přínosů z koordinace, právní jistoty, vyšší účinnosti nebo doplňkovosti). Pro účely tohoto oddílu se „přidanou hodnotou ze zapojení EU“ rozumí hodnota plynoucí z akce Unie, jež doplňuje hodnotu, která by jinak vznikla činností samotných členských států.</w:t>
      </w:r>
      <w:r w:rsidRPr="00C34031">
        <w:rPr>
          <w:noProof/>
          <w:webHidden/>
        </w:rPr>
        <w:tab/>
        <w:t>4</w:t>
      </w:r>
    </w:p>
    <w:p w14:paraId="3481D1EC"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1.5.3.</w:t>
      </w:r>
      <w:r w:rsidRPr="00C34031">
        <w:rPr>
          <w:rFonts w:asciiTheme="minorHAnsi" w:hAnsiTheme="minorHAnsi"/>
          <w:noProof/>
          <w:sz w:val="22"/>
        </w:rPr>
        <w:tab/>
      </w:r>
      <w:r w:rsidRPr="00C34031">
        <w:rPr>
          <w:noProof/>
        </w:rPr>
        <w:t>Závěry vyvozené z podobných zkušeností v minulosti</w:t>
      </w:r>
      <w:r w:rsidRPr="00C34031">
        <w:rPr>
          <w:noProof/>
          <w:webHidden/>
        </w:rPr>
        <w:tab/>
        <w:t>4</w:t>
      </w:r>
    </w:p>
    <w:p w14:paraId="735F2180"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1.5.4.</w:t>
      </w:r>
      <w:r w:rsidRPr="00C34031">
        <w:rPr>
          <w:rFonts w:asciiTheme="minorHAnsi" w:hAnsiTheme="minorHAnsi"/>
          <w:noProof/>
          <w:sz w:val="22"/>
        </w:rPr>
        <w:tab/>
      </w:r>
      <w:r w:rsidRPr="00C34031">
        <w:rPr>
          <w:noProof/>
        </w:rPr>
        <w:t>Slučitelnost s víceletým finančním rámcem a možné synergie s dalšími vhodnými nástroji</w:t>
      </w:r>
      <w:r w:rsidRPr="00C34031">
        <w:rPr>
          <w:noProof/>
          <w:webHidden/>
        </w:rPr>
        <w:tab/>
        <w:t>5</w:t>
      </w:r>
    </w:p>
    <w:p w14:paraId="23951261"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1.5.5.</w:t>
      </w:r>
      <w:r w:rsidRPr="00C34031">
        <w:rPr>
          <w:rFonts w:asciiTheme="minorHAnsi" w:hAnsiTheme="minorHAnsi"/>
          <w:noProof/>
          <w:sz w:val="22"/>
        </w:rPr>
        <w:tab/>
      </w:r>
      <w:r w:rsidRPr="00C34031">
        <w:rPr>
          <w:noProof/>
        </w:rPr>
        <w:t>Posouzení různých dostupných možností financování, včetně prostoru pro přerozdělení prostředků</w:t>
      </w:r>
      <w:r w:rsidRPr="00C34031">
        <w:rPr>
          <w:noProof/>
          <w:webHidden/>
        </w:rPr>
        <w:tab/>
        <w:t>5</w:t>
      </w:r>
    </w:p>
    <w:p w14:paraId="28EED5DA"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1.6.</w:t>
      </w:r>
      <w:r w:rsidRPr="00C34031">
        <w:rPr>
          <w:rFonts w:asciiTheme="minorHAnsi" w:hAnsiTheme="minorHAnsi"/>
          <w:noProof/>
          <w:sz w:val="22"/>
        </w:rPr>
        <w:tab/>
      </w:r>
      <w:r w:rsidRPr="00C34031">
        <w:rPr>
          <w:noProof/>
        </w:rPr>
        <w:t>Doba trvání návrhu/podnětu a jeho finančního dopadu</w:t>
      </w:r>
      <w:r w:rsidRPr="00C34031">
        <w:rPr>
          <w:noProof/>
          <w:webHidden/>
        </w:rPr>
        <w:tab/>
        <w:t>6</w:t>
      </w:r>
    </w:p>
    <w:p w14:paraId="6D8ED207"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1.7.</w:t>
      </w:r>
      <w:r w:rsidRPr="00C34031">
        <w:rPr>
          <w:rFonts w:asciiTheme="minorHAnsi" w:hAnsiTheme="minorHAnsi"/>
          <w:noProof/>
          <w:sz w:val="22"/>
        </w:rPr>
        <w:tab/>
      </w:r>
      <w:r w:rsidRPr="00C34031">
        <w:rPr>
          <w:noProof/>
        </w:rPr>
        <w:t>Předpokládaný způsob plnění rozpočtu</w:t>
      </w:r>
      <w:r w:rsidRPr="00C34031">
        <w:rPr>
          <w:noProof/>
          <w:webHidden/>
        </w:rPr>
        <w:tab/>
        <w:t>6</w:t>
      </w:r>
    </w:p>
    <w:p w14:paraId="1B1C3B79" w14:textId="77777777" w:rsidR="00FA5543" w:rsidRPr="00C34031" w:rsidRDefault="00FA5543" w:rsidP="00390489">
      <w:pPr>
        <w:pStyle w:val="TOC1"/>
        <w:rPr>
          <w:rFonts w:asciiTheme="minorHAnsi" w:eastAsiaTheme="minorEastAsia" w:hAnsiTheme="minorHAnsi" w:cstheme="minorBidi"/>
          <w:noProof/>
          <w:kern w:val="2"/>
          <w:sz w:val="22"/>
          <w14:ligatures w14:val="standardContextual"/>
        </w:rPr>
      </w:pPr>
      <w:r w:rsidRPr="00C34031">
        <w:rPr>
          <w:noProof/>
        </w:rPr>
        <w:t>2.</w:t>
      </w:r>
      <w:r w:rsidRPr="00C34031">
        <w:rPr>
          <w:rFonts w:asciiTheme="minorHAnsi" w:hAnsiTheme="minorHAnsi"/>
          <w:noProof/>
          <w:sz w:val="22"/>
        </w:rPr>
        <w:tab/>
      </w:r>
      <w:r w:rsidRPr="00C34031">
        <w:rPr>
          <w:noProof/>
        </w:rPr>
        <w:t>SPRÁVNÍ OPATŘENÍ</w:t>
      </w:r>
      <w:r w:rsidRPr="00C34031">
        <w:rPr>
          <w:noProof/>
          <w:webHidden/>
        </w:rPr>
        <w:tab/>
        <w:t>8</w:t>
      </w:r>
    </w:p>
    <w:p w14:paraId="25225E36"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2.1.</w:t>
      </w:r>
      <w:r w:rsidRPr="00C34031">
        <w:rPr>
          <w:rFonts w:asciiTheme="minorHAnsi" w:hAnsiTheme="minorHAnsi"/>
          <w:noProof/>
          <w:sz w:val="22"/>
        </w:rPr>
        <w:tab/>
      </w:r>
      <w:r w:rsidRPr="00C34031">
        <w:rPr>
          <w:noProof/>
        </w:rPr>
        <w:t>Pravidla pro sledování a podávání zpráv</w:t>
      </w:r>
      <w:r w:rsidRPr="00C34031">
        <w:rPr>
          <w:noProof/>
          <w:webHidden/>
        </w:rPr>
        <w:tab/>
        <w:t>8</w:t>
      </w:r>
    </w:p>
    <w:p w14:paraId="3284FB82"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2.2.</w:t>
      </w:r>
      <w:r w:rsidRPr="00C34031">
        <w:rPr>
          <w:rFonts w:asciiTheme="minorHAnsi" w:hAnsiTheme="minorHAnsi"/>
          <w:noProof/>
          <w:sz w:val="22"/>
        </w:rPr>
        <w:tab/>
      </w:r>
      <w:r w:rsidRPr="00C34031">
        <w:rPr>
          <w:noProof/>
        </w:rPr>
        <w:t>Systémy řízení a kontroly</w:t>
      </w:r>
      <w:r w:rsidRPr="00C34031">
        <w:rPr>
          <w:noProof/>
          <w:webHidden/>
        </w:rPr>
        <w:tab/>
        <w:t>8</w:t>
      </w:r>
    </w:p>
    <w:p w14:paraId="32B1856A"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2.2.1.</w:t>
      </w:r>
      <w:r w:rsidRPr="00C34031">
        <w:rPr>
          <w:rFonts w:asciiTheme="minorHAnsi" w:hAnsiTheme="minorHAnsi"/>
          <w:noProof/>
          <w:sz w:val="22"/>
        </w:rPr>
        <w:tab/>
      </w:r>
      <w:r w:rsidRPr="00C34031">
        <w:rPr>
          <w:noProof/>
        </w:rPr>
        <w:t>Odůvodnění navrhovaných způsobů plnění rozpočtu, mechanismů provádění financování, způsobů plateb a kontrolní strategie</w:t>
      </w:r>
      <w:r w:rsidRPr="00C34031">
        <w:rPr>
          <w:noProof/>
          <w:webHidden/>
        </w:rPr>
        <w:tab/>
        <w:t>8</w:t>
      </w:r>
    </w:p>
    <w:p w14:paraId="5F580F85"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2.2.2.</w:t>
      </w:r>
      <w:r w:rsidRPr="00C34031">
        <w:rPr>
          <w:rFonts w:asciiTheme="minorHAnsi" w:hAnsiTheme="minorHAnsi"/>
          <w:noProof/>
          <w:sz w:val="22"/>
        </w:rPr>
        <w:tab/>
      </w:r>
      <w:r w:rsidRPr="00C34031">
        <w:rPr>
          <w:noProof/>
        </w:rPr>
        <w:t>Informace o zjištěných rizicích a systémech vnitřní kontroly zřízených k jejich zmírnění</w:t>
      </w:r>
      <w:r w:rsidRPr="00C34031">
        <w:rPr>
          <w:noProof/>
          <w:webHidden/>
        </w:rPr>
        <w:tab/>
        <w:t>8</w:t>
      </w:r>
    </w:p>
    <w:p w14:paraId="50583D41"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2.2.3.</w:t>
      </w:r>
      <w:r w:rsidRPr="00C34031">
        <w:rPr>
          <w:rFonts w:asciiTheme="minorHAnsi" w:hAnsiTheme="minorHAnsi"/>
          <w:noProof/>
          <w:sz w:val="22"/>
        </w:rPr>
        <w:tab/>
      </w:r>
      <w:r w:rsidRPr="00C34031">
        <w:rPr>
          <w:noProof/>
        </w:rPr>
        <w:t>Odhad a odůvodnění nákladové efektivnosti kontrol (poměr mezi náklady na kontroly a hodnotou souvisejících spravovaných finančních prostředků) a posouzení očekávané míry rizika výskytu chyb (při platbě a při uzávěrce)</w:t>
      </w:r>
      <w:r w:rsidRPr="00C34031">
        <w:rPr>
          <w:noProof/>
          <w:webHidden/>
        </w:rPr>
        <w:tab/>
        <w:t>8</w:t>
      </w:r>
    </w:p>
    <w:p w14:paraId="6432BB95"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2.3.</w:t>
      </w:r>
      <w:r w:rsidRPr="00C34031">
        <w:rPr>
          <w:rFonts w:asciiTheme="minorHAnsi" w:hAnsiTheme="minorHAnsi"/>
          <w:noProof/>
          <w:sz w:val="22"/>
        </w:rPr>
        <w:tab/>
      </w:r>
      <w:r w:rsidRPr="00C34031">
        <w:rPr>
          <w:noProof/>
        </w:rPr>
        <w:t>Opatření k zamezení podvodů a nesrovnalostí</w:t>
      </w:r>
      <w:r w:rsidRPr="00C34031">
        <w:rPr>
          <w:noProof/>
          <w:webHidden/>
        </w:rPr>
        <w:tab/>
        <w:t>9</w:t>
      </w:r>
    </w:p>
    <w:p w14:paraId="09531C39" w14:textId="77777777" w:rsidR="00FA5543" w:rsidRPr="00C34031" w:rsidRDefault="00FA5543" w:rsidP="00390489">
      <w:pPr>
        <w:pStyle w:val="TOC1"/>
        <w:rPr>
          <w:rFonts w:asciiTheme="minorHAnsi" w:eastAsiaTheme="minorEastAsia" w:hAnsiTheme="minorHAnsi" w:cstheme="minorBidi"/>
          <w:noProof/>
          <w:kern w:val="2"/>
          <w:sz w:val="22"/>
          <w14:ligatures w14:val="standardContextual"/>
        </w:rPr>
      </w:pPr>
      <w:r w:rsidRPr="00C34031">
        <w:rPr>
          <w:noProof/>
        </w:rPr>
        <w:t>3.</w:t>
      </w:r>
      <w:r w:rsidRPr="00C34031">
        <w:rPr>
          <w:rFonts w:asciiTheme="minorHAnsi" w:hAnsiTheme="minorHAnsi"/>
          <w:noProof/>
          <w:sz w:val="22"/>
        </w:rPr>
        <w:tab/>
      </w:r>
      <w:r w:rsidRPr="00C34031">
        <w:rPr>
          <w:noProof/>
        </w:rPr>
        <w:t>ODHADOVANÝ FINANČNÍ DOPAD NÁVRHU/PODNĚTU</w:t>
      </w:r>
      <w:r w:rsidRPr="00C34031">
        <w:rPr>
          <w:noProof/>
          <w:webHidden/>
        </w:rPr>
        <w:tab/>
        <w:t>10</w:t>
      </w:r>
    </w:p>
    <w:p w14:paraId="546E690F"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3.1.</w:t>
      </w:r>
      <w:r w:rsidRPr="00C34031">
        <w:rPr>
          <w:rFonts w:asciiTheme="minorHAnsi" w:hAnsiTheme="minorHAnsi"/>
          <w:noProof/>
          <w:sz w:val="22"/>
        </w:rPr>
        <w:tab/>
      </w:r>
      <w:r w:rsidRPr="00C34031">
        <w:rPr>
          <w:noProof/>
        </w:rPr>
        <w:t>Okruhy víceletého finančního rámce a dotčené výdajové rozpočtové položky</w:t>
      </w:r>
      <w:r w:rsidRPr="00C34031">
        <w:rPr>
          <w:noProof/>
          <w:webHidden/>
        </w:rPr>
        <w:tab/>
        <w:t>10</w:t>
      </w:r>
    </w:p>
    <w:p w14:paraId="2AC140B0"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3.2.</w:t>
      </w:r>
      <w:r w:rsidRPr="00C34031">
        <w:rPr>
          <w:rFonts w:asciiTheme="minorHAnsi" w:hAnsiTheme="minorHAnsi"/>
          <w:noProof/>
          <w:sz w:val="22"/>
        </w:rPr>
        <w:tab/>
      </w:r>
      <w:r w:rsidRPr="00C34031">
        <w:rPr>
          <w:noProof/>
        </w:rPr>
        <w:t>Odhadovaný finanční dopad návrhu na prostředky</w:t>
      </w:r>
      <w:r w:rsidRPr="00C34031">
        <w:rPr>
          <w:noProof/>
          <w:webHidden/>
        </w:rPr>
        <w:tab/>
        <w:t>12</w:t>
      </w:r>
    </w:p>
    <w:p w14:paraId="52DB6A6A"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3.2.1.</w:t>
      </w:r>
      <w:r w:rsidRPr="00C34031">
        <w:rPr>
          <w:rFonts w:asciiTheme="minorHAnsi" w:hAnsiTheme="minorHAnsi"/>
          <w:noProof/>
          <w:sz w:val="22"/>
        </w:rPr>
        <w:tab/>
      </w:r>
      <w:r w:rsidRPr="00C34031">
        <w:rPr>
          <w:noProof/>
        </w:rPr>
        <w:t>Odhadovaný souhrnný dopad na operační prostředky</w:t>
      </w:r>
      <w:r w:rsidRPr="00C34031">
        <w:rPr>
          <w:noProof/>
          <w:webHidden/>
        </w:rPr>
        <w:tab/>
        <w:t>12</w:t>
      </w:r>
    </w:p>
    <w:p w14:paraId="468E537A"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3.2.1.1.</w:t>
      </w:r>
      <w:r w:rsidRPr="00C34031">
        <w:rPr>
          <w:rFonts w:asciiTheme="minorHAnsi" w:hAnsiTheme="minorHAnsi"/>
          <w:noProof/>
          <w:sz w:val="22"/>
        </w:rPr>
        <w:tab/>
      </w:r>
      <w:r w:rsidRPr="00C34031">
        <w:rPr>
          <w:noProof/>
        </w:rPr>
        <w:t>Prostředky ze schváleného rozpočtu</w:t>
      </w:r>
      <w:r w:rsidRPr="00C34031">
        <w:rPr>
          <w:noProof/>
          <w:webHidden/>
        </w:rPr>
        <w:tab/>
        <w:t>12</w:t>
      </w:r>
    </w:p>
    <w:p w14:paraId="5D254988"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3.2.1.2.</w:t>
      </w:r>
      <w:r w:rsidRPr="00C34031">
        <w:rPr>
          <w:rFonts w:asciiTheme="minorHAnsi" w:hAnsiTheme="minorHAnsi"/>
          <w:noProof/>
          <w:sz w:val="22"/>
        </w:rPr>
        <w:tab/>
      </w:r>
      <w:r w:rsidRPr="00C34031">
        <w:rPr>
          <w:noProof/>
        </w:rPr>
        <w:t>Prostředky z vnějších účelově vázaných příjmů</w:t>
      </w:r>
      <w:r w:rsidRPr="00C34031">
        <w:rPr>
          <w:noProof/>
          <w:webHidden/>
        </w:rPr>
        <w:tab/>
        <w:t>17</w:t>
      </w:r>
    </w:p>
    <w:p w14:paraId="7A82DAEB"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3.2.2.</w:t>
      </w:r>
      <w:r w:rsidRPr="00C34031">
        <w:rPr>
          <w:rFonts w:asciiTheme="minorHAnsi" w:hAnsiTheme="minorHAnsi"/>
          <w:noProof/>
          <w:sz w:val="22"/>
        </w:rPr>
        <w:tab/>
      </w:r>
      <w:r w:rsidRPr="00C34031">
        <w:rPr>
          <w:noProof/>
        </w:rPr>
        <w:t>Odhadovaný výstup financovaný z operačních prostředků</w:t>
      </w:r>
      <w:r w:rsidRPr="00C34031">
        <w:rPr>
          <w:noProof/>
          <w:webHidden/>
        </w:rPr>
        <w:tab/>
        <w:t>22</w:t>
      </w:r>
    </w:p>
    <w:p w14:paraId="09155486"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3.2.3.</w:t>
      </w:r>
      <w:r w:rsidRPr="00C34031">
        <w:rPr>
          <w:rFonts w:asciiTheme="minorHAnsi" w:hAnsiTheme="minorHAnsi"/>
          <w:noProof/>
          <w:sz w:val="22"/>
        </w:rPr>
        <w:tab/>
      </w:r>
      <w:r w:rsidRPr="00C34031">
        <w:rPr>
          <w:noProof/>
        </w:rPr>
        <w:t>Odhadovaný souhrnný dopad na správní prostředky</w:t>
      </w:r>
      <w:r w:rsidRPr="00C34031">
        <w:rPr>
          <w:noProof/>
          <w:webHidden/>
        </w:rPr>
        <w:tab/>
        <w:t>24</w:t>
      </w:r>
    </w:p>
    <w:p w14:paraId="12584291"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3.2.3.1. Prostředky ze schváleného rozpočtu</w:t>
      </w:r>
      <w:r w:rsidRPr="00C34031">
        <w:rPr>
          <w:noProof/>
          <w:webHidden/>
        </w:rPr>
        <w:tab/>
        <w:t>24</w:t>
      </w:r>
    </w:p>
    <w:p w14:paraId="5EFE7CC1"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3.2.3.2.</w:t>
      </w:r>
      <w:r w:rsidRPr="00C34031">
        <w:rPr>
          <w:rFonts w:asciiTheme="minorHAnsi" w:hAnsiTheme="minorHAnsi"/>
          <w:noProof/>
          <w:sz w:val="22"/>
        </w:rPr>
        <w:tab/>
      </w:r>
      <w:r w:rsidRPr="00C34031">
        <w:rPr>
          <w:noProof/>
        </w:rPr>
        <w:t>Prostředky z vnějších účelově vázaných příjmů</w:t>
      </w:r>
      <w:r w:rsidRPr="00C34031">
        <w:rPr>
          <w:noProof/>
          <w:webHidden/>
        </w:rPr>
        <w:tab/>
        <w:t>24</w:t>
      </w:r>
    </w:p>
    <w:p w14:paraId="6404EE46"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3.2.3.3.</w:t>
      </w:r>
      <w:r w:rsidRPr="00C34031">
        <w:rPr>
          <w:rFonts w:asciiTheme="minorHAnsi" w:hAnsiTheme="minorHAnsi"/>
          <w:noProof/>
          <w:sz w:val="22"/>
        </w:rPr>
        <w:tab/>
      </w:r>
      <w:r w:rsidRPr="00C34031">
        <w:rPr>
          <w:noProof/>
        </w:rPr>
        <w:t>Prostředky celkem</w:t>
      </w:r>
      <w:r w:rsidRPr="00C34031">
        <w:rPr>
          <w:noProof/>
          <w:webHidden/>
        </w:rPr>
        <w:tab/>
        <w:t>24</w:t>
      </w:r>
    </w:p>
    <w:p w14:paraId="2C35DE6E"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3.2.4.</w:t>
      </w:r>
      <w:r w:rsidRPr="00C34031">
        <w:rPr>
          <w:rFonts w:asciiTheme="minorHAnsi" w:hAnsiTheme="minorHAnsi"/>
          <w:noProof/>
          <w:sz w:val="22"/>
        </w:rPr>
        <w:tab/>
      </w:r>
      <w:r w:rsidRPr="00C34031">
        <w:rPr>
          <w:noProof/>
        </w:rPr>
        <w:t>Odhadované potřeby v oblasti lidských zdrojů</w:t>
      </w:r>
      <w:r w:rsidRPr="00C34031">
        <w:rPr>
          <w:noProof/>
          <w:webHidden/>
        </w:rPr>
        <w:tab/>
        <w:t>25</w:t>
      </w:r>
    </w:p>
    <w:p w14:paraId="29A2E420"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3.2.4.1.</w:t>
      </w:r>
      <w:r w:rsidRPr="00C34031">
        <w:rPr>
          <w:rFonts w:asciiTheme="minorHAnsi" w:hAnsiTheme="minorHAnsi"/>
          <w:noProof/>
          <w:sz w:val="22"/>
        </w:rPr>
        <w:tab/>
      </w:r>
      <w:r w:rsidRPr="00C34031">
        <w:rPr>
          <w:noProof/>
        </w:rPr>
        <w:t>Financované ze schváleného rozpočtu</w:t>
      </w:r>
      <w:r w:rsidRPr="00C34031">
        <w:rPr>
          <w:noProof/>
          <w:webHidden/>
        </w:rPr>
        <w:tab/>
        <w:t>25</w:t>
      </w:r>
    </w:p>
    <w:p w14:paraId="69166202"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3.2.4.2.</w:t>
      </w:r>
      <w:r w:rsidRPr="00C34031">
        <w:rPr>
          <w:rFonts w:asciiTheme="minorHAnsi" w:hAnsiTheme="minorHAnsi"/>
          <w:noProof/>
          <w:sz w:val="22"/>
        </w:rPr>
        <w:tab/>
      </w:r>
      <w:r w:rsidRPr="00C34031">
        <w:rPr>
          <w:noProof/>
        </w:rPr>
        <w:t>Financované z vnějších účelově vázaných příjmů</w:t>
      </w:r>
      <w:r w:rsidRPr="00C34031">
        <w:rPr>
          <w:noProof/>
          <w:webHidden/>
        </w:rPr>
        <w:tab/>
        <w:t>26</w:t>
      </w:r>
    </w:p>
    <w:p w14:paraId="1ABAE462"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3.2.4.3.</w:t>
      </w:r>
      <w:r w:rsidRPr="00C34031">
        <w:rPr>
          <w:rFonts w:asciiTheme="minorHAnsi" w:hAnsiTheme="minorHAnsi"/>
          <w:noProof/>
          <w:sz w:val="22"/>
        </w:rPr>
        <w:tab/>
      </w:r>
      <w:r w:rsidRPr="00C34031">
        <w:rPr>
          <w:noProof/>
        </w:rPr>
        <w:t>Potřeby v oblasti lidských zdrojů celkem</w:t>
      </w:r>
      <w:r w:rsidRPr="00C34031">
        <w:rPr>
          <w:noProof/>
          <w:webHidden/>
        </w:rPr>
        <w:tab/>
        <w:t>26</w:t>
      </w:r>
    </w:p>
    <w:p w14:paraId="0ED84E88"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3.2.5.</w:t>
      </w:r>
      <w:r w:rsidRPr="00C34031">
        <w:rPr>
          <w:rFonts w:asciiTheme="minorHAnsi" w:hAnsiTheme="minorHAnsi"/>
          <w:noProof/>
          <w:sz w:val="22"/>
        </w:rPr>
        <w:tab/>
      </w:r>
      <w:r w:rsidRPr="00C34031">
        <w:rPr>
          <w:noProof/>
        </w:rPr>
        <w:t>Odhadovaný dopad na investice související s digitálními technologiemi</w:t>
      </w:r>
      <w:r w:rsidRPr="00C34031">
        <w:rPr>
          <w:noProof/>
          <w:webHidden/>
        </w:rPr>
        <w:tab/>
        <w:t>28</w:t>
      </w:r>
    </w:p>
    <w:p w14:paraId="1B498376"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3.2.6.</w:t>
      </w:r>
      <w:r w:rsidRPr="00C34031">
        <w:rPr>
          <w:rFonts w:asciiTheme="minorHAnsi" w:hAnsiTheme="minorHAnsi"/>
          <w:noProof/>
          <w:sz w:val="22"/>
        </w:rPr>
        <w:tab/>
      </w:r>
      <w:r w:rsidRPr="00C34031">
        <w:rPr>
          <w:noProof/>
        </w:rPr>
        <w:t>Slučitelnost se stávajícím víceletým finančním rámcem</w:t>
      </w:r>
      <w:r w:rsidRPr="00C34031">
        <w:rPr>
          <w:noProof/>
          <w:webHidden/>
        </w:rPr>
        <w:tab/>
        <w:t>28</w:t>
      </w:r>
    </w:p>
    <w:p w14:paraId="6E45075A" w14:textId="77777777" w:rsidR="00FA5543" w:rsidRPr="00C34031" w:rsidRDefault="00FA5543" w:rsidP="00390489">
      <w:pPr>
        <w:pStyle w:val="TOC3"/>
        <w:rPr>
          <w:rFonts w:asciiTheme="minorHAnsi" w:eastAsiaTheme="minorEastAsia" w:hAnsiTheme="minorHAnsi" w:cstheme="minorBidi"/>
          <w:noProof/>
          <w:kern w:val="2"/>
          <w:sz w:val="22"/>
          <w14:ligatures w14:val="standardContextual"/>
        </w:rPr>
      </w:pPr>
      <w:r w:rsidRPr="00C34031">
        <w:rPr>
          <w:noProof/>
        </w:rPr>
        <w:t>3.2.7.</w:t>
      </w:r>
      <w:r w:rsidRPr="00C34031">
        <w:rPr>
          <w:rFonts w:asciiTheme="minorHAnsi" w:hAnsiTheme="minorHAnsi"/>
          <w:noProof/>
          <w:sz w:val="22"/>
        </w:rPr>
        <w:tab/>
      </w:r>
      <w:r w:rsidRPr="00C34031">
        <w:rPr>
          <w:noProof/>
        </w:rPr>
        <w:t>Příspěvky třetích stran</w:t>
      </w:r>
      <w:r w:rsidRPr="00C34031">
        <w:rPr>
          <w:noProof/>
          <w:webHidden/>
        </w:rPr>
        <w:tab/>
        <w:t>28</w:t>
      </w:r>
    </w:p>
    <w:p w14:paraId="6937FE74"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3.3.</w:t>
      </w:r>
      <w:r w:rsidRPr="00C34031">
        <w:rPr>
          <w:rFonts w:asciiTheme="minorHAnsi" w:hAnsiTheme="minorHAnsi"/>
          <w:noProof/>
          <w:sz w:val="22"/>
        </w:rPr>
        <w:tab/>
      </w:r>
      <w:r w:rsidRPr="00C34031">
        <w:rPr>
          <w:noProof/>
        </w:rPr>
        <w:t>Odhadovaný dopad na příjmy</w:t>
      </w:r>
      <w:r w:rsidRPr="00C34031">
        <w:rPr>
          <w:noProof/>
          <w:webHidden/>
        </w:rPr>
        <w:tab/>
        <w:t>29</w:t>
      </w:r>
    </w:p>
    <w:p w14:paraId="2429A499" w14:textId="77777777" w:rsidR="00FA5543" w:rsidRPr="00C34031" w:rsidRDefault="00FA5543" w:rsidP="00390489">
      <w:pPr>
        <w:pStyle w:val="TOC1"/>
        <w:rPr>
          <w:rFonts w:asciiTheme="minorHAnsi" w:eastAsiaTheme="minorEastAsia" w:hAnsiTheme="minorHAnsi" w:cstheme="minorBidi"/>
          <w:noProof/>
          <w:kern w:val="2"/>
          <w:sz w:val="22"/>
          <w14:ligatures w14:val="standardContextual"/>
        </w:rPr>
      </w:pPr>
      <w:r w:rsidRPr="00C34031">
        <w:rPr>
          <w:noProof/>
        </w:rPr>
        <w:t>4.</w:t>
      </w:r>
      <w:r w:rsidRPr="00C34031">
        <w:rPr>
          <w:rFonts w:asciiTheme="minorHAnsi" w:hAnsiTheme="minorHAnsi"/>
          <w:noProof/>
          <w:sz w:val="22"/>
        </w:rPr>
        <w:tab/>
      </w:r>
      <w:r w:rsidRPr="00C34031">
        <w:rPr>
          <w:caps/>
          <w:noProof/>
        </w:rPr>
        <w:t>Digitální rozměr</w:t>
      </w:r>
      <w:r w:rsidRPr="00C34031">
        <w:rPr>
          <w:noProof/>
          <w:webHidden/>
        </w:rPr>
        <w:tab/>
        <w:t>29</w:t>
      </w:r>
    </w:p>
    <w:p w14:paraId="6C9C501B"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4.1.</w:t>
      </w:r>
      <w:r w:rsidRPr="00C34031">
        <w:rPr>
          <w:rFonts w:asciiTheme="minorHAnsi" w:hAnsiTheme="minorHAnsi"/>
          <w:noProof/>
          <w:sz w:val="22"/>
        </w:rPr>
        <w:tab/>
      </w:r>
      <w:r w:rsidRPr="00C34031">
        <w:rPr>
          <w:noProof/>
        </w:rPr>
        <w:t>Požadavky digitálního významu</w:t>
      </w:r>
      <w:r w:rsidRPr="00C34031">
        <w:rPr>
          <w:noProof/>
          <w:webHidden/>
        </w:rPr>
        <w:tab/>
        <w:t>30</w:t>
      </w:r>
    </w:p>
    <w:p w14:paraId="43BA036F"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4.2.</w:t>
      </w:r>
      <w:r w:rsidRPr="00C34031">
        <w:rPr>
          <w:rFonts w:asciiTheme="minorHAnsi" w:hAnsiTheme="minorHAnsi"/>
          <w:noProof/>
          <w:sz w:val="22"/>
        </w:rPr>
        <w:tab/>
      </w:r>
      <w:r w:rsidRPr="00C34031">
        <w:rPr>
          <w:noProof/>
        </w:rPr>
        <w:t>Údaje</w:t>
      </w:r>
      <w:r w:rsidRPr="00C34031">
        <w:rPr>
          <w:noProof/>
          <w:webHidden/>
        </w:rPr>
        <w:tab/>
        <w:t>30</w:t>
      </w:r>
    </w:p>
    <w:p w14:paraId="52229B41"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4.3.</w:t>
      </w:r>
      <w:r w:rsidRPr="00C34031">
        <w:rPr>
          <w:rFonts w:asciiTheme="minorHAnsi" w:hAnsiTheme="minorHAnsi"/>
          <w:noProof/>
          <w:sz w:val="22"/>
        </w:rPr>
        <w:tab/>
      </w:r>
      <w:r w:rsidRPr="00C34031">
        <w:rPr>
          <w:noProof/>
        </w:rPr>
        <w:t>Digitální řešení</w:t>
      </w:r>
      <w:r w:rsidRPr="00C34031">
        <w:rPr>
          <w:noProof/>
          <w:webHidden/>
        </w:rPr>
        <w:tab/>
        <w:t>31</w:t>
      </w:r>
    </w:p>
    <w:p w14:paraId="14AAF5F7"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4.4.</w:t>
      </w:r>
      <w:r w:rsidRPr="00C34031">
        <w:rPr>
          <w:rFonts w:asciiTheme="minorHAnsi" w:hAnsiTheme="minorHAnsi"/>
          <w:noProof/>
          <w:sz w:val="22"/>
        </w:rPr>
        <w:tab/>
      </w:r>
      <w:r w:rsidRPr="00C34031">
        <w:rPr>
          <w:noProof/>
        </w:rPr>
        <w:t>Posouzení interoperability</w:t>
      </w:r>
      <w:r w:rsidRPr="00C34031">
        <w:rPr>
          <w:noProof/>
          <w:webHidden/>
        </w:rPr>
        <w:tab/>
        <w:t>31</w:t>
      </w:r>
    </w:p>
    <w:p w14:paraId="7DAAC70A" w14:textId="77777777" w:rsidR="00FA5543" w:rsidRPr="00C34031" w:rsidRDefault="00FA5543" w:rsidP="00390489">
      <w:pPr>
        <w:pStyle w:val="TOC2"/>
        <w:rPr>
          <w:rFonts w:asciiTheme="minorHAnsi" w:eastAsiaTheme="minorEastAsia" w:hAnsiTheme="minorHAnsi" w:cstheme="minorBidi"/>
          <w:noProof/>
          <w:kern w:val="2"/>
          <w:sz w:val="22"/>
          <w14:ligatures w14:val="standardContextual"/>
        </w:rPr>
      </w:pPr>
      <w:r w:rsidRPr="00C34031">
        <w:rPr>
          <w:noProof/>
        </w:rPr>
        <w:t>4.5.</w:t>
      </w:r>
      <w:r w:rsidRPr="00C34031">
        <w:rPr>
          <w:rFonts w:asciiTheme="minorHAnsi" w:hAnsiTheme="minorHAnsi"/>
          <w:noProof/>
          <w:sz w:val="22"/>
        </w:rPr>
        <w:tab/>
      </w:r>
      <w:r w:rsidRPr="00C34031">
        <w:rPr>
          <w:noProof/>
        </w:rPr>
        <w:t>Opatření na podporu digitálního provádění</w:t>
      </w:r>
      <w:r w:rsidRPr="00C34031">
        <w:rPr>
          <w:noProof/>
          <w:webHidden/>
        </w:rPr>
        <w:tab/>
        <w:t>32</w:t>
      </w:r>
    </w:p>
    <w:p w14:paraId="1BA2C152" w14:textId="77777777" w:rsidR="00FA5543" w:rsidRPr="00C34031" w:rsidRDefault="00FA5543" w:rsidP="00390489">
      <w:pPr>
        <w:pStyle w:val="TOC1"/>
        <w:ind w:left="0" w:firstLine="0"/>
        <w:rPr>
          <w:noProof/>
        </w:rPr>
        <w:sectPr w:rsidR="00FA5543" w:rsidRPr="00C34031" w:rsidSect="00516924">
          <w:pgSz w:w="11907" w:h="16840" w:code="9"/>
          <w:pgMar w:top="1134" w:right="1418" w:bottom="1134" w:left="1418" w:header="709" w:footer="709" w:gutter="0"/>
          <w:pgNumType w:start="1"/>
          <w:cols w:space="720"/>
          <w:docGrid w:linePitch="360"/>
        </w:sectPr>
      </w:pPr>
    </w:p>
    <w:p w14:paraId="4DDF35D7" w14:textId="77777777" w:rsidR="00FA5543" w:rsidRPr="00C34031" w:rsidRDefault="00FA5543" w:rsidP="00390489">
      <w:pPr>
        <w:pStyle w:val="ManualHeading1"/>
        <w:rPr>
          <w:noProof/>
        </w:rPr>
      </w:pPr>
      <w:r w:rsidRPr="00C34031">
        <w:rPr>
          <w:noProof/>
        </w:rPr>
        <w:t>1.</w:t>
      </w:r>
      <w:r w:rsidRPr="00C34031">
        <w:rPr>
          <w:noProof/>
        </w:rPr>
        <w:tab/>
        <w:t xml:space="preserve">RÁMEC NÁVRHU/PODNĚTU </w:t>
      </w:r>
    </w:p>
    <w:p w14:paraId="072144C9" w14:textId="77777777" w:rsidR="00FA5543" w:rsidRPr="00C34031" w:rsidRDefault="6C3AF1E0" w:rsidP="00390489">
      <w:pPr>
        <w:pStyle w:val="ManualHeading2"/>
        <w:rPr>
          <w:noProof/>
        </w:rPr>
      </w:pPr>
      <w:r w:rsidRPr="00C34031">
        <w:rPr>
          <w:noProof/>
        </w:rPr>
        <w:t>1.1.</w:t>
      </w:r>
      <w:r w:rsidRPr="00C34031">
        <w:rPr>
          <w:noProof/>
        </w:rPr>
        <w:tab/>
        <w:t>Název návrhu/podnětu</w:t>
      </w:r>
    </w:p>
    <w:p w14:paraId="22589808" w14:textId="77777777" w:rsidR="7851B31B" w:rsidRPr="00C34031" w:rsidRDefault="7851B31B" w:rsidP="139DF8FE">
      <w:pPr>
        <w:pBdr>
          <w:top w:val="single" w:sz="8" w:space="1" w:color="000000"/>
          <w:left w:val="single" w:sz="8" w:space="4" w:color="000000"/>
          <w:bottom w:val="single" w:sz="8" w:space="1" w:color="000000"/>
          <w:right w:val="single" w:sz="8" w:space="4" w:color="000000"/>
        </w:pBdr>
        <w:ind w:left="850"/>
        <w:rPr>
          <w:rFonts w:eastAsia="Times New Roman"/>
          <w:noProof/>
          <w:szCs w:val="24"/>
        </w:rPr>
      </w:pPr>
      <w:r w:rsidRPr="00C34031">
        <w:rPr>
          <w:noProof/>
        </w:rPr>
        <w:t>Mechanismus uhlíkového vyrovnání na hranicích</w:t>
      </w:r>
    </w:p>
    <w:p w14:paraId="3BCD298C" w14:textId="77777777" w:rsidR="00FA5543" w:rsidRPr="00C34031" w:rsidRDefault="00FA5543" w:rsidP="00390489">
      <w:pPr>
        <w:pStyle w:val="ManualHeading2"/>
        <w:rPr>
          <w:i/>
          <w:noProof/>
        </w:rPr>
      </w:pPr>
      <w:r w:rsidRPr="00C34031">
        <w:rPr>
          <w:noProof/>
        </w:rPr>
        <w:t>1.2.</w:t>
      </w:r>
      <w:r w:rsidRPr="00C34031">
        <w:rPr>
          <w:noProof/>
        </w:rPr>
        <w:tab/>
        <w:t>Příslušné oblasti politik</w:t>
      </w:r>
      <w:r w:rsidRPr="00C34031">
        <w:rPr>
          <w:i/>
          <w:noProof/>
        </w:rPr>
        <w:t xml:space="preserve"> </w:t>
      </w:r>
    </w:p>
    <w:p w14:paraId="48BFB401" w14:textId="77777777" w:rsidR="00FA5543" w:rsidRPr="00C34031" w:rsidRDefault="36DEC607" w:rsidP="139DF8FE">
      <w:pPr>
        <w:pStyle w:val="Text1"/>
        <w:pBdr>
          <w:top w:val="single" w:sz="4" w:space="1" w:color="auto"/>
          <w:left w:val="single" w:sz="4" w:space="4" w:color="auto"/>
          <w:bottom w:val="single" w:sz="4" w:space="1" w:color="auto"/>
          <w:right w:val="single" w:sz="4" w:space="4" w:color="auto"/>
        </w:pBdr>
        <w:rPr>
          <w:noProof/>
        </w:rPr>
      </w:pPr>
      <w:r w:rsidRPr="00C34031">
        <w:rPr>
          <w:noProof/>
        </w:rPr>
        <w:t>Politika v oblasti klimatu</w:t>
      </w:r>
    </w:p>
    <w:p w14:paraId="7D696386" w14:textId="77777777" w:rsidR="00FA5543" w:rsidRPr="00C34031" w:rsidRDefault="00FA5543" w:rsidP="00390489">
      <w:pPr>
        <w:pStyle w:val="ManualHeading2"/>
        <w:rPr>
          <w:noProof/>
        </w:rPr>
      </w:pPr>
      <w:r w:rsidRPr="00C34031">
        <w:rPr>
          <w:noProof/>
        </w:rPr>
        <w:t>1.3.</w:t>
      </w:r>
      <w:r w:rsidRPr="00C34031">
        <w:rPr>
          <w:noProof/>
        </w:rPr>
        <w:tab/>
        <w:t>Cíle</w:t>
      </w:r>
    </w:p>
    <w:p w14:paraId="4F1C11BA" w14:textId="77777777" w:rsidR="00FA5543" w:rsidRPr="00C34031" w:rsidRDefault="00FA5543" w:rsidP="00390489">
      <w:pPr>
        <w:pStyle w:val="ManualHeading3"/>
        <w:rPr>
          <w:noProof/>
        </w:rPr>
      </w:pPr>
      <w:r w:rsidRPr="00C34031">
        <w:rPr>
          <w:noProof/>
        </w:rPr>
        <w:t>1.3.1.</w:t>
      </w:r>
      <w:r w:rsidRPr="00C34031">
        <w:rPr>
          <w:noProof/>
        </w:rPr>
        <w:tab/>
        <w:t>Obecné cíle</w:t>
      </w:r>
    </w:p>
    <w:p w14:paraId="02E0E4C4" w14:textId="77777777" w:rsidR="00097450" w:rsidRPr="00C34031" w:rsidRDefault="189FFEE2" w:rsidP="139DF8FE">
      <w:pPr>
        <w:pStyle w:val="Text1"/>
        <w:pBdr>
          <w:top w:val="single" w:sz="8" w:space="1" w:color="000000"/>
          <w:left w:val="single" w:sz="8" w:space="4" w:color="000000"/>
          <w:bottom w:val="single" w:sz="8" w:space="1" w:color="000000"/>
          <w:right w:val="single" w:sz="8" w:space="4" w:color="000000"/>
        </w:pBdr>
        <w:rPr>
          <w:noProof/>
        </w:rPr>
      </w:pPr>
      <w:r w:rsidRPr="00C34031">
        <w:rPr>
          <w:noProof/>
        </w:rPr>
        <w:t xml:space="preserve">Vzhledem k navýšení cílů EU v oblasti klimatu je celkovým cílem zavedení mechanismu uhlíkového vyrovnání na hranicích řešit změnu klimatu snížením emisí skleníkových plynů v EU i v celosvětovém měřítku. </w:t>
      </w:r>
    </w:p>
    <w:p w14:paraId="08B4DEAA" w14:textId="77777777" w:rsidR="00097450" w:rsidRPr="00C34031" w:rsidRDefault="189FFEE2"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Cílem pozměňovacího návrhu je zjednodušit regulační zátěž dovozců zboží podléhajícího CBAM.</w:t>
      </w:r>
    </w:p>
    <w:p w14:paraId="1DCEE0BA" w14:textId="77777777" w:rsidR="00FA5543" w:rsidRPr="00C34031" w:rsidRDefault="00FA5543" w:rsidP="00390489">
      <w:pPr>
        <w:pStyle w:val="ManualHeading3"/>
        <w:rPr>
          <w:noProof/>
        </w:rPr>
      </w:pPr>
      <w:r w:rsidRPr="00C34031">
        <w:rPr>
          <w:noProof/>
        </w:rPr>
        <w:t>1.3.2.</w:t>
      </w:r>
      <w:r w:rsidRPr="00C34031">
        <w:rPr>
          <w:noProof/>
        </w:rPr>
        <w:tab/>
        <w:t>Specifické cíle</w:t>
      </w:r>
    </w:p>
    <w:p w14:paraId="248FF630" w14:textId="77777777" w:rsidR="00F32BEF" w:rsidRPr="00C34031" w:rsidRDefault="2D13A3AF" w:rsidP="139DF8FE">
      <w:pPr>
        <w:pStyle w:val="Text1"/>
        <w:pBdr>
          <w:top w:val="single" w:sz="8" w:space="1" w:color="000000"/>
          <w:left w:val="single" w:sz="8" w:space="4" w:color="000000"/>
          <w:bottom w:val="single" w:sz="8" w:space="1" w:color="000000"/>
          <w:right w:val="single" w:sz="8" w:space="4" w:color="000000"/>
        </w:pBdr>
        <w:rPr>
          <w:rFonts w:eastAsia="Times New Roman"/>
          <w:noProof/>
          <w:color w:val="0000FF"/>
          <w:szCs w:val="24"/>
        </w:rPr>
      </w:pPr>
      <w:r w:rsidRPr="00C34031">
        <w:rPr>
          <w:noProof/>
        </w:rPr>
        <w:t xml:space="preserve">Celkový cíl spočívající v řešení změny klimatu se dále člení na několik specifických cílů, a sice: i) řešit riziko úniku uhlíku související se zvýšením cílů EU; ii) přispět k zajištění stabilního a bezpečného politického rámce pro investice do nízkouhlíkových nebo bezuhlíkových technologií; iii) zajistit, aby se na domácí produkci a dovoz vztahovala podobná úroveň cen uhlíku; iv) přimět výrobce ve třetích zemích, kteří vyvážejí do EU, aby zavedli nízkouhlíkové technologie; v) zajistit účinnost opatření minimalizací rizika jeho obcházení, a zajistit tak ekologickou vyváženost; vi) zajistit, aby administrativní zátěž při provádění opatření byla pro podniky a orgány veřejné správy přiměřená. </w:t>
      </w:r>
    </w:p>
    <w:p w14:paraId="41E443A0" w14:textId="77777777" w:rsidR="00F32BEF" w:rsidRPr="00C34031" w:rsidRDefault="2D13A3AF"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Cílem pozměňovacího návrhu je: i) snížení administrativní zátěže; ii) zlepšení fungování CBAM.</w:t>
      </w:r>
    </w:p>
    <w:p w14:paraId="6D032B73" w14:textId="77777777" w:rsidR="00FA5543" w:rsidRPr="00C34031" w:rsidRDefault="00FA5543" w:rsidP="00390489">
      <w:pPr>
        <w:pStyle w:val="ManualHeading3"/>
        <w:rPr>
          <w:noProof/>
        </w:rPr>
      </w:pPr>
      <w:r w:rsidRPr="00C34031">
        <w:rPr>
          <w:noProof/>
        </w:rPr>
        <w:t>1.3.3.</w:t>
      </w:r>
      <w:r w:rsidRPr="00C34031">
        <w:rPr>
          <w:noProof/>
        </w:rPr>
        <w:tab/>
        <w:t>Očekávané výsledky a dopady</w:t>
      </w:r>
    </w:p>
    <w:p w14:paraId="2DA6C687" w14:textId="77777777" w:rsidR="00FA5543" w:rsidRPr="00C34031" w:rsidRDefault="00FA5543" w:rsidP="00390489">
      <w:pPr>
        <w:pStyle w:val="Text1"/>
        <w:rPr>
          <w:i/>
          <w:noProof/>
          <w:sz w:val="20"/>
        </w:rPr>
      </w:pPr>
      <w:r w:rsidRPr="00C34031">
        <w:rPr>
          <w:i/>
          <w:noProof/>
          <w:sz w:val="20"/>
        </w:rPr>
        <w:t>Upřesněte účinky, které by návrh/podnět měl mít na příjemce / cílové skupiny.</w:t>
      </w:r>
    </w:p>
    <w:p w14:paraId="721AE44F" w14:textId="77777777" w:rsidR="45C2281D" w:rsidRPr="00C34031" w:rsidRDefault="45C2281D"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 xml:space="preserve">Předpokládá se, že zavedení mechanismu uhlíkového vyrovnání na hranicích povede v odvětvích, na něž se mechanismus vztahuje, ke snížení emisí skleníkových plynů jak ve státech EU-27, tak ve zbytku světa. Rovněž se očekává, že mechanismus uhlíkového vyrovnání na hranicích sníží rizika úniku uhlíku, a tudíž postupně nahradí přidělování bezplatných povolenek v rámci systému EU pro obchodování s emisemi. </w:t>
      </w:r>
    </w:p>
    <w:p w14:paraId="0CB59E8B" w14:textId="77777777" w:rsidR="45C2281D" w:rsidRPr="00C34031" w:rsidRDefault="45C2281D"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Pokud jde o hospodářské dopady, modelování provedené před přijetím nařízení o CBAM naznačuje, že zavedení CBAM a dalších opatření potřebných k dosažení navýšených cílů EU v oblasti klimatu by mohlo vést k tomu, že by se v roce 2030 snížil HDP EU-27 o 0,22 % až 0,23 %. Dopad z hlediska investic je nízký. Pokud jde o spotřebu, mechanismus uhlíkového vyrovnání na hranicích na ni má patrně o trochu silnější nepříznivý dopad v porovnání se scénářem, kdy by navýšených cílů v oblasti klimatu mělo být dosaženo bez mechanismu uhlíkového vyrovnání na hranicích.</w:t>
      </w:r>
    </w:p>
    <w:p w14:paraId="2E8FE714" w14:textId="77777777" w:rsidR="45C2281D" w:rsidRPr="00C34031" w:rsidRDefault="45C2281D"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 xml:space="preserve">Při zavedení mechanismu uhlíkového vyrovnání na hranicích dojde v důsledku účinného snížení úniku uhlíku ke snížení dovozů do EU-27. Sociální dopady mechanismu uhlíkového vyrovnání na hranicích jsou celkově vzato omezené. </w:t>
      </w:r>
    </w:p>
    <w:p w14:paraId="61A0C706" w14:textId="77777777" w:rsidR="45C2281D" w:rsidRPr="00C34031" w:rsidRDefault="45C2281D"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Očekávají se administrativní dopady na Komisi, podniky a vnitrostátní orgány. Celkově se očekává, že náklady na dodržování předpisů budou pro podniky a správní orgány přiměřené a vzhledem k přínosům opatření pro životní prostředí je bude možné zvládnout, byť budou značné. Přestože cílem mechanismu uhlíkového vyrovnání na hranicích není vytvářet příjmy, očekává se, že z něj budou plynout dodatečné příjmy, jejichž výše se pro rok 2030 odhaduje na více než [2,1 miliardy EUR, bude aktualizováno].</w:t>
      </w:r>
    </w:p>
    <w:p w14:paraId="70002C6F" w14:textId="77777777" w:rsidR="45C2281D" w:rsidRPr="00C34031" w:rsidRDefault="45C2281D"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Pozměňující návrh předpokládá, že se:</w:t>
      </w:r>
    </w:p>
    <w:p w14:paraId="51B596CF" w14:textId="77777777" w:rsidR="45C2281D" w:rsidRPr="00C34031" w:rsidRDefault="45C2281D"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i) sníží počet subjektů, na které se vztahují povinnosti vyplývající z CBAM, a zároveň zachová ekologická vyváženost mechanismu a jeho schopnost dosáhnout svého cíle v oblasti klimatu;</w:t>
      </w:r>
    </w:p>
    <w:p w14:paraId="3E676009" w14:textId="77777777" w:rsidR="2568B8BA" w:rsidRPr="00C34031" w:rsidRDefault="2568B8BA" w:rsidP="139DF8FE">
      <w:pPr>
        <w:pStyle w:val="Text1"/>
        <w:pBdr>
          <w:top w:val="single" w:sz="8" w:space="1" w:color="000000"/>
          <w:left w:val="single" w:sz="8" w:space="4" w:color="000000"/>
          <w:bottom w:val="single" w:sz="8" w:space="1" w:color="000000"/>
          <w:right w:val="single" w:sz="8" w:space="4" w:color="000000"/>
        </w:pBdr>
        <w:rPr>
          <w:rFonts w:eastAsia="Times New Roman"/>
          <w:noProof/>
          <w:color w:val="0000FF"/>
          <w:szCs w:val="24"/>
        </w:rPr>
      </w:pPr>
      <w:r w:rsidRPr="00C34031">
        <w:rPr>
          <w:noProof/>
        </w:rPr>
        <w:t xml:space="preserve">ii) zlepší fungování mechanismu, a to zjednodušením a zefektivněním procesů a postupů. Návrh usnadní dovozcům zboží do Unie plnění povinností podávat zprávy CBAM tím, že zjednoduší některé z těch povinností podávat zprávy CBAM, které se týkají složitých výpočtů nebo spoléhají na zatěžující procesy shromažďování údajů, které brání účinnému provádění CBAM. </w:t>
      </w:r>
    </w:p>
    <w:p w14:paraId="1EDC1522" w14:textId="77777777" w:rsidR="45C2281D" w:rsidRPr="00C34031" w:rsidRDefault="45C2281D" w:rsidP="139DF8FE">
      <w:pPr>
        <w:pStyle w:val="Text1"/>
        <w:pBdr>
          <w:top w:val="single" w:sz="8" w:space="1" w:color="000000"/>
          <w:left w:val="single" w:sz="8" w:space="4" w:color="000000"/>
          <w:bottom w:val="single" w:sz="8" w:space="1" w:color="000000"/>
          <w:right w:val="single" w:sz="8" w:space="4" w:color="000000"/>
        </w:pBdr>
        <w:rPr>
          <w:rFonts w:eastAsia="Times New Roman"/>
          <w:noProof/>
          <w:color w:val="0000FF"/>
          <w:szCs w:val="24"/>
        </w:rPr>
      </w:pPr>
      <w:r w:rsidRPr="00C34031">
        <w:rPr>
          <w:noProof/>
        </w:rPr>
        <w:t xml:space="preserve">Kromě toho návrh také posílí monitorování CBAM a dohled nad ním. Zvýší schopnost Komise zpracovávat údaje a vyměňovat si příslušné informace s vnitrostátními orgány s cílem maximalizovat užitečnost informací, které zúčastněné strany podávají ve zprávách. Umožní také Komisi, aby lépe odhalovala rizika, a také vnitrostátním orgánům, aby byly v případě potřeby lépe vybaveny k přijímání vhodných opatření. </w:t>
      </w:r>
      <w:r w:rsidRPr="00C34031">
        <w:rPr>
          <w:noProof/>
          <w:color w:val="0000FF"/>
        </w:rPr>
        <w:t xml:space="preserve"> </w:t>
      </w:r>
    </w:p>
    <w:p w14:paraId="7C238759" w14:textId="77777777" w:rsidR="00FA5543" w:rsidRPr="00C34031" w:rsidRDefault="00FA5543" w:rsidP="00390489">
      <w:pPr>
        <w:pStyle w:val="ManualHeading3"/>
        <w:rPr>
          <w:noProof/>
        </w:rPr>
      </w:pPr>
      <w:r w:rsidRPr="00C34031">
        <w:rPr>
          <w:noProof/>
        </w:rPr>
        <w:t>1.3.4.</w:t>
      </w:r>
      <w:r w:rsidRPr="00C34031">
        <w:rPr>
          <w:noProof/>
        </w:rPr>
        <w:tab/>
        <w:t>Ukazatele výkonnosti</w:t>
      </w:r>
    </w:p>
    <w:p w14:paraId="7A0C64E7" w14:textId="77777777" w:rsidR="00FA5543" w:rsidRPr="00C34031" w:rsidRDefault="00FA5543" w:rsidP="00390489">
      <w:pPr>
        <w:pStyle w:val="Text1"/>
        <w:rPr>
          <w:i/>
          <w:noProof/>
          <w:sz w:val="20"/>
        </w:rPr>
      </w:pPr>
      <w:r w:rsidRPr="00C34031">
        <w:rPr>
          <w:i/>
          <w:noProof/>
          <w:sz w:val="20"/>
        </w:rPr>
        <w:t>Upřesněte ukazatele pro sledování pokroku a dosažených výsledků.</w:t>
      </w:r>
    </w:p>
    <w:p w14:paraId="4887F09F" w14:textId="77777777" w:rsidR="005C73B0" w:rsidRPr="00C34031" w:rsidRDefault="3BAFE9AC" w:rsidP="139DF8FE">
      <w:pPr>
        <w:pStyle w:val="Text1"/>
        <w:pBdr>
          <w:top w:val="single" w:sz="4" w:space="1" w:color="auto"/>
          <w:left w:val="single" w:sz="4" w:space="4" w:color="auto"/>
          <w:bottom w:val="single" w:sz="4" w:space="1" w:color="auto"/>
          <w:right w:val="single" w:sz="4" w:space="4" w:color="auto"/>
        </w:pBdr>
        <w:rPr>
          <w:noProof/>
        </w:rPr>
      </w:pPr>
      <w:r w:rsidRPr="00C34031">
        <w:rPr>
          <w:noProof/>
        </w:rPr>
        <w:t>Osvobození od povinností vyplývajících z CBAM u dovozců malých množství zboží podléhajícího CBAM</w:t>
      </w:r>
    </w:p>
    <w:p w14:paraId="2226E399" w14:textId="77777777" w:rsidR="005C73B0" w:rsidRPr="00C34031" w:rsidRDefault="30BA9F27" w:rsidP="139DF8FE">
      <w:pPr>
        <w:pStyle w:val="Text1"/>
        <w:pBdr>
          <w:top w:val="single" w:sz="4" w:space="1" w:color="auto"/>
          <w:left w:val="single" w:sz="4" w:space="4" w:color="auto"/>
          <w:bottom w:val="single" w:sz="4" w:space="1" w:color="auto"/>
          <w:right w:val="single" w:sz="4" w:space="4" w:color="auto"/>
        </w:pBdr>
        <w:rPr>
          <w:noProof/>
        </w:rPr>
      </w:pPr>
      <w:r w:rsidRPr="00C34031">
        <w:rPr>
          <w:noProof/>
        </w:rPr>
        <w:t>Optimalizace procesů za účelem zvýšení účinnosti a snížení administrativní zátěže</w:t>
      </w:r>
    </w:p>
    <w:p w14:paraId="48F62445" w14:textId="77777777" w:rsidR="00FA5543" w:rsidRPr="00C34031" w:rsidRDefault="6C3AF1E0" w:rsidP="00390489">
      <w:pPr>
        <w:pStyle w:val="ManualHeading2"/>
        <w:rPr>
          <w:noProof/>
        </w:rPr>
      </w:pPr>
      <w:r w:rsidRPr="00C34031">
        <w:rPr>
          <w:noProof/>
        </w:rPr>
        <w:t>1.4.</w:t>
      </w:r>
      <w:r w:rsidRPr="00C34031">
        <w:rPr>
          <w:noProof/>
        </w:rPr>
        <w:tab/>
        <w:t xml:space="preserve">Návrh/podnět se týká: </w:t>
      </w:r>
    </w:p>
    <w:p w14:paraId="25DA540B" w14:textId="77777777" w:rsidR="00FA5543" w:rsidRPr="00C34031" w:rsidRDefault="00FA5543" w:rsidP="00390489">
      <w:pPr>
        <w:pStyle w:val="Text1"/>
        <w:rPr>
          <w:noProof/>
          <w:sz w:val="22"/>
        </w:rPr>
      </w:pPr>
      <w:r w:rsidRPr="00C34031">
        <w:rPr>
          <w:rFonts w:ascii="Wingdings" w:hAnsi="Wingdings"/>
          <w:noProof/>
          <w:sz w:val="22"/>
        </w:rPr>
        <w:t></w:t>
      </w:r>
      <w:r w:rsidRPr="00C34031">
        <w:rPr>
          <w:i/>
          <w:noProof/>
          <w:sz w:val="22"/>
        </w:rPr>
        <w:t xml:space="preserve"> </w:t>
      </w:r>
      <w:r w:rsidRPr="00C34031">
        <w:rPr>
          <w:noProof/>
        </w:rPr>
        <w:t>nové akce</w:t>
      </w:r>
      <w:r w:rsidRPr="00C34031">
        <w:rPr>
          <w:noProof/>
          <w:sz w:val="22"/>
        </w:rPr>
        <w:t xml:space="preserve"> </w:t>
      </w:r>
    </w:p>
    <w:p w14:paraId="43D6EFD4" w14:textId="77777777" w:rsidR="00FA5543" w:rsidRPr="00C34031" w:rsidRDefault="00FA5543" w:rsidP="00390489">
      <w:pPr>
        <w:pStyle w:val="Text1"/>
        <w:rPr>
          <w:noProof/>
          <w:sz w:val="22"/>
        </w:rPr>
      </w:pPr>
      <w:r w:rsidRPr="00C34031">
        <w:rPr>
          <w:rFonts w:ascii="Wingdings" w:hAnsi="Wingdings"/>
          <w:noProof/>
          <w:sz w:val="22"/>
        </w:rPr>
        <w:t></w:t>
      </w:r>
      <w:r w:rsidRPr="00C34031">
        <w:rPr>
          <w:i/>
          <w:noProof/>
          <w:sz w:val="22"/>
        </w:rPr>
        <w:t xml:space="preserve"> </w:t>
      </w:r>
      <w:r w:rsidRPr="00C34031">
        <w:rPr>
          <w:noProof/>
        </w:rPr>
        <w:t>nové akce následující po pilotním projektu / přípravné akci</w:t>
      </w:r>
      <w:r w:rsidRPr="00C34031">
        <w:rPr>
          <w:rStyle w:val="FootnoteReference"/>
          <w:noProof/>
        </w:rPr>
        <w:footnoteReference w:id="19"/>
      </w:r>
      <w:r w:rsidRPr="00C34031">
        <w:rPr>
          <w:noProof/>
          <w:sz w:val="22"/>
        </w:rPr>
        <w:t xml:space="preserve"> </w:t>
      </w:r>
    </w:p>
    <w:p w14:paraId="27BB7CF2" w14:textId="77777777" w:rsidR="00FA5543" w:rsidRPr="00C34031" w:rsidRDefault="01C129A8" w:rsidP="139DF8FE">
      <w:pPr>
        <w:pStyle w:val="Text1"/>
        <w:rPr>
          <w:noProof/>
          <w:sz w:val="22"/>
        </w:rPr>
      </w:pPr>
      <w:r w:rsidRPr="00C34031">
        <w:rPr>
          <w:rFonts w:ascii="Wingdings" w:hAnsi="Wingdings"/>
          <w:noProof/>
        </w:rPr>
        <w:t></w:t>
      </w:r>
      <w:r w:rsidRPr="00C34031">
        <w:rPr>
          <w:noProof/>
        </w:rPr>
        <w:t xml:space="preserve"> prodloužení stávající akce</w:t>
      </w:r>
      <w:r w:rsidRPr="00C34031">
        <w:rPr>
          <w:noProof/>
          <w:sz w:val="22"/>
        </w:rPr>
        <w:t xml:space="preserve"> </w:t>
      </w:r>
    </w:p>
    <w:p w14:paraId="5EB51D17" w14:textId="77777777" w:rsidR="00FA5543" w:rsidRPr="00C34031" w:rsidRDefault="00FA5543" w:rsidP="00390489">
      <w:pPr>
        <w:pStyle w:val="Text1"/>
        <w:rPr>
          <w:noProof/>
        </w:rPr>
      </w:pPr>
      <w:r w:rsidRPr="00C34031">
        <w:rPr>
          <w:rFonts w:ascii="Wingdings" w:hAnsi="Wingdings"/>
          <w:noProof/>
          <w:sz w:val="22"/>
        </w:rPr>
        <w:t></w:t>
      </w:r>
      <w:r w:rsidRPr="00C34031">
        <w:rPr>
          <w:i/>
          <w:noProof/>
          <w:sz w:val="22"/>
        </w:rPr>
        <w:t xml:space="preserve"> </w:t>
      </w:r>
      <w:r w:rsidRPr="00C34031">
        <w:rPr>
          <w:noProof/>
        </w:rPr>
        <w:t>sloučení jedné či více akcí v jinou/novou akci nebo přesměrování jedné či více akcí na jinou/novou akci</w:t>
      </w:r>
    </w:p>
    <w:p w14:paraId="6529D8A4" w14:textId="77777777" w:rsidR="00FA5543" w:rsidRPr="00C34031" w:rsidRDefault="00FA5543" w:rsidP="00390489">
      <w:pPr>
        <w:pStyle w:val="ManualHeading2"/>
        <w:rPr>
          <w:bCs/>
          <w:noProof/>
          <w:szCs w:val="24"/>
        </w:rPr>
      </w:pPr>
      <w:r w:rsidRPr="00C34031">
        <w:rPr>
          <w:noProof/>
        </w:rPr>
        <w:t>1.5.</w:t>
      </w:r>
      <w:r w:rsidRPr="00C34031">
        <w:rPr>
          <w:noProof/>
        </w:rPr>
        <w:tab/>
        <w:t xml:space="preserve">Odůvodnění návrhu/podnětu </w:t>
      </w:r>
    </w:p>
    <w:p w14:paraId="1168EAE4" w14:textId="77777777" w:rsidR="00FA5543" w:rsidRPr="00C34031" w:rsidRDefault="00FA5543" w:rsidP="00390489">
      <w:pPr>
        <w:pStyle w:val="ManualHeading3"/>
        <w:rPr>
          <w:noProof/>
        </w:rPr>
      </w:pPr>
      <w:r w:rsidRPr="00C34031">
        <w:rPr>
          <w:noProof/>
        </w:rPr>
        <w:t>1.5.1.</w:t>
      </w:r>
      <w:r w:rsidRPr="00C34031">
        <w:rPr>
          <w:noProof/>
        </w:rPr>
        <w:tab/>
        <w:t>Potřeby, které mají být uspokojeny v krátkodobém nebo dlouhodobém horizontu, včetně podrobného harmonogramu pro zahajovací fázi provádění podnětu</w:t>
      </w:r>
    </w:p>
    <w:p w14:paraId="0107E21B"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CBAM byl zaveden od října 2023. V současné době platí zjednodušený systém CBAM, a to do konce roku 2025. Konkrétně se v současné době uplatňuje přechodné období (shromažďování údajů nanečisto), které napomůže hladkému zavedení CBAM a umožní obchodníkům a dovozcům, aby se mu přizpůsobili.</w:t>
      </w:r>
    </w:p>
    <w:p w14:paraId="2679DEE8"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Útvary Komise jsou pověřeny prováděním a prosazováním CBAM jak v přechodném období (2023–2025), tak i v konečné fázi (od roku 2026).</w:t>
      </w:r>
    </w:p>
    <w:p w14:paraId="2C692D7F"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Během přechodného období to znamená shromažďovat informace od dovozců zboží podléhajícího CBAM v EU o emisích skleníkových plynů obsažených v tomto zboží a analyzovat údaje.</w:t>
      </w:r>
    </w:p>
    <w:p w14:paraId="5A031D7D"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Mechanismus uhlíkového vyrovnání na hranicích (CBAM) vyžaduje postupné zavádění různých funkcí nezbytných pro jeho účinné provádění. Nejprve je třeba vypracovat řadu zpráv a přezkumů s cílem usnadnit zavedení finanční povinnosti. Vzhledem k tomu se u nařízení o CBAM předpokládá, že bude provedeno ve dvou po sobě následujících obdobích: přechodné období od října 2023 do konce roku 2025 a konečné období od začátku roku 2026.</w:t>
      </w:r>
    </w:p>
    <w:p w14:paraId="448F3D62"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Během přechodného období je povinnost uložená dovozcům a orgánům EU (celním orgánům) omezena na podávání čtvrtletních zpráv CBAM, které doplní dovozní prohlášení.</w:t>
      </w:r>
    </w:p>
    <w:p w14:paraId="4632A939"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Během přechodného období byl zaveden přechodný systém správy informací (přechodné období CBAM) s cílem podpořit předkládání a shromažďování čtvrtletních zpráv, jakož i asimilaci údajů z každé zprávy do souhrnné databáze, aby bylo možné provést jejich účinnou analýzu pro účely podávání zpráv v souladu s ustanoveními nařízení.</w:t>
      </w:r>
    </w:p>
    <w:p w14:paraId="2092DAA2"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Kromě toho jsou celní orgány během přechodného období pověřeny úkolem informovat celní deklaranty o povinnosti oznamovat informace, aby tak přispěly ke shromažďování informací a případně k informovanosti o potřebě požádat o status schváleného deklaranta (před prvním dovozem zboží podléhajícího CBAM od 1. ledna 2026).</w:t>
      </w:r>
    </w:p>
    <w:p w14:paraId="3CDA340C"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Počátek konečného období je plánován na 1. ledna 2026 pro služby v oblasti správy prohlášení a certifikátů CBAM, jak jsou zde uvedeny, a o rok dříve, pokud jde o registraci a zpracování povolení CBAM příslušnými orgány:</w:t>
      </w:r>
    </w:p>
    <w:p w14:paraId="1A0B76DF"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 Dovozci jsou oprávněni dovážet toto zboží až poté, co jim příslušné orgány udělí povolení (kromě případu výjimky navržené v pozměňujícím nařízení), nebo pokud by jmenovali zástupce schváleného jako deklaranta pro CBAM. Celní orgány by neměly povolit dovoz zboží podléhajícího CBAM bez zapojení schváleného deklaranta pro CBAM. Celní orgány dále mohou provádět kontroly zboží, a to i pokud jde o identifikaci schváleného deklaranta pro CBAM, osmimístný kód KN, množství a zemi původu dováženého zboží, datum prohlášení a celní režim. Komise by měla zahrnout rizika vztahující se k CBAM do návrhu společných kritérií rizik a norem podle článku 50 nařízení (EU) č. 952/2013.</w:t>
      </w:r>
    </w:p>
    <w:p w14:paraId="44DBF991"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 CBAM by měl být založen na deklarativním systému, kdy schválený deklarant pro CBAM, který může jednat vlastním jménem nebo zastupovat jednoho nebo více dovozců, každoročně předloží prohlášení o emisích obsažených ve zboží dovezeném na celní území Unie a vyřadí určitý počet certifikátů CBAM odpovídající těmto deklarovaným emisím.</w:t>
      </w:r>
    </w:p>
    <w:p w14:paraId="4601FE20"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 xml:space="preserve">– Schválený deklarant pro CBAM by měl mít možnost požadovat, aby byl počet certifikátů CBAM, které je povinen vyřadit, snížen tak, aby to odpovídalo ceně uhlíku, která byla za tyto emise již skutečně zaplacena v jiných jurisdikcích. Pozměňující nařízení navrhuje zavést standardní cenu uhlíku, která by deklarantům umožnila žádat o odpočet, pokud nelze prokázat, že cena uhlíku byla skutečně zaplacena. </w:t>
      </w:r>
    </w:p>
    <w:p w14:paraId="557EF248"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 Deklarované obsažené emise by měly být ověřeny osobou akreditovanou vnitrostátním akreditačním orgánem EU, pokud jsou deklarovány skutečné emise.</w:t>
      </w:r>
    </w:p>
    <w:p w14:paraId="02219A23"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 Centrální systém CBAM by měl provozovatelům výrobních zařízení ve třetích zemích umožnit, aby se zaregistrovali do rejstříku CBAM a zpřístupnili své ověřené obsažené emise skleníkových plynů produkované při výrobě zboží schváleným deklarantům pro CBAM. Rejstřík CBAM obsahující údaje o schválených deklarantech pro CBAM, provozovatelích a zařízeních ve třetích zemích by měla spravovat Komise. Pozměňující nařízení navrhuje umožnit akreditovaným ověřovatelům přístup do rejstříku s cílem zlepšit spolehlivost údajů o emisích, které provozovatelé sdílejí s deklaranty prostřednictvím rejstříku.</w:t>
      </w:r>
    </w:p>
    <w:p w14:paraId="5E22EC5B"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 Aby se snížilo riziko úniku uhlíku, měla by Komise přijmout opatření, kterými by řešila praktiky obcházení.</w:t>
      </w:r>
    </w:p>
    <w:p w14:paraId="7CD24F60"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 Pro prodej a zpětný nákup certifikátů CBAM by měla být zřízena společná centrální platforma. Pro účely dohledu nad transakcemi na společné centrální platformě by měla Komise usnadňovat výměny informací a spolupráci mezi příslušnými orgány a mezi těmito orgány a Komisí. Kromě toho by měl být zaveden rychlý tok informací mezi společnou centrální platformou a rejstříkem CBAM.</w:t>
      </w:r>
    </w:p>
    <w:p w14:paraId="2B3C116F"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 Komise by měla provádět kontroly založené na posouzení rizik a odpovídajícím způsobem prověřovat obsah prohlášení CBAM. Pro účely prosazování mohou členské státy rovněž provádět přezkumy jednotlivých prohlášení CBAM. Závěry přezkumů jednotlivých prohlášení CBAM by měly být sdíleny s Komisí a měly by být zpřístupněny ostatním příslušným orgánům v rejstříku CBAM.</w:t>
      </w:r>
    </w:p>
    <w:p w14:paraId="3A759708"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 Členské státy by měly být odpovědné za správné stanovení a výběr příjmů plynoucích z uplatňování tohoto nařízení.</w:t>
      </w:r>
    </w:p>
    <w:p w14:paraId="4C2FE13A"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Proto se během konečného období počet úkolů, které jsou Evropské komisi přiděleny, výrazně zvýší, což vyžaduje zvýšení počtu zaměstnanců. K úkolům, které tento tým plní, bude patřit dohled nad schvalováním deklarantů pro CBAM ze strany příslušných orgánů členských států, správa centrální databáze a centrálního registru, koordinace a výměna informací s příslušnými orgány členských států, přezkum prohlášení a dohled nad externí platformou a konečně úkoly vyžadující právní kompetence, jako jsou soudní spory a vymáhání pohledávek a dohled nad finanční odpovědností. Struktura týmu je dále definována níže.</w:t>
      </w:r>
    </w:p>
    <w:p w14:paraId="63E0474F"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Během konečného období bude mít Komise na starosti většinu úkolů vyplývajících z nařízení o CBAM.</w:t>
      </w:r>
    </w:p>
    <w:p w14:paraId="2E1C885A"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b/>
          <w:bCs/>
          <w:noProof/>
          <w:szCs w:val="24"/>
        </w:rPr>
      </w:pPr>
      <w:r w:rsidRPr="00C34031">
        <w:rPr>
          <w:b/>
          <w:noProof/>
        </w:rPr>
        <w:t>Rozpočet CBAM na IT</w:t>
      </w:r>
    </w:p>
    <w:p w14:paraId="17A7B8B1"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b/>
          <w:bCs/>
          <w:noProof/>
          <w:szCs w:val="24"/>
        </w:rPr>
      </w:pPr>
      <w:r w:rsidRPr="00C34031">
        <w:rPr>
          <w:noProof/>
        </w:rPr>
        <w:t>Rozpočet CBAM, který má být využit/vyčleněn pro období 2023–2027, byl odhadnut na 101,74 milionu EUR. Rozpočet CBAM na IT zahrnuje služby analýzy a vývoje, služby zavádění, provozní služby, cloudové služby a/nebo hardwarové a softwarové licence pro přechodný a konečný systém CBAM, jak je podrobně uvedeno níže:</w:t>
      </w:r>
    </w:p>
    <w:p w14:paraId="18652988"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b/>
          <w:bCs/>
          <w:noProof/>
          <w:szCs w:val="24"/>
        </w:rPr>
      </w:pPr>
      <w:r w:rsidRPr="00C34031">
        <w:rPr>
          <w:noProof/>
        </w:rPr>
        <w:t>– Náklady na kapitálové výdaje byly odhadnuty na základě skutečně přiděleného rozpočtu a rozpočtu schváleného podnikovým řízením IT EK v podobě schválených koncepčních dokumentů pro následující a minulé projekty IT pro GŘ TAXUD, a to z důvodu jejich podobnosti, pokud jde o model architektury IT: CDS, CRMS2, SURV3, REX, CSRD2, EBTI, Celní transevropské systémy správy celních prohlášení vyvinuté a provozované GŘ TAXUD.</w:t>
      </w:r>
    </w:p>
    <w:p w14:paraId="7BF707F7"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b/>
          <w:bCs/>
          <w:noProof/>
          <w:szCs w:val="24"/>
        </w:rPr>
      </w:pPr>
      <w:r w:rsidRPr="00C34031">
        <w:rPr>
          <w:noProof/>
        </w:rPr>
        <w:t>– Náklady na provozní výdaje byly stanoveny na základě současných ročních nákladů na infrastrukturu a provoz GŘ TAXUD, jejich rezerv na infrastrukturu IT, podporu IT a činnosti asistenční služby pro výrobní systémy dodané v rámci výše uvedených projektů.</w:t>
      </w:r>
    </w:p>
    <w:p w14:paraId="4EF98C76"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b/>
          <w:bCs/>
          <w:noProof/>
          <w:szCs w:val="24"/>
        </w:rPr>
      </w:pPr>
      <w:r w:rsidRPr="00C34031">
        <w:rPr>
          <w:noProof/>
        </w:rPr>
        <w:t>– Stanovení cen vychází ze stávajících cen stanovených platnými rámcovými smlouvami.</w:t>
      </w:r>
    </w:p>
    <w:p w14:paraId="568E5CEA" w14:textId="77777777"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b/>
          <w:bCs/>
          <w:noProof/>
          <w:szCs w:val="24"/>
        </w:rPr>
      </w:pPr>
      <w:r w:rsidRPr="00C34031">
        <w:rPr>
          <w:noProof/>
        </w:rPr>
        <w:t>V rozpočtové položce politiky IT není zahrnut rozpočet na společné zadávání veřejných zakázek mezi Komisí a členskými státy platformy pro nákup a prodej certifikátů pro řízení operací.</w:t>
      </w:r>
    </w:p>
    <w:p w14:paraId="2E8F52E1" w14:textId="2B01F49A"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color w:val="0000FF"/>
          <w:szCs w:val="24"/>
        </w:rPr>
      </w:pPr>
      <w:r w:rsidRPr="00C34031">
        <w:rPr>
          <w:noProof/>
        </w:rPr>
        <w:t>V roce 2027 by tým CBAM tvořilo 90 zaměstnanců Evropské komise (včetně 15 zaměstnanců v oblasti IT).</w:t>
      </w:r>
    </w:p>
    <w:p w14:paraId="4B6B3B5C" w14:textId="64F76D19" w:rsidR="6A501879" w:rsidRPr="00C34031" w:rsidRDefault="6A501879"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Pozměňující nařízení navrhuje zavést racionalizaci administrativních požadavků, včetně podávání zpráv. Vzhledem k tomu, že tyto požadavky byly zavedeny právem Unie, lze i jejich racionalizaci nejlépe provést na úrovni EU, aby byla zajištěna právní jistota a jednotnost podávání zpráv. Tato změna odpovídá dodatečným nákladům na IT ve výši 18,95 milionu EUR na období 2025–2027.  Tím se zajistí rovné podmínky pro společnosti a orgány v celé Unii, které budou mít prospěch z racionalizace požadavků na podávání zpráv vyplývajících z tohoto návrhu.</w:t>
      </w:r>
    </w:p>
    <w:tbl>
      <w:tblPr>
        <w:tblStyle w:val="TableGrid"/>
        <w:tblW w:w="0" w:type="auto"/>
        <w:tblLayout w:type="fixed"/>
        <w:tblLook w:val="04A0" w:firstRow="1" w:lastRow="0" w:firstColumn="1" w:lastColumn="0" w:noHBand="0" w:noVBand="1"/>
      </w:tblPr>
      <w:tblGrid>
        <w:gridCol w:w="2641"/>
        <w:gridCol w:w="1122"/>
        <w:gridCol w:w="1122"/>
        <w:gridCol w:w="1122"/>
        <w:gridCol w:w="900"/>
        <w:gridCol w:w="900"/>
      </w:tblGrid>
      <w:tr w:rsidR="139DF8FE" w:rsidRPr="00C34031" w14:paraId="0F9EEE61" w14:textId="77777777" w:rsidTr="139DF8FE">
        <w:trPr>
          <w:trHeight w:val="300"/>
        </w:trPr>
        <w:tc>
          <w:tcPr>
            <w:tcW w:w="2641"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6BD1060C" w14:textId="77777777" w:rsidR="139DF8FE" w:rsidRPr="00C34031" w:rsidRDefault="139DF8FE" w:rsidP="139DF8FE">
            <w:pPr>
              <w:spacing w:before="0" w:after="0"/>
              <w:rPr>
                <w:noProof/>
              </w:rPr>
            </w:pPr>
            <w:r w:rsidRPr="00C34031">
              <w:rPr>
                <w:rFonts w:ascii="Arial" w:hAnsi="Arial"/>
                <w:b/>
                <w:noProof/>
                <w:sz w:val="20"/>
              </w:rPr>
              <w:t>Úkoly svěřené Evropské komisi a sdílené s členskými státy pro provádění CBAM</w:t>
            </w:r>
          </w:p>
        </w:tc>
        <w:tc>
          <w:tcPr>
            <w:tcW w:w="5166"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4CE1DB17" w14:textId="77777777" w:rsidR="139DF8FE" w:rsidRPr="00C34031" w:rsidRDefault="139DF8FE" w:rsidP="139DF8FE">
            <w:pPr>
              <w:spacing w:before="0" w:after="0"/>
              <w:rPr>
                <w:noProof/>
              </w:rPr>
            </w:pPr>
            <w:r w:rsidRPr="00C34031">
              <w:rPr>
                <w:rFonts w:ascii="Arial" w:hAnsi="Arial"/>
                <w:b/>
                <w:noProof/>
                <w:sz w:val="20"/>
              </w:rPr>
              <w:t>Počet zaměstnanců potřebných k provedení uvedeného úkolu</w:t>
            </w:r>
          </w:p>
        </w:tc>
      </w:tr>
      <w:tr w:rsidR="00F605F1" w:rsidRPr="00C34031" w14:paraId="524982D2" w14:textId="77777777" w:rsidTr="139DF8FE">
        <w:trPr>
          <w:trHeight w:val="300"/>
        </w:trPr>
        <w:tc>
          <w:tcPr>
            <w:tcW w:w="2641" w:type="dxa"/>
            <w:vMerge/>
            <w:vAlign w:val="center"/>
          </w:tcPr>
          <w:p w14:paraId="5F2BBDBA" w14:textId="77777777" w:rsidR="00A60788" w:rsidRPr="00C34031" w:rsidRDefault="00A60788">
            <w:pPr>
              <w:rPr>
                <w:noProof/>
              </w:rPr>
            </w:pPr>
          </w:p>
        </w:tc>
        <w:tc>
          <w:tcPr>
            <w:tcW w:w="1122" w:type="dxa"/>
            <w:tcBorders>
              <w:top w:val="single" w:sz="8" w:space="0" w:color="auto"/>
              <w:left w:val="nil"/>
              <w:bottom w:val="single" w:sz="8" w:space="0" w:color="auto"/>
              <w:right w:val="single" w:sz="8" w:space="0" w:color="auto"/>
            </w:tcBorders>
            <w:tcMar>
              <w:left w:w="108" w:type="dxa"/>
              <w:right w:w="108" w:type="dxa"/>
            </w:tcMar>
          </w:tcPr>
          <w:p w14:paraId="2C1A7525" w14:textId="77777777" w:rsidR="139DF8FE" w:rsidRPr="00C34031" w:rsidRDefault="139DF8FE" w:rsidP="139DF8FE">
            <w:pPr>
              <w:spacing w:before="0" w:after="0"/>
              <w:rPr>
                <w:noProof/>
              </w:rPr>
            </w:pPr>
            <w:r w:rsidRPr="00C34031">
              <w:rPr>
                <w:rFonts w:ascii="Arial" w:hAnsi="Arial"/>
                <w:b/>
                <w:noProof/>
                <w:sz w:val="20"/>
              </w:rPr>
              <w:t>Přechodné období (2023)</w:t>
            </w:r>
          </w:p>
        </w:tc>
        <w:tc>
          <w:tcPr>
            <w:tcW w:w="1122" w:type="dxa"/>
            <w:tcBorders>
              <w:top w:val="nil"/>
              <w:left w:val="single" w:sz="8" w:space="0" w:color="auto"/>
              <w:bottom w:val="single" w:sz="8" w:space="0" w:color="auto"/>
              <w:right w:val="single" w:sz="8" w:space="0" w:color="auto"/>
            </w:tcBorders>
            <w:tcMar>
              <w:left w:w="108" w:type="dxa"/>
              <w:right w:w="108" w:type="dxa"/>
            </w:tcMar>
          </w:tcPr>
          <w:p w14:paraId="0E0CC77D" w14:textId="77777777" w:rsidR="139DF8FE" w:rsidRPr="00C34031" w:rsidRDefault="139DF8FE" w:rsidP="139DF8FE">
            <w:pPr>
              <w:spacing w:before="0" w:after="0"/>
              <w:rPr>
                <w:noProof/>
              </w:rPr>
            </w:pPr>
            <w:r w:rsidRPr="00C34031">
              <w:rPr>
                <w:rFonts w:ascii="Arial" w:hAnsi="Arial"/>
                <w:b/>
                <w:noProof/>
                <w:sz w:val="20"/>
              </w:rPr>
              <w:t>Přechodné období (2024)</w:t>
            </w:r>
          </w:p>
        </w:tc>
        <w:tc>
          <w:tcPr>
            <w:tcW w:w="1122" w:type="dxa"/>
            <w:tcBorders>
              <w:top w:val="nil"/>
              <w:left w:val="single" w:sz="8" w:space="0" w:color="auto"/>
              <w:bottom w:val="single" w:sz="8" w:space="0" w:color="auto"/>
              <w:right w:val="single" w:sz="8" w:space="0" w:color="auto"/>
            </w:tcBorders>
            <w:tcMar>
              <w:left w:w="108" w:type="dxa"/>
              <w:right w:w="108" w:type="dxa"/>
            </w:tcMar>
          </w:tcPr>
          <w:p w14:paraId="1B4DBEFC" w14:textId="77777777" w:rsidR="139DF8FE" w:rsidRPr="00C34031" w:rsidRDefault="139DF8FE" w:rsidP="139DF8FE">
            <w:pPr>
              <w:spacing w:before="0" w:after="0"/>
              <w:rPr>
                <w:noProof/>
              </w:rPr>
            </w:pPr>
            <w:r w:rsidRPr="00C34031">
              <w:rPr>
                <w:rFonts w:ascii="Arial" w:hAnsi="Arial"/>
                <w:b/>
                <w:noProof/>
                <w:sz w:val="20"/>
              </w:rPr>
              <w:t>Přechodné období (2025)</w:t>
            </w:r>
          </w:p>
        </w:tc>
        <w:tc>
          <w:tcPr>
            <w:tcW w:w="900" w:type="dxa"/>
            <w:tcBorders>
              <w:top w:val="nil"/>
              <w:left w:val="single" w:sz="8" w:space="0" w:color="auto"/>
              <w:bottom w:val="single" w:sz="8" w:space="0" w:color="auto"/>
              <w:right w:val="single" w:sz="8" w:space="0" w:color="auto"/>
            </w:tcBorders>
            <w:tcMar>
              <w:left w:w="108" w:type="dxa"/>
              <w:right w:w="108" w:type="dxa"/>
            </w:tcMar>
          </w:tcPr>
          <w:p w14:paraId="10A48259" w14:textId="77777777" w:rsidR="139DF8FE" w:rsidRPr="00C34031" w:rsidRDefault="139DF8FE" w:rsidP="139DF8FE">
            <w:pPr>
              <w:spacing w:before="0" w:after="0"/>
              <w:rPr>
                <w:noProof/>
              </w:rPr>
            </w:pPr>
            <w:r w:rsidRPr="00C34031">
              <w:rPr>
                <w:rFonts w:ascii="Arial" w:hAnsi="Arial"/>
                <w:b/>
                <w:noProof/>
                <w:sz w:val="20"/>
              </w:rPr>
              <w:t>Konečné období (2026)</w:t>
            </w:r>
          </w:p>
        </w:tc>
        <w:tc>
          <w:tcPr>
            <w:tcW w:w="900" w:type="dxa"/>
            <w:tcBorders>
              <w:top w:val="nil"/>
              <w:left w:val="single" w:sz="8" w:space="0" w:color="auto"/>
              <w:bottom w:val="single" w:sz="8" w:space="0" w:color="auto"/>
              <w:right w:val="single" w:sz="8" w:space="0" w:color="auto"/>
            </w:tcBorders>
            <w:tcMar>
              <w:left w:w="108" w:type="dxa"/>
              <w:right w:w="108" w:type="dxa"/>
            </w:tcMar>
          </w:tcPr>
          <w:p w14:paraId="122937AC" w14:textId="77777777" w:rsidR="139DF8FE" w:rsidRPr="00C34031" w:rsidRDefault="139DF8FE" w:rsidP="139DF8FE">
            <w:pPr>
              <w:spacing w:before="0" w:after="0"/>
              <w:rPr>
                <w:noProof/>
              </w:rPr>
            </w:pPr>
            <w:r w:rsidRPr="00C34031">
              <w:rPr>
                <w:rFonts w:ascii="Arial" w:hAnsi="Arial"/>
                <w:b/>
                <w:noProof/>
                <w:sz w:val="20"/>
              </w:rPr>
              <w:t>Konečné období (2027)</w:t>
            </w:r>
          </w:p>
        </w:tc>
      </w:tr>
      <w:tr w:rsidR="139DF8FE" w:rsidRPr="00C34031" w14:paraId="67AEF68F" w14:textId="77777777" w:rsidTr="139DF8FE">
        <w:trPr>
          <w:trHeight w:val="300"/>
        </w:trPr>
        <w:tc>
          <w:tcPr>
            <w:tcW w:w="2641" w:type="dxa"/>
            <w:tcBorders>
              <w:top w:val="nil"/>
              <w:left w:val="single" w:sz="8" w:space="0" w:color="auto"/>
              <w:bottom w:val="single" w:sz="8" w:space="0" w:color="auto"/>
              <w:right w:val="single" w:sz="8" w:space="0" w:color="auto"/>
            </w:tcBorders>
            <w:tcMar>
              <w:left w:w="108" w:type="dxa"/>
              <w:right w:w="108" w:type="dxa"/>
            </w:tcMar>
          </w:tcPr>
          <w:p w14:paraId="692C9B1D" w14:textId="77777777" w:rsidR="139DF8FE" w:rsidRPr="00C34031" w:rsidRDefault="139DF8FE" w:rsidP="139DF8FE">
            <w:pPr>
              <w:spacing w:before="0" w:after="0"/>
              <w:rPr>
                <w:noProof/>
              </w:rPr>
            </w:pPr>
            <w:r w:rsidRPr="00C34031">
              <w:rPr>
                <w:rFonts w:ascii="Aptos" w:hAnsi="Aptos"/>
                <w:noProof/>
              </w:rPr>
              <w:t>Schvalování deklarantů pro CBAM</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6F4785CB"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25E4A9EB"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505768DF" w14:textId="77777777" w:rsidR="139DF8FE" w:rsidRPr="00C34031" w:rsidRDefault="139DF8FE" w:rsidP="139DF8FE">
            <w:pPr>
              <w:spacing w:before="0" w:after="0"/>
              <w:rPr>
                <w:noProof/>
              </w:rPr>
            </w:pPr>
            <w:r w:rsidRPr="00C34031">
              <w:rPr>
                <w:rFonts w:ascii="Aptos" w:hAnsi="Aptos"/>
                <w:noProof/>
              </w:rPr>
              <w:t>1</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445F1E4F" w14:textId="77777777" w:rsidR="139DF8FE" w:rsidRPr="00C34031" w:rsidRDefault="139DF8FE" w:rsidP="139DF8FE">
            <w:pPr>
              <w:spacing w:before="0" w:after="0"/>
              <w:rPr>
                <w:noProof/>
              </w:rPr>
            </w:pPr>
            <w:r w:rsidRPr="00C34031">
              <w:rPr>
                <w:rFonts w:ascii="Aptos" w:hAnsi="Aptos"/>
                <w:noProof/>
              </w:rPr>
              <w:t>2</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101A9ABD" w14:textId="77777777" w:rsidR="139DF8FE" w:rsidRPr="00C34031" w:rsidRDefault="139DF8FE" w:rsidP="139DF8FE">
            <w:pPr>
              <w:spacing w:before="0" w:after="0"/>
              <w:rPr>
                <w:noProof/>
              </w:rPr>
            </w:pPr>
            <w:r w:rsidRPr="00C34031">
              <w:rPr>
                <w:rFonts w:ascii="Aptos" w:hAnsi="Aptos"/>
                <w:noProof/>
              </w:rPr>
              <w:t>2</w:t>
            </w:r>
          </w:p>
        </w:tc>
      </w:tr>
      <w:tr w:rsidR="139DF8FE" w:rsidRPr="00C34031" w14:paraId="3AA3D99F"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3E35CB1A" w14:textId="77777777" w:rsidR="139DF8FE" w:rsidRPr="00C34031" w:rsidRDefault="139DF8FE" w:rsidP="139DF8FE">
            <w:pPr>
              <w:spacing w:before="0" w:after="0"/>
              <w:rPr>
                <w:noProof/>
              </w:rPr>
            </w:pPr>
            <w:r w:rsidRPr="00C34031">
              <w:rPr>
                <w:rFonts w:ascii="Aptos" w:hAnsi="Aptos"/>
                <w:noProof/>
              </w:rPr>
              <w:t>Správa a registrace informací v centrální databázi zařízení mimo EU</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30BD87A7"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7209D806"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7EB14D85" w14:textId="77777777" w:rsidR="139DF8FE" w:rsidRPr="00C34031" w:rsidRDefault="139DF8FE" w:rsidP="139DF8FE">
            <w:pPr>
              <w:spacing w:before="0" w:after="0"/>
              <w:rPr>
                <w:noProof/>
              </w:rPr>
            </w:pPr>
            <w:r w:rsidRPr="00C34031">
              <w:rPr>
                <w:rFonts w:ascii="Aptos" w:hAnsi="Aptos"/>
                <w:noProof/>
              </w:rPr>
              <w:t>0</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72F7E485" w14:textId="77777777" w:rsidR="139DF8FE" w:rsidRPr="00C34031" w:rsidRDefault="139DF8FE" w:rsidP="139DF8FE">
            <w:pPr>
              <w:spacing w:before="0" w:after="0"/>
              <w:rPr>
                <w:noProof/>
              </w:rPr>
            </w:pPr>
            <w:r w:rsidRPr="00C34031">
              <w:rPr>
                <w:rFonts w:ascii="Aptos" w:hAnsi="Aptos"/>
                <w:noProof/>
              </w:rPr>
              <w:t>3</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2B06B03D" w14:textId="77777777" w:rsidR="139DF8FE" w:rsidRPr="00C34031" w:rsidRDefault="139DF8FE" w:rsidP="139DF8FE">
            <w:pPr>
              <w:spacing w:before="0" w:after="0"/>
              <w:rPr>
                <w:noProof/>
              </w:rPr>
            </w:pPr>
            <w:r w:rsidRPr="00C34031">
              <w:rPr>
                <w:rFonts w:ascii="Aptos" w:hAnsi="Aptos"/>
                <w:noProof/>
              </w:rPr>
              <w:t>5</w:t>
            </w:r>
          </w:p>
        </w:tc>
      </w:tr>
      <w:tr w:rsidR="139DF8FE" w:rsidRPr="00C34031" w14:paraId="7F2CF851"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3AE06AD9" w14:textId="77777777" w:rsidR="139DF8FE" w:rsidRPr="00C34031" w:rsidRDefault="139DF8FE" w:rsidP="139DF8FE">
            <w:pPr>
              <w:spacing w:before="0" w:after="0"/>
              <w:rPr>
                <w:noProof/>
              </w:rPr>
            </w:pPr>
            <w:r w:rsidRPr="00C34031">
              <w:rPr>
                <w:rFonts w:ascii="Aptos" w:hAnsi="Aptos"/>
                <w:noProof/>
              </w:rPr>
              <w:t>Správa centrálního registru včetně účtů (vyřazování certifikátů, včetně pravidla 80 %, rušení)</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4E6FE89D"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363BAA73"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2A06C855" w14:textId="77777777" w:rsidR="139DF8FE" w:rsidRPr="00C34031" w:rsidRDefault="139DF8FE" w:rsidP="139DF8FE">
            <w:pPr>
              <w:spacing w:before="0" w:after="0"/>
              <w:rPr>
                <w:noProof/>
              </w:rPr>
            </w:pPr>
            <w:r w:rsidRPr="00C34031">
              <w:rPr>
                <w:rFonts w:ascii="Aptos" w:hAnsi="Aptos"/>
                <w:noProof/>
              </w:rPr>
              <w:t>0,5</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61403473" w14:textId="77777777" w:rsidR="139DF8FE" w:rsidRPr="00C34031" w:rsidRDefault="139DF8FE" w:rsidP="139DF8FE">
            <w:pPr>
              <w:spacing w:before="0" w:after="0"/>
              <w:rPr>
                <w:noProof/>
              </w:rPr>
            </w:pPr>
            <w:r w:rsidRPr="00C34031">
              <w:rPr>
                <w:rFonts w:ascii="Aptos" w:hAnsi="Aptos"/>
                <w:noProof/>
              </w:rPr>
              <w:t>3</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77291C3B" w14:textId="77777777" w:rsidR="139DF8FE" w:rsidRPr="00C34031" w:rsidRDefault="139DF8FE" w:rsidP="139DF8FE">
            <w:pPr>
              <w:spacing w:before="0" w:after="0"/>
              <w:rPr>
                <w:noProof/>
              </w:rPr>
            </w:pPr>
            <w:r w:rsidRPr="00C34031">
              <w:rPr>
                <w:rFonts w:ascii="Aptos" w:hAnsi="Aptos"/>
                <w:noProof/>
              </w:rPr>
              <w:t>5</w:t>
            </w:r>
          </w:p>
        </w:tc>
      </w:tr>
      <w:tr w:rsidR="139DF8FE" w:rsidRPr="00C34031" w14:paraId="2208E1AA"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7B3F4969" w14:textId="77777777" w:rsidR="139DF8FE" w:rsidRPr="00C34031" w:rsidRDefault="139DF8FE" w:rsidP="139DF8FE">
            <w:pPr>
              <w:spacing w:before="0" w:after="0"/>
              <w:rPr>
                <w:noProof/>
              </w:rPr>
            </w:pPr>
            <w:r w:rsidRPr="00C34031">
              <w:rPr>
                <w:rFonts w:ascii="Aptos" w:hAnsi="Aptos"/>
                <w:noProof/>
              </w:rPr>
              <w:t>Koordinace a výměna informací mezi příslušnými orgány a celními orgány</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45F04970"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2E3E371D" w14:textId="77777777" w:rsidR="139DF8FE" w:rsidRPr="00C34031" w:rsidRDefault="139DF8FE" w:rsidP="139DF8FE">
            <w:pPr>
              <w:spacing w:before="0" w:after="0"/>
              <w:rPr>
                <w:noProof/>
              </w:rPr>
            </w:pPr>
            <w:r w:rsidRPr="00C34031">
              <w:rPr>
                <w:rFonts w:ascii="Aptos" w:hAnsi="Aptos"/>
                <w:noProof/>
              </w:rPr>
              <w:t>1</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23D51CD1" w14:textId="77777777" w:rsidR="139DF8FE" w:rsidRPr="00C34031" w:rsidRDefault="139DF8FE" w:rsidP="139DF8FE">
            <w:pPr>
              <w:spacing w:before="0" w:after="0"/>
              <w:rPr>
                <w:noProof/>
              </w:rPr>
            </w:pPr>
            <w:r w:rsidRPr="00C34031">
              <w:rPr>
                <w:rFonts w:ascii="Aptos" w:hAnsi="Aptos"/>
                <w:noProof/>
              </w:rPr>
              <w:t>1</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41BF4A21" w14:textId="77777777" w:rsidR="139DF8FE" w:rsidRPr="00C34031" w:rsidRDefault="139DF8FE" w:rsidP="139DF8FE">
            <w:pPr>
              <w:spacing w:before="0" w:after="0"/>
              <w:rPr>
                <w:noProof/>
              </w:rPr>
            </w:pPr>
            <w:r w:rsidRPr="00C34031">
              <w:rPr>
                <w:rFonts w:ascii="Aptos" w:hAnsi="Aptos"/>
                <w:noProof/>
              </w:rPr>
              <w:t>1</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628BA369" w14:textId="77777777" w:rsidR="139DF8FE" w:rsidRPr="00C34031" w:rsidRDefault="139DF8FE" w:rsidP="139DF8FE">
            <w:pPr>
              <w:spacing w:before="0" w:after="0"/>
              <w:rPr>
                <w:noProof/>
              </w:rPr>
            </w:pPr>
            <w:r w:rsidRPr="00C34031">
              <w:rPr>
                <w:rFonts w:ascii="Aptos" w:hAnsi="Aptos"/>
                <w:noProof/>
              </w:rPr>
              <w:t>1</w:t>
            </w:r>
          </w:p>
        </w:tc>
      </w:tr>
      <w:tr w:rsidR="139DF8FE" w:rsidRPr="00C34031" w14:paraId="56EC7EEF"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49C60D86" w14:textId="77777777" w:rsidR="139DF8FE" w:rsidRPr="00C34031" w:rsidRDefault="139DF8FE" w:rsidP="139DF8FE">
            <w:pPr>
              <w:spacing w:before="0" w:after="0"/>
              <w:rPr>
                <w:noProof/>
              </w:rPr>
            </w:pPr>
            <w:r w:rsidRPr="00C34031">
              <w:rPr>
                <w:rFonts w:ascii="Aptos" w:hAnsi="Aptos"/>
                <w:noProof/>
              </w:rPr>
              <w:t xml:space="preserve">Ověřování a kontrola nesrovnalostí </w:t>
            </w:r>
          </w:p>
          <w:p w14:paraId="4E01B48E" w14:textId="77777777" w:rsidR="139DF8FE" w:rsidRPr="00C34031" w:rsidRDefault="139DF8FE" w:rsidP="139DF8FE">
            <w:pPr>
              <w:spacing w:before="0" w:after="0"/>
              <w:rPr>
                <w:noProof/>
              </w:rPr>
            </w:pPr>
            <w:r w:rsidRPr="00C34031">
              <w:rPr>
                <w:rFonts w:ascii="Aptos" w:hAnsi="Aptos"/>
                <w:noProof/>
              </w:rPr>
              <w:t xml:space="preserve"> </w:t>
            </w:r>
          </w:p>
          <w:p w14:paraId="3278947D" w14:textId="77777777" w:rsidR="139DF8FE" w:rsidRPr="00C34031" w:rsidRDefault="139DF8FE" w:rsidP="139DF8FE">
            <w:pPr>
              <w:spacing w:before="0" w:after="0"/>
              <w:rPr>
                <w:noProof/>
              </w:rPr>
            </w:pPr>
            <w:r w:rsidRPr="00C34031">
              <w:rPr>
                <w:rFonts w:ascii="Aptos" w:hAnsi="Aptos"/>
                <w:noProof/>
              </w:rPr>
              <w:t>Kontroly založené na riziku a vedení nezávislé evidence transakcí a informování členských států o nesrovnalostech</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56E53E46"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3392EC7B"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2686F77D" w14:textId="77777777" w:rsidR="139DF8FE" w:rsidRPr="00C34031" w:rsidRDefault="139DF8FE" w:rsidP="139DF8FE">
            <w:pPr>
              <w:spacing w:before="0" w:after="0"/>
              <w:rPr>
                <w:noProof/>
              </w:rPr>
            </w:pPr>
            <w:r w:rsidRPr="00C34031">
              <w:rPr>
                <w:rFonts w:ascii="Aptos" w:hAnsi="Aptos"/>
                <w:noProof/>
              </w:rPr>
              <w:t>0</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22D130DB" w14:textId="77777777" w:rsidR="139DF8FE" w:rsidRPr="00C34031" w:rsidRDefault="139DF8FE" w:rsidP="139DF8FE">
            <w:pPr>
              <w:spacing w:before="0" w:after="0"/>
              <w:rPr>
                <w:noProof/>
              </w:rPr>
            </w:pPr>
            <w:r w:rsidRPr="00C34031">
              <w:rPr>
                <w:rFonts w:ascii="Aptos" w:hAnsi="Aptos"/>
                <w:noProof/>
              </w:rPr>
              <w:t>3</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4E4C0F1C" w14:textId="77777777" w:rsidR="139DF8FE" w:rsidRPr="00C34031" w:rsidRDefault="139DF8FE" w:rsidP="139DF8FE">
            <w:pPr>
              <w:spacing w:before="0" w:after="0"/>
              <w:rPr>
                <w:noProof/>
              </w:rPr>
            </w:pPr>
            <w:r w:rsidRPr="00C34031">
              <w:rPr>
                <w:rFonts w:ascii="Aptos" w:hAnsi="Aptos"/>
                <w:noProof/>
              </w:rPr>
              <w:t>5</w:t>
            </w:r>
          </w:p>
        </w:tc>
      </w:tr>
      <w:tr w:rsidR="139DF8FE" w:rsidRPr="00C34031" w14:paraId="553AE8C3"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49CE87E4" w14:textId="77777777" w:rsidR="139DF8FE" w:rsidRPr="00C34031" w:rsidRDefault="139DF8FE" w:rsidP="139DF8FE">
            <w:pPr>
              <w:spacing w:before="0" w:after="0"/>
              <w:rPr>
                <w:noProof/>
              </w:rPr>
            </w:pPr>
            <w:r w:rsidRPr="00C34031">
              <w:rPr>
                <w:rFonts w:ascii="Aptos" w:hAnsi="Aptos"/>
                <w:noProof/>
              </w:rPr>
              <w:t>Dohled nad prohlášeními a zprávami o emisích a jejich přezkum:</w:t>
            </w:r>
          </w:p>
          <w:p w14:paraId="13401357" w14:textId="77777777" w:rsidR="139DF8FE" w:rsidRPr="00C34031" w:rsidRDefault="139DF8FE" w:rsidP="139DF8FE">
            <w:pPr>
              <w:spacing w:before="0" w:after="0"/>
              <w:rPr>
                <w:noProof/>
              </w:rPr>
            </w:pPr>
            <w:r w:rsidRPr="00C34031">
              <w:rPr>
                <w:rFonts w:ascii="Aptos" w:hAnsi="Aptos"/>
                <w:noProof/>
              </w:rPr>
              <w:t xml:space="preserve"> </w:t>
            </w:r>
          </w:p>
          <w:p w14:paraId="1C32BE75" w14:textId="77777777" w:rsidR="139DF8FE" w:rsidRPr="00C34031" w:rsidRDefault="139DF8FE" w:rsidP="00F605F1">
            <w:pPr>
              <w:pStyle w:val="ListParagraph"/>
              <w:numPr>
                <w:ilvl w:val="0"/>
                <w:numId w:val="7"/>
              </w:numPr>
              <w:spacing w:before="0" w:after="0"/>
              <w:rPr>
                <w:rFonts w:ascii="Aptos" w:eastAsia="Aptos" w:hAnsi="Aptos" w:cs="Aptos"/>
                <w:noProof/>
                <w:szCs w:val="24"/>
              </w:rPr>
            </w:pPr>
            <w:r w:rsidRPr="00C34031">
              <w:rPr>
                <w:rFonts w:ascii="Aptos" w:hAnsi="Aptos"/>
                <w:noProof/>
              </w:rPr>
              <w:t>Dohled nad automatizovaným krokem ověřování prohlášení</w:t>
            </w:r>
          </w:p>
          <w:p w14:paraId="61C15DC7" w14:textId="77777777" w:rsidR="139DF8FE" w:rsidRPr="00C34031" w:rsidRDefault="139DF8FE" w:rsidP="139DF8FE">
            <w:pPr>
              <w:spacing w:before="0" w:after="0"/>
              <w:rPr>
                <w:noProof/>
              </w:rPr>
            </w:pPr>
            <w:r w:rsidRPr="00C34031">
              <w:rPr>
                <w:rFonts w:ascii="Aptos" w:hAnsi="Aptos"/>
                <w:noProof/>
              </w:rPr>
              <w:t xml:space="preserve"> </w:t>
            </w:r>
          </w:p>
          <w:p w14:paraId="52377BE0" w14:textId="77777777" w:rsidR="139DF8FE" w:rsidRPr="00C34031" w:rsidRDefault="139DF8FE" w:rsidP="00F605F1">
            <w:pPr>
              <w:pStyle w:val="ListParagraph"/>
              <w:numPr>
                <w:ilvl w:val="0"/>
                <w:numId w:val="7"/>
              </w:numPr>
              <w:spacing w:before="0" w:after="0"/>
              <w:rPr>
                <w:rFonts w:ascii="Aptos" w:eastAsia="Aptos" w:hAnsi="Aptos" w:cs="Aptos"/>
                <w:noProof/>
                <w:szCs w:val="24"/>
              </w:rPr>
            </w:pPr>
            <w:r w:rsidRPr="00C34031">
              <w:rPr>
                <w:rFonts w:ascii="Aptos" w:hAnsi="Aptos"/>
                <w:noProof/>
              </w:rPr>
              <w:t>Přezkum prohlášení (výpočty obsažených emisí, povinnosti týkající se certifikátů, odpočet ceny uhlíku zaplacené v zahraničí a bezplatné přidělování povolenek)</w:t>
            </w:r>
          </w:p>
          <w:p w14:paraId="35981F63" w14:textId="77777777" w:rsidR="139DF8FE" w:rsidRPr="00C34031" w:rsidRDefault="139DF8FE" w:rsidP="139DF8FE">
            <w:pPr>
              <w:spacing w:before="0" w:after="0"/>
              <w:ind w:left="720"/>
              <w:rPr>
                <w:noProof/>
              </w:rPr>
            </w:pPr>
            <w:r w:rsidRPr="00C34031">
              <w:rPr>
                <w:rFonts w:ascii="Aptos" w:hAnsi="Aptos"/>
                <w:noProof/>
              </w:rPr>
              <w:t xml:space="preserve"> </w:t>
            </w:r>
          </w:p>
          <w:p w14:paraId="27F8D8BB" w14:textId="77777777" w:rsidR="139DF8FE" w:rsidRPr="00C34031" w:rsidRDefault="139DF8FE" w:rsidP="139DF8FE">
            <w:pPr>
              <w:spacing w:before="0" w:after="0"/>
              <w:rPr>
                <w:noProof/>
              </w:rPr>
            </w:pPr>
            <w:r w:rsidRPr="00C34031">
              <w:rPr>
                <w:rFonts w:ascii="Aptos" w:hAnsi="Aptos"/>
                <w:noProof/>
              </w:rPr>
              <w:t>+ Posouzení nepodaných certifikátů CBAM</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109F4784"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498754AA"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67C7E30F" w14:textId="77777777" w:rsidR="139DF8FE" w:rsidRPr="00C34031" w:rsidRDefault="139DF8FE" w:rsidP="139DF8FE">
            <w:pPr>
              <w:spacing w:before="0" w:after="0"/>
              <w:rPr>
                <w:noProof/>
              </w:rPr>
            </w:pPr>
            <w:r w:rsidRPr="00C34031">
              <w:rPr>
                <w:rFonts w:ascii="Aptos" w:hAnsi="Aptos"/>
                <w:noProof/>
              </w:rPr>
              <w:t>0</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7A5EA677" w14:textId="77777777" w:rsidR="139DF8FE" w:rsidRPr="00C34031" w:rsidRDefault="139DF8FE" w:rsidP="139DF8FE">
            <w:pPr>
              <w:spacing w:before="0" w:after="0"/>
              <w:rPr>
                <w:noProof/>
              </w:rPr>
            </w:pPr>
            <w:r w:rsidRPr="00C34031">
              <w:rPr>
                <w:rFonts w:ascii="Aptos" w:hAnsi="Aptos"/>
                <w:noProof/>
              </w:rPr>
              <w:t>8</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1C251247" w14:textId="77777777" w:rsidR="139DF8FE" w:rsidRPr="00C34031" w:rsidRDefault="139DF8FE" w:rsidP="139DF8FE">
            <w:pPr>
              <w:spacing w:before="0" w:after="0"/>
              <w:rPr>
                <w:noProof/>
              </w:rPr>
            </w:pPr>
            <w:r w:rsidRPr="00C34031">
              <w:rPr>
                <w:rFonts w:ascii="Aptos" w:hAnsi="Aptos"/>
                <w:noProof/>
              </w:rPr>
              <w:t>25</w:t>
            </w:r>
          </w:p>
        </w:tc>
      </w:tr>
      <w:tr w:rsidR="139DF8FE" w:rsidRPr="00C34031" w14:paraId="04E87F75"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500058CE" w14:textId="77777777" w:rsidR="139DF8FE" w:rsidRPr="00C34031" w:rsidRDefault="139DF8FE" w:rsidP="139DF8FE">
            <w:pPr>
              <w:spacing w:before="0" w:after="0"/>
              <w:rPr>
                <w:noProof/>
              </w:rPr>
            </w:pPr>
            <w:r w:rsidRPr="00C34031">
              <w:rPr>
                <w:rFonts w:ascii="Aptos" w:hAnsi="Aptos"/>
                <w:noProof/>
              </w:rPr>
              <w:t>3. Přezkum zpráv o emisích</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385BBA1E"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31FFDE3A"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3FFD1BEE" w14:textId="77777777" w:rsidR="139DF8FE" w:rsidRPr="00C34031" w:rsidRDefault="139DF8FE" w:rsidP="139DF8FE">
            <w:pPr>
              <w:spacing w:before="0" w:after="0"/>
              <w:rPr>
                <w:noProof/>
              </w:rPr>
            </w:pPr>
            <w:r w:rsidRPr="00C34031">
              <w:rPr>
                <w:rFonts w:ascii="Aptos" w:hAnsi="Aptos"/>
                <w:noProof/>
              </w:rPr>
              <w:t>0</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6C255086" w14:textId="77777777" w:rsidR="139DF8FE" w:rsidRPr="00C34031" w:rsidRDefault="139DF8FE" w:rsidP="139DF8FE">
            <w:pPr>
              <w:spacing w:before="0" w:after="0"/>
              <w:rPr>
                <w:noProof/>
              </w:rPr>
            </w:pPr>
            <w:r w:rsidRPr="00C34031">
              <w:rPr>
                <w:rFonts w:ascii="Aptos" w:hAnsi="Aptos"/>
                <w:noProof/>
              </w:rPr>
              <w:t>10</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6E8F276D" w14:textId="77777777" w:rsidR="139DF8FE" w:rsidRPr="00C34031" w:rsidRDefault="139DF8FE" w:rsidP="139DF8FE">
            <w:pPr>
              <w:spacing w:before="0" w:after="0"/>
              <w:rPr>
                <w:noProof/>
              </w:rPr>
            </w:pPr>
            <w:r w:rsidRPr="00C34031">
              <w:rPr>
                <w:rFonts w:ascii="Aptos" w:hAnsi="Aptos"/>
                <w:noProof/>
              </w:rPr>
              <w:t>10</w:t>
            </w:r>
          </w:p>
        </w:tc>
      </w:tr>
      <w:tr w:rsidR="139DF8FE" w:rsidRPr="00C34031" w14:paraId="703F78A1"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666E4C8C" w14:textId="77777777" w:rsidR="139DF8FE" w:rsidRPr="00C34031" w:rsidRDefault="139DF8FE" w:rsidP="139DF8FE">
            <w:pPr>
              <w:spacing w:before="0" w:after="0"/>
              <w:rPr>
                <w:noProof/>
              </w:rPr>
            </w:pPr>
            <w:r w:rsidRPr="00C34031">
              <w:rPr>
                <w:rFonts w:ascii="Aptos" w:hAnsi="Aptos"/>
                <w:noProof/>
              </w:rPr>
              <w:t>Stanovení rizikových faktorů pro přezkum prohlášení</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307B74AC"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0B37ADD9" w14:textId="77777777" w:rsidR="139DF8FE" w:rsidRPr="00C34031" w:rsidRDefault="139DF8FE" w:rsidP="139DF8FE">
            <w:pPr>
              <w:spacing w:before="0" w:after="0"/>
              <w:rPr>
                <w:noProof/>
              </w:rPr>
            </w:pPr>
            <w:r w:rsidRPr="00C34031">
              <w:rPr>
                <w:rFonts w:ascii="Aptos" w:hAnsi="Aptos"/>
                <w:noProof/>
              </w:rPr>
              <w:t>1</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72151C9F" w14:textId="77777777" w:rsidR="139DF8FE" w:rsidRPr="00C34031" w:rsidRDefault="139DF8FE" w:rsidP="139DF8FE">
            <w:pPr>
              <w:spacing w:before="0" w:after="0"/>
              <w:rPr>
                <w:noProof/>
              </w:rPr>
            </w:pPr>
            <w:r w:rsidRPr="00C34031">
              <w:rPr>
                <w:rFonts w:ascii="Aptos" w:hAnsi="Aptos"/>
                <w:noProof/>
              </w:rPr>
              <w:t>1</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2EF7E1D8" w14:textId="77777777" w:rsidR="139DF8FE" w:rsidRPr="00C34031" w:rsidRDefault="139DF8FE" w:rsidP="139DF8FE">
            <w:pPr>
              <w:spacing w:before="0" w:after="0"/>
              <w:rPr>
                <w:noProof/>
              </w:rPr>
            </w:pPr>
            <w:r w:rsidRPr="00C34031">
              <w:rPr>
                <w:rFonts w:ascii="Aptos" w:hAnsi="Aptos"/>
                <w:noProof/>
              </w:rPr>
              <w:t>1</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769FEC77" w14:textId="77777777" w:rsidR="139DF8FE" w:rsidRPr="00C34031" w:rsidRDefault="139DF8FE" w:rsidP="139DF8FE">
            <w:pPr>
              <w:spacing w:before="0" w:after="0"/>
              <w:rPr>
                <w:noProof/>
              </w:rPr>
            </w:pPr>
            <w:r w:rsidRPr="00C34031">
              <w:rPr>
                <w:rFonts w:ascii="Aptos" w:hAnsi="Aptos"/>
                <w:noProof/>
              </w:rPr>
              <w:t>1</w:t>
            </w:r>
          </w:p>
        </w:tc>
      </w:tr>
      <w:tr w:rsidR="139DF8FE" w:rsidRPr="00C34031" w14:paraId="5B891FA1"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4E03ABCD" w14:textId="77777777" w:rsidR="139DF8FE" w:rsidRPr="00C34031" w:rsidRDefault="139DF8FE" w:rsidP="139DF8FE">
            <w:pPr>
              <w:spacing w:before="0" w:after="0"/>
              <w:rPr>
                <w:noProof/>
              </w:rPr>
            </w:pPr>
            <w:r w:rsidRPr="00C34031">
              <w:rPr>
                <w:rFonts w:ascii="Aptos" w:hAnsi="Aptos"/>
                <w:noProof/>
              </w:rPr>
              <w:t>Sankce</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7DE2C64A"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7FDDF785"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016DA63A" w14:textId="77777777" w:rsidR="139DF8FE" w:rsidRPr="00C34031" w:rsidRDefault="139DF8FE" w:rsidP="139DF8FE">
            <w:pPr>
              <w:spacing w:before="0" w:after="0"/>
              <w:rPr>
                <w:noProof/>
              </w:rPr>
            </w:pPr>
            <w:r w:rsidRPr="00C34031">
              <w:rPr>
                <w:rFonts w:ascii="Aptos" w:hAnsi="Aptos"/>
                <w:noProof/>
              </w:rPr>
              <w:t>0</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668EAAC0" w14:textId="77777777" w:rsidR="139DF8FE" w:rsidRPr="00C34031" w:rsidRDefault="139DF8FE" w:rsidP="139DF8FE">
            <w:pPr>
              <w:spacing w:before="0" w:after="0"/>
              <w:rPr>
                <w:noProof/>
              </w:rPr>
            </w:pPr>
            <w:r w:rsidRPr="00C34031">
              <w:rPr>
                <w:rFonts w:ascii="Aptos" w:hAnsi="Aptos"/>
                <w:noProof/>
              </w:rPr>
              <w:t>2</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0A3983FC" w14:textId="77777777" w:rsidR="139DF8FE" w:rsidRPr="00C34031" w:rsidRDefault="139DF8FE" w:rsidP="139DF8FE">
            <w:pPr>
              <w:spacing w:before="0" w:after="0"/>
              <w:rPr>
                <w:noProof/>
              </w:rPr>
            </w:pPr>
            <w:r w:rsidRPr="00C34031">
              <w:rPr>
                <w:rFonts w:ascii="Aptos" w:hAnsi="Aptos"/>
                <w:noProof/>
              </w:rPr>
              <w:t>2</w:t>
            </w:r>
          </w:p>
        </w:tc>
      </w:tr>
      <w:tr w:rsidR="139DF8FE" w:rsidRPr="00C34031" w14:paraId="07E5EAD5"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368F4F76" w14:textId="77777777" w:rsidR="139DF8FE" w:rsidRPr="00C34031" w:rsidRDefault="139DF8FE" w:rsidP="139DF8FE">
            <w:pPr>
              <w:spacing w:before="0" w:after="0"/>
              <w:rPr>
                <w:noProof/>
              </w:rPr>
            </w:pPr>
            <w:r w:rsidRPr="00C34031">
              <w:rPr>
                <w:rFonts w:ascii="Aptos" w:hAnsi="Aptos"/>
                <w:noProof/>
              </w:rPr>
              <w:t>Dohled nad externí platformou pro nákup a prodej a výpočet ceny certifikátů CBAM, její monitorování a správa</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32E831E4"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10CED15F"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6942DF4F" w14:textId="77777777" w:rsidR="139DF8FE" w:rsidRPr="00C34031" w:rsidRDefault="139DF8FE" w:rsidP="139DF8FE">
            <w:pPr>
              <w:spacing w:before="0" w:after="0"/>
              <w:rPr>
                <w:noProof/>
              </w:rPr>
            </w:pPr>
            <w:r w:rsidRPr="00C34031">
              <w:rPr>
                <w:rFonts w:ascii="Aptos" w:hAnsi="Aptos"/>
                <w:noProof/>
              </w:rPr>
              <w:t>0</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457DC393" w14:textId="77777777" w:rsidR="139DF8FE" w:rsidRPr="00C34031" w:rsidRDefault="139DF8FE" w:rsidP="139DF8FE">
            <w:pPr>
              <w:spacing w:before="0" w:after="0"/>
              <w:rPr>
                <w:noProof/>
              </w:rPr>
            </w:pPr>
            <w:r w:rsidRPr="00C34031">
              <w:rPr>
                <w:rFonts w:ascii="Aptos" w:hAnsi="Aptos"/>
                <w:noProof/>
              </w:rPr>
              <w:t>2</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04C4AB22" w14:textId="77777777" w:rsidR="139DF8FE" w:rsidRPr="00C34031" w:rsidRDefault="139DF8FE" w:rsidP="139DF8FE">
            <w:pPr>
              <w:spacing w:before="0" w:after="0"/>
              <w:rPr>
                <w:noProof/>
              </w:rPr>
            </w:pPr>
            <w:r w:rsidRPr="00C34031">
              <w:rPr>
                <w:rFonts w:ascii="Aptos" w:hAnsi="Aptos"/>
                <w:noProof/>
              </w:rPr>
              <w:t>2</w:t>
            </w:r>
          </w:p>
        </w:tc>
      </w:tr>
      <w:tr w:rsidR="139DF8FE" w:rsidRPr="00C34031" w14:paraId="5143DCDF"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1A6E98B1" w14:textId="77777777" w:rsidR="139DF8FE" w:rsidRPr="00C34031" w:rsidRDefault="139DF8FE" w:rsidP="139DF8FE">
            <w:pPr>
              <w:spacing w:before="0" w:after="0"/>
              <w:rPr>
                <w:noProof/>
              </w:rPr>
            </w:pPr>
            <w:r w:rsidRPr="00C34031">
              <w:rPr>
                <w:rFonts w:ascii="Aptos" w:hAnsi="Aptos"/>
                <w:noProof/>
              </w:rPr>
              <w:t>Povinnosti přezkumu a podávání zpráv do konce přechodného období, včetně posouzení zpráv za přechodné období</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1FE47154" w14:textId="77777777" w:rsidR="139DF8FE" w:rsidRPr="00C34031" w:rsidRDefault="139DF8FE" w:rsidP="139DF8FE">
            <w:pPr>
              <w:spacing w:before="0" w:after="0"/>
              <w:rPr>
                <w:noProof/>
              </w:rPr>
            </w:pPr>
            <w:r w:rsidRPr="00C34031">
              <w:rPr>
                <w:rFonts w:ascii="Aptos" w:hAnsi="Aptos"/>
                <w:noProof/>
              </w:rPr>
              <w:t>0</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19DC71BE" w14:textId="77777777" w:rsidR="139DF8FE" w:rsidRPr="00C34031" w:rsidRDefault="139DF8FE" w:rsidP="139DF8FE">
            <w:pPr>
              <w:spacing w:before="0" w:after="0"/>
              <w:rPr>
                <w:noProof/>
              </w:rPr>
            </w:pPr>
            <w:r w:rsidRPr="00C34031">
              <w:rPr>
                <w:rFonts w:ascii="Aptos" w:hAnsi="Aptos"/>
                <w:noProof/>
              </w:rPr>
              <w:t>7</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390451C7" w14:textId="77777777" w:rsidR="139DF8FE" w:rsidRPr="00C34031" w:rsidRDefault="139DF8FE" w:rsidP="139DF8FE">
            <w:pPr>
              <w:spacing w:before="0" w:after="0"/>
              <w:rPr>
                <w:noProof/>
              </w:rPr>
            </w:pPr>
            <w:r w:rsidRPr="00C34031">
              <w:rPr>
                <w:rFonts w:ascii="Aptos" w:hAnsi="Aptos"/>
                <w:noProof/>
              </w:rPr>
              <w:t>13,5</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75C20B44" w14:textId="77777777" w:rsidR="139DF8FE" w:rsidRPr="00C34031" w:rsidRDefault="139DF8FE" w:rsidP="139DF8FE">
            <w:pPr>
              <w:spacing w:before="0" w:after="0"/>
              <w:rPr>
                <w:noProof/>
              </w:rPr>
            </w:pPr>
            <w:r w:rsidRPr="00C34031">
              <w:rPr>
                <w:rFonts w:ascii="Aptos" w:hAnsi="Aptos"/>
                <w:noProof/>
              </w:rPr>
              <w:t>0</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303736F3" w14:textId="77777777" w:rsidR="139DF8FE" w:rsidRPr="00C34031" w:rsidRDefault="139DF8FE" w:rsidP="139DF8FE">
            <w:pPr>
              <w:spacing w:before="0" w:after="0"/>
              <w:rPr>
                <w:noProof/>
              </w:rPr>
            </w:pPr>
            <w:r w:rsidRPr="00C34031">
              <w:rPr>
                <w:rFonts w:ascii="Aptos" w:hAnsi="Aptos"/>
                <w:noProof/>
              </w:rPr>
              <w:t>0</w:t>
            </w:r>
          </w:p>
        </w:tc>
      </w:tr>
      <w:tr w:rsidR="139DF8FE" w:rsidRPr="00C34031" w14:paraId="4DFFB353"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337D33A0" w14:textId="77777777" w:rsidR="139DF8FE" w:rsidRPr="00C34031" w:rsidRDefault="139DF8FE" w:rsidP="139DF8FE">
            <w:pPr>
              <w:spacing w:before="0" w:after="0"/>
              <w:rPr>
                <w:noProof/>
              </w:rPr>
            </w:pPr>
            <w:r w:rsidRPr="00C34031">
              <w:rPr>
                <w:rFonts w:ascii="Aptos" w:hAnsi="Aptos"/>
                <w:noProof/>
              </w:rPr>
              <w:t>Zprávy, které je třeba vypracovat</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65324815" w14:textId="77777777" w:rsidR="139DF8FE" w:rsidRPr="00C34031" w:rsidRDefault="139DF8FE" w:rsidP="139DF8FE">
            <w:pPr>
              <w:spacing w:before="0" w:after="0"/>
              <w:rPr>
                <w:noProof/>
              </w:rPr>
            </w:pPr>
            <w:r w:rsidRPr="00C34031">
              <w:rPr>
                <w:rFonts w:ascii="Aptos" w:hAnsi="Aptos"/>
                <w:noProof/>
              </w:rPr>
              <w:t>3</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550427FE" w14:textId="77777777" w:rsidR="139DF8FE" w:rsidRPr="00C34031" w:rsidRDefault="139DF8FE" w:rsidP="139DF8FE">
            <w:pPr>
              <w:spacing w:before="0" w:after="0"/>
              <w:rPr>
                <w:noProof/>
              </w:rPr>
            </w:pPr>
            <w:r w:rsidRPr="00C34031">
              <w:rPr>
                <w:rFonts w:ascii="Aptos" w:hAnsi="Aptos"/>
                <w:noProof/>
              </w:rPr>
              <w:t>3</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1B7F175D" w14:textId="77777777" w:rsidR="139DF8FE" w:rsidRPr="00C34031" w:rsidRDefault="139DF8FE" w:rsidP="139DF8FE">
            <w:pPr>
              <w:spacing w:before="0" w:after="0"/>
              <w:rPr>
                <w:noProof/>
              </w:rPr>
            </w:pPr>
            <w:r w:rsidRPr="00C34031">
              <w:rPr>
                <w:rFonts w:ascii="Aptos" w:hAnsi="Aptos"/>
                <w:noProof/>
              </w:rPr>
              <w:t>3</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75B00753" w14:textId="77777777" w:rsidR="139DF8FE" w:rsidRPr="00C34031" w:rsidRDefault="139DF8FE" w:rsidP="139DF8FE">
            <w:pPr>
              <w:spacing w:before="0" w:after="0"/>
              <w:rPr>
                <w:noProof/>
              </w:rPr>
            </w:pPr>
            <w:r w:rsidRPr="00C34031">
              <w:rPr>
                <w:rFonts w:ascii="Aptos" w:hAnsi="Aptos"/>
                <w:noProof/>
              </w:rPr>
              <w:t>3</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7D15F25C" w14:textId="77777777" w:rsidR="139DF8FE" w:rsidRPr="00C34031" w:rsidRDefault="139DF8FE" w:rsidP="139DF8FE">
            <w:pPr>
              <w:spacing w:before="0" w:after="0"/>
              <w:rPr>
                <w:noProof/>
              </w:rPr>
            </w:pPr>
            <w:r w:rsidRPr="00C34031">
              <w:rPr>
                <w:rFonts w:ascii="Aptos" w:hAnsi="Aptos"/>
                <w:noProof/>
              </w:rPr>
              <w:t>3</w:t>
            </w:r>
          </w:p>
        </w:tc>
      </w:tr>
      <w:tr w:rsidR="139DF8FE" w:rsidRPr="00C34031" w14:paraId="672E5624"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658F5363" w14:textId="77777777" w:rsidR="139DF8FE" w:rsidRPr="00C34031" w:rsidRDefault="139DF8FE" w:rsidP="139DF8FE">
            <w:pPr>
              <w:spacing w:before="0" w:after="0"/>
              <w:rPr>
                <w:noProof/>
              </w:rPr>
            </w:pPr>
            <w:r w:rsidRPr="00C34031">
              <w:rPr>
                <w:rFonts w:ascii="Aptos" w:hAnsi="Aptos"/>
                <w:noProof/>
              </w:rPr>
              <w:t>Soudní spory a vymáhání pohledávek</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467EEDCF" w14:textId="77777777" w:rsidR="139DF8FE" w:rsidRPr="00C34031" w:rsidRDefault="139DF8FE" w:rsidP="139DF8FE">
            <w:pPr>
              <w:spacing w:before="0" w:after="0"/>
              <w:rPr>
                <w:noProof/>
              </w:rPr>
            </w:pPr>
            <w:r w:rsidRPr="00C34031">
              <w:rPr>
                <w:rFonts w:ascii="Aptos" w:hAnsi="Aptos"/>
                <w:noProof/>
              </w:rPr>
              <w:t>3</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0E75E6CF" w14:textId="77777777" w:rsidR="139DF8FE" w:rsidRPr="00C34031" w:rsidRDefault="139DF8FE" w:rsidP="139DF8FE">
            <w:pPr>
              <w:spacing w:before="0" w:after="0"/>
              <w:rPr>
                <w:noProof/>
              </w:rPr>
            </w:pPr>
            <w:r w:rsidRPr="00C34031">
              <w:rPr>
                <w:rFonts w:ascii="Aptos" w:hAnsi="Aptos"/>
                <w:noProof/>
              </w:rPr>
              <w:t>3</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5C24470C" w14:textId="77777777" w:rsidR="139DF8FE" w:rsidRPr="00C34031" w:rsidRDefault="139DF8FE" w:rsidP="139DF8FE">
            <w:pPr>
              <w:spacing w:before="0" w:after="0"/>
              <w:rPr>
                <w:noProof/>
              </w:rPr>
            </w:pPr>
            <w:r w:rsidRPr="00C34031">
              <w:rPr>
                <w:rFonts w:ascii="Aptos" w:hAnsi="Aptos"/>
                <w:noProof/>
              </w:rPr>
              <w:t>3</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76C68BDF" w14:textId="77777777" w:rsidR="139DF8FE" w:rsidRPr="00C34031" w:rsidRDefault="139DF8FE" w:rsidP="139DF8FE">
            <w:pPr>
              <w:spacing w:before="0" w:after="0"/>
              <w:rPr>
                <w:noProof/>
              </w:rPr>
            </w:pPr>
            <w:r w:rsidRPr="00C34031">
              <w:rPr>
                <w:rFonts w:ascii="Aptos" w:hAnsi="Aptos"/>
                <w:noProof/>
              </w:rPr>
              <w:t>6</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39F0D529" w14:textId="77777777" w:rsidR="139DF8FE" w:rsidRPr="00C34031" w:rsidRDefault="139DF8FE" w:rsidP="139DF8FE">
            <w:pPr>
              <w:spacing w:before="0" w:after="0"/>
              <w:rPr>
                <w:noProof/>
              </w:rPr>
            </w:pPr>
            <w:r w:rsidRPr="00C34031">
              <w:rPr>
                <w:rFonts w:ascii="Aptos" w:hAnsi="Aptos"/>
                <w:noProof/>
              </w:rPr>
              <w:t>8</w:t>
            </w:r>
          </w:p>
        </w:tc>
      </w:tr>
      <w:tr w:rsidR="139DF8FE" w:rsidRPr="00C34031" w14:paraId="19136D31"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77AB9185" w14:textId="77777777" w:rsidR="139DF8FE" w:rsidRPr="00C34031" w:rsidRDefault="139DF8FE" w:rsidP="139DF8FE">
            <w:pPr>
              <w:spacing w:before="0" w:after="0"/>
              <w:rPr>
                <w:noProof/>
              </w:rPr>
            </w:pPr>
            <w:r w:rsidRPr="00C34031">
              <w:rPr>
                <w:rFonts w:ascii="Aptos" w:hAnsi="Aptos"/>
                <w:noProof/>
              </w:rPr>
              <w:t>Dohled nad finanční odpovědností</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FA917B" w14:textId="77777777" w:rsidR="139DF8FE" w:rsidRPr="00C34031" w:rsidRDefault="139DF8FE" w:rsidP="139DF8FE">
            <w:pPr>
              <w:rPr>
                <w:noProof/>
              </w:rPr>
            </w:pPr>
            <w:r w:rsidRPr="00C34031">
              <w:rPr>
                <w:noProof/>
              </w:rPr>
              <w:t xml:space="preserve"> </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ABE065" w14:textId="77777777" w:rsidR="139DF8FE" w:rsidRPr="00C34031" w:rsidRDefault="139DF8FE" w:rsidP="139DF8FE">
            <w:pPr>
              <w:rPr>
                <w:noProof/>
              </w:rPr>
            </w:pPr>
            <w:r w:rsidRPr="00C34031">
              <w:rPr>
                <w:noProof/>
              </w:rPr>
              <w:t xml:space="preserve"> </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CC4BD3" w14:textId="77777777" w:rsidR="139DF8FE" w:rsidRPr="00C34031" w:rsidRDefault="139DF8FE" w:rsidP="139DF8FE">
            <w:pPr>
              <w:rPr>
                <w:noProof/>
              </w:rPr>
            </w:pPr>
            <w:r w:rsidRPr="00C34031">
              <w:rPr>
                <w:noProof/>
              </w:rPr>
              <w:t xml:space="preserve"> </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859BEA" w14:textId="77777777" w:rsidR="139DF8FE" w:rsidRPr="00C34031" w:rsidRDefault="139DF8FE" w:rsidP="139DF8FE">
            <w:pPr>
              <w:rPr>
                <w:noProof/>
              </w:rPr>
            </w:pPr>
            <w:r w:rsidRPr="00C34031">
              <w:rPr>
                <w:noProof/>
              </w:rPr>
              <w:t xml:space="preserve"> </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BB5E09" w14:textId="77777777" w:rsidR="139DF8FE" w:rsidRPr="00C34031" w:rsidRDefault="139DF8FE" w:rsidP="139DF8FE">
            <w:pPr>
              <w:rPr>
                <w:noProof/>
              </w:rPr>
            </w:pPr>
            <w:r w:rsidRPr="00C34031">
              <w:rPr>
                <w:noProof/>
              </w:rPr>
              <w:t xml:space="preserve"> </w:t>
            </w:r>
          </w:p>
        </w:tc>
      </w:tr>
      <w:tr w:rsidR="139DF8FE" w:rsidRPr="00C34031" w14:paraId="7A83E83F"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1950B643" w14:textId="77777777" w:rsidR="139DF8FE" w:rsidRPr="00C34031" w:rsidRDefault="139DF8FE" w:rsidP="139DF8FE">
            <w:pPr>
              <w:spacing w:before="0" w:after="0"/>
              <w:rPr>
                <w:noProof/>
              </w:rPr>
            </w:pPr>
            <w:r w:rsidRPr="00C34031">
              <w:rPr>
                <w:rFonts w:ascii="Aptos" w:hAnsi="Aptos"/>
                <w:noProof/>
              </w:rPr>
              <w:t>Smlouvy a lidské zdroje</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6CEA6D" w14:textId="77777777" w:rsidR="139DF8FE" w:rsidRPr="00C34031" w:rsidRDefault="139DF8FE" w:rsidP="139DF8FE">
            <w:pPr>
              <w:rPr>
                <w:noProof/>
              </w:rPr>
            </w:pPr>
            <w:r w:rsidRPr="00C34031">
              <w:rPr>
                <w:noProof/>
              </w:rPr>
              <w:t xml:space="preserve"> </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56A3962" w14:textId="77777777" w:rsidR="139DF8FE" w:rsidRPr="00C34031" w:rsidRDefault="139DF8FE" w:rsidP="139DF8FE">
            <w:pPr>
              <w:rPr>
                <w:noProof/>
              </w:rPr>
            </w:pPr>
            <w:r w:rsidRPr="00C34031">
              <w:rPr>
                <w:noProof/>
              </w:rPr>
              <w:t xml:space="preserve"> </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2819A7" w14:textId="77777777" w:rsidR="139DF8FE" w:rsidRPr="00C34031" w:rsidRDefault="139DF8FE" w:rsidP="139DF8FE">
            <w:pPr>
              <w:rPr>
                <w:noProof/>
              </w:rPr>
            </w:pPr>
            <w:r w:rsidRPr="00C34031">
              <w:rPr>
                <w:noProof/>
              </w:rPr>
              <w:t xml:space="preserve"> </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6CE639" w14:textId="77777777" w:rsidR="139DF8FE" w:rsidRPr="00C34031" w:rsidRDefault="139DF8FE" w:rsidP="139DF8FE">
            <w:pPr>
              <w:rPr>
                <w:noProof/>
              </w:rPr>
            </w:pPr>
            <w:r w:rsidRPr="00C34031">
              <w:rPr>
                <w:noProof/>
              </w:rPr>
              <w:t xml:space="preserve"> </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4C8E849" w14:textId="77777777" w:rsidR="139DF8FE" w:rsidRPr="00C34031" w:rsidRDefault="139DF8FE" w:rsidP="139DF8FE">
            <w:pPr>
              <w:rPr>
                <w:noProof/>
              </w:rPr>
            </w:pPr>
            <w:r w:rsidRPr="00C34031">
              <w:rPr>
                <w:noProof/>
              </w:rPr>
              <w:t xml:space="preserve"> </w:t>
            </w:r>
          </w:p>
        </w:tc>
      </w:tr>
      <w:tr w:rsidR="139DF8FE" w:rsidRPr="00C34031" w14:paraId="509F1493"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3171ADC7" w14:textId="77777777" w:rsidR="139DF8FE" w:rsidRPr="00C34031" w:rsidRDefault="139DF8FE" w:rsidP="139DF8FE">
            <w:pPr>
              <w:spacing w:before="0" w:after="0"/>
              <w:rPr>
                <w:noProof/>
              </w:rPr>
            </w:pPr>
            <w:r w:rsidRPr="00C34031">
              <w:rPr>
                <w:rFonts w:ascii="Aptos" w:hAnsi="Aptos"/>
                <w:noProof/>
              </w:rPr>
              <w:t>Vypracování sekundárních právních předpisů (prováděcí akty a akty v přenesené pravomoci),</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71246C8E" w14:textId="77777777" w:rsidR="139DF8FE" w:rsidRPr="00C34031" w:rsidRDefault="139DF8FE" w:rsidP="139DF8FE">
            <w:pPr>
              <w:spacing w:before="0" w:after="0"/>
              <w:rPr>
                <w:noProof/>
              </w:rPr>
            </w:pPr>
            <w:r w:rsidRPr="00C34031">
              <w:rPr>
                <w:rFonts w:ascii="Aptos" w:hAnsi="Aptos"/>
                <w:noProof/>
              </w:rPr>
              <w:t>3</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1D656572" w14:textId="77777777" w:rsidR="139DF8FE" w:rsidRPr="00C34031" w:rsidRDefault="139DF8FE" w:rsidP="139DF8FE">
            <w:pPr>
              <w:spacing w:before="0" w:after="0"/>
              <w:rPr>
                <w:noProof/>
              </w:rPr>
            </w:pPr>
            <w:r w:rsidRPr="00C34031">
              <w:rPr>
                <w:rFonts w:ascii="Aptos" w:hAnsi="Aptos"/>
                <w:noProof/>
              </w:rPr>
              <w:t>3</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55F18295" w14:textId="77777777" w:rsidR="139DF8FE" w:rsidRPr="00C34031" w:rsidRDefault="139DF8FE" w:rsidP="139DF8FE">
            <w:pPr>
              <w:spacing w:before="0" w:after="0"/>
              <w:rPr>
                <w:noProof/>
              </w:rPr>
            </w:pPr>
            <w:r w:rsidRPr="00C34031">
              <w:rPr>
                <w:rFonts w:ascii="Aptos" w:hAnsi="Aptos"/>
                <w:noProof/>
              </w:rPr>
              <w:t>3</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2D2B6280" w14:textId="77777777" w:rsidR="139DF8FE" w:rsidRPr="00C34031" w:rsidRDefault="139DF8FE" w:rsidP="139DF8FE">
            <w:pPr>
              <w:spacing w:before="0" w:after="0"/>
              <w:rPr>
                <w:noProof/>
              </w:rPr>
            </w:pPr>
            <w:r w:rsidRPr="00C34031">
              <w:rPr>
                <w:rFonts w:ascii="Aptos" w:hAnsi="Aptos"/>
                <w:noProof/>
              </w:rPr>
              <w:t>3</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746E9034" w14:textId="77777777" w:rsidR="139DF8FE" w:rsidRPr="00C34031" w:rsidRDefault="139DF8FE" w:rsidP="139DF8FE">
            <w:pPr>
              <w:spacing w:before="0" w:after="0"/>
              <w:rPr>
                <w:noProof/>
              </w:rPr>
            </w:pPr>
            <w:r w:rsidRPr="00C34031">
              <w:rPr>
                <w:rFonts w:ascii="Aptos" w:hAnsi="Aptos"/>
                <w:noProof/>
              </w:rPr>
              <w:t>3</w:t>
            </w:r>
          </w:p>
        </w:tc>
      </w:tr>
      <w:tr w:rsidR="139DF8FE" w:rsidRPr="00C34031" w14:paraId="668A3850"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01E524A5" w14:textId="77777777" w:rsidR="139DF8FE" w:rsidRPr="00C34031" w:rsidRDefault="139DF8FE" w:rsidP="139DF8FE">
            <w:pPr>
              <w:spacing w:before="0" w:after="0"/>
              <w:rPr>
                <w:noProof/>
              </w:rPr>
            </w:pPr>
            <w:r w:rsidRPr="00C34031">
              <w:rPr>
                <w:rFonts w:ascii="Aptos" w:hAnsi="Aptos"/>
                <w:noProof/>
              </w:rPr>
              <w:t>Osvěta a odborná příprava</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4EBB8E3B" w14:textId="77777777" w:rsidR="139DF8FE" w:rsidRPr="00C34031" w:rsidRDefault="139DF8FE" w:rsidP="139DF8FE">
            <w:pPr>
              <w:spacing w:before="0" w:after="0"/>
              <w:rPr>
                <w:noProof/>
              </w:rPr>
            </w:pPr>
            <w:r w:rsidRPr="00C34031">
              <w:rPr>
                <w:rFonts w:ascii="Aptos" w:hAnsi="Aptos"/>
                <w:noProof/>
              </w:rPr>
              <w:t>2</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0C4C416F" w14:textId="77777777" w:rsidR="139DF8FE" w:rsidRPr="00C34031" w:rsidRDefault="139DF8FE" w:rsidP="139DF8FE">
            <w:pPr>
              <w:spacing w:before="0" w:after="0"/>
              <w:rPr>
                <w:noProof/>
              </w:rPr>
            </w:pPr>
            <w:r w:rsidRPr="00C34031">
              <w:rPr>
                <w:rFonts w:ascii="Aptos" w:hAnsi="Aptos"/>
                <w:noProof/>
              </w:rPr>
              <w:t>2</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6476FB31" w14:textId="77777777" w:rsidR="139DF8FE" w:rsidRPr="00C34031" w:rsidRDefault="139DF8FE" w:rsidP="139DF8FE">
            <w:pPr>
              <w:spacing w:before="0" w:after="0"/>
              <w:rPr>
                <w:noProof/>
              </w:rPr>
            </w:pPr>
            <w:r w:rsidRPr="00C34031">
              <w:rPr>
                <w:rFonts w:ascii="Aptos" w:hAnsi="Aptos"/>
                <w:noProof/>
              </w:rPr>
              <w:t>2</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438F65A9" w14:textId="77777777" w:rsidR="139DF8FE" w:rsidRPr="00C34031" w:rsidRDefault="139DF8FE" w:rsidP="139DF8FE">
            <w:pPr>
              <w:spacing w:before="0" w:after="0"/>
              <w:rPr>
                <w:noProof/>
              </w:rPr>
            </w:pPr>
            <w:r w:rsidRPr="00C34031">
              <w:rPr>
                <w:rFonts w:ascii="Aptos" w:hAnsi="Aptos"/>
                <w:noProof/>
              </w:rPr>
              <w:t>2</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6F3BDC95" w14:textId="77777777" w:rsidR="139DF8FE" w:rsidRPr="00C34031" w:rsidRDefault="139DF8FE" w:rsidP="139DF8FE">
            <w:pPr>
              <w:spacing w:before="0" w:after="0"/>
              <w:rPr>
                <w:noProof/>
              </w:rPr>
            </w:pPr>
            <w:r w:rsidRPr="00C34031">
              <w:rPr>
                <w:rFonts w:ascii="Aptos" w:hAnsi="Aptos"/>
                <w:noProof/>
              </w:rPr>
              <w:t>2</w:t>
            </w:r>
          </w:p>
        </w:tc>
      </w:tr>
      <w:tr w:rsidR="139DF8FE" w:rsidRPr="00C34031" w14:paraId="46A722B3"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5F9F3C63" w14:textId="77777777" w:rsidR="139DF8FE" w:rsidRPr="00C34031" w:rsidRDefault="139DF8FE" w:rsidP="139DF8FE">
            <w:pPr>
              <w:spacing w:before="0" w:after="0"/>
              <w:rPr>
                <w:noProof/>
              </w:rPr>
            </w:pPr>
            <w:r w:rsidRPr="00C34031">
              <w:rPr>
                <w:rFonts w:ascii="Aptos" w:hAnsi="Aptos"/>
                <w:noProof/>
              </w:rPr>
              <w:t>Metodika výpočtu obsažených emisí</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7ADC8E4F" w14:textId="77777777" w:rsidR="139DF8FE" w:rsidRPr="00C34031" w:rsidRDefault="139DF8FE" w:rsidP="139DF8FE">
            <w:pPr>
              <w:spacing w:before="0" w:after="0"/>
              <w:rPr>
                <w:noProof/>
              </w:rPr>
            </w:pPr>
            <w:r w:rsidRPr="00C34031">
              <w:rPr>
                <w:rFonts w:ascii="Aptos" w:hAnsi="Aptos"/>
                <w:noProof/>
              </w:rPr>
              <w:t>1</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7A4C5F90" w14:textId="77777777" w:rsidR="139DF8FE" w:rsidRPr="00C34031" w:rsidRDefault="139DF8FE" w:rsidP="139DF8FE">
            <w:pPr>
              <w:spacing w:before="0" w:after="0"/>
              <w:rPr>
                <w:noProof/>
              </w:rPr>
            </w:pPr>
            <w:r w:rsidRPr="00C34031">
              <w:rPr>
                <w:rFonts w:ascii="Aptos" w:hAnsi="Aptos"/>
                <w:noProof/>
              </w:rPr>
              <w:t>1</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5EFB02AF" w14:textId="77777777" w:rsidR="139DF8FE" w:rsidRPr="00C34031" w:rsidRDefault="139DF8FE" w:rsidP="139DF8FE">
            <w:pPr>
              <w:spacing w:before="0" w:after="0"/>
              <w:rPr>
                <w:noProof/>
              </w:rPr>
            </w:pPr>
            <w:r w:rsidRPr="00C34031">
              <w:rPr>
                <w:rFonts w:ascii="Aptos" w:hAnsi="Aptos"/>
                <w:noProof/>
              </w:rPr>
              <w:t>1</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5EA2D8A7" w14:textId="77777777" w:rsidR="139DF8FE" w:rsidRPr="00C34031" w:rsidRDefault="139DF8FE" w:rsidP="139DF8FE">
            <w:pPr>
              <w:spacing w:before="0" w:after="0"/>
              <w:rPr>
                <w:noProof/>
              </w:rPr>
            </w:pPr>
            <w:r w:rsidRPr="00C34031">
              <w:rPr>
                <w:rFonts w:ascii="Aptos" w:hAnsi="Aptos"/>
                <w:noProof/>
              </w:rPr>
              <w:t>1</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285E59C8" w14:textId="77777777" w:rsidR="139DF8FE" w:rsidRPr="00C34031" w:rsidRDefault="139DF8FE" w:rsidP="139DF8FE">
            <w:pPr>
              <w:spacing w:before="0" w:after="0"/>
              <w:rPr>
                <w:noProof/>
              </w:rPr>
            </w:pPr>
            <w:r w:rsidRPr="00C34031">
              <w:rPr>
                <w:rFonts w:ascii="Aptos" w:hAnsi="Aptos"/>
                <w:noProof/>
              </w:rPr>
              <w:t>1</w:t>
            </w:r>
          </w:p>
        </w:tc>
      </w:tr>
      <w:tr w:rsidR="139DF8FE" w:rsidRPr="00C34031" w14:paraId="7BB4AA81" w14:textId="77777777" w:rsidTr="139DF8FE">
        <w:trPr>
          <w:trHeight w:val="300"/>
        </w:trPr>
        <w:tc>
          <w:tcPr>
            <w:tcW w:w="2641" w:type="dxa"/>
            <w:tcBorders>
              <w:top w:val="single" w:sz="8" w:space="0" w:color="auto"/>
              <w:left w:val="single" w:sz="8" w:space="0" w:color="auto"/>
              <w:bottom w:val="single" w:sz="8" w:space="0" w:color="auto"/>
              <w:right w:val="single" w:sz="8" w:space="0" w:color="auto"/>
            </w:tcBorders>
            <w:tcMar>
              <w:left w:w="108" w:type="dxa"/>
              <w:right w:w="108" w:type="dxa"/>
            </w:tcMar>
          </w:tcPr>
          <w:p w14:paraId="14EB0D17" w14:textId="77777777" w:rsidR="139DF8FE" w:rsidRPr="00C34031" w:rsidRDefault="139DF8FE" w:rsidP="139DF8FE">
            <w:pPr>
              <w:spacing w:before="0" w:after="0"/>
              <w:rPr>
                <w:noProof/>
              </w:rPr>
            </w:pPr>
            <w:r w:rsidRPr="00C34031">
              <w:rPr>
                <w:rFonts w:ascii="Aptos" w:hAnsi="Aptos"/>
                <w:b/>
                <w:noProof/>
              </w:rPr>
              <w:t>Celkový počet zaměstnanců týmu pro CBAM (kromě IT)</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1861D997" w14:textId="77777777" w:rsidR="139DF8FE" w:rsidRPr="00C34031" w:rsidRDefault="139DF8FE" w:rsidP="139DF8FE">
            <w:pPr>
              <w:spacing w:before="0" w:after="0"/>
              <w:rPr>
                <w:noProof/>
              </w:rPr>
            </w:pPr>
            <w:r w:rsidRPr="00C34031">
              <w:rPr>
                <w:rFonts w:ascii="Aptos" w:hAnsi="Aptos"/>
                <w:noProof/>
              </w:rPr>
              <w:t>12</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7CE52C1A" w14:textId="77777777" w:rsidR="139DF8FE" w:rsidRPr="00C34031" w:rsidRDefault="139DF8FE" w:rsidP="139DF8FE">
            <w:pPr>
              <w:spacing w:before="0" w:after="0"/>
              <w:rPr>
                <w:noProof/>
              </w:rPr>
            </w:pPr>
            <w:r w:rsidRPr="00C34031">
              <w:rPr>
                <w:rFonts w:ascii="Aptos" w:hAnsi="Aptos"/>
                <w:noProof/>
              </w:rPr>
              <w:t>21</w:t>
            </w:r>
          </w:p>
        </w:tc>
        <w:tc>
          <w:tcPr>
            <w:tcW w:w="1122" w:type="dxa"/>
            <w:tcBorders>
              <w:top w:val="single" w:sz="8" w:space="0" w:color="auto"/>
              <w:left w:val="single" w:sz="8" w:space="0" w:color="auto"/>
              <w:bottom w:val="single" w:sz="8" w:space="0" w:color="auto"/>
              <w:right w:val="single" w:sz="8" w:space="0" w:color="auto"/>
            </w:tcBorders>
            <w:tcMar>
              <w:left w:w="108" w:type="dxa"/>
              <w:right w:w="108" w:type="dxa"/>
            </w:tcMar>
          </w:tcPr>
          <w:p w14:paraId="7ED9CEC3" w14:textId="77777777" w:rsidR="139DF8FE" w:rsidRPr="00C34031" w:rsidRDefault="139DF8FE" w:rsidP="139DF8FE">
            <w:pPr>
              <w:spacing w:before="0" w:after="0"/>
              <w:rPr>
                <w:noProof/>
              </w:rPr>
            </w:pPr>
            <w:r w:rsidRPr="00C34031">
              <w:rPr>
                <w:rFonts w:ascii="Aptos" w:hAnsi="Aptos"/>
                <w:noProof/>
              </w:rPr>
              <w:t>29</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04DE0FA5" w14:textId="77777777" w:rsidR="139DF8FE" w:rsidRPr="00C34031" w:rsidRDefault="139DF8FE" w:rsidP="139DF8FE">
            <w:pPr>
              <w:spacing w:before="0" w:after="0"/>
              <w:rPr>
                <w:noProof/>
              </w:rPr>
            </w:pPr>
            <w:r w:rsidRPr="00C34031">
              <w:rPr>
                <w:rFonts w:ascii="Aptos" w:hAnsi="Aptos"/>
                <w:noProof/>
              </w:rPr>
              <w:t>50</w:t>
            </w:r>
          </w:p>
        </w:tc>
        <w:tc>
          <w:tcPr>
            <w:tcW w:w="900" w:type="dxa"/>
            <w:tcBorders>
              <w:top w:val="single" w:sz="8" w:space="0" w:color="auto"/>
              <w:left w:val="single" w:sz="8" w:space="0" w:color="auto"/>
              <w:bottom w:val="single" w:sz="8" w:space="0" w:color="auto"/>
              <w:right w:val="single" w:sz="8" w:space="0" w:color="auto"/>
            </w:tcBorders>
            <w:tcMar>
              <w:left w:w="108" w:type="dxa"/>
              <w:right w:w="108" w:type="dxa"/>
            </w:tcMar>
          </w:tcPr>
          <w:p w14:paraId="560AE9B5" w14:textId="77777777" w:rsidR="139DF8FE" w:rsidRPr="00C34031" w:rsidRDefault="139DF8FE" w:rsidP="139DF8FE">
            <w:pPr>
              <w:spacing w:before="0" w:after="0"/>
              <w:rPr>
                <w:noProof/>
              </w:rPr>
            </w:pPr>
            <w:r w:rsidRPr="00C34031">
              <w:rPr>
                <w:rFonts w:ascii="Aptos" w:hAnsi="Aptos"/>
                <w:noProof/>
              </w:rPr>
              <w:t>75</w:t>
            </w:r>
          </w:p>
        </w:tc>
      </w:tr>
    </w:tbl>
    <w:p w14:paraId="5CFE0A54" w14:textId="77777777" w:rsidR="5D606F45" w:rsidRPr="00C34031" w:rsidRDefault="5D606F45" w:rsidP="139DF8FE">
      <w:pPr>
        <w:ind w:left="850" w:hanging="850"/>
        <w:rPr>
          <w:noProof/>
        </w:rPr>
      </w:pPr>
      <w:r w:rsidRPr="00C34031">
        <w:rPr>
          <w:i/>
          <w:noProof/>
        </w:rPr>
        <w:t>Rozdělení celkového počtu zaměstnanců, včetně zaměstnanců v oblasti IT, v letech 2023 až 2027 by bylo následující:</w:t>
      </w:r>
    </w:p>
    <w:tbl>
      <w:tblPr>
        <w:tblStyle w:val="TableGrid"/>
        <w:tblW w:w="0" w:type="auto"/>
        <w:tblLayout w:type="fixed"/>
        <w:tblLook w:val="04A0" w:firstRow="1" w:lastRow="0" w:firstColumn="1" w:lastColumn="0" w:noHBand="0" w:noVBand="1"/>
      </w:tblPr>
      <w:tblGrid>
        <w:gridCol w:w="1502"/>
        <w:gridCol w:w="1502"/>
        <w:gridCol w:w="1503"/>
        <w:gridCol w:w="1503"/>
        <w:gridCol w:w="1503"/>
        <w:gridCol w:w="1503"/>
      </w:tblGrid>
      <w:tr w:rsidR="139DF8FE" w:rsidRPr="00C34031" w14:paraId="48123C07" w14:textId="77777777" w:rsidTr="139DF8FE">
        <w:trPr>
          <w:trHeight w:val="300"/>
        </w:trPr>
        <w:tc>
          <w:tcPr>
            <w:tcW w:w="1502" w:type="dxa"/>
            <w:tcBorders>
              <w:top w:val="single" w:sz="8" w:space="0" w:color="auto"/>
              <w:left w:val="single" w:sz="8" w:space="0" w:color="auto"/>
              <w:bottom w:val="single" w:sz="8" w:space="0" w:color="auto"/>
              <w:right w:val="single" w:sz="8" w:space="0" w:color="auto"/>
            </w:tcBorders>
            <w:tcMar>
              <w:left w:w="108" w:type="dxa"/>
              <w:right w:w="108" w:type="dxa"/>
            </w:tcMar>
          </w:tcPr>
          <w:p w14:paraId="18DF0EE9" w14:textId="77777777" w:rsidR="139DF8FE" w:rsidRPr="00C34031" w:rsidRDefault="139DF8FE" w:rsidP="139DF8FE">
            <w:pPr>
              <w:rPr>
                <w:noProof/>
              </w:rPr>
            </w:pPr>
            <w:r w:rsidRPr="00C34031">
              <w:rPr>
                <w:b/>
                <w:noProof/>
              </w:rPr>
              <w:t>Rok</w:t>
            </w:r>
          </w:p>
        </w:tc>
        <w:tc>
          <w:tcPr>
            <w:tcW w:w="1502" w:type="dxa"/>
            <w:tcBorders>
              <w:top w:val="single" w:sz="8" w:space="0" w:color="auto"/>
              <w:left w:val="single" w:sz="8" w:space="0" w:color="auto"/>
              <w:bottom w:val="single" w:sz="8" w:space="0" w:color="auto"/>
              <w:right w:val="single" w:sz="8" w:space="0" w:color="auto"/>
            </w:tcBorders>
            <w:tcMar>
              <w:left w:w="108" w:type="dxa"/>
              <w:right w:w="108" w:type="dxa"/>
            </w:tcMar>
          </w:tcPr>
          <w:p w14:paraId="404BC4AE" w14:textId="77777777" w:rsidR="139DF8FE" w:rsidRPr="00C34031" w:rsidRDefault="139DF8FE" w:rsidP="139DF8FE">
            <w:pPr>
              <w:rPr>
                <w:noProof/>
              </w:rPr>
            </w:pPr>
            <w:r w:rsidRPr="00C34031">
              <w:rPr>
                <w:b/>
                <w:noProof/>
              </w:rPr>
              <w:t>2023</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35C51E5A" w14:textId="77777777" w:rsidR="139DF8FE" w:rsidRPr="00C34031" w:rsidRDefault="139DF8FE" w:rsidP="139DF8FE">
            <w:pPr>
              <w:rPr>
                <w:noProof/>
              </w:rPr>
            </w:pPr>
            <w:r w:rsidRPr="00C34031">
              <w:rPr>
                <w:b/>
                <w:noProof/>
              </w:rPr>
              <w:t>2024</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662A460C" w14:textId="77777777" w:rsidR="139DF8FE" w:rsidRPr="00C34031" w:rsidRDefault="139DF8FE" w:rsidP="139DF8FE">
            <w:pPr>
              <w:rPr>
                <w:noProof/>
              </w:rPr>
            </w:pPr>
            <w:r w:rsidRPr="00C34031">
              <w:rPr>
                <w:b/>
                <w:noProof/>
              </w:rPr>
              <w:t>2025</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7ECE3503" w14:textId="77777777" w:rsidR="139DF8FE" w:rsidRPr="00C34031" w:rsidRDefault="139DF8FE" w:rsidP="139DF8FE">
            <w:pPr>
              <w:rPr>
                <w:noProof/>
              </w:rPr>
            </w:pPr>
            <w:r w:rsidRPr="00C34031">
              <w:rPr>
                <w:b/>
                <w:noProof/>
              </w:rPr>
              <w:t>2026</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47D4C18E" w14:textId="77777777" w:rsidR="139DF8FE" w:rsidRPr="00C34031" w:rsidRDefault="139DF8FE" w:rsidP="139DF8FE">
            <w:pPr>
              <w:rPr>
                <w:noProof/>
              </w:rPr>
            </w:pPr>
            <w:r w:rsidRPr="00C34031">
              <w:rPr>
                <w:b/>
                <w:noProof/>
              </w:rPr>
              <w:t>2027</w:t>
            </w:r>
          </w:p>
        </w:tc>
      </w:tr>
      <w:tr w:rsidR="139DF8FE" w:rsidRPr="00C34031" w14:paraId="34DE2954" w14:textId="77777777" w:rsidTr="139DF8FE">
        <w:trPr>
          <w:trHeight w:val="300"/>
        </w:trPr>
        <w:tc>
          <w:tcPr>
            <w:tcW w:w="1502" w:type="dxa"/>
            <w:tcBorders>
              <w:top w:val="single" w:sz="8" w:space="0" w:color="auto"/>
              <w:left w:val="single" w:sz="8" w:space="0" w:color="auto"/>
              <w:bottom w:val="single" w:sz="8" w:space="0" w:color="auto"/>
              <w:right w:val="single" w:sz="8" w:space="0" w:color="auto"/>
            </w:tcBorders>
            <w:tcMar>
              <w:left w:w="108" w:type="dxa"/>
              <w:right w:w="108" w:type="dxa"/>
            </w:tcMar>
          </w:tcPr>
          <w:p w14:paraId="7E95B168" w14:textId="77777777" w:rsidR="139DF8FE" w:rsidRPr="00C34031" w:rsidRDefault="139DF8FE" w:rsidP="139DF8FE">
            <w:pPr>
              <w:rPr>
                <w:noProof/>
              </w:rPr>
            </w:pPr>
            <w:r w:rsidRPr="00C34031">
              <w:rPr>
                <w:b/>
                <w:noProof/>
              </w:rPr>
              <w:t>Celkový počet zdrojů</w:t>
            </w:r>
          </w:p>
        </w:tc>
        <w:tc>
          <w:tcPr>
            <w:tcW w:w="1502" w:type="dxa"/>
            <w:tcBorders>
              <w:top w:val="single" w:sz="8" w:space="0" w:color="auto"/>
              <w:left w:val="single" w:sz="8" w:space="0" w:color="auto"/>
              <w:bottom w:val="single" w:sz="8" w:space="0" w:color="auto"/>
              <w:right w:val="single" w:sz="8" w:space="0" w:color="auto"/>
            </w:tcBorders>
            <w:tcMar>
              <w:left w:w="108" w:type="dxa"/>
              <w:right w:w="108" w:type="dxa"/>
            </w:tcMar>
          </w:tcPr>
          <w:p w14:paraId="4FC3CCF4" w14:textId="77777777" w:rsidR="139DF8FE" w:rsidRPr="00C34031" w:rsidRDefault="139DF8FE" w:rsidP="139DF8FE">
            <w:pPr>
              <w:rPr>
                <w:noProof/>
              </w:rPr>
            </w:pPr>
            <w:r w:rsidRPr="00C34031">
              <w:rPr>
                <w:noProof/>
              </w:rPr>
              <w:t>20</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259A9551" w14:textId="77777777" w:rsidR="139DF8FE" w:rsidRPr="00C34031" w:rsidRDefault="139DF8FE" w:rsidP="139DF8FE">
            <w:pPr>
              <w:rPr>
                <w:noProof/>
              </w:rPr>
            </w:pPr>
            <w:r w:rsidRPr="00C34031">
              <w:rPr>
                <w:noProof/>
              </w:rPr>
              <w:t>33</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365F14C0" w14:textId="77777777" w:rsidR="139DF8FE" w:rsidRPr="00C34031" w:rsidRDefault="139DF8FE" w:rsidP="139DF8FE">
            <w:pPr>
              <w:rPr>
                <w:noProof/>
              </w:rPr>
            </w:pPr>
            <w:r w:rsidRPr="00C34031">
              <w:rPr>
                <w:noProof/>
              </w:rPr>
              <w:t>44</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78ABD8CC" w14:textId="77777777" w:rsidR="139DF8FE" w:rsidRPr="00C34031" w:rsidRDefault="139DF8FE" w:rsidP="139DF8FE">
            <w:pPr>
              <w:rPr>
                <w:noProof/>
              </w:rPr>
            </w:pPr>
            <w:r w:rsidRPr="00C34031">
              <w:rPr>
                <w:noProof/>
              </w:rPr>
              <w:t>65</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73A8FC26" w14:textId="77777777" w:rsidR="139DF8FE" w:rsidRPr="00C34031" w:rsidRDefault="139DF8FE" w:rsidP="139DF8FE">
            <w:pPr>
              <w:rPr>
                <w:noProof/>
              </w:rPr>
            </w:pPr>
            <w:r w:rsidRPr="00C34031">
              <w:rPr>
                <w:noProof/>
              </w:rPr>
              <w:t>90</w:t>
            </w:r>
          </w:p>
        </w:tc>
      </w:tr>
      <w:tr w:rsidR="139DF8FE" w:rsidRPr="00C34031" w14:paraId="267C32F3" w14:textId="77777777" w:rsidTr="139DF8FE">
        <w:trPr>
          <w:trHeight w:val="300"/>
        </w:trPr>
        <w:tc>
          <w:tcPr>
            <w:tcW w:w="1502" w:type="dxa"/>
            <w:tcBorders>
              <w:top w:val="single" w:sz="8" w:space="0" w:color="auto"/>
              <w:left w:val="single" w:sz="8" w:space="0" w:color="auto"/>
              <w:bottom w:val="single" w:sz="8" w:space="0" w:color="auto"/>
              <w:right w:val="single" w:sz="8" w:space="0" w:color="auto"/>
            </w:tcBorders>
            <w:tcMar>
              <w:left w:w="108" w:type="dxa"/>
              <w:right w:w="108" w:type="dxa"/>
            </w:tcMar>
          </w:tcPr>
          <w:p w14:paraId="49E4482B" w14:textId="77777777" w:rsidR="139DF8FE" w:rsidRPr="00C34031" w:rsidRDefault="139DF8FE" w:rsidP="139DF8FE">
            <w:pPr>
              <w:rPr>
                <w:noProof/>
              </w:rPr>
            </w:pPr>
            <w:r w:rsidRPr="00C34031">
              <w:rPr>
                <w:b/>
                <w:noProof/>
              </w:rPr>
              <w:t>Tým pro CBAM</w:t>
            </w:r>
          </w:p>
        </w:tc>
        <w:tc>
          <w:tcPr>
            <w:tcW w:w="1502" w:type="dxa"/>
            <w:tcBorders>
              <w:top w:val="single" w:sz="8" w:space="0" w:color="auto"/>
              <w:left w:val="single" w:sz="8" w:space="0" w:color="auto"/>
              <w:bottom w:val="single" w:sz="8" w:space="0" w:color="auto"/>
              <w:right w:val="single" w:sz="8" w:space="0" w:color="auto"/>
            </w:tcBorders>
            <w:tcMar>
              <w:left w:w="108" w:type="dxa"/>
              <w:right w:w="108" w:type="dxa"/>
            </w:tcMar>
          </w:tcPr>
          <w:p w14:paraId="55B16C7E" w14:textId="77777777" w:rsidR="139DF8FE" w:rsidRPr="00C34031" w:rsidRDefault="139DF8FE" w:rsidP="139DF8FE">
            <w:pPr>
              <w:rPr>
                <w:noProof/>
              </w:rPr>
            </w:pPr>
            <w:r w:rsidRPr="00C34031">
              <w:rPr>
                <w:noProof/>
              </w:rPr>
              <w:t>12</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129BF392" w14:textId="77777777" w:rsidR="139DF8FE" w:rsidRPr="00C34031" w:rsidRDefault="139DF8FE" w:rsidP="139DF8FE">
            <w:pPr>
              <w:rPr>
                <w:noProof/>
              </w:rPr>
            </w:pPr>
            <w:r w:rsidRPr="00C34031">
              <w:rPr>
                <w:noProof/>
              </w:rPr>
              <w:t>21</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03DBDAB2" w14:textId="77777777" w:rsidR="139DF8FE" w:rsidRPr="00C34031" w:rsidRDefault="139DF8FE" w:rsidP="139DF8FE">
            <w:pPr>
              <w:rPr>
                <w:noProof/>
              </w:rPr>
            </w:pPr>
            <w:r w:rsidRPr="00C34031">
              <w:rPr>
                <w:noProof/>
              </w:rPr>
              <w:t>29</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24618A0D" w14:textId="77777777" w:rsidR="139DF8FE" w:rsidRPr="00C34031" w:rsidRDefault="139DF8FE" w:rsidP="139DF8FE">
            <w:pPr>
              <w:rPr>
                <w:noProof/>
              </w:rPr>
            </w:pPr>
            <w:r w:rsidRPr="00C34031">
              <w:rPr>
                <w:noProof/>
              </w:rPr>
              <w:t>50</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4CF9CEB7" w14:textId="77777777" w:rsidR="139DF8FE" w:rsidRPr="00C34031" w:rsidRDefault="139DF8FE" w:rsidP="139DF8FE">
            <w:pPr>
              <w:rPr>
                <w:noProof/>
              </w:rPr>
            </w:pPr>
            <w:r w:rsidRPr="00C34031">
              <w:rPr>
                <w:noProof/>
              </w:rPr>
              <w:t>75</w:t>
            </w:r>
          </w:p>
        </w:tc>
      </w:tr>
      <w:tr w:rsidR="139DF8FE" w:rsidRPr="00C34031" w14:paraId="45924B20" w14:textId="77777777" w:rsidTr="139DF8FE">
        <w:trPr>
          <w:trHeight w:val="300"/>
        </w:trPr>
        <w:tc>
          <w:tcPr>
            <w:tcW w:w="1502" w:type="dxa"/>
            <w:tcBorders>
              <w:top w:val="single" w:sz="8" w:space="0" w:color="auto"/>
              <w:left w:val="single" w:sz="8" w:space="0" w:color="auto"/>
              <w:bottom w:val="single" w:sz="8" w:space="0" w:color="auto"/>
              <w:right w:val="single" w:sz="8" w:space="0" w:color="auto"/>
            </w:tcBorders>
            <w:tcMar>
              <w:left w:w="108" w:type="dxa"/>
              <w:right w:w="108" w:type="dxa"/>
            </w:tcMar>
          </w:tcPr>
          <w:p w14:paraId="05BB6069" w14:textId="77777777" w:rsidR="139DF8FE" w:rsidRPr="00C34031" w:rsidRDefault="139DF8FE" w:rsidP="139DF8FE">
            <w:pPr>
              <w:rPr>
                <w:noProof/>
              </w:rPr>
            </w:pPr>
            <w:r w:rsidRPr="00C34031">
              <w:rPr>
                <w:b/>
                <w:noProof/>
              </w:rPr>
              <w:t>Tým IT pro CBAM</w:t>
            </w:r>
          </w:p>
        </w:tc>
        <w:tc>
          <w:tcPr>
            <w:tcW w:w="1502" w:type="dxa"/>
            <w:tcBorders>
              <w:top w:val="single" w:sz="8" w:space="0" w:color="auto"/>
              <w:left w:val="single" w:sz="8" w:space="0" w:color="auto"/>
              <w:bottom w:val="single" w:sz="8" w:space="0" w:color="auto"/>
              <w:right w:val="single" w:sz="8" w:space="0" w:color="auto"/>
            </w:tcBorders>
            <w:tcMar>
              <w:left w:w="108" w:type="dxa"/>
              <w:right w:w="108" w:type="dxa"/>
            </w:tcMar>
          </w:tcPr>
          <w:p w14:paraId="006E3E3E" w14:textId="77777777" w:rsidR="139DF8FE" w:rsidRPr="00C34031" w:rsidRDefault="139DF8FE" w:rsidP="139DF8FE">
            <w:pPr>
              <w:rPr>
                <w:noProof/>
              </w:rPr>
            </w:pPr>
            <w:r w:rsidRPr="00C34031">
              <w:rPr>
                <w:noProof/>
              </w:rPr>
              <w:t>8</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20567670" w14:textId="77777777" w:rsidR="139DF8FE" w:rsidRPr="00C34031" w:rsidRDefault="139DF8FE" w:rsidP="139DF8FE">
            <w:pPr>
              <w:rPr>
                <w:noProof/>
              </w:rPr>
            </w:pPr>
            <w:r w:rsidRPr="00C34031">
              <w:rPr>
                <w:noProof/>
              </w:rPr>
              <w:t>12</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300A7D15" w14:textId="77777777" w:rsidR="139DF8FE" w:rsidRPr="00C34031" w:rsidRDefault="139DF8FE" w:rsidP="139DF8FE">
            <w:pPr>
              <w:rPr>
                <w:noProof/>
              </w:rPr>
            </w:pPr>
            <w:r w:rsidRPr="00C34031">
              <w:rPr>
                <w:noProof/>
              </w:rPr>
              <w:t>15</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1D6D5E2B" w14:textId="77777777" w:rsidR="139DF8FE" w:rsidRPr="00C34031" w:rsidRDefault="139DF8FE" w:rsidP="139DF8FE">
            <w:pPr>
              <w:rPr>
                <w:noProof/>
              </w:rPr>
            </w:pPr>
            <w:r w:rsidRPr="00C34031">
              <w:rPr>
                <w:noProof/>
              </w:rPr>
              <w:t>15</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07C2570D" w14:textId="77777777" w:rsidR="139DF8FE" w:rsidRPr="00C34031" w:rsidRDefault="139DF8FE" w:rsidP="139DF8FE">
            <w:pPr>
              <w:rPr>
                <w:noProof/>
              </w:rPr>
            </w:pPr>
            <w:r w:rsidRPr="00C34031">
              <w:rPr>
                <w:noProof/>
              </w:rPr>
              <w:t>15</w:t>
            </w:r>
          </w:p>
        </w:tc>
      </w:tr>
    </w:tbl>
    <w:p w14:paraId="1858F211" w14:textId="77777777" w:rsidR="666BDBD0" w:rsidRPr="00C34031" w:rsidRDefault="666BDBD0" w:rsidP="139DF8FE">
      <w:pPr>
        <w:ind w:left="850"/>
        <w:rPr>
          <w:noProof/>
        </w:rPr>
      </w:pPr>
      <w:r w:rsidRPr="00C34031">
        <w:rPr>
          <w:noProof/>
        </w:rPr>
        <w:t xml:space="preserve">Strategický význam, rozsah a složitost projektu IT pro CBAM vyžadují vytvoření specializovaného týmu IT pro CBAM, který bude řídit celkové provádění a operace projektu. </w:t>
      </w:r>
    </w:p>
    <w:p w14:paraId="274B3378" w14:textId="77777777" w:rsidR="666BDBD0" w:rsidRPr="00C34031" w:rsidRDefault="666BDBD0" w:rsidP="139DF8FE">
      <w:pPr>
        <w:ind w:left="850"/>
        <w:rPr>
          <w:noProof/>
        </w:rPr>
      </w:pPr>
      <w:r w:rsidRPr="00C34031">
        <w:rPr>
          <w:noProof/>
        </w:rPr>
        <w:t>Tým IT pro CBAM se skládá z 15 členů specializovaných IT profilů pro definování a řízení architektury IT systému a organizace a plánování projektů pro CBAM, činností v oblasti vývoje, zavádění, organizace modelu služeb, řízení operací a podpory před profesními sdruženími, službami Komise, orgány v oblasti klimatu a celními orgány, a to jak u přechodných, tak u konečných IT systémů pro CBAM.</w:t>
      </w:r>
    </w:p>
    <w:p w14:paraId="0B024C67" w14:textId="77777777" w:rsidR="666BDBD0" w:rsidRPr="00C34031" w:rsidRDefault="666BDBD0" w:rsidP="139DF8FE">
      <w:pPr>
        <w:ind w:left="850"/>
        <w:rPr>
          <w:noProof/>
        </w:rPr>
      </w:pPr>
      <w:r w:rsidRPr="00C34031">
        <w:rPr>
          <w:noProof/>
        </w:rPr>
        <w:t>Tým IT pro CBAM by se skládal z 15 zaměstnanců EK, jejichž struktura je znázorněna v následujícím grafu:</w:t>
      </w:r>
    </w:p>
    <w:p w14:paraId="7239BBAB" w14:textId="4F71B3A4" w:rsidR="666BDBD0" w:rsidRPr="00C34031" w:rsidRDefault="001A381F" w:rsidP="001A381F">
      <w:pPr>
        <w:pBdr>
          <w:top w:val="single" w:sz="8" w:space="1" w:color="000000"/>
          <w:left w:val="single" w:sz="8" w:space="4" w:color="000000"/>
          <w:bottom w:val="single" w:sz="8" w:space="1" w:color="000000"/>
          <w:right w:val="single" w:sz="8" w:space="4" w:color="000000"/>
        </w:pBdr>
        <w:jc w:val="center"/>
        <w:rPr>
          <w:noProof/>
        </w:rPr>
      </w:pPr>
      <w:r w:rsidRPr="001A381F">
        <w:rPr>
          <w:noProof/>
          <w:lang w:val="en-GB" w:eastAsia="en-GB"/>
        </w:rPr>
        <w:drawing>
          <wp:inline distT="0" distB="0" distL="0" distR="0" wp14:anchorId="580586C6" wp14:editId="09E098B6">
            <wp:extent cx="4690753" cy="5599204"/>
            <wp:effectExtent l="0" t="0" r="0" b="1905"/>
            <wp:docPr id="1259892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892149" name=""/>
                    <pic:cNvPicPr/>
                  </pic:nvPicPr>
                  <pic:blipFill>
                    <a:blip r:embed="rId22"/>
                    <a:stretch>
                      <a:fillRect/>
                    </a:stretch>
                  </pic:blipFill>
                  <pic:spPr>
                    <a:xfrm>
                      <a:off x="0" y="0"/>
                      <a:ext cx="4701748" cy="5612328"/>
                    </a:xfrm>
                    <a:prstGeom prst="rect">
                      <a:avLst/>
                    </a:prstGeom>
                  </pic:spPr>
                </pic:pic>
              </a:graphicData>
            </a:graphic>
          </wp:inline>
        </w:drawing>
      </w:r>
    </w:p>
    <w:p w14:paraId="2BE18E6D" w14:textId="77777777" w:rsidR="666BDBD0" w:rsidRPr="00C34031" w:rsidRDefault="666BDBD0" w:rsidP="139DF8FE">
      <w:pPr>
        <w:ind w:left="850" w:hanging="850"/>
        <w:rPr>
          <w:noProof/>
        </w:rPr>
      </w:pPr>
      <w:r w:rsidRPr="00C34031">
        <w:rPr>
          <w:i/>
          <w:noProof/>
        </w:rPr>
        <w:t>Navrhovaný plán nasazení týmu IT pro CBAM je následující:</w:t>
      </w:r>
    </w:p>
    <w:tbl>
      <w:tblPr>
        <w:tblStyle w:val="TableGrid"/>
        <w:tblW w:w="0" w:type="auto"/>
        <w:tblLayout w:type="fixed"/>
        <w:tblLook w:val="04A0" w:firstRow="1" w:lastRow="0" w:firstColumn="1" w:lastColumn="0" w:noHBand="0" w:noVBand="1"/>
      </w:tblPr>
      <w:tblGrid>
        <w:gridCol w:w="1802"/>
        <w:gridCol w:w="1316"/>
        <w:gridCol w:w="1434"/>
        <w:gridCol w:w="1576"/>
        <w:gridCol w:w="1434"/>
        <w:gridCol w:w="1434"/>
      </w:tblGrid>
      <w:tr w:rsidR="139DF8FE" w:rsidRPr="00C34031" w14:paraId="7984314A" w14:textId="77777777" w:rsidTr="139DF8FE">
        <w:trPr>
          <w:trHeight w:val="300"/>
        </w:trPr>
        <w:tc>
          <w:tcPr>
            <w:tcW w:w="1802" w:type="dxa"/>
            <w:tcBorders>
              <w:top w:val="single" w:sz="8" w:space="0" w:color="auto"/>
              <w:left w:val="single" w:sz="8" w:space="0" w:color="auto"/>
              <w:bottom w:val="single" w:sz="8" w:space="0" w:color="auto"/>
              <w:right w:val="single" w:sz="8" w:space="0" w:color="auto"/>
            </w:tcBorders>
            <w:tcMar>
              <w:left w:w="108" w:type="dxa"/>
              <w:right w:w="108" w:type="dxa"/>
            </w:tcMar>
          </w:tcPr>
          <w:p w14:paraId="0721B674" w14:textId="77777777" w:rsidR="139DF8FE" w:rsidRPr="00C34031" w:rsidRDefault="139DF8FE" w:rsidP="139DF8FE">
            <w:pPr>
              <w:rPr>
                <w:noProof/>
              </w:rPr>
            </w:pPr>
            <w:r w:rsidRPr="00C34031">
              <w:rPr>
                <w:b/>
                <w:noProof/>
              </w:rPr>
              <w:t>Rok</w:t>
            </w:r>
          </w:p>
        </w:tc>
        <w:tc>
          <w:tcPr>
            <w:tcW w:w="1316" w:type="dxa"/>
            <w:tcBorders>
              <w:top w:val="single" w:sz="8" w:space="0" w:color="auto"/>
              <w:left w:val="single" w:sz="8" w:space="0" w:color="auto"/>
              <w:bottom w:val="single" w:sz="8" w:space="0" w:color="auto"/>
              <w:right w:val="single" w:sz="8" w:space="0" w:color="auto"/>
            </w:tcBorders>
            <w:tcMar>
              <w:left w:w="108" w:type="dxa"/>
              <w:right w:w="108" w:type="dxa"/>
            </w:tcMar>
          </w:tcPr>
          <w:p w14:paraId="3361453A" w14:textId="77777777" w:rsidR="139DF8FE" w:rsidRPr="00C34031" w:rsidRDefault="139DF8FE" w:rsidP="139DF8FE">
            <w:pPr>
              <w:rPr>
                <w:noProof/>
              </w:rPr>
            </w:pPr>
            <w:r w:rsidRPr="00C34031">
              <w:rPr>
                <w:b/>
                <w:noProof/>
              </w:rPr>
              <w:t>2023</w:t>
            </w:r>
          </w:p>
        </w:tc>
        <w:tc>
          <w:tcPr>
            <w:tcW w:w="1434" w:type="dxa"/>
            <w:tcBorders>
              <w:top w:val="single" w:sz="8" w:space="0" w:color="auto"/>
              <w:left w:val="single" w:sz="8" w:space="0" w:color="auto"/>
              <w:bottom w:val="single" w:sz="8" w:space="0" w:color="auto"/>
              <w:right w:val="single" w:sz="8" w:space="0" w:color="auto"/>
            </w:tcBorders>
            <w:tcMar>
              <w:left w:w="108" w:type="dxa"/>
              <w:right w:w="108" w:type="dxa"/>
            </w:tcMar>
          </w:tcPr>
          <w:p w14:paraId="35A987AE" w14:textId="77777777" w:rsidR="139DF8FE" w:rsidRPr="00C34031" w:rsidRDefault="139DF8FE" w:rsidP="139DF8FE">
            <w:pPr>
              <w:rPr>
                <w:noProof/>
              </w:rPr>
            </w:pPr>
            <w:r w:rsidRPr="00C34031">
              <w:rPr>
                <w:b/>
                <w:noProof/>
              </w:rPr>
              <w:t>2024</w:t>
            </w:r>
          </w:p>
        </w:tc>
        <w:tc>
          <w:tcPr>
            <w:tcW w:w="1576" w:type="dxa"/>
            <w:tcBorders>
              <w:top w:val="single" w:sz="8" w:space="0" w:color="auto"/>
              <w:left w:val="single" w:sz="8" w:space="0" w:color="auto"/>
              <w:bottom w:val="single" w:sz="8" w:space="0" w:color="auto"/>
              <w:right w:val="single" w:sz="8" w:space="0" w:color="auto"/>
            </w:tcBorders>
            <w:tcMar>
              <w:left w:w="108" w:type="dxa"/>
              <w:right w:w="108" w:type="dxa"/>
            </w:tcMar>
          </w:tcPr>
          <w:p w14:paraId="43C6EE3C" w14:textId="77777777" w:rsidR="139DF8FE" w:rsidRPr="00C34031" w:rsidRDefault="139DF8FE" w:rsidP="139DF8FE">
            <w:pPr>
              <w:rPr>
                <w:noProof/>
              </w:rPr>
            </w:pPr>
            <w:r w:rsidRPr="00C34031">
              <w:rPr>
                <w:b/>
                <w:noProof/>
              </w:rPr>
              <w:t>2025</w:t>
            </w:r>
          </w:p>
        </w:tc>
        <w:tc>
          <w:tcPr>
            <w:tcW w:w="1434" w:type="dxa"/>
            <w:tcBorders>
              <w:top w:val="single" w:sz="8" w:space="0" w:color="auto"/>
              <w:left w:val="single" w:sz="8" w:space="0" w:color="auto"/>
              <w:bottom w:val="single" w:sz="8" w:space="0" w:color="auto"/>
              <w:right w:val="single" w:sz="8" w:space="0" w:color="auto"/>
            </w:tcBorders>
            <w:tcMar>
              <w:left w:w="108" w:type="dxa"/>
              <w:right w:w="108" w:type="dxa"/>
            </w:tcMar>
          </w:tcPr>
          <w:p w14:paraId="41AE4D56" w14:textId="77777777" w:rsidR="139DF8FE" w:rsidRPr="00C34031" w:rsidRDefault="139DF8FE" w:rsidP="139DF8FE">
            <w:pPr>
              <w:rPr>
                <w:noProof/>
              </w:rPr>
            </w:pPr>
            <w:r w:rsidRPr="00C34031">
              <w:rPr>
                <w:b/>
                <w:noProof/>
              </w:rPr>
              <w:t>2026</w:t>
            </w:r>
          </w:p>
        </w:tc>
        <w:tc>
          <w:tcPr>
            <w:tcW w:w="1434" w:type="dxa"/>
            <w:tcBorders>
              <w:top w:val="single" w:sz="8" w:space="0" w:color="auto"/>
              <w:left w:val="single" w:sz="8" w:space="0" w:color="auto"/>
              <w:bottom w:val="single" w:sz="8" w:space="0" w:color="auto"/>
              <w:right w:val="single" w:sz="8" w:space="0" w:color="auto"/>
            </w:tcBorders>
            <w:tcMar>
              <w:left w:w="108" w:type="dxa"/>
              <w:right w:w="108" w:type="dxa"/>
            </w:tcMar>
          </w:tcPr>
          <w:p w14:paraId="56D9B867" w14:textId="77777777" w:rsidR="139DF8FE" w:rsidRPr="00C34031" w:rsidRDefault="139DF8FE" w:rsidP="139DF8FE">
            <w:pPr>
              <w:rPr>
                <w:noProof/>
              </w:rPr>
            </w:pPr>
            <w:r w:rsidRPr="00C34031">
              <w:rPr>
                <w:b/>
                <w:noProof/>
              </w:rPr>
              <w:t>2027</w:t>
            </w:r>
          </w:p>
        </w:tc>
      </w:tr>
      <w:tr w:rsidR="139DF8FE" w:rsidRPr="00C34031" w14:paraId="0A24EA5F" w14:textId="77777777" w:rsidTr="139DF8FE">
        <w:trPr>
          <w:trHeight w:val="300"/>
        </w:trPr>
        <w:tc>
          <w:tcPr>
            <w:tcW w:w="1802" w:type="dxa"/>
            <w:tcBorders>
              <w:top w:val="single" w:sz="8" w:space="0" w:color="auto"/>
              <w:left w:val="single" w:sz="8" w:space="0" w:color="auto"/>
              <w:bottom w:val="single" w:sz="8" w:space="0" w:color="auto"/>
              <w:right w:val="single" w:sz="8" w:space="0" w:color="auto"/>
            </w:tcBorders>
            <w:tcMar>
              <w:left w:w="108" w:type="dxa"/>
              <w:right w:w="108" w:type="dxa"/>
            </w:tcMar>
          </w:tcPr>
          <w:p w14:paraId="5F63D6F9" w14:textId="77777777" w:rsidR="139DF8FE" w:rsidRPr="00C34031" w:rsidRDefault="139DF8FE" w:rsidP="139DF8FE">
            <w:pPr>
              <w:rPr>
                <w:noProof/>
              </w:rPr>
            </w:pPr>
            <w:r w:rsidRPr="00C34031">
              <w:rPr>
                <w:b/>
                <w:noProof/>
              </w:rPr>
              <w:t>Počet zdrojů</w:t>
            </w:r>
          </w:p>
        </w:tc>
        <w:tc>
          <w:tcPr>
            <w:tcW w:w="1316" w:type="dxa"/>
            <w:tcBorders>
              <w:top w:val="single" w:sz="8" w:space="0" w:color="auto"/>
              <w:left w:val="single" w:sz="8" w:space="0" w:color="auto"/>
              <w:bottom w:val="single" w:sz="8" w:space="0" w:color="auto"/>
              <w:right w:val="single" w:sz="8" w:space="0" w:color="auto"/>
            </w:tcBorders>
            <w:tcMar>
              <w:left w:w="108" w:type="dxa"/>
              <w:right w:w="108" w:type="dxa"/>
            </w:tcMar>
          </w:tcPr>
          <w:p w14:paraId="143AE84D" w14:textId="77777777" w:rsidR="139DF8FE" w:rsidRPr="00C34031" w:rsidRDefault="139DF8FE" w:rsidP="139DF8FE">
            <w:pPr>
              <w:rPr>
                <w:noProof/>
              </w:rPr>
            </w:pPr>
            <w:r w:rsidRPr="00C34031">
              <w:rPr>
                <w:noProof/>
              </w:rPr>
              <w:t>8</w:t>
            </w:r>
          </w:p>
        </w:tc>
        <w:tc>
          <w:tcPr>
            <w:tcW w:w="1434" w:type="dxa"/>
            <w:tcBorders>
              <w:top w:val="single" w:sz="8" w:space="0" w:color="auto"/>
              <w:left w:val="single" w:sz="8" w:space="0" w:color="auto"/>
              <w:bottom w:val="single" w:sz="8" w:space="0" w:color="auto"/>
              <w:right w:val="single" w:sz="8" w:space="0" w:color="auto"/>
            </w:tcBorders>
            <w:tcMar>
              <w:left w:w="108" w:type="dxa"/>
              <w:right w:w="108" w:type="dxa"/>
            </w:tcMar>
          </w:tcPr>
          <w:p w14:paraId="32EE7D48" w14:textId="77777777" w:rsidR="139DF8FE" w:rsidRPr="00C34031" w:rsidRDefault="139DF8FE" w:rsidP="139DF8FE">
            <w:pPr>
              <w:rPr>
                <w:noProof/>
              </w:rPr>
            </w:pPr>
            <w:r w:rsidRPr="00C34031">
              <w:rPr>
                <w:noProof/>
              </w:rPr>
              <w:t>12</w:t>
            </w:r>
          </w:p>
        </w:tc>
        <w:tc>
          <w:tcPr>
            <w:tcW w:w="1576" w:type="dxa"/>
            <w:tcBorders>
              <w:top w:val="single" w:sz="8" w:space="0" w:color="auto"/>
              <w:left w:val="single" w:sz="8" w:space="0" w:color="auto"/>
              <w:bottom w:val="single" w:sz="8" w:space="0" w:color="auto"/>
              <w:right w:val="single" w:sz="8" w:space="0" w:color="auto"/>
            </w:tcBorders>
            <w:tcMar>
              <w:left w:w="108" w:type="dxa"/>
              <w:right w:w="108" w:type="dxa"/>
            </w:tcMar>
          </w:tcPr>
          <w:p w14:paraId="02490C8D" w14:textId="77777777" w:rsidR="139DF8FE" w:rsidRPr="00C34031" w:rsidRDefault="139DF8FE" w:rsidP="139DF8FE">
            <w:pPr>
              <w:rPr>
                <w:noProof/>
              </w:rPr>
            </w:pPr>
            <w:r w:rsidRPr="00C34031">
              <w:rPr>
                <w:noProof/>
              </w:rPr>
              <w:t>15</w:t>
            </w:r>
          </w:p>
        </w:tc>
        <w:tc>
          <w:tcPr>
            <w:tcW w:w="1434" w:type="dxa"/>
            <w:tcBorders>
              <w:top w:val="single" w:sz="8" w:space="0" w:color="auto"/>
              <w:left w:val="single" w:sz="8" w:space="0" w:color="auto"/>
              <w:bottom w:val="single" w:sz="8" w:space="0" w:color="auto"/>
              <w:right w:val="single" w:sz="8" w:space="0" w:color="auto"/>
            </w:tcBorders>
            <w:tcMar>
              <w:left w:w="108" w:type="dxa"/>
              <w:right w:w="108" w:type="dxa"/>
            </w:tcMar>
          </w:tcPr>
          <w:p w14:paraId="47732516" w14:textId="77777777" w:rsidR="139DF8FE" w:rsidRPr="00C34031" w:rsidRDefault="139DF8FE" w:rsidP="139DF8FE">
            <w:pPr>
              <w:rPr>
                <w:noProof/>
              </w:rPr>
            </w:pPr>
            <w:r w:rsidRPr="00C34031">
              <w:rPr>
                <w:noProof/>
              </w:rPr>
              <w:t>15</w:t>
            </w:r>
          </w:p>
        </w:tc>
        <w:tc>
          <w:tcPr>
            <w:tcW w:w="1434" w:type="dxa"/>
            <w:tcBorders>
              <w:top w:val="single" w:sz="8" w:space="0" w:color="auto"/>
              <w:left w:val="single" w:sz="8" w:space="0" w:color="auto"/>
              <w:bottom w:val="single" w:sz="8" w:space="0" w:color="auto"/>
              <w:right w:val="single" w:sz="8" w:space="0" w:color="auto"/>
            </w:tcBorders>
            <w:tcMar>
              <w:left w:w="108" w:type="dxa"/>
              <w:right w:w="108" w:type="dxa"/>
            </w:tcMar>
          </w:tcPr>
          <w:p w14:paraId="276288C0" w14:textId="77777777" w:rsidR="139DF8FE" w:rsidRPr="00C34031" w:rsidRDefault="139DF8FE" w:rsidP="139DF8FE">
            <w:pPr>
              <w:rPr>
                <w:noProof/>
              </w:rPr>
            </w:pPr>
            <w:r w:rsidRPr="00C34031">
              <w:rPr>
                <w:noProof/>
              </w:rPr>
              <w:t>15</w:t>
            </w:r>
          </w:p>
        </w:tc>
      </w:tr>
      <w:tr w:rsidR="139DF8FE" w:rsidRPr="00C34031" w14:paraId="3CEFF5C8" w14:textId="77777777" w:rsidTr="139DF8FE">
        <w:trPr>
          <w:trHeight w:val="300"/>
        </w:trPr>
        <w:tc>
          <w:tcPr>
            <w:tcW w:w="1802" w:type="dxa"/>
            <w:tcBorders>
              <w:top w:val="single" w:sz="8" w:space="0" w:color="auto"/>
              <w:left w:val="single" w:sz="8" w:space="0" w:color="auto"/>
              <w:bottom w:val="single" w:sz="8" w:space="0" w:color="auto"/>
              <w:right w:val="single" w:sz="8" w:space="0" w:color="auto"/>
            </w:tcBorders>
            <w:tcMar>
              <w:left w:w="108" w:type="dxa"/>
              <w:right w:w="108" w:type="dxa"/>
            </w:tcMar>
          </w:tcPr>
          <w:p w14:paraId="453FEFF7" w14:textId="77777777" w:rsidR="139DF8FE" w:rsidRPr="00C34031" w:rsidRDefault="139DF8FE" w:rsidP="139DF8FE">
            <w:pPr>
              <w:rPr>
                <w:noProof/>
              </w:rPr>
            </w:pPr>
            <w:r w:rsidRPr="00C34031">
              <w:rPr>
                <w:b/>
                <w:noProof/>
              </w:rPr>
              <w:t>AD</w:t>
            </w:r>
          </w:p>
        </w:tc>
        <w:tc>
          <w:tcPr>
            <w:tcW w:w="1316" w:type="dxa"/>
            <w:tcBorders>
              <w:top w:val="single" w:sz="8" w:space="0" w:color="auto"/>
              <w:left w:val="single" w:sz="8" w:space="0" w:color="auto"/>
              <w:bottom w:val="single" w:sz="8" w:space="0" w:color="auto"/>
              <w:right w:val="single" w:sz="8" w:space="0" w:color="auto"/>
            </w:tcBorders>
            <w:tcMar>
              <w:left w:w="108" w:type="dxa"/>
              <w:right w:w="108" w:type="dxa"/>
            </w:tcMar>
          </w:tcPr>
          <w:p w14:paraId="40E5AC13" w14:textId="77777777" w:rsidR="139DF8FE" w:rsidRPr="00C34031" w:rsidRDefault="139DF8FE" w:rsidP="139DF8FE">
            <w:pPr>
              <w:rPr>
                <w:noProof/>
              </w:rPr>
            </w:pPr>
            <w:r w:rsidRPr="00C34031">
              <w:rPr>
                <w:noProof/>
              </w:rPr>
              <w:t>4</w:t>
            </w:r>
          </w:p>
        </w:tc>
        <w:tc>
          <w:tcPr>
            <w:tcW w:w="1434" w:type="dxa"/>
            <w:tcBorders>
              <w:top w:val="single" w:sz="8" w:space="0" w:color="auto"/>
              <w:left w:val="single" w:sz="8" w:space="0" w:color="auto"/>
              <w:bottom w:val="single" w:sz="8" w:space="0" w:color="auto"/>
              <w:right w:val="single" w:sz="8" w:space="0" w:color="auto"/>
            </w:tcBorders>
            <w:tcMar>
              <w:left w:w="108" w:type="dxa"/>
              <w:right w:w="108" w:type="dxa"/>
            </w:tcMar>
          </w:tcPr>
          <w:p w14:paraId="46072A78" w14:textId="77777777" w:rsidR="139DF8FE" w:rsidRPr="00C34031" w:rsidRDefault="139DF8FE" w:rsidP="139DF8FE">
            <w:pPr>
              <w:rPr>
                <w:noProof/>
              </w:rPr>
            </w:pPr>
            <w:r w:rsidRPr="00C34031">
              <w:rPr>
                <w:noProof/>
              </w:rPr>
              <w:t>5</w:t>
            </w:r>
          </w:p>
        </w:tc>
        <w:tc>
          <w:tcPr>
            <w:tcW w:w="1576" w:type="dxa"/>
            <w:tcBorders>
              <w:top w:val="single" w:sz="8" w:space="0" w:color="auto"/>
              <w:left w:val="single" w:sz="8" w:space="0" w:color="auto"/>
              <w:bottom w:val="single" w:sz="8" w:space="0" w:color="auto"/>
              <w:right w:val="single" w:sz="8" w:space="0" w:color="auto"/>
            </w:tcBorders>
            <w:tcMar>
              <w:left w:w="108" w:type="dxa"/>
              <w:right w:w="108" w:type="dxa"/>
            </w:tcMar>
          </w:tcPr>
          <w:p w14:paraId="1BF52812" w14:textId="77777777" w:rsidR="139DF8FE" w:rsidRPr="00C34031" w:rsidRDefault="139DF8FE" w:rsidP="139DF8FE">
            <w:pPr>
              <w:rPr>
                <w:noProof/>
              </w:rPr>
            </w:pPr>
            <w:r w:rsidRPr="00C34031">
              <w:rPr>
                <w:noProof/>
              </w:rPr>
              <w:t>5</w:t>
            </w:r>
          </w:p>
        </w:tc>
        <w:tc>
          <w:tcPr>
            <w:tcW w:w="1434" w:type="dxa"/>
            <w:tcBorders>
              <w:top w:val="single" w:sz="8" w:space="0" w:color="auto"/>
              <w:left w:val="single" w:sz="8" w:space="0" w:color="auto"/>
              <w:bottom w:val="single" w:sz="8" w:space="0" w:color="auto"/>
              <w:right w:val="single" w:sz="8" w:space="0" w:color="auto"/>
            </w:tcBorders>
            <w:tcMar>
              <w:left w:w="108" w:type="dxa"/>
              <w:right w:w="108" w:type="dxa"/>
            </w:tcMar>
          </w:tcPr>
          <w:p w14:paraId="270EF24A" w14:textId="77777777" w:rsidR="139DF8FE" w:rsidRPr="00C34031" w:rsidRDefault="139DF8FE" w:rsidP="139DF8FE">
            <w:pPr>
              <w:rPr>
                <w:noProof/>
              </w:rPr>
            </w:pPr>
            <w:r w:rsidRPr="00C34031">
              <w:rPr>
                <w:noProof/>
              </w:rPr>
              <w:t>5</w:t>
            </w:r>
          </w:p>
        </w:tc>
        <w:tc>
          <w:tcPr>
            <w:tcW w:w="1434" w:type="dxa"/>
            <w:tcBorders>
              <w:top w:val="single" w:sz="8" w:space="0" w:color="auto"/>
              <w:left w:val="single" w:sz="8" w:space="0" w:color="auto"/>
              <w:bottom w:val="single" w:sz="8" w:space="0" w:color="auto"/>
              <w:right w:val="single" w:sz="8" w:space="0" w:color="auto"/>
            </w:tcBorders>
            <w:tcMar>
              <w:left w:w="108" w:type="dxa"/>
              <w:right w:w="108" w:type="dxa"/>
            </w:tcMar>
          </w:tcPr>
          <w:p w14:paraId="0371B9C2" w14:textId="77777777" w:rsidR="139DF8FE" w:rsidRPr="00C34031" w:rsidRDefault="139DF8FE" w:rsidP="139DF8FE">
            <w:pPr>
              <w:rPr>
                <w:noProof/>
              </w:rPr>
            </w:pPr>
            <w:r w:rsidRPr="00C34031">
              <w:rPr>
                <w:noProof/>
              </w:rPr>
              <w:t>5</w:t>
            </w:r>
          </w:p>
        </w:tc>
      </w:tr>
      <w:tr w:rsidR="139DF8FE" w:rsidRPr="00C34031" w14:paraId="3AD773BA" w14:textId="77777777" w:rsidTr="139DF8FE">
        <w:trPr>
          <w:trHeight w:val="300"/>
        </w:trPr>
        <w:tc>
          <w:tcPr>
            <w:tcW w:w="1802" w:type="dxa"/>
            <w:tcBorders>
              <w:top w:val="single" w:sz="8" w:space="0" w:color="auto"/>
              <w:left w:val="single" w:sz="8" w:space="0" w:color="auto"/>
              <w:bottom w:val="single" w:sz="8" w:space="0" w:color="auto"/>
              <w:right w:val="single" w:sz="8" w:space="0" w:color="auto"/>
            </w:tcBorders>
            <w:tcMar>
              <w:left w:w="108" w:type="dxa"/>
              <w:right w:w="108" w:type="dxa"/>
            </w:tcMar>
          </w:tcPr>
          <w:p w14:paraId="5CB4DD3C" w14:textId="77777777" w:rsidR="139DF8FE" w:rsidRPr="00C34031" w:rsidRDefault="139DF8FE" w:rsidP="139DF8FE">
            <w:pPr>
              <w:rPr>
                <w:noProof/>
              </w:rPr>
            </w:pPr>
            <w:r w:rsidRPr="00C34031">
              <w:rPr>
                <w:b/>
                <w:noProof/>
              </w:rPr>
              <w:t>CA</w:t>
            </w:r>
          </w:p>
        </w:tc>
        <w:tc>
          <w:tcPr>
            <w:tcW w:w="1316" w:type="dxa"/>
            <w:tcBorders>
              <w:top w:val="single" w:sz="8" w:space="0" w:color="auto"/>
              <w:left w:val="single" w:sz="8" w:space="0" w:color="auto"/>
              <w:bottom w:val="single" w:sz="8" w:space="0" w:color="auto"/>
              <w:right w:val="single" w:sz="8" w:space="0" w:color="auto"/>
            </w:tcBorders>
            <w:tcMar>
              <w:left w:w="108" w:type="dxa"/>
              <w:right w:w="108" w:type="dxa"/>
            </w:tcMar>
          </w:tcPr>
          <w:p w14:paraId="21983000" w14:textId="77777777" w:rsidR="139DF8FE" w:rsidRPr="00C34031" w:rsidRDefault="139DF8FE" w:rsidP="139DF8FE">
            <w:pPr>
              <w:rPr>
                <w:noProof/>
              </w:rPr>
            </w:pPr>
            <w:r w:rsidRPr="00C34031">
              <w:rPr>
                <w:noProof/>
              </w:rPr>
              <w:t>4</w:t>
            </w:r>
          </w:p>
        </w:tc>
        <w:tc>
          <w:tcPr>
            <w:tcW w:w="1434" w:type="dxa"/>
            <w:tcBorders>
              <w:top w:val="single" w:sz="8" w:space="0" w:color="auto"/>
              <w:left w:val="single" w:sz="8" w:space="0" w:color="auto"/>
              <w:bottom w:val="single" w:sz="8" w:space="0" w:color="auto"/>
              <w:right w:val="single" w:sz="8" w:space="0" w:color="auto"/>
            </w:tcBorders>
            <w:tcMar>
              <w:left w:w="108" w:type="dxa"/>
              <w:right w:w="108" w:type="dxa"/>
            </w:tcMar>
          </w:tcPr>
          <w:p w14:paraId="6676245F" w14:textId="77777777" w:rsidR="139DF8FE" w:rsidRPr="00C34031" w:rsidRDefault="139DF8FE" w:rsidP="139DF8FE">
            <w:pPr>
              <w:rPr>
                <w:noProof/>
              </w:rPr>
            </w:pPr>
            <w:r w:rsidRPr="00C34031">
              <w:rPr>
                <w:noProof/>
              </w:rPr>
              <w:t>7</w:t>
            </w:r>
          </w:p>
        </w:tc>
        <w:tc>
          <w:tcPr>
            <w:tcW w:w="1576" w:type="dxa"/>
            <w:tcBorders>
              <w:top w:val="single" w:sz="8" w:space="0" w:color="auto"/>
              <w:left w:val="single" w:sz="8" w:space="0" w:color="auto"/>
              <w:bottom w:val="single" w:sz="8" w:space="0" w:color="auto"/>
              <w:right w:val="single" w:sz="8" w:space="0" w:color="auto"/>
            </w:tcBorders>
            <w:tcMar>
              <w:left w:w="108" w:type="dxa"/>
              <w:right w:w="108" w:type="dxa"/>
            </w:tcMar>
          </w:tcPr>
          <w:p w14:paraId="5D5E4F70" w14:textId="77777777" w:rsidR="139DF8FE" w:rsidRPr="00C34031" w:rsidRDefault="139DF8FE" w:rsidP="139DF8FE">
            <w:pPr>
              <w:rPr>
                <w:noProof/>
              </w:rPr>
            </w:pPr>
            <w:r w:rsidRPr="00C34031">
              <w:rPr>
                <w:noProof/>
              </w:rPr>
              <w:t>10</w:t>
            </w:r>
          </w:p>
        </w:tc>
        <w:tc>
          <w:tcPr>
            <w:tcW w:w="1434" w:type="dxa"/>
            <w:tcBorders>
              <w:top w:val="single" w:sz="8" w:space="0" w:color="auto"/>
              <w:left w:val="single" w:sz="8" w:space="0" w:color="auto"/>
              <w:bottom w:val="single" w:sz="8" w:space="0" w:color="auto"/>
              <w:right w:val="single" w:sz="8" w:space="0" w:color="auto"/>
            </w:tcBorders>
            <w:tcMar>
              <w:left w:w="108" w:type="dxa"/>
              <w:right w:w="108" w:type="dxa"/>
            </w:tcMar>
          </w:tcPr>
          <w:p w14:paraId="061A705B" w14:textId="77777777" w:rsidR="139DF8FE" w:rsidRPr="00C34031" w:rsidRDefault="139DF8FE" w:rsidP="139DF8FE">
            <w:pPr>
              <w:rPr>
                <w:noProof/>
              </w:rPr>
            </w:pPr>
            <w:r w:rsidRPr="00C34031">
              <w:rPr>
                <w:noProof/>
              </w:rPr>
              <w:t>10</w:t>
            </w:r>
          </w:p>
        </w:tc>
        <w:tc>
          <w:tcPr>
            <w:tcW w:w="1434" w:type="dxa"/>
            <w:tcBorders>
              <w:top w:val="single" w:sz="8" w:space="0" w:color="auto"/>
              <w:left w:val="single" w:sz="8" w:space="0" w:color="auto"/>
              <w:bottom w:val="single" w:sz="8" w:space="0" w:color="auto"/>
              <w:right w:val="single" w:sz="8" w:space="0" w:color="auto"/>
            </w:tcBorders>
            <w:tcMar>
              <w:left w:w="108" w:type="dxa"/>
              <w:right w:w="108" w:type="dxa"/>
            </w:tcMar>
          </w:tcPr>
          <w:p w14:paraId="3F54FF6B" w14:textId="77777777" w:rsidR="139DF8FE" w:rsidRPr="00C34031" w:rsidRDefault="139DF8FE" w:rsidP="139DF8FE">
            <w:pPr>
              <w:rPr>
                <w:noProof/>
              </w:rPr>
            </w:pPr>
            <w:r w:rsidRPr="00C34031">
              <w:rPr>
                <w:noProof/>
              </w:rPr>
              <w:t>10</w:t>
            </w:r>
          </w:p>
        </w:tc>
      </w:tr>
    </w:tbl>
    <w:p w14:paraId="767F87D3" w14:textId="77777777" w:rsidR="139DF8FE" w:rsidRPr="00C34031" w:rsidRDefault="139DF8FE" w:rsidP="139DF8FE">
      <w:pPr>
        <w:pStyle w:val="Text1"/>
        <w:rPr>
          <w:noProof/>
        </w:rPr>
      </w:pPr>
    </w:p>
    <w:p w14:paraId="158AA104" w14:textId="77777777" w:rsidR="00FA5543" w:rsidRPr="00C34031" w:rsidRDefault="00FA5543" w:rsidP="00390489">
      <w:pPr>
        <w:pStyle w:val="ManualHeading3"/>
        <w:rPr>
          <w:bCs/>
          <w:noProof/>
          <w:szCs w:val="24"/>
        </w:rPr>
      </w:pPr>
      <w:r w:rsidRPr="00C34031">
        <w:rPr>
          <w:noProof/>
        </w:rPr>
        <w:t>1.5.2.</w:t>
      </w:r>
      <w:r w:rsidRPr="00C34031">
        <w:rPr>
          <w:noProof/>
        </w:rPr>
        <w:tab/>
        <w:t>Přidaná hodnota ze zapojení EU (může být důsledkem různých faktorů, např. přínosů z koordinace, právní jistoty, vyšší účinnosti nebo doplňkovosti). Pro účely tohoto oddílu se „přidanou hodnotou ze zapojení EU“ rozumí hodnota plynoucí z akce Unie, jež doplňuje hodnotu, která by jinak vznikla činností samotných členských států.</w:t>
      </w:r>
    </w:p>
    <w:p w14:paraId="024FD792" w14:textId="77777777" w:rsidR="00FA5543" w:rsidRPr="00C34031" w:rsidRDefault="6C3AF1E0" w:rsidP="139DF8FE">
      <w:pPr>
        <w:pStyle w:val="Text1"/>
        <w:pBdr>
          <w:top w:val="single" w:sz="8" w:space="1" w:color="000000"/>
          <w:left w:val="single" w:sz="8" w:space="4" w:color="000000"/>
          <w:bottom w:val="single" w:sz="8" w:space="1" w:color="000000"/>
          <w:right w:val="single" w:sz="8" w:space="4" w:color="000000"/>
        </w:pBdr>
        <w:rPr>
          <w:noProof/>
        </w:rPr>
      </w:pPr>
      <w:r w:rsidRPr="00C34031">
        <w:rPr>
          <w:noProof/>
        </w:rPr>
        <w:t>Důvody pro akci na úrovni Unie (</w:t>
      </w:r>
      <w:r w:rsidRPr="00C34031">
        <w:rPr>
          <w:i/>
          <w:iCs/>
          <w:noProof/>
        </w:rPr>
        <w:t>ex ante</w:t>
      </w:r>
      <w:r w:rsidRPr="00C34031">
        <w:rPr>
          <w:noProof/>
        </w:rPr>
        <w:t xml:space="preserve">) Snižování emisí skleníkových plynů je v zásadě přeshraničním problémem, který vyžaduje účinnou akci v nejširším možném rozsahu. EU má jakožto nadnárodní organizace dobré předpoklady k tomu, aby v EU zavedla účinnou politiku v oblasti klimatu, jako tomu bylo v případě systému EU pro obchodování s emisemi. </w:t>
      </w:r>
    </w:p>
    <w:p w14:paraId="4C0DA998" w14:textId="77777777" w:rsidR="00FA5543" w:rsidRPr="00C34031" w:rsidRDefault="1444E3D8" w:rsidP="139DF8FE">
      <w:pPr>
        <w:pStyle w:val="Text1"/>
        <w:pBdr>
          <w:top w:val="single" w:sz="8" w:space="1" w:color="000000"/>
          <w:left w:val="single" w:sz="8" w:space="4" w:color="000000"/>
          <w:bottom w:val="single" w:sz="8" w:space="1" w:color="000000"/>
          <w:right w:val="single" w:sz="8" w:space="4" w:color="000000"/>
        </w:pBdr>
        <w:rPr>
          <w:noProof/>
        </w:rPr>
      </w:pPr>
      <w:r w:rsidRPr="00C34031">
        <w:rPr>
          <w:noProof/>
        </w:rPr>
        <w:t>Na úrovni EU byla cena uhlíku již harmonizována. Tvoří ji cena vyplývající ze systému EU pro obchodování s emisemi pro odvětví, na něž se tento systém vztahuje. Jediným smysluplným způsobem, jak zajistit, aby se na dovozy uplatňovala stejná cenová politika ohledně uhlíku, jaká se uplatňuje na vnitřním trhu EU, je přijmout opatření na úrovni Unie.</w:t>
      </w:r>
    </w:p>
    <w:p w14:paraId="433016D8" w14:textId="77777777" w:rsidR="00FA5543" w:rsidRPr="00C34031" w:rsidRDefault="1444E3D8" w:rsidP="139DF8FE">
      <w:pPr>
        <w:pStyle w:val="Text1"/>
        <w:pBdr>
          <w:top w:val="single" w:sz="8" w:space="1" w:color="000000"/>
          <w:left w:val="single" w:sz="8" w:space="4" w:color="000000"/>
          <w:bottom w:val="single" w:sz="8" w:space="1" w:color="000000"/>
          <w:right w:val="single" w:sz="8" w:space="4" w:color="000000"/>
        </w:pBdr>
        <w:rPr>
          <w:rFonts w:eastAsia="Times New Roman"/>
          <w:noProof/>
          <w:color w:val="0000FF"/>
          <w:szCs w:val="24"/>
        </w:rPr>
      </w:pPr>
      <w:r w:rsidRPr="00C34031">
        <w:rPr>
          <w:noProof/>
        </w:rPr>
        <w:t>Jakákoli iniciativa musí být provedena tak, aby poskytovala dovozcům bez ohledu na zemi původu a přístav vstupu nebo místo určení v rámci EU jednotné podmínky a pobídky pro snižování emisí skleníkových plynů, které odpovídají těm, které platí pro domácí výrobce. Toho lze účinně dosáhnout jedině přijetím opatření na úrovni EU.</w:t>
      </w:r>
    </w:p>
    <w:p w14:paraId="26E93928" w14:textId="77777777" w:rsidR="00FA5543" w:rsidRPr="00C34031" w:rsidRDefault="1444E3D8"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Navrhované zjednodušení zavedené pozměňujícím nařízením lze nejlépe provést na úrovni EU, aby byla zajištěna právní jistota a soudržnost. Tím se zajistí rovné podmínky pro společnosti a orgány v celé Unii, které budou mít prospěch z racionalizace požadavků na podávání zpráv vyplývajících z tohoto návrhu.</w:t>
      </w:r>
    </w:p>
    <w:p w14:paraId="5C428175" w14:textId="77777777" w:rsidR="00FA5543" w:rsidRPr="00C34031" w:rsidRDefault="6C3AF1E0"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b/>
          <w:noProof/>
        </w:rPr>
        <w:t>Očekávaná vytvořená přidaná hodnota EU (</w:t>
      </w:r>
      <w:r w:rsidRPr="00C34031">
        <w:rPr>
          <w:b/>
          <w:i/>
          <w:iCs/>
          <w:noProof/>
        </w:rPr>
        <w:t>ex post</w:t>
      </w:r>
      <w:r w:rsidRPr="00C34031">
        <w:rPr>
          <w:b/>
          <w:noProof/>
        </w:rPr>
        <w:t xml:space="preserve">) </w:t>
      </w:r>
      <w:r w:rsidRPr="00C34031">
        <w:rPr>
          <w:noProof/>
        </w:rPr>
        <w:t xml:space="preserve">Souběžně se systémem EU pro obchodování s emisemi lze snížení emisí skleníkových plynů a ochrany před rizikem úniku uhlíku na jednotném trhu EU nejvhodněji dosáhnout na úrovni EU. Potřeby udržet administrativní náklady na co možná nejnižší úrovni lze navíc nejlépe dosáhnout stanovením konzistentních pravidel pro celý jednotný trh, což dále podtrhuje přidanou hodnotu zásahu na úrovni EU. </w:t>
      </w:r>
    </w:p>
    <w:p w14:paraId="7E6D3BBE" w14:textId="77777777" w:rsidR="00FA5543" w:rsidRPr="00C34031" w:rsidRDefault="459A401A"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Veřejná konzultace potvrdila přidanou hodnotu přijetí opatření vztahujících se k mechanismu uhlíkového vyrovnání na hranicích na úrovni EU. Zúčastněné strany se shodují zejména na tom, že mechanismus uhlíkového vyrovnání na hranicích je v EU potřebný vzhledem ke stávajícím rozdílům mezi cíli stanovenými EU a zbytkem světa a v zájmu podpory celosvětového úsilí o ochranu klimatu. V případě zavedení mechanismu uhlíkového vyrovnání na hranicích bude navíc s ohledem na postavení EU v mezinárodním obchodě dopad této skutečnosti na mezinárodní cíle v oblasti klimatu z hlediska životního prostředí nejúčinnější jakožto možný příklad hodný následování.</w:t>
      </w:r>
    </w:p>
    <w:p w14:paraId="3F99EAD9" w14:textId="77777777" w:rsidR="00FA5543" w:rsidRPr="00C34031" w:rsidRDefault="459A401A"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Splnění cíle spočívajícího ve snížení emisí a dosažení klimatické neutrality tedy vzhledem k neexistenci stejně ambiciózních politických opatření na celosvětové úrovni vyžaduje opatření ze strany Evropské unie.</w:t>
      </w:r>
    </w:p>
    <w:p w14:paraId="0ED3665E" w14:textId="77777777" w:rsidR="00FA5543" w:rsidRPr="00C34031" w:rsidRDefault="00FA5543" w:rsidP="00390489">
      <w:pPr>
        <w:pStyle w:val="ManualHeading3"/>
        <w:rPr>
          <w:noProof/>
        </w:rPr>
      </w:pPr>
      <w:r w:rsidRPr="00C34031">
        <w:rPr>
          <w:noProof/>
        </w:rPr>
        <w:t>1.5.3.</w:t>
      </w:r>
      <w:r w:rsidRPr="00C34031">
        <w:rPr>
          <w:noProof/>
        </w:rPr>
        <w:tab/>
        <w:t>Závěry vyvozené z podobných zkušeností v minulosti</w:t>
      </w:r>
    </w:p>
    <w:p w14:paraId="5F0AEE53" w14:textId="77777777" w:rsidR="00580B5C" w:rsidRPr="00C34031" w:rsidRDefault="2E2B6830" w:rsidP="139DF8FE">
      <w:pPr>
        <w:pStyle w:val="Text1"/>
        <w:pBdr>
          <w:top w:val="single" w:sz="8" w:space="1" w:color="000000"/>
          <w:left w:val="single" w:sz="8" w:space="4" w:color="000000"/>
          <w:bottom w:val="single" w:sz="8" w:space="1" w:color="000000"/>
          <w:right w:val="single" w:sz="8" w:space="4" w:color="000000"/>
        </w:pBdr>
        <w:rPr>
          <w:noProof/>
        </w:rPr>
      </w:pPr>
      <w:r w:rsidRPr="00C34031">
        <w:rPr>
          <w:noProof/>
        </w:rPr>
        <w:t>Mechanismus uhlíkového vyrovnání na hranicích je novým mechanismem. Varianta, které je upřednostňována v posouzení dopadů, vychází ze systému EU pro obchodování s emisemi a má za cíl kopírovat některé jeho prvky.</w:t>
      </w:r>
    </w:p>
    <w:p w14:paraId="4165DF9D" w14:textId="77777777" w:rsidR="00580B5C" w:rsidRPr="00C34031" w:rsidRDefault="2E2B6830" w:rsidP="139DF8FE">
      <w:pPr>
        <w:pStyle w:val="Text1"/>
        <w:pBdr>
          <w:top w:val="single" w:sz="8" w:space="1" w:color="000000"/>
          <w:left w:val="single" w:sz="8" w:space="4" w:color="000000"/>
          <w:bottom w:val="single" w:sz="8" w:space="1" w:color="000000"/>
          <w:right w:val="single" w:sz="8" w:space="4" w:color="000000"/>
        </w:pBdr>
        <w:rPr>
          <w:rFonts w:eastAsia="Times New Roman"/>
          <w:noProof/>
          <w:color w:val="0000FF"/>
          <w:szCs w:val="24"/>
        </w:rPr>
      </w:pPr>
      <w:r w:rsidRPr="00C34031">
        <w:rPr>
          <w:noProof/>
        </w:rPr>
        <w:t>Pokud nebudou k dispozici dostatečné zdroje pro správné prosazování CBAM, existuje vážné riziko, že se podniky budou CBAM vyhýbat.</w:t>
      </w:r>
    </w:p>
    <w:p w14:paraId="7C404E5E" w14:textId="77777777" w:rsidR="00580B5C" w:rsidRPr="00C34031" w:rsidRDefault="2E2B6830"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Pozměňující návrh vychází ze zkušeností získaných při provádění CBAM od 1. října 2023, kdy se tento mechanismus začal uplatňovat v přechodné fázi.</w:t>
      </w:r>
    </w:p>
    <w:p w14:paraId="4A0B5F2A" w14:textId="77777777" w:rsidR="00FA5543" w:rsidRPr="00C34031" w:rsidRDefault="00FA5543" w:rsidP="00390489">
      <w:pPr>
        <w:pStyle w:val="ManualHeading3"/>
        <w:rPr>
          <w:noProof/>
        </w:rPr>
      </w:pPr>
      <w:r w:rsidRPr="00C34031">
        <w:rPr>
          <w:noProof/>
        </w:rPr>
        <w:t>1.5.4.</w:t>
      </w:r>
      <w:r w:rsidRPr="00C34031">
        <w:rPr>
          <w:noProof/>
        </w:rPr>
        <w:tab/>
        <w:t>Slučitelnost s víceletým finančním rámcem a možné synergie s dalšími vhodnými nástroji</w:t>
      </w:r>
    </w:p>
    <w:p w14:paraId="314EA134" w14:textId="77777777" w:rsidR="0061374C" w:rsidRPr="00C34031" w:rsidRDefault="20003530"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V interinstitucionální dohodě ze dne 16. prosince 2020 podepsané v rámci jednání se Evropský parlament, Rada a Komise dohodly, že „orgány [budou] usilovat o zavedení dostatečných nových vlastních zdrojů s cílem pokrýt částku, která odpovídá očekávaným výdajům spojeným se splácením“ nástroje NextGenerationEU. V rámci uděleného pověření byla Komise vyzvána, aby v prvním pololetí roku 2021 předložila návrh CBAM.</w:t>
      </w:r>
    </w:p>
    <w:p w14:paraId="308B24A7" w14:textId="77777777" w:rsidR="0061374C" w:rsidRPr="00C34031" w:rsidRDefault="20003530" w:rsidP="139DF8FE">
      <w:pPr>
        <w:pStyle w:val="Text1"/>
        <w:pBdr>
          <w:top w:val="single" w:sz="8" w:space="1" w:color="000000"/>
          <w:left w:val="single" w:sz="8" w:space="4" w:color="000000"/>
          <w:bottom w:val="single" w:sz="8" w:space="1" w:color="000000"/>
          <w:right w:val="single" w:sz="8" w:space="4" w:color="000000"/>
        </w:pBdr>
        <w:rPr>
          <w:rFonts w:eastAsia="Times New Roman"/>
          <w:noProof/>
          <w:color w:val="0000FF"/>
          <w:szCs w:val="24"/>
        </w:rPr>
      </w:pPr>
      <w:r w:rsidRPr="00C34031">
        <w:rPr>
          <w:noProof/>
        </w:rPr>
        <w:t>Konečná dohoda spolunormotvůrců předpokládá, že za provádění a prosazování CBAM bude z větší části odpovídat Komise. Proto je třeba v rámci stávajícího víceletého finančního rámce poskytnout odpovídající finanční prostředky, aby bylo zajištěna správná realizace návrhu.</w:t>
      </w:r>
    </w:p>
    <w:p w14:paraId="6509EF8F" w14:textId="77777777" w:rsidR="0061374C" w:rsidRPr="00C34031" w:rsidRDefault="20003530"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Pozměňovací návrh je v souladu s cílem programu zlepšování právní úpravy, neboť posílí schopnost Komise vykonávat obecný dohled nad CBAM a zároveň sníží administrativní náklady (zejména pro malé dovozce, ale i pro orgány členských států), které by jinak vznikly při shromažďování informací jinými prostředky.</w:t>
      </w:r>
    </w:p>
    <w:p w14:paraId="4938396F" w14:textId="77777777" w:rsidR="00FA5543" w:rsidRPr="00C34031" w:rsidRDefault="00FA5543" w:rsidP="00390489">
      <w:pPr>
        <w:pStyle w:val="ManualHeading3"/>
        <w:rPr>
          <w:noProof/>
        </w:rPr>
      </w:pPr>
      <w:r w:rsidRPr="00C34031">
        <w:rPr>
          <w:noProof/>
        </w:rPr>
        <w:t>1.5.5.</w:t>
      </w:r>
      <w:r w:rsidRPr="00C34031">
        <w:rPr>
          <w:noProof/>
        </w:rPr>
        <w:tab/>
        <w:t>Posouzení různých dostupných možností financování, včetně prostoru pro přerozdělení prostředků</w:t>
      </w:r>
    </w:p>
    <w:p w14:paraId="0D00342A" w14:textId="77777777" w:rsidR="00FA5543" w:rsidRPr="00C34031" w:rsidRDefault="0F6DF140"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Náklady na provádění mechanismu uhlíkového vyrovnání na hranicích budou financovány z rozpočtu EU.</w:t>
      </w:r>
    </w:p>
    <w:p w14:paraId="5BDDE4C1" w14:textId="77777777" w:rsidR="00FA5543" w:rsidRPr="00C34031" w:rsidRDefault="00FA5543" w:rsidP="00390489">
      <w:pPr>
        <w:pStyle w:val="ManualHeading2"/>
        <w:rPr>
          <w:bCs/>
          <w:noProof/>
          <w:szCs w:val="24"/>
        </w:rPr>
      </w:pPr>
      <w:r w:rsidRPr="00C34031">
        <w:rPr>
          <w:noProof/>
        </w:rPr>
        <w:br w:type="page"/>
        <w:t>1.6.</w:t>
      </w:r>
      <w:r w:rsidRPr="00C34031">
        <w:rPr>
          <w:noProof/>
        </w:rPr>
        <w:tab/>
        <w:t>Doba trvání návrhu/podnětu a jeho finančního dopadu</w:t>
      </w:r>
    </w:p>
    <w:p w14:paraId="6A9DB47A" w14:textId="77777777" w:rsidR="00FA5543" w:rsidRPr="00C34031" w:rsidRDefault="00FA5543" w:rsidP="00390489">
      <w:pPr>
        <w:pStyle w:val="Text1"/>
        <w:rPr>
          <w:noProof/>
        </w:rPr>
      </w:pPr>
      <w:r w:rsidRPr="00C34031">
        <w:rPr>
          <w:rFonts w:ascii="Wingdings" w:hAnsi="Wingdings"/>
          <w:noProof/>
        </w:rPr>
        <w:t></w:t>
      </w:r>
      <w:r w:rsidRPr="00C34031">
        <w:rPr>
          <w:b/>
          <w:i/>
          <w:noProof/>
        </w:rPr>
        <w:t xml:space="preserve"> </w:t>
      </w:r>
      <w:r w:rsidRPr="00C34031">
        <w:rPr>
          <w:b/>
          <w:noProof/>
        </w:rPr>
        <w:t xml:space="preserve">Časově omezená doba trvání </w:t>
      </w:r>
    </w:p>
    <w:p w14:paraId="3F218988" w14:textId="77777777" w:rsidR="00FA5543" w:rsidRPr="00C34031" w:rsidRDefault="6C3AF1E0" w:rsidP="00390489">
      <w:pPr>
        <w:pStyle w:val="ListDash2"/>
        <w:rPr>
          <w:noProof/>
        </w:rPr>
      </w:pPr>
      <w:r w:rsidRPr="00C34031">
        <w:rPr>
          <w:rFonts w:ascii="Wingdings" w:hAnsi="Wingdings"/>
          <w:noProof/>
        </w:rPr>
        <w:t></w:t>
      </w:r>
      <w:r w:rsidRPr="00C34031">
        <w:rPr>
          <w:noProof/>
        </w:rPr>
        <w:tab/>
        <w:t xml:space="preserve">s platností od [DD.MM.]RRRR do [DD.MM.]RRRR, </w:t>
      </w:r>
    </w:p>
    <w:p w14:paraId="04A5FEC0" w14:textId="77777777" w:rsidR="00FA5543" w:rsidRPr="00C34031" w:rsidRDefault="6C3AF1E0" w:rsidP="00390489">
      <w:pPr>
        <w:pStyle w:val="ListDash2"/>
        <w:rPr>
          <w:noProof/>
        </w:rPr>
      </w:pPr>
      <w:r w:rsidRPr="00C34031">
        <w:rPr>
          <w:rFonts w:ascii="Wingdings" w:hAnsi="Wingdings"/>
          <w:noProof/>
        </w:rPr>
        <w:t></w:t>
      </w:r>
      <w:r w:rsidRPr="00C34031">
        <w:rPr>
          <w:noProof/>
        </w:rPr>
        <w:tab/>
        <w:t xml:space="preserve">finanční dopad od RRRR do RRRR u prostředků na závazky a od RRRR do RRRR u prostředků na platby. </w:t>
      </w:r>
    </w:p>
    <w:p w14:paraId="6F2AC524" w14:textId="77777777" w:rsidR="00FA5543" w:rsidRPr="00C34031" w:rsidRDefault="000C5DCA" w:rsidP="00390489">
      <w:pPr>
        <w:pStyle w:val="Text1"/>
        <w:rPr>
          <w:noProof/>
        </w:rPr>
      </w:pPr>
      <w:r w:rsidRPr="00C34031">
        <w:rPr>
          <w:rFonts w:ascii="Wingdings" w:hAnsi="Wingdings"/>
          <w:noProof/>
        </w:rPr>
        <w:t></w:t>
      </w:r>
      <w:r w:rsidRPr="00C34031">
        <w:rPr>
          <w:b/>
          <w:i/>
          <w:noProof/>
        </w:rPr>
        <w:t xml:space="preserve"> </w:t>
      </w:r>
      <w:r w:rsidRPr="00C34031">
        <w:rPr>
          <w:b/>
          <w:noProof/>
        </w:rPr>
        <w:t>Časově neomezená doba trvání</w:t>
      </w:r>
    </w:p>
    <w:p w14:paraId="56D9FB86" w14:textId="77777777" w:rsidR="00FA5543" w:rsidRPr="00C34031" w:rsidRDefault="00FA5543" w:rsidP="00390489">
      <w:pPr>
        <w:pStyle w:val="ListDash1"/>
        <w:rPr>
          <w:noProof/>
        </w:rPr>
      </w:pPr>
      <w:r w:rsidRPr="00C34031">
        <w:rPr>
          <w:noProof/>
        </w:rPr>
        <w:t>Provádění s obdobím rozběhu od RRRR do RRRR,</w:t>
      </w:r>
    </w:p>
    <w:p w14:paraId="039330DB" w14:textId="77777777" w:rsidR="00FA5543" w:rsidRPr="00C34031" w:rsidRDefault="00FA5543" w:rsidP="00390489">
      <w:pPr>
        <w:pStyle w:val="ListDash1"/>
        <w:rPr>
          <w:noProof/>
        </w:rPr>
      </w:pPr>
      <w:r w:rsidRPr="00C34031">
        <w:rPr>
          <w:noProof/>
        </w:rPr>
        <w:t>poté plné fungování.</w:t>
      </w:r>
    </w:p>
    <w:p w14:paraId="40C5E79F" w14:textId="77777777" w:rsidR="00FA5543" w:rsidRPr="00C34031" w:rsidRDefault="00FA5543" w:rsidP="00390489">
      <w:pPr>
        <w:pStyle w:val="ManualHeading2"/>
        <w:rPr>
          <w:bCs/>
          <w:noProof/>
          <w:szCs w:val="24"/>
        </w:rPr>
      </w:pPr>
      <w:r w:rsidRPr="00C34031">
        <w:rPr>
          <w:noProof/>
        </w:rPr>
        <w:t>1.7.</w:t>
      </w:r>
      <w:r w:rsidRPr="00C34031">
        <w:rPr>
          <w:noProof/>
        </w:rPr>
        <w:tab/>
        <w:t>Předpokládaný způsob plnění rozpočtu</w:t>
      </w:r>
      <w:r w:rsidRPr="00C34031">
        <w:rPr>
          <w:rStyle w:val="FootnoteReference"/>
          <w:noProof/>
        </w:rPr>
        <w:footnoteReference w:id="20"/>
      </w:r>
      <w:r w:rsidRPr="00C34031">
        <w:rPr>
          <w:rStyle w:val="FootnoteReference"/>
          <w:noProof/>
        </w:rPr>
        <w:t xml:space="preserve">  </w:t>
      </w:r>
    </w:p>
    <w:p w14:paraId="0353A318" w14:textId="77777777" w:rsidR="00FA5543" w:rsidRPr="00C34031" w:rsidRDefault="590065AC" w:rsidP="00390489">
      <w:pPr>
        <w:pStyle w:val="Text1"/>
        <w:rPr>
          <w:noProof/>
        </w:rPr>
      </w:pPr>
      <w:r w:rsidRPr="00C34031">
        <w:rPr>
          <w:rFonts w:ascii="Wingdings" w:hAnsi="Wingdings"/>
          <w:noProof/>
        </w:rPr>
        <w:t></w:t>
      </w:r>
      <w:r w:rsidRPr="00C34031">
        <w:rPr>
          <w:noProof/>
        </w:rPr>
        <w:t xml:space="preserve"> </w:t>
      </w:r>
      <w:r w:rsidRPr="00C34031">
        <w:rPr>
          <w:b/>
          <w:noProof/>
        </w:rPr>
        <w:t>Přímé řízení</w:t>
      </w:r>
      <w:r w:rsidRPr="00C34031">
        <w:rPr>
          <w:noProof/>
        </w:rPr>
        <w:t xml:space="preserve"> Komisí</w:t>
      </w:r>
    </w:p>
    <w:p w14:paraId="3AA48B83" w14:textId="77777777" w:rsidR="00FA5543" w:rsidRPr="00C34031" w:rsidRDefault="2FB5F5CD" w:rsidP="00390489">
      <w:pPr>
        <w:pStyle w:val="ListDash2"/>
        <w:rPr>
          <w:rFonts w:cs="EUAlbertina"/>
          <w:noProof/>
        </w:rPr>
      </w:pPr>
      <w:r w:rsidRPr="00C34031">
        <w:rPr>
          <w:rFonts w:ascii="Wingdings" w:hAnsi="Wingdings"/>
          <w:noProof/>
        </w:rPr>
        <w:t></w:t>
      </w:r>
      <w:r w:rsidRPr="00C34031">
        <w:rPr>
          <w:noProof/>
        </w:rPr>
        <w:t xml:space="preserve"> prostřednictvím jejích útvarů, včetně jejích zaměstnanců v delegacích Unie, </w:t>
      </w:r>
    </w:p>
    <w:p w14:paraId="5588F87B" w14:textId="77777777" w:rsidR="00FA5543" w:rsidRPr="00C34031" w:rsidRDefault="6C3AF1E0" w:rsidP="00390489">
      <w:pPr>
        <w:pStyle w:val="ListDash2"/>
        <w:rPr>
          <w:noProof/>
        </w:rPr>
      </w:pPr>
      <w:r w:rsidRPr="00C34031">
        <w:rPr>
          <w:rFonts w:ascii="Wingdings" w:hAnsi="Wingdings"/>
          <w:noProof/>
        </w:rPr>
        <w:t></w:t>
      </w:r>
      <w:r w:rsidRPr="00C34031">
        <w:rPr>
          <w:noProof/>
        </w:rPr>
        <w:tab/>
        <w:t xml:space="preserve">prostřednictvím výkonných agentur. </w:t>
      </w:r>
    </w:p>
    <w:p w14:paraId="02B17A01" w14:textId="77777777" w:rsidR="00FA5543" w:rsidRPr="00C34031" w:rsidRDefault="00FA5543" w:rsidP="00390489">
      <w:pPr>
        <w:pStyle w:val="Text1"/>
        <w:rPr>
          <w:noProof/>
        </w:rPr>
      </w:pPr>
      <w:r w:rsidRPr="00C34031">
        <w:rPr>
          <w:rFonts w:ascii="Wingdings" w:hAnsi="Wingdings"/>
          <w:noProof/>
        </w:rPr>
        <w:t></w:t>
      </w:r>
      <w:r w:rsidRPr="00C34031">
        <w:rPr>
          <w:b/>
          <w:i/>
          <w:noProof/>
        </w:rPr>
        <w:t xml:space="preserve"> </w:t>
      </w:r>
      <w:r w:rsidRPr="00C34031">
        <w:rPr>
          <w:b/>
          <w:noProof/>
        </w:rPr>
        <w:t>Sdílené řízení</w:t>
      </w:r>
      <w:r w:rsidRPr="00C34031">
        <w:rPr>
          <w:noProof/>
        </w:rPr>
        <w:t xml:space="preserve"> s členskými státy </w:t>
      </w:r>
    </w:p>
    <w:p w14:paraId="6DA21A61" w14:textId="77777777" w:rsidR="00FA5543" w:rsidRPr="00C34031" w:rsidRDefault="00FA5543" w:rsidP="00390489">
      <w:pPr>
        <w:pStyle w:val="Text1"/>
        <w:rPr>
          <w:noProof/>
        </w:rPr>
      </w:pPr>
      <w:r w:rsidRPr="00C34031">
        <w:rPr>
          <w:rFonts w:ascii="Wingdings" w:hAnsi="Wingdings"/>
          <w:noProof/>
        </w:rPr>
        <w:t></w:t>
      </w:r>
      <w:r w:rsidRPr="00C34031">
        <w:rPr>
          <w:i/>
          <w:noProof/>
        </w:rPr>
        <w:t xml:space="preserve"> </w:t>
      </w:r>
      <w:r w:rsidRPr="00C34031">
        <w:rPr>
          <w:b/>
          <w:noProof/>
        </w:rPr>
        <w:t>Nepřímé řízení</w:t>
      </w:r>
      <w:r w:rsidRPr="00C34031">
        <w:rPr>
          <w:noProof/>
        </w:rPr>
        <w:t>, při kterém jsou úkoly souvisejícími s plněním rozpočtu pověřeny:</w:t>
      </w:r>
    </w:p>
    <w:p w14:paraId="7EDAE6E9" w14:textId="77777777" w:rsidR="00FA5543" w:rsidRPr="00C34031" w:rsidRDefault="6C3AF1E0" w:rsidP="00390489">
      <w:pPr>
        <w:pStyle w:val="ListDash2"/>
        <w:rPr>
          <w:noProof/>
        </w:rPr>
      </w:pPr>
      <w:r w:rsidRPr="00C34031">
        <w:rPr>
          <w:rFonts w:ascii="Wingdings" w:hAnsi="Wingdings"/>
          <w:noProof/>
        </w:rPr>
        <w:t></w:t>
      </w:r>
      <w:r w:rsidRPr="00C34031">
        <w:rPr>
          <w:noProof/>
        </w:rPr>
        <w:t xml:space="preserve"> třetí země nebo subjekty určené těmito zeměmi,</w:t>
      </w:r>
    </w:p>
    <w:p w14:paraId="2ED96A2A" w14:textId="77777777" w:rsidR="00FA5543" w:rsidRPr="00C34031" w:rsidRDefault="6C3AF1E0" w:rsidP="00390489">
      <w:pPr>
        <w:pStyle w:val="ListDash2"/>
        <w:rPr>
          <w:noProof/>
        </w:rPr>
      </w:pPr>
      <w:r w:rsidRPr="00C34031">
        <w:rPr>
          <w:rFonts w:ascii="Wingdings" w:hAnsi="Wingdings"/>
          <w:noProof/>
        </w:rPr>
        <w:t></w:t>
      </w:r>
      <w:r w:rsidRPr="00C34031">
        <w:rPr>
          <w:noProof/>
        </w:rPr>
        <w:t xml:space="preserve"> mezinárodní organizace a jejich agentury (upřesněte),</w:t>
      </w:r>
    </w:p>
    <w:p w14:paraId="65CA87ED" w14:textId="77777777" w:rsidR="00FA5543" w:rsidRPr="00C34031" w:rsidRDefault="6C3AF1E0" w:rsidP="00390489">
      <w:pPr>
        <w:pStyle w:val="ListDash2"/>
        <w:rPr>
          <w:noProof/>
        </w:rPr>
      </w:pPr>
      <w:r w:rsidRPr="00C34031">
        <w:rPr>
          <w:rFonts w:ascii="Wingdings" w:hAnsi="Wingdings"/>
          <w:noProof/>
        </w:rPr>
        <w:t></w:t>
      </w:r>
      <w:r w:rsidRPr="00C34031">
        <w:rPr>
          <w:noProof/>
        </w:rPr>
        <w:t xml:space="preserve"> Evropská investiční banka a Evropský investiční fond,</w:t>
      </w:r>
    </w:p>
    <w:p w14:paraId="25CD718E" w14:textId="77777777" w:rsidR="00FA5543" w:rsidRPr="00C34031" w:rsidRDefault="6C3AF1E0" w:rsidP="00390489">
      <w:pPr>
        <w:pStyle w:val="ListDash2"/>
        <w:rPr>
          <w:noProof/>
        </w:rPr>
      </w:pPr>
      <w:r w:rsidRPr="00C34031">
        <w:rPr>
          <w:rFonts w:ascii="Wingdings" w:hAnsi="Wingdings"/>
          <w:noProof/>
        </w:rPr>
        <w:t></w:t>
      </w:r>
      <w:r w:rsidRPr="00C34031">
        <w:rPr>
          <w:noProof/>
        </w:rPr>
        <w:t xml:space="preserve"> subjekty uvedené v článcích 70 a 71 finančního nařízení,</w:t>
      </w:r>
    </w:p>
    <w:p w14:paraId="558A21FC" w14:textId="77777777" w:rsidR="00FA5543" w:rsidRPr="00C34031" w:rsidRDefault="6C3AF1E0" w:rsidP="00390489">
      <w:pPr>
        <w:pStyle w:val="ListDash2"/>
        <w:rPr>
          <w:noProof/>
        </w:rPr>
      </w:pPr>
      <w:r w:rsidRPr="00C34031">
        <w:rPr>
          <w:rFonts w:ascii="Wingdings" w:hAnsi="Wingdings"/>
          <w:noProof/>
        </w:rPr>
        <w:t></w:t>
      </w:r>
      <w:r w:rsidRPr="00C34031">
        <w:rPr>
          <w:noProof/>
        </w:rPr>
        <w:t xml:space="preserve"> veřejnoprávní subjekty,</w:t>
      </w:r>
    </w:p>
    <w:p w14:paraId="2F46B2BD" w14:textId="77777777" w:rsidR="00FA5543" w:rsidRPr="00C34031" w:rsidRDefault="6C3AF1E0" w:rsidP="00390489">
      <w:pPr>
        <w:pStyle w:val="ListDash2"/>
        <w:rPr>
          <w:noProof/>
        </w:rPr>
      </w:pPr>
      <w:r w:rsidRPr="00C34031">
        <w:rPr>
          <w:rFonts w:ascii="Wingdings" w:hAnsi="Wingdings"/>
          <w:noProof/>
        </w:rPr>
        <w:t></w:t>
      </w:r>
      <w:r w:rsidRPr="00C34031">
        <w:rPr>
          <w:noProof/>
        </w:rPr>
        <w:t xml:space="preserve"> soukromoprávní subjekty pověřené výkonem veřejné služby v rozsahu, v jakém jim byly poskytnuty dostatečné finanční záruky,</w:t>
      </w:r>
    </w:p>
    <w:p w14:paraId="4643CF9B" w14:textId="77777777" w:rsidR="00FA5543" w:rsidRPr="00C34031" w:rsidRDefault="6C3AF1E0" w:rsidP="00390489">
      <w:pPr>
        <w:pStyle w:val="ListDash2"/>
        <w:rPr>
          <w:noProof/>
        </w:rPr>
      </w:pPr>
      <w:r w:rsidRPr="00C34031">
        <w:rPr>
          <w:rFonts w:ascii="Wingdings" w:hAnsi="Wingdings"/>
          <w:noProof/>
        </w:rPr>
        <w:t></w:t>
      </w:r>
      <w:r w:rsidRPr="00C34031">
        <w:rPr>
          <w:noProof/>
        </w:rPr>
        <w:t xml:space="preserve"> soukromoprávní subjekty členského státu pověřené uskutečňováním partnerství veřejného a soukromého sektoru, kterým byly poskytnuty dostatečné finanční záruky,</w:t>
      </w:r>
    </w:p>
    <w:p w14:paraId="32804A12" w14:textId="77777777" w:rsidR="00FA5543" w:rsidRPr="00C34031" w:rsidRDefault="6C3AF1E0" w:rsidP="00390489">
      <w:pPr>
        <w:pStyle w:val="ListDash2"/>
        <w:rPr>
          <w:noProof/>
        </w:rPr>
      </w:pPr>
      <w:r w:rsidRPr="00C34031">
        <w:rPr>
          <w:rFonts w:ascii="Wingdings" w:hAnsi="Wingdings"/>
          <w:noProof/>
        </w:rPr>
        <w:t></w:t>
      </w:r>
      <w:r w:rsidRPr="00C34031">
        <w:rPr>
          <w:noProof/>
        </w:rPr>
        <w:t xml:space="preserve"> subjekty nebo osoby pověřené prováděním specifických akcí v rámci společné zahraniční a bezpečnostní politiky podle hlavy V Smlouvy o Evropské unii a určené v příslušném základním právním aktu,</w:t>
      </w:r>
    </w:p>
    <w:p w14:paraId="7EA6696E" w14:textId="77777777" w:rsidR="00FA5543" w:rsidRPr="00C34031" w:rsidRDefault="6C3AF1E0" w:rsidP="00390489">
      <w:pPr>
        <w:pStyle w:val="ListDash2"/>
        <w:rPr>
          <w:noProof/>
        </w:rPr>
      </w:pPr>
      <w:r w:rsidRPr="00C34031">
        <w:rPr>
          <w:rFonts w:ascii="Wingdings" w:hAnsi="Wingdings"/>
          <w:noProof/>
        </w:rPr>
        <w:t></w:t>
      </w:r>
      <w:r w:rsidRPr="00C34031">
        <w:rPr>
          <w:rFonts w:ascii="Wingdings" w:hAnsi="Wingdings"/>
          <w:noProof/>
        </w:rPr>
        <w:t></w:t>
      </w:r>
      <w:r w:rsidRPr="00C34031">
        <w:rPr>
          <w:noProof/>
        </w:rPr>
        <w:t>subjekty usazené v členském státě, které se řídí soukromým právem členského státu nebo právem Unie a které mohou být v souladu s odvětvovými pravidly pověřeny vynakládáním finančních prostředků Unie nebo využíváním rozpočtových záruk Unie, pokud jsou tyto subjekty ovládány veřejnoprávními subjekty nebo soukromoprávními subjekty pověřenými výkonem veřejné služby a byly jim poskytnuty dostatečné finanční záruky ve formě společné a nerozdílné odpovědnosti kontrolních subjektů nebo rovnocenné finanční záruky, jež mohou být pro každou akci omezeny na maximální výši podpory Unie.</w:t>
      </w:r>
    </w:p>
    <w:p w14:paraId="51279972" w14:textId="77777777" w:rsidR="00FA5543" w:rsidRPr="00C34031" w:rsidRDefault="00FA5543" w:rsidP="00390489">
      <w:pPr>
        <w:rPr>
          <w:noProof/>
        </w:rPr>
      </w:pPr>
      <w:r w:rsidRPr="00C34031">
        <w:rPr>
          <w:noProof/>
        </w:rPr>
        <w:t xml:space="preserve">Poznámky </w:t>
      </w:r>
    </w:p>
    <w:p w14:paraId="7736873F" w14:textId="77777777" w:rsidR="00FA5543" w:rsidRPr="00C34031" w:rsidRDefault="1F9D7B66" w:rsidP="139DF8FE">
      <w:pPr>
        <w:pBdr>
          <w:top w:val="single" w:sz="4" w:space="1" w:color="auto"/>
          <w:left w:val="single" w:sz="4" w:space="4" w:color="auto"/>
          <w:bottom w:val="single" w:sz="4" w:space="1" w:color="auto"/>
          <w:right w:val="single" w:sz="4" w:space="4" w:color="auto"/>
        </w:pBdr>
        <w:rPr>
          <w:noProof/>
        </w:rPr>
      </w:pPr>
      <w:r w:rsidRPr="00C34031">
        <w:rPr>
          <w:noProof/>
        </w:rPr>
        <w:t>Nepoužije se.</w:t>
      </w:r>
    </w:p>
    <w:p w14:paraId="01EF7E1E" w14:textId="77777777" w:rsidR="00FA5543" w:rsidRPr="00C34031" w:rsidRDefault="00FA5543" w:rsidP="00390489">
      <w:pPr>
        <w:rPr>
          <w:noProof/>
        </w:rPr>
        <w:sectPr w:rsidR="00FA5543" w:rsidRPr="00C34031" w:rsidSect="00516924">
          <w:pgSz w:w="11907" w:h="16840" w:code="9"/>
          <w:pgMar w:top="1134" w:right="1418" w:bottom="1134" w:left="1418" w:header="709" w:footer="709" w:gutter="0"/>
          <w:cols w:space="708"/>
          <w:docGrid w:linePitch="360"/>
        </w:sectPr>
      </w:pPr>
    </w:p>
    <w:p w14:paraId="5BC5ECAF" w14:textId="77777777" w:rsidR="00FA5543" w:rsidRPr="00C34031" w:rsidRDefault="00FA5543" w:rsidP="00390489">
      <w:pPr>
        <w:pStyle w:val="ManualHeading1"/>
        <w:rPr>
          <w:bCs/>
          <w:noProof/>
          <w:szCs w:val="24"/>
        </w:rPr>
      </w:pPr>
      <w:r w:rsidRPr="00C34031">
        <w:rPr>
          <w:noProof/>
        </w:rPr>
        <w:t>2.</w:t>
      </w:r>
      <w:r w:rsidRPr="00C34031">
        <w:rPr>
          <w:noProof/>
        </w:rPr>
        <w:tab/>
        <w:t xml:space="preserve">SPRÁVNÍ OPATŘENÍ </w:t>
      </w:r>
    </w:p>
    <w:p w14:paraId="5315E0B9" w14:textId="77777777" w:rsidR="00FA5543" w:rsidRPr="00C34031" w:rsidRDefault="6C3AF1E0" w:rsidP="00390489">
      <w:pPr>
        <w:pStyle w:val="ManualHeading2"/>
        <w:rPr>
          <w:noProof/>
        </w:rPr>
      </w:pPr>
      <w:r w:rsidRPr="00C34031">
        <w:rPr>
          <w:noProof/>
        </w:rPr>
        <w:t>2.1.</w:t>
      </w:r>
      <w:r w:rsidRPr="00C34031">
        <w:rPr>
          <w:noProof/>
        </w:rPr>
        <w:tab/>
        <w:t xml:space="preserve">Pravidla pro sledování a podávání zpráv </w:t>
      </w:r>
    </w:p>
    <w:p w14:paraId="095B0050" w14:textId="77777777" w:rsidR="00FA5543" w:rsidRPr="00C34031" w:rsidRDefault="3F4B96B8"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 xml:space="preserve">Komise zajistí, aby byly zavedeny mechanismy sloužící k monitorování a hodnocení fungování mechanismu uhlíkového vyrovnání na hranicích, a vyhodnotí ho ve vztahu k hlavním politickým cílům. </w:t>
      </w:r>
    </w:p>
    <w:p w14:paraId="0327AE25" w14:textId="77777777" w:rsidR="00FA5543" w:rsidRPr="00C34031" w:rsidRDefault="3F4B96B8" w:rsidP="139DF8FE">
      <w:pPr>
        <w:pBdr>
          <w:top w:val="single" w:sz="8" w:space="1" w:color="000000"/>
          <w:left w:val="single" w:sz="8" w:space="4" w:color="000000"/>
          <w:bottom w:val="single" w:sz="8" w:space="1" w:color="000000"/>
          <w:right w:val="single" w:sz="8" w:space="4" w:color="000000"/>
        </w:pBdr>
        <w:ind w:left="850"/>
        <w:rPr>
          <w:rFonts w:eastAsia="Times New Roman"/>
          <w:noProof/>
          <w:szCs w:val="24"/>
        </w:rPr>
      </w:pPr>
      <w:r w:rsidRPr="00C34031">
        <w:rPr>
          <w:noProof/>
        </w:rPr>
        <w:t>Před koncem přechodného období na konci roku 2025 a poté každé dva roky Komise zveřejní komplexní posouzení fungování CBAM, včetně jeho správy. Ve zprávě za rok 2025 bude rovněž přezkoumána oblast působnosti CBAM s cílem prozkoumat možnost jejího rozšíření tak, aby zahrnovala emise z dalších odvětví systému EU ETS, u nichž hrozí riziko úniku uhlíku, výrobky v dalších částech hodnotového řetězce, jakož i nepřímé emise ve všech odvětvích. Za tímto účelem je nezbytné sledovat dopad mechanismu uhlíkového vyrovnání na hranicích na odvětví, která byla zařazena do užšího výběru.</w:t>
      </w:r>
    </w:p>
    <w:p w14:paraId="245073F2" w14:textId="77777777" w:rsidR="00FA5543" w:rsidRPr="00C34031" w:rsidRDefault="00FA5543" w:rsidP="00390489">
      <w:pPr>
        <w:pStyle w:val="ManualHeading2"/>
        <w:rPr>
          <w:bCs/>
          <w:noProof/>
          <w:szCs w:val="24"/>
        </w:rPr>
      </w:pPr>
      <w:r w:rsidRPr="00C34031">
        <w:rPr>
          <w:noProof/>
        </w:rPr>
        <w:t>2.2.</w:t>
      </w:r>
      <w:r w:rsidRPr="00C34031">
        <w:rPr>
          <w:noProof/>
        </w:rPr>
        <w:tab/>
        <w:t xml:space="preserve">Systémy řízení a kontroly </w:t>
      </w:r>
    </w:p>
    <w:p w14:paraId="3D7CCEBA" w14:textId="77777777" w:rsidR="00FA5543" w:rsidRPr="00C34031" w:rsidRDefault="00FA5543" w:rsidP="00390489">
      <w:pPr>
        <w:pStyle w:val="ManualHeading3"/>
        <w:rPr>
          <w:noProof/>
        </w:rPr>
      </w:pPr>
      <w:r w:rsidRPr="00C34031">
        <w:rPr>
          <w:noProof/>
        </w:rPr>
        <w:t>2.2.1.</w:t>
      </w:r>
      <w:r w:rsidRPr="00C34031">
        <w:rPr>
          <w:noProof/>
        </w:rPr>
        <w:tab/>
        <w:t>Odůvodnění navrhovaných způsobů plnění rozpočtu, mechanismů provádění financování, způsobů plateb a kontrolní strategie</w:t>
      </w:r>
    </w:p>
    <w:p w14:paraId="78138ECF" w14:textId="77777777" w:rsidR="00FA5543" w:rsidRPr="00C34031" w:rsidRDefault="7A6C50F8" w:rsidP="139DF8FE">
      <w:pPr>
        <w:pStyle w:val="Text1"/>
        <w:pBdr>
          <w:top w:val="single" w:sz="8" w:space="1" w:color="000000"/>
          <w:left w:val="single" w:sz="8" w:space="4" w:color="000000"/>
          <w:bottom w:val="single" w:sz="8" w:space="1" w:color="000000"/>
          <w:right w:val="single" w:sz="8" w:space="4" w:color="000000"/>
        </w:pBdr>
        <w:ind w:left="720"/>
        <w:rPr>
          <w:rFonts w:eastAsia="Times New Roman"/>
          <w:noProof/>
          <w:szCs w:val="24"/>
        </w:rPr>
      </w:pPr>
      <w:r w:rsidRPr="00C34031">
        <w:rPr>
          <w:noProof/>
        </w:rPr>
        <w:t>Výrazně centralizované uspořádání umožňuje velmi jednotné a účinné provádění CBAM v celé EU, a to i v členských státech s omezenější správní kapacitou v oblasti klimatu. Většina funkcí spojených s prováděním a prosazováním byla svěřena útvarům Komise. Je také nutný zvýšený počet kontrolních funkcí, aby bylo zajištěno správné provádění a řízení CBAM. Komise rovněž předpokládá zvýšený počet opatření pro předcházení podvodům.</w:t>
      </w:r>
    </w:p>
    <w:p w14:paraId="215A81DA" w14:textId="77777777" w:rsidR="00FA5543" w:rsidRPr="00C34031" w:rsidRDefault="7A6C50F8" w:rsidP="139DF8FE">
      <w:pPr>
        <w:pStyle w:val="Text1"/>
        <w:pBdr>
          <w:top w:val="single" w:sz="8" w:space="1" w:color="000000"/>
          <w:left w:val="single" w:sz="8" w:space="4" w:color="000000"/>
          <w:bottom w:val="single" w:sz="8" w:space="1" w:color="000000"/>
          <w:right w:val="single" w:sz="8" w:space="4" w:color="000000"/>
        </w:pBdr>
        <w:ind w:left="720"/>
        <w:rPr>
          <w:noProof/>
        </w:rPr>
      </w:pPr>
      <w:r w:rsidRPr="00C34031">
        <w:rPr>
          <w:noProof/>
        </w:rPr>
        <w:t>Když tento zjednodušující balíček výrazně sníží administrativní zátěž dovozců, zejména malých a středních podniků, jakož i vnitrostátních orgánů, je to možné díky tomu, že útvary Komise převezmou větší odpovědnost a více úkolů, zejména v oblasti monitorování a prosazování.</w:t>
      </w:r>
    </w:p>
    <w:p w14:paraId="28345C57" w14:textId="77777777" w:rsidR="00FA5543" w:rsidRPr="00C34031" w:rsidRDefault="00FA5543" w:rsidP="00390489">
      <w:pPr>
        <w:pStyle w:val="ManualHeading3"/>
        <w:rPr>
          <w:bCs/>
          <w:noProof/>
          <w:szCs w:val="24"/>
        </w:rPr>
      </w:pPr>
      <w:r w:rsidRPr="00C34031">
        <w:rPr>
          <w:noProof/>
        </w:rPr>
        <w:t>2.2.2.</w:t>
      </w:r>
      <w:r w:rsidRPr="00C34031">
        <w:rPr>
          <w:noProof/>
        </w:rPr>
        <w:tab/>
        <w:t>Informace o zjištěných rizicích a systémech vnitřní kontroly zřízených k jejich zmírnění</w:t>
      </w:r>
    </w:p>
    <w:p w14:paraId="7BC74EC4" w14:textId="77777777" w:rsidR="00FA5543" w:rsidRPr="00C34031" w:rsidRDefault="0203C40B"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CBAM bude založen na deklarativním systému, který s sebou nese riziko, že příslušné prohlášení nebude učiněno nebo bude chybné.</w:t>
      </w:r>
    </w:p>
    <w:p w14:paraId="2825BB40" w14:textId="77777777" w:rsidR="00FA5543" w:rsidRPr="00C34031" w:rsidRDefault="0203C40B" w:rsidP="139DF8FE">
      <w:pPr>
        <w:pBdr>
          <w:top w:val="single" w:sz="8" w:space="1" w:color="000000"/>
          <w:left w:val="single" w:sz="8" w:space="4" w:color="000000"/>
          <w:bottom w:val="single" w:sz="8" w:space="1" w:color="000000"/>
          <w:right w:val="single" w:sz="8" w:space="4" w:color="000000"/>
        </w:pBdr>
        <w:ind w:left="850"/>
        <w:rPr>
          <w:rFonts w:eastAsia="Times New Roman"/>
          <w:noProof/>
          <w:szCs w:val="24"/>
        </w:rPr>
      </w:pPr>
      <w:r w:rsidRPr="00C34031">
        <w:rPr>
          <w:noProof/>
        </w:rPr>
        <w:t>S rizikem, že prohlášení nebude učiněno, se systém vypořádává tak, že před dovozem zboží spadajícího do oblasti působnosti nařízení vyžaduje schválení. Vymáháním tohoto pravidla budou pověřeny vnitrostátní celní orgány, které toto zboží nepropustí do volného oběhu, dokud nebude deklarant schválen v souladu s tímto nařízením.</w:t>
      </w:r>
    </w:p>
    <w:p w14:paraId="4A8D5E71" w14:textId="77777777" w:rsidR="00FA5543" w:rsidRPr="00C34031" w:rsidRDefault="0203C40B" w:rsidP="139DF8FE">
      <w:pPr>
        <w:pBdr>
          <w:top w:val="single" w:sz="8" w:space="1" w:color="000000"/>
          <w:left w:val="single" w:sz="8" w:space="4" w:color="000000"/>
          <w:bottom w:val="single" w:sz="8" w:space="1" w:color="000000"/>
          <w:right w:val="single" w:sz="8" w:space="4" w:color="000000"/>
        </w:pBdr>
        <w:ind w:left="850"/>
        <w:rPr>
          <w:rFonts w:eastAsia="Times New Roman"/>
          <w:noProof/>
          <w:szCs w:val="24"/>
        </w:rPr>
      </w:pPr>
      <w:r w:rsidRPr="00C34031">
        <w:rPr>
          <w:noProof/>
        </w:rPr>
        <w:t>K zohlednění rizika, že prohlášení bude chybné, bude zaveden systém auditu založený na kritériích pro posuzování rizik a namátkové audity spolu se sankcemi stanovenými v dostatečně vysoké výši, aby měly odrazující účinek. Audit bude prováděn jak na úrovni prohlášení CBAM vnitrostátními orgány, tak na úrovni dovozních prohlášení celními orgány.</w:t>
      </w:r>
    </w:p>
    <w:p w14:paraId="2C6CE6E0" w14:textId="77777777" w:rsidR="00FA5543" w:rsidRPr="00C34031" w:rsidRDefault="00FA5543" w:rsidP="00390489">
      <w:pPr>
        <w:pStyle w:val="ManualHeading3"/>
        <w:rPr>
          <w:noProof/>
        </w:rPr>
      </w:pPr>
      <w:r w:rsidRPr="00C34031">
        <w:rPr>
          <w:noProof/>
        </w:rPr>
        <w:t>2.2.3.</w:t>
      </w:r>
      <w:r w:rsidRPr="00C34031">
        <w:rPr>
          <w:noProof/>
        </w:rPr>
        <w:tab/>
        <w:t xml:space="preserve">Odhad a odůvodnění nákladové efektivnosti kontrol (poměr mezi náklady na kontroly a hodnotou souvisejících spravovaných finančních prostředků) a posouzení očekávané míry rizika výskytu chyb (při platbě a při uzávěrce) </w:t>
      </w:r>
    </w:p>
    <w:p w14:paraId="68E1E056" w14:textId="77777777" w:rsidR="00FA5543" w:rsidRPr="00C34031" w:rsidRDefault="64D6CE5D"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 xml:space="preserve">Útvary Komise budou kontrolovat správné uplatňování CBAM, zejména vyřazování certifikátů CBAM a správné uplatňování prahové hodnoty </w:t>
      </w:r>
      <w:r w:rsidRPr="00C34031">
        <w:rPr>
          <w:i/>
          <w:iCs/>
          <w:noProof/>
        </w:rPr>
        <w:t>de minimis</w:t>
      </w:r>
      <w:r w:rsidRPr="00C34031">
        <w:rPr>
          <w:noProof/>
        </w:rPr>
        <w:t xml:space="preserve">. K zajištění nákladové efektivnosti kontrol a řešení rizika obcházení bude uplatňován silný systém řízení rizik. </w:t>
      </w:r>
    </w:p>
    <w:p w14:paraId="3C682F97" w14:textId="77777777" w:rsidR="00FA5543" w:rsidRPr="00C34031" w:rsidRDefault="6C3AF1E0" w:rsidP="00390489">
      <w:pPr>
        <w:pStyle w:val="ManualHeading2"/>
        <w:rPr>
          <w:bCs/>
          <w:noProof/>
          <w:szCs w:val="24"/>
        </w:rPr>
      </w:pPr>
      <w:r w:rsidRPr="00C34031">
        <w:rPr>
          <w:noProof/>
        </w:rPr>
        <w:t>2.3.</w:t>
      </w:r>
      <w:r w:rsidRPr="00C34031">
        <w:rPr>
          <w:noProof/>
        </w:rPr>
        <w:tab/>
        <w:t xml:space="preserve">Opatření k zamezení podvodů a nesrovnalostí </w:t>
      </w:r>
    </w:p>
    <w:p w14:paraId="03F6805C" w14:textId="77777777" w:rsidR="00FA5543" w:rsidRPr="00C34031" w:rsidRDefault="0E8304A1"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 xml:space="preserve">Finanční zájmy Unie by měly být chráněny přiměřenými opatřeními v celém výdajovém cyklu, včetně prevence, odhalování a vyšetřování nesrovnalostí, zpětného získávání ztracených, neoprávněně vyplacených nebo nesprávně použitých finančních prostředků a případných správních a finančních sankcí. </w:t>
      </w:r>
    </w:p>
    <w:p w14:paraId="22A70E5C" w14:textId="77777777" w:rsidR="00FA5543" w:rsidRPr="00C34031" w:rsidRDefault="0E8304A1" w:rsidP="139DF8FE">
      <w:pPr>
        <w:pBdr>
          <w:top w:val="single" w:sz="8" w:space="1" w:color="000000"/>
          <w:left w:val="single" w:sz="8" w:space="4" w:color="000000"/>
          <w:bottom w:val="single" w:sz="8" w:space="1" w:color="000000"/>
          <w:right w:val="single" w:sz="8" w:space="4" w:color="000000"/>
        </w:pBdr>
        <w:ind w:left="850"/>
        <w:rPr>
          <w:noProof/>
        </w:rPr>
      </w:pPr>
      <w:r w:rsidRPr="00C34031">
        <w:rPr>
          <w:noProof/>
        </w:rPr>
        <w:t>Účinná opatření proti podvodům vyžadují aktivní spolupráci, včetně sdílení znalostí a výměny informací, mezi celními orgány a příslušnými orgány na vnitrostátní úrovni i na úrovni EU; může být rovněž nutná spolupráce se třetími zeměmi. Zvláštní pozornost by měla být věnována nespolehlivým hospodářským subjektům (např. krycí společnosti, chybějící obchodníci) a přeshraničnímu obchodu uvnitř EU.</w:t>
      </w:r>
    </w:p>
    <w:p w14:paraId="7DDE9717" w14:textId="77777777" w:rsidR="00FA5543" w:rsidRPr="00C34031" w:rsidRDefault="0E8304A1" w:rsidP="139DF8FE">
      <w:pPr>
        <w:pBdr>
          <w:top w:val="single" w:sz="8" w:space="1" w:color="000000"/>
          <w:left w:val="single" w:sz="8" w:space="4" w:color="000000"/>
          <w:bottom w:val="single" w:sz="8" w:space="1" w:color="000000"/>
          <w:right w:val="single" w:sz="8" w:space="4" w:color="000000"/>
        </w:pBdr>
        <w:ind w:left="850"/>
        <w:rPr>
          <w:noProof/>
        </w:rPr>
      </w:pPr>
      <w:r w:rsidRPr="00C34031">
        <w:rPr>
          <w:noProof/>
        </w:rPr>
        <w:t>Měla by být zavedena rychlá opatření proti podvodům, aby bylo možné reagovat na nová / nově zjištěná rizika podvodů. Odpovědné orgány by měly podávat zprávy a sdílet poznatky o způsobech podvodů.</w:t>
      </w:r>
    </w:p>
    <w:p w14:paraId="5F574BFC" w14:textId="77777777" w:rsidR="00FA5543" w:rsidRPr="00C34031" w:rsidRDefault="0E8304A1" w:rsidP="139DF8FE">
      <w:pPr>
        <w:pBdr>
          <w:top w:val="single" w:sz="8" w:space="1" w:color="000000"/>
          <w:left w:val="single" w:sz="8" w:space="4" w:color="000000"/>
          <w:bottom w:val="single" w:sz="8" w:space="1" w:color="000000"/>
          <w:right w:val="single" w:sz="8" w:space="4" w:color="000000"/>
        </w:pBdr>
        <w:ind w:left="850"/>
        <w:rPr>
          <w:noProof/>
        </w:rPr>
      </w:pPr>
      <w:r w:rsidRPr="00C34031">
        <w:rPr>
          <w:noProof/>
        </w:rPr>
        <w:t>Pokud schválený deklarant pro CBAM nebo dovozce nesplní povinnosti stanovené v nařízení o CBAM, uplatní se sankce. Výše pokuty bude vycházet z pokut udělovaných v rámci systému EU pro obchodování s emisemi.</w:t>
      </w:r>
    </w:p>
    <w:p w14:paraId="330ADB7D" w14:textId="77777777" w:rsidR="00FA5543" w:rsidRPr="00C34031" w:rsidRDefault="0E8304A1" w:rsidP="139DF8FE">
      <w:pPr>
        <w:pBdr>
          <w:top w:val="single" w:sz="8" w:space="1" w:color="000000"/>
          <w:left w:val="single" w:sz="8" w:space="4" w:color="000000"/>
          <w:bottom w:val="single" w:sz="8" w:space="1" w:color="000000"/>
          <w:right w:val="single" w:sz="8" w:space="4" w:color="000000"/>
        </w:pBdr>
        <w:ind w:left="850"/>
        <w:rPr>
          <w:noProof/>
        </w:rPr>
      </w:pPr>
      <w:r w:rsidRPr="00C34031">
        <w:rPr>
          <w:noProof/>
        </w:rPr>
        <w:t>V případě opakovaného porušení předpisů může příslušný vnitrostátní orgán rozhodnout o pozastavení účtu deklaranta.</w:t>
      </w:r>
    </w:p>
    <w:p w14:paraId="42931530" w14:textId="77777777" w:rsidR="00FA5543" w:rsidRPr="00C34031" w:rsidRDefault="0E8304A1" w:rsidP="139DF8FE">
      <w:pPr>
        <w:pBdr>
          <w:top w:val="single" w:sz="8" w:space="1" w:color="000000"/>
          <w:left w:val="single" w:sz="8" w:space="4" w:color="000000"/>
          <w:bottom w:val="single" w:sz="8" w:space="1" w:color="000000"/>
          <w:right w:val="single" w:sz="8" w:space="4" w:color="000000"/>
        </w:pBdr>
        <w:ind w:left="850"/>
        <w:rPr>
          <w:rFonts w:eastAsia="Times New Roman"/>
          <w:noProof/>
          <w:szCs w:val="24"/>
        </w:rPr>
      </w:pPr>
      <w:r w:rsidRPr="00C34031">
        <w:rPr>
          <w:noProof/>
        </w:rPr>
        <w:t>Útvary Komise spolu s příslušnými vnitrostátními orgány a vnitrostátní celními orgány vytvořily síť pro řízení rizik CBAM, která bude pracovat na společné strategii proti obcházení předpisů.</w:t>
      </w:r>
    </w:p>
    <w:p w14:paraId="1FA0B6EB" w14:textId="77777777" w:rsidR="00FA5543" w:rsidRPr="00C34031" w:rsidRDefault="00FA5543" w:rsidP="00390489">
      <w:pPr>
        <w:rPr>
          <w:noProof/>
        </w:rPr>
        <w:sectPr w:rsidR="00FA5543" w:rsidRPr="00C34031" w:rsidSect="00516924">
          <w:pgSz w:w="11907" w:h="16840" w:code="9"/>
          <w:pgMar w:top="1134" w:right="1418" w:bottom="1134" w:left="1418" w:header="709" w:footer="709" w:gutter="0"/>
          <w:cols w:space="708"/>
          <w:docGrid w:linePitch="360"/>
        </w:sectPr>
      </w:pPr>
    </w:p>
    <w:p w14:paraId="73961F19" w14:textId="77777777" w:rsidR="00FA5543" w:rsidRPr="00C34031" w:rsidRDefault="00FA5543" w:rsidP="00390489">
      <w:pPr>
        <w:pStyle w:val="ManualHeading1"/>
        <w:rPr>
          <w:bCs/>
          <w:noProof/>
          <w:szCs w:val="24"/>
        </w:rPr>
      </w:pPr>
      <w:r w:rsidRPr="00C34031">
        <w:rPr>
          <w:noProof/>
        </w:rPr>
        <w:t>3.</w:t>
      </w:r>
      <w:r w:rsidRPr="00C34031">
        <w:rPr>
          <w:noProof/>
        </w:rPr>
        <w:tab/>
        <w:t xml:space="preserve">ODHADOVANÝ FINANČNÍ DOPAD NÁVRHU/PODNĚTU </w:t>
      </w:r>
    </w:p>
    <w:p w14:paraId="6133F818" w14:textId="77777777" w:rsidR="00FA5543" w:rsidRPr="00C34031" w:rsidRDefault="6C3AF1E0" w:rsidP="00390489">
      <w:pPr>
        <w:pStyle w:val="ManualHeading2"/>
        <w:rPr>
          <w:noProof/>
        </w:rPr>
      </w:pPr>
      <w:r w:rsidRPr="00C34031">
        <w:rPr>
          <w:noProof/>
        </w:rPr>
        <w:t>3.1.</w:t>
      </w:r>
      <w:r w:rsidRPr="00C34031">
        <w:rPr>
          <w:noProof/>
        </w:rPr>
        <w:tab/>
        <w:t xml:space="preserve">Okruhy víceletého finančního rámce a dotčené výdajové rozpočtové položky </w:t>
      </w:r>
    </w:p>
    <w:p w14:paraId="21C18DDB" w14:textId="77777777" w:rsidR="00FA5543" w:rsidRPr="00C34031" w:rsidRDefault="00FA5543" w:rsidP="00390489">
      <w:pPr>
        <w:pStyle w:val="ListBullet1"/>
        <w:rPr>
          <w:noProof/>
        </w:rPr>
      </w:pPr>
      <w:bookmarkStart w:id="1" w:name="_Hlk157691648"/>
      <w:bookmarkEnd w:id="1"/>
      <w:r w:rsidRPr="00C34031">
        <w:rPr>
          <w:noProof/>
        </w:rPr>
        <w:t xml:space="preserve">Stávající rozpočtové položky </w:t>
      </w:r>
    </w:p>
    <w:p w14:paraId="196BDBEF" w14:textId="77777777" w:rsidR="00FA5543" w:rsidRPr="00C34031" w:rsidRDefault="00FA5543" w:rsidP="00390489">
      <w:pPr>
        <w:pStyle w:val="Text1"/>
        <w:rPr>
          <w:i/>
          <w:noProof/>
        </w:rPr>
      </w:pPr>
      <w:r w:rsidRPr="00C34031">
        <w:rPr>
          <w:i/>
          <w:noProof/>
          <w:u w:val="single"/>
        </w:rPr>
        <w:t>V pořadí</w:t>
      </w:r>
      <w:r w:rsidRPr="00C34031">
        <w:rPr>
          <w:i/>
          <w:noProof/>
        </w:rPr>
        <w:t xml:space="preserve"> okruhů víceletého finančního rámce a rozpočtových položek.</w:t>
      </w:r>
    </w:p>
    <w:tbl>
      <w:tblPr>
        <w:tblW w:w="10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2"/>
        <w:gridCol w:w="4002"/>
        <w:gridCol w:w="1092"/>
        <w:gridCol w:w="966"/>
        <w:gridCol w:w="1092"/>
        <w:gridCol w:w="966"/>
        <w:gridCol w:w="1463"/>
      </w:tblGrid>
      <w:tr w:rsidR="00FA5543" w:rsidRPr="00C34031" w14:paraId="5029C701" w14:textId="77777777" w:rsidTr="139DF8FE">
        <w:trPr>
          <w:jc w:val="center"/>
        </w:trPr>
        <w:tc>
          <w:tcPr>
            <w:tcW w:w="1092" w:type="dxa"/>
            <w:vMerge w:val="restart"/>
            <w:vAlign w:val="center"/>
          </w:tcPr>
          <w:p w14:paraId="59E11D57" w14:textId="77777777" w:rsidR="00FA5543" w:rsidRPr="00C34031" w:rsidRDefault="00FA5543" w:rsidP="00390489">
            <w:pPr>
              <w:spacing w:before="60" w:after="60"/>
              <w:jc w:val="center"/>
              <w:rPr>
                <w:noProof/>
              </w:rPr>
            </w:pPr>
            <w:r w:rsidRPr="00C34031">
              <w:rPr>
                <w:noProof/>
                <w:sz w:val="18"/>
              </w:rPr>
              <w:t>Okruh víceletého finančního rámce</w:t>
            </w:r>
          </w:p>
        </w:tc>
        <w:tc>
          <w:tcPr>
            <w:tcW w:w="4002" w:type="dxa"/>
            <w:vAlign w:val="center"/>
          </w:tcPr>
          <w:p w14:paraId="2C2F7151" w14:textId="77777777" w:rsidR="00FA5543" w:rsidRPr="00C34031" w:rsidRDefault="00FA5543" w:rsidP="00390489">
            <w:pPr>
              <w:spacing w:before="60" w:after="60"/>
              <w:jc w:val="center"/>
              <w:rPr>
                <w:noProof/>
              </w:rPr>
            </w:pPr>
            <w:r w:rsidRPr="00C34031">
              <w:rPr>
                <w:noProof/>
                <w:sz w:val="20"/>
              </w:rPr>
              <w:t>Rozpočtová položka</w:t>
            </w:r>
          </w:p>
        </w:tc>
        <w:tc>
          <w:tcPr>
            <w:tcW w:w="1092" w:type="dxa"/>
            <w:vAlign w:val="center"/>
          </w:tcPr>
          <w:p w14:paraId="331AFAAE" w14:textId="77777777" w:rsidR="00FA5543" w:rsidRPr="00C34031" w:rsidRDefault="00FA5543" w:rsidP="00390489">
            <w:pPr>
              <w:spacing w:before="60" w:after="60"/>
              <w:jc w:val="center"/>
              <w:rPr>
                <w:noProof/>
              </w:rPr>
            </w:pPr>
            <w:r w:rsidRPr="00C34031">
              <w:rPr>
                <w:noProof/>
                <w:sz w:val="18"/>
              </w:rPr>
              <w:t>Druh výdaje</w:t>
            </w:r>
          </w:p>
        </w:tc>
        <w:tc>
          <w:tcPr>
            <w:tcW w:w="4487" w:type="dxa"/>
            <w:gridSpan w:val="4"/>
            <w:vAlign w:val="center"/>
          </w:tcPr>
          <w:p w14:paraId="2D0FBF47" w14:textId="77777777" w:rsidR="00FA5543" w:rsidRPr="00C34031" w:rsidRDefault="00FA5543" w:rsidP="00390489">
            <w:pPr>
              <w:spacing w:before="60" w:after="60"/>
              <w:jc w:val="center"/>
              <w:rPr>
                <w:noProof/>
              </w:rPr>
            </w:pPr>
            <w:r w:rsidRPr="00C34031">
              <w:rPr>
                <w:noProof/>
                <w:sz w:val="20"/>
              </w:rPr>
              <w:t xml:space="preserve">Příspěvek </w:t>
            </w:r>
          </w:p>
        </w:tc>
      </w:tr>
      <w:tr w:rsidR="00FA5543" w:rsidRPr="00C34031" w14:paraId="271F9EC3" w14:textId="77777777" w:rsidTr="139DF8FE">
        <w:trPr>
          <w:cantSplit/>
          <w:jc w:val="center"/>
        </w:trPr>
        <w:tc>
          <w:tcPr>
            <w:tcW w:w="1092" w:type="dxa"/>
            <w:vMerge/>
            <w:vAlign w:val="center"/>
          </w:tcPr>
          <w:p w14:paraId="6DC464C0" w14:textId="77777777" w:rsidR="00FA5543" w:rsidRPr="00C34031" w:rsidRDefault="00FA5543" w:rsidP="00390489">
            <w:pPr>
              <w:jc w:val="center"/>
              <w:rPr>
                <w:noProof/>
              </w:rPr>
            </w:pPr>
          </w:p>
        </w:tc>
        <w:tc>
          <w:tcPr>
            <w:tcW w:w="4002" w:type="dxa"/>
            <w:vAlign w:val="center"/>
          </w:tcPr>
          <w:p w14:paraId="225A0F77" w14:textId="77777777" w:rsidR="00FA5543" w:rsidRPr="00C34031" w:rsidRDefault="00FA5543" w:rsidP="00390489">
            <w:pPr>
              <w:rPr>
                <w:noProof/>
              </w:rPr>
            </w:pPr>
            <w:r w:rsidRPr="00C34031">
              <w:rPr>
                <w:noProof/>
                <w:sz w:val="20"/>
              </w:rPr>
              <w:t xml:space="preserve">Číslo </w:t>
            </w:r>
            <w:r w:rsidRPr="00C34031">
              <w:rPr>
                <w:noProof/>
                <w:sz w:val="22"/>
              </w:rPr>
              <w:br/>
            </w:r>
          </w:p>
        </w:tc>
        <w:tc>
          <w:tcPr>
            <w:tcW w:w="1092" w:type="dxa"/>
            <w:vAlign w:val="center"/>
          </w:tcPr>
          <w:p w14:paraId="7410097D" w14:textId="77777777" w:rsidR="00FA5543" w:rsidRPr="00C34031" w:rsidRDefault="00FA5543" w:rsidP="00390489">
            <w:pPr>
              <w:jc w:val="center"/>
              <w:rPr>
                <w:noProof/>
              </w:rPr>
            </w:pPr>
            <w:r w:rsidRPr="00C34031">
              <w:rPr>
                <w:noProof/>
                <w:sz w:val="18"/>
              </w:rPr>
              <w:t>RP/NRP</w:t>
            </w:r>
            <w:r w:rsidRPr="00C34031">
              <w:rPr>
                <w:rStyle w:val="FootnoteReference"/>
                <w:noProof/>
                <w:sz w:val="18"/>
                <w:szCs w:val="18"/>
              </w:rPr>
              <w:footnoteReference w:id="21"/>
            </w:r>
          </w:p>
        </w:tc>
        <w:tc>
          <w:tcPr>
            <w:tcW w:w="966" w:type="dxa"/>
            <w:vAlign w:val="center"/>
          </w:tcPr>
          <w:p w14:paraId="264908A2" w14:textId="77777777" w:rsidR="00FA5543" w:rsidRPr="00C34031" w:rsidRDefault="00FA5543" w:rsidP="00390489">
            <w:pPr>
              <w:jc w:val="center"/>
              <w:rPr>
                <w:b/>
                <w:noProof/>
                <w:sz w:val="18"/>
              </w:rPr>
            </w:pPr>
            <w:r w:rsidRPr="00C34031">
              <w:rPr>
                <w:noProof/>
                <w:sz w:val="18"/>
              </w:rPr>
              <w:t>zemí ESVO</w:t>
            </w:r>
            <w:r w:rsidRPr="00C34031">
              <w:rPr>
                <w:rStyle w:val="FootnoteReference"/>
                <w:noProof/>
                <w:sz w:val="18"/>
                <w:szCs w:val="18"/>
              </w:rPr>
              <w:footnoteReference w:id="22"/>
            </w:r>
          </w:p>
        </w:tc>
        <w:tc>
          <w:tcPr>
            <w:tcW w:w="1092" w:type="dxa"/>
            <w:vAlign w:val="center"/>
          </w:tcPr>
          <w:p w14:paraId="5ADCEB05" w14:textId="77777777" w:rsidR="00FA5543" w:rsidRPr="00C34031" w:rsidRDefault="00FA5543" w:rsidP="00390489">
            <w:pPr>
              <w:jc w:val="center"/>
              <w:rPr>
                <w:noProof/>
                <w:sz w:val="18"/>
              </w:rPr>
            </w:pPr>
            <w:r w:rsidRPr="00C34031">
              <w:rPr>
                <w:noProof/>
                <w:sz w:val="18"/>
              </w:rPr>
              <w:t>kandidátských zemí a potenciálních kandidátů</w:t>
            </w:r>
            <w:r w:rsidRPr="00C34031">
              <w:rPr>
                <w:rStyle w:val="FootnoteReference"/>
                <w:noProof/>
                <w:sz w:val="18"/>
                <w:szCs w:val="18"/>
              </w:rPr>
              <w:footnoteReference w:id="23"/>
            </w:r>
          </w:p>
        </w:tc>
        <w:tc>
          <w:tcPr>
            <w:tcW w:w="966" w:type="dxa"/>
            <w:vAlign w:val="center"/>
          </w:tcPr>
          <w:p w14:paraId="6830F32F" w14:textId="77777777" w:rsidR="00FA5543" w:rsidRPr="00C34031" w:rsidRDefault="00FA5543" w:rsidP="00390489">
            <w:pPr>
              <w:jc w:val="center"/>
              <w:rPr>
                <w:noProof/>
                <w:sz w:val="18"/>
              </w:rPr>
            </w:pPr>
            <w:r w:rsidRPr="00C34031">
              <w:rPr>
                <w:noProof/>
                <w:sz w:val="18"/>
              </w:rPr>
              <w:t>jiných třetích zemí</w:t>
            </w:r>
          </w:p>
        </w:tc>
        <w:tc>
          <w:tcPr>
            <w:tcW w:w="1463" w:type="dxa"/>
            <w:vAlign w:val="center"/>
          </w:tcPr>
          <w:p w14:paraId="38EE4025" w14:textId="77777777" w:rsidR="00FA5543" w:rsidRPr="00C34031" w:rsidRDefault="00FA5543" w:rsidP="00390489">
            <w:pPr>
              <w:jc w:val="center"/>
              <w:rPr>
                <w:noProof/>
              </w:rPr>
            </w:pPr>
            <w:r w:rsidRPr="00C34031">
              <w:rPr>
                <w:noProof/>
                <w:sz w:val="18"/>
              </w:rPr>
              <w:t>jiné účelově vázané příjmy</w:t>
            </w:r>
          </w:p>
        </w:tc>
      </w:tr>
      <w:tr w:rsidR="00FA5543" w:rsidRPr="00C34031" w14:paraId="4DBC87D3" w14:textId="77777777" w:rsidTr="139DF8FE">
        <w:trPr>
          <w:jc w:val="center"/>
        </w:trPr>
        <w:tc>
          <w:tcPr>
            <w:tcW w:w="1092" w:type="dxa"/>
            <w:vAlign w:val="center"/>
          </w:tcPr>
          <w:p w14:paraId="031A7815" w14:textId="77777777" w:rsidR="00FA5543" w:rsidRPr="00C34031" w:rsidRDefault="46296C71" w:rsidP="00390489">
            <w:pPr>
              <w:jc w:val="center"/>
              <w:rPr>
                <w:noProof/>
                <w:color w:val="0000FF"/>
              </w:rPr>
            </w:pPr>
            <w:r w:rsidRPr="00C34031">
              <w:rPr>
                <w:noProof/>
                <w:color w:val="0000FF"/>
              </w:rPr>
              <w:t>7</w:t>
            </w:r>
          </w:p>
        </w:tc>
        <w:tc>
          <w:tcPr>
            <w:tcW w:w="4002" w:type="dxa"/>
            <w:vAlign w:val="center"/>
          </w:tcPr>
          <w:p w14:paraId="297D7DEB" w14:textId="77777777" w:rsidR="4D97A6F2" w:rsidRPr="00C34031" w:rsidRDefault="4D97A6F2" w:rsidP="139DF8FE">
            <w:pPr>
              <w:spacing w:before="60"/>
              <w:rPr>
                <w:noProof/>
              </w:rPr>
            </w:pPr>
            <w:r w:rsidRPr="00C34031">
              <w:rPr>
                <w:noProof/>
                <w:sz w:val="22"/>
              </w:rPr>
              <w:t>20 01 02 01</w:t>
            </w:r>
          </w:p>
          <w:p w14:paraId="4E54745E" w14:textId="77777777" w:rsidR="00FA5543" w:rsidRPr="00C34031" w:rsidRDefault="00FA5543" w:rsidP="00390489">
            <w:pPr>
              <w:spacing w:after="60"/>
              <w:rPr>
                <w:noProof/>
              </w:rPr>
            </w:pPr>
          </w:p>
        </w:tc>
        <w:tc>
          <w:tcPr>
            <w:tcW w:w="1092" w:type="dxa"/>
            <w:vAlign w:val="center"/>
          </w:tcPr>
          <w:p w14:paraId="19011C62" w14:textId="77777777" w:rsidR="00FA5543" w:rsidRPr="00C34031" w:rsidRDefault="00FA5543" w:rsidP="00390489">
            <w:pPr>
              <w:jc w:val="center"/>
              <w:rPr>
                <w:noProof/>
                <w:color w:val="0000FF"/>
              </w:rPr>
            </w:pPr>
            <w:r w:rsidRPr="00C34031">
              <w:rPr>
                <w:noProof/>
                <w:sz w:val="22"/>
              </w:rPr>
              <w:t>RP/NRP</w:t>
            </w:r>
          </w:p>
        </w:tc>
        <w:tc>
          <w:tcPr>
            <w:tcW w:w="966" w:type="dxa"/>
            <w:vAlign w:val="center"/>
          </w:tcPr>
          <w:p w14:paraId="5AAA9419" w14:textId="77777777" w:rsidR="00FA5543" w:rsidRPr="00C34031" w:rsidRDefault="00FA5543" w:rsidP="00390489">
            <w:pPr>
              <w:jc w:val="center"/>
              <w:rPr>
                <w:noProof/>
                <w:sz w:val="20"/>
                <w:szCs w:val="20"/>
              </w:rPr>
            </w:pPr>
            <w:r w:rsidRPr="00C34031">
              <w:rPr>
                <w:noProof/>
                <w:sz w:val="20"/>
              </w:rPr>
              <w:t>NE</w:t>
            </w:r>
          </w:p>
        </w:tc>
        <w:tc>
          <w:tcPr>
            <w:tcW w:w="1092" w:type="dxa"/>
            <w:vAlign w:val="center"/>
          </w:tcPr>
          <w:p w14:paraId="5D005B45" w14:textId="77777777" w:rsidR="00FA5543" w:rsidRPr="00C34031" w:rsidRDefault="00FA5543" w:rsidP="00390489">
            <w:pPr>
              <w:jc w:val="center"/>
              <w:rPr>
                <w:noProof/>
                <w:sz w:val="20"/>
                <w:szCs w:val="20"/>
              </w:rPr>
            </w:pPr>
            <w:r w:rsidRPr="00C34031">
              <w:rPr>
                <w:noProof/>
                <w:sz w:val="20"/>
              </w:rPr>
              <w:t>NE</w:t>
            </w:r>
          </w:p>
        </w:tc>
        <w:tc>
          <w:tcPr>
            <w:tcW w:w="966" w:type="dxa"/>
            <w:vAlign w:val="center"/>
          </w:tcPr>
          <w:p w14:paraId="71BA5E40" w14:textId="77777777" w:rsidR="00FA5543" w:rsidRPr="00C34031" w:rsidRDefault="00FA5543" w:rsidP="00390489">
            <w:pPr>
              <w:jc w:val="center"/>
              <w:rPr>
                <w:noProof/>
                <w:sz w:val="20"/>
                <w:szCs w:val="20"/>
              </w:rPr>
            </w:pPr>
            <w:r w:rsidRPr="00C34031">
              <w:rPr>
                <w:noProof/>
                <w:sz w:val="20"/>
              </w:rPr>
              <w:t>NE</w:t>
            </w:r>
          </w:p>
        </w:tc>
        <w:tc>
          <w:tcPr>
            <w:tcW w:w="1463" w:type="dxa"/>
            <w:vAlign w:val="center"/>
          </w:tcPr>
          <w:p w14:paraId="15BEA494" w14:textId="77777777" w:rsidR="00FA5543" w:rsidRPr="00C34031" w:rsidRDefault="6C3AF1E0" w:rsidP="00390489">
            <w:pPr>
              <w:jc w:val="center"/>
              <w:rPr>
                <w:noProof/>
                <w:sz w:val="20"/>
                <w:szCs w:val="20"/>
              </w:rPr>
            </w:pPr>
            <w:r w:rsidRPr="00C34031">
              <w:rPr>
                <w:noProof/>
                <w:sz w:val="20"/>
              </w:rPr>
              <w:t>NE</w:t>
            </w:r>
          </w:p>
        </w:tc>
      </w:tr>
      <w:tr w:rsidR="00FA5543" w:rsidRPr="00C34031" w14:paraId="1276DA00" w14:textId="77777777" w:rsidTr="139DF8FE">
        <w:trPr>
          <w:jc w:val="center"/>
        </w:trPr>
        <w:tc>
          <w:tcPr>
            <w:tcW w:w="1092" w:type="dxa"/>
            <w:vAlign w:val="center"/>
          </w:tcPr>
          <w:p w14:paraId="54B37D1F" w14:textId="77777777" w:rsidR="00FA5543" w:rsidRPr="00C34031" w:rsidRDefault="588FC117" w:rsidP="00390489">
            <w:pPr>
              <w:jc w:val="center"/>
              <w:rPr>
                <w:noProof/>
                <w:color w:val="0000FF"/>
              </w:rPr>
            </w:pPr>
            <w:r w:rsidRPr="00C34031">
              <w:rPr>
                <w:noProof/>
                <w:color w:val="0000FF"/>
              </w:rPr>
              <w:t>3</w:t>
            </w:r>
          </w:p>
        </w:tc>
        <w:tc>
          <w:tcPr>
            <w:tcW w:w="4002" w:type="dxa"/>
            <w:vAlign w:val="center"/>
          </w:tcPr>
          <w:p w14:paraId="04D3F571" w14:textId="77777777" w:rsidR="1F344DF5" w:rsidRPr="00C34031" w:rsidRDefault="1F344DF5" w:rsidP="139DF8FE">
            <w:pPr>
              <w:spacing w:before="60"/>
              <w:rPr>
                <w:noProof/>
              </w:rPr>
            </w:pPr>
            <w:r w:rsidRPr="00C34031">
              <w:rPr>
                <w:noProof/>
                <w:sz w:val="22"/>
              </w:rPr>
              <w:t>09 20 04 01 (CBAM)</w:t>
            </w:r>
          </w:p>
          <w:p w14:paraId="527BA819" w14:textId="77777777" w:rsidR="00FA5543" w:rsidRPr="00C34031" w:rsidRDefault="00FA5543" w:rsidP="00390489">
            <w:pPr>
              <w:spacing w:after="60"/>
              <w:rPr>
                <w:noProof/>
              </w:rPr>
            </w:pPr>
          </w:p>
        </w:tc>
        <w:tc>
          <w:tcPr>
            <w:tcW w:w="1092" w:type="dxa"/>
            <w:vAlign w:val="center"/>
          </w:tcPr>
          <w:p w14:paraId="6CEC9BD3" w14:textId="77777777" w:rsidR="00FA5543" w:rsidRPr="00C34031" w:rsidRDefault="00FA5543" w:rsidP="00390489">
            <w:pPr>
              <w:jc w:val="center"/>
              <w:rPr>
                <w:noProof/>
                <w:color w:val="0000FF"/>
              </w:rPr>
            </w:pPr>
            <w:r w:rsidRPr="00C34031">
              <w:rPr>
                <w:noProof/>
                <w:sz w:val="22"/>
              </w:rPr>
              <w:t>RP/NRP</w:t>
            </w:r>
          </w:p>
        </w:tc>
        <w:tc>
          <w:tcPr>
            <w:tcW w:w="966" w:type="dxa"/>
            <w:vAlign w:val="center"/>
          </w:tcPr>
          <w:p w14:paraId="4C22D833" w14:textId="77777777" w:rsidR="00FA5543" w:rsidRPr="00C34031" w:rsidRDefault="6C3AF1E0" w:rsidP="00390489">
            <w:pPr>
              <w:jc w:val="center"/>
              <w:rPr>
                <w:noProof/>
                <w:sz w:val="20"/>
                <w:szCs w:val="20"/>
              </w:rPr>
            </w:pPr>
            <w:r w:rsidRPr="00C34031">
              <w:rPr>
                <w:noProof/>
                <w:sz w:val="20"/>
              </w:rPr>
              <w:t>NE</w:t>
            </w:r>
          </w:p>
        </w:tc>
        <w:tc>
          <w:tcPr>
            <w:tcW w:w="1092" w:type="dxa"/>
            <w:vAlign w:val="center"/>
          </w:tcPr>
          <w:p w14:paraId="6FCD01C1" w14:textId="77777777" w:rsidR="00FA5543" w:rsidRPr="00C34031" w:rsidRDefault="6C3AF1E0" w:rsidP="00390489">
            <w:pPr>
              <w:jc w:val="center"/>
              <w:rPr>
                <w:noProof/>
                <w:sz w:val="20"/>
                <w:szCs w:val="20"/>
              </w:rPr>
            </w:pPr>
            <w:r w:rsidRPr="00C34031">
              <w:rPr>
                <w:noProof/>
                <w:sz w:val="20"/>
              </w:rPr>
              <w:t>NE</w:t>
            </w:r>
          </w:p>
        </w:tc>
        <w:tc>
          <w:tcPr>
            <w:tcW w:w="966" w:type="dxa"/>
            <w:vAlign w:val="center"/>
          </w:tcPr>
          <w:p w14:paraId="26C9322A" w14:textId="77777777" w:rsidR="00FA5543" w:rsidRPr="00C34031" w:rsidRDefault="6C3AF1E0" w:rsidP="00390489">
            <w:pPr>
              <w:jc w:val="center"/>
              <w:rPr>
                <w:noProof/>
                <w:sz w:val="20"/>
                <w:szCs w:val="20"/>
              </w:rPr>
            </w:pPr>
            <w:r w:rsidRPr="00C34031">
              <w:rPr>
                <w:noProof/>
                <w:sz w:val="20"/>
              </w:rPr>
              <w:t>NE</w:t>
            </w:r>
          </w:p>
        </w:tc>
        <w:tc>
          <w:tcPr>
            <w:tcW w:w="1463" w:type="dxa"/>
            <w:vAlign w:val="center"/>
          </w:tcPr>
          <w:p w14:paraId="0F964236" w14:textId="77777777" w:rsidR="00FA5543" w:rsidRPr="00C34031" w:rsidRDefault="6C3AF1E0" w:rsidP="00390489">
            <w:pPr>
              <w:jc w:val="center"/>
              <w:rPr>
                <w:noProof/>
                <w:sz w:val="20"/>
                <w:szCs w:val="20"/>
              </w:rPr>
            </w:pPr>
            <w:r w:rsidRPr="00C34031">
              <w:rPr>
                <w:noProof/>
                <w:sz w:val="20"/>
              </w:rPr>
              <w:t>NE</w:t>
            </w:r>
          </w:p>
        </w:tc>
      </w:tr>
    </w:tbl>
    <w:p w14:paraId="7495F74E" w14:textId="77777777" w:rsidR="00FA5543" w:rsidRPr="00C34031" w:rsidRDefault="00FA5543" w:rsidP="00390489">
      <w:pPr>
        <w:pStyle w:val="ListBullet1"/>
        <w:rPr>
          <w:noProof/>
        </w:rPr>
      </w:pPr>
      <w:r w:rsidRPr="00C34031">
        <w:rPr>
          <w:noProof/>
        </w:rPr>
        <w:t xml:space="preserve">Nové rozpočtové položky, jejichž vytvoření se požaduje </w:t>
      </w:r>
    </w:p>
    <w:p w14:paraId="383D6C37" w14:textId="77777777" w:rsidR="00FA5543" w:rsidRPr="00C34031" w:rsidRDefault="00FA5543" w:rsidP="00390489">
      <w:pPr>
        <w:pStyle w:val="Text1"/>
        <w:rPr>
          <w:i/>
          <w:noProof/>
          <w:sz w:val="20"/>
        </w:rPr>
      </w:pPr>
      <w:r w:rsidRPr="00C34031">
        <w:rPr>
          <w:i/>
          <w:noProof/>
          <w:u w:val="single"/>
        </w:rPr>
        <w:t>V pořadí</w:t>
      </w:r>
      <w:r w:rsidRPr="00C34031">
        <w:rPr>
          <w:i/>
          <w:noProof/>
        </w:rPr>
        <w:t xml:space="preserve"> okruhů víceletého finančního rámce a rozpočtových položek.</w:t>
      </w:r>
    </w:p>
    <w:tbl>
      <w:tblPr>
        <w:tblW w:w="10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2"/>
        <w:gridCol w:w="4002"/>
        <w:gridCol w:w="1092"/>
        <w:gridCol w:w="966"/>
        <w:gridCol w:w="1092"/>
        <w:gridCol w:w="966"/>
        <w:gridCol w:w="1463"/>
      </w:tblGrid>
      <w:tr w:rsidR="00FA5543" w:rsidRPr="00C34031" w14:paraId="369635EC" w14:textId="77777777" w:rsidTr="139DF8FE">
        <w:trPr>
          <w:jc w:val="center"/>
        </w:trPr>
        <w:tc>
          <w:tcPr>
            <w:tcW w:w="1080" w:type="dxa"/>
            <w:vMerge w:val="restart"/>
            <w:vAlign w:val="center"/>
          </w:tcPr>
          <w:p w14:paraId="276D3DA4" w14:textId="77777777" w:rsidR="00FA5543" w:rsidRPr="00C34031" w:rsidRDefault="00FA5543" w:rsidP="00390489">
            <w:pPr>
              <w:spacing w:before="60" w:after="60"/>
              <w:jc w:val="center"/>
              <w:rPr>
                <w:noProof/>
                <w:sz w:val="18"/>
                <w:szCs w:val="18"/>
              </w:rPr>
            </w:pPr>
            <w:r w:rsidRPr="00C34031">
              <w:rPr>
                <w:noProof/>
                <w:sz w:val="18"/>
              </w:rPr>
              <w:t>Okruh víceletého finančního rámce</w:t>
            </w:r>
          </w:p>
        </w:tc>
        <w:tc>
          <w:tcPr>
            <w:tcW w:w="3960" w:type="dxa"/>
            <w:vAlign w:val="center"/>
          </w:tcPr>
          <w:p w14:paraId="24E2973E" w14:textId="77777777" w:rsidR="00FA5543" w:rsidRPr="00C34031" w:rsidRDefault="6C3AF1E0" w:rsidP="00390489">
            <w:pPr>
              <w:spacing w:before="60" w:after="60"/>
              <w:jc w:val="center"/>
              <w:rPr>
                <w:noProof/>
              </w:rPr>
            </w:pPr>
            <w:r w:rsidRPr="00C34031">
              <w:rPr>
                <w:noProof/>
                <w:sz w:val="20"/>
              </w:rPr>
              <w:t>Rozpočtová položka</w:t>
            </w:r>
          </w:p>
        </w:tc>
        <w:tc>
          <w:tcPr>
            <w:tcW w:w="1080" w:type="dxa"/>
            <w:vAlign w:val="center"/>
          </w:tcPr>
          <w:p w14:paraId="23D0F71F" w14:textId="77777777" w:rsidR="00FA5543" w:rsidRPr="00C34031" w:rsidRDefault="00FA5543" w:rsidP="00390489">
            <w:pPr>
              <w:spacing w:before="60" w:after="60"/>
              <w:jc w:val="center"/>
              <w:rPr>
                <w:noProof/>
              </w:rPr>
            </w:pPr>
            <w:r w:rsidRPr="00C34031">
              <w:rPr>
                <w:noProof/>
                <w:sz w:val="18"/>
              </w:rPr>
              <w:t>Druh výdaje</w:t>
            </w:r>
          </w:p>
        </w:tc>
        <w:tc>
          <w:tcPr>
            <w:tcW w:w="4440" w:type="dxa"/>
            <w:gridSpan w:val="4"/>
            <w:vAlign w:val="center"/>
          </w:tcPr>
          <w:p w14:paraId="22A532AF" w14:textId="77777777" w:rsidR="00FA5543" w:rsidRPr="00C34031" w:rsidRDefault="00FA5543" w:rsidP="00390489">
            <w:pPr>
              <w:spacing w:before="60" w:after="60"/>
              <w:jc w:val="center"/>
              <w:rPr>
                <w:noProof/>
              </w:rPr>
            </w:pPr>
            <w:r w:rsidRPr="00C34031">
              <w:rPr>
                <w:noProof/>
                <w:sz w:val="20"/>
              </w:rPr>
              <w:t xml:space="preserve">Příspěvek </w:t>
            </w:r>
          </w:p>
        </w:tc>
      </w:tr>
      <w:tr w:rsidR="00FA5543" w:rsidRPr="00C34031" w14:paraId="31E9104F" w14:textId="77777777" w:rsidTr="139DF8FE">
        <w:trPr>
          <w:cantSplit/>
          <w:jc w:val="center"/>
        </w:trPr>
        <w:tc>
          <w:tcPr>
            <w:tcW w:w="1080" w:type="dxa"/>
            <w:vMerge/>
            <w:vAlign w:val="center"/>
          </w:tcPr>
          <w:p w14:paraId="3B9F6A1D" w14:textId="77777777" w:rsidR="00FA5543" w:rsidRPr="00C34031" w:rsidRDefault="00FA5543" w:rsidP="00390489">
            <w:pPr>
              <w:jc w:val="center"/>
              <w:rPr>
                <w:noProof/>
              </w:rPr>
            </w:pPr>
          </w:p>
        </w:tc>
        <w:tc>
          <w:tcPr>
            <w:tcW w:w="3960" w:type="dxa"/>
            <w:vAlign w:val="center"/>
          </w:tcPr>
          <w:p w14:paraId="6DB6AA08" w14:textId="77777777" w:rsidR="00FA5543" w:rsidRPr="00C34031" w:rsidRDefault="00FA5543" w:rsidP="00390489">
            <w:pPr>
              <w:rPr>
                <w:noProof/>
              </w:rPr>
            </w:pPr>
            <w:r w:rsidRPr="00C34031">
              <w:rPr>
                <w:noProof/>
                <w:sz w:val="20"/>
              </w:rPr>
              <w:t xml:space="preserve">Číslo </w:t>
            </w:r>
            <w:r w:rsidRPr="00C34031">
              <w:rPr>
                <w:noProof/>
                <w:sz w:val="22"/>
              </w:rPr>
              <w:br/>
            </w:r>
          </w:p>
        </w:tc>
        <w:tc>
          <w:tcPr>
            <w:tcW w:w="1080" w:type="dxa"/>
            <w:vAlign w:val="center"/>
          </w:tcPr>
          <w:p w14:paraId="13A5EA66" w14:textId="77777777" w:rsidR="00FA5543" w:rsidRPr="00C34031" w:rsidRDefault="00FA5543" w:rsidP="00390489">
            <w:pPr>
              <w:jc w:val="center"/>
              <w:rPr>
                <w:noProof/>
              </w:rPr>
            </w:pPr>
            <w:r w:rsidRPr="00C34031">
              <w:rPr>
                <w:noProof/>
                <w:sz w:val="18"/>
              </w:rPr>
              <w:t>RP/NRP</w:t>
            </w:r>
          </w:p>
        </w:tc>
        <w:tc>
          <w:tcPr>
            <w:tcW w:w="956" w:type="dxa"/>
            <w:vAlign w:val="center"/>
          </w:tcPr>
          <w:p w14:paraId="5F1DF756" w14:textId="77777777" w:rsidR="00FA5543" w:rsidRPr="00C34031" w:rsidRDefault="00FA5543" w:rsidP="00390489">
            <w:pPr>
              <w:jc w:val="center"/>
              <w:rPr>
                <w:noProof/>
                <w:sz w:val="18"/>
              </w:rPr>
            </w:pPr>
            <w:r w:rsidRPr="00C34031">
              <w:rPr>
                <w:noProof/>
                <w:sz w:val="18"/>
              </w:rPr>
              <w:t>zemí ESVO</w:t>
            </w:r>
          </w:p>
        </w:tc>
        <w:tc>
          <w:tcPr>
            <w:tcW w:w="1080" w:type="dxa"/>
            <w:vAlign w:val="center"/>
          </w:tcPr>
          <w:p w14:paraId="1BA6857F" w14:textId="77777777" w:rsidR="00FA5543" w:rsidRPr="00C34031" w:rsidRDefault="00FA5543" w:rsidP="00390489">
            <w:pPr>
              <w:jc w:val="center"/>
              <w:rPr>
                <w:noProof/>
                <w:sz w:val="18"/>
              </w:rPr>
            </w:pPr>
            <w:r w:rsidRPr="00C34031">
              <w:rPr>
                <w:noProof/>
                <w:sz w:val="18"/>
              </w:rPr>
              <w:t>kandidátských zemí a potenciálních kandidátů</w:t>
            </w:r>
          </w:p>
        </w:tc>
        <w:tc>
          <w:tcPr>
            <w:tcW w:w="956" w:type="dxa"/>
            <w:vAlign w:val="center"/>
          </w:tcPr>
          <w:p w14:paraId="5E5C1826" w14:textId="77777777" w:rsidR="00FA5543" w:rsidRPr="00C34031" w:rsidRDefault="00FA5543" w:rsidP="00390489">
            <w:pPr>
              <w:jc w:val="center"/>
              <w:rPr>
                <w:noProof/>
                <w:sz w:val="18"/>
              </w:rPr>
            </w:pPr>
            <w:r w:rsidRPr="00C34031">
              <w:rPr>
                <w:noProof/>
                <w:sz w:val="18"/>
              </w:rPr>
              <w:t>jiných třetích zemí</w:t>
            </w:r>
          </w:p>
        </w:tc>
        <w:tc>
          <w:tcPr>
            <w:tcW w:w="1448" w:type="dxa"/>
            <w:vAlign w:val="center"/>
          </w:tcPr>
          <w:p w14:paraId="0E1760CB" w14:textId="77777777" w:rsidR="00FA5543" w:rsidRPr="00C34031" w:rsidRDefault="00FA5543" w:rsidP="00390489">
            <w:pPr>
              <w:jc w:val="center"/>
              <w:rPr>
                <w:noProof/>
              </w:rPr>
            </w:pPr>
            <w:r w:rsidRPr="00C34031">
              <w:rPr>
                <w:noProof/>
                <w:sz w:val="18"/>
              </w:rPr>
              <w:t xml:space="preserve">jiné účelově vázané příjmy </w:t>
            </w:r>
          </w:p>
        </w:tc>
      </w:tr>
      <w:tr w:rsidR="00FA5543" w:rsidRPr="00C34031" w14:paraId="6761E7F9" w14:textId="77777777" w:rsidTr="139DF8FE">
        <w:trPr>
          <w:cantSplit/>
          <w:jc w:val="center"/>
        </w:trPr>
        <w:tc>
          <w:tcPr>
            <w:tcW w:w="1080" w:type="dxa"/>
            <w:vAlign w:val="center"/>
          </w:tcPr>
          <w:p w14:paraId="552361E4" w14:textId="77777777" w:rsidR="00FA5543" w:rsidRPr="00C34031" w:rsidRDefault="49B8EBFF" w:rsidP="00390489">
            <w:pPr>
              <w:jc w:val="center"/>
              <w:rPr>
                <w:noProof/>
                <w:color w:val="0000FF"/>
              </w:rPr>
            </w:pPr>
            <w:r w:rsidRPr="00C34031">
              <w:rPr>
                <w:noProof/>
                <w:color w:val="0000FF"/>
              </w:rPr>
              <w:t>Nepoužije se.</w:t>
            </w:r>
          </w:p>
        </w:tc>
        <w:tc>
          <w:tcPr>
            <w:tcW w:w="3960" w:type="dxa"/>
            <w:vAlign w:val="center"/>
          </w:tcPr>
          <w:p w14:paraId="496F54B3" w14:textId="77777777" w:rsidR="49B8EBFF" w:rsidRPr="00C34031" w:rsidRDefault="49B8EBFF" w:rsidP="139DF8FE">
            <w:pPr>
              <w:spacing w:before="60"/>
              <w:rPr>
                <w:noProof/>
              </w:rPr>
            </w:pPr>
            <w:r w:rsidRPr="00C34031">
              <w:rPr>
                <w:noProof/>
                <w:sz w:val="22"/>
              </w:rPr>
              <w:t>Nepoužije se.</w:t>
            </w:r>
          </w:p>
          <w:p w14:paraId="4F112DF2" w14:textId="77777777" w:rsidR="00FA5543" w:rsidRPr="00C34031" w:rsidRDefault="00FA5543" w:rsidP="00390489">
            <w:pPr>
              <w:spacing w:after="60"/>
              <w:rPr>
                <w:noProof/>
              </w:rPr>
            </w:pPr>
          </w:p>
        </w:tc>
        <w:tc>
          <w:tcPr>
            <w:tcW w:w="1080" w:type="dxa"/>
            <w:vAlign w:val="center"/>
          </w:tcPr>
          <w:p w14:paraId="611C6B5D" w14:textId="77777777" w:rsidR="00FA5543" w:rsidRPr="00C34031" w:rsidRDefault="00FA5543" w:rsidP="00390489">
            <w:pPr>
              <w:jc w:val="center"/>
              <w:rPr>
                <w:noProof/>
                <w:color w:val="0000FF"/>
              </w:rPr>
            </w:pPr>
            <w:r w:rsidRPr="00C34031">
              <w:rPr>
                <w:noProof/>
                <w:sz w:val="22"/>
              </w:rPr>
              <w:t>RP/NRP</w:t>
            </w:r>
          </w:p>
        </w:tc>
        <w:tc>
          <w:tcPr>
            <w:tcW w:w="956" w:type="dxa"/>
            <w:vAlign w:val="center"/>
          </w:tcPr>
          <w:p w14:paraId="1A4FAF72" w14:textId="77777777" w:rsidR="00FA5543" w:rsidRPr="00C34031" w:rsidRDefault="00FA5543" w:rsidP="00390489">
            <w:pPr>
              <w:jc w:val="center"/>
              <w:rPr>
                <w:noProof/>
                <w:sz w:val="20"/>
                <w:szCs w:val="20"/>
              </w:rPr>
            </w:pPr>
            <w:r w:rsidRPr="00C34031">
              <w:rPr>
                <w:noProof/>
                <w:sz w:val="20"/>
              </w:rPr>
              <w:t>ANO/NE</w:t>
            </w:r>
          </w:p>
        </w:tc>
        <w:tc>
          <w:tcPr>
            <w:tcW w:w="1080" w:type="dxa"/>
            <w:vAlign w:val="center"/>
          </w:tcPr>
          <w:p w14:paraId="7E0A6806" w14:textId="77777777" w:rsidR="00FA5543" w:rsidRPr="00C34031" w:rsidRDefault="00FA5543" w:rsidP="00390489">
            <w:pPr>
              <w:jc w:val="center"/>
              <w:rPr>
                <w:noProof/>
                <w:sz w:val="20"/>
                <w:szCs w:val="20"/>
              </w:rPr>
            </w:pPr>
            <w:r w:rsidRPr="00C34031">
              <w:rPr>
                <w:noProof/>
                <w:sz w:val="20"/>
              </w:rPr>
              <w:t>ANO/NE</w:t>
            </w:r>
          </w:p>
        </w:tc>
        <w:tc>
          <w:tcPr>
            <w:tcW w:w="956" w:type="dxa"/>
            <w:vAlign w:val="center"/>
          </w:tcPr>
          <w:p w14:paraId="7045B68C" w14:textId="77777777" w:rsidR="00FA5543" w:rsidRPr="00C34031" w:rsidRDefault="00FA5543" w:rsidP="00390489">
            <w:pPr>
              <w:jc w:val="center"/>
              <w:rPr>
                <w:noProof/>
                <w:sz w:val="20"/>
                <w:szCs w:val="20"/>
              </w:rPr>
            </w:pPr>
            <w:r w:rsidRPr="00C34031">
              <w:rPr>
                <w:noProof/>
                <w:sz w:val="20"/>
              </w:rPr>
              <w:t>ANO/NE</w:t>
            </w:r>
          </w:p>
        </w:tc>
        <w:tc>
          <w:tcPr>
            <w:tcW w:w="1448" w:type="dxa"/>
            <w:vAlign w:val="center"/>
          </w:tcPr>
          <w:p w14:paraId="3D79092D" w14:textId="77777777" w:rsidR="00FA5543" w:rsidRPr="00C34031" w:rsidRDefault="00FA5543" w:rsidP="00390489">
            <w:pPr>
              <w:jc w:val="center"/>
              <w:rPr>
                <w:noProof/>
                <w:sz w:val="20"/>
                <w:szCs w:val="20"/>
              </w:rPr>
            </w:pPr>
            <w:r w:rsidRPr="00C34031">
              <w:rPr>
                <w:noProof/>
                <w:sz w:val="20"/>
              </w:rPr>
              <w:t>ANO/NE</w:t>
            </w:r>
          </w:p>
        </w:tc>
      </w:tr>
    </w:tbl>
    <w:p w14:paraId="320D397D" w14:textId="77777777" w:rsidR="00FA5543" w:rsidRPr="00C34031" w:rsidRDefault="00FA5543" w:rsidP="00390489">
      <w:pPr>
        <w:rPr>
          <w:noProof/>
        </w:rPr>
        <w:sectPr w:rsidR="00FA5543" w:rsidRPr="00C34031" w:rsidSect="00516924">
          <w:pgSz w:w="11907" w:h="16840" w:code="1"/>
          <w:pgMar w:top="1134" w:right="1418" w:bottom="1134" w:left="1418" w:header="709" w:footer="709" w:gutter="0"/>
          <w:cols w:space="708"/>
          <w:docGrid w:linePitch="360"/>
        </w:sectPr>
      </w:pPr>
    </w:p>
    <w:p w14:paraId="406337D1" w14:textId="77777777" w:rsidR="00FA5543" w:rsidRPr="00C34031" w:rsidRDefault="6C3AF1E0" w:rsidP="139DF8FE">
      <w:pPr>
        <w:pStyle w:val="ManualHeading2"/>
        <w:rPr>
          <w:noProof/>
        </w:rPr>
      </w:pPr>
      <w:r w:rsidRPr="00C34031">
        <w:rPr>
          <w:noProof/>
        </w:rPr>
        <w:t>3.2.</w:t>
      </w:r>
      <w:r w:rsidRPr="00C34031">
        <w:rPr>
          <w:noProof/>
        </w:rPr>
        <w:tab/>
        <w:t xml:space="preserve">Odhadovaný finanční dopad návrhu na prostředky </w:t>
      </w:r>
    </w:p>
    <w:p w14:paraId="39612ABD" w14:textId="77777777" w:rsidR="00FA5543" w:rsidRPr="00C34031" w:rsidRDefault="00FA5543" w:rsidP="00390489">
      <w:pPr>
        <w:pStyle w:val="ManualHeading3"/>
        <w:rPr>
          <w:noProof/>
        </w:rPr>
      </w:pPr>
      <w:r w:rsidRPr="00C34031">
        <w:rPr>
          <w:noProof/>
        </w:rPr>
        <w:t>3.2.1.</w:t>
      </w:r>
      <w:r w:rsidRPr="00C34031">
        <w:rPr>
          <w:noProof/>
        </w:rPr>
        <w:tab/>
        <w:t xml:space="preserve">Odhadovaný souhrnný dopad na operační prostředky </w:t>
      </w:r>
    </w:p>
    <w:p w14:paraId="5FB15805" w14:textId="77777777" w:rsidR="00FA5543" w:rsidRPr="00C34031" w:rsidRDefault="6C3AF1E0" w:rsidP="00390489">
      <w:pPr>
        <w:pStyle w:val="ListDash1"/>
        <w:rPr>
          <w:noProof/>
        </w:rPr>
      </w:pPr>
      <w:r w:rsidRPr="00C34031">
        <w:rPr>
          <w:rFonts w:ascii="Wingdings" w:hAnsi="Wingdings"/>
          <w:noProof/>
        </w:rPr>
        <w:t></w:t>
      </w:r>
      <w:r w:rsidRPr="00C34031">
        <w:rPr>
          <w:noProof/>
        </w:rPr>
        <w:tab/>
        <w:t xml:space="preserve">Návrh/podnět nevyžaduje využití operačních prostředků. </w:t>
      </w:r>
    </w:p>
    <w:p w14:paraId="318A9CF9" w14:textId="77777777" w:rsidR="00FA5543" w:rsidRPr="00C34031" w:rsidRDefault="14B2965C" w:rsidP="00390489">
      <w:pPr>
        <w:pStyle w:val="ListDash1"/>
        <w:rPr>
          <w:noProof/>
        </w:rPr>
      </w:pPr>
      <w:r w:rsidRPr="00C34031">
        <w:rPr>
          <w:rFonts w:ascii="Wingdings" w:hAnsi="Wingdings"/>
          <w:noProof/>
        </w:rPr>
        <w:t></w:t>
      </w:r>
      <w:r w:rsidRPr="00C34031">
        <w:rPr>
          <w:noProof/>
        </w:rPr>
        <w:t xml:space="preserve"> Návrh/podnět vyžaduje využití operačních prostředků, jak je vysvětleno dále</w:t>
      </w:r>
    </w:p>
    <w:p w14:paraId="2DB4B82D" w14:textId="77777777" w:rsidR="00FA5543" w:rsidRPr="00C34031" w:rsidRDefault="00FA5543" w:rsidP="00390489">
      <w:pPr>
        <w:pStyle w:val="ManualHeading3"/>
        <w:rPr>
          <w:noProof/>
        </w:rPr>
      </w:pPr>
      <w:r w:rsidRPr="00C34031">
        <w:rPr>
          <w:noProof/>
        </w:rPr>
        <w:t>3.2.1.1.</w:t>
      </w:r>
      <w:r w:rsidRPr="00C34031">
        <w:rPr>
          <w:noProof/>
        </w:rPr>
        <w:tab/>
        <w:t>Prostředky ze schváleného rozpočtu</w:t>
      </w:r>
    </w:p>
    <w:p w14:paraId="090A6746" w14:textId="77777777" w:rsidR="00FA5543" w:rsidRPr="00C34031" w:rsidRDefault="00FA5543" w:rsidP="00390489">
      <w:pPr>
        <w:jc w:val="right"/>
        <w:rPr>
          <w:noProof/>
          <w:sz w:val="18"/>
          <w:szCs w:val="18"/>
        </w:rPr>
      </w:pPr>
      <w:r w:rsidRPr="00C34031">
        <w:rPr>
          <w:noProof/>
          <w:sz w:val="18"/>
        </w:rPr>
        <w:t>v milionech EUR (zaokrouhleno na tři desetinná místa)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6"/>
        <w:gridCol w:w="1126"/>
        <w:gridCol w:w="8148"/>
      </w:tblGrid>
      <w:tr w:rsidR="00FA5543" w:rsidRPr="00C34031" w14:paraId="3E3ED8B7" w14:textId="77777777" w:rsidTr="139DF8FE">
        <w:tc>
          <w:tcPr>
            <w:tcW w:w="1739" w:type="pct"/>
            <w:shd w:val="clear" w:color="auto" w:fill="auto"/>
            <w:vAlign w:val="center"/>
          </w:tcPr>
          <w:p w14:paraId="6F28A27F" w14:textId="77777777" w:rsidR="00FA5543" w:rsidRPr="00C34031" w:rsidRDefault="00FA5543" w:rsidP="00390489">
            <w:pPr>
              <w:spacing w:before="60" w:after="60"/>
              <w:jc w:val="center"/>
              <w:rPr>
                <w:b/>
                <w:noProof/>
              </w:rPr>
            </w:pPr>
            <w:r w:rsidRPr="00C34031">
              <w:rPr>
                <w:b/>
                <w:noProof/>
                <w:sz w:val="22"/>
              </w:rPr>
              <w:t xml:space="preserve">Okruh víceletého finančního rámce </w:t>
            </w:r>
          </w:p>
        </w:tc>
        <w:tc>
          <w:tcPr>
            <w:tcW w:w="396" w:type="pct"/>
            <w:vAlign w:val="center"/>
          </w:tcPr>
          <w:p w14:paraId="04EED994" w14:textId="77777777" w:rsidR="00FA5543" w:rsidRPr="00C34031" w:rsidRDefault="5E77EBE0" w:rsidP="139DF8FE">
            <w:pPr>
              <w:spacing w:before="60" w:after="60"/>
              <w:jc w:val="center"/>
              <w:rPr>
                <w:noProof/>
              </w:rPr>
            </w:pPr>
            <w:r w:rsidRPr="00C34031">
              <w:rPr>
                <w:noProof/>
                <w:sz w:val="22"/>
              </w:rPr>
              <w:t>3</w:t>
            </w:r>
          </w:p>
        </w:tc>
        <w:tc>
          <w:tcPr>
            <w:tcW w:w="2865" w:type="pct"/>
            <w:vAlign w:val="center"/>
          </w:tcPr>
          <w:p w14:paraId="5A1DA48F" w14:textId="77777777" w:rsidR="00FA5543" w:rsidRPr="00C34031" w:rsidRDefault="5E77EBE0" w:rsidP="00390489">
            <w:pPr>
              <w:spacing w:before="60" w:after="60"/>
              <w:rPr>
                <w:noProof/>
              </w:rPr>
            </w:pPr>
            <w:r w:rsidRPr="00C34031">
              <w:rPr>
                <w:noProof/>
              </w:rPr>
              <w:t>Přírodní zdroje a životní prostředí (IT)</w:t>
            </w:r>
          </w:p>
        </w:tc>
      </w:tr>
    </w:tbl>
    <w:p w14:paraId="0C0CCB5C" w14:textId="77777777" w:rsidR="00FA5543" w:rsidRPr="00C34031" w:rsidRDefault="00FA5543" w:rsidP="00390489">
      <w:pPr>
        <w:rPr>
          <w:noProof/>
          <w:sz w:val="16"/>
        </w:rPr>
      </w:pPr>
    </w:p>
    <w:tbl>
      <w:tblPr>
        <w:tblW w:w="5000" w:type="pct"/>
        <w:tblLook w:val="04A0" w:firstRow="1" w:lastRow="0" w:firstColumn="1" w:lastColumn="0" w:noHBand="0" w:noVBand="1"/>
      </w:tblPr>
      <w:tblGrid>
        <w:gridCol w:w="4012"/>
        <w:gridCol w:w="23"/>
        <w:gridCol w:w="293"/>
        <w:gridCol w:w="1189"/>
        <w:gridCol w:w="23"/>
        <w:gridCol w:w="128"/>
        <w:gridCol w:w="1038"/>
        <w:gridCol w:w="210"/>
        <w:gridCol w:w="34"/>
        <w:gridCol w:w="796"/>
        <w:gridCol w:w="572"/>
        <w:gridCol w:w="43"/>
        <w:gridCol w:w="629"/>
        <w:gridCol w:w="731"/>
        <w:gridCol w:w="51"/>
        <w:gridCol w:w="461"/>
        <w:gridCol w:w="890"/>
        <w:gridCol w:w="60"/>
        <w:gridCol w:w="293"/>
        <w:gridCol w:w="1049"/>
        <w:gridCol w:w="17"/>
        <w:gridCol w:w="176"/>
        <w:gridCol w:w="1502"/>
      </w:tblGrid>
      <w:tr w:rsidR="00FA5543" w:rsidRPr="00C34031" w14:paraId="03A50AA6" w14:textId="77777777" w:rsidTr="139DF8FE">
        <w:trPr>
          <w:trHeight w:val="420"/>
        </w:trPr>
        <w:tc>
          <w:tcPr>
            <w:tcW w:w="2444" w:type="pct"/>
            <w:gridSpan w:val="9"/>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61E24AF5" w14:textId="77777777" w:rsidR="00FA5543" w:rsidRPr="00C34031" w:rsidRDefault="6C3AF1E0" w:rsidP="139DF8FE">
            <w:pPr>
              <w:spacing w:before="0" w:after="0"/>
              <w:jc w:val="center"/>
              <w:rPr>
                <w:noProof/>
                <w:color w:val="000000"/>
                <w:sz w:val="22"/>
              </w:rPr>
            </w:pPr>
            <w:r w:rsidRPr="00C34031">
              <w:rPr>
                <w:noProof/>
                <w:color w:val="000000" w:themeColor="text1"/>
                <w:sz w:val="22"/>
              </w:rPr>
              <w:t>GŘ: TAXUD</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41627E3B"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7A91867B"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96" w:type="pct"/>
            <w:gridSpan w:val="3"/>
            <w:tcBorders>
              <w:top w:val="single" w:sz="8" w:space="0" w:color="auto"/>
              <w:left w:val="nil"/>
              <w:bottom w:val="single" w:sz="8" w:space="0" w:color="auto"/>
              <w:right w:val="single" w:sz="8" w:space="0" w:color="auto"/>
            </w:tcBorders>
            <w:shd w:val="clear" w:color="auto" w:fill="auto"/>
            <w:vAlign w:val="center"/>
            <w:hideMark/>
          </w:tcPr>
          <w:p w14:paraId="3BE10FD9"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78" w:type="pct"/>
            <w:gridSpan w:val="3"/>
            <w:tcBorders>
              <w:top w:val="single" w:sz="8" w:space="0" w:color="auto"/>
              <w:left w:val="nil"/>
              <w:bottom w:val="single" w:sz="8" w:space="0" w:color="auto"/>
              <w:right w:val="single" w:sz="8" w:space="0" w:color="auto"/>
            </w:tcBorders>
            <w:shd w:val="clear" w:color="auto" w:fill="auto"/>
            <w:vAlign w:val="center"/>
            <w:hideMark/>
          </w:tcPr>
          <w:p w14:paraId="4429D8B7"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590"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46BB901"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CELKEM VFR na období 2021–2027</w:t>
            </w:r>
          </w:p>
        </w:tc>
      </w:tr>
      <w:tr w:rsidR="00FA5543" w:rsidRPr="00C34031" w14:paraId="0BC4A198" w14:textId="77777777" w:rsidTr="139DF8FE">
        <w:trPr>
          <w:trHeight w:val="288"/>
        </w:trPr>
        <w:tc>
          <w:tcPr>
            <w:tcW w:w="2444" w:type="pct"/>
            <w:gridSpan w:val="9"/>
            <w:vMerge/>
            <w:vAlign w:val="center"/>
            <w:hideMark/>
          </w:tcPr>
          <w:p w14:paraId="6D962704" w14:textId="77777777" w:rsidR="00FA5543" w:rsidRPr="00C34031" w:rsidRDefault="00FA5543" w:rsidP="00390489">
            <w:pPr>
              <w:spacing w:before="0" w:after="0"/>
              <w:jc w:val="left"/>
              <w:rPr>
                <w:noProof/>
                <w:color w:val="000000"/>
                <w:sz w:val="22"/>
                <w:lang w:eastAsia="en-IE"/>
              </w:rPr>
            </w:pPr>
          </w:p>
        </w:tc>
        <w:tc>
          <w:tcPr>
            <w:tcW w:w="496" w:type="pct"/>
            <w:gridSpan w:val="3"/>
            <w:tcBorders>
              <w:top w:val="nil"/>
              <w:left w:val="nil"/>
              <w:bottom w:val="single" w:sz="8" w:space="0" w:color="auto"/>
              <w:right w:val="single" w:sz="8" w:space="0" w:color="auto"/>
            </w:tcBorders>
            <w:shd w:val="clear" w:color="auto" w:fill="auto"/>
            <w:vAlign w:val="center"/>
            <w:hideMark/>
          </w:tcPr>
          <w:p w14:paraId="3463C4CE"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2024</w:t>
            </w:r>
          </w:p>
        </w:tc>
        <w:tc>
          <w:tcPr>
            <w:tcW w:w="496" w:type="pct"/>
            <w:gridSpan w:val="3"/>
            <w:tcBorders>
              <w:top w:val="nil"/>
              <w:left w:val="nil"/>
              <w:bottom w:val="single" w:sz="8" w:space="0" w:color="auto"/>
              <w:right w:val="single" w:sz="8" w:space="0" w:color="auto"/>
            </w:tcBorders>
            <w:shd w:val="clear" w:color="auto" w:fill="auto"/>
            <w:vAlign w:val="center"/>
            <w:hideMark/>
          </w:tcPr>
          <w:p w14:paraId="7281F284"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2025</w:t>
            </w:r>
          </w:p>
        </w:tc>
        <w:tc>
          <w:tcPr>
            <w:tcW w:w="496" w:type="pct"/>
            <w:gridSpan w:val="3"/>
            <w:tcBorders>
              <w:top w:val="nil"/>
              <w:left w:val="nil"/>
              <w:bottom w:val="single" w:sz="8" w:space="0" w:color="auto"/>
              <w:right w:val="single" w:sz="8" w:space="0" w:color="auto"/>
            </w:tcBorders>
            <w:shd w:val="clear" w:color="auto" w:fill="auto"/>
            <w:vAlign w:val="center"/>
            <w:hideMark/>
          </w:tcPr>
          <w:p w14:paraId="7E41B06E"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2026</w:t>
            </w:r>
          </w:p>
        </w:tc>
        <w:tc>
          <w:tcPr>
            <w:tcW w:w="478" w:type="pct"/>
            <w:gridSpan w:val="3"/>
            <w:tcBorders>
              <w:top w:val="nil"/>
              <w:left w:val="nil"/>
              <w:bottom w:val="single" w:sz="8" w:space="0" w:color="auto"/>
              <w:right w:val="single" w:sz="8" w:space="0" w:color="auto"/>
            </w:tcBorders>
            <w:shd w:val="clear" w:color="auto" w:fill="auto"/>
            <w:vAlign w:val="center"/>
            <w:hideMark/>
          </w:tcPr>
          <w:p w14:paraId="391A5D2E"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2027</w:t>
            </w:r>
          </w:p>
        </w:tc>
        <w:tc>
          <w:tcPr>
            <w:tcW w:w="590" w:type="pct"/>
            <w:gridSpan w:val="2"/>
            <w:vMerge/>
            <w:vAlign w:val="center"/>
            <w:hideMark/>
          </w:tcPr>
          <w:p w14:paraId="437572DF" w14:textId="77777777" w:rsidR="00FA5543" w:rsidRPr="00C34031" w:rsidRDefault="00FA5543" w:rsidP="00390489">
            <w:pPr>
              <w:spacing w:before="0" w:after="0"/>
              <w:jc w:val="left"/>
              <w:rPr>
                <w:b/>
                <w:bCs/>
                <w:noProof/>
                <w:color w:val="000000"/>
                <w:sz w:val="20"/>
                <w:szCs w:val="20"/>
                <w:lang w:eastAsia="en-IE"/>
              </w:rPr>
            </w:pPr>
          </w:p>
        </w:tc>
      </w:tr>
      <w:tr w:rsidR="00FA5543" w:rsidRPr="00C34031" w14:paraId="404F9164" w14:textId="77777777" w:rsidTr="139DF8FE">
        <w:trPr>
          <w:trHeight w:val="300"/>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vAlign w:val="center"/>
            <w:hideMark/>
          </w:tcPr>
          <w:p w14:paraId="1177E9C3" w14:textId="77777777" w:rsidR="00FA5543" w:rsidRPr="00C34031" w:rsidRDefault="00FA5543" w:rsidP="00390489">
            <w:pPr>
              <w:spacing w:before="0" w:after="0"/>
              <w:jc w:val="left"/>
              <w:rPr>
                <w:noProof/>
                <w:color w:val="000000"/>
                <w:sz w:val="21"/>
                <w:szCs w:val="21"/>
              </w:rPr>
            </w:pPr>
            <w:r w:rsidRPr="00C34031">
              <w:rPr>
                <w:noProof/>
                <w:color w:val="000000"/>
                <w:sz w:val="21"/>
              </w:rPr>
              <w:t xml:space="preserve">Operační prostředky </w:t>
            </w:r>
          </w:p>
        </w:tc>
      </w:tr>
      <w:tr w:rsidR="00FA5543" w:rsidRPr="00C34031" w14:paraId="1FBE4F0E" w14:textId="77777777" w:rsidTr="139DF8FE">
        <w:trPr>
          <w:trHeight w:val="288"/>
        </w:trPr>
        <w:tc>
          <w:tcPr>
            <w:tcW w:w="1419" w:type="pct"/>
            <w:gridSpan w:val="2"/>
            <w:vMerge w:val="restart"/>
            <w:tcBorders>
              <w:top w:val="nil"/>
              <w:left w:val="single" w:sz="8" w:space="0" w:color="auto"/>
              <w:bottom w:val="single" w:sz="8" w:space="0" w:color="auto"/>
              <w:right w:val="single" w:sz="8" w:space="0" w:color="auto"/>
            </w:tcBorders>
            <w:shd w:val="clear" w:color="auto" w:fill="auto"/>
            <w:noWrap/>
            <w:vAlign w:val="center"/>
            <w:hideMark/>
          </w:tcPr>
          <w:p w14:paraId="478981F8" w14:textId="77777777" w:rsidR="00FA5543" w:rsidRPr="00C34031" w:rsidRDefault="00FA5543" w:rsidP="00390489">
            <w:pPr>
              <w:spacing w:before="0" w:after="0"/>
              <w:jc w:val="left"/>
              <w:rPr>
                <w:noProof/>
                <w:color w:val="000000"/>
                <w:sz w:val="22"/>
              </w:rPr>
            </w:pPr>
            <w:r w:rsidRPr="00C34031">
              <w:rPr>
                <w:noProof/>
                <w:color w:val="000000"/>
                <w:sz w:val="22"/>
              </w:rPr>
              <w:t>Rozpočtová položka</w:t>
            </w:r>
          </w:p>
        </w:tc>
        <w:tc>
          <w:tcPr>
            <w:tcW w:w="529" w:type="pct"/>
            <w:gridSpan w:val="3"/>
            <w:tcBorders>
              <w:top w:val="nil"/>
              <w:left w:val="nil"/>
              <w:bottom w:val="single" w:sz="8" w:space="0" w:color="auto"/>
              <w:right w:val="single" w:sz="8" w:space="0" w:color="auto"/>
            </w:tcBorders>
            <w:shd w:val="clear" w:color="auto" w:fill="auto"/>
            <w:vAlign w:val="center"/>
            <w:hideMark/>
          </w:tcPr>
          <w:p w14:paraId="014BDC5E" w14:textId="77777777" w:rsidR="00FA5543" w:rsidRPr="00C34031" w:rsidRDefault="00FA5543" w:rsidP="00390489">
            <w:pPr>
              <w:spacing w:before="0" w:after="0"/>
              <w:rPr>
                <w:noProof/>
                <w:color w:val="000000"/>
                <w:sz w:val="18"/>
                <w:szCs w:val="18"/>
              </w:rPr>
            </w:pPr>
            <w:r w:rsidRPr="00C34031">
              <w:rPr>
                <w:noProof/>
                <w:color w:val="000000"/>
                <w:sz w:val="18"/>
              </w:rPr>
              <w:t>Závazky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5651AA62" w14:textId="77777777" w:rsidR="00FA5543" w:rsidRPr="00C34031" w:rsidRDefault="00FA5543" w:rsidP="00390489">
            <w:pPr>
              <w:spacing w:before="0" w:after="0"/>
              <w:jc w:val="center"/>
              <w:rPr>
                <w:noProof/>
                <w:color w:val="000000"/>
                <w:sz w:val="14"/>
                <w:szCs w:val="14"/>
              </w:rPr>
            </w:pPr>
            <w:r w:rsidRPr="00C34031">
              <w:rPr>
                <w:noProof/>
                <w:color w:val="000000"/>
                <w:sz w:val="14"/>
              </w:rPr>
              <w:t>(1a)</w:t>
            </w:r>
          </w:p>
        </w:tc>
        <w:tc>
          <w:tcPr>
            <w:tcW w:w="496" w:type="pct"/>
            <w:gridSpan w:val="3"/>
            <w:tcBorders>
              <w:top w:val="nil"/>
              <w:left w:val="nil"/>
              <w:bottom w:val="single" w:sz="8" w:space="0" w:color="auto"/>
              <w:right w:val="single" w:sz="8" w:space="0" w:color="auto"/>
            </w:tcBorders>
            <w:shd w:val="clear" w:color="auto" w:fill="auto"/>
            <w:vAlign w:val="center"/>
            <w:hideMark/>
          </w:tcPr>
          <w:p w14:paraId="16026033" w14:textId="77777777" w:rsidR="00FA5543" w:rsidRPr="00C34031" w:rsidRDefault="196BCE94" w:rsidP="00390489">
            <w:pPr>
              <w:spacing w:before="0" w:after="0"/>
              <w:jc w:val="right"/>
              <w:rPr>
                <w:noProof/>
                <w:color w:val="000000"/>
                <w:sz w:val="20"/>
                <w:szCs w:val="20"/>
              </w:rPr>
            </w:pPr>
            <w:r w:rsidRPr="00C34031">
              <w:rPr>
                <w:noProof/>
                <w:color w:val="000000" w:themeColor="text1"/>
                <w:sz w:val="20"/>
              </w:rPr>
              <w:t>28,090 </w:t>
            </w:r>
          </w:p>
        </w:tc>
        <w:tc>
          <w:tcPr>
            <w:tcW w:w="496" w:type="pct"/>
            <w:gridSpan w:val="3"/>
            <w:tcBorders>
              <w:top w:val="nil"/>
              <w:left w:val="nil"/>
              <w:bottom w:val="single" w:sz="8" w:space="0" w:color="auto"/>
              <w:right w:val="single" w:sz="8" w:space="0" w:color="auto"/>
            </w:tcBorders>
            <w:shd w:val="clear" w:color="auto" w:fill="auto"/>
            <w:vAlign w:val="center"/>
            <w:hideMark/>
          </w:tcPr>
          <w:p w14:paraId="7431475C" w14:textId="77777777" w:rsidR="00FA5543" w:rsidRPr="00C34031" w:rsidRDefault="0294695B" w:rsidP="00390489">
            <w:pPr>
              <w:spacing w:before="0" w:after="0"/>
              <w:jc w:val="right"/>
              <w:rPr>
                <w:noProof/>
                <w:color w:val="000000"/>
                <w:sz w:val="20"/>
                <w:szCs w:val="20"/>
              </w:rPr>
            </w:pPr>
            <w:r w:rsidRPr="00C34031">
              <w:rPr>
                <w:noProof/>
                <w:color w:val="000000" w:themeColor="text1"/>
                <w:sz w:val="20"/>
              </w:rPr>
              <w:t>34,750 </w:t>
            </w:r>
          </w:p>
        </w:tc>
        <w:tc>
          <w:tcPr>
            <w:tcW w:w="496" w:type="pct"/>
            <w:gridSpan w:val="3"/>
            <w:tcBorders>
              <w:top w:val="nil"/>
              <w:left w:val="nil"/>
              <w:bottom w:val="single" w:sz="8" w:space="0" w:color="auto"/>
              <w:right w:val="single" w:sz="8" w:space="0" w:color="auto"/>
            </w:tcBorders>
            <w:shd w:val="clear" w:color="auto" w:fill="auto"/>
            <w:vAlign w:val="center"/>
            <w:hideMark/>
          </w:tcPr>
          <w:p w14:paraId="218B9587" w14:textId="77777777" w:rsidR="00FA5543" w:rsidRPr="00C34031" w:rsidRDefault="1B11002C" w:rsidP="00390489">
            <w:pPr>
              <w:spacing w:before="0" w:after="0"/>
              <w:jc w:val="right"/>
              <w:rPr>
                <w:noProof/>
                <w:color w:val="000000"/>
                <w:sz w:val="20"/>
                <w:szCs w:val="20"/>
              </w:rPr>
            </w:pPr>
            <w:r w:rsidRPr="00C34031">
              <w:rPr>
                <w:noProof/>
                <w:color w:val="000000" w:themeColor="text1"/>
                <w:sz w:val="20"/>
              </w:rPr>
              <w:t>33,700 </w:t>
            </w:r>
          </w:p>
        </w:tc>
        <w:tc>
          <w:tcPr>
            <w:tcW w:w="478" w:type="pct"/>
            <w:gridSpan w:val="3"/>
            <w:tcBorders>
              <w:top w:val="nil"/>
              <w:left w:val="nil"/>
              <w:bottom w:val="single" w:sz="8" w:space="0" w:color="auto"/>
              <w:right w:val="single" w:sz="8" w:space="0" w:color="auto"/>
            </w:tcBorders>
            <w:shd w:val="clear" w:color="auto" w:fill="auto"/>
            <w:vAlign w:val="center"/>
            <w:hideMark/>
          </w:tcPr>
          <w:p w14:paraId="02F40E53" w14:textId="77777777" w:rsidR="00FA5543" w:rsidRPr="00C34031" w:rsidRDefault="174A861D" w:rsidP="00390489">
            <w:pPr>
              <w:spacing w:before="0" w:after="0"/>
              <w:jc w:val="right"/>
              <w:rPr>
                <w:noProof/>
                <w:color w:val="000000"/>
                <w:sz w:val="20"/>
                <w:szCs w:val="20"/>
              </w:rPr>
            </w:pPr>
            <w:r w:rsidRPr="00C34031">
              <w:rPr>
                <w:noProof/>
                <w:color w:val="000000" w:themeColor="text1"/>
                <w:sz w:val="20"/>
              </w:rPr>
              <w:t>30,150 </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67D6350E" w14:textId="77777777" w:rsidR="00FA5543" w:rsidRPr="00C34031" w:rsidRDefault="6629B9C0" w:rsidP="00390489">
            <w:pPr>
              <w:spacing w:before="0" w:after="0"/>
              <w:jc w:val="right"/>
              <w:rPr>
                <w:b/>
                <w:bCs/>
                <w:noProof/>
                <w:color w:val="000000"/>
                <w:sz w:val="20"/>
                <w:szCs w:val="20"/>
              </w:rPr>
            </w:pPr>
            <w:r w:rsidRPr="00C34031">
              <w:rPr>
                <w:b/>
                <w:noProof/>
                <w:color w:val="000000" w:themeColor="text1"/>
                <w:sz w:val="20"/>
              </w:rPr>
              <w:t>126,690</w:t>
            </w:r>
          </w:p>
        </w:tc>
      </w:tr>
      <w:tr w:rsidR="00FA5543" w:rsidRPr="00C34031" w14:paraId="7399A646" w14:textId="77777777" w:rsidTr="139DF8FE">
        <w:trPr>
          <w:trHeight w:val="315"/>
        </w:trPr>
        <w:tc>
          <w:tcPr>
            <w:tcW w:w="1419" w:type="pct"/>
            <w:gridSpan w:val="2"/>
            <w:vMerge/>
            <w:vAlign w:val="center"/>
            <w:hideMark/>
          </w:tcPr>
          <w:p w14:paraId="62EB84F4" w14:textId="77777777" w:rsidR="00FA5543" w:rsidRPr="00C34031" w:rsidRDefault="00FA5543" w:rsidP="00390489">
            <w:pPr>
              <w:spacing w:before="0" w:after="0"/>
              <w:jc w:val="left"/>
              <w:rPr>
                <w:noProof/>
                <w:color w:val="000000"/>
                <w:sz w:val="22"/>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00587FAD" w14:textId="77777777" w:rsidR="00FA5543" w:rsidRPr="00C34031" w:rsidRDefault="00FA5543" w:rsidP="00390489">
            <w:pPr>
              <w:spacing w:before="0" w:after="0"/>
              <w:rPr>
                <w:noProof/>
                <w:color w:val="000000"/>
                <w:sz w:val="18"/>
                <w:szCs w:val="18"/>
              </w:rPr>
            </w:pPr>
            <w:r w:rsidRPr="00C34031">
              <w:rPr>
                <w:noProof/>
                <w:color w:val="000000"/>
                <w:sz w:val="18"/>
              </w:rPr>
              <w:t>Platby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5E26CD10" w14:textId="77777777" w:rsidR="00FA5543" w:rsidRPr="00C34031" w:rsidRDefault="00FA5543" w:rsidP="00390489">
            <w:pPr>
              <w:spacing w:before="0" w:after="0"/>
              <w:jc w:val="center"/>
              <w:rPr>
                <w:noProof/>
                <w:color w:val="000000"/>
                <w:sz w:val="14"/>
                <w:szCs w:val="14"/>
              </w:rPr>
            </w:pPr>
            <w:r w:rsidRPr="00C34031">
              <w:rPr>
                <w:noProof/>
                <w:color w:val="000000"/>
                <w:sz w:val="14"/>
              </w:rPr>
              <w:t>(2a)</w:t>
            </w:r>
          </w:p>
        </w:tc>
        <w:tc>
          <w:tcPr>
            <w:tcW w:w="496" w:type="pct"/>
            <w:gridSpan w:val="3"/>
            <w:tcBorders>
              <w:top w:val="nil"/>
              <w:left w:val="nil"/>
              <w:bottom w:val="single" w:sz="8" w:space="0" w:color="auto"/>
              <w:right w:val="single" w:sz="8" w:space="0" w:color="auto"/>
            </w:tcBorders>
            <w:shd w:val="clear" w:color="auto" w:fill="auto"/>
            <w:vAlign w:val="center"/>
            <w:hideMark/>
          </w:tcPr>
          <w:p w14:paraId="1195C804" w14:textId="77777777" w:rsidR="00FA5543" w:rsidRPr="00C34031" w:rsidRDefault="385783A1" w:rsidP="00390489">
            <w:pPr>
              <w:spacing w:before="0" w:after="0"/>
              <w:jc w:val="right"/>
              <w:rPr>
                <w:noProof/>
                <w:color w:val="000000"/>
                <w:sz w:val="20"/>
                <w:szCs w:val="20"/>
              </w:rPr>
            </w:pPr>
            <w:r w:rsidRPr="00C34031">
              <w:rPr>
                <w:noProof/>
                <w:color w:val="000000" w:themeColor="text1"/>
                <w:sz w:val="20"/>
              </w:rPr>
              <w:t>17,530 </w:t>
            </w:r>
          </w:p>
        </w:tc>
        <w:tc>
          <w:tcPr>
            <w:tcW w:w="496" w:type="pct"/>
            <w:gridSpan w:val="3"/>
            <w:tcBorders>
              <w:top w:val="nil"/>
              <w:left w:val="nil"/>
              <w:bottom w:val="single" w:sz="8" w:space="0" w:color="auto"/>
              <w:right w:val="single" w:sz="8" w:space="0" w:color="auto"/>
            </w:tcBorders>
            <w:shd w:val="clear" w:color="auto" w:fill="auto"/>
            <w:vAlign w:val="center"/>
            <w:hideMark/>
          </w:tcPr>
          <w:p w14:paraId="3A270437" w14:textId="77777777" w:rsidR="00FA5543" w:rsidRPr="00C34031" w:rsidRDefault="1E607E6A" w:rsidP="00390489">
            <w:pPr>
              <w:spacing w:before="0" w:after="0"/>
              <w:jc w:val="right"/>
              <w:rPr>
                <w:noProof/>
                <w:color w:val="000000"/>
                <w:sz w:val="20"/>
                <w:szCs w:val="20"/>
              </w:rPr>
            </w:pPr>
            <w:r w:rsidRPr="00C34031">
              <w:rPr>
                <w:noProof/>
                <w:color w:val="000000" w:themeColor="text1"/>
                <w:sz w:val="20"/>
              </w:rPr>
              <w:t>21,157 </w:t>
            </w:r>
          </w:p>
        </w:tc>
        <w:tc>
          <w:tcPr>
            <w:tcW w:w="496" w:type="pct"/>
            <w:gridSpan w:val="3"/>
            <w:tcBorders>
              <w:top w:val="nil"/>
              <w:left w:val="nil"/>
              <w:bottom w:val="single" w:sz="8" w:space="0" w:color="auto"/>
              <w:right w:val="single" w:sz="8" w:space="0" w:color="auto"/>
            </w:tcBorders>
            <w:shd w:val="clear" w:color="auto" w:fill="auto"/>
            <w:vAlign w:val="center"/>
            <w:hideMark/>
          </w:tcPr>
          <w:p w14:paraId="05D985C1" w14:textId="77777777" w:rsidR="00FA5543" w:rsidRPr="00C34031" w:rsidRDefault="0189CF84" w:rsidP="00390489">
            <w:pPr>
              <w:spacing w:before="0" w:after="0"/>
              <w:jc w:val="right"/>
              <w:rPr>
                <w:noProof/>
                <w:color w:val="000000"/>
                <w:sz w:val="20"/>
                <w:szCs w:val="20"/>
              </w:rPr>
            </w:pPr>
            <w:r w:rsidRPr="00C34031">
              <w:rPr>
                <w:noProof/>
                <w:color w:val="000000" w:themeColor="text1"/>
                <w:sz w:val="20"/>
              </w:rPr>
              <w:t>32,090 </w:t>
            </w:r>
          </w:p>
        </w:tc>
        <w:tc>
          <w:tcPr>
            <w:tcW w:w="478" w:type="pct"/>
            <w:gridSpan w:val="3"/>
            <w:tcBorders>
              <w:top w:val="nil"/>
              <w:left w:val="nil"/>
              <w:bottom w:val="single" w:sz="8" w:space="0" w:color="auto"/>
              <w:right w:val="single" w:sz="8" w:space="0" w:color="auto"/>
            </w:tcBorders>
            <w:shd w:val="clear" w:color="auto" w:fill="auto"/>
            <w:vAlign w:val="center"/>
            <w:hideMark/>
          </w:tcPr>
          <w:p w14:paraId="04ECF371" w14:textId="77777777" w:rsidR="00FA5543" w:rsidRPr="00C34031" w:rsidRDefault="6F2594AF" w:rsidP="00390489">
            <w:pPr>
              <w:spacing w:before="0" w:after="0"/>
              <w:jc w:val="right"/>
              <w:rPr>
                <w:noProof/>
                <w:color w:val="000000"/>
                <w:sz w:val="20"/>
                <w:szCs w:val="20"/>
              </w:rPr>
            </w:pPr>
            <w:r w:rsidRPr="00C34031">
              <w:rPr>
                <w:noProof/>
                <w:color w:val="000000" w:themeColor="text1"/>
                <w:sz w:val="20"/>
              </w:rPr>
              <w:t>33,067 </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1143DD9E" w14:textId="77777777" w:rsidR="00FA5543" w:rsidRPr="00C34031" w:rsidRDefault="11014210" w:rsidP="00390489">
            <w:pPr>
              <w:spacing w:before="0" w:after="0"/>
              <w:jc w:val="right"/>
              <w:rPr>
                <w:b/>
                <w:bCs/>
                <w:noProof/>
                <w:color w:val="000000"/>
                <w:sz w:val="20"/>
                <w:szCs w:val="20"/>
              </w:rPr>
            </w:pPr>
            <w:r w:rsidRPr="00C34031">
              <w:rPr>
                <w:b/>
                <w:noProof/>
                <w:color w:val="000000" w:themeColor="text1"/>
                <w:sz w:val="20"/>
              </w:rPr>
              <w:t>103,844</w:t>
            </w:r>
          </w:p>
        </w:tc>
      </w:tr>
      <w:tr w:rsidR="00FA5543" w:rsidRPr="00C34031" w14:paraId="5F58CFE3" w14:textId="77777777" w:rsidTr="139DF8FE">
        <w:trPr>
          <w:trHeight w:val="315"/>
        </w:trPr>
        <w:tc>
          <w:tcPr>
            <w:tcW w:w="1419" w:type="pct"/>
            <w:gridSpan w:val="2"/>
            <w:vMerge w:val="restart"/>
            <w:tcBorders>
              <w:top w:val="nil"/>
              <w:left w:val="single" w:sz="8" w:space="0" w:color="auto"/>
              <w:bottom w:val="single" w:sz="8" w:space="0" w:color="auto"/>
              <w:right w:val="single" w:sz="8" w:space="0" w:color="auto"/>
            </w:tcBorders>
            <w:shd w:val="clear" w:color="auto" w:fill="auto"/>
            <w:vAlign w:val="center"/>
            <w:hideMark/>
          </w:tcPr>
          <w:p w14:paraId="688CCE41" w14:textId="77777777" w:rsidR="00FA5543" w:rsidRPr="00C34031" w:rsidRDefault="00FA5543" w:rsidP="00390489">
            <w:pPr>
              <w:spacing w:before="0" w:after="0"/>
              <w:rPr>
                <w:noProof/>
                <w:color w:val="000000"/>
                <w:sz w:val="20"/>
                <w:szCs w:val="20"/>
              </w:rPr>
            </w:pPr>
            <w:r w:rsidRPr="00C34031">
              <w:rPr>
                <w:noProof/>
                <w:color w:val="000000"/>
                <w:sz w:val="20"/>
              </w:rPr>
              <w:t>Rozpočtová položka</w:t>
            </w:r>
          </w:p>
        </w:tc>
        <w:tc>
          <w:tcPr>
            <w:tcW w:w="529" w:type="pct"/>
            <w:gridSpan w:val="3"/>
            <w:tcBorders>
              <w:top w:val="nil"/>
              <w:left w:val="nil"/>
              <w:bottom w:val="single" w:sz="8" w:space="0" w:color="auto"/>
              <w:right w:val="single" w:sz="8" w:space="0" w:color="auto"/>
            </w:tcBorders>
            <w:shd w:val="clear" w:color="auto" w:fill="auto"/>
            <w:vAlign w:val="center"/>
            <w:hideMark/>
          </w:tcPr>
          <w:p w14:paraId="7CD17325" w14:textId="77777777" w:rsidR="00FA5543" w:rsidRPr="00C34031" w:rsidRDefault="00FA5543" w:rsidP="00390489">
            <w:pPr>
              <w:spacing w:before="0" w:after="0"/>
              <w:rPr>
                <w:noProof/>
                <w:color w:val="000000"/>
                <w:sz w:val="18"/>
                <w:szCs w:val="18"/>
              </w:rPr>
            </w:pPr>
            <w:r w:rsidRPr="00C34031">
              <w:rPr>
                <w:noProof/>
                <w:color w:val="000000"/>
                <w:sz w:val="18"/>
              </w:rPr>
              <w:t>Závazky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0A3B42FD" w14:textId="77777777" w:rsidR="00FA5543" w:rsidRPr="00C34031" w:rsidRDefault="00FA5543" w:rsidP="00390489">
            <w:pPr>
              <w:spacing w:before="0" w:after="0"/>
              <w:jc w:val="center"/>
              <w:rPr>
                <w:noProof/>
                <w:color w:val="000000"/>
                <w:sz w:val="14"/>
                <w:szCs w:val="14"/>
              </w:rPr>
            </w:pPr>
            <w:r w:rsidRPr="00C34031">
              <w:rPr>
                <w:noProof/>
                <w:color w:val="000000"/>
                <w:sz w:val="14"/>
              </w:rPr>
              <w:t>(1b)</w:t>
            </w:r>
          </w:p>
        </w:tc>
        <w:tc>
          <w:tcPr>
            <w:tcW w:w="496" w:type="pct"/>
            <w:gridSpan w:val="3"/>
            <w:tcBorders>
              <w:top w:val="nil"/>
              <w:left w:val="nil"/>
              <w:bottom w:val="single" w:sz="8" w:space="0" w:color="auto"/>
              <w:right w:val="single" w:sz="8" w:space="0" w:color="auto"/>
            </w:tcBorders>
            <w:shd w:val="clear" w:color="auto" w:fill="auto"/>
            <w:vAlign w:val="center"/>
            <w:hideMark/>
          </w:tcPr>
          <w:p w14:paraId="1E8590CB" w14:textId="77777777" w:rsidR="00FA5543" w:rsidRPr="00C34031" w:rsidRDefault="00FA5543" w:rsidP="00390489">
            <w:pPr>
              <w:spacing w:before="0" w:after="0"/>
              <w:jc w:val="right"/>
              <w:rPr>
                <w:noProof/>
                <w:color w:val="000000"/>
                <w:sz w:val="20"/>
                <w:szCs w:val="20"/>
              </w:rPr>
            </w:pPr>
            <w:r w:rsidRPr="00C34031">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14:paraId="05108E05" w14:textId="77777777" w:rsidR="00FA5543" w:rsidRPr="00C34031" w:rsidRDefault="00FA5543" w:rsidP="00390489">
            <w:pPr>
              <w:spacing w:before="0" w:after="0"/>
              <w:jc w:val="right"/>
              <w:rPr>
                <w:noProof/>
                <w:color w:val="000000"/>
                <w:sz w:val="20"/>
                <w:szCs w:val="20"/>
              </w:rPr>
            </w:pPr>
            <w:r w:rsidRPr="00C34031">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14:paraId="67251A39" w14:textId="77777777" w:rsidR="00FA5543" w:rsidRPr="00C34031" w:rsidRDefault="00FA5543" w:rsidP="00390489">
            <w:pPr>
              <w:spacing w:before="0" w:after="0"/>
              <w:jc w:val="right"/>
              <w:rPr>
                <w:noProof/>
                <w:color w:val="000000"/>
                <w:sz w:val="20"/>
                <w:szCs w:val="20"/>
              </w:rPr>
            </w:pPr>
            <w:r w:rsidRPr="00C34031">
              <w:rPr>
                <w:noProof/>
                <w:color w:val="000000"/>
                <w:sz w:val="20"/>
              </w:rPr>
              <w:t> </w:t>
            </w:r>
          </w:p>
        </w:tc>
        <w:tc>
          <w:tcPr>
            <w:tcW w:w="478" w:type="pct"/>
            <w:gridSpan w:val="3"/>
            <w:tcBorders>
              <w:top w:val="nil"/>
              <w:left w:val="nil"/>
              <w:bottom w:val="single" w:sz="8" w:space="0" w:color="auto"/>
              <w:right w:val="single" w:sz="8" w:space="0" w:color="auto"/>
            </w:tcBorders>
            <w:shd w:val="clear" w:color="auto" w:fill="auto"/>
            <w:vAlign w:val="center"/>
            <w:hideMark/>
          </w:tcPr>
          <w:p w14:paraId="156BF6B1" w14:textId="77777777" w:rsidR="00FA5543" w:rsidRPr="00C34031" w:rsidRDefault="00FA5543" w:rsidP="00390489">
            <w:pPr>
              <w:spacing w:before="0" w:after="0"/>
              <w:jc w:val="right"/>
              <w:rPr>
                <w:noProof/>
                <w:color w:val="000000"/>
                <w:sz w:val="20"/>
                <w:szCs w:val="20"/>
              </w:rPr>
            </w:pPr>
            <w:r w:rsidRPr="00C34031">
              <w:rPr>
                <w:noProof/>
                <w:color w:val="000000"/>
                <w:sz w:val="20"/>
              </w:rPr>
              <w:t> </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69E3B30C" w14:textId="77777777" w:rsidR="00FA5543" w:rsidRPr="00C34031" w:rsidRDefault="00FA5543" w:rsidP="00390489">
            <w:pPr>
              <w:spacing w:before="0" w:after="0"/>
              <w:jc w:val="right"/>
              <w:rPr>
                <w:b/>
                <w:bCs/>
                <w:noProof/>
                <w:color w:val="000000"/>
                <w:sz w:val="20"/>
                <w:szCs w:val="20"/>
              </w:rPr>
            </w:pPr>
            <w:r w:rsidRPr="00C34031">
              <w:rPr>
                <w:b/>
                <w:noProof/>
                <w:color w:val="000000"/>
                <w:sz w:val="20"/>
              </w:rPr>
              <w:t>0,000</w:t>
            </w:r>
          </w:p>
        </w:tc>
      </w:tr>
      <w:tr w:rsidR="00FA5543" w:rsidRPr="00C34031" w14:paraId="7038FEB1" w14:textId="77777777" w:rsidTr="139DF8FE">
        <w:trPr>
          <w:trHeight w:val="315"/>
        </w:trPr>
        <w:tc>
          <w:tcPr>
            <w:tcW w:w="1419" w:type="pct"/>
            <w:gridSpan w:val="2"/>
            <w:vMerge/>
            <w:vAlign w:val="center"/>
            <w:hideMark/>
          </w:tcPr>
          <w:p w14:paraId="6D2C3352" w14:textId="77777777" w:rsidR="00FA5543" w:rsidRPr="00C34031" w:rsidRDefault="00FA5543" w:rsidP="00390489">
            <w:pPr>
              <w:spacing w:before="0" w:after="0"/>
              <w:jc w:val="left"/>
              <w:rPr>
                <w:noProof/>
                <w:color w:val="000000"/>
                <w:sz w:val="20"/>
                <w:szCs w:val="20"/>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53B9B44B" w14:textId="77777777" w:rsidR="00FA5543" w:rsidRPr="00C34031" w:rsidRDefault="00FA5543" w:rsidP="00390489">
            <w:pPr>
              <w:spacing w:before="0" w:after="0"/>
              <w:rPr>
                <w:noProof/>
                <w:color w:val="000000"/>
                <w:sz w:val="18"/>
                <w:szCs w:val="18"/>
              </w:rPr>
            </w:pPr>
            <w:r w:rsidRPr="00C34031">
              <w:rPr>
                <w:noProof/>
                <w:color w:val="000000"/>
                <w:sz w:val="18"/>
              </w:rPr>
              <w:t>Platby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1646837B" w14:textId="77777777" w:rsidR="00FA5543" w:rsidRPr="00C34031" w:rsidRDefault="00FA5543" w:rsidP="00390489">
            <w:pPr>
              <w:spacing w:before="0" w:after="0"/>
              <w:jc w:val="center"/>
              <w:rPr>
                <w:noProof/>
                <w:color w:val="000000"/>
                <w:sz w:val="14"/>
                <w:szCs w:val="14"/>
              </w:rPr>
            </w:pPr>
            <w:r w:rsidRPr="00C34031">
              <w:rPr>
                <w:noProof/>
                <w:color w:val="000000"/>
                <w:sz w:val="14"/>
              </w:rPr>
              <w:t>(2b)</w:t>
            </w:r>
          </w:p>
        </w:tc>
        <w:tc>
          <w:tcPr>
            <w:tcW w:w="496" w:type="pct"/>
            <w:gridSpan w:val="3"/>
            <w:tcBorders>
              <w:top w:val="nil"/>
              <w:left w:val="nil"/>
              <w:bottom w:val="single" w:sz="8" w:space="0" w:color="auto"/>
              <w:right w:val="single" w:sz="8" w:space="0" w:color="auto"/>
            </w:tcBorders>
            <w:shd w:val="clear" w:color="auto" w:fill="auto"/>
            <w:vAlign w:val="center"/>
            <w:hideMark/>
          </w:tcPr>
          <w:p w14:paraId="2A2EBE2E" w14:textId="77777777" w:rsidR="00FA5543" w:rsidRPr="00C34031" w:rsidRDefault="00FA5543" w:rsidP="00390489">
            <w:pPr>
              <w:spacing w:before="0" w:after="0"/>
              <w:jc w:val="right"/>
              <w:rPr>
                <w:noProof/>
                <w:color w:val="000000"/>
                <w:sz w:val="20"/>
                <w:szCs w:val="20"/>
              </w:rPr>
            </w:pPr>
            <w:r w:rsidRPr="00C34031">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14:paraId="5E42C2E6" w14:textId="77777777" w:rsidR="00FA5543" w:rsidRPr="00C34031" w:rsidRDefault="00FA5543" w:rsidP="00390489">
            <w:pPr>
              <w:spacing w:before="0" w:after="0"/>
              <w:jc w:val="right"/>
              <w:rPr>
                <w:noProof/>
                <w:color w:val="000000"/>
                <w:sz w:val="20"/>
                <w:szCs w:val="20"/>
              </w:rPr>
            </w:pPr>
            <w:r w:rsidRPr="00C34031">
              <w:rPr>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14:paraId="423BE9BD" w14:textId="77777777" w:rsidR="00FA5543" w:rsidRPr="00C34031" w:rsidRDefault="00FA5543" w:rsidP="00390489">
            <w:pPr>
              <w:spacing w:before="0" w:after="0"/>
              <w:jc w:val="right"/>
              <w:rPr>
                <w:noProof/>
                <w:color w:val="000000"/>
                <w:sz w:val="20"/>
                <w:szCs w:val="20"/>
              </w:rPr>
            </w:pPr>
            <w:r w:rsidRPr="00C34031">
              <w:rPr>
                <w:noProof/>
                <w:color w:val="000000"/>
                <w:sz w:val="20"/>
              </w:rPr>
              <w:t> </w:t>
            </w:r>
          </w:p>
        </w:tc>
        <w:tc>
          <w:tcPr>
            <w:tcW w:w="478" w:type="pct"/>
            <w:gridSpan w:val="3"/>
            <w:tcBorders>
              <w:top w:val="nil"/>
              <w:left w:val="nil"/>
              <w:bottom w:val="single" w:sz="8" w:space="0" w:color="auto"/>
              <w:right w:val="single" w:sz="8" w:space="0" w:color="auto"/>
            </w:tcBorders>
            <w:shd w:val="clear" w:color="auto" w:fill="auto"/>
            <w:vAlign w:val="center"/>
            <w:hideMark/>
          </w:tcPr>
          <w:p w14:paraId="0F82DEFD" w14:textId="77777777" w:rsidR="00FA5543" w:rsidRPr="00C34031" w:rsidRDefault="00FA5543" w:rsidP="00390489">
            <w:pPr>
              <w:spacing w:before="0" w:after="0"/>
              <w:jc w:val="right"/>
              <w:rPr>
                <w:noProof/>
                <w:color w:val="000000"/>
                <w:sz w:val="20"/>
                <w:szCs w:val="20"/>
              </w:rPr>
            </w:pPr>
            <w:r w:rsidRPr="00C34031">
              <w:rPr>
                <w:noProof/>
                <w:color w:val="000000"/>
                <w:sz w:val="20"/>
              </w:rPr>
              <w:t> </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2AB155E5" w14:textId="77777777" w:rsidR="00FA5543" w:rsidRPr="00C34031" w:rsidRDefault="00FA5543" w:rsidP="00390489">
            <w:pPr>
              <w:spacing w:before="0" w:after="0"/>
              <w:jc w:val="right"/>
              <w:rPr>
                <w:b/>
                <w:bCs/>
                <w:noProof/>
                <w:color w:val="000000"/>
                <w:sz w:val="20"/>
                <w:szCs w:val="20"/>
              </w:rPr>
            </w:pPr>
            <w:r w:rsidRPr="00C34031">
              <w:rPr>
                <w:b/>
                <w:noProof/>
                <w:color w:val="000000"/>
                <w:sz w:val="20"/>
              </w:rPr>
              <w:t>0,000</w:t>
            </w:r>
          </w:p>
        </w:tc>
      </w:tr>
      <w:tr w:rsidR="00FA5543" w:rsidRPr="00C34031" w14:paraId="0583469F" w14:textId="77777777" w:rsidTr="139DF8FE">
        <w:trPr>
          <w:trHeight w:val="288"/>
        </w:trPr>
        <w:tc>
          <w:tcPr>
            <w:tcW w:w="5000" w:type="pct"/>
            <w:gridSpan w:val="23"/>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58FB799" w14:textId="77777777" w:rsidR="00FA5543" w:rsidRPr="00C34031" w:rsidRDefault="00FA5543" w:rsidP="00390489">
            <w:pPr>
              <w:spacing w:before="0" w:after="0"/>
              <w:jc w:val="left"/>
              <w:rPr>
                <w:noProof/>
                <w:color w:val="000000"/>
                <w:sz w:val="22"/>
              </w:rPr>
            </w:pPr>
            <w:r w:rsidRPr="00C34031">
              <w:rPr>
                <w:noProof/>
                <w:color w:val="000000"/>
                <w:sz w:val="22"/>
              </w:rPr>
              <w:t>Prostředky správní povahy financované z rámce na zvláštní programy</w:t>
            </w:r>
            <w:r w:rsidRPr="00C34031">
              <w:rPr>
                <w:rStyle w:val="FootnoteReference"/>
                <w:noProof/>
                <w:color w:val="000000"/>
                <w:sz w:val="22"/>
                <w:lang w:eastAsia="en-IE"/>
              </w:rPr>
              <w:footnoteReference w:id="24"/>
            </w:r>
          </w:p>
        </w:tc>
      </w:tr>
      <w:tr w:rsidR="00FA5543" w:rsidRPr="00C34031" w14:paraId="5E5E9E08" w14:textId="77777777" w:rsidTr="139DF8FE">
        <w:trPr>
          <w:trHeight w:val="288"/>
        </w:trPr>
        <w:tc>
          <w:tcPr>
            <w:tcW w:w="1419" w:type="pct"/>
            <w:gridSpan w:val="2"/>
            <w:tcBorders>
              <w:top w:val="nil"/>
              <w:left w:val="single" w:sz="8" w:space="0" w:color="auto"/>
              <w:bottom w:val="single" w:sz="8" w:space="0" w:color="auto"/>
              <w:right w:val="single" w:sz="8" w:space="0" w:color="auto"/>
            </w:tcBorders>
            <w:shd w:val="clear" w:color="auto" w:fill="auto"/>
            <w:vAlign w:val="center"/>
            <w:hideMark/>
          </w:tcPr>
          <w:p w14:paraId="1838F3AB" w14:textId="77777777" w:rsidR="00FA5543" w:rsidRPr="00C34031" w:rsidRDefault="00FA5543" w:rsidP="00390489">
            <w:pPr>
              <w:spacing w:before="0" w:after="0"/>
              <w:rPr>
                <w:noProof/>
                <w:color w:val="000000"/>
                <w:sz w:val="20"/>
                <w:szCs w:val="20"/>
              </w:rPr>
            </w:pPr>
            <w:r w:rsidRPr="00C34031">
              <w:rPr>
                <w:noProof/>
                <w:color w:val="000000"/>
                <w:sz w:val="20"/>
              </w:rPr>
              <w:t>Rozpočtová položka</w:t>
            </w:r>
          </w:p>
        </w:tc>
        <w:tc>
          <w:tcPr>
            <w:tcW w:w="529" w:type="pct"/>
            <w:gridSpan w:val="3"/>
            <w:tcBorders>
              <w:top w:val="nil"/>
              <w:left w:val="nil"/>
              <w:bottom w:val="single" w:sz="8" w:space="0" w:color="auto"/>
              <w:right w:val="single" w:sz="8" w:space="0" w:color="auto"/>
            </w:tcBorders>
            <w:shd w:val="clear" w:color="auto" w:fill="auto"/>
            <w:vAlign w:val="center"/>
            <w:hideMark/>
          </w:tcPr>
          <w:p w14:paraId="5BE8998C" w14:textId="77777777" w:rsidR="00FA5543" w:rsidRPr="00C34031" w:rsidRDefault="00FA5543" w:rsidP="00390489">
            <w:pPr>
              <w:spacing w:before="0" w:after="0"/>
              <w:jc w:val="right"/>
              <w:rPr>
                <w:noProof/>
                <w:color w:val="000000"/>
                <w:sz w:val="18"/>
                <w:szCs w:val="18"/>
              </w:rPr>
            </w:pPr>
            <w:r w:rsidRPr="00C34031">
              <w:rPr>
                <w:noProof/>
                <w:color w:val="000000"/>
                <w:sz w:val="18"/>
              </w:rPr>
              <w:t> </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05577311" w14:textId="77777777" w:rsidR="00FA5543" w:rsidRPr="00C34031" w:rsidRDefault="00FA5543" w:rsidP="00390489">
            <w:pPr>
              <w:spacing w:before="0" w:after="0"/>
              <w:jc w:val="center"/>
              <w:rPr>
                <w:noProof/>
                <w:color w:val="000000"/>
                <w:sz w:val="14"/>
                <w:szCs w:val="14"/>
              </w:rPr>
            </w:pPr>
            <w:r w:rsidRPr="00C34031">
              <w:rPr>
                <w:noProof/>
                <w:color w:val="000000"/>
                <w:sz w:val="14"/>
              </w:rPr>
              <w:t>(3)</w:t>
            </w:r>
          </w:p>
        </w:tc>
        <w:tc>
          <w:tcPr>
            <w:tcW w:w="496" w:type="pct"/>
            <w:gridSpan w:val="3"/>
            <w:tcBorders>
              <w:top w:val="nil"/>
              <w:left w:val="nil"/>
              <w:bottom w:val="single" w:sz="8" w:space="0" w:color="auto"/>
              <w:right w:val="single" w:sz="8" w:space="0" w:color="auto"/>
            </w:tcBorders>
            <w:shd w:val="clear" w:color="auto" w:fill="auto"/>
            <w:vAlign w:val="center"/>
            <w:hideMark/>
          </w:tcPr>
          <w:p w14:paraId="06E6198A" w14:textId="77777777" w:rsidR="00FA5543" w:rsidRPr="00C34031" w:rsidRDefault="00FA5543" w:rsidP="00390489">
            <w:pPr>
              <w:spacing w:before="0" w:after="0"/>
              <w:jc w:val="right"/>
              <w:rPr>
                <w:b/>
                <w:bCs/>
                <w:noProof/>
                <w:color w:val="000000"/>
                <w:sz w:val="20"/>
                <w:szCs w:val="20"/>
              </w:rPr>
            </w:pPr>
            <w:r w:rsidRPr="00C34031">
              <w:rPr>
                <w:b/>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14:paraId="446E65C0" w14:textId="77777777" w:rsidR="00FA5543" w:rsidRPr="00C34031" w:rsidRDefault="00FA5543" w:rsidP="00390489">
            <w:pPr>
              <w:spacing w:before="0" w:after="0"/>
              <w:jc w:val="right"/>
              <w:rPr>
                <w:b/>
                <w:bCs/>
                <w:noProof/>
                <w:color w:val="000000"/>
                <w:sz w:val="20"/>
                <w:szCs w:val="20"/>
              </w:rPr>
            </w:pPr>
            <w:r w:rsidRPr="00C34031">
              <w:rPr>
                <w:b/>
                <w:noProof/>
                <w:color w:val="000000"/>
                <w:sz w:val="20"/>
              </w:rPr>
              <w:t> </w:t>
            </w:r>
          </w:p>
        </w:tc>
        <w:tc>
          <w:tcPr>
            <w:tcW w:w="496" w:type="pct"/>
            <w:gridSpan w:val="3"/>
            <w:tcBorders>
              <w:top w:val="nil"/>
              <w:left w:val="nil"/>
              <w:bottom w:val="single" w:sz="8" w:space="0" w:color="auto"/>
              <w:right w:val="single" w:sz="8" w:space="0" w:color="auto"/>
            </w:tcBorders>
            <w:shd w:val="clear" w:color="auto" w:fill="auto"/>
            <w:vAlign w:val="center"/>
            <w:hideMark/>
          </w:tcPr>
          <w:p w14:paraId="5A424D71" w14:textId="77777777" w:rsidR="00FA5543" w:rsidRPr="00C34031" w:rsidRDefault="00FA5543" w:rsidP="00390489">
            <w:pPr>
              <w:spacing w:before="0" w:after="0"/>
              <w:jc w:val="right"/>
              <w:rPr>
                <w:b/>
                <w:bCs/>
                <w:noProof/>
                <w:color w:val="000000"/>
                <w:sz w:val="20"/>
                <w:szCs w:val="20"/>
              </w:rPr>
            </w:pPr>
            <w:r w:rsidRPr="00C34031">
              <w:rPr>
                <w:b/>
                <w:noProof/>
                <w:color w:val="000000"/>
                <w:sz w:val="20"/>
              </w:rPr>
              <w:t> </w:t>
            </w:r>
          </w:p>
        </w:tc>
        <w:tc>
          <w:tcPr>
            <w:tcW w:w="478" w:type="pct"/>
            <w:gridSpan w:val="3"/>
            <w:tcBorders>
              <w:top w:val="nil"/>
              <w:left w:val="nil"/>
              <w:bottom w:val="single" w:sz="8" w:space="0" w:color="auto"/>
              <w:right w:val="single" w:sz="8" w:space="0" w:color="auto"/>
            </w:tcBorders>
            <w:shd w:val="clear" w:color="auto" w:fill="auto"/>
            <w:vAlign w:val="center"/>
            <w:hideMark/>
          </w:tcPr>
          <w:p w14:paraId="3CA1C7F6" w14:textId="77777777" w:rsidR="00FA5543" w:rsidRPr="00C34031" w:rsidRDefault="00FA5543" w:rsidP="00390489">
            <w:pPr>
              <w:spacing w:before="0" w:after="0"/>
              <w:jc w:val="right"/>
              <w:rPr>
                <w:b/>
                <w:bCs/>
                <w:noProof/>
                <w:color w:val="000000"/>
                <w:sz w:val="20"/>
                <w:szCs w:val="20"/>
              </w:rPr>
            </w:pPr>
            <w:r w:rsidRPr="00C34031">
              <w:rPr>
                <w:b/>
                <w:noProof/>
                <w:color w:val="000000"/>
                <w:sz w:val="20"/>
              </w:rPr>
              <w:t> </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2580EF07" w14:textId="77777777" w:rsidR="00FA5543" w:rsidRPr="00C34031" w:rsidRDefault="00FA5543" w:rsidP="00390489">
            <w:pPr>
              <w:spacing w:before="0" w:after="0"/>
              <w:jc w:val="right"/>
              <w:rPr>
                <w:b/>
                <w:bCs/>
                <w:noProof/>
                <w:color w:val="000000"/>
                <w:sz w:val="20"/>
                <w:szCs w:val="20"/>
              </w:rPr>
            </w:pPr>
            <w:r w:rsidRPr="00C34031">
              <w:rPr>
                <w:b/>
                <w:noProof/>
                <w:color w:val="000000"/>
                <w:sz w:val="20"/>
              </w:rPr>
              <w:t>0,000</w:t>
            </w:r>
          </w:p>
        </w:tc>
      </w:tr>
      <w:tr w:rsidR="00FA5543" w:rsidRPr="00C34031" w14:paraId="376F72CA" w14:textId="77777777" w:rsidTr="139DF8FE">
        <w:trPr>
          <w:trHeight w:val="288"/>
        </w:trPr>
        <w:tc>
          <w:tcPr>
            <w:tcW w:w="1419" w:type="pct"/>
            <w:gridSpan w:val="2"/>
            <w:vMerge w:val="restart"/>
            <w:tcBorders>
              <w:top w:val="nil"/>
              <w:left w:val="single" w:sz="8" w:space="0" w:color="auto"/>
              <w:right w:val="single" w:sz="8" w:space="0" w:color="auto"/>
            </w:tcBorders>
            <w:shd w:val="clear" w:color="auto" w:fill="auto"/>
            <w:vAlign w:val="center"/>
            <w:hideMark/>
          </w:tcPr>
          <w:p w14:paraId="6EE1857A" w14:textId="77777777" w:rsidR="00FA5543" w:rsidRPr="00C34031" w:rsidRDefault="00FA5543" w:rsidP="00390489">
            <w:pPr>
              <w:spacing w:before="0" w:after="0"/>
              <w:jc w:val="center"/>
              <w:rPr>
                <w:b/>
                <w:bCs/>
                <w:noProof/>
                <w:color w:val="000000"/>
                <w:sz w:val="22"/>
              </w:rPr>
            </w:pPr>
            <w:r w:rsidRPr="00C34031">
              <w:rPr>
                <w:b/>
                <w:noProof/>
                <w:color w:val="000000"/>
                <w:sz w:val="22"/>
              </w:rPr>
              <w:t>CELKEM prostředky</w:t>
            </w:r>
          </w:p>
          <w:p w14:paraId="5CCA7ABA" w14:textId="77777777" w:rsidR="00FA5543" w:rsidRPr="00C34031" w:rsidRDefault="6C3AF1E0" w:rsidP="139DF8FE">
            <w:pPr>
              <w:spacing w:before="0" w:after="0"/>
              <w:jc w:val="center"/>
              <w:rPr>
                <w:b/>
                <w:bCs/>
                <w:noProof/>
                <w:color w:val="000000"/>
                <w:sz w:val="22"/>
              </w:rPr>
            </w:pPr>
            <w:r w:rsidRPr="00C34031">
              <w:rPr>
                <w:b/>
                <w:noProof/>
                <w:color w:val="000000" w:themeColor="text1"/>
                <w:sz w:val="22"/>
              </w:rPr>
              <w:t>na GŘ TAXUD</w:t>
            </w:r>
          </w:p>
        </w:tc>
        <w:tc>
          <w:tcPr>
            <w:tcW w:w="529" w:type="pct"/>
            <w:gridSpan w:val="3"/>
            <w:tcBorders>
              <w:top w:val="nil"/>
              <w:left w:val="nil"/>
              <w:bottom w:val="single" w:sz="8" w:space="0" w:color="auto"/>
              <w:right w:val="single" w:sz="8" w:space="0" w:color="auto"/>
            </w:tcBorders>
            <w:shd w:val="clear" w:color="auto" w:fill="auto"/>
            <w:vAlign w:val="center"/>
            <w:hideMark/>
          </w:tcPr>
          <w:p w14:paraId="5ED31081" w14:textId="77777777" w:rsidR="00FA5543" w:rsidRPr="00C34031" w:rsidRDefault="00FA5543" w:rsidP="00390489">
            <w:pPr>
              <w:spacing w:before="0" w:after="0"/>
              <w:rPr>
                <w:noProof/>
                <w:color w:val="000000"/>
                <w:sz w:val="18"/>
                <w:szCs w:val="18"/>
              </w:rPr>
            </w:pPr>
            <w:r w:rsidRPr="00C34031">
              <w:rPr>
                <w:noProof/>
                <w:color w:val="000000"/>
                <w:sz w:val="18"/>
              </w:rPr>
              <w:t>Závazky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622D0405" w14:textId="77777777" w:rsidR="00FA5543" w:rsidRPr="00C34031" w:rsidRDefault="00FA5543" w:rsidP="00390489">
            <w:pPr>
              <w:spacing w:before="0" w:after="0"/>
              <w:jc w:val="center"/>
              <w:rPr>
                <w:noProof/>
                <w:color w:val="000000"/>
                <w:sz w:val="14"/>
                <w:szCs w:val="14"/>
              </w:rPr>
            </w:pPr>
            <w:r w:rsidRPr="00C34031">
              <w:rPr>
                <w:noProof/>
                <w:color w:val="000000"/>
                <w:sz w:val="14"/>
              </w:rPr>
              <w:t>=1a+1b+3</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40027E1" w14:textId="77777777" w:rsidR="00FA5543" w:rsidRPr="00C34031" w:rsidRDefault="6C2980B8" w:rsidP="00390489">
            <w:pPr>
              <w:spacing w:before="0" w:after="0"/>
              <w:jc w:val="right"/>
              <w:rPr>
                <w:b/>
                <w:bCs/>
                <w:noProof/>
                <w:color w:val="000000"/>
                <w:sz w:val="20"/>
                <w:szCs w:val="20"/>
              </w:rPr>
            </w:pPr>
            <w:r w:rsidRPr="00C34031">
              <w:rPr>
                <w:b/>
                <w:noProof/>
                <w:color w:val="000000" w:themeColor="text1"/>
                <w:sz w:val="20"/>
              </w:rPr>
              <w:t>28,090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4506CA70" w14:textId="77777777" w:rsidR="00FA5543" w:rsidRPr="00C34031" w:rsidRDefault="6C2980B8" w:rsidP="00390489">
            <w:pPr>
              <w:spacing w:before="0" w:after="0"/>
              <w:jc w:val="right"/>
              <w:rPr>
                <w:b/>
                <w:bCs/>
                <w:noProof/>
                <w:color w:val="000000"/>
                <w:sz w:val="20"/>
                <w:szCs w:val="20"/>
              </w:rPr>
            </w:pPr>
            <w:r w:rsidRPr="00C34031">
              <w:rPr>
                <w:b/>
                <w:noProof/>
                <w:color w:val="000000" w:themeColor="text1"/>
                <w:sz w:val="20"/>
              </w:rPr>
              <w:t>34,750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0911383" w14:textId="77777777" w:rsidR="00FA5543" w:rsidRPr="00C34031" w:rsidRDefault="6C2980B8" w:rsidP="00390489">
            <w:pPr>
              <w:spacing w:before="0" w:after="0"/>
              <w:jc w:val="right"/>
              <w:rPr>
                <w:b/>
                <w:bCs/>
                <w:noProof/>
                <w:color w:val="000000"/>
                <w:sz w:val="20"/>
                <w:szCs w:val="20"/>
              </w:rPr>
            </w:pPr>
            <w:r w:rsidRPr="00C34031">
              <w:rPr>
                <w:b/>
                <w:noProof/>
                <w:color w:val="000000" w:themeColor="text1"/>
                <w:sz w:val="20"/>
              </w:rPr>
              <w:t>33,700</w:t>
            </w:r>
          </w:p>
        </w:tc>
        <w:tc>
          <w:tcPr>
            <w:tcW w:w="478"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48A666D9" w14:textId="77777777" w:rsidR="00FA5543" w:rsidRPr="00C34031" w:rsidRDefault="6C2980B8" w:rsidP="00390489">
            <w:pPr>
              <w:spacing w:before="0" w:after="0"/>
              <w:jc w:val="right"/>
              <w:rPr>
                <w:b/>
                <w:bCs/>
                <w:noProof/>
                <w:color w:val="000000"/>
                <w:sz w:val="20"/>
                <w:szCs w:val="20"/>
              </w:rPr>
            </w:pPr>
            <w:r w:rsidRPr="00C34031">
              <w:rPr>
                <w:b/>
                <w:noProof/>
                <w:color w:val="000000" w:themeColor="text1"/>
                <w:sz w:val="20"/>
              </w:rPr>
              <w:t>30,150</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32C48001" w14:textId="77777777" w:rsidR="00FA5543" w:rsidRPr="00C34031" w:rsidRDefault="6C2980B8" w:rsidP="00390489">
            <w:pPr>
              <w:spacing w:before="0" w:after="0"/>
              <w:jc w:val="right"/>
              <w:rPr>
                <w:b/>
                <w:bCs/>
                <w:noProof/>
                <w:color w:val="000000"/>
                <w:sz w:val="20"/>
                <w:szCs w:val="20"/>
              </w:rPr>
            </w:pPr>
            <w:r w:rsidRPr="00C34031">
              <w:rPr>
                <w:b/>
                <w:noProof/>
                <w:color w:val="000000" w:themeColor="text1"/>
                <w:sz w:val="20"/>
              </w:rPr>
              <w:t>126,690</w:t>
            </w:r>
          </w:p>
        </w:tc>
      </w:tr>
      <w:tr w:rsidR="00FA5543" w:rsidRPr="00C34031" w14:paraId="1E3AD4F8" w14:textId="77777777" w:rsidTr="139DF8FE">
        <w:trPr>
          <w:trHeight w:val="288"/>
        </w:trPr>
        <w:tc>
          <w:tcPr>
            <w:tcW w:w="1419" w:type="pct"/>
            <w:gridSpan w:val="2"/>
            <w:vMerge/>
            <w:vAlign w:val="center"/>
            <w:hideMark/>
          </w:tcPr>
          <w:p w14:paraId="499393B6" w14:textId="77777777" w:rsidR="00FA5543" w:rsidRPr="00C34031" w:rsidRDefault="00FA5543" w:rsidP="00390489">
            <w:pPr>
              <w:spacing w:before="0" w:after="0"/>
              <w:jc w:val="center"/>
              <w:rPr>
                <w:b/>
                <w:bCs/>
                <w:noProof/>
                <w:color w:val="000000"/>
                <w:sz w:val="22"/>
                <w:lang w:eastAsia="en-IE"/>
              </w:rPr>
            </w:pPr>
          </w:p>
        </w:tc>
        <w:tc>
          <w:tcPr>
            <w:tcW w:w="529" w:type="pct"/>
            <w:gridSpan w:val="3"/>
            <w:tcBorders>
              <w:top w:val="nil"/>
              <w:left w:val="single" w:sz="8" w:space="0" w:color="auto"/>
              <w:bottom w:val="single" w:sz="8" w:space="0" w:color="auto"/>
              <w:right w:val="single" w:sz="8" w:space="0" w:color="auto"/>
            </w:tcBorders>
            <w:shd w:val="clear" w:color="auto" w:fill="auto"/>
            <w:vAlign w:val="center"/>
            <w:hideMark/>
          </w:tcPr>
          <w:p w14:paraId="3D968F46" w14:textId="77777777" w:rsidR="00FA5543" w:rsidRPr="00C34031" w:rsidRDefault="00FA5543" w:rsidP="00390489">
            <w:pPr>
              <w:spacing w:before="0" w:after="0"/>
              <w:rPr>
                <w:noProof/>
                <w:color w:val="000000"/>
                <w:sz w:val="18"/>
                <w:szCs w:val="18"/>
              </w:rPr>
            </w:pPr>
            <w:r w:rsidRPr="00C34031">
              <w:rPr>
                <w:noProof/>
                <w:color w:val="000000"/>
                <w:sz w:val="18"/>
              </w:rPr>
              <w:t>Platby</w:t>
            </w:r>
          </w:p>
        </w:tc>
        <w:tc>
          <w:tcPr>
            <w:tcW w:w="496" w:type="pct"/>
            <w:gridSpan w:val="4"/>
            <w:tcBorders>
              <w:top w:val="single" w:sz="8" w:space="0" w:color="auto"/>
              <w:left w:val="nil"/>
              <w:bottom w:val="single" w:sz="8" w:space="0" w:color="auto"/>
              <w:right w:val="single" w:sz="8" w:space="0" w:color="auto"/>
            </w:tcBorders>
            <w:shd w:val="clear" w:color="auto" w:fill="auto"/>
            <w:vAlign w:val="center"/>
            <w:hideMark/>
          </w:tcPr>
          <w:p w14:paraId="54034852" w14:textId="77777777" w:rsidR="00FA5543" w:rsidRPr="00C34031" w:rsidRDefault="00FA5543" w:rsidP="00390489">
            <w:pPr>
              <w:spacing w:before="0" w:after="0"/>
              <w:jc w:val="center"/>
              <w:rPr>
                <w:noProof/>
                <w:color w:val="000000"/>
                <w:sz w:val="14"/>
                <w:szCs w:val="14"/>
              </w:rPr>
            </w:pPr>
            <w:r w:rsidRPr="00C34031">
              <w:rPr>
                <w:noProof/>
                <w:color w:val="000000"/>
                <w:sz w:val="14"/>
              </w:rPr>
              <w:t>=2a+2b+3</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CFA4E1A" w14:textId="77777777" w:rsidR="00FA5543" w:rsidRPr="00C34031" w:rsidRDefault="0532A5AF" w:rsidP="00390489">
            <w:pPr>
              <w:spacing w:before="0" w:after="0"/>
              <w:jc w:val="right"/>
              <w:rPr>
                <w:b/>
                <w:bCs/>
                <w:noProof/>
                <w:color w:val="000000"/>
                <w:sz w:val="20"/>
                <w:szCs w:val="20"/>
              </w:rPr>
            </w:pPr>
            <w:r w:rsidRPr="00C34031">
              <w:rPr>
                <w:b/>
                <w:noProof/>
                <w:color w:val="000000" w:themeColor="text1"/>
                <w:sz w:val="20"/>
              </w:rPr>
              <w:t>17,530</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49930CE4" w14:textId="77777777" w:rsidR="00FA5543" w:rsidRPr="00C34031" w:rsidRDefault="0532A5AF" w:rsidP="00390489">
            <w:pPr>
              <w:spacing w:before="0" w:after="0"/>
              <w:jc w:val="right"/>
              <w:rPr>
                <w:b/>
                <w:bCs/>
                <w:noProof/>
                <w:color w:val="000000"/>
                <w:sz w:val="20"/>
                <w:szCs w:val="20"/>
              </w:rPr>
            </w:pPr>
            <w:r w:rsidRPr="00C34031">
              <w:rPr>
                <w:b/>
                <w:noProof/>
                <w:color w:val="000000" w:themeColor="text1"/>
                <w:sz w:val="20"/>
              </w:rPr>
              <w:t>21,157</w:t>
            </w:r>
          </w:p>
        </w:tc>
        <w:tc>
          <w:tcPr>
            <w:tcW w:w="4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296271AD" w14:textId="77777777" w:rsidR="00FA5543" w:rsidRPr="00C34031" w:rsidRDefault="0532A5AF" w:rsidP="00390489">
            <w:pPr>
              <w:spacing w:before="0" w:after="0"/>
              <w:jc w:val="right"/>
              <w:rPr>
                <w:b/>
                <w:bCs/>
                <w:noProof/>
                <w:color w:val="000000"/>
                <w:sz w:val="20"/>
                <w:szCs w:val="20"/>
              </w:rPr>
            </w:pPr>
            <w:r w:rsidRPr="00C34031">
              <w:rPr>
                <w:b/>
                <w:noProof/>
                <w:color w:val="000000" w:themeColor="text1"/>
                <w:sz w:val="20"/>
              </w:rPr>
              <w:t>32,090</w:t>
            </w:r>
          </w:p>
        </w:tc>
        <w:tc>
          <w:tcPr>
            <w:tcW w:w="478"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40AFD470" w14:textId="77777777" w:rsidR="00FA5543" w:rsidRPr="00C34031" w:rsidRDefault="0532A5AF" w:rsidP="00390489">
            <w:pPr>
              <w:spacing w:before="0" w:after="0"/>
              <w:jc w:val="right"/>
              <w:rPr>
                <w:b/>
                <w:bCs/>
                <w:noProof/>
                <w:color w:val="000000"/>
                <w:sz w:val="20"/>
                <w:szCs w:val="20"/>
              </w:rPr>
            </w:pPr>
            <w:r w:rsidRPr="00C34031">
              <w:rPr>
                <w:b/>
                <w:noProof/>
                <w:color w:val="000000" w:themeColor="text1"/>
                <w:sz w:val="20"/>
              </w:rPr>
              <w:t>33,067</w:t>
            </w:r>
          </w:p>
        </w:tc>
        <w:tc>
          <w:tcPr>
            <w:tcW w:w="590"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34759751" w14:textId="77777777" w:rsidR="00FA5543" w:rsidRPr="00C34031" w:rsidRDefault="0532A5AF" w:rsidP="00390489">
            <w:pPr>
              <w:spacing w:before="0" w:after="0"/>
              <w:jc w:val="right"/>
              <w:rPr>
                <w:b/>
                <w:bCs/>
                <w:noProof/>
                <w:color w:val="000000"/>
                <w:sz w:val="20"/>
                <w:szCs w:val="20"/>
              </w:rPr>
            </w:pPr>
            <w:r w:rsidRPr="00C34031">
              <w:rPr>
                <w:b/>
                <w:noProof/>
                <w:color w:val="000000" w:themeColor="text1"/>
                <w:sz w:val="20"/>
              </w:rPr>
              <w:t>103,844</w:t>
            </w:r>
          </w:p>
        </w:tc>
      </w:tr>
      <w:tr w:rsidR="00FA5543" w:rsidRPr="00C34031" w14:paraId="1CCF2E5F" w14:textId="77777777" w:rsidTr="139DF8FE">
        <w:trPr>
          <w:trHeight w:val="300"/>
        </w:trPr>
        <w:tc>
          <w:tcPr>
            <w:tcW w:w="2432" w:type="pct"/>
            <w:gridSpan w:val="8"/>
            <w:vMerge w:val="restart"/>
            <w:tcBorders>
              <w:top w:val="single" w:sz="8" w:space="0" w:color="auto"/>
              <w:left w:val="single" w:sz="8" w:space="0" w:color="auto"/>
              <w:bottom w:val="single" w:sz="8" w:space="0" w:color="000000" w:themeColor="text1"/>
              <w:right w:val="single" w:sz="8" w:space="0" w:color="000000" w:themeColor="text1"/>
            </w:tcBorders>
            <w:shd w:val="clear" w:color="auto" w:fill="auto"/>
            <w:vAlign w:val="center"/>
            <w:hideMark/>
          </w:tcPr>
          <w:p w14:paraId="52090011" w14:textId="77777777" w:rsidR="00FA5543" w:rsidRPr="00C34031" w:rsidRDefault="00FA5543" w:rsidP="00390489">
            <w:pPr>
              <w:spacing w:before="0" w:after="0"/>
              <w:jc w:val="center"/>
              <w:rPr>
                <w:b/>
                <w:bCs/>
                <w:noProof/>
                <w:color w:val="000000"/>
                <w:sz w:val="22"/>
              </w:rPr>
            </w:pPr>
            <w:r w:rsidRPr="00C34031">
              <w:rPr>
                <w:b/>
                <w:noProof/>
                <w:color w:val="000000"/>
                <w:sz w:val="22"/>
              </w:rPr>
              <w:t> </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14:paraId="3E545B13"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14:paraId="4536CC02"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14:paraId="623D35FA"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14:paraId="614C9C13"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596" w:type="pct"/>
            <w:gridSpan w:val="3"/>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30C6017"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CELKEM VFR na období 2021–2027</w:t>
            </w:r>
          </w:p>
        </w:tc>
      </w:tr>
      <w:tr w:rsidR="00FA5543" w:rsidRPr="00C34031" w14:paraId="4158D247" w14:textId="77777777" w:rsidTr="139DF8FE">
        <w:trPr>
          <w:trHeight w:val="300"/>
        </w:trPr>
        <w:tc>
          <w:tcPr>
            <w:tcW w:w="2432" w:type="pct"/>
            <w:gridSpan w:val="8"/>
            <w:vMerge/>
            <w:vAlign w:val="center"/>
            <w:hideMark/>
          </w:tcPr>
          <w:p w14:paraId="5332A816" w14:textId="77777777" w:rsidR="00FA5543" w:rsidRPr="00C34031" w:rsidRDefault="00FA5543" w:rsidP="00390489">
            <w:pPr>
              <w:spacing w:before="0" w:after="0"/>
              <w:jc w:val="left"/>
              <w:rPr>
                <w:b/>
                <w:bCs/>
                <w:noProof/>
                <w:color w:val="000000"/>
                <w:sz w:val="22"/>
                <w:lang w:eastAsia="en-IE"/>
              </w:rPr>
            </w:pPr>
          </w:p>
        </w:tc>
        <w:tc>
          <w:tcPr>
            <w:tcW w:w="493" w:type="pct"/>
            <w:gridSpan w:val="3"/>
            <w:tcBorders>
              <w:top w:val="nil"/>
              <w:left w:val="nil"/>
              <w:bottom w:val="single" w:sz="8" w:space="0" w:color="auto"/>
              <w:right w:val="single" w:sz="8" w:space="0" w:color="auto"/>
            </w:tcBorders>
            <w:shd w:val="clear" w:color="auto" w:fill="auto"/>
            <w:vAlign w:val="center"/>
            <w:hideMark/>
          </w:tcPr>
          <w:p w14:paraId="596728F6"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2024</w:t>
            </w:r>
          </w:p>
        </w:tc>
        <w:tc>
          <w:tcPr>
            <w:tcW w:w="493" w:type="pct"/>
            <w:gridSpan w:val="3"/>
            <w:tcBorders>
              <w:top w:val="nil"/>
              <w:left w:val="nil"/>
              <w:bottom w:val="single" w:sz="8" w:space="0" w:color="auto"/>
              <w:right w:val="single" w:sz="8" w:space="0" w:color="auto"/>
            </w:tcBorders>
            <w:shd w:val="clear" w:color="auto" w:fill="auto"/>
            <w:vAlign w:val="center"/>
            <w:hideMark/>
          </w:tcPr>
          <w:p w14:paraId="659B3E74"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2025</w:t>
            </w:r>
          </w:p>
        </w:tc>
        <w:tc>
          <w:tcPr>
            <w:tcW w:w="493" w:type="pct"/>
            <w:gridSpan w:val="3"/>
            <w:tcBorders>
              <w:top w:val="nil"/>
              <w:left w:val="nil"/>
              <w:bottom w:val="single" w:sz="8" w:space="0" w:color="auto"/>
              <w:right w:val="single" w:sz="8" w:space="0" w:color="auto"/>
            </w:tcBorders>
            <w:shd w:val="clear" w:color="auto" w:fill="auto"/>
            <w:vAlign w:val="center"/>
            <w:hideMark/>
          </w:tcPr>
          <w:p w14:paraId="0FB7E739"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2026</w:t>
            </w:r>
          </w:p>
        </w:tc>
        <w:tc>
          <w:tcPr>
            <w:tcW w:w="493" w:type="pct"/>
            <w:gridSpan w:val="3"/>
            <w:tcBorders>
              <w:top w:val="nil"/>
              <w:left w:val="nil"/>
              <w:bottom w:val="single" w:sz="8" w:space="0" w:color="auto"/>
              <w:right w:val="single" w:sz="8" w:space="0" w:color="auto"/>
            </w:tcBorders>
            <w:shd w:val="clear" w:color="auto" w:fill="auto"/>
            <w:vAlign w:val="center"/>
            <w:hideMark/>
          </w:tcPr>
          <w:p w14:paraId="1D2E2B95"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2027</w:t>
            </w:r>
          </w:p>
        </w:tc>
        <w:tc>
          <w:tcPr>
            <w:tcW w:w="596" w:type="pct"/>
            <w:gridSpan w:val="3"/>
            <w:vMerge/>
            <w:vAlign w:val="center"/>
            <w:hideMark/>
          </w:tcPr>
          <w:p w14:paraId="0F4ABD9C" w14:textId="77777777" w:rsidR="00FA5543" w:rsidRPr="00C34031" w:rsidRDefault="00FA5543" w:rsidP="00390489">
            <w:pPr>
              <w:spacing w:before="0" w:after="0"/>
              <w:jc w:val="left"/>
              <w:rPr>
                <w:b/>
                <w:bCs/>
                <w:noProof/>
                <w:color w:val="000000"/>
                <w:sz w:val="20"/>
                <w:szCs w:val="20"/>
                <w:lang w:eastAsia="en-IE"/>
              </w:rPr>
            </w:pPr>
          </w:p>
        </w:tc>
      </w:tr>
      <w:tr w:rsidR="00FA5543" w:rsidRPr="00C34031" w14:paraId="39156E00" w14:textId="77777777" w:rsidTr="139DF8FE">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14:paraId="0787C803" w14:textId="77777777" w:rsidR="00FA5543" w:rsidRPr="00C34031" w:rsidRDefault="00FA5543" w:rsidP="00390489">
            <w:pPr>
              <w:spacing w:before="0" w:after="0"/>
              <w:rPr>
                <w:noProof/>
                <w:color w:val="000000"/>
                <w:sz w:val="21"/>
                <w:szCs w:val="21"/>
              </w:rPr>
            </w:pPr>
            <w:r w:rsidRPr="00C34031">
              <w:rPr>
                <w:noProof/>
                <w:color w:val="000000"/>
                <w:sz w:val="21"/>
              </w:rPr>
              <w:t xml:space="preserve">Operační prostředky CELKEM </w:t>
            </w:r>
            <w:r w:rsidRPr="00C34031">
              <w:rPr>
                <w:noProof/>
                <w:color w:val="000000"/>
                <w:sz w:val="21"/>
              </w:rPr>
              <w:br/>
            </w:r>
          </w:p>
        </w:tc>
        <w:tc>
          <w:tcPr>
            <w:tcW w:w="529" w:type="pct"/>
            <w:gridSpan w:val="3"/>
            <w:tcBorders>
              <w:top w:val="nil"/>
              <w:left w:val="nil"/>
              <w:bottom w:val="single" w:sz="8" w:space="0" w:color="auto"/>
              <w:right w:val="single" w:sz="8" w:space="0" w:color="auto"/>
            </w:tcBorders>
            <w:shd w:val="clear" w:color="auto" w:fill="auto"/>
            <w:vAlign w:val="center"/>
            <w:hideMark/>
          </w:tcPr>
          <w:p w14:paraId="7F10C2E0" w14:textId="77777777" w:rsidR="00FA5543" w:rsidRPr="00C34031" w:rsidRDefault="00FA5543" w:rsidP="00390489">
            <w:pPr>
              <w:spacing w:before="0" w:after="0"/>
              <w:rPr>
                <w:noProof/>
                <w:color w:val="000000"/>
                <w:sz w:val="18"/>
                <w:szCs w:val="18"/>
              </w:rPr>
            </w:pPr>
            <w:r w:rsidRPr="00C34031">
              <w:rPr>
                <w:noProof/>
                <w:color w:val="000000"/>
                <w:sz w:val="18"/>
              </w:rPr>
              <w:t>Závazky</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4110F686" w14:textId="77777777" w:rsidR="00FA5543" w:rsidRPr="00C34031" w:rsidRDefault="00FA5543" w:rsidP="00390489">
            <w:pPr>
              <w:spacing w:before="0" w:after="0"/>
              <w:jc w:val="center"/>
              <w:rPr>
                <w:noProof/>
                <w:color w:val="000000"/>
                <w:sz w:val="14"/>
                <w:szCs w:val="14"/>
              </w:rPr>
            </w:pPr>
            <w:r w:rsidRPr="00C34031">
              <w:rPr>
                <w:noProof/>
                <w:color w:val="000000"/>
                <w:sz w:val="14"/>
              </w:rPr>
              <w:t>(4)</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42CE42EE" w14:textId="77777777" w:rsidR="00FA5543" w:rsidRPr="00C34031" w:rsidRDefault="4D0EB05B" w:rsidP="00390489">
            <w:pPr>
              <w:spacing w:before="0" w:after="0"/>
              <w:jc w:val="right"/>
              <w:rPr>
                <w:noProof/>
                <w:color w:val="000000"/>
                <w:sz w:val="20"/>
                <w:szCs w:val="20"/>
              </w:rPr>
            </w:pPr>
            <w:r w:rsidRPr="00C34031">
              <w:rPr>
                <w:noProof/>
                <w:color w:val="000000" w:themeColor="text1"/>
                <w:sz w:val="20"/>
              </w:rPr>
              <w:t>28,090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DEA6C8A" w14:textId="77777777" w:rsidR="00FA5543" w:rsidRPr="00C34031" w:rsidRDefault="4D0EB05B" w:rsidP="00390489">
            <w:pPr>
              <w:spacing w:before="0" w:after="0"/>
              <w:jc w:val="right"/>
              <w:rPr>
                <w:noProof/>
                <w:color w:val="000000"/>
                <w:sz w:val="20"/>
                <w:szCs w:val="20"/>
              </w:rPr>
            </w:pPr>
            <w:r w:rsidRPr="00C34031">
              <w:rPr>
                <w:noProof/>
                <w:color w:val="000000" w:themeColor="text1"/>
                <w:sz w:val="20"/>
              </w:rPr>
              <w:t>34,750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2552E04C" w14:textId="77777777" w:rsidR="00FA5543" w:rsidRPr="00C34031" w:rsidRDefault="4D0EB05B" w:rsidP="00390489">
            <w:pPr>
              <w:spacing w:before="0" w:after="0"/>
              <w:jc w:val="right"/>
              <w:rPr>
                <w:noProof/>
                <w:color w:val="000000"/>
                <w:sz w:val="20"/>
                <w:szCs w:val="20"/>
              </w:rPr>
            </w:pPr>
            <w:r w:rsidRPr="00C34031">
              <w:rPr>
                <w:noProof/>
                <w:color w:val="000000" w:themeColor="text1"/>
                <w:sz w:val="20"/>
              </w:rPr>
              <w:t>33,700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7738851" w14:textId="77777777" w:rsidR="00FA5543" w:rsidRPr="00C34031" w:rsidRDefault="4D0EB05B" w:rsidP="00390489">
            <w:pPr>
              <w:spacing w:before="0" w:after="0"/>
              <w:jc w:val="right"/>
              <w:rPr>
                <w:noProof/>
                <w:color w:val="000000"/>
                <w:sz w:val="20"/>
                <w:szCs w:val="20"/>
              </w:rPr>
            </w:pPr>
            <w:r w:rsidRPr="00C34031">
              <w:rPr>
                <w:noProof/>
                <w:color w:val="000000" w:themeColor="text1"/>
                <w:sz w:val="20"/>
              </w:rPr>
              <w:t>30,150</w:t>
            </w:r>
          </w:p>
        </w:tc>
        <w:tc>
          <w:tcPr>
            <w:tcW w:w="5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26417AEC" w14:textId="77777777" w:rsidR="00FA5543" w:rsidRPr="00C34031" w:rsidRDefault="4D0EB05B" w:rsidP="00390489">
            <w:pPr>
              <w:spacing w:before="0" w:after="0"/>
              <w:jc w:val="right"/>
              <w:rPr>
                <w:b/>
                <w:bCs/>
                <w:noProof/>
                <w:color w:val="000000"/>
                <w:sz w:val="20"/>
                <w:szCs w:val="20"/>
              </w:rPr>
            </w:pPr>
            <w:r w:rsidRPr="00C34031">
              <w:rPr>
                <w:b/>
                <w:noProof/>
                <w:color w:val="000000" w:themeColor="text1"/>
                <w:sz w:val="20"/>
              </w:rPr>
              <w:t>126,690</w:t>
            </w:r>
          </w:p>
        </w:tc>
      </w:tr>
      <w:tr w:rsidR="00FA5543" w:rsidRPr="00C34031" w14:paraId="1DECDA81" w14:textId="77777777" w:rsidTr="139DF8FE">
        <w:trPr>
          <w:trHeight w:val="456"/>
        </w:trPr>
        <w:tc>
          <w:tcPr>
            <w:tcW w:w="1411" w:type="pct"/>
            <w:vMerge/>
            <w:vAlign w:val="center"/>
            <w:hideMark/>
          </w:tcPr>
          <w:p w14:paraId="0629CDAC" w14:textId="77777777" w:rsidR="00FA5543" w:rsidRPr="00C34031" w:rsidRDefault="00FA5543" w:rsidP="00390489">
            <w:pPr>
              <w:spacing w:before="0" w:after="0"/>
              <w:jc w:val="left"/>
              <w:rPr>
                <w:noProof/>
                <w:color w:val="000000"/>
                <w:sz w:val="21"/>
                <w:szCs w:val="21"/>
                <w:lang w:eastAsia="en-IE"/>
              </w:rPr>
            </w:pPr>
          </w:p>
        </w:tc>
        <w:tc>
          <w:tcPr>
            <w:tcW w:w="529" w:type="pct"/>
            <w:gridSpan w:val="3"/>
            <w:tcBorders>
              <w:top w:val="nil"/>
              <w:left w:val="nil"/>
              <w:bottom w:val="single" w:sz="8" w:space="0" w:color="auto"/>
              <w:right w:val="single" w:sz="8" w:space="0" w:color="auto"/>
            </w:tcBorders>
            <w:shd w:val="clear" w:color="auto" w:fill="auto"/>
            <w:vAlign w:val="center"/>
            <w:hideMark/>
          </w:tcPr>
          <w:p w14:paraId="0CC3E088" w14:textId="77777777" w:rsidR="00FA5543" w:rsidRPr="00C34031" w:rsidRDefault="00FA5543" w:rsidP="00390489">
            <w:pPr>
              <w:spacing w:before="0" w:after="0"/>
              <w:rPr>
                <w:noProof/>
                <w:color w:val="000000"/>
                <w:sz w:val="18"/>
                <w:szCs w:val="18"/>
              </w:rPr>
            </w:pPr>
            <w:r w:rsidRPr="00C34031">
              <w:rPr>
                <w:noProof/>
                <w:color w:val="000000"/>
                <w:sz w:val="18"/>
              </w:rPr>
              <w:t>Platby</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518978DA" w14:textId="77777777" w:rsidR="00FA5543" w:rsidRPr="00C34031" w:rsidRDefault="00FA5543" w:rsidP="00390489">
            <w:pPr>
              <w:spacing w:before="0" w:after="0"/>
              <w:jc w:val="center"/>
              <w:rPr>
                <w:noProof/>
                <w:color w:val="000000"/>
                <w:sz w:val="14"/>
                <w:szCs w:val="14"/>
              </w:rPr>
            </w:pPr>
            <w:r w:rsidRPr="00C34031">
              <w:rPr>
                <w:noProof/>
                <w:color w:val="000000"/>
                <w:sz w:val="14"/>
              </w:rPr>
              <w:t>(5)</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21EE2CEC" w14:textId="77777777" w:rsidR="00FA5543" w:rsidRPr="00C34031" w:rsidRDefault="2A8C1738" w:rsidP="00390489">
            <w:pPr>
              <w:spacing w:before="0" w:after="0"/>
              <w:jc w:val="right"/>
              <w:rPr>
                <w:noProof/>
                <w:color w:val="000000"/>
                <w:sz w:val="20"/>
                <w:szCs w:val="20"/>
              </w:rPr>
            </w:pPr>
            <w:r w:rsidRPr="00C34031">
              <w:rPr>
                <w:noProof/>
                <w:color w:val="000000" w:themeColor="text1"/>
                <w:sz w:val="20"/>
              </w:rPr>
              <w:t>17,530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493E1886" w14:textId="77777777" w:rsidR="00FA5543" w:rsidRPr="00C34031" w:rsidRDefault="2A8C1738" w:rsidP="00390489">
            <w:pPr>
              <w:spacing w:before="0" w:after="0"/>
              <w:jc w:val="right"/>
              <w:rPr>
                <w:noProof/>
                <w:color w:val="000000"/>
                <w:sz w:val="20"/>
                <w:szCs w:val="20"/>
              </w:rPr>
            </w:pPr>
            <w:r w:rsidRPr="00C34031">
              <w:rPr>
                <w:noProof/>
                <w:color w:val="000000" w:themeColor="text1"/>
                <w:sz w:val="20"/>
              </w:rPr>
              <w:t>21,157</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6E3FAEC2" w14:textId="77777777" w:rsidR="00FA5543" w:rsidRPr="00C34031" w:rsidRDefault="2A8C1738" w:rsidP="00390489">
            <w:pPr>
              <w:spacing w:before="0" w:after="0"/>
              <w:jc w:val="right"/>
              <w:rPr>
                <w:noProof/>
                <w:color w:val="000000"/>
                <w:sz w:val="20"/>
                <w:szCs w:val="20"/>
              </w:rPr>
            </w:pPr>
            <w:r w:rsidRPr="00C34031">
              <w:rPr>
                <w:noProof/>
                <w:color w:val="000000" w:themeColor="text1"/>
                <w:sz w:val="20"/>
              </w:rPr>
              <w:t>32,090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C203FC4" w14:textId="77777777" w:rsidR="00FA5543" w:rsidRPr="00C34031" w:rsidRDefault="2A8C1738" w:rsidP="00390489">
            <w:pPr>
              <w:spacing w:before="0" w:after="0"/>
              <w:jc w:val="right"/>
              <w:rPr>
                <w:noProof/>
                <w:color w:val="000000"/>
                <w:sz w:val="20"/>
                <w:szCs w:val="20"/>
              </w:rPr>
            </w:pPr>
            <w:r w:rsidRPr="00C34031">
              <w:rPr>
                <w:noProof/>
                <w:color w:val="000000" w:themeColor="text1"/>
                <w:sz w:val="20"/>
              </w:rPr>
              <w:t>33,067</w:t>
            </w:r>
          </w:p>
        </w:tc>
        <w:tc>
          <w:tcPr>
            <w:tcW w:w="5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C3AFC46" w14:textId="77777777" w:rsidR="00FA5543" w:rsidRPr="00C34031" w:rsidRDefault="2A8C1738" w:rsidP="00390489">
            <w:pPr>
              <w:spacing w:before="0" w:after="0"/>
              <w:jc w:val="right"/>
              <w:rPr>
                <w:b/>
                <w:bCs/>
                <w:noProof/>
                <w:color w:val="000000"/>
                <w:sz w:val="20"/>
                <w:szCs w:val="20"/>
              </w:rPr>
            </w:pPr>
            <w:r w:rsidRPr="00C34031">
              <w:rPr>
                <w:b/>
                <w:noProof/>
                <w:color w:val="000000" w:themeColor="text1"/>
                <w:sz w:val="20"/>
              </w:rPr>
              <w:t>103,844</w:t>
            </w:r>
          </w:p>
        </w:tc>
      </w:tr>
      <w:tr w:rsidR="00FA5543" w:rsidRPr="00C34031" w14:paraId="5B4FE479" w14:textId="77777777" w:rsidTr="139DF8FE">
        <w:trPr>
          <w:trHeight w:val="924"/>
        </w:trPr>
        <w:tc>
          <w:tcPr>
            <w:tcW w:w="1939" w:type="pct"/>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22874EDF" w14:textId="77777777" w:rsidR="00FA5543" w:rsidRPr="00C34031" w:rsidRDefault="00FA5543" w:rsidP="00390489">
            <w:pPr>
              <w:spacing w:before="0" w:after="0"/>
              <w:rPr>
                <w:noProof/>
                <w:color w:val="000000"/>
                <w:sz w:val="21"/>
                <w:szCs w:val="21"/>
              </w:rPr>
            </w:pPr>
            <w:r w:rsidRPr="00C34031">
              <w:rPr>
                <w:noProof/>
                <w:color w:val="000000"/>
                <w:sz w:val="21"/>
              </w:rPr>
              <w:t xml:space="preserve">Prostředky správní povahy financované z rámce na zvláštní programy CELKEM </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3BE989D8" w14:textId="77777777" w:rsidR="00FA5543" w:rsidRPr="00C34031" w:rsidRDefault="00FA5543" w:rsidP="00390489">
            <w:pPr>
              <w:spacing w:before="0" w:after="0"/>
              <w:jc w:val="center"/>
              <w:rPr>
                <w:noProof/>
                <w:color w:val="000000"/>
                <w:sz w:val="14"/>
                <w:szCs w:val="14"/>
              </w:rPr>
            </w:pPr>
            <w:r w:rsidRPr="00C34031">
              <w:rPr>
                <w:noProof/>
                <w:color w:val="000000"/>
                <w:sz w:val="14"/>
              </w:rPr>
              <w:t>(6)</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0959EC3A" w14:textId="77777777" w:rsidR="00FA5543" w:rsidRPr="00C34031" w:rsidRDefault="00FA5543" w:rsidP="00390489">
            <w:pPr>
              <w:spacing w:before="0" w:after="0"/>
              <w:jc w:val="right"/>
              <w:rPr>
                <w:noProof/>
                <w:color w:val="000000"/>
                <w:sz w:val="20"/>
                <w:szCs w:val="20"/>
              </w:rPr>
            </w:pPr>
            <w:r w:rsidRPr="00C34031">
              <w:rPr>
                <w:noProof/>
                <w:color w:val="000000"/>
                <w:sz w:val="20"/>
              </w:rPr>
              <w:t>0,000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59C82EDB" w14:textId="77777777" w:rsidR="00FA5543" w:rsidRPr="00C34031" w:rsidRDefault="00FA5543" w:rsidP="00390489">
            <w:pPr>
              <w:spacing w:before="0" w:after="0"/>
              <w:jc w:val="right"/>
              <w:rPr>
                <w:noProof/>
                <w:color w:val="000000"/>
                <w:sz w:val="20"/>
                <w:szCs w:val="20"/>
              </w:rPr>
            </w:pPr>
            <w:r w:rsidRPr="00C34031">
              <w:rPr>
                <w:noProof/>
                <w:color w:val="000000"/>
                <w:sz w:val="20"/>
              </w:rPr>
              <w:t>0,000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6FBA73D4" w14:textId="77777777" w:rsidR="00FA5543" w:rsidRPr="00C34031" w:rsidRDefault="00FA5543" w:rsidP="00390489">
            <w:pPr>
              <w:spacing w:before="0" w:after="0"/>
              <w:jc w:val="right"/>
              <w:rPr>
                <w:noProof/>
                <w:color w:val="000000"/>
                <w:sz w:val="20"/>
                <w:szCs w:val="20"/>
              </w:rPr>
            </w:pPr>
            <w:r w:rsidRPr="00C34031">
              <w:rPr>
                <w:noProof/>
                <w:color w:val="000000"/>
                <w:sz w:val="20"/>
              </w:rPr>
              <w:t>0,000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5EFA77E9" w14:textId="77777777" w:rsidR="00FA5543" w:rsidRPr="00C34031" w:rsidRDefault="00FA5543" w:rsidP="00390489">
            <w:pPr>
              <w:spacing w:before="0" w:after="0"/>
              <w:jc w:val="right"/>
              <w:rPr>
                <w:noProof/>
                <w:color w:val="000000"/>
                <w:sz w:val="20"/>
                <w:szCs w:val="20"/>
              </w:rPr>
            </w:pPr>
            <w:r w:rsidRPr="00C34031">
              <w:rPr>
                <w:noProof/>
                <w:color w:val="000000"/>
                <w:sz w:val="20"/>
              </w:rPr>
              <w:t>0,000</w:t>
            </w:r>
          </w:p>
        </w:tc>
        <w:tc>
          <w:tcPr>
            <w:tcW w:w="5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49D71510" w14:textId="77777777" w:rsidR="00FA5543" w:rsidRPr="00C34031" w:rsidRDefault="00FA5543" w:rsidP="00390489">
            <w:pPr>
              <w:spacing w:before="0" w:after="0"/>
              <w:jc w:val="right"/>
              <w:rPr>
                <w:b/>
                <w:bCs/>
                <w:noProof/>
                <w:color w:val="000000"/>
                <w:sz w:val="20"/>
                <w:szCs w:val="20"/>
              </w:rPr>
            </w:pPr>
            <w:r w:rsidRPr="00C34031">
              <w:rPr>
                <w:b/>
                <w:noProof/>
                <w:color w:val="000000"/>
                <w:sz w:val="20"/>
              </w:rPr>
              <w:t>0,000</w:t>
            </w:r>
          </w:p>
        </w:tc>
      </w:tr>
      <w:tr w:rsidR="00FA5543" w:rsidRPr="00C34031" w14:paraId="29B8EA77" w14:textId="77777777" w:rsidTr="139DF8FE">
        <w:trPr>
          <w:trHeight w:val="564"/>
        </w:trPr>
        <w:tc>
          <w:tcPr>
            <w:tcW w:w="1411" w:type="pct"/>
            <w:tcBorders>
              <w:top w:val="nil"/>
              <w:left w:val="single" w:sz="8" w:space="0" w:color="auto"/>
              <w:bottom w:val="nil"/>
              <w:right w:val="single" w:sz="8" w:space="0" w:color="auto"/>
            </w:tcBorders>
            <w:shd w:val="clear" w:color="auto" w:fill="F1F1F1"/>
            <w:vAlign w:val="center"/>
            <w:hideMark/>
          </w:tcPr>
          <w:p w14:paraId="22FCD1BF" w14:textId="77777777" w:rsidR="00FA5543" w:rsidRPr="00C34031" w:rsidRDefault="6C3AF1E0" w:rsidP="139DF8FE">
            <w:pPr>
              <w:spacing w:before="0" w:after="0"/>
              <w:jc w:val="center"/>
              <w:rPr>
                <w:b/>
                <w:bCs/>
                <w:noProof/>
                <w:color w:val="000000"/>
                <w:sz w:val="22"/>
              </w:rPr>
            </w:pPr>
            <w:r w:rsidRPr="00C34031">
              <w:rPr>
                <w:b/>
                <w:noProof/>
                <w:color w:val="000000" w:themeColor="text1"/>
                <w:sz w:val="22"/>
              </w:rPr>
              <w:t>CELKEM prostředky z OKRUHU 3</w:t>
            </w:r>
          </w:p>
        </w:tc>
        <w:tc>
          <w:tcPr>
            <w:tcW w:w="529" w:type="pct"/>
            <w:gridSpan w:val="3"/>
            <w:tcBorders>
              <w:top w:val="nil"/>
              <w:left w:val="nil"/>
              <w:bottom w:val="single" w:sz="8" w:space="0" w:color="auto"/>
              <w:right w:val="single" w:sz="8" w:space="0" w:color="auto"/>
            </w:tcBorders>
            <w:shd w:val="clear" w:color="auto" w:fill="auto"/>
            <w:vAlign w:val="center"/>
            <w:hideMark/>
          </w:tcPr>
          <w:p w14:paraId="5807536B" w14:textId="77777777" w:rsidR="00FA5543" w:rsidRPr="00C34031" w:rsidRDefault="00FA5543" w:rsidP="00390489">
            <w:pPr>
              <w:spacing w:before="0" w:after="0"/>
              <w:rPr>
                <w:noProof/>
                <w:color w:val="000000"/>
                <w:sz w:val="18"/>
                <w:szCs w:val="18"/>
              </w:rPr>
            </w:pPr>
            <w:r w:rsidRPr="00C34031">
              <w:rPr>
                <w:noProof/>
                <w:color w:val="000000"/>
                <w:sz w:val="18"/>
              </w:rPr>
              <w:t>Závazky</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2C181134" w14:textId="77777777" w:rsidR="00FA5543" w:rsidRPr="00C34031" w:rsidRDefault="00FA5543" w:rsidP="00390489">
            <w:pPr>
              <w:spacing w:before="0" w:after="0"/>
              <w:jc w:val="center"/>
              <w:rPr>
                <w:noProof/>
                <w:color w:val="000000"/>
                <w:sz w:val="14"/>
                <w:szCs w:val="14"/>
              </w:rPr>
            </w:pPr>
            <w:r w:rsidRPr="00C34031">
              <w:rPr>
                <w:noProof/>
                <w:color w:val="000000"/>
                <w:sz w:val="14"/>
              </w:rPr>
              <w:t>=4+6</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258CFDC" w14:textId="77777777" w:rsidR="00FA5543" w:rsidRPr="00C34031" w:rsidRDefault="0865DEA9" w:rsidP="00390489">
            <w:pPr>
              <w:spacing w:before="0" w:after="0"/>
              <w:jc w:val="right"/>
              <w:rPr>
                <w:b/>
                <w:bCs/>
                <w:noProof/>
                <w:color w:val="000000"/>
                <w:sz w:val="20"/>
                <w:szCs w:val="20"/>
              </w:rPr>
            </w:pPr>
            <w:r w:rsidRPr="00C34031">
              <w:rPr>
                <w:b/>
                <w:noProof/>
                <w:color w:val="000000" w:themeColor="text1"/>
                <w:sz w:val="20"/>
              </w:rPr>
              <w:t>28,090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42AE7D7" w14:textId="77777777" w:rsidR="00FA5543" w:rsidRPr="00C34031" w:rsidRDefault="0865DEA9" w:rsidP="00390489">
            <w:pPr>
              <w:spacing w:before="0" w:after="0"/>
              <w:jc w:val="right"/>
              <w:rPr>
                <w:b/>
                <w:bCs/>
                <w:noProof/>
                <w:color w:val="000000"/>
                <w:sz w:val="20"/>
                <w:szCs w:val="20"/>
              </w:rPr>
            </w:pPr>
            <w:r w:rsidRPr="00C34031">
              <w:rPr>
                <w:b/>
                <w:noProof/>
                <w:color w:val="000000" w:themeColor="text1"/>
                <w:sz w:val="20"/>
              </w:rPr>
              <w:t>34,750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4D0CF06E" w14:textId="77777777" w:rsidR="00FA5543" w:rsidRPr="00C34031" w:rsidRDefault="0865DEA9" w:rsidP="00390489">
            <w:pPr>
              <w:spacing w:before="0" w:after="0"/>
              <w:jc w:val="right"/>
              <w:rPr>
                <w:b/>
                <w:bCs/>
                <w:noProof/>
                <w:color w:val="000000"/>
                <w:sz w:val="20"/>
                <w:szCs w:val="20"/>
              </w:rPr>
            </w:pPr>
            <w:r w:rsidRPr="00C34031">
              <w:rPr>
                <w:b/>
                <w:noProof/>
                <w:color w:val="000000" w:themeColor="text1"/>
                <w:sz w:val="20"/>
              </w:rPr>
              <w:t>33,700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04709730" w14:textId="77777777" w:rsidR="00FA5543" w:rsidRPr="00C34031" w:rsidRDefault="0865DEA9" w:rsidP="00390489">
            <w:pPr>
              <w:spacing w:before="0" w:after="0"/>
              <w:jc w:val="right"/>
              <w:rPr>
                <w:b/>
                <w:bCs/>
                <w:noProof/>
                <w:color w:val="000000"/>
                <w:sz w:val="20"/>
                <w:szCs w:val="20"/>
              </w:rPr>
            </w:pPr>
            <w:r w:rsidRPr="00C34031">
              <w:rPr>
                <w:b/>
                <w:noProof/>
                <w:color w:val="000000" w:themeColor="text1"/>
                <w:sz w:val="20"/>
              </w:rPr>
              <w:t>30,150</w:t>
            </w:r>
          </w:p>
        </w:tc>
        <w:tc>
          <w:tcPr>
            <w:tcW w:w="5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6E64BD23" w14:textId="77777777" w:rsidR="00FA5543" w:rsidRPr="00C34031" w:rsidRDefault="0865DEA9" w:rsidP="00390489">
            <w:pPr>
              <w:spacing w:before="0" w:after="0"/>
              <w:jc w:val="right"/>
              <w:rPr>
                <w:b/>
                <w:bCs/>
                <w:noProof/>
                <w:color w:val="000000"/>
                <w:sz w:val="20"/>
                <w:szCs w:val="20"/>
              </w:rPr>
            </w:pPr>
            <w:r w:rsidRPr="00C34031">
              <w:rPr>
                <w:b/>
                <w:noProof/>
                <w:color w:val="000000" w:themeColor="text1"/>
                <w:sz w:val="20"/>
              </w:rPr>
              <w:t>126,690</w:t>
            </w:r>
          </w:p>
        </w:tc>
      </w:tr>
      <w:tr w:rsidR="00FA5543" w:rsidRPr="00C34031" w14:paraId="704E7895" w14:textId="77777777" w:rsidTr="139DF8FE">
        <w:trPr>
          <w:trHeight w:val="528"/>
        </w:trPr>
        <w:tc>
          <w:tcPr>
            <w:tcW w:w="1411" w:type="pct"/>
            <w:tcBorders>
              <w:top w:val="nil"/>
              <w:left w:val="single" w:sz="8" w:space="0" w:color="auto"/>
              <w:bottom w:val="single" w:sz="8" w:space="0" w:color="auto"/>
              <w:right w:val="single" w:sz="8" w:space="0" w:color="auto"/>
            </w:tcBorders>
            <w:shd w:val="clear" w:color="auto" w:fill="F1F1F1"/>
            <w:vAlign w:val="center"/>
            <w:hideMark/>
          </w:tcPr>
          <w:p w14:paraId="3607AFB9" w14:textId="77777777" w:rsidR="00FA5543" w:rsidRPr="00C34031" w:rsidRDefault="00FA5543" w:rsidP="00390489">
            <w:pPr>
              <w:spacing w:before="0" w:after="0"/>
              <w:jc w:val="center"/>
              <w:rPr>
                <w:noProof/>
                <w:color w:val="000000"/>
                <w:sz w:val="22"/>
              </w:rPr>
            </w:pPr>
            <w:r w:rsidRPr="00C34031">
              <w:rPr>
                <w:noProof/>
                <w:color w:val="000000"/>
                <w:sz w:val="22"/>
              </w:rPr>
              <w:t>víceletého finančního rámce</w:t>
            </w:r>
          </w:p>
        </w:tc>
        <w:tc>
          <w:tcPr>
            <w:tcW w:w="529" w:type="pct"/>
            <w:gridSpan w:val="3"/>
            <w:tcBorders>
              <w:top w:val="nil"/>
              <w:left w:val="nil"/>
              <w:bottom w:val="single" w:sz="8" w:space="0" w:color="auto"/>
              <w:right w:val="single" w:sz="8" w:space="0" w:color="auto"/>
            </w:tcBorders>
            <w:shd w:val="clear" w:color="auto" w:fill="auto"/>
            <w:vAlign w:val="center"/>
            <w:hideMark/>
          </w:tcPr>
          <w:p w14:paraId="5FED138A" w14:textId="77777777" w:rsidR="00FA5543" w:rsidRPr="00C34031" w:rsidRDefault="00FA5543" w:rsidP="00390489">
            <w:pPr>
              <w:spacing w:before="0" w:after="0"/>
              <w:rPr>
                <w:noProof/>
                <w:color w:val="000000"/>
                <w:sz w:val="18"/>
                <w:szCs w:val="18"/>
              </w:rPr>
            </w:pPr>
            <w:r w:rsidRPr="00C34031">
              <w:rPr>
                <w:noProof/>
                <w:color w:val="000000"/>
                <w:sz w:val="18"/>
              </w:rPr>
              <w:t>Platby</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25136BFA" w14:textId="77777777" w:rsidR="00FA5543" w:rsidRPr="00C34031" w:rsidRDefault="00FA5543" w:rsidP="00390489">
            <w:pPr>
              <w:spacing w:before="0" w:after="0"/>
              <w:jc w:val="center"/>
              <w:rPr>
                <w:noProof/>
                <w:color w:val="000000"/>
                <w:sz w:val="14"/>
                <w:szCs w:val="14"/>
              </w:rPr>
            </w:pPr>
            <w:r w:rsidRPr="00C34031">
              <w:rPr>
                <w:noProof/>
                <w:color w:val="000000"/>
                <w:sz w:val="14"/>
              </w:rPr>
              <w:t>=5+6</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5221D4D" w14:textId="77777777" w:rsidR="00FA5543" w:rsidRPr="00C34031" w:rsidRDefault="7A64CEC8" w:rsidP="00390489">
            <w:pPr>
              <w:spacing w:before="0" w:after="0"/>
              <w:jc w:val="right"/>
              <w:rPr>
                <w:b/>
                <w:bCs/>
                <w:noProof/>
                <w:color w:val="000000"/>
                <w:sz w:val="20"/>
                <w:szCs w:val="20"/>
              </w:rPr>
            </w:pPr>
            <w:r w:rsidRPr="00C34031">
              <w:rPr>
                <w:b/>
                <w:noProof/>
                <w:color w:val="000000" w:themeColor="text1"/>
                <w:sz w:val="20"/>
              </w:rPr>
              <w:t>17,530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8CAF7C1" w14:textId="77777777" w:rsidR="00FA5543" w:rsidRPr="00C34031" w:rsidRDefault="7A64CEC8" w:rsidP="00390489">
            <w:pPr>
              <w:spacing w:before="0" w:after="0"/>
              <w:jc w:val="right"/>
              <w:rPr>
                <w:b/>
                <w:bCs/>
                <w:noProof/>
                <w:color w:val="000000"/>
                <w:sz w:val="20"/>
                <w:szCs w:val="20"/>
              </w:rPr>
            </w:pPr>
            <w:r w:rsidRPr="00C34031">
              <w:rPr>
                <w:b/>
                <w:noProof/>
                <w:color w:val="000000" w:themeColor="text1"/>
                <w:sz w:val="20"/>
              </w:rPr>
              <w:t>21,157</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5D8F666D" w14:textId="77777777" w:rsidR="00FA5543" w:rsidRPr="00C34031" w:rsidRDefault="7A64CEC8" w:rsidP="00390489">
            <w:pPr>
              <w:spacing w:before="0" w:after="0"/>
              <w:jc w:val="right"/>
              <w:rPr>
                <w:b/>
                <w:bCs/>
                <w:noProof/>
                <w:color w:val="000000"/>
                <w:sz w:val="20"/>
                <w:szCs w:val="20"/>
              </w:rPr>
            </w:pPr>
            <w:r w:rsidRPr="00C34031">
              <w:rPr>
                <w:b/>
                <w:noProof/>
                <w:color w:val="000000" w:themeColor="text1"/>
                <w:sz w:val="20"/>
              </w:rPr>
              <w:t>32,090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61595018" w14:textId="77777777" w:rsidR="00FA5543" w:rsidRPr="00C34031" w:rsidRDefault="7A64CEC8" w:rsidP="00390489">
            <w:pPr>
              <w:spacing w:before="0" w:after="0"/>
              <w:jc w:val="right"/>
              <w:rPr>
                <w:b/>
                <w:bCs/>
                <w:noProof/>
                <w:color w:val="000000"/>
                <w:sz w:val="20"/>
                <w:szCs w:val="20"/>
              </w:rPr>
            </w:pPr>
            <w:r w:rsidRPr="00C34031">
              <w:rPr>
                <w:b/>
                <w:noProof/>
                <w:color w:val="000000" w:themeColor="text1"/>
                <w:sz w:val="20"/>
              </w:rPr>
              <w:t>33,067</w:t>
            </w:r>
          </w:p>
        </w:tc>
        <w:tc>
          <w:tcPr>
            <w:tcW w:w="5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A628328" w14:textId="77777777" w:rsidR="00FA5543" w:rsidRPr="00C34031" w:rsidRDefault="7A64CEC8" w:rsidP="00390489">
            <w:pPr>
              <w:spacing w:before="0" w:after="0"/>
              <w:jc w:val="right"/>
              <w:rPr>
                <w:b/>
                <w:bCs/>
                <w:noProof/>
                <w:color w:val="000000"/>
                <w:sz w:val="20"/>
                <w:szCs w:val="20"/>
              </w:rPr>
            </w:pPr>
            <w:r w:rsidRPr="00C34031">
              <w:rPr>
                <w:b/>
                <w:noProof/>
                <w:color w:val="000000" w:themeColor="text1"/>
                <w:sz w:val="20"/>
              </w:rPr>
              <w:t>103,844</w:t>
            </w:r>
          </w:p>
        </w:tc>
      </w:tr>
      <w:tr w:rsidR="00FA5543" w:rsidRPr="00C34031" w14:paraId="305FE241" w14:textId="77777777" w:rsidTr="139DF8FE">
        <w:trPr>
          <w:trHeight w:val="288"/>
        </w:trPr>
        <w:tc>
          <w:tcPr>
            <w:tcW w:w="1522" w:type="pct"/>
            <w:gridSpan w:val="3"/>
            <w:tcBorders>
              <w:top w:val="nil"/>
              <w:left w:val="nil"/>
              <w:bottom w:val="nil"/>
              <w:right w:val="nil"/>
            </w:tcBorders>
            <w:shd w:val="clear" w:color="auto" w:fill="auto"/>
            <w:noWrap/>
            <w:vAlign w:val="bottom"/>
            <w:hideMark/>
          </w:tcPr>
          <w:p w14:paraId="0D74F148" w14:textId="77777777" w:rsidR="00FA5543" w:rsidRPr="00C34031" w:rsidRDefault="00FA5543" w:rsidP="00390489">
            <w:pPr>
              <w:spacing w:before="0" w:after="0"/>
              <w:jc w:val="left"/>
              <w:rPr>
                <w:noProof/>
                <w:sz w:val="20"/>
                <w:szCs w:val="24"/>
                <w:lang w:eastAsia="en-IE"/>
              </w:rPr>
            </w:pPr>
          </w:p>
        </w:tc>
        <w:tc>
          <w:tcPr>
            <w:tcW w:w="471" w:type="pct"/>
            <w:gridSpan w:val="3"/>
            <w:tcBorders>
              <w:top w:val="nil"/>
              <w:left w:val="nil"/>
              <w:bottom w:val="nil"/>
              <w:right w:val="nil"/>
            </w:tcBorders>
            <w:shd w:val="clear" w:color="auto" w:fill="auto"/>
            <w:noWrap/>
            <w:vAlign w:val="bottom"/>
            <w:hideMark/>
          </w:tcPr>
          <w:p w14:paraId="5A590217" w14:textId="77777777" w:rsidR="00FA5543" w:rsidRPr="00C34031" w:rsidRDefault="00FA5543" w:rsidP="00390489">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14:paraId="23B20945" w14:textId="77777777" w:rsidR="00FA5543" w:rsidRPr="00C34031" w:rsidRDefault="00FA5543" w:rsidP="00390489">
            <w:pPr>
              <w:spacing w:before="0" w:after="0"/>
              <w:jc w:val="left"/>
              <w:rPr>
                <w:noProof/>
                <w:sz w:val="20"/>
                <w:szCs w:val="20"/>
                <w:lang w:eastAsia="en-IE"/>
              </w:rPr>
            </w:pPr>
          </w:p>
        </w:tc>
        <w:tc>
          <w:tcPr>
            <w:tcW w:w="365" w:type="pct"/>
            <w:gridSpan w:val="3"/>
            <w:tcBorders>
              <w:top w:val="nil"/>
              <w:left w:val="nil"/>
              <w:bottom w:val="nil"/>
              <w:right w:val="single" w:sz="4" w:space="0" w:color="auto"/>
            </w:tcBorders>
            <w:shd w:val="clear" w:color="auto" w:fill="auto"/>
            <w:noWrap/>
            <w:vAlign w:val="bottom"/>
            <w:hideMark/>
          </w:tcPr>
          <w:p w14:paraId="001A588A" w14:textId="77777777" w:rsidR="00FA5543" w:rsidRPr="00C34031" w:rsidRDefault="00FA5543" w:rsidP="00390489">
            <w:pPr>
              <w:spacing w:before="0" w:after="0"/>
              <w:jc w:val="left"/>
              <w:rPr>
                <w:noProof/>
                <w:sz w:val="20"/>
                <w:szCs w:val="20"/>
                <w:lang w:eastAsia="en-IE"/>
              </w:rPr>
            </w:pPr>
          </w:p>
        </w:tc>
        <w:tc>
          <w:tcPr>
            <w:tcW w:w="437" w:type="pct"/>
            <w:gridSpan w:val="3"/>
            <w:tcBorders>
              <w:top w:val="single" w:sz="8" w:space="0" w:color="auto"/>
              <w:left w:val="single" w:sz="4" w:space="0" w:color="auto"/>
              <w:bottom w:val="nil"/>
              <w:right w:val="single" w:sz="8" w:space="0" w:color="auto"/>
            </w:tcBorders>
            <w:shd w:val="clear" w:color="auto" w:fill="auto"/>
            <w:vAlign w:val="center"/>
            <w:hideMark/>
          </w:tcPr>
          <w:p w14:paraId="0DC349A7"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37" w:type="pct"/>
            <w:gridSpan w:val="3"/>
            <w:tcBorders>
              <w:top w:val="single" w:sz="8" w:space="0" w:color="auto"/>
              <w:left w:val="nil"/>
              <w:bottom w:val="nil"/>
              <w:right w:val="single" w:sz="8" w:space="0" w:color="auto"/>
            </w:tcBorders>
            <w:shd w:val="clear" w:color="auto" w:fill="auto"/>
            <w:vAlign w:val="center"/>
            <w:hideMark/>
          </w:tcPr>
          <w:p w14:paraId="17ED42E5"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37" w:type="pct"/>
            <w:gridSpan w:val="3"/>
            <w:tcBorders>
              <w:top w:val="single" w:sz="8" w:space="0" w:color="auto"/>
              <w:left w:val="nil"/>
              <w:bottom w:val="nil"/>
              <w:right w:val="single" w:sz="8" w:space="0" w:color="auto"/>
            </w:tcBorders>
            <w:shd w:val="clear" w:color="auto" w:fill="auto"/>
            <w:vAlign w:val="center"/>
            <w:hideMark/>
          </w:tcPr>
          <w:p w14:paraId="042C0805"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37" w:type="pct"/>
            <w:gridSpan w:val="3"/>
            <w:tcBorders>
              <w:top w:val="single" w:sz="8" w:space="0" w:color="auto"/>
              <w:left w:val="nil"/>
              <w:bottom w:val="nil"/>
              <w:right w:val="single" w:sz="8" w:space="0" w:color="auto"/>
            </w:tcBorders>
            <w:shd w:val="clear" w:color="auto" w:fill="auto"/>
            <w:vAlign w:val="center"/>
            <w:hideMark/>
          </w:tcPr>
          <w:p w14:paraId="283C4FA9"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529" w:type="pct"/>
            <w:vMerge w:val="restart"/>
            <w:tcBorders>
              <w:top w:val="single" w:sz="8" w:space="0" w:color="auto"/>
              <w:left w:val="single" w:sz="8" w:space="0" w:color="auto"/>
              <w:bottom w:val="single" w:sz="8" w:space="0" w:color="000000" w:themeColor="text1"/>
              <w:right w:val="single" w:sz="8" w:space="0" w:color="auto"/>
            </w:tcBorders>
            <w:shd w:val="clear" w:color="auto" w:fill="auto"/>
            <w:vAlign w:val="center"/>
            <w:hideMark/>
          </w:tcPr>
          <w:p w14:paraId="2CC8D9FF"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CELKEM VFR na období 2021–2027</w:t>
            </w:r>
          </w:p>
        </w:tc>
      </w:tr>
      <w:tr w:rsidR="00FA5543" w:rsidRPr="00C34031" w14:paraId="1EFDAAF5" w14:textId="77777777" w:rsidTr="139DF8FE">
        <w:trPr>
          <w:trHeight w:val="300"/>
        </w:trPr>
        <w:tc>
          <w:tcPr>
            <w:tcW w:w="1522" w:type="pct"/>
            <w:gridSpan w:val="3"/>
            <w:tcBorders>
              <w:top w:val="nil"/>
              <w:left w:val="nil"/>
              <w:bottom w:val="nil"/>
              <w:right w:val="nil"/>
            </w:tcBorders>
            <w:shd w:val="clear" w:color="auto" w:fill="auto"/>
            <w:noWrap/>
            <w:vAlign w:val="bottom"/>
            <w:hideMark/>
          </w:tcPr>
          <w:p w14:paraId="6977B08D" w14:textId="77777777" w:rsidR="00FA5543" w:rsidRPr="00C34031" w:rsidRDefault="00FA5543" w:rsidP="00390489">
            <w:pPr>
              <w:spacing w:before="0" w:after="0"/>
              <w:jc w:val="center"/>
              <w:rPr>
                <w:b/>
                <w:bCs/>
                <w:noProof/>
                <w:color w:val="000000"/>
                <w:sz w:val="20"/>
                <w:szCs w:val="20"/>
                <w:lang w:eastAsia="en-IE"/>
              </w:rPr>
            </w:pPr>
          </w:p>
        </w:tc>
        <w:tc>
          <w:tcPr>
            <w:tcW w:w="471" w:type="pct"/>
            <w:gridSpan w:val="3"/>
            <w:tcBorders>
              <w:top w:val="nil"/>
              <w:left w:val="nil"/>
              <w:bottom w:val="nil"/>
              <w:right w:val="nil"/>
            </w:tcBorders>
            <w:shd w:val="clear" w:color="auto" w:fill="auto"/>
            <w:noWrap/>
            <w:vAlign w:val="bottom"/>
            <w:hideMark/>
          </w:tcPr>
          <w:p w14:paraId="2FBD025E" w14:textId="77777777" w:rsidR="00FA5543" w:rsidRPr="00C34031" w:rsidRDefault="00FA5543" w:rsidP="00390489">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14:paraId="01108E45" w14:textId="77777777" w:rsidR="00FA5543" w:rsidRPr="00C34031" w:rsidRDefault="00FA5543" w:rsidP="00390489">
            <w:pPr>
              <w:spacing w:before="0" w:after="0"/>
              <w:jc w:val="left"/>
              <w:rPr>
                <w:noProof/>
                <w:sz w:val="20"/>
                <w:szCs w:val="20"/>
                <w:lang w:eastAsia="en-IE"/>
              </w:rPr>
            </w:pPr>
          </w:p>
        </w:tc>
        <w:tc>
          <w:tcPr>
            <w:tcW w:w="365" w:type="pct"/>
            <w:gridSpan w:val="3"/>
            <w:tcBorders>
              <w:top w:val="nil"/>
              <w:left w:val="nil"/>
              <w:bottom w:val="nil"/>
              <w:right w:val="single" w:sz="4" w:space="0" w:color="auto"/>
            </w:tcBorders>
            <w:shd w:val="clear" w:color="auto" w:fill="auto"/>
            <w:noWrap/>
            <w:vAlign w:val="bottom"/>
            <w:hideMark/>
          </w:tcPr>
          <w:p w14:paraId="732E906E" w14:textId="77777777" w:rsidR="00FA5543" w:rsidRPr="00C34031" w:rsidRDefault="00FA5543" w:rsidP="00390489">
            <w:pPr>
              <w:spacing w:before="0" w:after="0"/>
              <w:jc w:val="left"/>
              <w:rPr>
                <w:noProof/>
                <w:sz w:val="20"/>
                <w:szCs w:val="20"/>
                <w:lang w:eastAsia="en-IE"/>
              </w:rPr>
            </w:pPr>
          </w:p>
        </w:tc>
        <w:tc>
          <w:tcPr>
            <w:tcW w:w="437" w:type="pct"/>
            <w:gridSpan w:val="3"/>
            <w:tcBorders>
              <w:top w:val="nil"/>
              <w:left w:val="single" w:sz="4" w:space="0" w:color="auto"/>
              <w:bottom w:val="single" w:sz="8" w:space="0" w:color="auto"/>
              <w:right w:val="single" w:sz="8" w:space="0" w:color="auto"/>
            </w:tcBorders>
            <w:shd w:val="clear" w:color="auto" w:fill="auto"/>
            <w:vAlign w:val="center"/>
            <w:hideMark/>
          </w:tcPr>
          <w:p w14:paraId="5C67C1F9"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2024</w:t>
            </w:r>
          </w:p>
        </w:tc>
        <w:tc>
          <w:tcPr>
            <w:tcW w:w="437" w:type="pct"/>
            <w:gridSpan w:val="3"/>
            <w:tcBorders>
              <w:top w:val="nil"/>
              <w:left w:val="nil"/>
              <w:bottom w:val="single" w:sz="8" w:space="0" w:color="auto"/>
              <w:right w:val="single" w:sz="8" w:space="0" w:color="auto"/>
            </w:tcBorders>
            <w:shd w:val="clear" w:color="auto" w:fill="auto"/>
            <w:vAlign w:val="center"/>
            <w:hideMark/>
          </w:tcPr>
          <w:p w14:paraId="13895623"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2025</w:t>
            </w:r>
          </w:p>
        </w:tc>
        <w:tc>
          <w:tcPr>
            <w:tcW w:w="437" w:type="pct"/>
            <w:gridSpan w:val="3"/>
            <w:tcBorders>
              <w:top w:val="nil"/>
              <w:left w:val="nil"/>
              <w:bottom w:val="single" w:sz="8" w:space="0" w:color="auto"/>
              <w:right w:val="single" w:sz="8" w:space="0" w:color="auto"/>
            </w:tcBorders>
            <w:shd w:val="clear" w:color="auto" w:fill="auto"/>
            <w:vAlign w:val="center"/>
            <w:hideMark/>
          </w:tcPr>
          <w:p w14:paraId="16BA26AD"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2026</w:t>
            </w:r>
          </w:p>
        </w:tc>
        <w:tc>
          <w:tcPr>
            <w:tcW w:w="437" w:type="pct"/>
            <w:gridSpan w:val="3"/>
            <w:tcBorders>
              <w:top w:val="nil"/>
              <w:left w:val="nil"/>
              <w:bottom w:val="single" w:sz="8" w:space="0" w:color="auto"/>
              <w:right w:val="single" w:sz="8" w:space="0" w:color="auto"/>
            </w:tcBorders>
            <w:shd w:val="clear" w:color="auto" w:fill="auto"/>
            <w:vAlign w:val="center"/>
            <w:hideMark/>
          </w:tcPr>
          <w:p w14:paraId="7E6A89E5"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2027</w:t>
            </w:r>
          </w:p>
        </w:tc>
        <w:tc>
          <w:tcPr>
            <w:tcW w:w="529" w:type="pct"/>
            <w:vMerge/>
            <w:vAlign w:val="center"/>
            <w:hideMark/>
          </w:tcPr>
          <w:p w14:paraId="5839083B" w14:textId="77777777" w:rsidR="00FA5543" w:rsidRPr="00C34031" w:rsidRDefault="00FA5543" w:rsidP="00390489">
            <w:pPr>
              <w:spacing w:before="0" w:after="0"/>
              <w:jc w:val="left"/>
              <w:rPr>
                <w:b/>
                <w:bCs/>
                <w:noProof/>
                <w:color w:val="000000"/>
                <w:sz w:val="20"/>
                <w:szCs w:val="20"/>
                <w:lang w:eastAsia="en-IE"/>
              </w:rPr>
            </w:pPr>
          </w:p>
        </w:tc>
      </w:tr>
      <w:tr w:rsidR="00FA5543" w:rsidRPr="00C34031" w14:paraId="06F5465A" w14:textId="77777777" w:rsidTr="139DF8FE">
        <w:trPr>
          <w:trHeight w:val="300"/>
        </w:trPr>
        <w:tc>
          <w:tcPr>
            <w:tcW w:w="1522" w:type="pct"/>
            <w:gridSpan w:val="3"/>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04944596" w14:textId="77777777" w:rsidR="00FA5543" w:rsidRPr="00C34031" w:rsidRDefault="00FA5543" w:rsidP="00390489">
            <w:pPr>
              <w:spacing w:before="0" w:after="0"/>
              <w:rPr>
                <w:noProof/>
                <w:color w:val="000000"/>
                <w:sz w:val="21"/>
                <w:szCs w:val="21"/>
              </w:rPr>
            </w:pPr>
            <w:r w:rsidRPr="00C34031">
              <w:rPr>
                <w:rFonts w:ascii="Calibri" w:hAnsi="Calibri"/>
                <w:noProof/>
                <w:color w:val="000000"/>
                <w:sz w:val="21"/>
              </w:rPr>
              <w:t xml:space="preserve">• </w:t>
            </w:r>
            <w:r w:rsidRPr="00C34031">
              <w:rPr>
                <w:noProof/>
                <w:color w:val="000000"/>
                <w:sz w:val="21"/>
              </w:rPr>
              <w:t>Operační prostředky CELKEM (všechny operační okruhy)</w:t>
            </w:r>
          </w:p>
        </w:tc>
        <w:tc>
          <w:tcPr>
            <w:tcW w:w="471" w:type="pct"/>
            <w:gridSpan w:val="3"/>
            <w:tcBorders>
              <w:top w:val="single" w:sz="8" w:space="0" w:color="auto"/>
              <w:left w:val="nil"/>
              <w:bottom w:val="single" w:sz="8" w:space="0" w:color="auto"/>
              <w:right w:val="single" w:sz="8" w:space="0" w:color="auto"/>
            </w:tcBorders>
            <w:shd w:val="clear" w:color="auto" w:fill="auto"/>
            <w:vAlign w:val="center"/>
            <w:hideMark/>
          </w:tcPr>
          <w:p w14:paraId="473E3108" w14:textId="77777777" w:rsidR="00FA5543" w:rsidRPr="00C34031" w:rsidRDefault="00FA5543" w:rsidP="00390489">
            <w:pPr>
              <w:spacing w:before="0" w:after="0"/>
              <w:rPr>
                <w:noProof/>
                <w:color w:val="000000"/>
                <w:sz w:val="18"/>
                <w:szCs w:val="18"/>
              </w:rPr>
            </w:pPr>
            <w:r w:rsidRPr="00C34031">
              <w:rPr>
                <w:noProof/>
                <w:color w:val="000000"/>
                <w:sz w:val="18"/>
              </w:rPr>
              <w:t>Závazky</w:t>
            </w:r>
          </w:p>
        </w:tc>
        <w:tc>
          <w:tcPr>
            <w:tcW w:w="731" w:type="pct"/>
            <w:gridSpan w:val="4"/>
            <w:tcBorders>
              <w:top w:val="single" w:sz="8" w:space="0" w:color="auto"/>
              <w:left w:val="nil"/>
              <w:bottom w:val="single" w:sz="8" w:space="0" w:color="auto"/>
              <w:right w:val="single" w:sz="8" w:space="0" w:color="000000" w:themeColor="text1"/>
            </w:tcBorders>
            <w:shd w:val="clear" w:color="auto" w:fill="auto"/>
            <w:vAlign w:val="center"/>
            <w:hideMark/>
          </w:tcPr>
          <w:p w14:paraId="37EBD9D2" w14:textId="77777777" w:rsidR="00FA5543" w:rsidRPr="00C34031" w:rsidRDefault="00FA5543" w:rsidP="00390489">
            <w:pPr>
              <w:spacing w:before="0" w:after="0"/>
              <w:jc w:val="center"/>
              <w:rPr>
                <w:noProof/>
                <w:color w:val="000000"/>
                <w:sz w:val="14"/>
                <w:szCs w:val="14"/>
              </w:rPr>
            </w:pPr>
            <w:r w:rsidRPr="00C34031">
              <w:rPr>
                <w:noProof/>
                <w:color w:val="000000"/>
                <w:sz w:val="14"/>
              </w:rPr>
              <w:t>(4)</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6E1025ED" w14:textId="77777777" w:rsidR="00FA5543" w:rsidRPr="00C34031" w:rsidRDefault="5EC9359A" w:rsidP="00390489">
            <w:pPr>
              <w:spacing w:before="0" w:after="0"/>
              <w:jc w:val="right"/>
              <w:rPr>
                <w:noProof/>
                <w:color w:val="000000"/>
                <w:sz w:val="20"/>
                <w:szCs w:val="20"/>
              </w:rPr>
            </w:pPr>
            <w:r w:rsidRPr="00C34031">
              <w:rPr>
                <w:noProof/>
                <w:color w:val="000000" w:themeColor="text1"/>
                <w:sz w:val="20"/>
              </w:rPr>
              <w:t>28,090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C8BF0BA" w14:textId="77777777" w:rsidR="00FA5543" w:rsidRPr="00C34031" w:rsidRDefault="5EC9359A" w:rsidP="00390489">
            <w:pPr>
              <w:spacing w:before="0" w:after="0"/>
              <w:jc w:val="right"/>
              <w:rPr>
                <w:noProof/>
                <w:color w:val="000000"/>
                <w:sz w:val="20"/>
                <w:szCs w:val="20"/>
              </w:rPr>
            </w:pPr>
            <w:r w:rsidRPr="00C34031">
              <w:rPr>
                <w:noProof/>
                <w:color w:val="000000" w:themeColor="text1"/>
                <w:sz w:val="20"/>
              </w:rPr>
              <w:t>34,750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F9F04AF" w14:textId="77777777" w:rsidR="00FA5543" w:rsidRPr="00C34031" w:rsidRDefault="5EC9359A" w:rsidP="00390489">
            <w:pPr>
              <w:spacing w:before="0" w:after="0"/>
              <w:jc w:val="right"/>
              <w:rPr>
                <w:noProof/>
                <w:color w:val="000000"/>
                <w:sz w:val="20"/>
                <w:szCs w:val="20"/>
              </w:rPr>
            </w:pPr>
            <w:r w:rsidRPr="00C34031">
              <w:rPr>
                <w:noProof/>
                <w:color w:val="000000" w:themeColor="text1"/>
                <w:sz w:val="20"/>
              </w:rPr>
              <w:t>33,700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28383D1" w14:textId="77777777" w:rsidR="00FA5543" w:rsidRPr="00C34031" w:rsidRDefault="5EC9359A" w:rsidP="00390489">
            <w:pPr>
              <w:spacing w:before="0" w:after="0"/>
              <w:jc w:val="right"/>
              <w:rPr>
                <w:noProof/>
                <w:color w:val="000000"/>
                <w:sz w:val="20"/>
                <w:szCs w:val="20"/>
              </w:rPr>
            </w:pPr>
            <w:r w:rsidRPr="00C34031">
              <w:rPr>
                <w:noProof/>
                <w:color w:val="000000" w:themeColor="text1"/>
                <w:sz w:val="20"/>
              </w:rPr>
              <w:t>30,150</w:t>
            </w:r>
          </w:p>
        </w:tc>
        <w:tc>
          <w:tcPr>
            <w:tcW w:w="529" w:type="pct"/>
            <w:tcBorders>
              <w:top w:val="nil"/>
              <w:left w:val="nil"/>
              <w:bottom w:val="single" w:sz="8" w:space="0" w:color="auto"/>
              <w:right w:val="single" w:sz="8" w:space="0" w:color="auto"/>
            </w:tcBorders>
            <w:shd w:val="clear" w:color="auto" w:fill="D9D9D9" w:themeFill="background1" w:themeFillShade="D9"/>
            <w:vAlign w:val="center"/>
            <w:hideMark/>
          </w:tcPr>
          <w:p w14:paraId="7A64C562" w14:textId="77777777" w:rsidR="00FA5543" w:rsidRPr="00C34031" w:rsidRDefault="5EC9359A" w:rsidP="00390489">
            <w:pPr>
              <w:spacing w:before="0" w:after="0"/>
              <w:jc w:val="right"/>
              <w:rPr>
                <w:b/>
                <w:bCs/>
                <w:noProof/>
                <w:color w:val="000000"/>
                <w:sz w:val="20"/>
                <w:szCs w:val="20"/>
              </w:rPr>
            </w:pPr>
            <w:r w:rsidRPr="00C34031">
              <w:rPr>
                <w:b/>
                <w:noProof/>
                <w:color w:val="000000" w:themeColor="text1"/>
                <w:sz w:val="20"/>
              </w:rPr>
              <w:t>126,690</w:t>
            </w:r>
          </w:p>
        </w:tc>
      </w:tr>
      <w:tr w:rsidR="00FA5543" w:rsidRPr="00C34031" w14:paraId="69994A3D" w14:textId="77777777" w:rsidTr="139DF8FE">
        <w:trPr>
          <w:trHeight w:val="300"/>
        </w:trPr>
        <w:tc>
          <w:tcPr>
            <w:tcW w:w="1522" w:type="pct"/>
            <w:gridSpan w:val="3"/>
            <w:vMerge/>
            <w:vAlign w:val="center"/>
            <w:hideMark/>
          </w:tcPr>
          <w:p w14:paraId="0A98A704" w14:textId="77777777" w:rsidR="00FA5543" w:rsidRPr="00C34031" w:rsidRDefault="00FA5543" w:rsidP="00390489">
            <w:pPr>
              <w:spacing w:before="0" w:after="0"/>
              <w:jc w:val="left"/>
              <w:rPr>
                <w:noProof/>
                <w:color w:val="000000"/>
                <w:sz w:val="21"/>
                <w:szCs w:val="21"/>
                <w:lang w:eastAsia="en-IE"/>
              </w:rPr>
            </w:pPr>
          </w:p>
        </w:tc>
        <w:tc>
          <w:tcPr>
            <w:tcW w:w="471" w:type="pct"/>
            <w:gridSpan w:val="3"/>
            <w:tcBorders>
              <w:top w:val="nil"/>
              <w:left w:val="nil"/>
              <w:bottom w:val="single" w:sz="8" w:space="0" w:color="auto"/>
              <w:right w:val="single" w:sz="8" w:space="0" w:color="auto"/>
            </w:tcBorders>
            <w:shd w:val="clear" w:color="auto" w:fill="auto"/>
            <w:vAlign w:val="center"/>
            <w:hideMark/>
          </w:tcPr>
          <w:p w14:paraId="1D4C0066" w14:textId="77777777" w:rsidR="00FA5543" w:rsidRPr="00C34031" w:rsidRDefault="00FA5543" w:rsidP="00390489">
            <w:pPr>
              <w:spacing w:before="0" w:after="0"/>
              <w:rPr>
                <w:noProof/>
                <w:color w:val="000000"/>
                <w:sz w:val="18"/>
                <w:szCs w:val="18"/>
              </w:rPr>
            </w:pPr>
            <w:r w:rsidRPr="00C34031">
              <w:rPr>
                <w:noProof/>
                <w:color w:val="000000"/>
                <w:sz w:val="18"/>
              </w:rPr>
              <w:t>Platby</w:t>
            </w:r>
          </w:p>
        </w:tc>
        <w:tc>
          <w:tcPr>
            <w:tcW w:w="731" w:type="pct"/>
            <w:gridSpan w:val="4"/>
            <w:tcBorders>
              <w:top w:val="single" w:sz="8" w:space="0" w:color="auto"/>
              <w:left w:val="nil"/>
              <w:bottom w:val="single" w:sz="8" w:space="0" w:color="auto"/>
              <w:right w:val="single" w:sz="8" w:space="0" w:color="000000" w:themeColor="text1"/>
            </w:tcBorders>
            <w:shd w:val="clear" w:color="auto" w:fill="auto"/>
            <w:vAlign w:val="center"/>
            <w:hideMark/>
          </w:tcPr>
          <w:p w14:paraId="07B80886" w14:textId="77777777" w:rsidR="00FA5543" w:rsidRPr="00C34031" w:rsidRDefault="00FA5543" w:rsidP="00390489">
            <w:pPr>
              <w:spacing w:before="0" w:after="0"/>
              <w:jc w:val="center"/>
              <w:rPr>
                <w:noProof/>
                <w:color w:val="000000"/>
                <w:sz w:val="14"/>
                <w:szCs w:val="14"/>
              </w:rPr>
            </w:pPr>
            <w:r w:rsidRPr="00C34031">
              <w:rPr>
                <w:noProof/>
                <w:color w:val="000000"/>
                <w:sz w:val="14"/>
              </w:rPr>
              <w:t>(5)</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A2BAA63" w14:textId="77777777" w:rsidR="00FA5543" w:rsidRPr="00C34031" w:rsidRDefault="6A229C68" w:rsidP="00390489">
            <w:pPr>
              <w:spacing w:before="0" w:after="0"/>
              <w:jc w:val="right"/>
              <w:rPr>
                <w:noProof/>
                <w:color w:val="000000"/>
                <w:sz w:val="20"/>
                <w:szCs w:val="20"/>
              </w:rPr>
            </w:pPr>
            <w:r w:rsidRPr="00C34031">
              <w:rPr>
                <w:noProof/>
                <w:color w:val="000000" w:themeColor="text1"/>
                <w:sz w:val="20"/>
              </w:rPr>
              <w:t>17,530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8346A29" w14:textId="77777777" w:rsidR="00FA5543" w:rsidRPr="00C34031" w:rsidRDefault="6A229C68" w:rsidP="00390489">
            <w:pPr>
              <w:spacing w:before="0" w:after="0"/>
              <w:jc w:val="right"/>
              <w:rPr>
                <w:noProof/>
                <w:color w:val="000000"/>
                <w:sz w:val="20"/>
                <w:szCs w:val="20"/>
              </w:rPr>
            </w:pPr>
            <w:r w:rsidRPr="00C34031">
              <w:rPr>
                <w:noProof/>
                <w:color w:val="000000" w:themeColor="text1"/>
                <w:sz w:val="20"/>
              </w:rPr>
              <w:t>21,157</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4DD98AB3" w14:textId="77777777" w:rsidR="00FA5543" w:rsidRPr="00C34031" w:rsidRDefault="6A229C68" w:rsidP="00390489">
            <w:pPr>
              <w:spacing w:before="0" w:after="0"/>
              <w:jc w:val="right"/>
              <w:rPr>
                <w:noProof/>
                <w:color w:val="000000"/>
                <w:sz w:val="20"/>
                <w:szCs w:val="20"/>
              </w:rPr>
            </w:pPr>
            <w:r w:rsidRPr="00C34031">
              <w:rPr>
                <w:noProof/>
                <w:color w:val="000000" w:themeColor="text1"/>
                <w:sz w:val="20"/>
              </w:rPr>
              <w:t>32,090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2DAACCC5" w14:textId="77777777" w:rsidR="00FA5543" w:rsidRPr="00C34031" w:rsidRDefault="6A229C68" w:rsidP="00390489">
            <w:pPr>
              <w:spacing w:before="0" w:after="0"/>
              <w:jc w:val="right"/>
              <w:rPr>
                <w:noProof/>
                <w:color w:val="000000"/>
                <w:sz w:val="20"/>
                <w:szCs w:val="20"/>
              </w:rPr>
            </w:pPr>
            <w:r w:rsidRPr="00C34031">
              <w:rPr>
                <w:noProof/>
                <w:color w:val="000000" w:themeColor="text1"/>
                <w:sz w:val="20"/>
              </w:rPr>
              <w:t>33,067</w:t>
            </w:r>
          </w:p>
        </w:tc>
        <w:tc>
          <w:tcPr>
            <w:tcW w:w="529" w:type="pct"/>
            <w:tcBorders>
              <w:top w:val="nil"/>
              <w:left w:val="nil"/>
              <w:bottom w:val="single" w:sz="8" w:space="0" w:color="auto"/>
              <w:right w:val="single" w:sz="8" w:space="0" w:color="auto"/>
            </w:tcBorders>
            <w:shd w:val="clear" w:color="auto" w:fill="D9D9D9" w:themeFill="background1" w:themeFillShade="D9"/>
            <w:vAlign w:val="center"/>
            <w:hideMark/>
          </w:tcPr>
          <w:p w14:paraId="0C7E6FF2" w14:textId="77777777" w:rsidR="00FA5543" w:rsidRPr="00C34031" w:rsidRDefault="6A229C68" w:rsidP="00390489">
            <w:pPr>
              <w:spacing w:before="0" w:after="0"/>
              <w:jc w:val="right"/>
              <w:rPr>
                <w:b/>
                <w:bCs/>
                <w:noProof/>
                <w:color w:val="000000"/>
                <w:sz w:val="20"/>
                <w:szCs w:val="20"/>
              </w:rPr>
            </w:pPr>
            <w:r w:rsidRPr="00C34031">
              <w:rPr>
                <w:b/>
                <w:noProof/>
                <w:color w:val="000000" w:themeColor="text1"/>
                <w:sz w:val="20"/>
              </w:rPr>
              <w:t>103,844</w:t>
            </w:r>
          </w:p>
        </w:tc>
      </w:tr>
      <w:tr w:rsidR="00FA5543" w:rsidRPr="00C34031" w14:paraId="6AC5500B" w14:textId="77777777" w:rsidTr="139DF8FE">
        <w:trPr>
          <w:trHeight w:val="990"/>
        </w:trPr>
        <w:tc>
          <w:tcPr>
            <w:tcW w:w="1993" w:type="pct"/>
            <w:gridSpan w:val="6"/>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38C1F042" w14:textId="77777777" w:rsidR="00FA5543" w:rsidRPr="00C34031" w:rsidRDefault="00FA5543" w:rsidP="00390489">
            <w:pPr>
              <w:spacing w:before="0" w:after="0"/>
              <w:rPr>
                <w:noProof/>
                <w:color w:val="000000"/>
                <w:sz w:val="21"/>
                <w:szCs w:val="21"/>
              </w:rPr>
            </w:pPr>
            <w:r w:rsidRPr="00C34031">
              <w:rPr>
                <w:rFonts w:ascii="Calibri" w:hAnsi="Calibri"/>
                <w:noProof/>
                <w:color w:val="000000"/>
                <w:sz w:val="21"/>
              </w:rPr>
              <w:t>•</w:t>
            </w:r>
            <w:r w:rsidRPr="00C34031">
              <w:rPr>
                <w:noProof/>
                <w:color w:val="000000"/>
                <w:sz w:val="21"/>
              </w:rPr>
              <w:t xml:space="preserve"> Prostředky správní povahy financované z rámce na zvláštní programy CELKEM (všechny operační okruhy)</w:t>
            </w:r>
          </w:p>
        </w:tc>
        <w:tc>
          <w:tcPr>
            <w:tcW w:w="731" w:type="pct"/>
            <w:gridSpan w:val="4"/>
            <w:tcBorders>
              <w:top w:val="single" w:sz="8" w:space="0" w:color="auto"/>
              <w:left w:val="nil"/>
              <w:bottom w:val="single" w:sz="8" w:space="0" w:color="auto"/>
              <w:right w:val="single" w:sz="8" w:space="0" w:color="000000" w:themeColor="text1"/>
            </w:tcBorders>
            <w:shd w:val="clear" w:color="auto" w:fill="auto"/>
            <w:vAlign w:val="center"/>
            <w:hideMark/>
          </w:tcPr>
          <w:p w14:paraId="032AF59D" w14:textId="77777777" w:rsidR="00FA5543" w:rsidRPr="00C34031" w:rsidRDefault="00FA5543" w:rsidP="00390489">
            <w:pPr>
              <w:spacing w:before="0" w:after="0"/>
              <w:jc w:val="center"/>
              <w:rPr>
                <w:noProof/>
                <w:color w:val="000000"/>
                <w:sz w:val="14"/>
                <w:szCs w:val="14"/>
              </w:rPr>
            </w:pPr>
            <w:r w:rsidRPr="00C34031">
              <w:rPr>
                <w:noProof/>
                <w:color w:val="000000"/>
                <w:sz w:val="14"/>
              </w:rPr>
              <w:t>(6)</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221D2F26" w14:textId="77777777" w:rsidR="00FA5543" w:rsidRPr="00C34031" w:rsidRDefault="00FA5543" w:rsidP="00390489">
            <w:pPr>
              <w:spacing w:before="0" w:after="0"/>
              <w:jc w:val="right"/>
              <w:rPr>
                <w:noProof/>
                <w:color w:val="000000"/>
                <w:sz w:val="20"/>
                <w:szCs w:val="20"/>
              </w:rPr>
            </w:pPr>
            <w:r w:rsidRPr="00C34031">
              <w:rPr>
                <w:noProof/>
                <w:color w:val="000000"/>
                <w:sz w:val="20"/>
              </w:rPr>
              <w:t>0,000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54A6979A" w14:textId="77777777" w:rsidR="00FA5543" w:rsidRPr="00C34031" w:rsidRDefault="00FA5543" w:rsidP="00390489">
            <w:pPr>
              <w:spacing w:before="0" w:after="0"/>
              <w:jc w:val="right"/>
              <w:rPr>
                <w:noProof/>
                <w:color w:val="000000"/>
                <w:sz w:val="20"/>
                <w:szCs w:val="20"/>
              </w:rPr>
            </w:pPr>
            <w:r w:rsidRPr="00C34031">
              <w:rPr>
                <w:noProof/>
                <w:color w:val="000000"/>
                <w:sz w:val="20"/>
              </w:rPr>
              <w:t>0,000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612D4C7" w14:textId="77777777" w:rsidR="00FA5543" w:rsidRPr="00C34031" w:rsidRDefault="00FA5543" w:rsidP="00390489">
            <w:pPr>
              <w:spacing w:before="0" w:after="0"/>
              <w:jc w:val="right"/>
              <w:rPr>
                <w:noProof/>
                <w:color w:val="000000"/>
                <w:sz w:val="20"/>
                <w:szCs w:val="20"/>
              </w:rPr>
            </w:pPr>
            <w:r w:rsidRPr="00C34031">
              <w:rPr>
                <w:noProof/>
                <w:color w:val="000000"/>
                <w:sz w:val="20"/>
              </w:rPr>
              <w:t>0,000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6B7983FF" w14:textId="77777777" w:rsidR="00FA5543" w:rsidRPr="00C34031" w:rsidRDefault="00FA5543" w:rsidP="00390489">
            <w:pPr>
              <w:spacing w:before="0" w:after="0"/>
              <w:jc w:val="right"/>
              <w:rPr>
                <w:noProof/>
                <w:color w:val="000000"/>
                <w:sz w:val="20"/>
                <w:szCs w:val="20"/>
              </w:rPr>
            </w:pPr>
            <w:r w:rsidRPr="00C34031">
              <w:rPr>
                <w:noProof/>
                <w:color w:val="000000"/>
                <w:sz w:val="20"/>
              </w:rPr>
              <w:t>0,000</w:t>
            </w:r>
          </w:p>
        </w:tc>
        <w:tc>
          <w:tcPr>
            <w:tcW w:w="529" w:type="pct"/>
            <w:tcBorders>
              <w:top w:val="nil"/>
              <w:left w:val="nil"/>
              <w:bottom w:val="single" w:sz="8" w:space="0" w:color="auto"/>
              <w:right w:val="single" w:sz="8" w:space="0" w:color="auto"/>
            </w:tcBorders>
            <w:shd w:val="clear" w:color="auto" w:fill="D9D9D9" w:themeFill="background1" w:themeFillShade="D9"/>
            <w:vAlign w:val="center"/>
            <w:hideMark/>
          </w:tcPr>
          <w:p w14:paraId="2FC9C633" w14:textId="77777777" w:rsidR="00FA5543" w:rsidRPr="00C34031" w:rsidRDefault="00FA5543" w:rsidP="00390489">
            <w:pPr>
              <w:spacing w:before="0" w:after="0"/>
              <w:jc w:val="right"/>
              <w:rPr>
                <w:b/>
                <w:bCs/>
                <w:noProof/>
                <w:color w:val="000000"/>
                <w:sz w:val="20"/>
                <w:szCs w:val="20"/>
              </w:rPr>
            </w:pPr>
            <w:r w:rsidRPr="00C34031">
              <w:rPr>
                <w:b/>
                <w:noProof/>
                <w:color w:val="000000"/>
                <w:sz w:val="20"/>
              </w:rPr>
              <w:t>0,000</w:t>
            </w:r>
          </w:p>
        </w:tc>
      </w:tr>
      <w:tr w:rsidR="00FA5543" w:rsidRPr="00C34031" w14:paraId="72DFE2AF" w14:textId="77777777" w:rsidTr="139DF8FE">
        <w:trPr>
          <w:trHeight w:val="564"/>
        </w:trPr>
        <w:tc>
          <w:tcPr>
            <w:tcW w:w="1522" w:type="pct"/>
            <w:gridSpan w:val="3"/>
            <w:tcBorders>
              <w:top w:val="nil"/>
              <w:left w:val="single" w:sz="8" w:space="0" w:color="auto"/>
              <w:bottom w:val="nil"/>
              <w:right w:val="single" w:sz="8" w:space="0" w:color="auto"/>
            </w:tcBorders>
            <w:shd w:val="clear" w:color="auto" w:fill="F1F1F1"/>
            <w:vAlign w:val="center"/>
            <w:hideMark/>
          </w:tcPr>
          <w:p w14:paraId="2E9C94B5" w14:textId="77777777" w:rsidR="00FA5543" w:rsidRPr="00C34031" w:rsidRDefault="00FA5543" w:rsidP="00390489">
            <w:pPr>
              <w:spacing w:before="0" w:after="0"/>
              <w:jc w:val="center"/>
              <w:rPr>
                <w:b/>
                <w:bCs/>
                <w:noProof/>
                <w:color w:val="000000"/>
                <w:sz w:val="22"/>
              </w:rPr>
            </w:pPr>
            <w:r w:rsidRPr="00C34031">
              <w:rPr>
                <w:b/>
                <w:noProof/>
                <w:color w:val="000000"/>
                <w:sz w:val="22"/>
              </w:rPr>
              <w:t>CELKEM prostředky z          okruhů 1 až 6</w:t>
            </w:r>
          </w:p>
        </w:tc>
        <w:tc>
          <w:tcPr>
            <w:tcW w:w="471" w:type="pct"/>
            <w:gridSpan w:val="3"/>
            <w:tcBorders>
              <w:top w:val="nil"/>
              <w:left w:val="nil"/>
              <w:bottom w:val="nil"/>
              <w:right w:val="single" w:sz="8" w:space="0" w:color="auto"/>
            </w:tcBorders>
            <w:shd w:val="clear" w:color="auto" w:fill="auto"/>
            <w:vAlign w:val="center"/>
            <w:hideMark/>
          </w:tcPr>
          <w:p w14:paraId="4801AE02" w14:textId="77777777" w:rsidR="00FA5543" w:rsidRPr="00C34031" w:rsidRDefault="00FA5543" w:rsidP="00390489">
            <w:pPr>
              <w:spacing w:before="0" w:after="0"/>
              <w:rPr>
                <w:noProof/>
                <w:color w:val="000000"/>
                <w:sz w:val="18"/>
                <w:szCs w:val="18"/>
              </w:rPr>
            </w:pPr>
            <w:r w:rsidRPr="00C34031">
              <w:rPr>
                <w:noProof/>
                <w:color w:val="000000"/>
                <w:sz w:val="18"/>
              </w:rPr>
              <w:t>Závazky</w:t>
            </w:r>
          </w:p>
        </w:tc>
        <w:tc>
          <w:tcPr>
            <w:tcW w:w="731" w:type="pct"/>
            <w:gridSpan w:val="4"/>
            <w:tcBorders>
              <w:top w:val="single" w:sz="8" w:space="0" w:color="auto"/>
              <w:left w:val="nil"/>
              <w:bottom w:val="nil"/>
              <w:right w:val="single" w:sz="8" w:space="0" w:color="000000" w:themeColor="text1"/>
            </w:tcBorders>
            <w:shd w:val="clear" w:color="auto" w:fill="auto"/>
            <w:vAlign w:val="center"/>
            <w:hideMark/>
          </w:tcPr>
          <w:p w14:paraId="037D5CCB" w14:textId="77777777" w:rsidR="00FA5543" w:rsidRPr="00C34031" w:rsidRDefault="00FA5543" w:rsidP="00390489">
            <w:pPr>
              <w:spacing w:before="0" w:after="0"/>
              <w:jc w:val="center"/>
              <w:rPr>
                <w:noProof/>
                <w:color w:val="000000"/>
                <w:sz w:val="14"/>
                <w:szCs w:val="14"/>
              </w:rPr>
            </w:pPr>
            <w:r w:rsidRPr="00C34031">
              <w:rPr>
                <w:noProof/>
                <w:color w:val="000000"/>
                <w:sz w:val="14"/>
              </w:rPr>
              <w:t>=4+6</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B5D97F5" w14:textId="77777777" w:rsidR="00FA5543" w:rsidRPr="00C34031" w:rsidRDefault="330F08B6" w:rsidP="00390489">
            <w:pPr>
              <w:spacing w:before="0" w:after="0"/>
              <w:jc w:val="right"/>
              <w:rPr>
                <w:b/>
                <w:bCs/>
                <w:noProof/>
                <w:color w:val="000000"/>
                <w:sz w:val="20"/>
                <w:szCs w:val="20"/>
              </w:rPr>
            </w:pPr>
            <w:r w:rsidRPr="00C34031">
              <w:rPr>
                <w:b/>
                <w:noProof/>
                <w:color w:val="000000" w:themeColor="text1"/>
                <w:sz w:val="20"/>
              </w:rPr>
              <w:t>28,090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509B8565" w14:textId="77777777" w:rsidR="00FA5543" w:rsidRPr="00C34031" w:rsidRDefault="330F08B6" w:rsidP="00390489">
            <w:pPr>
              <w:spacing w:before="0" w:after="0"/>
              <w:jc w:val="right"/>
              <w:rPr>
                <w:b/>
                <w:bCs/>
                <w:noProof/>
                <w:color w:val="000000"/>
                <w:sz w:val="20"/>
                <w:szCs w:val="20"/>
              </w:rPr>
            </w:pPr>
            <w:r w:rsidRPr="00C34031">
              <w:rPr>
                <w:b/>
                <w:noProof/>
                <w:color w:val="000000" w:themeColor="text1"/>
                <w:sz w:val="20"/>
              </w:rPr>
              <w:t>34,750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959430A" w14:textId="77777777" w:rsidR="00FA5543" w:rsidRPr="00C34031" w:rsidRDefault="330F08B6" w:rsidP="00390489">
            <w:pPr>
              <w:spacing w:before="0" w:after="0"/>
              <w:jc w:val="right"/>
              <w:rPr>
                <w:b/>
                <w:bCs/>
                <w:noProof/>
                <w:color w:val="000000"/>
                <w:sz w:val="20"/>
                <w:szCs w:val="20"/>
              </w:rPr>
            </w:pPr>
            <w:r w:rsidRPr="00C34031">
              <w:rPr>
                <w:b/>
                <w:noProof/>
                <w:color w:val="000000" w:themeColor="text1"/>
                <w:sz w:val="20"/>
              </w:rPr>
              <w:t>33,700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06DBE2E" w14:textId="77777777" w:rsidR="00FA5543" w:rsidRPr="00C34031" w:rsidRDefault="330F08B6" w:rsidP="00390489">
            <w:pPr>
              <w:spacing w:before="0" w:after="0"/>
              <w:jc w:val="right"/>
              <w:rPr>
                <w:b/>
                <w:bCs/>
                <w:noProof/>
                <w:color w:val="000000"/>
                <w:sz w:val="20"/>
                <w:szCs w:val="20"/>
              </w:rPr>
            </w:pPr>
            <w:r w:rsidRPr="00C34031">
              <w:rPr>
                <w:b/>
                <w:noProof/>
                <w:color w:val="000000" w:themeColor="text1"/>
                <w:sz w:val="20"/>
              </w:rPr>
              <w:t>30,150</w:t>
            </w:r>
          </w:p>
        </w:tc>
        <w:tc>
          <w:tcPr>
            <w:tcW w:w="529" w:type="pct"/>
            <w:tcBorders>
              <w:top w:val="nil"/>
              <w:left w:val="nil"/>
              <w:bottom w:val="single" w:sz="8" w:space="0" w:color="auto"/>
              <w:right w:val="single" w:sz="8" w:space="0" w:color="auto"/>
            </w:tcBorders>
            <w:shd w:val="clear" w:color="auto" w:fill="D9D9D9" w:themeFill="background1" w:themeFillShade="D9"/>
            <w:vAlign w:val="center"/>
            <w:hideMark/>
          </w:tcPr>
          <w:p w14:paraId="3D25EC1D" w14:textId="77777777" w:rsidR="00FA5543" w:rsidRPr="00C34031" w:rsidRDefault="330F08B6" w:rsidP="00390489">
            <w:pPr>
              <w:spacing w:before="0" w:after="0"/>
              <w:jc w:val="right"/>
              <w:rPr>
                <w:b/>
                <w:bCs/>
                <w:noProof/>
                <w:color w:val="000000"/>
                <w:sz w:val="20"/>
                <w:szCs w:val="20"/>
              </w:rPr>
            </w:pPr>
            <w:r w:rsidRPr="00C34031">
              <w:rPr>
                <w:b/>
                <w:noProof/>
                <w:color w:val="000000" w:themeColor="text1"/>
                <w:sz w:val="20"/>
              </w:rPr>
              <w:t>126,690</w:t>
            </w:r>
          </w:p>
        </w:tc>
      </w:tr>
      <w:tr w:rsidR="00FA5543" w:rsidRPr="00C34031" w14:paraId="63EE509A" w14:textId="77777777" w:rsidTr="139DF8FE">
        <w:trPr>
          <w:trHeight w:val="588"/>
        </w:trPr>
        <w:tc>
          <w:tcPr>
            <w:tcW w:w="1522" w:type="pct"/>
            <w:gridSpan w:val="3"/>
            <w:tcBorders>
              <w:top w:val="nil"/>
              <w:left w:val="single" w:sz="8" w:space="0" w:color="auto"/>
              <w:bottom w:val="single" w:sz="8" w:space="0" w:color="auto"/>
              <w:right w:val="single" w:sz="8" w:space="0" w:color="auto"/>
            </w:tcBorders>
            <w:shd w:val="clear" w:color="auto" w:fill="F1F1F1"/>
            <w:vAlign w:val="center"/>
            <w:hideMark/>
          </w:tcPr>
          <w:p w14:paraId="12083EBA" w14:textId="77777777" w:rsidR="00FA5543" w:rsidRPr="00C34031" w:rsidRDefault="00FA5543" w:rsidP="00390489">
            <w:pPr>
              <w:spacing w:before="0" w:after="0"/>
              <w:jc w:val="center"/>
              <w:rPr>
                <w:noProof/>
                <w:color w:val="000000"/>
                <w:sz w:val="20"/>
                <w:szCs w:val="20"/>
              </w:rPr>
            </w:pPr>
            <w:r w:rsidRPr="00C34031">
              <w:rPr>
                <w:noProof/>
                <w:color w:val="000000"/>
                <w:sz w:val="20"/>
              </w:rPr>
              <w:t>víceletého finančního rámce</w:t>
            </w:r>
            <w:r w:rsidRPr="00C34031">
              <w:rPr>
                <w:noProof/>
                <w:color w:val="000000"/>
                <w:sz w:val="20"/>
              </w:rPr>
              <w:br/>
              <w:t>(referenční částka)</w:t>
            </w:r>
          </w:p>
        </w:tc>
        <w:tc>
          <w:tcPr>
            <w:tcW w:w="471" w:type="pct"/>
            <w:gridSpan w:val="3"/>
            <w:tcBorders>
              <w:top w:val="nil"/>
              <w:left w:val="nil"/>
              <w:bottom w:val="single" w:sz="8" w:space="0" w:color="auto"/>
              <w:right w:val="single" w:sz="8" w:space="0" w:color="auto"/>
            </w:tcBorders>
            <w:shd w:val="clear" w:color="auto" w:fill="auto"/>
            <w:vAlign w:val="center"/>
            <w:hideMark/>
          </w:tcPr>
          <w:p w14:paraId="615B0F74" w14:textId="77777777" w:rsidR="00FA5543" w:rsidRPr="00C34031" w:rsidRDefault="00FA5543" w:rsidP="00390489">
            <w:pPr>
              <w:spacing w:before="0" w:after="0"/>
              <w:rPr>
                <w:noProof/>
                <w:color w:val="000000"/>
                <w:sz w:val="18"/>
                <w:szCs w:val="18"/>
              </w:rPr>
            </w:pPr>
            <w:r w:rsidRPr="00C34031">
              <w:rPr>
                <w:noProof/>
                <w:color w:val="000000"/>
                <w:sz w:val="18"/>
              </w:rPr>
              <w:t>Platby</w:t>
            </w:r>
          </w:p>
        </w:tc>
        <w:tc>
          <w:tcPr>
            <w:tcW w:w="731" w:type="pct"/>
            <w:gridSpan w:val="4"/>
            <w:tcBorders>
              <w:top w:val="single" w:sz="8" w:space="0" w:color="auto"/>
              <w:left w:val="nil"/>
              <w:bottom w:val="single" w:sz="8" w:space="0" w:color="auto"/>
              <w:right w:val="single" w:sz="8" w:space="0" w:color="000000" w:themeColor="text1"/>
            </w:tcBorders>
            <w:shd w:val="clear" w:color="auto" w:fill="auto"/>
            <w:vAlign w:val="center"/>
            <w:hideMark/>
          </w:tcPr>
          <w:p w14:paraId="7D6CC395" w14:textId="77777777" w:rsidR="00FA5543" w:rsidRPr="00C34031" w:rsidRDefault="00FA5543" w:rsidP="00390489">
            <w:pPr>
              <w:spacing w:before="0" w:after="0"/>
              <w:jc w:val="center"/>
              <w:rPr>
                <w:noProof/>
                <w:color w:val="000000"/>
                <w:sz w:val="14"/>
                <w:szCs w:val="14"/>
              </w:rPr>
            </w:pPr>
            <w:r w:rsidRPr="00C34031">
              <w:rPr>
                <w:noProof/>
                <w:color w:val="000000"/>
                <w:sz w:val="14"/>
              </w:rPr>
              <w:t>=5+6</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5098214A" w14:textId="77777777" w:rsidR="00FA5543" w:rsidRPr="00C34031" w:rsidRDefault="32ABF7D9" w:rsidP="00390489">
            <w:pPr>
              <w:spacing w:before="0" w:after="0"/>
              <w:jc w:val="right"/>
              <w:rPr>
                <w:b/>
                <w:bCs/>
                <w:noProof/>
                <w:color w:val="000000"/>
                <w:sz w:val="20"/>
                <w:szCs w:val="20"/>
              </w:rPr>
            </w:pPr>
            <w:r w:rsidRPr="00C34031">
              <w:rPr>
                <w:b/>
                <w:noProof/>
                <w:color w:val="000000" w:themeColor="text1"/>
                <w:sz w:val="20"/>
              </w:rPr>
              <w:t>17,530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741FEF4" w14:textId="77777777" w:rsidR="00FA5543" w:rsidRPr="00C34031" w:rsidRDefault="32ABF7D9" w:rsidP="00390489">
            <w:pPr>
              <w:spacing w:before="0" w:after="0"/>
              <w:jc w:val="right"/>
              <w:rPr>
                <w:b/>
                <w:bCs/>
                <w:noProof/>
                <w:color w:val="000000"/>
                <w:sz w:val="20"/>
                <w:szCs w:val="20"/>
              </w:rPr>
            </w:pPr>
            <w:r w:rsidRPr="00C34031">
              <w:rPr>
                <w:b/>
                <w:noProof/>
                <w:color w:val="000000" w:themeColor="text1"/>
                <w:sz w:val="20"/>
              </w:rPr>
              <w:t>21,157</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9DEC622" w14:textId="77777777" w:rsidR="00FA5543" w:rsidRPr="00C34031" w:rsidRDefault="32ABF7D9" w:rsidP="00390489">
            <w:pPr>
              <w:spacing w:before="0" w:after="0"/>
              <w:jc w:val="right"/>
              <w:rPr>
                <w:b/>
                <w:bCs/>
                <w:noProof/>
                <w:color w:val="000000"/>
                <w:sz w:val="20"/>
                <w:szCs w:val="20"/>
              </w:rPr>
            </w:pPr>
            <w:r w:rsidRPr="00C34031">
              <w:rPr>
                <w:b/>
                <w:noProof/>
                <w:color w:val="000000" w:themeColor="text1"/>
                <w:sz w:val="20"/>
              </w:rPr>
              <w:t>32,090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263EAFB" w14:textId="77777777" w:rsidR="00FA5543" w:rsidRPr="00C34031" w:rsidRDefault="32ABF7D9" w:rsidP="00390489">
            <w:pPr>
              <w:spacing w:before="0" w:after="0"/>
              <w:jc w:val="right"/>
              <w:rPr>
                <w:b/>
                <w:bCs/>
                <w:noProof/>
                <w:color w:val="000000"/>
                <w:sz w:val="20"/>
                <w:szCs w:val="20"/>
              </w:rPr>
            </w:pPr>
            <w:r w:rsidRPr="00C34031">
              <w:rPr>
                <w:b/>
                <w:noProof/>
                <w:color w:val="000000" w:themeColor="text1"/>
                <w:sz w:val="20"/>
              </w:rPr>
              <w:t>33,067</w:t>
            </w:r>
          </w:p>
        </w:tc>
        <w:tc>
          <w:tcPr>
            <w:tcW w:w="529" w:type="pct"/>
            <w:tcBorders>
              <w:top w:val="nil"/>
              <w:left w:val="nil"/>
              <w:bottom w:val="single" w:sz="8" w:space="0" w:color="auto"/>
              <w:right w:val="single" w:sz="8" w:space="0" w:color="auto"/>
            </w:tcBorders>
            <w:shd w:val="clear" w:color="auto" w:fill="D9D9D9" w:themeFill="background1" w:themeFillShade="D9"/>
            <w:vAlign w:val="center"/>
            <w:hideMark/>
          </w:tcPr>
          <w:p w14:paraId="3E3A76DA" w14:textId="77777777" w:rsidR="00FA5543" w:rsidRPr="00C34031" w:rsidRDefault="32ABF7D9" w:rsidP="00390489">
            <w:pPr>
              <w:spacing w:before="0" w:after="0"/>
              <w:jc w:val="right"/>
              <w:rPr>
                <w:b/>
                <w:bCs/>
                <w:noProof/>
                <w:color w:val="000000"/>
                <w:sz w:val="20"/>
                <w:szCs w:val="20"/>
              </w:rPr>
            </w:pPr>
            <w:r w:rsidRPr="00C34031">
              <w:rPr>
                <w:b/>
                <w:noProof/>
                <w:color w:val="000000" w:themeColor="text1"/>
                <w:sz w:val="20"/>
              </w:rPr>
              <w:t>103,844</w:t>
            </w:r>
          </w:p>
        </w:tc>
      </w:tr>
    </w:tbl>
    <w:p w14:paraId="489701C1" w14:textId="77777777" w:rsidR="00FA5543" w:rsidRPr="00C34031" w:rsidRDefault="00FA5543" w:rsidP="00390489">
      <w:pPr>
        <w:rPr>
          <w:noProo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02"/>
        <w:gridCol w:w="2645"/>
        <w:gridCol w:w="637"/>
        <w:gridCol w:w="640"/>
        <w:gridCol w:w="1069"/>
        <w:gridCol w:w="1065"/>
        <w:gridCol w:w="1073"/>
        <w:gridCol w:w="1069"/>
        <w:gridCol w:w="1320"/>
      </w:tblGrid>
      <w:tr w:rsidR="00FA5543" w:rsidRPr="00C34031" w14:paraId="78A1F559" w14:textId="77777777" w:rsidTr="139DF8FE">
        <w:trPr>
          <w:jc w:val="center"/>
        </w:trPr>
        <w:tc>
          <w:tcPr>
            <w:tcW w:w="1739" w:type="pct"/>
            <w:shd w:val="clear" w:color="auto" w:fill="auto"/>
            <w:vAlign w:val="center"/>
          </w:tcPr>
          <w:p w14:paraId="642B32D6" w14:textId="77777777" w:rsidR="00FA5543" w:rsidRPr="00C34031" w:rsidRDefault="00FA5543" w:rsidP="00390489">
            <w:pPr>
              <w:spacing w:before="60" w:after="60"/>
              <w:jc w:val="center"/>
              <w:rPr>
                <w:b/>
                <w:noProof/>
              </w:rPr>
            </w:pPr>
            <w:r w:rsidRPr="00C34031">
              <w:rPr>
                <w:noProof/>
              </w:rPr>
              <w:br w:type="page"/>
            </w:r>
            <w:r w:rsidRPr="00C34031">
              <w:rPr>
                <w:b/>
                <w:noProof/>
                <w:sz w:val="22"/>
              </w:rPr>
              <w:t xml:space="preserve">Okruh víceletého finančního rámce </w:t>
            </w:r>
          </w:p>
        </w:tc>
        <w:tc>
          <w:tcPr>
            <w:tcW w:w="396" w:type="pct"/>
            <w:shd w:val="clear" w:color="auto" w:fill="auto"/>
            <w:vAlign w:val="center"/>
          </w:tcPr>
          <w:p w14:paraId="684A20E5" w14:textId="77777777" w:rsidR="00FA5543" w:rsidRPr="00C34031" w:rsidRDefault="00FA5543" w:rsidP="00390489">
            <w:pPr>
              <w:spacing w:before="60" w:after="60"/>
              <w:jc w:val="center"/>
              <w:rPr>
                <w:noProof/>
              </w:rPr>
            </w:pPr>
            <w:r w:rsidRPr="00C34031">
              <w:rPr>
                <w:b/>
                <w:noProof/>
                <w:sz w:val="22"/>
              </w:rPr>
              <w:t>7</w:t>
            </w:r>
          </w:p>
        </w:tc>
        <w:tc>
          <w:tcPr>
            <w:tcW w:w="2865" w:type="pct"/>
            <w:gridSpan w:val="7"/>
            <w:vAlign w:val="center"/>
          </w:tcPr>
          <w:p w14:paraId="7EDCD345" w14:textId="77777777" w:rsidR="00FA5543" w:rsidRPr="00C34031" w:rsidRDefault="6C3AF1E0" w:rsidP="00390489">
            <w:pPr>
              <w:spacing w:before="60" w:after="60"/>
              <w:rPr>
                <w:noProof/>
              </w:rPr>
            </w:pPr>
            <w:r w:rsidRPr="00C34031">
              <w:rPr>
                <w:noProof/>
                <w:sz w:val="22"/>
              </w:rPr>
              <w:t>„Správní výdaje“</w:t>
            </w:r>
            <w:r w:rsidR="00FA5543" w:rsidRPr="00C34031">
              <w:rPr>
                <w:rStyle w:val="FootnoteReference"/>
                <w:noProof/>
                <w:sz w:val="22"/>
              </w:rPr>
              <w:footnoteReference w:id="25"/>
            </w:r>
          </w:p>
        </w:tc>
      </w:tr>
      <w:tr w:rsidR="00FA5543" w:rsidRPr="00C34031" w14:paraId="5A3B5CB2" w14:textId="77777777" w:rsidTr="139DF8F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8"/>
        </w:trPr>
        <w:tc>
          <w:tcPr>
            <w:tcW w:w="8624" w:type="dxa"/>
            <w:gridSpan w:val="4"/>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84E5E20" w14:textId="77777777" w:rsidR="00FA5543" w:rsidRPr="00C34031" w:rsidRDefault="6C3AF1E0" w:rsidP="139DF8FE">
            <w:pPr>
              <w:spacing w:before="0" w:after="0"/>
              <w:jc w:val="center"/>
              <w:rPr>
                <w:noProof/>
                <w:color w:val="000000"/>
              </w:rPr>
            </w:pPr>
            <w:r w:rsidRPr="00C34031">
              <w:rPr>
                <w:noProof/>
                <w:color w:val="000000" w:themeColor="text1"/>
              </w:rPr>
              <w:t>GŘ: TAXUD</w:t>
            </w:r>
          </w:p>
        </w:tc>
        <w:tc>
          <w:tcPr>
            <w:tcW w:w="1069" w:type="dxa"/>
            <w:tcBorders>
              <w:top w:val="single" w:sz="8" w:space="0" w:color="auto"/>
              <w:left w:val="nil"/>
              <w:bottom w:val="nil"/>
              <w:right w:val="single" w:sz="8" w:space="0" w:color="auto"/>
            </w:tcBorders>
            <w:shd w:val="clear" w:color="auto" w:fill="auto"/>
            <w:vAlign w:val="center"/>
            <w:hideMark/>
          </w:tcPr>
          <w:p w14:paraId="717DE922"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1065" w:type="dxa"/>
            <w:tcBorders>
              <w:top w:val="single" w:sz="8" w:space="0" w:color="auto"/>
              <w:left w:val="nil"/>
              <w:bottom w:val="nil"/>
              <w:right w:val="single" w:sz="8" w:space="0" w:color="auto"/>
            </w:tcBorders>
            <w:shd w:val="clear" w:color="auto" w:fill="auto"/>
            <w:vAlign w:val="center"/>
            <w:hideMark/>
          </w:tcPr>
          <w:p w14:paraId="0665B2C5"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1073" w:type="dxa"/>
            <w:tcBorders>
              <w:top w:val="single" w:sz="8" w:space="0" w:color="auto"/>
              <w:left w:val="nil"/>
              <w:bottom w:val="nil"/>
              <w:right w:val="single" w:sz="8" w:space="0" w:color="auto"/>
            </w:tcBorders>
            <w:shd w:val="clear" w:color="auto" w:fill="auto"/>
            <w:vAlign w:val="center"/>
            <w:hideMark/>
          </w:tcPr>
          <w:p w14:paraId="0687D4F6"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1069" w:type="dxa"/>
            <w:tcBorders>
              <w:top w:val="single" w:sz="8" w:space="0" w:color="auto"/>
              <w:left w:val="nil"/>
              <w:bottom w:val="nil"/>
              <w:right w:val="single" w:sz="8" w:space="0" w:color="auto"/>
            </w:tcBorders>
            <w:shd w:val="clear" w:color="auto" w:fill="auto"/>
            <w:vAlign w:val="center"/>
            <w:hideMark/>
          </w:tcPr>
          <w:p w14:paraId="240186FC"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1320" w:type="dxa"/>
            <w:vMerge w:val="restart"/>
            <w:tcBorders>
              <w:top w:val="single" w:sz="8" w:space="0" w:color="auto"/>
              <w:left w:val="single" w:sz="8" w:space="0" w:color="auto"/>
              <w:bottom w:val="single" w:sz="8" w:space="0" w:color="000000" w:themeColor="text1"/>
              <w:right w:val="single" w:sz="8" w:space="0" w:color="auto"/>
            </w:tcBorders>
            <w:shd w:val="clear" w:color="auto" w:fill="auto"/>
            <w:vAlign w:val="center"/>
            <w:hideMark/>
          </w:tcPr>
          <w:p w14:paraId="69A42C10"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CELKEM VFR na období 2021–2027</w:t>
            </w:r>
          </w:p>
        </w:tc>
      </w:tr>
      <w:tr w:rsidR="00FA5543" w:rsidRPr="00C34031" w14:paraId="68B85E10" w14:textId="77777777" w:rsidTr="139DF8F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8624" w:type="dxa"/>
            <w:gridSpan w:val="4"/>
            <w:vMerge/>
            <w:vAlign w:val="center"/>
            <w:hideMark/>
          </w:tcPr>
          <w:p w14:paraId="325FEE4F" w14:textId="77777777" w:rsidR="00FA5543" w:rsidRPr="00C34031" w:rsidRDefault="00FA5543" w:rsidP="00390489">
            <w:pPr>
              <w:spacing w:before="0" w:after="0"/>
              <w:jc w:val="left"/>
              <w:rPr>
                <w:noProof/>
                <w:color w:val="000000"/>
                <w:szCs w:val="24"/>
                <w:lang w:eastAsia="en-IE"/>
              </w:rPr>
            </w:pPr>
          </w:p>
        </w:tc>
        <w:tc>
          <w:tcPr>
            <w:tcW w:w="1069" w:type="dxa"/>
            <w:tcBorders>
              <w:top w:val="nil"/>
              <w:left w:val="nil"/>
              <w:bottom w:val="single" w:sz="8" w:space="0" w:color="auto"/>
              <w:right w:val="single" w:sz="8" w:space="0" w:color="auto"/>
            </w:tcBorders>
            <w:shd w:val="clear" w:color="auto" w:fill="auto"/>
            <w:vAlign w:val="center"/>
            <w:hideMark/>
          </w:tcPr>
          <w:p w14:paraId="254617C8"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2024</w:t>
            </w:r>
          </w:p>
        </w:tc>
        <w:tc>
          <w:tcPr>
            <w:tcW w:w="1065" w:type="dxa"/>
            <w:tcBorders>
              <w:top w:val="nil"/>
              <w:left w:val="nil"/>
              <w:bottom w:val="single" w:sz="8" w:space="0" w:color="auto"/>
              <w:right w:val="single" w:sz="8" w:space="0" w:color="auto"/>
            </w:tcBorders>
            <w:shd w:val="clear" w:color="auto" w:fill="auto"/>
            <w:vAlign w:val="center"/>
            <w:hideMark/>
          </w:tcPr>
          <w:p w14:paraId="0D0B0749"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2025</w:t>
            </w:r>
          </w:p>
        </w:tc>
        <w:tc>
          <w:tcPr>
            <w:tcW w:w="1073" w:type="dxa"/>
            <w:tcBorders>
              <w:top w:val="nil"/>
              <w:left w:val="nil"/>
              <w:bottom w:val="single" w:sz="8" w:space="0" w:color="auto"/>
              <w:right w:val="single" w:sz="8" w:space="0" w:color="auto"/>
            </w:tcBorders>
            <w:shd w:val="clear" w:color="auto" w:fill="auto"/>
            <w:vAlign w:val="center"/>
            <w:hideMark/>
          </w:tcPr>
          <w:p w14:paraId="7B2334C3"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2026</w:t>
            </w:r>
          </w:p>
        </w:tc>
        <w:tc>
          <w:tcPr>
            <w:tcW w:w="1069" w:type="dxa"/>
            <w:tcBorders>
              <w:top w:val="nil"/>
              <w:left w:val="nil"/>
              <w:bottom w:val="single" w:sz="8" w:space="0" w:color="auto"/>
              <w:right w:val="single" w:sz="8" w:space="0" w:color="auto"/>
            </w:tcBorders>
            <w:shd w:val="clear" w:color="auto" w:fill="auto"/>
            <w:vAlign w:val="center"/>
            <w:hideMark/>
          </w:tcPr>
          <w:p w14:paraId="10AC145B"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2027</w:t>
            </w:r>
          </w:p>
        </w:tc>
        <w:tc>
          <w:tcPr>
            <w:tcW w:w="1320" w:type="dxa"/>
            <w:vMerge/>
            <w:vAlign w:val="center"/>
            <w:hideMark/>
          </w:tcPr>
          <w:p w14:paraId="34958FBF" w14:textId="77777777" w:rsidR="00FA5543" w:rsidRPr="00C34031" w:rsidRDefault="00FA5543" w:rsidP="00390489">
            <w:pPr>
              <w:spacing w:before="0" w:after="0"/>
              <w:jc w:val="left"/>
              <w:rPr>
                <w:b/>
                <w:bCs/>
                <w:noProof/>
                <w:color w:val="000000"/>
                <w:sz w:val="20"/>
                <w:szCs w:val="20"/>
                <w:lang w:eastAsia="en-IE"/>
              </w:rPr>
            </w:pPr>
          </w:p>
        </w:tc>
      </w:tr>
      <w:tr w:rsidR="00FA5543" w:rsidRPr="00C34031" w14:paraId="3371347C" w14:textId="77777777" w:rsidTr="139DF8F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8624"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03FD7730" w14:textId="77777777" w:rsidR="00FA5543" w:rsidRPr="00C34031" w:rsidRDefault="00FA5543" w:rsidP="00390489">
            <w:pPr>
              <w:spacing w:before="0" w:after="0"/>
              <w:jc w:val="left"/>
              <w:rPr>
                <w:rFonts w:ascii="Wingdings" w:hAnsi="Wingdings" w:cs="Calibri"/>
                <w:noProof/>
                <w:color w:val="000000"/>
                <w:sz w:val="22"/>
              </w:rPr>
            </w:pPr>
            <w:r w:rsidRPr="00C34031">
              <w:rPr>
                <w:rFonts w:ascii="Wingdings" w:hAnsi="Wingdings"/>
                <w:noProof/>
                <w:color w:val="000000"/>
                <w:sz w:val="22"/>
              </w:rPr>
              <w:t></w:t>
            </w:r>
            <w:r w:rsidRPr="00C34031">
              <w:rPr>
                <w:noProof/>
                <w:color w:val="000000"/>
                <w:sz w:val="22"/>
              </w:rPr>
              <w:t xml:space="preserve"> Lidské zdroje </w:t>
            </w:r>
          </w:p>
        </w:tc>
        <w:tc>
          <w:tcPr>
            <w:tcW w:w="1069" w:type="dxa"/>
            <w:tcBorders>
              <w:top w:val="nil"/>
              <w:left w:val="nil"/>
              <w:bottom w:val="single" w:sz="8" w:space="0" w:color="auto"/>
              <w:right w:val="single" w:sz="8" w:space="0" w:color="auto"/>
            </w:tcBorders>
            <w:shd w:val="clear" w:color="auto" w:fill="D9D9D9" w:themeFill="background1" w:themeFillShade="D9"/>
            <w:vAlign w:val="center"/>
            <w:hideMark/>
          </w:tcPr>
          <w:p w14:paraId="2DD22B14" w14:textId="77777777" w:rsidR="00FA5543" w:rsidRPr="00C34031" w:rsidRDefault="1DF26445" w:rsidP="00390489">
            <w:pPr>
              <w:spacing w:before="0" w:after="0"/>
              <w:jc w:val="right"/>
              <w:rPr>
                <w:noProof/>
                <w:color w:val="000000"/>
                <w:sz w:val="20"/>
                <w:szCs w:val="20"/>
              </w:rPr>
            </w:pPr>
            <w:r w:rsidRPr="00C34031">
              <w:rPr>
                <w:noProof/>
                <w:color w:val="000000" w:themeColor="text1"/>
                <w:sz w:val="20"/>
              </w:rPr>
              <w:t>8,572</w:t>
            </w:r>
          </w:p>
        </w:tc>
        <w:tc>
          <w:tcPr>
            <w:tcW w:w="1065" w:type="dxa"/>
            <w:tcBorders>
              <w:top w:val="nil"/>
              <w:left w:val="nil"/>
              <w:bottom w:val="single" w:sz="8" w:space="0" w:color="auto"/>
              <w:right w:val="single" w:sz="8" w:space="0" w:color="auto"/>
            </w:tcBorders>
            <w:shd w:val="clear" w:color="auto" w:fill="D9D9D9" w:themeFill="background1" w:themeFillShade="D9"/>
            <w:vAlign w:val="center"/>
            <w:hideMark/>
          </w:tcPr>
          <w:p w14:paraId="72CB7268" w14:textId="77777777" w:rsidR="00FA5543" w:rsidRPr="00C34031" w:rsidRDefault="1DF26445" w:rsidP="00390489">
            <w:pPr>
              <w:spacing w:before="0" w:after="0"/>
              <w:jc w:val="right"/>
              <w:rPr>
                <w:noProof/>
                <w:color w:val="000000"/>
                <w:sz w:val="20"/>
                <w:szCs w:val="20"/>
              </w:rPr>
            </w:pPr>
            <w:r w:rsidRPr="00C34031">
              <w:rPr>
                <w:noProof/>
                <w:color w:val="000000" w:themeColor="text1"/>
                <w:sz w:val="20"/>
              </w:rPr>
              <w:t>6,271</w:t>
            </w:r>
          </w:p>
        </w:tc>
        <w:tc>
          <w:tcPr>
            <w:tcW w:w="1073" w:type="dxa"/>
            <w:tcBorders>
              <w:top w:val="nil"/>
              <w:left w:val="nil"/>
              <w:bottom w:val="single" w:sz="8" w:space="0" w:color="auto"/>
              <w:right w:val="single" w:sz="8" w:space="0" w:color="auto"/>
            </w:tcBorders>
            <w:shd w:val="clear" w:color="auto" w:fill="D9D9D9" w:themeFill="background1" w:themeFillShade="D9"/>
            <w:vAlign w:val="center"/>
            <w:hideMark/>
          </w:tcPr>
          <w:p w14:paraId="01F0FF50" w14:textId="77777777" w:rsidR="00FA5543" w:rsidRPr="00C34031" w:rsidRDefault="1DF26445" w:rsidP="00390489">
            <w:pPr>
              <w:spacing w:before="0" w:after="0"/>
              <w:jc w:val="right"/>
              <w:rPr>
                <w:noProof/>
                <w:color w:val="000000"/>
                <w:sz w:val="20"/>
                <w:szCs w:val="20"/>
              </w:rPr>
            </w:pPr>
            <w:r w:rsidRPr="00C34031">
              <w:rPr>
                <w:noProof/>
                <w:color w:val="000000" w:themeColor="text1"/>
                <w:sz w:val="20"/>
              </w:rPr>
              <w:t>8,740</w:t>
            </w:r>
          </w:p>
        </w:tc>
        <w:tc>
          <w:tcPr>
            <w:tcW w:w="1069" w:type="dxa"/>
            <w:tcBorders>
              <w:top w:val="nil"/>
              <w:left w:val="nil"/>
              <w:bottom w:val="single" w:sz="8" w:space="0" w:color="auto"/>
              <w:right w:val="single" w:sz="8" w:space="0" w:color="auto"/>
            </w:tcBorders>
            <w:shd w:val="clear" w:color="auto" w:fill="D9D9D9" w:themeFill="background1" w:themeFillShade="D9"/>
            <w:vAlign w:val="center"/>
            <w:hideMark/>
          </w:tcPr>
          <w:p w14:paraId="157F5989" w14:textId="77777777" w:rsidR="00FA5543" w:rsidRPr="00C34031" w:rsidRDefault="1DF26445" w:rsidP="00390489">
            <w:pPr>
              <w:spacing w:before="0" w:after="0"/>
              <w:jc w:val="right"/>
              <w:rPr>
                <w:noProof/>
                <w:color w:val="000000"/>
                <w:sz w:val="20"/>
                <w:szCs w:val="20"/>
              </w:rPr>
            </w:pPr>
            <w:r w:rsidRPr="00C34031">
              <w:rPr>
                <w:noProof/>
                <w:color w:val="000000" w:themeColor="text1"/>
                <w:sz w:val="20"/>
              </w:rPr>
              <w:t>11,700</w:t>
            </w:r>
          </w:p>
        </w:tc>
        <w:tc>
          <w:tcPr>
            <w:tcW w:w="1320" w:type="dxa"/>
            <w:tcBorders>
              <w:top w:val="nil"/>
              <w:left w:val="nil"/>
              <w:bottom w:val="single" w:sz="8" w:space="0" w:color="auto"/>
              <w:right w:val="single" w:sz="8" w:space="0" w:color="auto"/>
            </w:tcBorders>
            <w:shd w:val="clear" w:color="auto" w:fill="D9D9D9" w:themeFill="background1" w:themeFillShade="D9"/>
            <w:vAlign w:val="center"/>
            <w:hideMark/>
          </w:tcPr>
          <w:p w14:paraId="519A9C76" w14:textId="77777777" w:rsidR="00FA5543" w:rsidRPr="00C34031" w:rsidRDefault="1DF26445" w:rsidP="00390489">
            <w:pPr>
              <w:spacing w:before="0" w:after="0"/>
              <w:jc w:val="right"/>
              <w:rPr>
                <w:b/>
                <w:bCs/>
                <w:noProof/>
                <w:color w:val="000000"/>
                <w:sz w:val="20"/>
                <w:szCs w:val="20"/>
              </w:rPr>
            </w:pPr>
            <w:r w:rsidRPr="00C34031">
              <w:rPr>
                <w:b/>
                <w:noProof/>
                <w:color w:val="000000" w:themeColor="text1"/>
                <w:sz w:val="20"/>
              </w:rPr>
              <w:t>35,283</w:t>
            </w:r>
          </w:p>
        </w:tc>
      </w:tr>
      <w:tr w:rsidR="00FA5543" w:rsidRPr="00C34031" w14:paraId="77CE5FFC" w14:textId="77777777" w:rsidTr="139DF8F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8624"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18F735D1" w14:textId="77777777" w:rsidR="00FA5543" w:rsidRPr="00C34031" w:rsidRDefault="6C3AF1E0" w:rsidP="139DF8FE">
            <w:pPr>
              <w:spacing w:before="0" w:after="0"/>
              <w:jc w:val="left"/>
              <w:rPr>
                <w:rFonts w:ascii="Wingdings" w:hAnsi="Wingdings" w:cs="Calibri"/>
                <w:noProof/>
                <w:color w:val="000000"/>
                <w:sz w:val="22"/>
              </w:rPr>
            </w:pPr>
            <w:r w:rsidRPr="00C34031">
              <w:rPr>
                <w:rFonts w:ascii="Wingdings" w:hAnsi="Wingdings"/>
                <w:noProof/>
                <w:color w:val="000000" w:themeColor="text1"/>
                <w:sz w:val="22"/>
              </w:rPr>
              <w:t></w:t>
            </w:r>
            <w:r w:rsidRPr="00C34031">
              <w:rPr>
                <w:noProof/>
                <w:color w:val="000000" w:themeColor="text1"/>
                <w:sz w:val="22"/>
              </w:rPr>
              <w:t xml:space="preserve"> Ostatní správní výdaje – služební cesty</w:t>
            </w:r>
          </w:p>
        </w:tc>
        <w:tc>
          <w:tcPr>
            <w:tcW w:w="1069" w:type="dxa"/>
            <w:tcBorders>
              <w:top w:val="nil"/>
              <w:left w:val="nil"/>
              <w:bottom w:val="single" w:sz="8" w:space="0" w:color="auto"/>
              <w:right w:val="single" w:sz="8" w:space="0" w:color="auto"/>
            </w:tcBorders>
            <w:shd w:val="clear" w:color="auto" w:fill="D9D9D9" w:themeFill="background1" w:themeFillShade="D9"/>
            <w:vAlign w:val="center"/>
            <w:hideMark/>
          </w:tcPr>
          <w:p w14:paraId="5ED85250" w14:textId="77777777" w:rsidR="00FA5543" w:rsidRPr="00C34031" w:rsidRDefault="6C3AF1E0" w:rsidP="00390489">
            <w:pPr>
              <w:spacing w:before="0" w:after="0"/>
              <w:jc w:val="right"/>
              <w:rPr>
                <w:noProof/>
                <w:color w:val="000000"/>
                <w:sz w:val="20"/>
                <w:szCs w:val="20"/>
              </w:rPr>
            </w:pPr>
            <w:r w:rsidRPr="00C34031">
              <w:rPr>
                <w:noProof/>
                <w:color w:val="000000" w:themeColor="text1"/>
                <w:sz w:val="20"/>
              </w:rPr>
              <w:t>0,600</w:t>
            </w:r>
          </w:p>
        </w:tc>
        <w:tc>
          <w:tcPr>
            <w:tcW w:w="1065" w:type="dxa"/>
            <w:tcBorders>
              <w:top w:val="nil"/>
              <w:left w:val="nil"/>
              <w:bottom w:val="single" w:sz="8" w:space="0" w:color="auto"/>
              <w:right w:val="single" w:sz="8" w:space="0" w:color="auto"/>
            </w:tcBorders>
            <w:shd w:val="clear" w:color="auto" w:fill="D9D9D9" w:themeFill="background1" w:themeFillShade="D9"/>
            <w:vAlign w:val="center"/>
            <w:hideMark/>
          </w:tcPr>
          <w:p w14:paraId="2BDABA87" w14:textId="77777777" w:rsidR="00FA5543" w:rsidRPr="00C34031" w:rsidRDefault="6C3AF1E0" w:rsidP="00390489">
            <w:pPr>
              <w:spacing w:before="0" w:after="0"/>
              <w:jc w:val="right"/>
              <w:rPr>
                <w:noProof/>
                <w:color w:val="000000"/>
                <w:sz w:val="20"/>
                <w:szCs w:val="20"/>
              </w:rPr>
            </w:pPr>
            <w:r w:rsidRPr="00C34031">
              <w:rPr>
                <w:noProof/>
                <w:color w:val="000000" w:themeColor="text1"/>
                <w:sz w:val="20"/>
              </w:rPr>
              <w:t>0,300</w:t>
            </w:r>
          </w:p>
        </w:tc>
        <w:tc>
          <w:tcPr>
            <w:tcW w:w="1073" w:type="dxa"/>
            <w:tcBorders>
              <w:top w:val="nil"/>
              <w:left w:val="nil"/>
              <w:bottom w:val="single" w:sz="8" w:space="0" w:color="auto"/>
              <w:right w:val="single" w:sz="8" w:space="0" w:color="auto"/>
            </w:tcBorders>
            <w:shd w:val="clear" w:color="auto" w:fill="D9D9D9" w:themeFill="background1" w:themeFillShade="D9"/>
            <w:vAlign w:val="center"/>
            <w:hideMark/>
          </w:tcPr>
          <w:p w14:paraId="0132A35D" w14:textId="77777777" w:rsidR="00FA5543" w:rsidRPr="00C34031" w:rsidRDefault="6C3AF1E0" w:rsidP="00390489">
            <w:pPr>
              <w:spacing w:before="0" w:after="0"/>
              <w:jc w:val="right"/>
              <w:rPr>
                <w:noProof/>
                <w:color w:val="000000"/>
                <w:sz w:val="20"/>
                <w:szCs w:val="20"/>
              </w:rPr>
            </w:pPr>
            <w:r w:rsidRPr="00C34031">
              <w:rPr>
                <w:noProof/>
                <w:color w:val="000000" w:themeColor="text1"/>
                <w:sz w:val="20"/>
              </w:rPr>
              <w:t>0,306</w:t>
            </w:r>
          </w:p>
        </w:tc>
        <w:tc>
          <w:tcPr>
            <w:tcW w:w="1069" w:type="dxa"/>
            <w:tcBorders>
              <w:top w:val="nil"/>
              <w:left w:val="nil"/>
              <w:bottom w:val="single" w:sz="8" w:space="0" w:color="auto"/>
              <w:right w:val="single" w:sz="8" w:space="0" w:color="auto"/>
            </w:tcBorders>
            <w:shd w:val="clear" w:color="auto" w:fill="D9D9D9" w:themeFill="background1" w:themeFillShade="D9"/>
            <w:vAlign w:val="center"/>
            <w:hideMark/>
          </w:tcPr>
          <w:p w14:paraId="0EB1E3DB" w14:textId="77777777" w:rsidR="00FA5543" w:rsidRPr="00C34031" w:rsidRDefault="6C3AF1E0" w:rsidP="00390489">
            <w:pPr>
              <w:spacing w:before="0" w:after="0"/>
              <w:jc w:val="right"/>
              <w:rPr>
                <w:noProof/>
                <w:color w:val="000000"/>
                <w:sz w:val="20"/>
                <w:szCs w:val="20"/>
              </w:rPr>
            </w:pPr>
            <w:r w:rsidRPr="00C34031">
              <w:rPr>
                <w:noProof/>
                <w:color w:val="000000" w:themeColor="text1"/>
                <w:sz w:val="20"/>
              </w:rPr>
              <w:t>0,312</w:t>
            </w:r>
          </w:p>
        </w:tc>
        <w:tc>
          <w:tcPr>
            <w:tcW w:w="1320" w:type="dxa"/>
            <w:tcBorders>
              <w:top w:val="nil"/>
              <w:left w:val="nil"/>
              <w:bottom w:val="single" w:sz="8" w:space="0" w:color="auto"/>
              <w:right w:val="single" w:sz="8" w:space="0" w:color="auto"/>
            </w:tcBorders>
            <w:shd w:val="clear" w:color="auto" w:fill="D9D9D9" w:themeFill="background1" w:themeFillShade="D9"/>
            <w:vAlign w:val="center"/>
            <w:hideMark/>
          </w:tcPr>
          <w:p w14:paraId="597EFD75" w14:textId="77777777" w:rsidR="00FA5543" w:rsidRPr="00C34031" w:rsidRDefault="02ED9B49" w:rsidP="00390489">
            <w:pPr>
              <w:spacing w:before="0" w:after="0"/>
              <w:jc w:val="right"/>
              <w:rPr>
                <w:b/>
                <w:bCs/>
                <w:noProof/>
                <w:color w:val="000000"/>
                <w:sz w:val="20"/>
                <w:szCs w:val="20"/>
              </w:rPr>
            </w:pPr>
            <w:r w:rsidRPr="00C34031">
              <w:rPr>
                <w:b/>
                <w:noProof/>
                <w:color w:val="000000" w:themeColor="text1"/>
                <w:sz w:val="20"/>
              </w:rPr>
              <w:t>1,518</w:t>
            </w:r>
          </w:p>
        </w:tc>
      </w:tr>
      <w:tr w:rsidR="00FA5543" w:rsidRPr="00C34031" w14:paraId="4D738A88" w14:textId="77777777" w:rsidTr="139DF8F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4702" w:type="dxa"/>
            <w:tcBorders>
              <w:top w:val="nil"/>
              <w:left w:val="single" w:sz="8" w:space="0" w:color="auto"/>
              <w:bottom w:val="single" w:sz="8" w:space="0" w:color="auto"/>
              <w:right w:val="single" w:sz="8" w:space="0" w:color="auto"/>
            </w:tcBorders>
            <w:shd w:val="clear" w:color="auto" w:fill="auto"/>
            <w:vAlign w:val="center"/>
            <w:hideMark/>
          </w:tcPr>
          <w:p w14:paraId="43452D0D" w14:textId="77777777" w:rsidR="00FA5543" w:rsidRPr="00C34031" w:rsidRDefault="6C3AF1E0" w:rsidP="139DF8FE">
            <w:pPr>
              <w:spacing w:before="0" w:after="0"/>
              <w:jc w:val="center"/>
              <w:rPr>
                <w:b/>
                <w:bCs/>
                <w:noProof/>
                <w:color w:val="000000"/>
                <w:sz w:val="22"/>
              </w:rPr>
            </w:pPr>
            <w:r w:rsidRPr="00C34031">
              <w:rPr>
                <w:b/>
                <w:noProof/>
                <w:color w:val="000000" w:themeColor="text1"/>
                <w:sz w:val="22"/>
              </w:rPr>
              <w:t>GŘ TAXUD CELKEM</w:t>
            </w:r>
          </w:p>
        </w:tc>
        <w:tc>
          <w:tcPr>
            <w:tcW w:w="3922" w:type="dxa"/>
            <w:gridSpan w:val="3"/>
            <w:tcBorders>
              <w:top w:val="single" w:sz="8" w:space="0" w:color="auto"/>
              <w:left w:val="nil"/>
              <w:bottom w:val="single" w:sz="8" w:space="0" w:color="auto"/>
              <w:right w:val="single" w:sz="8" w:space="0" w:color="auto"/>
            </w:tcBorders>
            <w:shd w:val="clear" w:color="auto" w:fill="auto"/>
            <w:vAlign w:val="center"/>
            <w:hideMark/>
          </w:tcPr>
          <w:p w14:paraId="4FDE11C8" w14:textId="77777777" w:rsidR="00FA5543" w:rsidRPr="00C34031" w:rsidRDefault="00FA5543" w:rsidP="00390489">
            <w:pPr>
              <w:spacing w:before="0" w:after="0"/>
              <w:jc w:val="left"/>
              <w:rPr>
                <w:noProof/>
                <w:color w:val="000000"/>
                <w:sz w:val="18"/>
                <w:szCs w:val="18"/>
              </w:rPr>
            </w:pPr>
            <w:r w:rsidRPr="00C34031">
              <w:rPr>
                <w:noProof/>
                <w:color w:val="000000"/>
                <w:sz w:val="18"/>
              </w:rPr>
              <w:t xml:space="preserve">Prostředky </w:t>
            </w:r>
          </w:p>
        </w:tc>
        <w:tc>
          <w:tcPr>
            <w:tcW w:w="1069" w:type="dxa"/>
            <w:tcBorders>
              <w:top w:val="nil"/>
              <w:left w:val="nil"/>
              <w:bottom w:val="single" w:sz="8" w:space="0" w:color="auto"/>
              <w:right w:val="single" w:sz="8" w:space="0" w:color="auto"/>
            </w:tcBorders>
            <w:shd w:val="clear" w:color="auto" w:fill="D9D9D9" w:themeFill="background1" w:themeFillShade="D9"/>
            <w:vAlign w:val="center"/>
            <w:hideMark/>
          </w:tcPr>
          <w:p w14:paraId="155CF921" w14:textId="77777777" w:rsidR="00FA5543" w:rsidRPr="00C34031" w:rsidRDefault="0305EE9A" w:rsidP="00390489">
            <w:pPr>
              <w:spacing w:before="0" w:after="0"/>
              <w:jc w:val="right"/>
              <w:rPr>
                <w:b/>
                <w:bCs/>
                <w:noProof/>
                <w:color w:val="000000"/>
                <w:sz w:val="20"/>
                <w:szCs w:val="20"/>
              </w:rPr>
            </w:pPr>
            <w:r w:rsidRPr="00C34031">
              <w:rPr>
                <w:b/>
                <w:noProof/>
                <w:color w:val="000000" w:themeColor="text1"/>
                <w:sz w:val="20"/>
              </w:rPr>
              <w:t>9,172</w:t>
            </w:r>
          </w:p>
        </w:tc>
        <w:tc>
          <w:tcPr>
            <w:tcW w:w="1065" w:type="dxa"/>
            <w:tcBorders>
              <w:top w:val="nil"/>
              <w:left w:val="nil"/>
              <w:bottom w:val="single" w:sz="8" w:space="0" w:color="auto"/>
              <w:right w:val="single" w:sz="8" w:space="0" w:color="auto"/>
            </w:tcBorders>
            <w:shd w:val="clear" w:color="auto" w:fill="D9D9D9" w:themeFill="background1" w:themeFillShade="D9"/>
            <w:vAlign w:val="center"/>
            <w:hideMark/>
          </w:tcPr>
          <w:p w14:paraId="2ACE27CE" w14:textId="77777777" w:rsidR="00FA5543" w:rsidRPr="00C34031" w:rsidRDefault="0305EE9A" w:rsidP="00390489">
            <w:pPr>
              <w:spacing w:before="0" w:after="0"/>
              <w:jc w:val="right"/>
              <w:rPr>
                <w:b/>
                <w:bCs/>
                <w:noProof/>
                <w:color w:val="000000"/>
                <w:sz w:val="20"/>
                <w:szCs w:val="20"/>
              </w:rPr>
            </w:pPr>
            <w:r w:rsidRPr="00C34031">
              <w:rPr>
                <w:b/>
                <w:noProof/>
                <w:color w:val="000000" w:themeColor="text1"/>
                <w:sz w:val="20"/>
              </w:rPr>
              <w:t>6,571</w:t>
            </w:r>
          </w:p>
        </w:tc>
        <w:tc>
          <w:tcPr>
            <w:tcW w:w="1073" w:type="dxa"/>
            <w:tcBorders>
              <w:top w:val="nil"/>
              <w:left w:val="nil"/>
              <w:bottom w:val="single" w:sz="8" w:space="0" w:color="auto"/>
              <w:right w:val="single" w:sz="8" w:space="0" w:color="auto"/>
            </w:tcBorders>
            <w:shd w:val="clear" w:color="auto" w:fill="D9D9D9" w:themeFill="background1" w:themeFillShade="D9"/>
            <w:vAlign w:val="center"/>
            <w:hideMark/>
          </w:tcPr>
          <w:p w14:paraId="41D9C1E2" w14:textId="77777777" w:rsidR="00FA5543" w:rsidRPr="00C34031" w:rsidRDefault="470C0AED" w:rsidP="00390489">
            <w:pPr>
              <w:spacing w:before="0" w:after="0"/>
              <w:jc w:val="right"/>
              <w:rPr>
                <w:b/>
                <w:bCs/>
                <w:noProof/>
                <w:color w:val="000000"/>
                <w:sz w:val="20"/>
                <w:szCs w:val="20"/>
              </w:rPr>
            </w:pPr>
            <w:r w:rsidRPr="00C34031">
              <w:rPr>
                <w:b/>
                <w:noProof/>
                <w:color w:val="000000" w:themeColor="text1"/>
                <w:sz w:val="20"/>
              </w:rPr>
              <w:t>9,046</w:t>
            </w:r>
          </w:p>
        </w:tc>
        <w:tc>
          <w:tcPr>
            <w:tcW w:w="1069" w:type="dxa"/>
            <w:tcBorders>
              <w:top w:val="nil"/>
              <w:left w:val="nil"/>
              <w:bottom w:val="single" w:sz="8" w:space="0" w:color="auto"/>
              <w:right w:val="single" w:sz="8" w:space="0" w:color="auto"/>
            </w:tcBorders>
            <w:shd w:val="clear" w:color="auto" w:fill="D9D9D9" w:themeFill="background1" w:themeFillShade="D9"/>
            <w:vAlign w:val="center"/>
            <w:hideMark/>
          </w:tcPr>
          <w:p w14:paraId="59EFCFD8" w14:textId="77777777" w:rsidR="00FA5543" w:rsidRPr="00C34031" w:rsidRDefault="470C0AED" w:rsidP="00390489">
            <w:pPr>
              <w:spacing w:before="0" w:after="0"/>
              <w:jc w:val="right"/>
              <w:rPr>
                <w:b/>
                <w:bCs/>
                <w:noProof/>
                <w:color w:val="000000"/>
                <w:sz w:val="20"/>
                <w:szCs w:val="20"/>
              </w:rPr>
            </w:pPr>
            <w:r w:rsidRPr="00C34031">
              <w:rPr>
                <w:b/>
                <w:noProof/>
                <w:color w:val="000000" w:themeColor="text1"/>
                <w:sz w:val="20"/>
              </w:rPr>
              <w:t>12,012</w:t>
            </w:r>
          </w:p>
        </w:tc>
        <w:tc>
          <w:tcPr>
            <w:tcW w:w="1320" w:type="dxa"/>
            <w:tcBorders>
              <w:top w:val="nil"/>
              <w:left w:val="nil"/>
              <w:bottom w:val="single" w:sz="8" w:space="0" w:color="auto"/>
              <w:right w:val="single" w:sz="8" w:space="0" w:color="auto"/>
            </w:tcBorders>
            <w:shd w:val="clear" w:color="auto" w:fill="D9D9D9" w:themeFill="background1" w:themeFillShade="D9"/>
            <w:vAlign w:val="center"/>
            <w:hideMark/>
          </w:tcPr>
          <w:p w14:paraId="60057C04" w14:textId="77777777" w:rsidR="00FA5543" w:rsidRPr="00C34031" w:rsidRDefault="470C0AED" w:rsidP="00390489">
            <w:pPr>
              <w:spacing w:before="0" w:after="0"/>
              <w:jc w:val="right"/>
              <w:rPr>
                <w:b/>
                <w:bCs/>
                <w:noProof/>
                <w:color w:val="000000"/>
                <w:sz w:val="20"/>
                <w:szCs w:val="20"/>
              </w:rPr>
            </w:pPr>
            <w:r w:rsidRPr="00C34031">
              <w:rPr>
                <w:b/>
                <w:noProof/>
                <w:color w:val="000000" w:themeColor="text1"/>
                <w:sz w:val="20"/>
              </w:rPr>
              <w:t>36,801</w:t>
            </w:r>
          </w:p>
        </w:tc>
      </w:tr>
      <w:tr w:rsidR="00FA5543" w:rsidRPr="00C34031" w14:paraId="194DE580" w14:textId="77777777" w:rsidTr="139DF8F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4702" w:type="dxa"/>
            <w:tcBorders>
              <w:top w:val="nil"/>
              <w:left w:val="nil"/>
              <w:bottom w:val="nil"/>
              <w:right w:val="nil"/>
            </w:tcBorders>
            <w:shd w:val="clear" w:color="auto" w:fill="auto"/>
            <w:noWrap/>
            <w:vAlign w:val="bottom"/>
            <w:hideMark/>
          </w:tcPr>
          <w:p w14:paraId="64965E84" w14:textId="77777777" w:rsidR="00FA5543" w:rsidRPr="00C34031" w:rsidRDefault="00FA5543" w:rsidP="00390489">
            <w:pPr>
              <w:spacing w:before="0" w:after="0"/>
              <w:jc w:val="right"/>
              <w:rPr>
                <w:b/>
                <w:bCs/>
                <w:noProof/>
                <w:color w:val="000000"/>
                <w:sz w:val="20"/>
                <w:szCs w:val="20"/>
                <w:lang w:eastAsia="en-IE"/>
              </w:rPr>
            </w:pPr>
          </w:p>
        </w:tc>
        <w:tc>
          <w:tcPr>
            <w:tcW w:w="2645" w:type="dxa"/>
            <w:tcBorders>
              <w:top w:val="nil"/>
              <w:left w:val="nil"/>
              <w:bottom w:val="nil"/>
              <w:right w:val="nil"/>
            </w:tcBorders>
            <w:shd w:val="clear" w:color="auto" w:fill="auto"/>
            <w:noWrap/>
            <w:vAlign w:val="bottom"/>
            <w:hideMark/>
          </w:tcPr>
          <w:p w14:paraId="77B4E95B" w14:textId="77777777" w:rsidR="00FA5543" w:rsidRPr="00C34031" w:rsidRDefault="00FA5543" w:rsidP="00390489">
            <w:pPr>
              <w:spacing w:before="0" w:after="0"/>
              <w:jc w:val="left"/>
              <w:rPr>
                <w:noProof/>
                <w:sz w:val="20"/>
                <w:szCs w:val="20"/>
                <w:lang w:eastAsia="en-IE"/>
              </w:rPr>
            </w:pPr>
          </w:p>
        </w:tc>
        <w:tc>
          <w:tcPr>
            <w:tcW w:w="637" w:type="dxa"/>
            <w:tcBorders>
              <w:top w:val="nil"/>
              <w:left w:val="nil"/>
              <w:bottom w:val="nil"/>
              <w:right w:val="nil"/>
            </w:tcBorders>
            <w:shd w:val="clear" w:color="auto" w:fill="auto"/>
            <w:noWrap/>
            <w:vAlign w:val="bottom"/>
            <w:hideMark/>
          </w:tcPr>
          <w:p w14:paraId="72694E7A" w14:textId="77777777" w:rsidR="00FA5543" w:rsidRPr="00C34031" w:rsidRDefault="00FA5543" w:rsidP="00390489">
            <w:pPr>
              <w:spacing w:before="0" w:after="0"/>
              <w:jc w:val="left"/>
              <w:rPr>
                <w:noProof/>
                <w:sz w:val="20"/>
                <w:szCs w:val="20"/>
                <w:lang w:eastAsia="en-IE"/>
              </w:rPr>
            </w:pPr>
          </w:p>
        </w:tc>
        <w:tc>
          <w:tcPr>
            <w:tcW w:w="640" w:type="dxa"/>
            <w:tcBorders>
              <w:top w:val="nil"/>
              <w:left w:val="nil"/>
              <w:bottom w:val="nil"/>
              <w:right w:val="nil"/>
            </w:tcBorders>
            <w:shd w:val="clear" w:color="auto" w:fill="auto"/>
            <w:noWrap/>
            <w:vAlign w:val="bottom"/>
            <w:hideMark/>
          </w:tcPr>
          <w:p w14:paraId="4CF4996D" w14:textId="77777777" w:rsidR="00FA5543" w:rsidRPr="00C34031" w:rsidRDefault="00FA5543" w:rsidP="00390489">
            <w:pPr>
              <w:spacing w:before="0" w:after="0"/>
              <w:jc w:val="left"/>
              <w:rPr>
                <w:noProof/>
                <w:sz w:val="20"/>
                <w:szCs w:val="20"/>
                <w:lang w:eastAsia="en-IE"/>
              </w:rPr>
            </w:pPr>
          </w:p>
        </w:tc>
        <w:tc>
          <w:tcPr>
            <w:tcW w:w="1069" w:type="dxa"/>
            <w:tcBorders>
              <w:top w:val="nil"/>
              <w:left w:val="nil"/>
              <w:bottom w:val="nil"/>
              <w:right w:val="nil"/>
            </w:tcBorders>
            <w:shd w:val="clear" w:color="auto" w:fill="auto"/>
            <w:noWrap/>
            <w:vAlign w:val="bottom"/>
            <w:hideMark/>
          </w:tcPr>
          <w:p w14:paraId="5EAED538" w14:textId="77777777" w:rsidR="00FA5543" w:rsidRPr="00C34031" w:rsidRDefault="00FA5543" w:rsidP="00390489">
            <w:pPr>
              <w:spacing w:before="0" w:after="0"/>
              <w:jc w:val="left"/>
              <w:rPr>
                <w:noProof/>
                <w:sz w:val="20"/>
                <w:szCs w:val="20"/>
                <w:lang w:eastAsia="en-IE"/>
              </w:rPr>
            </w:pPr>
          </w:p>
        </w:tc>
        <w:tc>
          <w:tcPr>
            <w:tcW w:w="1065" w:type="dxa"/>
            <w:tcBorders>
              <w:top w:val="nil"/>
              <w:left w:val="nil"/>
              <w:bottom w:val="nil"/>
              <w:right w:val="nil"/>
            </w:tcBorders>
            <w:shd w:val="clear" w:color="auto" w:fill="auto"/>
            <w:noWrap/>
            <w:vAlign w:val="bottom"/>
            <w:hideMark/>
          </w:tcPr>
          <w:p w14:paraId="7436B163" w14:textId="77777777" w:rsidR="00FA5543" w:rsidRPr="00C34031" w:rsidRDefault="00FA5543" w:rsidP="00390489">
            <w:pPr>
              <w:spacing w:before="0" w:after="0"/>
              <w:jc w:val="left"/>
              <w:rPr>
                <w:noProof/>
                <w:sz w:val="20"/>
                <w:szCs w:val="20"/>
                <w:lang w:eastAsia="en-IE"/>
              </w:rPr>
            </w:pPr>
          </w:p>
        </w:tc>
        <w:tc>
          <w:tcPr>
            <w:tcW w:w="1073" w:type="dxa"/>
            <w:tcBorders>
              <w:top w:val="nil"/>
              <w:left w:val="nil"/>
              <w:bottom w:val="nil"/>
              <w:right w:val="nil"/>
            </w:tcBorders>
            <w:shd w:val="clear" w:color="auto" w:fill="auto"/>
            <w:noWrap/>
            <w:vAlign w:val="bottom"/>
            <w:hideMark/>
          </w:tcPr>
          <w:p w14:paraId="71402051" w14:textId="77777777" w:rsidR="00FA5543" w:rsidRPr="00C34031" w:rsidRDefault="00FA5543" w:rsidP="00390489">
            <w:pPr>
              <w:spacing w:before="0" w:after="0"/>
              <w:jc w:val="left"/>
              <w:rPr>
                <w:noProof/>
                <w:sz w:val="20"/>
                <w:szCs w:val="20"/>
                <w:lang w:eastAsia="en-IE"/>
              </w:rPr>
            </w:pPr>
          </w:p>
        </w:tc>
        <w:tc>
          <w:tcPr>
            <w:tcW w:w="1069" w:type="dxa"/>
            <w:tcBorders>
              <w:top w:val="nil"/>
              <w:left w:val="nil"/>
              <w:bottom w:val="nil"/>
              <w:right w:val="nil"/>
            </w:tcBorders>
            <w:shd w:val="clear" w:color="auto" w:fill="auto"/>
            <w:noWrap/>
            <w:vAlign w:val="bottom"/>
            <w:hideMark/>
          </w:tcPr>
          <w:p w14:paraId="4424BF48" w14:textId="77777777" w:rsidR="00FA5543" w:rsidRPr="00C34031" w:rsidRDefault="00FA5543" w:rsidP="00390489">
            <w:pPr>
              <w:spacing w:before="0" w:after="0"/>
              <w:jc w:val="left"/>
              <w:rPr>
                <w:noProof/>
                <w:sz w:val="20"/>
                <w:szCs w:val="20"/>
                <w:lang w:eastAsia="en-IE"/>
              </w:rPr>
            </w:pPr>
          </w:p>
        </w:tc>
        <w:tc>
          <w:tcPr>
            <w:tcW w:w="1320" w:type="dxa"/>
            <w:tcBorders>
              <w:top w:val="nil"/>
              <w:left w:val="nil"/>
              <w:bottom w:val="nil"/>
              <w:right w:val="nil"/>
            </w:tcBorders>
            <w:shd w:val="clear" w:color="auto" w:fill="auto"/>
            <w:noWrap/>
            <w:vAlign w:val="bottom"/>
            <w:hideMark/>
          </w:tcPr>
          <w:p w14:paraId="50CB10BC" w14:textId="77777777" w:rsidR="00FA5543" w:rsidRPr="00C34031" w:rsidRDefault="00FA5543" w:rsidP="00390489">
            <w:pPr>
              <w:spacing w:before="0" w:after="0"/>
              <w:jc w:val="left"/>
              <w:rPr>
                <w:noProof/>
                <w:sz w:val="20"/>
                <w:szCs w:val="20"/>
                <w:lang w:eastAsia="en-IE"/>
              </w:rPr>
            </w:pPr>
          </w:p>
        </w:tc>
      </w:tr>
      <w:tr w:rsidR="00FA5543" w:rsidRPr="00C34031" w14:paraId="7134A182" w14:textId="77777777" w:rsidTr="139DF8F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4702" w:type="dxa"/>
            <w:tcBorders>
              <w:top w:val="nil"/>
              <w:left w:val="nil"/>
              <w:bottom w:val="nil"/>
              <w:right w:val="nil"/>
            </w:tcBorders>
            <w:shd w:val="clear" w:color="auto" w:fill="auto"/>
            <w:noWrap/>
            <w:vAlign w:val="bottom"/>
            <w:hideMark/>
          </w:tcPr>
          <w:p w14:paraId="5C6A13E0" w14:textId="77777777" w:rsidR="00FA5543" w:rsidRPr="00C34031" w:rsidRDefault="00FA5543" w:rsidP="00390489">
            <w:pPr>
              <w:spacing w:before="0" w:after="0"/>
              <w:jc w:val="right"/>
              <w:rPr>
                <w:b/>
                <w:bCs/>
                <w:noProof/>
                <w:color w:val="000000"/>
                <w:sz w:val="20"/>
                <w:szCs w:val="20"/>
                <w:lang w:eastAsia="en-IE"/>
              </w:rPr>
            </w:pPr>
          </w:p>
        </w:tc>
        <w:tc>
          <w:tcPr>
            <w:tcW w:w="2645" w:type="dxa"/>
            <w:tcBorders>
              <w:top w:val="nil"/>
              <w:left w:val="nil"/>
              <w:bottom w:val="nil"/>
              <w:right w:val="nil"/>
            </w:tcBorders>
            <w:shd w:val="clear" w:color="auto" w:fill="auto"/>
            <w:noWrap/>
            <w:vAlign w:val="bottom"/>
            <w:hideMark/>
          </w:tcPr>
          <w:p w14:paraId="6C8950F0" w14:textId="77777777" w:rsidR="00FA5543" w:rsidRPr="00C34031" w:rsidRDefault="00FA5543" w:rsidP="00390489">
            <w:pPr>
              <w:spacing w:before="0" w:after="0"/>
              <w:jc w:val="left"/>
              <w:rPr>
                <w:noProof/>
                <w:sz w:val="20"/>
                <w:szCs w:val="20"/>
                <w:lang w:eastAsia="en-IE"/>
              </w:rPr>
            </w:pPr>
          </w:p>
        </w:tc>
        <w:tc>
          <w:tcPr>
            <w:tcW w:w="637" w:type="dxa"/>
            <w:tcBorders>
              <w:top w:val="nil"/>
              <w:left w:val="nil"/>
              <w:bottom w:val="nil"/>
              <w:right w:val="nil"/>
            </w:tcBorders>
            <w:shd w:val="clear" w:color="auto" w:fill="auto"/>
            <w:noWrap/>
            <w:vAlign w:val="bottom"/>
            <w:hideMark/>
          </w:tcPr>
          <w:p w14:paraId="6AF2FBD9" w14:textId="77777777" w:rsidR="00FA5543" w:rsidRPr="00C34031" w:rsidRDefault="00FA5543" w:rsidP="00390489">
            <w:pPr>
              <w:spacing w:before="0" w:after="0"/>
              <w:jc w:val="left"/>
              <w:rPr>
                <w:noProof/>
                <w:sz w:val="20"/>
                <w:szCs w:val="20"/>
                <w:lang w:eastAsia="en-IE"/>
              </w:rPr>
            </w:pPr>
          </w:p>
        </w:tc>
        <w:tc>
          <w:tcPr>
            <w:tcW w:w="640" w:type="dxa"/>
            <w:tcBorders>
              <w:top w:val="nil"/>
              <w:left w:val="nil"/>
              <w:bottom w:val="nil"/>
              <w:right w:val="nil"/>
            </w:tcBorders>
            <w:shd w:val="clear" w:color="auto" w:fill="auto"/>
            <w:noWrap/>
            <w:vAlign w:val="bottom"/>
            <w:hideMark/>
          </w:tcPr>
          <w:p w14:paraId="06B4ACFF" w14:textId="77777777" w:rsidR="00FA5543" w:rsidRPr="00C34031" w:rsidRDefault="00FA5543" w:rsidP="00390489">
            <w:pPr>
              <w:spacing w:before="0" w:after="0"/>
              <w:jc w:val="left"/>
              <w:rPr>
                <w:noProof/>
                <w:sz w:val="20"/>
                <w:szCs w:val="20"/>
                <w:lang w:eastAsia="en-IE"/>
              </w:rPr>
            </w:pPr>
          </w:p>
        </w:tc>
        <w:tc>
          <w:tcPr>
            <w:tcW w:w="1069" w:type="dxa"/>
            <w:tcBorders>
              <w:top w:val="nil"/>
              <w:left w:val="nil"/>
              <w:bottom w:val="nil"/>
              <w:right w:val="nil"/>
            </w:tcBorders>
            <w:shd w:val="clear" w:color="auto" w:fill="auto"/>
            <w:noWrap/>
            <w:vAlign w:val="bottom"/>
            <w:hideMark/>
          </w:tcPr>
          <w:p w14:paraId="5C5D5B2C" w14:textId="77777777" w:rsidR="00FA5543" w:rsidRPr="00C34031" w:rsidRDefault="00FA5543" w:rsidP="00390489">
            <w:pPr>
              <w:spacing w:before="0" w:after="0"/>
              <w:jc w:val="left"/>
              <w:rPr>
                <w:noProof/>
                <w:sz w:val="20"/>
                <w:szCs w:val="20"/>
                <w:lang w:eastAsia="en-IE"/>
              </w:rPr>
            </w:pPr>
          </w:p>
        </w:tc>
        <w:tc>
          <w:tcPr>
            <w:tcW w:w="1065" w:type="dxa"/>
            <w:tcBorders>
              <w:top w:val="nil"/>
              <w:left w:val="nil"/>
              <w:bottom w:val="nil"/>
              <w:right w:val="nil"/>
            </w:tcBorders>
            <w:shd w:val="clear" w:color="auto" w:fill="auto"/>
            <w:noWrap/>
            <w:vAlign w:val="bottom"/>
            <w:hideMark/>
          </w:tcPr>
          <w:p w14:paraId="047F8B18" w14:textId="77777777" w:rsidR="00FA5543" w:rsidRPr="00C34031" w:rsidRDefault="00FA5543" w:rsidP="00390489">
            <w:pPr>
              <w:spacing w:before="0" w:after="0"/>
              <w:jc w:val="left"/>
              <w:rPr>
                <w:noProof/>
                <w:sz w:val="20"/>
                <w:szCs w:val="20"/>
                <w:lang w:eastAsia="en-IE"/>
              </w:rPr>
            </w:pPr>
          </w:p>
        </w:tc>
        <w:tc>
          <w:tcPr>
            <w:tcW w:w="1073" w:type="dxa"/>
            <w:tcBorders>
              <w:top w:val="nil"/>
              <w:left w:val="nil"/>
              <w:bottom w:val="nil"/>
              <w:right w:val="nil"/>
            </w:tcBorders>
            <w:shd w:val="clear" w:color="auto" w:fill="auto"/>
            <w:noWrap/>
            <w:vAlign w:val="bottom"/>
            <w:hideMark/>
          </w:tcPr>
          <w:p w14:paraId="2C07BE9C" w14:textId="77777777" w:rsidR="00FA5543" w:rsidRPr="00C34031" w:rsidRDefault="00FA5543" w:rsidP="00390489">
            <w:pPr>
              <w:spacing w:before="0" w:after="0"/>
              <w:jc w:val="left"/>
              <w:rPr>
                <w:noProof/>
                <w:sz w:val="20"/>
                <w:szCs w:val="20"/>
                <w:lang w:eastAsia="en-IE"/>
              </w:rPr>
            </w:pPr>
          </w:p>
        </w:tc>
        <w:tc>
          <w:tcPr>
            <w:tcW w:w="1069" w:type="dxa"/>
            <w:tcBorders>
              <w:top w:val="nil"/>
              <w:left w:val="nil"/>
              <w:bottom w:val="nil"/>
              <w:right w:val="nil"/>
            </w:tcBorders>
            <w:shd w:val="clear" w:color="auto" w:fill="auto"/>
            <w:noWrap/>
            <w:vAlign w:val="bottom"/>
            <w:hideMark/>
          </w:tcPr>
          <w:p w14:paraId="40282490" w14:textId="77777777" w:rsidR="00FA5543" w:rsidRPr="00C34031" w:rsidRDefault="00FA5543" w:rsidP="00390489">
            <w:pPr>
              <w:spacing w:before="0" w:after="0"/>
              <w:jc w:val="left"/>
              <w:rPr>
                <w:noProof/>
                <w:sz w:val="20"/>
                <w:szCs w:val="20"/>
                <w:lang w:eastAsia="en-IE"/>
              </w:rPr>
            </w:pPr>
          </w:p>
        </w:tc>
        <w:tc>
          <w:tcPr>
            <w:tcW w:w="1320" w:type="dxa"/>
            <w:tcBorders>
              <w:top w:val="nil"/>
              <w:left w:val="nil"/>
              <w:bottom w:val="nil"/>
              <w:right w:val="nil"/>
            </w:tcBorders>
            <w:shd w:val="clear" w:color="auto" w:fill="auto"/>
            <w:noWrap/>
            <w:vAlign w:val="bottom"/>
            <w:hideMark/>
          </w:tcPr>
          <w:p w14:paraId="5F0F8380" w14:textId="77777777" w:rsidR="00FA5543" w:rsidRPr="00C34031" w:rsidRDefault="00FA5543" w:rsidP="00390489">
            <w:pPr>
              <w:spacing w:before="0" w:after="0"/>
              <w:jc w:val="left"/>
              <w:rPr>
                <w:noProof/>
                <w:sz w:val="20"/>
                <w:szCs w:val="20"/>
                <w:lang w:eastAsia="en-IE"/>
              </w:rPr>
            </w:pPr>
          </w:p>
        </w:tc>
      </w:tr>
      <w:tr w:rsidR="00FA5543" w:rsidRPr="00C34031" w14:paraId="35BA7AA2" w14:textId="77777777" w:rsidTr="139DF8FE">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900"/>
        </w:trPr>
        <w:tc>
          <w:tcPr>
            <w:tcW w:w="7347" w:type="dxa"/>
            <w:gridSpan w:val="2"/>
            <w:tcBorders>
              <w:top w:val="single" w:sz="8" w:space="0" w:color="auto"/>
              <w:left w:val="single" w:sz="8" w:space="0" w:color="auto"/>
              <w:bottom w:val="single" w:sz="8" w:space="0" w:color="auto"/>
              <w:right w:val="single" w:sz="8" w:space="0" w:color="auto"/>
            </w:tcBorders>
            <w:shd w:val="clear" w:color="auto" w:fill="F1F1F1"/>
            <w:vAlign w:val="center"/>
            <w:hideMark/>
          </w:tcPr>
          <w:p w14:paraId="0B24FA88" w14:textId="77777777" w:rsidR="00FA5543" w:rsidRPr="00C34031" w:rsidRDefault="00FA5543" w:rsidP="00390489">
            <w:pPr>
              <w:spacing w:before="0" w:after="0"/>
              <w:jc w:val="center"/>
              <w:rPr>
                <w:b/>
                <w:bCs/>
                <w:noProof/>
                <w:color w:val="000000"/>
                <w:sz w:val="22"/>
              </w:rPr>
            </w:pPr>
            <w:r w:rsidRPr="00C34031">
              <w:rPr>
                <w:b/>
                <w:noProof/>
                <w:color w:val="000000"/>
                <w:sz w:val="22"/>
              </w:rPr>
              <w:t xml:space="preserve">CELKEM prostředky z OKRUHU 7 víceletého finančního rámce </w:t>
            </w:r>
          </w:p>
        </w:tc>
        <w:tc>
          <w:tcPr>
            <w:tcW w:w="1277" w:type="dxa"/>
            <w:gridSpan w:val="2"/>
            <w:tcBorders>
              <w:top w:val="single" w:sz="8" w:space="0" w:color="auto"/>
              <w:left w:val="nil"/>
              <w:bottom w:val="single" w:sz="8" w:space="0" w:color="auto"/>
              <w:right w:val="single" w:sz="8" w:space="0" w:color="auto"/>
            </w:tcBorders>
            <w:shd w:val="clear" w:color="auto" w:fill="auto"/>
            <w:vAlign w:val="center"/>
            <w:hideMark/>
          </w:tcPr>
          <w:p w14:paraId="24ABE217" w14:textId="77777777" w:rsidR="00FA5543" w:rsidRPr="00C34031" w:rsidRDefault="00FA5543" w:rsidP="00390489">
            <w:pPr>
              <w:spacing w:before="0" w:after="0"/>
              <w:jc w:val="center"/>
              <w:rPr>
                <w:noProof/>
                <w:color w:val="000000"/>
                <w:sz w:val="18"/>
                <w:szCs w:val="18"/>
              </w:rPr>
            </w:pPr>
            <w:r w:rsidRPr="00C34031">
              <w:rPr>
                <w:noProof/>
                <w:color w:val="000000"/>
                <w:sz w:val="18"/>
              </w:rPr>
              <w:t>(Závazky celkem = platby celkem)</w:t>
            </w:r>
          </w:p>
        </w:tc>
        <w:tc>
          <w:tcPr>
            <w:tcW w:w="1069"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710D460C" w14:textId="77777777" w:rsidR="00FA5543" w:rsidRPr="00C34031" w:rsidRDefault="65A0933E" w:rsidP="00390489">
            <w:pPr>
              <w:spacing w:before="0" w:after="0"/>
              <w:jc w:val="right"/>
              <w:rPr>
                <w:b/>
                <w:bCs/>
                <w:noProof/>
                <w:color w:val="000000"/>
                <w:sz w:val="20"/>
                <w:szCs w:val="20"/>
              </w:rPr>
            </w:pPr>
            <w:r w:rsidRPr="00C34031">
              <w:rPr>
                <w:b/>
                <w:noProof/>
                <w:color w:val="000000" w:themeColor="text1"/>
                <w:sz w:val="20"/>
              </w:rPr>
              <w:t>9,172</w:t>
            </w:r>
          </w:p>
        </w:tc>
        <w:tc>
          <w:tcPr>
            <w:tcW w:w="1065"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25453552" w14:textId="77777777" w:rsidR="00FA5543" w:rsidRPr="00C34031" w:rsidRDefault="65A0933E" w:rsidP="00390489">
            <w:pPr>
              <w:spacing w:before="0" w:after="0"/>
              <w:jc w:val="right"/>
              <w:rPr>
                <w:b/>
                <w:bCs/>
                <w:noProof/>
                <w:color w:val="000000"/>
                <w:sz w:val="20"/>
                <w:szCs w:val="20"/>
              </w:rPr>
            </w:pPr>
            <w:r w:rsidRPr="00C34031">
              <w:rPr>
                <w:b/>
                <w:noProof/>
                <w:color w:val="000000" w:themeColor="text1"/>
                <w:sz w:val="20"/>
              </w:rPr>
              <w:t>6,571</w:t>
            </w:r>
          </w:p>
        </w:tc>
        <w:tc>
          <w:tcPr>
            <w:tcW w:w="1073"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6B1B411C" w14:textId="77777777" w:rsidR="00FA5543" w:rsidRPr="00C34031" w:rsidRDefault="65A0933E" w:rsidP="00390489">
            <w:pPr>
              <w:spacing w:before="0" w:after="0"/>
              <w:jc w:val="right"/>
              <w:rPr>
                <w:b/>
                <w:bCs/>
                <w:noProof/>
                <w:color w:val="000000"/>
                <w:sz w:val="20"/>
                <w:szCs w:val="20"/>
              </w:rPr>
            </w:pPr>
            <w:r w:rsidRPr="00C34031">
              <w:rPr>
                <w:b/>
                <w:noProof/>
                <w:color w:val="000000" w:themeColor="text1"/>
                <w:sz w:val="20"/>
              </w:rPr>
              <w:t>9,046</w:t>
            </w:r>
          </w:p>
        </w:tc>
        <w:tc>
          <w:tcPr>
            <w:tcW w:w="1069"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0F9DC377" w14:textId="77777777" w:rsidR="00FA5543" w:rsidRPr="00C34031" w:rsidRDefault="65A0933E" w:rsidP="00390489">
            <w:pPr>
              <w:spacing w:before="0" w:after="0"/>
              <w:jc w:val="right"/>
              <w:rPr>
                <w:b/>
                <w:bCs/>
                <w:noProof/>
                <w:color w:val="000000"/>
                <w:sz w:val="20"/>
                <w:szCs w:val="20"/>
              </w:rPr>
            </w:pPr>
            <w:r w:rsidRPr="00C34031">
              <w:rPr>
                <w:b/>
                <w:noProof/>
                <w:color w:val="000000" w:themeColor="text1"/>
                <w:sz w:val="20"/>
              </w:rPr>
              <w:t>12,012</w:t>
            </w:r>
          </w:p>
        </w:tc>
        <w:tc>
          <w:tcPr>
            <w:tcW w:w="132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32605C1C" w14:textId="77777777" w:rsidR="00FA5543" w:rsidRPr="00C34031" w:rsidRDefault="65A0933E" w:rsidP="00390489">
            <w:pPr>
              <w:spacing w:before="0" w:after="0"/>
              <w:jc w:val="right"/>
              <w:rPr>
                <w:b/>
                <w:bCs/>
                <w:noProof/>
                <w:color w:val="000000"/>
                <w:sz w:val="20"/>
                <w:szCs w:val="20"/>
              </w:rPr>
            </w:pPr>
            <w:r w:rsidRPr="00C34031">
              <w:rPr>
                <w:b/>
                <w:noProof/>
                <w:color w:val="000000" w:themeColor="text1"/>
                <w:sz w:val="20"/>
              </w:rPr>
              <w:t>36,801</w:t>
            </w:r>
          </w:p>
        </w:tc>
      </w:tr>
    </w:tbl>
    <w:p w14:paraId="4DFF783C" w14:textId="77777777" w:rsidR="00FA5543" w:rsidRPr="00C34031" w:rsidRDefault="00FA5543" w:rsidP="00390489">
      <w:pPr>
        <w:jc w:val="right"/>
        <w:rPr>
          <w:noProof/>
          <w:sz w:val="20"/>
        </w:rPr>
      </w:pPr>
      <w:r w:rsidRPr="00C34031">
        <w:rPr>
          <w:noProof/>
          <w:sz w:val="20"/>
        </w:rPr>
        <w:t>v milionech EUR (zaokrouhleno na tři desetinná místa)</w:t>
      </w:r>
    </w:p>
    <w:tbl>
      <w:tblPr>
        <w:tblW w:w="5000" w:type="pct"/>
        <w:tblLook w:val="04A0" w:firstRow="1" w:lastRow="0" w:firstColumn="1" w:lastColumn="0" w:noHBand="0" w:noVBand="1"/>
      </w:tblPr>
      <w:tblGrid>
        <w:gridCol w:w="4013"/>
        <w:gridCol w:w="316"/>
        <w:gridCol w:w="1189"/>
        <w:gridCol w:w="88"/>
        <w:gridCol w:w="63"/>
        <w:gridCol w:w="1038"/>
        <w:gridCol w:w="210"/>
        <w:gridCol w:w="768"/>
        <w:gridCol w:w="63"/>
        <w:gridCol w:w="572"/>
        <w:gridCol w:w="620"/>
        <w:gridCol w:w="51"/>
        <w:gridCol w:w="731"/>
        <w:gridCol w:w="472"/>
        <w:gridCol w:w="40"/>
        <w:gridCol w:w="890"/>
        <w:gridCol w:w="324"/>
        <w:gridCol w:w="28"/>
        <w:gridCol w:w="1049"/>
        <w:gridCol w:w="176"/>
        <w:gridCol w:w="17"/>
        <w:gridCol w:w="1502"/>
      </w:tblGrid>
      <w:tr w:rsidR="00FA5543" w:rsidRPr="00C34031" w14:paraId="7851314F" w14:textId="77777777" w:rsidTr="139DF8FE">
        <w:trPr>
          <w:trHeight w:val="288"/>
        </w:trPr>
        <w:tc>
          <w:tcPr>
            <w:tcW w:w="2702" w:type="pct"/>
            <w:gridSpan w:val="8"/>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CB47867" w14:textId="77777777" w:rsidR="00FA5543" w:rsidRPr="00C34031" w:rsidRDefault="00FA5543" w:rsidP="00390489">
            <w:pPr>
              <w:spacing w:before="0" w:after="0"/>
              <w:jc w:val="center"/>
              <w:rPr>
                <w:noProof/>
                <w:color w:val="000000"/>
                <w:szCs w:val="24"/>
              </w:rPr>
            </w:pPr>
            <w:r w:rsidRPr="00C34031">
              <w:rPr>
                <w:noProof/>
                <w:color w:val="000000"/>
              </w:rPr>
              <w:t> </w:t>
            </w:r>
          </w:p>
        </w:tc>
        <w:tc>
          <w:tcPr>
            <w:tcW w:w="441" w:type="pct"/>
            <w:gridSpan w:val="3"/>
            <w:tcBorders>
              <w:top w:val="single" w:sz="8" w:space="0" w:color="auto"/>
              <w:left w:val="nil"/>
              <w:bottom w:val="nil"/>
              <w:right w:val="single" w:sz="8" w:space="0" w:color="auto"/>
            </w:tcBorders>
            <w:shd w:val="clear" w:color="auto" w:fill="auto"/>
            <w:vAlign w:val="center"/>
            <w:hideMark/>
          </w:tcPr>
          <w:p w14:paraId="127BE2C2"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41" w:type="pct"/>
            <w:gridSpan w:val="3"/>
            <w:tcBorders>
              <w:top w:val="single" w:sz="8" w:space="0" w:color="auto"/>
              <w:left w:val="nil"/>
              <w:bottom w:val="nil"/>
              <w:right w:val="single" w:sz="8" w:space="0" w:color="auto"/>
            </w:tcBorders>
            <w:shd w:val="clear" w:color="auto" w:fill="auto"/>
            <w:vAlign w:val="center"/>
            <w:hideMark/>
          </w:tcPr>
          <w:p w14:paraId="35B6F010"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41" w:type="pct"/>
            <w:gridSpan w:val="3"/>
            <w:tcBorders>
              <w:top w:val="single" w:sz="8" w:space="0" w:color="auto"/>
              <w:left w:val="nil"/>
              <w:bottom w:val="nil"/>
              <w:right w:val="single" w:sz="8" w:space="0" w:color="auto"/>
            </w:tcBorders>
            <w:shd w:val="clear" w:color="auto" w:fill="auto"/>
            <w:vAlign w:val="center"/>
            <w:hideMark/>
          </w:tcPr>
          <w:p w14:paraId="46246982"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41" w:type="pct"/>
            <w:gridSpan w:val="3"/>
            <w:tcBorders>
              <w:top w:val="single" w:sz="8" w:space="0" w:color="auto"/>
              <w:left w:val="nil"/>
              <w:bottom w:val="nil"/>
              <w:right w:val="single" w:sz="8" w:space="0" w:color="auto"/>
            </w:tcBorders>
            <w:shd w:val="clear" w:color="auto" w:fill="auto"/>
            <w:vAlign w:val="center"/>
            <w:hideMark/>
          </w:tcPr>
          <w:p w14:paraId="7DF075F1"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533" w:type="pct"/>
            <w:gridSpan w:val="2"/>
            <w:vMerge w:val="restart"/>
            <w:tcBorders>
              <w:top w:val="single" w:sz="8" w:space="0" w:color="auto"/>
              <w:left w:val="single" w:sz="8" w:space="0" w:color="auto"/>
              <w:bottom w:val="single" w:sz="8" w:space="0" w:color="000000" w:themeColor="text1"/>
              <w:right w:val="single" w:sz="8" w:space="0" w:color="auto"/>
            </w:tcBorders>
            <w:shd w:val="clear" w:color="auto" w:fill="auto"/>
            <w:vAlign w:val="center"/>
            <w:hideMark/>
          </w:tcPr>
          <w:p w14:paraId="0CE996F7"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CELKEM VFR na období 2021–2027</w:t>
            </w:r>
          </w:p>
        </w:tc>
      </w:tr>
      <w:tr w:rsidR="00FA5543" w:rsidRPr="00C34031" w14:paraId="31224B91" w14:textId="77777777" w:rsidTr="139DF8FE">
        <w:trPr>
          <w:trHeight w:val="300"/>
        </w:trPr>
        <w:tc>
          <w:tcPr>
            <w:tcW w:w="2702" w:type="pct"/>
            <w:gridSpan w:val="8"/>
            <w:vMerge/>
            <w:vAlign w:val="center"/>
            <w:hideMark/>
          </w:tcPr>
          <w:p w14:paraId="5DDD8AA6" w14:textId="77777777" w:rsidR="00FA5543" w:rsidRPr="00C34031" w:rsidRDefault="00FA5543" w:rsidP="00390489">
            <w:pPr>
              <w:spacing w:before="0" w:after="0"/>
              <w:jc w:val="left"/>
              <w:rPr>
                <w:noProof/>
                <w:color w:val="000000"/>
                <w:szCs w:val="24"/>
                <w:lang w:eastAsia="en-IE"/>
              </w:rPr>
            </w:pPr>
          </w:p>
        </w:tc>
        <w:tc>
          <w:tcPr>
            <w:tcW w:w="441" w:type="pct"/>
            <w:gridSpan w:val="3"/>
            <w:tcBorders>
              <w:top w:val="nil"/>
              <w:left w:val="nil"/>
              <w:bottom w:val="single" w:sz="8" w:space="0" w:color="auto"/>
              <w:right w:val="single" w:sz="8" w:space="0" w:color="auto"/>
            </w:tcBorders>
            <w:shd w:val="clear" w:color="auto" w:fill="auto"/>
            <w:vAlign w:val="center"/>
            <w:hideMark/>
          </w:tcPr>
          <w:p w14:paraId="171CF253"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2024</w:t>
            </w:r>
          </w:p>
        </w:tc>
        <w:tc>
          <w:tcPr>
            <w:tcW w:w="441" w:type="pct"/>
            <w:gridSpan w:val="3"/>
            <w:tcBorders>
              <w:top w:val="nil"/>
              <w:left w:val="nil"/>
              <w:bottom w:val="single" w:sz="8" w:space="0" w:color="auto"/>
              <w:right w:val="single" w:sz="8" w:space="0" w:color="auto"/>
            </w:tcBorders>
            <w:shd w:val="clear" w:color="auto" w:fill="auto"/>
            <w:vAlign w:val="center"/>
            <w:hideMark/>
          </w:tcPr>
          <w:p w14:paraId="4C8922D5"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2025</w:t>
            </w:r>
          </w:p>
        </w:tc>
        <w:tc>
          <w:tcPr>
            <w:tcW w:w="441" w:type="pct"/>
            <w:gridSpan w:val="3"/>
            <w:tcBorders>
              <w:top w:val="nil"/>
              <w:left w:val="nil"/>
              <w:bottom w:val="single" w:sz="8" w:space="0" w:color="auto"/>
              <w:right w:val="single" w:sz="8" w:space="0" w:color="auto"/>
            </w:tcBorders>
            <w:shd w:val="clear" w:color="auto" w:fill="auto"/>
            <w:vAlign w:val="center"/>
            <w:hideMark/>
          </w:tcPr>
          <w:p w14:paraId="440A2690"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2026</w:t>
            </w:r>
          </w:p>
        </w:tc>
        <w:tc>
          <w:tcPr>
            <w:tcW w:w="441" w:type="pct"/>
            <w:gridSpan w:val="3"/>
            <w:tcBorders>
              <w:top w:val="nil"/>
              <w:left w:val="nil"/>
              <w:bottom w:val="single" w:sz="8" w:space="0" w:color="auto"/>
              <w:right w:val="single" w:sz="8" w:space="0" w:color="auto"/>
            </w:tcBorders>
            <w:shd w:val="clear" w:color="auto" w:fill="auto"/>
            <w:vAlign w:val="center"/>
            <w:hideMark/>
          </w:tcPr>
          <w:p w14:paraId="54762C57"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2027</w:t>
            </w:r>
          </w:p>
        </w:tc>
        <w:tc>
          <w:tcPr>
            <w:tcW w:w="533" w:type="pct"/>
            <w:gridSpan w:val="2"/>
            <w:vMerge/>
            <w:vAlign w:val="center"/>
            <w:hideMark/>
          </w:tcPr>
          <w:p w14:paraId="548FF120" w14:textId="77777777" w:rsidR="00FA5543" w:rsidRPr="00C34031" w:rsidRDefault="00FA5543" w:rsidP="00390489">
            <w:pPr>
              <w:spacing w:before="0" w:after="0"/>
              <w:jc w:val="left"/>
              <w:rPr>
                <w:b/>
                <w:bCs/>
                <w:noProof/>
                <w:color w:val="000000"/>
                <w:sz w:val="20"/>
                <w:szCs w:val="20"/>
                <w:lang w:eastAsia="en-IE"/>
              </w:rPr>
            </w:pPr>
          </w:p>
        </w:tc>
      </w:tr>
      <w:tr w:rsidR="00FA5543" w:rsidRPr="00C34031" w14:paraId="4080E1EA" w14:textId="77777777" w:rsidTr="139DF8FE">
        <w:trPr>
          <w:trHeight w:val="564"/>
        </w:trPr>
        <w:tc>
          <w:tcPr>
            <w:tcW w:w="1971" w:type="pct"/>
            <w:gridSpan w:val="4"/>
            <w:tcBorders>
              <w:top w:val="single" w:sz="8" w:space="0" w:color="auto"/>
              <w:left w:val="single" w:sz="8" w:space="0" w:color="auto"/>
              <w:bottom w:val="single" w:sz="8" w:space="0" w:color="auto"/>
              <w:right w:val="single" w:sz="8" w:space="0" w:color="000000" w:themeColor="text1"/>
            </w:tcBorders>
            <w:shd w:val="clear" w:color="auto" w:fill="C0C0C0"/>
            <w:vAlign w:val="center"/>
            <w:hideMark/>
          </w:tcPr>
          <w:p w14:paraId="0BB9C595" w14:textId="77777777" w:rsidR="00FA5543" w:rsidRPr="00C34031" w:rsidRDefault="00FA5543" w:rsidP="00390489">
            <w:pPr>
              <w:spacing w:before="0" w:after="0"/>
              <w:jc w:val="center"/>
              <w:rPr>
                <w:b/>
                <w:bCs/>
                <w:noProof/>
                <w:color w:val="000000"/>
                <w:sz w:val="22"/>
              </w:rPr>
            </w:pPr>
            <w:r w:rsidRPr="00C34031">
              <w:rPr>
                <w:b/>
                <w:noProof/>
                <w:color w:val="000000"/>
                <w:sz w:val="22"/>
              </w:rPr>
              <w:t>CELKEM prostředky z OKRUHŮ 1 až 7</w:t>
            </w:r>
          </w:p>
        </w:tc>
        <w:tc>
          <w:tcPr>
            <w:tcW w:w="731" w:type="pct"/>
            <w:gridSpan w:val="4"/>
            <w:tcBorders>
              <w:top w:val="single" w:sz="8" w:space="0" w:color="auto"/>
              <w:left w:val="nil"/>
              <w:bottom w:val="single" w:sz="8" w:space="0" w:color="auto"/>
              <w:right w:val="single" w:sz="8" w:space="0" w:color="auto"/>
            </w:tcBorders>
            <w:shd w:val="clear" w:color="auto" w:fill="auto"/>
            <w:vAlign w:val="center"/>
            <w:hideMark/>
          </w:tcPr>
          <w:p w14:paraId="70DD98AD" w14:textId="77777777" w:rsidR="00FA5543" w:rsidRPr="00C34031" w:rsidRDefault="00FA5543" w:rsidP="00390489">
            <w:pPr>
              <w:spacing w:before="0" w:after="0"/>
              <w:rPr>
                <w:noProof/>
                <w:color w:val="000000"/>
                <w:sz w:val="18"/>
                <w:szCs w:val="18"/>
              </w:rPr>
            </w:pPr>
            <w:r w:rsidRPr="00C34031">
              <w:rPr>
                <w:noProof/>
                <w:color w:val="000000"/>
                <w:sz w:val="18"/>
              </w:rPr>
              <w:t>Závazky</w:t>
            </w:r>
          </w:p>
        </w:tc>
        <w:tc>
          <w:tcPr>
            <w:tcW w:w="441"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003723DB" w14:textId="77777777" w:rsidR="00FA5543" w:rsidRPr="00C34031" w:rsidRDefault="109411B1" w:rsidP="139DF8FE">
            <w:pPr>
              <w:spacing w:before="0" w:after="0"/>
              <w:jc w:val="right"/>
              <w:rPr>
                <w:b/>
                <w:bCs/>
                <w:noProof/>
                <w:color w:val="000000"/>
              </w:rPr>
            </w:pPr>
            <w:r w:rsidRPr="00C34031">
              <w:rPr>
                <w:b/>
                <w:noProof/>
                <w:color w:val="000000" w:themeColor="text1"/>
              </w:rPr>
              <w:t>37,262</w:t>
            </w:r>
          </w:p>
        </w:tc>
        <w:tc>
          <w:tcPr>
            <w:tcW w:w="441"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5E673789" w14:textId="77777777" w:rsidR="00FA5543" w:rsidRPr="00C34031" w:rsidRDefault="109411B1" w:rsidP="139DF8FE">
            <w:pPr>
              <w:spacing w:before="0" w:after="0"/>
              <w:jc w:val="right"/>
              <w:rPr>
                <w:noProof/>
              </w:rPr>
            </w:pPr>
            <w:r w:rsidRPr="00C34031">
              <w:rPr>
                <w:b/>
                <w:noProof/>
                <w:color w:val="000000" w:themeColor="text1"/>
              </w:rPr>
              <w:t>41,321</w:t>
            </w:r>
          </w:p>
        </w:tc>
        <w:tc>
          <w:tcPr>
            <w:tcW w:w="441"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8CA7EB4" w14:textId="77777777" w:rsidR="00FA5543" w:rsidRPr="00C34031" w:rsidRDefault="109411B1" w:rsidP="139DF8FE">
            <w:pPr>
              <w:spacing w:before="0" w:after="0"/>
              <w:jc w:val="right"/>
              <w:rPr>
                <w:noProof/>
              </w:rPr>
            </w:pPr>
            <w:r w:rsidRPr="00C34031">
              <w:rPr>
                <w:b/>
                <w:noProof/>
                <w:color w:val="000000" w:themeColor="text1"/>
              </w:rPr>
              <w:t>42,746</w:t>
            </w:r>
          </w:p>
        </w:tc>
        <w:tc>
          <w:tcPr>
            <w:tcW w:w="441"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4B6B91E3" w14:textId="77777777" w:rsidR="00FA5543" w:rsidRPr="00C34031" w:rsidRDefault="109411B1" w:rsidP="139DF8FE">
            <w:pPr>
              <w:spacing w:before="0" w:after="0"/>
              <w:jc w:val="right"/>
              <w:rPr>
                <w:b/>
                <w:bCs/>
                <w:noProof/>
                <w:color w:val="000000"/>
              </w:rPr>
            </w:pPr>
            <w:r w:rsidRPr="00C34031">
              <w:rPr>
                <w:b/>
                <w:noProof/>
                <w:color w:val="000000" w:themeColor="text1"/>
              </w:rPr>
              <w:t>42,162</w:t>
            </w:r>
          </w:p>
        </w:tc>
        <w:tc>
          <w:tcPr>
            <w:tcW w:w="533"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78C88AC7" w14:textId="77777777" w:rsidR="00FA5543" w:rsidRPr="00C34031" w:rsidRDefault="109411B1" w:rsidP="139DF8FE">
            <w:pPr>
              <w:spacing w:before="0" w:after="0"/>
              <w:jc w:val="right"/>
              <w:rPr>
                <w:b/>
                <w:bCs/>
                <w:noProof/>
                <w:color w:val="000000"/>
              </w:rPr>
            </w:pPr>
            <w:r w:rsidRPr="00C34031">
              <w:rPr>
                <w:b/>
                <w:noProof/>
                <w:color w:val="000000" w:themeColor="text1"/>
              </w:rPr>
              <w:t>163,491</w:t>
            </w:r>
          </w:p>
        </w:tc>
      </w:tr>
      <w:tr w:rsidR="00FA5543" w:rsidRPr="00C34031" w14:paraId="4DEE293F" w14:textId="77777777" w:rsidTr="139DF8FE">
        <w:trPr>
          <w:trHeight w:val="540"/>
        </w:trPr>
        <w:tc>
          <w:tcPr>
            <w:tcW w:w="1971" w:type="pct"/>
            <w:gridSpan w:val="4"/>
            <w:tcBorders>
              <w:top w:val="single" w:sz="8" w:space="0" w:color="auto"/>
              <w:left w:val="single" w:sz="8" w:space="0" w:color="auto"/>
              <w:bottom w:val="single" w:sz="8" w:space="0" w:color="auto"/>
              <w:right w:val="single" w:sz="8" w:space="0" w:color="000000" w:themeColor="text1"/>
            </w:tcBorders>
            <w:shd w:val="clear" w:color="auto" w:fill="C0C0C0"/>
            <w:vAlign w:val="center"/>
            <w:hideMark/>
          </w:tcPr>
          <w:p w14:paraId="2B679DF5" w14:textId="77777777" w:rsidR="00FA5543" w:rsidRPr="00C34031" w:rsidRDefault="00FA5543" w:rsidP="00390489">
            <w:pPr>
              <w:spacing w:before="0" w:after="0"/>
              <w:jc w:val="center"/>
              <w:rPr>
                <w:noProof/>
                <w:color w:val="000000"/>
                <w:sz w:val="22"/>
              </w:rPr>
            </w:pPr>
            <w:r w:rsidRPr="00C34031">
              <w:rPr>
                <w:noProof/>
                <w:color w:val="000000"/>
                <w:sz w:val="22"/>
              </w:rPr>
              <w:t>víceletého finančního rámce</w:t>
            </w:r>
            <w:r w:rsidRPr="00C34031">
              <w:rPr>
                <w:b/>
                <w:noProof/>
                <w:color w:val="000000"/>
                <w:sz w:val="22"/>
              </w:rPr>
              <w:t xml:space="preserve"> </w:t>
            </w:r>
          </w:p>
        </w:tc>
        <w:tc>
          <w:tcPr>
            <w:tcW w:w="731" w:type="pct"/>
            <w:gridSpan w:val="4"/>
            <w:tcBorders>
              <w:top w:val="single" w:sz="8" w:space="0" w:color="auto"/>
              <w:left w:val="nil"/>
              <w:bottom w:val="single" w:sz="8" w:space="0" w:color="auto"/>
              <w:right w:val="single" w:sz="8" w:space="0" w:color="auto"/>
            </w:tcBorders>
            <w:shd w:val="clear" w:color="auto" w:fill="auto"/>
            <w:vAlign w:val="center"/>
            <w:hideMark/>
          </w:tcPr>
          <w:p w14:paraId="41239293" w14:textId="77777777" w:rsidR="00FA5543" w:rsidRPr="00C34031" w:rsidRDefault="00FA5543" w:rsidP="00390489">
            <w:pPr>
              <w:spacing w:before="0" w:after="0"/>
              <w:rPr>
                <w:noProof/>
                <w:color w:val="000000"/>
                <w:sz w:val="18"/>
                <w:szCs w:val="18"/>
              </w:rPr>
            </w:pPr>
            <w:r w:rsidRPr="00C34031">
              <w:rPr>
                <w:noProof/>
                <w:color w:val="000000"/>
                <w:sz w:val="18"/>
              </w:rPr>
              <w:t>Platby</w:t>
            </w:r>
          </w:p>
        </w:tc>
        <w:tc>
          <w:tcPr>
            <w:tcW w:w="441"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0CBAF1B0" w14:textId="77777777" w:rsidR="00FA5543" w:rsidRPr="00C34031" w:rsidRDefault="7E8075C8" w:rsidP="139DF8FE">
            <w:pPr>
              <w:spacing w:before="0" w:after="0"/>
              <w:jc w:val="right"/>
              <w:rPr>
                <w:b/>
                <w:bCs/>
                <w:noProof/>
                <w:color w:val="000000"/>
              </w:rPr>
            </w:pPr>
            <w:r w:rsidRPr="00C34031">
              <w:rPr>
                <w:b/>
                <w:noProof/>
                <w:color w:val="000000" w:themeColor="text1"/>
              </w:rPr>
              <w:t>26,702</w:t>
            </w:r>
          </w:p>
        </w:tc>
        <w:tc>
          <w:tcPr>
            <w:tcW w:w="441"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AD6B012" w14:textId="77777777" w:rsidR="00FA5543" w:rsidRPr="00C34031" w:rsidRDefault="7E8075C8" w:rsidP="139DF8FE">
            <w:pPr>
              <w:spacing w:before="0" w:after="0"/>
              <w:jc w:val="right"/>
              <w:rPr>
                <w:b/>
                <w:bCs/>
                <w:noProof/>
                <w:color w:val="000000"/>
              </w:rPr>
            </w:pPr>
            <w:r w:rsidRPr="00C34031">
              <w:rPr>
                <w:b/>
                <w:noProof/>
                <w:color w:val="000000" w:themeColor="text1"/>
              </w:rPr>
              <w:t>27,728</w:t>
            </w:r>
          </w:p>
        </w:tc>
        <w:tc>
          <w:tcPr>
            <w:tcW w:w="441"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92D9927" w14:textId="77777777" w:rsidR="00FA5543" w:rsidRPr="00C34031" w:rsidRDefault="7E8075C8" w:rsidP="139DF8FE">
            <w:pPr>
              <w:spacing w:before="0" w:after="0"/>
              <w:jc w:val="right"/>
              <w:rPr>
                <w:b/>
                <w:bCs/>
                <w:noProof/>
                <w:color w:val="000000"/>
              </w:rPr>
            </w:pPr>
            <w:r w:rsidRPr="00C34031">
              <w:rPr>
                <w:b/>
                <w:noProof/>
                <w:color w:val="000000" w:themeColor="text1"/>
              </w:rPr>
              <w:t>41,136</w:t>
            </w:r>
          </w:p>
        </w:tc>
        <w:tc>
          <w:tcPr>
            <w:tcW w:w="441"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05593554" w14:textId="77777777" w:rsidR="00FA5543" w:rsidRPr="00C34031" w:rsidRDefault="7E8075C8" w:rsidP="139DF8FE">
            <w:pPr>
              <w:spacing w:before="0" w:after="0"/>
              <w:jc w:val="right"/>
              <w:rPr>
                <w:b/>
                <w:bCs/>
                <w:noProof/>
                <w:color w:val="000000"/>
              </w:rPr>
            </w:pPr>
            <w:r w:rsidRPr="00C34031">
              <w:rPr>
                <w:b/>
                <w:noProof/>
                <w:color w:val="000000" w:themeColor="text1"/>
              </w:rPr>
              <w:t>45,079</w:t>
            </w:r>
          </w:p>
        </w:tc>
        <w:tc>
          <w:tcPr>
            <w:tcW w:w="533" w:type="pct"/>
            <w:gridSpan w:val="2"/>
            <w:tcBorders>
              <w:top w:val="nil"/>
              <w:left w:val="nil"/>
              <w:bottom w:val="single" w:sz="8" w:space="0" w:color="auto"/>
              <w:right w:val="single" w:sz="8" w:space="0" w:color="auto"/>
            </w:tcBorders>
            <w:shd w:val="clear" w:color="auto" w:fill="D9D9D9" w:themeFill="background1" w:themeFillShade="D9"/>
            <w:vAlign w:val="center"/>
            <w:hideMark/>
          </w:tcPr>
          <w:p w14:paraId="4A5F87EB" w14:textId="77777777" w:rsidR="00FA5543" w:rsidRPr="00C34031" w:rsidRDefault="7E8075C8" w:rsidP="139DF8FE">
            <w:pPr>
              <w:spacing w:before="0" w:after="0"/>
              <w:jc w:val="right"/>
              <w:rPr>
                <w:b/>
                <w:bCs/>
                <w:noProof/>
                <w:color w:val="000000"/>
              </w:rPr>
            </w:pPr>
            <w:r w:rsidRPr="00C34031">
              <w:rPr>
                <w:b/>
                <w:noProof/>
                <w:color w:val="000000" w:themeColor="text1"/>
              </w:rPr>
              <w:t>140,645</w:t>
            </w:r>
          </w:p>
        </w:tc>
      </w:tr>
      <w:tr w:rsidR="00FA5543" w:rsidRPr="00C34031" w14:paraId="7ED4B087" w14:textId="77777777" w:rsidTr="139DF8FE">
        <w:trPr>
          <w:trHeight w:val="300"/>
        </w:trPr>
        <w:tc>
          <w:tcPr>
            <w:tcW w:w="2432" w:type="pct"/>
            <w:gridSpan w:val="7"/>
            <w:vMerge w:val="restart"/>
            <w:tcBorders>
              <w:top w:val="single" w:sz="8" w:space="0" w:color="auto"/>
              <w:left w:val="single" w:sz="8" w:space="0" w:color="auto"/>
              <w:bottom w:val="single" w:sz="8" w:space="0" w:color="000000" w:themeColor="text1"/>
              <w:right w:val="single" w:sz="8" w:space="0" w:color="000000" w:themeColor="text1"/>
            </w:tcBorders>
            <w:shd w:val="clear" w:color="auto" w:fill="auto"/>
            <w:vAlign w:val="center"/>
            <w:hideMark/>
          </w:tcPr>
          <w:p w14:paraId="44B13EC9" w14:textId="77777777" w:rsidR="00FA5543" w:rsidRPr="00C34031" w:rsidRDefault="00FA5543" w:rsidP="00390489">
            <w:pPr>
              <w:spacing w:before="0" w:after="0"/>
              <w:jc w:val="center"/>
              <w:rPr>
                <w:b/>
                <w:bCs/>
                <w:noProof/>
                <w:color w:val="000000"/>
                <w:sz w:val="22"/>
              </w:rPr>
            </w:pPr>
            <w:r w:rsidRPr="00C34031">
              <w:rPr>
                <w:b/>
                <w:noProof/>
                <w:color w:val="000000"/>
                <w:sz w:val="22"/>
              </w:rPr>
              <w:t> </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14:paraId="5EC28A3F"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14:paraId="683E7BEF"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14:paraId="402572FD"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93" w:type="pct"/>
            <w:gridSpan w:val="3"/>
            <w:tcBorders>
              <w:top w:val="single" w:sz="8" w:space="0" w:color="auto"/>
              <w:left w:val="nil"/>
              <w:bottom w:val="single" w:sz="8" w:space="0" w:color="auto"/>
              <w:right w:val="single" w:sz="8" w:space="0" w:color="auto"/>
            </w:tcBorders>
            <w:shd w:val="clear" w:color="auto" w:fill="auto"/>
            <w:vAlign w:val="center"/>
            <w:hideMark/>
          </w:tcPr>
          <w:p w14:paraId="77B934B7"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596" w:type="pct"/>
            <w:gridSpan w:val="3"/>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17284466"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CELKEM VFR na období 2021–2027</w:t>
            </w:r>
          </w:p>
        </w:tc>
      </w:tr>
      <w:tr w:rsidR="00FA5543" w:rsidRPr="00C34031" w14:paraId="00A92661" w14:textId="77777777" w:rsidTr="139DF8FE">
        <w:trPr>
          <w:trHeight w:val="300"/>
        </w:trPr>
        <w:tc>
          <w:tcPr>
            <w:tcW w:w="2432" w:type="pct"/>
            <w:gridSpan w:val="7"/>
            <w:vMerge/>
            <w:vAlign w:val="center"/>
            <w:hideMark/>
          </w:tcPr>
          <w:p w14:paraId="40852314" w14:textId="77777777" w:rsidR="00FA5543" w:rsidRPr="00C34031" w:rsidRDefault="00FA5543" w:rsidP="00390489">
            <w:pPr>
              <w:spacing w:before="0" w:after="0"/>
              <w:jc w:val="left"/>
              <w:rPr>
                <w:b/>
                <w:bCs/>
                <w:noProof/>
                <w:color w:val="000000"/>
                <w:sz w:val="22"/>
                <w:lang w:eastAsia="en-IE"/>
              </w:rPr>
            </w:pPr>
          </w:p>
        </w:tc>
        <w:tc>
          <w:tcPr>
            <w:tcW w:w="493" w:type="pct"/>
            <w:gridSpan w:val="3"/>
            <w:tcBorders>
              <w:top w:val="nil"/>
              <w:left w:val="nil"/>
              <w:bottom w:val="single" w:sz="8" w:space="0" w:color="auto"/>
              <w:right w:val="single" w:sz="8" w:space="0" w:color="auto"/>
            </w:tcBorders>
            <w:shd w:val="clear" w:color="auto" w:fill="auto"/>
            <w:vAlign w:val="center"/>
            <w:hideMark/>
          </w:tcPr>
          <w:p w14:paraId="4E9F8FCE"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2024</w:t>
            </w:r>
          </w:p>
        </w:tc>
        <w:tc>
          <w:tcPr>
            <w:tcW w:w="493" w:type="pct"/>
            <w:gridSpan w:val="3"/>
            <w:tcBorders>
              <w:top w:val="nil"/>
              <w:left w:val="nil"/>
              <w:bottom w:val="single" w:sz="8" w:space="0" w:color="auto"/>
              <w:right w:val="single" w:sz="8" w:space="0" w:color="auto"/>
            </w:tcBorders>
            <w:shd w:val="clear" w:color="auto" w:fill="auto"/>
            <w:vAlign w:val="center"/>
            <w:hideMark/>
          </w:tcPr>
          <w:p w14:paraId="5A5CADFF"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2025</w:t>
            </w:r>
          </w:p>
        </w:tc>
        <w:tc>
          <w:tcPr>
            <w:tcW w:w="493" w:type="pct"/>
            <w:gridSpan w:val="3"/>
            <w:tcBorders>
              <w:top w:val="nil"/>
              <w:left w:val="nil"/>
              <w:bottom w:val="single" w:sz="8" w:space="0" w:color="auto"/>
              <w:right w:val="single" w:sz="8" w:space="0" w:color="auto"/>
            </w:tcBorders>
            <w:shd w:val="clear" w:color="auto" w:fill="auto"/>
            <w:vAlign w:val="center"/>
            <w:hideMark/>
          </w:tcPr>
          <w:p w14:paraId="308BF983"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2026</w:t>
            </w:r>
          </w:p>
        </w:tc>
        <w:tc>
          <w:tcPr>
            <w:tcW w:w="493" w:type="pct"/>
            <w:gridSpan w:val="3"/>
            <w:tcBorders>
              <w:top w:val="nil"/>
              <w:left w:val="nil"/>
              <w:bottom w:val="single" w:sz="8" w:space="0" w:color="auto"/>
              <w:right w:val="single" w:sz="8" w:space="0" w:color="auto"/>
            </w:tcBorders>
            <w:shd w:val="clear" w:color="auto" w:fill="auto"/>
            <w:vAlign w:val="center"/>
            <w:hideMark/>
          </w:tcPr>
          <w:p w14:paraId="04EFE352"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2027</w:t>
            </w:r>
          </w:p>
        </w:tc>
        <w:tc>
          <w:tcPr>
            <w:tcW w:w="596" w:type="pct"/>
            <w:gridSpan w:val="3"/>
            <w:vMerge/>
            <w:vAlign w:val="center"/>
            <w:hideMark/>
          </w:tcPr>
          <w:p w14:paraId="01F07445" w14:textId="77777777" w:rsidR="00FA5543" w:rsidRPr="00C34031" w:rsidRDefault="00FA5543" w:rsidP="00390489">
            <w:pPr>
              <w:spacing w:before="0" w:after="0"/>
              <w:jc w:val="left"/>
              <w:rPr>
                <w:b/>
                <w:bCs/>
                <w:noProof/>
                <w:color w:val="000000"/>
                <w:sz w:val="20"/>
                <w:szCs w:val="20"/>
                <w:lang w:eastAsia="en-IE"/>
              </w:rPr>
            </w:pPr>
          </w:p>
        </w:tc>
      </w:tr>
      <w:tr w:rsidR="00FA5543" w:rsidRPr="00C34031" w14:paraId="40245DE7" w14:textId="77777777" w:rsidTr="139DF8FE">
        <w:trPr>
          <w:trHeight w:val="432"/>
        </w:trPr>
        <w:tc>
          <w:tcPr>
            <w:tcW w:w="1411" w:type="pct"/>
            <w:vMerge w:val="restart"/>
            <w:tcBorders>
              <w:top w:val="nil"/>
              <w:left w:val="single" w:sz="8" w:space="0" w:color="auto"/>
              <w:bottom w:val="single" w:sz="8" w:space="0" w:color="auto"/>
              <w:right w:val="single" w:sz="8" w:space="0" w:color="auto"/>
            </w:tcBorders>
            <w:shd w:val="clear" w:color="auto" w:fill="auto"/>
            <w:vAlign w:val="center"/>
            <w:hideMark/>
          </w:tcPr>
          <w:p w14:paraId="74320A44" w14:textId="77777777" w:rsidR="00FA5543" w:rsidRPr="00C34031" w:rsidRDefault="00FA5543" w:rsidP="00390489">
            <w:pPr>
              <w:spacing w:before="0" w:after="0"/>
              <w:rPr>
                <w:noProof/>
                <w:color w:val="000000"/>
                <w:sz w:val="21"/>
                <w:szCs w:val="21"/>
              </w:rPr>
            </w:pPr>
            <w:r w:rsidRPr="00C34031">
              <w:rPr>
                <w:noProof/>
                <w:color w:val="000000"/>
                <w:sz w:val="21"/>
              </w:rPr>
              <w:t xml:space="preserve">Operační prostředky CELKEM </w:t>
            </w:r>
            <w:r w:rsidRPr="00C34031">
              <w:rPr>
                <w:noProof/>
                <w:color w:val="000000"/>
                <w:sz w:val="21"/>
              </w:rPr>
              <w:br/>
            </w:r>
          </w:p>
        </w:tc>
        <w:tc>
          <w:tcPr>
            <w:tcW w:w="529" w:type="pct"/>
            <w:gridSpan w:val="2"/>
            <w:tcBorders>
              <w:top w:val="nil"/>
              <w:left w:val="nil"/>
              <w:bottom w:val="single" w:sz="8" w:space="0" w:color="auto"/>
              <w:right w:val="single" w:sz="8" w:space="0" w:color="auto"/>
            </w:tcBorders>
            <w:shd w:val="clear" w:color="auto" w:fill="auto"/>
            <w:vAlign w:val="center"/>
            <w:hideMark/>
          </w:tcPr>
          <w:p w14:paraId="3EC0B7ED" w14:textId="77777777" w:rsidR="00FA5543" w:rsidRPr="00C34031" w:rsidRDefault="00FA5543" w:rsidP="00390489">
            <w:pPr>
              <w:spacing w:before="0" w:after="0"/>
              <w:rPr>
                <w:noProof/>
                <w:color w:val="000000"/>
                <w:sz w:val="18"/>
                <w:szCs w:val="18"/>
              </w:rPr>
            </w:pPr>
            <w:r w:rsidRPr="00C34031">
              <w:rPr>
                <w:noProof/>
                <w:color w:val="000000"/>
                <w:sz w:val="18"/>
              </w:rPr>
              <w:t>Závazky</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025CD50B" w14:textId="77777777" w:rsidR="00FA5543" w:rsidRPr="00C34031" w:rsidRDefault="00FA5543" w:rsidP="00390489">
            <w:pPr>
              <w:spacing w:before="0" w:after="0"/>
              <w:jc w:val="center"/>
              <w:rPr>
                <w:noProof/>
                <w:color w:val="000000"/>
                <w:sz w:val="14"/>
                <w:szCs w:val="14"/>
              </w:rPr>
            </w:pPr>
            <w:r w:rsidRPr="00C34031">
              <w:rPr>
                <w:noProof/>
                <w:color w:val="000000"/>
                <w:sz w:val="14"/>
              </w:rPr>
              <w:t>(4)</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E65C796" w14:textId="77777777" w:rsidR="00FA5543" w:rsidRPr="00C34031" w:rsidRDefault="418D1FD4" w:rsidP="139DF8FE">
            <w:pPr>
              <w:spacing w:before="0" w:after="0"/>
              <w:jc w:val="right"/>
              <w:rPr>
                <w:rFonts w:eastAsia="Times New Roman"/>
                <w:noProof/>
                <w:sz w:val="20"/>
                <w:szCs w:val="20"/>
              </w:rPr>
            </w:pPr>
            <w:r w:rsidRPr="00C34031">
              <w:rPr>
                <w:noProof/>
                <w:color w:val="000000" w:themeColor="text1"/>
                <w:sz w:val="20"/>
              </w:rPr>
              <w:t>28,090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61A68EFF" w14:textId="77777777" w:rsidR="00FA5543" w:rsidRPr="00C34031" w:rsidRDefault="418D1FD4" w:rsidP="139DF8FE">
            <w:pPr>
              <w:spacing w:before="0" w:after="0"/>
              <w:jc w:val="right"/>
              <w:rPr>
                <w:rFonts w:eastAsia="Times New Roman"/>
                <w:noProof/>
                <w:sz w:val="20"/>
                <w:szCs w:val="20"/>
              </w:rPr>
            </w:pPr>
            <w:r w:rsidRPr="00C34031">
              <w:rPr>
                <w:noProof/>
                <w:color w:val="000000" w:themeColor="text1"/>
                <w:sz w:val="20"/>
              </w:rPr>
              <w:t>34,750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4DC8C4BF" w14:textId="77777777" w:rsidR="00FA5543" w:rsidRPr="00C34031" w:rsidRDefault="7435F929" w:rsidP="139DF8FE">
            <w:pPr>
              <w:spacing w:before="0" w:after="0"/>
              <w:jc w:val="right"/>
              <w:rPr>
                <w:rFonts w:eastAsia="Times New Roman"/>
                <w:noProof/>
                <w:sz w:val="20"/>
                <w:szCs w:val="20"/>
              </w:rPr>
            </w:pPr>
            <w:r w:rsidRPr="00C34031">
              <w:rPr>
                <w:noProof/>
                <w:color w:val="000000" w:themeColor="text1"/>
                <w:sz w:val="20"/>
              </w:rPr>
              <w:t>33,700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2A30B3BF" w14:textId="77777777" w:rsidR="00FA5543" w:rsidRPr="00C34031" w:rsidRDefault="7435F929" w:rsidP="139DF8FE">
            <w:pPr>
              <w:spacing w:before="0" w:after="0"/>
              <w:jc w:val="right"/>
              <w:rPr>
                <w:rFonts w:eastAsia="Times New Roman"/>
                <w:noProof/>
                <w:sz w:val="20"/>
                <w:szCs w:val="20"/>
              </w:rPr>
            </w:pPr>
            <w:r w:rsidRPr="00C34031">
              <w:rPr>
                <w:noProof/>
                <w:color w:val="000000" w:themeColor="text1"/>
                <w:sz w:val="20"/>
              </w:rPr>
              <w:t>30,150</w:t>
            </w:r>
          </w:p>
        </w:tc>
        <w:tc>
          <w:tcPr>
            <w:tcW w:w="5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296C707E" w14:textId="77777777" w:rsidR="00FA5543" w:rsidRPr="00C34031" w:rsidRDefault="7435F929" w:rsidP="139DF8FE">
            <w:pPr>
              <w:spacing w:before="0" w:after="0"/>
              <w:jc w:val="right"/>
              <w:rPr>
                <w:rFonts w:eastAsia="Times New Roman"/>
                <w:noProof/>
                <w:sz w:val="20"/>
                <w:szCs w:val="20"/>
              </w:rPr>
            </w:pPr>
            <w:r w:rsidRPr="00C34031">
              <w:rPr>
                <w:b/>
                <w:noProof/>
                <w:color w:val="000000" w:themeColor="text1"/>
                <w:sz w:val="20"/>
              </w:rPr>
              <w:t>126,690</w:t>
            </w:r>
          </w:p>
        </w:tc>
      </w:tr>
      <w:tr w:rsidR="00FA5543" w:rsidRPr="00C34031" w14:paraId="482BED56" w14:textId="77777777" w:rsidTr="139DF8FE">
        <w:trPr>
          <w:trHeight w:val="456"/>
        </w:trPr>
        <w:tc>
          <w:tcPr>
            <w:tcW w:w="1411" w:type="pct"/>
            <w:vMerge/>
            <w:vAlign w:val="center"/>
            <w:hideMark/>
          </w:tcPr>
          <w:p w14:paraId="4E332F60" w14:textId="77777777" w:rsidR="00FA5543" w:rsidRPr="00C34031" w:rsidRDefault="00FA5543" w:rsidP="00390489">
            <w:pPr>
              <w:spacing w:before="0" w:after="0"/>
              <w:jc w:val="left"/>
              <w:rPr>
                <w:noProof/>
                <w:color w:val="000000"/>
                <w:sz w:val="21"/>
                <w:szCs w:val="21"/>
                <w:lang w:eastAsia="en-IE"/>
              </w:rPr>
            </w:pPr>
          </w:p>
        </w:tc>
        <w:tc>
          <w:tcPr>
            <w:tcW w:w="529" w:type="pct"/>
            <w:gridSpan w:val="2"/>
            <w:tcBorders>
              <w:top w:val="nil"/>
              <w:left w:val="nil"/>
              <w:bottom w:val="single" w:sz="8" w:space="0" w:color="auto"/>
              <w:right w:val="single" w:sz="8" w:space="0" w:color="auto"/>
            </w:tcBorders>
            <w:shd w:val="clear" w:color="auto" w:fill="auto"/>
            <w:vAlign w:val="center"/>
            <w:hideMark/>
          </w:tcPr>
          <w:p w14:paraId="1CAD4228" w14:textId="77777777" w:rsidR="00FA5543" w:rsidRPr="00C34031" w:rsidRDefault="00FA5543" w:rsidP="00390489">
            <w:pPr>
              <w:spacing w:before="0" w:after="0"/>
              <w:rPr>
                <w:noProof/>
                <w:color w:val="000000"/>
                <w:sz w:val="18"/>
                <w:szCs w:val="18"/>
              </w:rPr>
            </w:pPr>
            <w:r w:rsidRPr="00C34031">
              <w:rPr>
                <w:noProof/>
                <w:color w:val="000000"/>
                <w:sz w:val="18"/>
              </w:rPr>
              <w:t>Platby</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3DCFA890" w14:textId="77777777" w:rsidR="00FA5543" w:rsidRPr="00C34031" w:rsidRDefault="00FA5543" w:rsidP="00390489">
            <w:pPr>
              <w:spacing w:before="0" w:after="0"/>
              <w:jc w:val="center"/>
              <w:rPr>
                <w:noProof/>
                <w:color w:val="000000"/>
                <w:sz w:val="14"/>
                <w:szCs w:val="14"/>
              </w:rPr>
            </w:pPr>
            <w:r w:rsidRPr="00C34031">
              <w:rPr>
                <w:noProof/>
                <w:color w:val="000000"/>
                <w:sz w:val="14"/>
              </w:rPr>
              <w:t>(5)</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62826058" w14:textId="77777777" w:rsidR="00FA5543" w:rsidRPr="00C34031" w:rsidRDefault="7903490B" w:rsidP="139DF8FE">
            <w:pPr>
              <w:spacing w:before="0" w:after="0"/>
              <w:jc w:val="right"/>
              <w:rPr>
                <w:rFonts w:eastAsia="Times New Roman"/>
                <w:noProof/>
                <w:sz w:val="20"/>
                <w:szCs w:val="20"/>
              </w:rPr>
            </w:pPr>
            <w:r w:rsidRPr="00C34031">
              <w:rPr>
                <w:noProof/>
                <w:color w:val="000000" w:themeColor="text1"/>
                <w:sz w:val="20"/>
              </w:rPr>
              <w:t>17,530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EB70D79" w14:textId="77777777" w:rsidR="00FA5543" w:rsidRPr="00C34031" w:rsidRDefault="7903490B" w:rsidP="139DF8FE">
            <w:pPr>
              <w:spacing w:before="0" w:after="0"/>
              <w:jc w:val="right"/>
              <w:rPr>
                <w:rFonts w:eastAsia="Times New Roman"/>
                <w:noProof/>
                <w:sz w:val="20"/>
                <w:szCs w:val="20"/>
              </w:rPr>
            </w:pPr>
            <w:r w:rsidRPr="00C34031">
              <w:rPr>
                <w:noProof/>
                <w:color w:val="000000" w:themeColor="text1"/>
                <w:sz w:val="20"/>
              </w:rPr>
              <w:t>21,157</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0F8CBE51" w14:textId="77777777" w:rsidR="00FA5543" w:rsidRPr="00C34031" w:rsidRDefault="7903490B" w:rsidP="139DF8FE">
            <w:pPr>
              <w:spacing w:before="0" w:after="0"/>
              <w:jc w:val="right"/>
              <w:rPr>
                <w:rFonts w:eastAsia="Times New Roman"/>
                <w:noProof/>
                <w:sz w:val="20"/>
                <w:szCs w:val="20"/>
              </w:rPr>
            </w:pPr>
            <w:r w:rsidRPr="00C34031">
              <w:rPr>
                <w:noProof/>
                <w:color w:val="000000" w:themeColor="text1"/>
                <w:sz w:val="20"/>
              </w:rPr>
              <w:t>3,090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256DD75C" w14:textId="77777777" w:rsidR="00FA5543" w:rsidRPr="00C34031" w:rsidRDefault="7903490B" w:rsidP="139DF8FE">
            <w:pPr>
              <w:spacing w:before="0" w:after="0"/>
              <w:jc w:val="right"/>
              <w:rPr>
                <w:rFonts w:eastAsia="Times New Roman"/>
                <w:noProof/>
                <w:sz w:val="20"/>
                <w:szCs w:val="20"/>
              </w:rPr>
            </w:pPr>
            <w:r w:rsidRPr="00C34031">
              <w:rPr>
                <w:noProof/>
                <w:color w:val="000000" w:themeColor="text1"/>
                <w:sz w:val="20"/>
              </w:rPr>
              <w:t>33,067</w:t>
            </w:r>
          </w:p>
        </w:tc>
        <w:tc>
          <w:tcPr>
            <w:tcW w:w="5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01EBA52A" w14:textId="77777777" w:rsidR="00FA5543" w:rsidRPr="00C34031" w:rsidRDefault="7903490B" w:rsidP="139DF8FE">
            <w:pPr>
              <w:spacing w:before="0" w:after="0"/>
              <w:jc w:val="right"/>
              <w:rPr>
                <w:rFonts w:eastAsia="Times New Roman"/>
                <w:noProof/>
                <w:sz w:val="20"/>
                <w:szCs w:val="20"/>
              </w:rPr>
            </w:pPr>
            <w:r w:rsidRPr="00C34031">
              <w:rPr>
                <w:b/>
                <w:noProof/>
                <w:color w:val="000000" w:themeColor="text1"/>
                <w:sz w:val="20"/>
              </w:rPr>
              <w:t>103,844</w:t>
            </w:r>
          </w:p>
        </w:tc>
      </w:tr>
      <w:tr w:rsidR="00FA5543" w:rsidRPr="00C34031" w14:paraId="0E94DF8D" w14:textId="77777777" w:rsidTr="139DF8FE">
        <w:trPr>
          <w:trHeight w:val="924"/>
        </w:trPr>
        <w:tc>
          <w:tcPr>
            <w:tcW w:w="1939" w:type="pct"/>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583CD51C" w14:textId="77777777" w:rsidR="00FA5543" w:rsidRPr="00C34031" w:rsidRDefault="00FA5543" w:rsidP="00390489">
            <w:pPr>
              <w:spacing w:before="0" w:after="0"/>
              <w:rPr>
                <w:noProof/>
                <w:color w:val="000000"/>
                <w:sz w:val="21"/>
                <w:szCs w:val="21"/>
              </w:rPr>
            </w:pPr>
            <w:r w:rsidRPr="00C34031">
              <w:rPr>
                <w:noProof/>
                <w:color w:val="000000"/>
                <w:sz w:val="21"/>
              </w:rPr>
              <w:t xml:space="preserve">Prostředky správní povahy financované z rámce na zvláštní programy CELKEM </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30C86DFC" w14:textId="77777777" w:rsidR="00FA5543" w:rsidRPr="00C34031" w:rsidRDefault="00FA5543" w:rsidP="00390489">
            <w:pPr>
              <w:spacing w:before="0" w:after="0"/>
              <w:jc w:val="center"/>
              <w:rPr>
                <w:noProof/>
                <w:color w:val="000000"/>
                <w:sz w:val="14"/>
                <w:szCs w:val="14"/>
              </w:rPr>
            </w:pPr>
            <w:r w:rsidRPr="00C34031">
              <w:rPr>
                <w:noProof/>
                <w:color w:val="000000"/>
                <w:sz w:val="14"/>
              </w:rPr>
              <w:t>(6)</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4303C15" w14:textId="77777777" w:rsidR="00FA5543" w:rsidRPr="00C34031" w:rsidRDefault="00FA5543" w:rsidP="00390489">
            <w:pPr>
              <w:spacing w:before="0" w:after="0"/>
              <w:jc w:val="right"/>
              <w:rPr>
                <w:noProof/>
                <w:color w:val="000000"/>
                <w:sz w:val="20"/>
                <w:szCs w:val="20"/>
              </w:rPr>
            </w:pPr>
            <w:r w:rsidRPr="00C34031">
              <w:rPr>
                <w:noProof/>
                <w:color w:val="000000"/>
                <w:sz w:val="20"/>
              </w:rPr>
              <w:t>0,000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97DBBD0" w14:textId="77777777" w:rsidR="00FA5543" w:rsidRPr="00C34031" w:rsidRDefault="00FA5543" w:rsidP="00390489">
            <w:pPr>
              <w:spacing w:before="0" w:after="0"/>
              <w:jc w:val="right"/>
              <w:rPr>
                <w:noProof/>
                <w:color w:val="000000"/>
                <w:sz w:val="20"/>
                <w:szCs w:val="20"/>
              </w:rPr>
            </w:pPr>
            <w:r w:rsidRPr="00C34031">
              <w:rPr>
                <w:noProof/>
                <w:color w:val="000000"/>
                <w:sz w:val="20"/>
              </w:rPr>
              <w:t>0,000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079AC74C" w14:textId="77777777" w:rsidR="00FA5543" w:rsidRPr="00C34031" w:rsidRDefault="00FA5543" w:rsidP="00390489">
            <w:pPr>
              <w:spacing w:before="0" w:after="0"/>
              <w:jc w:val="right"/>
              <w:rPr>
                <w:noProof/>
                <w:color w:val="000000"/>
                <w:sz w:val="20"/>
                <w:szCs w:val="20"/>
              </w:rPr>
            </w:pPr>
            <w:r w:rsidRPr="00C34031">
              <w:rPr>
                <w:noProof/>
                <w:color w:val="000000"/>
                <w:sz w:val="20"/>
              </w:rPr>
              <w:t>0,000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57DC72F1" w14:textId="77777777" w:rsidR="00FA5543" w:rsidRPr="00C34031" w:rsidRDefault="00FA5543" w:rsidP="00390489">
            <w:pPr>
              <w:spacing w:before="0" w:after="0"/>
              <w:jc w:val="right"/>
              <w:rPr>
                <w:noProof/>
                <w:color w:val="000000"/>
                <w:sz w:val="20"/>
                <w:szCs w:val="20"/>
              </w:rPr>
            </w:pPr>
            <w:r w:rsidRPr="00C34031">
              <w:rPr>
                <w:noProof/>
                <w:color w:val="000000"/>
                <w:sz w:val="20"/>
              </w:rPr>
              <w:t>0,000</w:t>
            </w:r>
          </w:p>
        </w:tc>
        <w:tc>
          <w:tcPr>
            <w:tcW w:w="5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F327A91" w14:textId="77777777" w:rsidR="00FA5543" w:rsidRPr="00C34031" w:rsidRDefault="00FA5543" w:rsidP="00390489">
            <w:pPr>
              <w:spacing w:before="0" w:after="0"/>
              <w:jc w:val="right"/>
              <w:rPr>
                <w:b/>
                <w:bCs/>
                <w:noProof/>
                <w:color w:val="000000"/>
                <w:sz w:val="20"/>
                <w:szCs w:val="20"/>
              </w:rPr>
            </w:pPr>
            <w:r w:rsidRPr="00C34031">
              <w:rPr>
                <w:b/>
                <w:noProof/>
                <w:color w:val="000000"/>
                <w:sz w:val="20"/>
              </w:rPr>
              <w:t>0,000</w:t>
            </w:r>
          </w:p>
        </w:tc>
      </w:tr>
      <w:tr w:rsidR="00FA5543" w:rsidRPr="00C34031" w14:paraId="3AC427F8" w14:textId="77777777" w:rsidTr="139DF8FE">
        <w:trPr>
          <w:trHeight w:val="564"/>
        </w:trPr>
        <w:tc>
          <w:tcPr>
            <w:tcW w:w="1411" w:type="pct"/>
            <w:tcBorders>
              <w:top w:val="nil"/>
              <w:left w:val="single" w:sz="8" w:space="0" w:color="auto"/>
              <w:bottom w:val="nil"/>
              <w:right w:val="single" w:sz="8" w:space="0" w:color="auto"/>
            </w:tcBorders>
            <w:shd w:val="clear" w:color="auto" w:fill="F1F1F1"/>
            <w:vAlign w:val="center"/>
            <w:hideMark/>
          </w:tcPr>
          <w:p w14:paraId="0050D3A8" w14:textId="77777777" w:rsidR="00FA5543" w:rsidRPr="00C34031" w:rsidRDefault="6C3AF1E0" w:rsidP="139DF8FE">
            <w:pPr>
              <w:spacing w:before="0" w:after="0"/>
              <w:jc w:val="center"/>
              <w:rPr>
                <w:b/>
                <w:bCs/>
                <w:noProof/>
                <w:color w:val="000000"/>
                <w:sz w:val="22"/>
              </w:rPr>
            </w:pPr>
            <w:r w:rsidRPr="00C34031">
              <w:rPr>
                <w:b/>
                <w:noProof/>
                <w:color w:val="000000" w:themeColor="text1"/>
                <w:sz w:val="22"/>
              </w:rPr>
              <w:t>CELKEM prostředky z OKRUHU 3</w:t>
            </w:r>
          </w:p>
        </w:tc>
        <w:tc>
          <w:tcPr>
            <w:tcW w:w="529" w:type="pct"/>
            <w:gridSpan w:val="2"/>
            <w:tcBorders>
              <w:top w:val="nil"/>
              <w:left w:val="nil"/>
              <w:bottom w:val="single" w:sz="8" w:space="0" w:color="auto"/>
              <w:right w:val="single" w:sz="8" w:space="0" w:color="auto"/>
            </w:tcBorders>
            <w:shd w:val="clear" w:color="auto" w:fill="auto"/>
            <w:vAlign w:val="center"/>
            <w:hideMark/>
          </w:tcPr>
          <w:p w14:paraId="37D486AF" w14:textId="77777777" w:rsidR="00FA5543" w:rsidRPr="00C34031" w:rsidRDefault="00FA5543" w:rsidP="00390489">
            <w:pPr>
              <w:spacing w:before="0" w:after="0"/>
              <w:rPr>
                <w:noProof/>
                <w:color w:val="000000"/>
                <w:sz w:val="18"/>
                <w:szCs w:val="18"/>
              </w:rPr>
            </w:pPr>
            <w:r w:rsidRPr="00C34031">
              <w:rPr>
                <w:noProof/>
                <w:color w:val="000000"/>
                <w:sz w:val="18"/>
              </w:rPr>
              <w:t>Závazky</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6F3FB952" w14:textId="77777777" w:rsidR="00FA5543" w:rsidRPr="00C34031" w:rsidRDefault="00FA5543" w:rsidP="00390489">
            <w:pPr>
              <w:spacing w:before="0" w:after="0"/>
              <w:jc w:val="center"/>
              <w:rPr>
                <w:noProof/>
                <w:color w:val="000000"/>
                <w:sz w:val="14"/>
                <w:szCs w:val="14"/>
              </w:rPr>
            </w:pPr>
            <w:r w:rsidRPr="00C34031">
              <w:rPr>
                <w:noProof/>
                <w:color w:val="000000"/>
                <w:sz w:val="14"/>
              </w:rPr>
              <w:t>=4+6</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AB56D88" w14:textId="77777777" w:rsidR="00FA5543" w:rsidRPr="00C34031" w:rsidRDefault="4E0522C1" w:rsidP="139DF8FE">
            <w:pPr>
              <w:spacing w:before="0" w:after="0"/>
              <w:jc w:val="right"/>
              <w:rPr>
                <w:rFonts w:eastAsia="Times New Roman"/>
                <w:noProof/>
                <w:sz w:val="20"/>
                <w:szCs w:val="20"/>
              </w:rPr>
            </w:pPr>
            <w:r w:rsidRPr="00C34031">
              <w:rPr>
                <w:b/>
                <w:noProof/>
                <w:color w:val="000000" w:themeColor="text1"/>
                <w:sz w:val="20"/>
              </w:rPr>
              <w:t>28,090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D37E63B" w14:textId="77777777" w:rsidR="00FA5543" w:rsidRPr="00C34031" w:rsidRDefault="4E0522C1" w:rsidP="139DF8FE">
            <w:pPr>
              <w:spacing w:before="0" w:after="0"/>
              <w:jc w:val="right"/>
              <w:rPr>
                <w:rFonts w:eastAsia="Times New Roman"/>
                <w:noProof/>
                <w:sz w:val="20"/>
                <w:szCs w:val="20"/>
              </w:rPr>
            </w:pPr>
            <w:r w:rsidRPr="00C34031">
              <w:rPr>
                <w:b/>
                <w:noProof/>
                <w:color w:val="000000" w:themeColor="text1"/>
                <w:sz w:val="20"/>
              </w:rPr>
              <w:t>34,750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04882799" w14:textId="77777777" w:rsidR="00FA5543" w:rsidRPr="00C34031" w:rsidRDefault="4E0522C1" w:rsidP="139DF8FE">
            <w:pPr>
              <w:spacing w:before="0" w:after="0"/>
              <w:jc w:val="right"/>
              <w:rPr>
                <w:rFonts w:eastAsia="Times New Roman"/>
                <w:noProof/>
                <w:sz w:val="20"/>
                <w:szCs w:val="20"/>
              </w:rPr>
            </w:pPr>
            <w:r w:rsidRPr="00C34031">
              <w:rPr>
                <w:b/>
                <w:noProof/>
                <w:color w:val="000000" w:themeColor="text1"/>
                <w:sz w:val="20"/>
              </w:rPr>
              <w:t>33,700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663DAF7" w14:textId="77777777" w:rsidR="00FA5543" w:rsidRPr="00C34031" w:rsidRDefault="4E0522C1" w:rsidP="139DF8FE">
            <w:pPr>
              <w:spacing w:before="0" w:after="0"/>
              <w:jc w:val="right"/>
              <w:rPr>
                <w:rFonts w:eastAsia="Times New Roman"/>
                <w:noProof/>
                <w:sz w:val="20"/>
                <w:szCs w:val="20"/>
              </w:rPr>
            </w:pPr>
            <w:r w:rsidRPr="00C34031">
              <w:rPr>
                <w:b/>
                <w:noProof/>
                <w:color w:val="000000" w:themeColor="text1"/>
                <w:sz w:val="20"/>
              </w:rPr>
              <w:t>30,150</w:t>
            </w:r>
          </w:p>
        </w:tc>
        <w:tc>
          <w:tcPr>
            <w:tcW w:w="5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6FD43362" w14:textId="77777777" w:rsidR="00FA5543" w:rsidRPr="00C34031" w:rsidRDefault="4E0522C1" w:rsidP="139DF8FE">
            <w:pPr>
              <w:spacing w:before="0" w:after="0"/>
              <w:jc w:val="right"/>
              <w:rPr>
                <w:rFonts w:eastAsia="Times New Roman"/>
                <w:noProof/>
                <w:sz w:val="20"/>
                <w:szCs w:val="20"/>
              </w:rPr>
            </w:pPr>
            <w:r w:rsidRPr="00C34031">
              <w:rPr>
                <w:b/>
                <w:noProof/>
                <w:color w:val="000000" w:themeColor="text1"/>
                <w:sz w:val="20"/>
              </w:rPr>
              <w:t>126,690</w:t>
            </w:r>
          </w:p>
        </w:tc>
      </w:tr>
      <w:tr w:rsidR="00FA5543" w:rsidRPr="00C34031" w14:paraId="14078C29" w14:textId="77777777" w:rsidTr="139DF8FE">
        <w:trPr>
          <w:trHeight w:val="528"/>
        </w:trPr>
        <w:tc>
          <w:tcPr>
            <w:tcW w:w="1411" w:type="pct"/>
            <w:tcBorders>
              <w:top w:val="nil"/>
              <w:left w:val="single" w:sz="8" w:space="0" w:color="auto"/>
              <w:bottom w:val="single" w:sz="8" w:space="0" w:color="auto"/>
              <w:right w:val="single" w:sz="8" w:space="0" w:color="auto"/>
            </w:tcBorders>
            <w:shd w:val="clear" w:color="auto" w:fill="F1F1F1"/>
            <w:vAlign w:val="center"/>
            <w:hideMark/>
          </w:tcPr>
          <w:p w14:paraId="123E2831" w14:textId="77777777" w:rsidR="00FA5543" w:rsidRPr="00C34031" w:rsidRDefault="00FA5543" w:rsidP="00390489">
            <w:pPr>
              <w:spacing w:before="0" w:after="0"/>
              <w:jc w:val="center"/>
              <w:rPr>
                <w:noProof/>
                <w:color w:val="000000"/>
                <w:sz w:val="22"/>
              </w:rPr>
            </w:pPr>
            <w:r w:rsidRPr="00C34031">
              <w:rPr>
                <w:noProof/>
                <w:color w:val="000000"/>
                <w:sz w:val="22"/>
              </w:rPr>
              <w:t>víceletého finančního rámce</w:t>
            </w:r>
          </w:p>
        </w:tc>
        <w:tc>
          <w:tcPr>
            <w:tcW w:w="529" w:type="pct"/>
            <w:gridSpan w:val="2"/>
            <w:tcBorders>
              <w:top w:val="nil"/>
              <w:left w:val="nil"/>
              <w:bottom w:val="single" w:sz="8" w:space="0" w:color="auto"/>
              <w:right w:val="single" w:sz="8" w:space="0" w:color="auto"/>
            </w:tcBorders>
            <w:shd w:val="clear" w:color="auto" w:fill="auto"/>
            <w:vAlign w:val="center"/>
            <w:hideMark/>
          </w:tcPr>
          <w:p w14:paraId="7598A422" w14:textId="77777777" w:rsidR="00FA5543" w:rsidRPr="00C34031" w:rsidRDefault="00FA5543" w:rsidP="00390489">
            <w:pPr>
              <w:spacing w:before="0" w:after="0"/>
              <w:rPr>
                <w:noProof/>
                <w:color w:val="000000"/>
                <w:sz w:val="18"/>
                <w:szCs w:val="18"/>
              </w:rPr>
            </w:pPr>
            <w:r w:rsidRPr="00C34031">
              <w:rPr>
                <w:noProof/>
                <w:color w:val="000000"/>
                <w:sz w:val="18"/>
              </w:rPr>
              <w:t>Platby</w:t>
            </w:r>
          </w:p>
        </w:tc>
        <w:tc>
          <w:tcPr>
            <w:tcW w:w="492" w:type="pct"/>
            <w:gridSpan w:val="4"/>
            <w:tcBorders>
              <w:top w:val="single" w:sz="8" w:space="0" w:color="auto"/>
              <w:left w:val="nil"/>
              <w:bottom w:val="single" w:sz="8" w:space="0" w:color="auto"/>
              <w:right w:val="single" w:sz="8" w:space="0" w:color="auto"/>
            </w:tcBorders>
            <w:shd w:val="clear" w:color="auto" w:fill="auto"/>
            <w:vAlign w:val="center"/>
            <w:hideMark/>
          </w:tcPr>
          <w:p w14:paraId="7BDD9F5D" w14:textId="77777777" w:rsidR="00FA5543" w:rsidRPr="00C34031" w:rsidRDefault="00FA5543" w:rsidP="00390489">
            <w:pPr>
              <w:spacing w:before="0" w:after="0"/>
              <w:jc w:val="center"/>
              <w:rPr>
                <w:noProof/>
                <w:color w:val="000000"/>
                <w:sz w:val="14"/>
                <w:szCs w:val="14"/>
              </w:rPr>
            </w:pPr>
            <w:r w:rsidRPr="00C34031">
              <w:rPr>
                <w:noProof/>
                <w:color w:val="000000"/>
                <w:sz w:val="14"/>
              </w:rPr>
              <w:t>=5+6</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0037AC19" w14:textId="77777777" w:rsidR="00FA5543" w:rsidRPr="00C34031" w:rsidRDefault="4D1DC1C9" w:rsidP="139DF8FE">
            <w:pPr>
              <w:spacing w:before="0" w:after="0"/>
              <w:jc w:val="right"/>
              <w:rPr>
                <w:rFonts w:eastAsia="Times New Roman"/>
                <w:noProof/>
                <w:sz w:val="20"/>
                <w:szCs w:val="20"/>
              </w:rPr>
            </w:pPr>
            <w:r w:rsidRPr="00C34031">
              <w:rPr>
                <w:b/>
                <w:noProof/>
                <w:color w:val="000000" w:themeColor="text1"/>
                <w:sz w:val="20"/>
              </w:rPr>
              <w:t>17,530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2D1F18D" w14:textId="77777777" w:rsidR="00FA5543" w:rsidRPr="00C34031" w:rsidRDefault="4D1DC1C9" w:rsidP="139DF8FE">
            <w:pPr>
              <w:spacing w:before="0" w:after="0"/>
              <w:jc w:val="right"/>
              <w:rPr>
                <w:rFonts w:eastAsia="Times New Roman"/>
                <w:noProof/>
                <w:sz w:val="20"/>
                <w:szCs w:val="20"/>
              </w:rPr>
            </w:pPr>
            <w:r w:rsidRPr="00C34031">
              <w:rPr>
                <w:b/>
                <w:noProof/>
                <w:color w:val="000000" w:themeColor="text1"/>
                <w:sz w:val="20"/>
              </w:rPr>
              <w:t>21,157</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B2CB072" w14:textId="77777777" w:rsidR="00FA5543" w:rsidRPr="00C34031" w:rsidRDefault="4D1DC1C9" w:rsidP="139DF8FE">
            <w:pPr>
              <w:spacing w:before="0" w:after="0"/>
              <w:jc w:val="right"/>
              <w:rPr>
                <w:rFonts w:eastAsia="Times New Roman"/>
                <w:noProof/>
                <w:sz w:val="20"/>
                <w:szCs w:val="20"/>
              </w:rPr>
            </w:pPr>
            <w:r w:rsidRPr="00C34031">
              <w:rPr>
                <w:b/>
                <w:noProof/>
                <w:color w:val="000000" w:themeColor="text1"/>
                <w:sz w:val="20"/>
              </w:rPr>
              <w:t>32,090</w:t>
            </w:r>
          </w:p>
        </w:tc>
        <w:tc>
          <w:tcPr>
            <w:tcW w:w="493"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C7A0829" w14:textId="77777777" w:rsidR="00FA5543" w:rsidRPr="00C34031" w:rsidRDefault="4D1DC1C9" w:rsidP="139DF8FE">
            <w:pPr>
              <w:spacing w:before="0" w:after="0"/>
              <w:jc w:val="right"/>
              <w:rPr>
                <w:rFonts w:eastAsia="Times New Roman"/>
                <w:noProof/>
                <w:sz w:val="20"/>
                <w:szCs w:val="20"/>
              </w:rPr>
            </w:pPr>
            <w:r w:rsidRPr="00C34031">
              <w:rPr>
                <w:b/>
                <w:noProof/>
                <w:color w:val="000000" w:themeColor="text1"/>
                <w:sz w:val="20"/>
              </w:rPr>
              <w:t>33,067</w:t>
            </w:r>
          </w:p>
        </w:tc>
        <w:tc>
          <w:tcPr>
            <w:tcW w:w="596"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0980BBF" w14:textId="77777777" w:rsidR="00FA5543" w:rsidRPr="00C34031" w:rsidRDefault="4D1DC1C9" w:rsidP="139DF8FE">
            <w:pPr>
              <w:spacing w:before="0" w:after="0"/>
              <w:jc w:val="right"/>
              <w:rPr>
                <w:rFonts w:eastAsia="Times New Roman"/>
                <w:noProof/>
                <w:sz w:val="20"/>
                <w:szCs w:val="20"/>
              </w:rPr>
            </w:pPr>
            <w:r w:rsidRPr="00C34031">
              <w:rPr>
                <w:b/>
                <w:noProof/>
                <w:color w:val="000000" w:themeColor="text1"/>
                <w:sz w:val="20"/>
              </w:rPr>
              <w:t>103,844</w:t>
            </w:r>
          </w:p>
        </w:tc>
      </w:tr>
      <w:tr w:rsidR="00FA5543" w:rsidRPr="00C34031" w14:paraId="680948AC" w14:textId="77777777" w:rsidTr="139DF8FE">
        <w:trPr>
          <w:trHeight w:val="288"/>
        </w:trPr>
        <w:tc>
          <w:tcPr>
            <w:tcW w:w="1522" w:type="pct"/>
            <w:gridSpan w:val="2"/>
            <w:tcBorders>
              <w:top w:val="nil"/>
              <w:left w:val="nil"/>
              <w:bottom w:val="nil"/>
              <w:right w:val="nil"/>
            </w:tcBorders>
            <w:shd w:val="clear" w:color="auto" w:fill="auto"/>
            <w:noWrap/>
            <w:vAlign w:val="bottom"/>
            <w:hideMark/>
          </w:tcPr>
          <w:p w14:paraId="0098B86C" w14:textId="77777777" w:rsidR="00FA5543" w:rsidRPr="00C34031" w:rsidRDefault="00FA5543" w:rsidP="00390489">
            <w:pPr>
              <w:spacing w:before="0" w:after="0"/>
              <w:jc w:val="left"/>
              <w:rPr>
                <w:noProof/>
                <w:sz w:val="20"/>
                <w:szCs w:val="24"/>
                <w:lang w:eastAsia="en-IE"/>
              </w:rPr>
            </w:pPr>
          </w:p>
        </w:tc>
        <w:tc>
          <w:tcPr>
            <w:tcW w:w="471" w:type="pct"/>
            <w:gridSpan w:val="3"/>
            <w:tcBorders>
              <w:top w:val="nil"/>
              <w:left w:val="nil"/>
              <w:bottom w:val="nil"/>
              <w:right w:val="nil"/>
            </w:tcBorders>
            <w:shd w:val="clear" w:color="auto" w:fill="auto"/>
            <w:noWrap/>
            <w:vAlign w:val="bottom"/>
            <w:hideMark/>
          </w:tcPr>
          <w:p w14:paraId="7DE7AB32" w14:textId="77777777" w:rsidR="00FA5543" w:rsidRPr="00C34031" w:rsidRDefault="00FA5543" w:rsidP="00390489">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14:paraId="3B9FA490" w14:textId="77777777" w:rsidR="00FA5543" w:rsidRPr="00C34031" w:rsidRDefault="00FA5543" w:rsidP="00390489">
            <w:pPr>
              <w:spacing w:before="0" w:after="0"/>
              <w:jc w:val="left"/>
              <w:rPr>
                <w:noProof/>
                <w:sz w:val="20"/>
                <w:szCs w:val="20"/>
                <w:lang w:eastAsia="en-IE"/>
              </w:rPr>
            </w:pPr>
          </w:p>
        </w:tc>
        <w:tc>
          <w:tcPr>
            <w:tcW w:w="366" w:type="pct"/>
            <w:gridSpan w:val="3"/>
            <w:tcBorders>
              <w:top w:val="nil"/>
              <w:left w:val="nil"/>
              <w:bottom w:val="nil"/>
              <w:right w:val="single" w:sz="4" w:space="0" w:color="auto"/>
            </w:tcBorders>
            <w:shd w:val="clear" w:color="auto" w:fill="auto"/>
            <w:noWrap/>
            <w:vAlign w:val="bottom"/>
            <w:hideMark/>
          </w:tcPr>
          <w:p w14:paraId="7678F004" w14:textId="77777777" w:rsidR="00FA5543" w:rsidRPr="00C34031" w:rsidRDefault="00FA5543" w:rsidP="00390489">
            <w:pPr>
              <w:spacing w:before="0" w:after="0"/>
              <w:jc w:val="left"/>
              <w:rPr>
                <w:noProof/>
                <w:sz w:val="20"/>
                <w:szCs w:val="20"/>
                <w:lang w:eastAsia="en-IE"/>
              </w:rPr>
            </w:pPr>
          </w:p>
        </w:tc>
        <w:tc>
          <w:tcPr>
            <w:tcW w:w="437" w:type="pct"/>
            <w:gridSpan w:val="3"/>
            <w:tcBorders>
              <w:top w:val="single" w:sz="8" w:space="0" w:color="auto"/>
              <w:left w:val="single" w:sz="4" w:space="0" w:color="auto"/>
              <w:bottom w:val="nil"/>
              <w:right w:val="single" w:sz="8" w:space="0" w:color="auto"/>
            </w:tcBorders>
            <w:shd w:val="clear" w:color="auto" w:fill="auto"/>
            <w:vAlign w:val="center"/>
            <w:hideMark/>
          </w:tcPr>
          <w:p w14:paraId="189CC324"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37" w:type="pct"/>
            <w:gridSpan w:val="3"/>
            <w:tcBorders>
              <w:top w:val="single" w:sz="8" w:space="0" w:color="auto"/>
              <w:left w:val="nil"/>
              <w:bottom w:val="nil"/>
              <w:right w:val="single" w:sz="8" w:space="0" w:color="auto"/>
            </w:tcBorders>
            <w:shd w:val="clear" w:color="auto" w:fill="auto"/>
            <w:vAlign w:val="center"/>
            <w:hideMark/>
          </w:tcPr>
          <w:p w14:paraId="50F6EEF4"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37" w:type="pct"/>
            <w:gridSpan w:val="3"/>
            <w:tcBorders>
              <w:top w:val="single" w:sz="8" w:space="0" w:color="auto"/>
              <w:left w:val="nil"/>
              <w:bottom w:val="nil"/>
              <w:right w:val="single" w:sz="8" w:space="0" w:color="auto"/>
            </w:tcBorders>
            <w:shd w:val="clear" w:color="auto" w:fill="auto"/>
            <w:vAlign w:val="center"/>
            <w:hideMark/>
          </w:tcPr>
          <w:p w14:paraId="2C39ED4B"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437" w:type="pct"/>
            <w:gridSpan w:val="3"/>
            <w:tcBorders>
              <w:top w:val="single" w:sz="8" w:space="0" w:color="auto"/>
              <w:left w:val="nil"/>
              <w:bottom w:val="nil"/>
              <w:right w:val="single" w:sz="8" w:space="0" w:color="auto"/>
            </w:tcBorders>
            <w:shd w:val="clear" w:color="auto" w:fill="auto"/>
            <w:vAlign w:val="center"/>
            <w:hideMark/>
          </w:tcPr>
          <w:p w14:paraId="45512A3E"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528" w:type="pct"/>
            <w:vMerge w:val="restart"/>
            <w:tcBorders>
              <w:top w:val="single" w:sz="8" w:space="0" w:color="auto"/>
              <w:left w:val="single" w:sz="8" w:space="0" w:color="auto"/>
              <w:bottom w:val="single" w:sz="8" w:space="0" w:color="000000" w:themeColor="text1"/>
              <w:right w:val="single" w:sz="8" w:space="0" w:color="auto"/>
            </w:tcBorders>
            <w:shd w:val="clear" w:color="auto" w:fill="auto"/>
            <w:vAlign w:val="center"/>
            <w:hideMark/>
          </w:tcPr>
          <w:p w14:paraId="55CE57C0"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CELKEM VFR na období 2021–2027</w:t>
            </w:r>
          </w:p>
        </w:tc>
      </w:tr>
      <w:tr w:rsidR="00FA5543" w:rsidRPr="00C34031" w14:paraId="39358772" w14:textId="77777777" w:rsidTr="139DF8FE">
        <w:trPr>
          <w:trHeight w:val="300"/>
        </w:trPr>
        <w:tc>
          <w:tcPr>
            <w:tcW w:w="1522" w:type="pct"/>
            <w:gridSpan w:val="2"/>
            <w:tcBorders>
              <w:top w:val="nil"/>
              <w:left w:val="nil"/>
              <w:bottom w:val="nil"/>
              <w:right w:val="nil"/>
            </w:tcBorders>
            <w:shd w:val="clear" w:color="auto" w:fill="auto"/>
            <w:noWrap/>
            <w:vAlign w:val="bottom"/>
            <w:hideMark/>
          </w:tcPr>
          <w:p w14:paraId="4735EC37" w14:textId="77777777" w:rsidR="00FA5543" w:rsidRPr="00C34031" w:rsidRDefault="00FA5543" w:rsidP="00390489">
            <w:pPr>
              <w:spacing w:before="0" w:after="0"/>
              <w:jc w:val="center"/>
              <w:rPr>
                <w:b/>
                <w:bCs/>
                <w:noProof/>
                <w:color w:val="000000"/>
                <w:sz w:val="20"/>
                <w:szCs w:val="20"/>
                <w:lang w:eastAsia="en-IE"/>
              </w:rPr>
            </w:pPr>
          </w:p>
        </w:tc>
        <w:tc>
          <w:tcPr>
            <w:tcW w:w="471" w:type="pct"/>
            <w:gridSpan w:val="3"/>
            <w:tcBorders>
              <w:top w:val="nil"/>
              <w:left w:val="nil"/>
              <w:bottom w:val="nil"/>
              <w:right w:val="nil"/>
            </w:tcBorders>
            <w:shd w:val="clear" w:color="auto" w:fill="auto"/>
            <w:noWrap/>
            <w:vAlign w:val="bottom"/>
            <w:hideMark/>
          </w:tcPr>
          <w:p w14:paraId="7AB3CBE0" w14:textId="77777777" w:rsidR="00FA5543" w:rsidRPr="00C34031" w:rsidRDefault="00FA5543" w:rsidP="00390489">
            <w:pPr>
              <w:spacing w:before="0" w:after="0"/>
              <w:jc w:val="left"/>
              <w:rPr>
                <w:noProof/>
                <w:sz w:val="20"/>
                <w:szCs w:val="20"/>
                <w:lang w:eastAsia="en-IE"/>
              </w:rPr>
            </w:pPr>
          </w:p>
        </w:tc>
        <w:tc>
          <w:tcPr>
            <w:tcW w:w="365" w:type="pct"/>
            <w:tcBorders>
              <w:top w:val="nil"/>
              <w:left w:val="nil"/>
              <w:bottom w:val="nil"/>
              <w:right w:val="nil"/>
            </w:tcBorders>
            <w:shd w:val="clear" w:color="auto" w:fill="auto"/>
            <w:noWrap/>
            <w:vAlign w:val="bottom"/>
            <w:hideMark/>
          </w:tcPr>
          <w:p w14:paraId="5EA13EAB" w14:textId="77777777" w:rsidR="00FA5543" w:rsidRPr="00C34031" w:rsidRDefault="00FA5543" w:rsidP="00390489">
            <w:pPr>
              <w:spacing w:before="0" w:after="0"/>
              <w:jc w:val="left"/>
              <w:rPr>
                <w:noProof/>
                <w:sz w:val="20"/>
                <w:szCs w:val="20"/>
                <w:lang w:eastAsia="en-IE"/>
              </w:rPr>
            </w:pPr>
          </w:p>
        </w:tc>
        <w:tc>
          <w:tcPr>
            <w:tcW w:w="366" w:type="pct"/>
            <w:gridSpan w:val="3"/>
            <w:tcBorders>
              <w:top w:val="nil"/>
              <w:left w:val="nil"/>
              <w:bottom w:val="nil"/>
              <w:right w:val="single" w:sz="4" w:space="0" w:color="auto"/>
            </w:tcBorders>
            <w:shd w:val="clear" w:color="auto" w:fill="auto"/>
            <w:noWrap/>
            <w:vAlign w:val="bottom"/>
            <w:hideMark/>
          </w:tcPr>
          <w:p w14:paraId="6AEE0E58" w14:textId="77777777" w:rsidR="00FA5543" w:rsidRPr="00C34031" w:rsidRDefault="00FA5543" w:rsidP="00390489">
            <w:pPr>
              <w:spacing w:before="0" w:after="0"/>
              <w:jc w:val="left"/>
              <w:rPr>
                <w:noProof/>
                <w:sz w:val="20"/>
                <w:szCs w:val="20"/>
                <w:lang w:eastAsia="en-IE"/>
              </w:rPr>
            </w:pPr>
          </w:p>
        </w:tc>
        <w:tc>
          <w:tcPr>
            <w:tcW w:w="437" w:type="pct"/>
            <w:gridSpan w:val="3"/>
            <w:tcBorders>
              <w:top w:val="nil"/>
              <w:left w:val="single" w:sz="4" w:space="0" w:color="auto"/>
              <w:bottom w:val="single" w:sz="8" w:space="0" w:color="auto"/>
              <w:right w:val="single" w:sz="8" w:space="0" w:color="auto"/>
            </w:tcBorders>
            <w:shd w:val="clear" w:color="auto" w:fill="auto"/>
            <w:vAlign w:val="center"/>
            <w:hideMark/>
          </w:tcPr>
          <w:p w14:paraId="49A93935"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2024</w:t>
            </w:r>
          </w:p>
        </w:tc>
        <w:tc>
          <w:tcPr>
            <w:tcW w:w="437" w:type="pct"/>
            <w:gridSpan w:val="3"/>
            <w:tcBorders>
              <w:top w:val="nil"/>
              <w:left w:val="nil"/>
              <w:bottom w:val="single" w:sz="8" w:space="0" w:color="auto"/>
              <w:right w:val="single" w:sz="8" w:space="0" w:color="auto"/>
            </w:tcBorders>
            <w:shd w:val="clear" w:color="auto" w:fill="auto"/>
            <w:vAlign w:val="center"/>
            <w:hideMark/>
          </w:tcPr>
          <w:p w14:paraId="7C048E2D"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2025</w:t>
            </w:r>
          </w:p>
        </w:tc>
        <w:tc>
          <w:tcPr>
            <w:tcW w:w="437" w:type="pct"/>
            <w:gridSpan w:val="3"/>
            <w:tcBorders>
              <w:top w:val="nil"/>
              <w:left w:val="nil"/>
              <w:bottom w:val="single" w:sz="8" w:space="0" w:color="auto"/>
              <w:right w:val="single" w:sz="8" w:space="0" w:color="auto"/>
            </w:tcBorders>
            <w:shd w:val="clear" w:color="auto" w:fill="auto"/>
            <w:vAlign w:val="center"/>
            <w:hideMark/>
          </w:tcPr>
          <w:p w14:paraId="55CF5214"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2026</w:t>
            </w:r>
          </w:p>
        </w:tc>
        <w:tc>
          <w:tcPr>
            <w:tcW w:w="437" w:type="pct"/>
            <w:gridSpan w:val="3"/>
            <w:tcBorders>
              <w:top w:val="nil"/>
              <w:left w:val="nil"/>
              <w:bottom w:val="single" w:sz="8" w:space="0" w:color="auto"/>
              <w:right w:val="single" w:sz="8" w:space="0" w:color="auto"/>
            </w:tcBorders>
            <w:shd w:val="clear" w:color="auto" w:fill="auto"/>
            <w:vAlign w:val="center"/>
            <w:hideMark/>
          </w:tcPr>
          <w:p w14:paraId="0D8C9B51"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2027</w:t>
            </w:r>
          </w:p>
        </w:tc>
        <w:tc>
          <w:tcPr>
            <w:tcW w:w="528" w:type="pct"/>
            <w:vMerge/>
            <w:vAlign w:val="center"/>
            <w:hideMark/>
          </w:tcPr>
          <w:p w14:paraId="662F21EE" w14:textId="77777777" w:rsidR="00FA5543" w:rsidRPr="00C34031" w:rsidRDefault="00FA5543" w:rsidP="00390489">
            <w:pPr>
              <w:spacing w:before="0" w:after="0"/>
              <w:jc w:val="left"/>
              <w:rPr>
                <w:b/>
                <w:bCs/>
                <w:noProof/>
                <w:color w:val="000000"/>
                <w:sz w:val="20"/>
                <w:szCs w:val="20"/>
                <w:lang w:eastAsia="en-IE"/>
              </w:rPr>
            </w:pPr>
          </w:p>
        </w:tc>
      </w:tr>
      <w:tr w:rsidR="00FA5543" w:rsidRPr="00C34031" w14:paraId="121B85A2" w14:textId="77777777" w:rsidTr="139DF8FE">
        <w:trPr>
          <w:trHeight w:val="300"/>
        </w:trPr>
        <w:tc>
          <w:tcPr>
            <w:tcW w:w="1522" w:type="pct"/>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5599EE0A" w14:textId="77777777" w:rsidR="00FA5543" w:rsidRPr="00C34031" w:rsidRDefault="00FA5543" w:rsidP="00390489">
            <w:pPr>
              <w:spacing w:before="0" w:after="0"/>
              <w:rPr>
                <w:noProof/>
                <w:color w:val="000000"/>
                <w:sz w:val="21"/>
                <w:szCs w:val="21"/>
              </w:rPr>
            </w:pPr>
            <w:r w:rsidRPr="00C34031">
              <w:rPr>
                <w:rFonts w:ascii="Calibri" w:hAnsi="Calibri"/>
                <w:noProof/>
                <w:color w:val="000000"/>
                <w:sz w:val="21"/>
              </w:rPr>
              <w:t xml:space="preserve">• </w:t>
            </w:r>
            <w:r w:rsidRPr="00C34031">
              <w:rPr>
                <w:noProof/>
                <w:color w:val="000000"/>
                <w:sz w:val="21"/>
              </w:rPr>
              <w:t>Operační prostředky CELKEM (všechny operační okruhy)</w:t>
            </w:r>
          </w:p>
        </w:tc>
        <w:tc>
          <w:tcPr>
            <w:tcW w:w="471" w:type="pct"/>
            <w:gridSpan w:val="3"/>
            <w:tcBorders>
              <w:top w:val="single" w:sz="8" w:space="0" w:color="auto"/>
              <w:left w:val="nil"/>
              <w:bottom w:val="single" w:sz="8" w:space="0" w:color="auto"/>
              <w:right w:val="single" w:sz="8" w:space="0" w:color="auto"/>
            </w:tcBorders>
            <w:shd w:val="clear" w:color="auto" w:fill="auto"/>
            <w:vAlign w:val="center"/>
            <w:hideMark/>
          </w:tcPr>
          <w:p w14:paraId="0D4DD65E" w14:textId="77777777" w:rsidR="00FA5543" w:rsidRPr="00C34031" w:rsidRDefault="00FA5543" w:rsidP="00390489">
            <w:pPr>
              <w:spacing w:before="0" w:after="0"/>
              <w:rPr>
                <w:noProof/>
                <w:color w:val="000000"/>
                <w:sz w:val="18"/>
                <w:szCs w:val="18"/>
              </w:rPr>
            </w:pPr>
            <w:r w:rsidRPr="00C34031">
              <w:rPr>
                <w:noProof/>
                <w:color w:val="000000"/>
                <w:sz w:val="18"/>
              </w:rPr>
              <w:t>Závazky</w:t>
            </w:r>
          </w:p>
        </w:tc>
        <w:tc>
          <w:tcPr>
            <w:tcW w:w="731" w:type="pct"/>
            <w:gridSpan w:val="4"/>
            <w:tcBorders>
              <w:top w:val="single" w:sz="8" w:space="0" w:color="auto"/>
              <w:left w:val="nil"/>
              <w:bottom w:val="single" w:sz="8" w:space="0" w:color="auto"/>
              <w:right w:val="single" w:sz="8" w:space="0" w:color="000000" w:themeColor="text1"/>
            </w:tcBorders>
            <w:shd w:val="clear" w:color="auto" w:fill="auto"/>
            <w:vAlign w:val="center"/>
            <w:hideMark/>
          </w:tcPr>
          <w:p w14:paraId="7E259ABA" w14:textId="77777777" w:rsidR="00FA5543" w:rsidRPr="00C34031" w:rsidRDefault="00FA5543" w:rsidP="00390489">
            <w:pPr>
              <w:spacing w:before="0" w:after="0"/>
              <w:jc w:val="center"/>
              <w:rPr>
                <w:noProof/>
                <w:color w:val="000000"/>
                <w:sz w:val="14"/>
                <w:szCs w:val="14"/>
              </w:rPr>
            </w:pPr>
            <w:r w:rsidRPr="00C34031">
              <w:rPr>
                <w:noProof/>
                <w:color w:val="000000"/>
                <w:sz w:val="14"/>
              </w:rPr>
              <w:t>(4)</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03ADD5D3" w14:textId="77777777" w:rsidR="00FA5543" w:rsidRPr="00C34031" w:rsidRDefault="7F259003" w:rsidP="139DF8FE">
            <w:pPr>
              <w:spacing w:before="0" w:after="0"/>
              <w:jc w:val="right"/>
              <w:rPr>
                <w:rFonts w:eastAsia="Times New Roman"/>
                <w:noProof/>
                <w:sz w:val="20"/>
                <w:szCs w:val="20"/>
              </w:rPr>
            </w:pPr>
            <w:r w:rsidRPr="00C34031">
              <w:rPr>
                <w:noProof/>
                <w:color w:val="000000" w:themeColor="text1"/>
                <w:sz w:val="20"/>
              </w:rPr>
              <w:t>28,090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EF0A3B1" w14:textId="77777777" w:rsidR="00FA5543" w:rsidRPr="00C34031" w:rsidRDefault="7F259003" w:rsidP="139DF8FE">
            <w:pPr>
              <w:spacing w:before="0" w:after="0"/>
              <w:jc w:val="right"/>
              <w:rPr>
                <w:rFonts w:eastAsia="Times New Roman"/>
                <w:noProof/>
                <w:sz w:val="20"/>
                <w:szCs w:val="20"/>
              </w:rPr>
            </w:pPr>
            <w:r w:rsidRPr="00C34031">
              <w:rPr>
                <w:noProof/>
                <w:color w:val="000000" w:themeColor="text1"/>
                <w:sz w:val="20"/>
              </w:rPr>
              <w:t>34,750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0C4A54D" w14:textId="77777777" w:rsidR="00FA5543" w:rsidRPr="00C34031" w:rsidRDefault="7F259003" w:rsidP="139DF8FE">
            <w:pPr>
              <w:spacing w:before="0" w:after="0"/>
              <w:jc w:val="right"/>
              <w:rPr>
                <w:rFonts w:eastAsia="Times New Roman"/>
                <w:noProof/>
                <w:sz w:val="20"/>
                <w:szCs w:val="20"/>
              </w:rPr>
            </w:pPr>
            <w:r w:rsidRPr="00C34031">
              <w:rPr>
                <w:noProof/>
                <w:color w:val="000000" w:themeColor="text1"/>
                <w:sz w:val="20"/>
              </w:rPr>
              <w:t>33,700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03065950" w14:textId="77777777" w:rsidR="00FA5543" w:rsidRPr="00C34031" w:rsidRDefault="7F259003" w:rsidP="139DF8FE">
            <w:pPr>
              <w:spacing w:before="0" w:after="0"/>
              <w:jc w:val="right"/>
              <w:rPr>
                <w:rFonts w:eastAsia="Times New Roman"/>
                <w:noProof/>
                <w:sz w:val="20"/>
                <w:szCs w:val="20"/>
              </w:rPr>
            </w:pPr>
            <w:r w:rsidRPr="00C34031">
              <w:rPr>
                <w:noProof/>
                <w:color w:val="000000" w:themeColor="text1"/>
                <w:sz w:val="20"/>
              </w:rPr>
              <w:t>30,150</w:t>
            </w:r>
          </w:p>
        </w:tc>
        <w:tc>
          <w:tcPr>
            <w:tcW w:w="528" w:type="pct"/>
            <w:tcBorders>
              <w:top w:val="nil"/>
              <w:left w:val="nil"/>
              <w:bottom w:val="single" w:sz="8" w:space="0" w:color="auto"/>
              <w:right w:val="single" w:sz="8" w:space="0" w:color="auto"/>
            </w:tcBorders>
            <w:shd w:val="clear" w:color="auto" w:fill="D9D9D9" w:themeFill="background1" w:themeFillShade="D9"/>
            <w:vAlign w:val="center"/>
            <w:hideMark/>
          </w:tcPr>
          <w:p w14:paraId="259CF97A" w14:textId="77777777" w:rsidR="00FA5543" w:rsidRPr="00C34031" w:rsidRDefault="7F259003" w:rsidP="139DF8FE">
            <w:pPr>
              <w:spacing w:before="0" w:after="0"/>
              <w:jc w:val="right"/>
              <w:rPr>
                <w:rFonts w:eastAsia="Times New Roman"/>
                <w:noProof/>
                <w:sz w:val="20"/>
                <w:szCs w:val="20"/>
              </w:rPr>
            </w:pPr>
            <w:r w:rsidRPr="00C34031">
              <w:rPr>
                <w:b/>
                <w:noProof/>
                <w:color w:val="000000" w:themeColor="text1"/>
                <w:sz w:val="20"/>
              </w:rPr>
              <w:t>126,690</w:t>
            </w:r>
          </w:p>
        </w:tc>
      </w:tr>
      <w:tr w:rsidR="00FA5543" w:rsidRPr="00C34031" w14:paraId="56592862" w14:textId="77777777" w:rsidTr="139DF8FE">
        <w:trPr>
          <w:trHeight w:val="300"/>
        </w:trPr>
        <w:tc>
          <w:tcPr>
            <w:tcW w:w="1522" w:type="pct"/>
            <w:gridSpan w:val="2"/>
            <w:vMerge/>
            <w:vAlign w:val="center"/>
            <w:hideMark/>
          </w:tcPr>
          <w:p w14:paraId="44E246D5" w14:textId="77777777" w:rsidR="00FA5543" w:rsidRPr="00C34031" w:rsidRDefault="00FA5543" w:rsidP="00390489">
            <w:pPr>
              <w:spacing w:before="0" w:after="0"/>
              <w:jc w:val="left"/>
              <w:rPr>
                <w:noProof/>
                <w:color w:val="000000"/>
                <w:sz w:val="21"/>
                <w:szCs w:val="21"/>
                <w:lang w:eastAsia="en-IE"/>
              </w:rPr>
            </w:pPr>
          </w:p>
        </w:tc>
        <w:tc>
          <w:tcPr>
            <w:tcW w:w="471" w:type="pct"/>
            <w:gridSpan w:val="3"/>
            <w:tcBorders>
              <w:top w:val="nil"/>
              <w:left w:val="nil"/>
              <w:bottom w:val="single" w:sz="8" w:space="0" w:color="auto"/>
              <w:right w:val="single" w:sz="8" w:space="0" w:color="auto"/>
            </w:tcBorders>
            <w:shd w:val="clear" w:color="auto" w:fill="auto"/>
            <w:vAlign w:val="center"/>
            <w:hideMark/>
          </w:tcPr>
          <w:p w14:paraId="37C42EF3" w14:textId="77777777" w:rsidR="00FA5543" w:rsidRPr="00C34031" w:rsidRDefault="00FA5543" w:rsidP="00390489">
            <w:pPr>
              <w:spacing w:before="0" w:after="0"/>
              <w:rPr>
                <w:noProof/>
                <w:color w:val="000000"/>
                <w:sz w:val="18"/>
                <w:szCs w:val="18"/>
              </w:rPr>
            </w:pPr>
            <w:r w:rsidRPr="00C34031">
              <w:rPr>
                <w:noProof/>
                <w:color w:val="000000"/>
                <w:sz w:val="18"/>
              </w:rPr>
              <w:t>Platby</w:t>
            </w:r>
          </w:p>
        </w:tc>
        <w:tc>
          <w:tcPr>
            <w:tcW w:w="731" w:type="pct"/>
            <w:gridSpan w:val="4"/>
            <w:tcBorders>
              <w:top w:val="single" w:sz="8" w:space="0" w:color="auto"/>
              <w:left w:val="nil"/>
              <w:bottom w:val="single" w:sz="8" w:space="0" w:color="auto"/>
              <w:right w:val="single" w:sz="8" w:space="0" w:color="000000" w:themeColor="text1"/>
            </w:tcBorders>
            <w:shd w:val="clear" w:color="auto" w:fill="auto"/>
            <w:vAlign w:val="center"/>
            <w:hideMark/>
          </w:tcPr>
          <w:p w14:paraId="7C49E462" w14:textId="77777777" w:rsidR="00FA5543" w:rsidRPr="00C34031" w:rsidRDefault="00FA5543" w:rsidP="00390489">
            <w:pPr>
              <w:spacing w:before="0" w:after="0"/>
              <w:jc w:val="center"/>
              <w:rPr>
                <w:noProof/>
                <w:color w:val="000000"/>
                <w:sz w:val="14"/>
                <w:szCs w:val="14"/>
              </w:rPr>
            </w:pPr>
            <w:r w:rsidRPr="00C34031">
              <w:rPr>
                <w:noProof/>
                <w:color w:val="000000"/>
                <w:sz w:val="14"/>
              </w:rPr>
              <w:t>(5)</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9CB8813" w14:textId="77777777" w:rsidR="00FA5543" w:rsidRPr="00C34031" w:rsidRDefault="55C27D78" w:rsidP="139DF8FE">
            <w:pPr>
              <w:spacing w:before="0" w:after="0"/>
              <w:jc w:val="right"/>
              <w:rPr>
                <w:rFonts w:eastAsia="Times New Roman"/>
                <w:noProof/>
                <w:sz w:val="20"/>
                <w:szCs w:val="20"/>
              </w:rPr>
            </w:pPr>
            <w:r w:rsidRPr="00C34031">
              <w:rPr>
                <w:noProof/>
                <w:color w:val="000000" w:themeColor="text1"/>
                <w:sz w:val="20"/>
              </w:rPr>
              <w:t>17,530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50302023" w14:textId="77777777" w:rsidR="00FA5543" w:rsidRPr="00C34031" w:rsidRDefault="0AEB5E06" w:rsidP="139DF8FE">
            <w:pPr>
              <w:spacing w:before="0" w:after="0"/>
              <w:jc w:val="right"/>
              <w:rPr>
                <w:rFonts w:eastAsia="Times New Roman"/>
                <w:noProof/>
                <w:sz w:val="20"/>
                <w:szCs w:val="20"/>
              </w:rPr>
            </w:pPr>
            <w:r w:rsidRPr="00C34031">
              <w:rPr>
                <w:noProof/>
                <w:color w:val="000000" w:themeColor="text1"/>
                <w:sz w:val="20"/>
              </w:rPr>
              <w:t>21,157</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614DB362" w14:textId="77777777" w:rsidR="00FA5543" w:rsidRPr="00C34031" w:rsidRDefault="34336779" w:rsidP="139DF8FE">
            <w:pPr>
              <w:spacing w:before="0" w:after="0"/>
              <w:jc w:val="right"/>
              <w:rPr>
                <w:rFonts w:eastAsia="Times New Roman"/>
                <w:noProof/>
                <w:sz w:val="20"/>
                <w:szCs w:val="20"/>
              </w:rPr>
            </w:pPr>
            <w:r w:rsidRPr="00C34031">
              <w:rPr>
                <w:noProof/>
                <w:color w:val="000000" w:themeColor="text1"/>
                <w:sz w:val="20"/>
              </w:rPr>
              <w:t>32,090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CE79A2E" w14:textId="77777777" w:rsidR="00FA5543" w:rsidRPr="00C34031" w:rsidRDefault="763A6B7D" w:rsidP="139DF8FE">
            <w:pPr>
              <w:spacing w:before="0" w:after="0"/>
              <w:jc w:val="right"/>
              <w:rPr>
                <w:rFonts w:eastAsia="Times New Roman"/>
                <w:noProof/>
                <w:sz w:val="20"/>
                <w:szCs w:val="20"/>
              </w:rPr>
            </w:pPr>
            <w:r w:rsidRPr="00C34031">
              <w:rPr>
                <w:noProof/>
                <w:color w:val="000000" w:themeColor="text1"/>
                <w:sz w:val="20"/>
              </w:rPr>
              <w:t>33,067</w:t>
            </w:r>
          </w:p>
        </w:tc>
        <w:tc>
          <w:tcPr>
            <w:tcW w:w="528" w:type="pct"/>
            <w:tcBorders>
              <w:top w:val="nil"/>
              <w:left w:val="nil"/>
              <w:bottom w:val="single" w:sz="8" w:space="0" w:color="auto"/>
              <w:right w:val="single" w:sz="8" w:space="0" w:color="auto"/>
            </w:tcBorders>
            <w:shd w:val="clear" w:color="auto" w:fill="D9D9D9" w:themeFill="background1" w:themeFillShade="D9"/>
            <w:vAlign w:val="center"/>
            <w:hideMark/>
          </w:tcPr>
          <w:p w14:paraId="5C12BFE9" w14:textId="77777777" w:rsidR="00FA5543" w:rsidRPr="00C34031" w:rsidRDefault="2718C82C" w:rsidP="139DF8FE">
            <w:pPr>
              <w:spacing w:before="0" w:after="0"/>
              <w:jc w:val="right"/>
              <w:rPr>
                <w:rFonts w:eastAsia="Times New Roman"/>
                <w:noProof/>
                <w:sz w:val="20"/>
                <w:szCs w:val="20"/>
              </w:rPr>
            </w:pPr>
            <w:r w:rsidRPr="00C34031">
              <w:rPr>
                <w:b/>
                <w:noProof/>
                <w:color w:val="000000" w:themeColor="text1"/>
                <w:sz w:val="20"/>
              </w:rPr>
              <w:t>103,844</w:t>
            </w:r>
          </w:p>
        </w:tc>
      </w:tr>
      <w:tr w:rsidR="00FA5543" w:rsidRPr="00C34031" w14:paraId="122A65EB" w14:textId="77777777" w:rsidTr="139DF8FE">
        <w:trPr>
          <w:trHeight w:val="990"/>
        </w:trPr>
        <w:tc>
          <w:tcPr>
            <w:tcW w:w="1993" w:type="pct"/>
            <w:gridSpan w:val="5"/>
            <w:tcBorders>
              <w:top w:val="single" w:sz="8" w:space="0" w:color="auto"/>
              <w:left w:val="single" w:sz="8" w:space="0" w:color="auto"/>
              <w:bottom w:val="single" w:sz="8" w:space="0" w:color="auto"/>
              <w:right w:val="single" w:sz="8" w:space="0" w:color="000000" w:themeColor="text1"/>
            </w:tcBorders>
            <w:shd w:val="clear" w:color="auto" w:fill="auto"/>
            <w:vAlign w:val="center"/>
            <w:hideMark/>
          </w:tcPr>
          <w:p w14:paraId="356F102B" w14:textId="77777777" w:rsidR="00FA5543" w:rsidRPr="00C34031" w:rsidRDefault="00FA5543" w:rsidP="00390489">
            <w:pPr>
              <w:spacing w:before="0" w:after="0"/>
              <w:rPr>
                <w:noProof/>
                <w:color w:val="000000"/>
                <w:sz w:val="21"/>
                <w:szCs w:val="21"/>
              </w:rPr>
            </w:pPr>
            <w:r w:rsidRPr="00C34031">
              <w:rPr>
                <w:rFonts w:ascii="Calibri" w:hAnsi="Calibri"/>
                <w:noProof/>
                <w:color w:val="000000"/>
                <w:sz w:val="21"/>
              </w:rPr>
              <w:t>•</w:t>
            </w:r>
            <w:r w:rsidRPr="00C34031">
              <w:rPr>
                <w:noProof/>
                <w:color w:val="000000"/>
                <w:sz w:val="21"/>
              </w:rPr>
              <w:t xml:space="preserve"> Prostředky správní povahy financované z rámce na zvláštní programy CELKEM (všechny operační okruhy)</w:t>
            </w:r>
          </w:p>
        </w:tc>
        <w:tc>
          <w:tcPr>
            <w:tcW w:w="731" w:type="pct"/>
            <w:gridSpan w:val="4"/>
            <w:tcBorders>
              <w:top w:val="single" w:sz="8" w:space="0" w:color="auto"/>
              <w:left w:val="nil"/>
              <w:bottom w:val="single" w:sz="8" w:space="0" w:color="auto"/>
              <w:right w:val="single" w:sz="8" w:space="0" w:color="000000" w:themeColor="text1"/>
            </w:tcBorders>
            <w:shd w:val="clear" w:color="auto" w:fill="auto"/>
            <w:vAlign w:val="center"/>
            <w:hideMark/>
          </w:tcPr>
          <w:p w14:paraId="00CC0FED" w14:textId="77777777" w:rsidR="00FA5543" w:rsidRPr="00C34031" w:rsidRDefault="00FA5543" w:rsidP="00390489">
            <w:pPr>
              <w:spacing w:before="0" w:after="0"/>
              <w:jc w:val="center"/>
              <w:rPr>
                <w:noProof/>
                <w:color w:val="000000"/>
                <w:sz w:val="14"/>
                <w:szCs w:val="14"/>
              </w:rPr>
            </w:pPr>
            <w:r w:rsidRPr="00C34031">
              <w:rPr>
                <w:noProof/>
                <w:color w:val="000000"/>
                <w:sz w:val="14"/>
              </w:rPr>
              <w:t>(6)</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2F8BA375" w14:textId="77777777" w:rsidR="00FA5543" w:rsidRPr="00C34031" w:rsidRDefault="00FA5543" w:rsidP="00390489">
            <w:pPr>
              <w:spacing w:before="0" w:after="0"/>
              <w:jc w:val="right"/>
              <w:rPr>
                <w:noProof/>
                <w:color w:val="000000"/>
                <w:sz w:val="20"/>
                <w:szCs w:val="20"/>
              </w:rPr>
            </w:pPr>
            <w:r w:rsidRPr="00C34031">
              <w:rPr>
                <w:noProof/>
                <w:color w:val="000000"/>
                <w:sz w:val="20"/>
              </w:rPr>
              <w:t>0,000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B0A875D" w14:textId="77777777" w:rsidR="00FA5543" w:rsidRPr="00C34031" w:rsidRDefault="00FA5543" w:rsidP="00390489">
            <w:pPr>
              <w:spacing w:before="0" w:after="0"/>
              <w:jc w:val="right"/>
              <w:rPr>
                <w:noProof/>
                <w:color w:val="000000"/>
                <w:sz w:val="20"/>
                <w:szCs w:val="20"/>
              </w:rPr>
            </w:pPr>
            <w:r w:rsidRPr="00C34031">
              <w:rPr>
                <w:noProof/>
                <w:color w:val="000000"/>
                <w:sz w:val="20"/>
              </w:rPr>
              <w:t>0,000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7DF7C12D" w14:textId="77777777" w:rsidR="00FA5543" w:rsidRPr="00C34031" w:rsidRDefault="00FA5543" w:rsidP="00390489">
            <w:pPr>
              <w:spacing w:before="0" w:after="0"/>
              <w:jc w:val="right"/>
              <w:rPr>
                <w:noProof/>
                <w:color w:val="000000"/>
                <w:sz w:val="20"/>
                <w:szCs w:val="20"/>
              </w:rPr>
            </w:pPr>
            <w:r w:rsidRPr="00C34031">
              <w:rPr>
                <w:noProof/>
                <w:color w:val="000000"/>
                <w:sz w:val="20"/>
              </w:rPr>
              <w:t>0,000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24BAE15C" w14:textId="77777777" w:rsidR="00FA5543" w:rsidRPr="00C34031" w:rsidRDefault="00FA5543" w:rsidP="00390489">
            <w:pPr>
              <w:spacing w:before="0" w:after="0"/>
              <w:jc w:val="right"/>
              <w:rPr>
                <w:noProof/>
                <w:color w:val="000000"/>
                <w:sz w:val="20"/>
                <w:szCs w:val="20"/>
              </w:rPr>
            </w:pPr>
            <w:r w:rsidRPr="00C34031">
              <w:rPr>
                <w:noProof/>
                <w:color w:val="000000"/>
                <w:sz w:val="20"/>
              </w:rPr>
              <w:t>0,000</w:t>
            </w:r>
          </w:p>
        </w:tc>
        <w:tc>
          <w:tcPr>
            <w:tcW w:w="528" w:type="pct"/>
            <w:tcBorders>
              <w:top w:val="nil"/>
              <w:left w:val="nil"/>
              <w:bottom w:val="single" w:sz="8" w:space="0" w:color="auto"/>
              <w:right w:val="single" w:sz="8" w:space="0" w:color="auto"/>
            </w:tcBorders>
            <w:shd w:val="clear" w:color="auto" w:fill="D9D9D9" w:themeFill="background1" w:themeFillShade="D9"/>
            <w:vAlign w:val="center"/>
            <w:hideMark/>
          </w:tcPr>
          <w:p w14:paraId="306447FC" w14:textId="77777777" w:rsidR="00FA5543" w:rsidRPr="00C34031" w:rsidRDefault="00FA5543" w:rsidP="00390489">
            <w:pPr>
              <w:spacing w:before="0" w:after="0"/>
              <w:jc w:val="right"/>
              <w:rPr>
                <w:b/>
                <w:bCs/>
                <w:noProof/>
                <w:color w:val="000000"/>
                <w:sz w:val="20"/>
                <w:szCs w:val="20"/>
              </w:rPr>
            </w:pPr>
            <w:r w:rsidRPr="00C34031">
              <w:rPr>
                <w:b/>
                <w:noProof/>
                <w:color w:val="000000"/>
                <w:sz w:val="20"/>
              </w:rPr>
              <w:t>0,000</w:t>
            </w:r>
          </w:p>
        </w:tc>
      </w:tr>
      <w:tr w:rsidR="00FA5543" w:rsidRPr="00C34031" w14:paraId="5FDBFF9B" w14:textId="77777777" w:rsidTr="139DF8FE">
        <w:trPr>
          <w:trHeight w:val="564"/>
        </w:trPr>
        <w:tc>
          <w:tcPr>
            <w:tcW w:w="1522" w:type="pct"/>
            <w:gridSpan w:val="2"/>
            <w:tcBorders>
              <w:top w:val="nil"/>
              <w:left w:val="single" w:sz="8" w:space="0" w:color="auto"/>
              <w:bottom w:val="nil"/>
              <w:right w:val="single" w:sz="8" w:space="0" w:color="auto"/>
            </w:tcBorders>
            <w:shd w:val="clear" w:color="auto" w:fill="F1F1F1"/>
            <w:vAlign w:val="center"/>
            <w:hideMark/>
          </w:tcPr>
          <w:p w14:paraId="7F9493E7" w14:textId="77777777" w:rsidR="00FA5543" w:rsidRPr="00C34031" w:rsidRDefault="00FA5543" w:rsidP="00390489">
            <w:pPr>
              <w:spacing w:before="0" w:after="0"/>
              <w:jc w:val="center"/>
              <w:rPr>
                <w:b/>
                <w:bCs/>
                <w:noProof/>
                <w:color w:val="000000"/>
                <w:sz w:val="22"/>
              </w:rPr>
            </w:pPr>
            <w:r w:rsidRPr="00C34031">
              <w:rPr>
                <w:b/>
                <w:noProof/>
                <w:color w:val="000000"/>
                <w:sz w:val="22"/>
              </w:rPr>
              <w:t>CELKEM prostředky z okruhů 1 až 6</w:t>
            </w:r>
          </w:p>
        </w:tc>
        <w:tc>
          <w:tcPr>
            <w:tcW w:w="471" w:type="pct"/>
            <w:gridSpan w:val="3"/>
            <w:tcBorders>
              <w:top w:val="nil"/>
              <w:left w:val="nil"/>
              <w:bottom w:val="nil"/>
              <w:right w:val="single" w:sz="8" w:space="0" w:color="auto"/>
            </w:tcBorders>
            <w:shd w:val="clear" w:color="auto" w:fill="auto"/>
            <w:vAlign w:val="center"/>
            <w:hideMark/>
          </w:tcPr>
          <w:p w14:paraId="01FAF337" w14:textId="77777777" w:rsidR="00FA5543" w:rsidRPr="00C34031" w:rsidRDefault="00FA5543" w:rsidP="00390489">
            <w:pPr>
              <w:spacing w:before="0" w:after="0"/>
              <w:rPr>
                <w:noProof/>
                <w:color w:val="000000"/>
                <w:sz w:val="18"/>
                <w:szCs w:val="18"/>
              </w:rPr>
            </w:pPr>
            <w:r w:rsidRPr="00C34031">
              <w:rPr>
                <w:noProof/>
                <w:color w:val="000000"/>
                <w:sz w:val="18"/>
              </w:rPr>
              <w:t>Závazky</w:t>
            </w:r>
          </w:p>
        </w:tc>
        <w:tc>
          <w:tcPr>
            <w:tcW w:w="731" w:type="pct"/>
            <w:gridSpan w:val="4"/>
            <w:tcBorders>
              <w:top w:val="single" w:sz="8" w:space="0" w:color="auto"/>
              <w:left w:val="nil"/>
              <w:bottom w:val="nil"/>
              <w:right w:val="single" w:sz="8" w:space="0" w:color="000000" w:themeColor="text1"/>
            </w:tcBorders>
            <w:shd w:val="clear" w:color="auto" w:fill="auto"/>
            <w:vAlign w:val="center"/>
            <w:hideMark/>
          </w:tcPr>
          <w:p w14:paraId="135146D8" w14:textId="77777777" w:rsidR="00FA5543" w:rsidRPr="00C34031" w:rsidRDefault="00FA5543" w:rsidP="00390489">
            <w:pPr>
              <w:spacing w:before="0" w:after="0"/>
              <w:jc w:val="center"/>
              <w:rPr>
                <w:noProof/>
                <w:color w:val="000000"/>
                <w:sz w:val="14"/>
                <w:szCs w:val="14"/>
              </w:rPr>
            </w:pPr>
            <w:r w:rsidRPr="00C34031">
              <w:rPr>
                <w:noProof/>
                <w:color w:val="000000"/>
                <w:sz w:val="14"/>
              </w:rPr>
              <w:t>=4+6</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30179959" w14:textId="77777777" w:rsidR="00FA5543" w:rsidRPr="00C34031" w:rsidRDefault="6C203B01" w:rsidP="139DF8FE">
            <w:pPr>
              <w:spacing w:before="0" w:after="0"/>
              <w:jc w:val="right"/>
              <w:rPr>
                <w:rFonts w:eastAsia="Times New Roman"/>
                <w:noProof/>
                <w:sz w:val="20"/>
                <w:szCs w:val="20"/>
              </w:rPr>
            </w:pPr>
            <w:r w:rsidRPr="00C34031">
              <w:rPr>
                <w:b/>
                <w:noProof/>
                <w:color w:val="000000" w:themeColor="text1"/>
                <w:sz w:val="20"/>
              </w:rPr>
              <w:t>28,090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462C3C0" w14:textId="77777777" w:rsidR="00FA5543" w:rsidRPr="00C34031" w:rsidRDefault="6C203B01" w:rsidP="139DF8FE">
            <w:pPr>
              <w:spacing w:before="0" w:after="0"/>
              <w:jc w:val="right"/>
              <w:rPr>
                <w:rFonts w:eastAsia="Times New Roman"/>
                <w:noProof/>
                <w:sz w:val="20"/>
                <w:szCs w:val="20"/>
              </w:rPr>
            </w:pPr>
            <w:r w:rsidRPr="00C34031">
              <w:rPr>
                <w:b/>
                <w:noProof/>
                <w:color w:val="000000" w:themeColor="text1"/>
                <w:sz w:val="20"/>
              </w:rPr>
              <w:t>34,750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2BFC5D1D" w14:textId="77777777" w:rsidR="00FA5543" w:rsidRPr="00C34031" w:rsidRDefault="6C203B01" w:rsidP="139DF8FE">
            <w:pPr>
              <w:spacing w:before="0" w:after="0"/>
              <w:jc w:val="right"/>
              <w:rPr>
                <w:rFonts w:eastAsia="Times New Roman"/>
                <w:noProof/>
                <w:sz w:val="20"/>
                <w:szCs w:val="20"/>
              </w:rPr>
            </w:pPr>
            <w:r w:rsidRPr="00C34031">
              <w:rPr>
                <w:b/>
                <w:noProof/>
                <w:color w:val="000000" w:themeColor="text1"/>
                <w:sz w:val="20"/>
              </w:rPr>
              <w:t>33,700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0B8CFC80" w14:textId="77777777" w:rsidR="00FA5543" w:rsidRPr="00C34031" w:rsidRDefault="6C203B01" w:rsidP="139DF8FE">
            <w:pPr>
              <w:spacing w:before="0" w:after="0"/>
              <w:jc w:val="right"/>
              <w:rPr>
                <w:rFonts w:eastAsia="Times New Roman"/>
                <w:noProof/>
                <w:sz w:val="20"/>
                <w:szCs w:val="20"/>
              </w:rPr>
            </w:pPr>
            <w:r w:rsidRPr="00C34031">
              <w:rPr>
                <w:b/>
                <w:noProof/>
                <w:color w:val="000000" w:themeColor="text1"/>
                <w:sz w:val="20"/>
              </w:rPr>
              <w:t>30,150</w:t>
            </w:r>
          </w:p>
        </w:tc>
        <w:tc>
          <w:tcPr>
            <w:tcW w:w="528" w:type="pct"/>
            <w:tcBorders>
              <w:top w:val="nil"/>
              <w:left w:val="nil"/>
              <w:bottom w:val="single" w:sz="8" w:space="0" w:color="auto"/>
              <w:right w:val="single" w:sz="8" w:space="0" w:color="auto"/>
            </w:tcBorders>
            <w:shd w:val="clear" w:color="auto" w:fill="D9D9D9" w:themeFill="background1" w:themeFillShade="D9"/>
            <w:vAlign w:val="center"/>
            <w:hideMark/>
          </w:tcPr>
          <w:p w14:paraId="3ABF819C" w14:textId="77777777" w:rsidR="00FA5543" w:rsidRPr="00C34031" w:rsidRDefault="6C203B01" w:rsidP="139DF8FE">
            <w:pPr>
              <w:spacing w:before="0" w:after="0"/>
              <w:jc w:val="right"/>
              <w:rPr>
                <w:rFonts w:eastAsia="Times New Roman"/>
                <w:noProof/>
                <w:sz w:val="20"/>
                <w:szCs w:val="20"/>
              </w:rPr>
            </w:pPr>
            <w:r w:rsidRPr="00C34031">
              <w:rPr>
                <w:b/>
                <w:noProof/>
                <w:color w:val="000000" w:themeColor="text1"/>
                <w:sz w:val="20"/>
              </w:rPr>
              <w:t>126,690</w:t>
            </w:r>
          </w:p>
        </w:tc>
      </w:tr>
      <w:tr w:rsidR="00FA5543" w:rsidRPr="00C34031" w14:paraId="4B88CBFC" w14:textId="77777777" w:rsidTr="139DF8FE">
        <w:trPr>
          <w:trHeight w:val="588"/>
        </w:trPr>
        <w:tc>
          <w:tcPr>
            <w:tcW w:w="1522" w:type="pct"/>
            <w:gridSpan w:val="2"/>
            <w:tcBorders>
              <w:top w:val="nil"/>
              <w:left w:val="single" w:sz="8" w:space="0" w:color="auto"/>
              <w:bottom w:val="single" w:sz="8" w:space="0" w:color="auto"/>
              <w:right w:val="single" w:sz="8" w:space="0" w:color="auto"/>
            </w:tcBorders>
            <w:shd w:val="clear" w:color="auto" w:fill="F1F1F1"/>
            <w:vAlign w:val="center"/>
            <w:hideMark/>
          </w:tcPr>
          <w:p w14:paraId="15E9D785" w14:textId="77777777" w:rsidR="00FA5543" w:rsidRPr="00C34031" w:rsidRDefault="00FA5543" w:rsidP="00390489">
            <w:pPr>
              <w:spacing w:before="0" w:after="0"/>
              <w:jc w:val="center"/>
              <w:rPr>
                <w:noProof/>
                <w:color w:val="000000"/>
                <w:sz w:val="20"/>
                <w:szCs w:val="20"/>
              </w:rPr>
            </w:pPr>
            <w:r w:rsidRPr="00C34031">
              <w:rPr>
                <w:noProof/>
                <w:color w:val="000000"/>
                <w:sz w:val="20"/>
              </w:rPr>
              <w:t>víceletého finančního rámce (referenční částka)</w:t>
            </w:r>
          </w:p>
        </w:tc>
        <w:tc>
          <w:tcPr>
            <w:tcW w:w="471" w:type="pct"/>
            <w:gridSpan w:val="3"/>
            <w:tcBorders>
              <w:top w:val="nil"/>
              <w:left w:val="nil"/>
              <w:bottom w:val="single" w:sz="8" w:space="0" w:color="auto"/>
              <w:right w:val="single" w:sz="8" w:space="0" w:color="auto"/>
            </w:tcBorders>
            <w:shd w:val="clear" w:color="auto" w:fill="auto"/>
            <w:vAlign w:val="center"/>
            <w:hideMark/>
          </w:tcPr>
          <w:p w14:paraId="46FDC69C" w14:textId="77777777" w:rsidR="00FA5543" w:rsidRPr="00C34031" w:rsidRDefault="00FA5543" w:rsidP="00390489">
            <w:pPr>
              <w:spacing w:before="0" w:after="0"/>
              <w:rPr>
                <w:noProof/>
                <w:color w:val="000000"/>
                <w:sz w:val="18"/>
                <w:szCs w:val="18"/>
              </w:rPr>
            </w:pPr>
            <w:r w:rsidRPr="00C34031">
              <w:rPr>
                <w:noProof/>
                <w:color w:val="000000"/>
                <w:sz w:val="18"/>
              </w:rPr>
              <w:t>Platby</w:t>
            </w:r>
          </w:p>
        </w:tc>
        <w:tc>
          <w:tcPr>
            <w:tcW w:w="731" w:type="pct"/>
            <w:gridSpan w:val="4"/>
            <w:tcBorders>
              <w:top w:val="single" w:sz="8" w:space="0" w:color="auto"/>
              <w:left w:val="nil"/>
              <w:bottom w:val="single" w:sz="8" w:space="0" w:color="auto"/>
              <w:right w:val="single" w:sz="8" w:space="0" w:color="000000" w:themeColor="text1"/>
            </w:tcBorders>
            <w:shd w:val="clear" w:color="auto" w:fill="auto"/>
            <w:vAlign w:val="center"/>
            <w:hideMark/>
          </w:tcPr>
          <w:p w14:paraId="10B9187B" w14:textId="77777777" w:rsidR="00FA5543" w:rsidRPr="00C34031" w:rsidRDefault="00FA5543" w:rsidP="00390489">
            <w:pPr>
              <w:spacing w:before="0" w:after="0"/>
              <w:jc w:val="center"/>
              <w:rPr>
                <w:noProof/>
                <w:color w:val="000000"/>
                <w:sz w:val="14"/>
                <w:szCs w:val="14"/>
              </w:rPr>
            </w:pPr>
            <w:r w:rsidRPr="00C34031">
              <w:rPr>
                <w:noProof/>
                <w:color w:val="000000"/>
                <w:sz w:val="14"/>
              </w:rPr>
              <w:t>=5+6</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27ECD6F0" w14:textId="77777777" w:rsidR="00FA5543" w:rsidRPr="00C34031" w:rsidRDefault="2FC1C5EA" w:rsidP="139DF8FE">
            <w:pPr>
              <w:spacing w:before="0" w:after="0"/>
              <w:jc w:val="right"/>
              <w:rPr>
                <w:rFonts w:eastAsia="Times New Roman"/>
                <w:b/>
                <w:bCs/>
                <w:noProof/>
                <w:sz w:val="20"/>
                <w:szCs w:val="20"/>
              </w:rPr>
            </w:pPr>
            <w:r w:rsidRPr="00C34031">
              <w:rPr>
                <w:b/>
                <w:noProof/>
                <w:color w:val="000000" w:themeColor="text1"/>
                <w:sz w:val="20"/>
              </w:rPr>
              <w:t>17,530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43FE8E21" w14:textId="77777777" w:rsidR="00FA5543" w:rsidRPr="00C34031" w:rsidRDefault="01E3F7CF" w:rsidP="139DF8FE">
            <w:pPr>
              <w:spacing w:before="0" w:after="0"/>
              <w:jc w:val="right"/>
              <w:rPr>
                <w:rFonts w:eastAsia="Times New Roman"/>
                <w:b/>
                <w:bCs/>
                <w:noProof/>
                <w:sz w:val="20"/>
                <w:szCs w:val="20"/>
              </w:rPr>
            </w:pPr>
            <w:r w:rsidRPr="00C34031">
              <w:rPr>
                <w:b/>
                <w:noProof/>
                <w:color w:val="000000" w:themeColor="text1"/>
                <w:sz w:val="20"/>
              </w:rPr>
              <w:t>21,157</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179F52C5" w14:textId="77777777" w:rsidR="00FA5543" w:rsidRPr="00C34031" w:rsidRDefault="7E39895C" w:rsidP="139DF8FE">
            <w:pPr>
              <w:spacing w:before="0" w:after="0"/>
              <w:jc w:val="right"/>
              <w:rPr>
                <w:rFonts w:eastAsia="Times New Roman"/>
                <w:b/>
                <w:bCs/>
                <w:noProof/>
                <w:sz w:val="20"/>
                <w:szCs w:val="20"/>
              </w:rPr>
            </w:pPr>
            <w:r w:rsidRPr="00C34031">
              <w:rPr>
                <w:b/>
                <w:noProof/>
                <w:color w:val="000000" w:themeColor="text1"/>
                <w:sz w:val="20"/>
              </w:rPr>
              <w:t>32,090</w:t>
            </w:r>
          </w:p>
        </w:tc>
        <w:tc>
          <w:tcPr>
            <w:tcW w:w="437" w:type="pct"/>
            <w:gridSpan w:val="3"/>
            <w:tcBorders>
              <w:top w:val="nil"/>
              <w:left w:val="nil"/>
              <w:bottom w:val="single" w:sz="8" w:space="0" w:color="auto"/>
              <w:right w:val="single" w:sz="8" w:space="0" w:color="auto"/>
            </w:tcBorders>
            <w:shd w:val="clear" w:color="auto" w:fill="D9D9D9" w:themeFill="background1" w:themeFillShade="D9"/>
            <w:vAlign w:val="center"/>
            <w:hideMark/>
          </w:tcPr>
          <w:p w14:paraId="56370DAE" w14:textId="77777777" w:rsidR="00FA5543" w:rsidRPr="00C34031" w:rsidRDefault="756DFB21" w:rsidP="139DF8FE">
            <w:pPr>
              <w:spacing w:before="0" w:after="0"/>
              <w:jc w:val="right"/>
              <w:rPr>
                <w:rFonts w:eastAsia="Times New Roman"/>
                <w:b/>
                <w:bCs/>
                <w:noProof/>
                <w:sz w:val="20"/>
                <w:szCs w:val="20"/>
              </w:rPr>
            </w:pPr>
            <w:r w:rsidRPr="00C34031">
              <w:rPr>
                <w:b/>
                <w:noProof/>
                <w:color w:val="000000" w:themeColor="text1"/>
                <w:sz w:val="20"/>
              </w:rPr>
              <w:t>33,067</w:t>
            </w:r>
          </w:p>
        </w:tc>
        <w:tc>
          <w:tcPr>
            <w:tcW w:w="528" w:type="pct"/>
            <w:tcBorders>
              <w:top w:val="nil"/>
              <w:left w:val="nil"/>
              <w:bottom w:val="single" w:sz="8" w:space="0" w:color="auto"/>
              <w:right w:val="single" w:sz="8" w:space="0" w:color="auto"/>
            </w:tcBorders>
            <w:shd w:val="clear" w:color="auto" w:fill="D9D9D9" w:themeFill="background1" w:themeFillShade="D9"/>
            <w:vAlign w:val="center"/>
            <w:hideMark/>
          </w:tcPr>
          <w:p w14:paraId="1914BC4E" w14:textId="77777777" w:rsidR="00FA5543" w:rsidRPr="00C34031" w:rsidRDefault="432C5A12" w:rsidP="139DF8FE">
            <w:pPr>
              <w:spacing w:before="0" w:after="0"/>
              <w:jc w:val="right"/>
              <w:rPr>
                <w:rFonts w:eastAsia="Times New Roman"/>
                <w:noProof/>
                <w:sz w:val="20"/>
                <w:szCs w:val="20"/>
              </w:rPr>
            </w:pPr>
            <w:r w:rsidRPr="00C34031">
              <w:rPr>
                <w:b/>
                <w:noProof/>
                <w:color w:val="000000" w:themeColor="text1"/>
                <w:sz w:val="20"/>
              </w:rPr>
              <w:t>103,844</w:t>
            </w:r>
          </w:p>
        </w:tc>
      </w:tr>
    </w:tbl>
    <w:p w14:paraId="5A065F9B" w14:textId="77777777" w:rsidR="00FA5543" w:rsidRPr="00C34031" w:rsidRDefault="00FA5543" w:rsidP="00390489">
      <w:pPr>
        <w:rPr>
          <w:noProof/>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6"/>
        <w:gridCol w:w="1126"/>
        <w:gridCol w:w="8148"/>
      </w:tblGrid>
      <w:tr w:rsidR="00FA5543" w:rsidRPr="00C34031" w14:paraId="5195BD63" w14:textId="77777777" w:rsidTr="139DF8FE">
        <w:trPr>
          <w:jc w:val="center"/>
        </w:trPr>
        <w:tc>
          <w:tcPr>
            <w:tcW w:w="1668" w:type="pct"/>
            <w:shd w:val="clear" w:color="auto" w:fill="auto"/>
            <w:vAlign w:val="center"/>
          </w:tcPr>
          <w:p w14:paraId="418EAE13" w14:textId="77777777" w:rsidR="00FA5543" w:rsidRPr="00C34031" w:rsidRDefault="00FA5543" w:rsidP="00390489">
            <w:pPr>
              <w:spacing w:before="60" w:after="60"/>
              <w:jc w:val="center"/>
              <w:rPr>
                <w:b/>
                <w:noProof/>
              </w:rPr>
            </w:pPr>
            <w:r w:rsidRPr="00C34031">
              <w:rPr>
                <w:noProof/>
              </w:rPr>
              <w:br w:type="page"/>
            </w:r>
            <w:r w:rsidRPr="00C34031">
              <w:rPr>
                <w:b/>
                <w:noProof/>
                <w:sz w:val="22"/>
              </w:rPr>
              <w:t xml:space="preserve">Okruh víceletého finančního rámce </w:t>
            </w:r>
          </w:p>
        </w:tc>
        <w:tc>
          <w:tcPr>
            <w:tcW w:w="380" w:type="pct"/>
            <w:shd w:val="clear" w:color="auto" w:fill="auto"/>
            <w:vAlign w:val="center"/>
          </w:tcPr>
          <w:p w14:paraId="19B8F6E8" w14:textId="77777777" w:rsidR="00FA5543" w:rsidRPr="00C34031" w:rsidRDefault="00FA5543" w:rsidP="00390489">
            <w:pPr>
              <w:spacing w:before="60" w:after="60"/>
              <w:jc w:val="center"/>
              <w:rPr>
                <w:noProof/>
              </w:rPr>
            </w:pPr>
            <w:r w:rsidRPr="00C34031">
              <w:rPr>
                <w:b/>
                <w:noProof/>
                <w:sz w:val="22"/>
              </w:rPr>
              <w:t>7</w:t>
            </w:r>
          </w:p>
        </w:tc>
        <w:tc>
          <w:tcPr>
            <w:tcW w:w="2749" w:type="pct"/>
            <w:vAlign w:val="center"/>
          </w:tcPr>
          <w:p w14:paraId="67E4DA40" w14:textId="77777777" w:rsidR="00FA5543" w:rsidRPr="00C34031" w:rsidRDefault="6C3AF1E0" w:rsidP="00390489">
            <w:pPr>
              <w:spacing w:before="60" w:after="60"/>
              <w:rPr>
                <w:noProof/>
              </w:rPr>
            </w:pPr>
            <w:r w:rsidRPr="00C34031">
              <w:rPr>
                <w:noProof/>
                <w:sz w:val="22"/>
              </w:rPr>
              <w:t>„Správní výdaje“</w:t>
            </w:r>
            <w:r w:rsidR="00FA5543" w:rsidRPr="00C34031">
              <w:rPr>
                <w:rStyle w:val="FootnoteReference"/>
                <w:noProof/>
                <w:sz w:val="22"/>
              </w:rPr>
              <w:footnoteReference w:id="26"/>
            </w:r>
          </w:p>
        </w:tc>
      </w:tr>
    </w:tbl>
    <w:p w14:paraId="788F6DA1" w14:textId="77777777" w:rsidR="00FA5543" w:rsidRPr="00C34031" w:rsidRDefault="00FA5543" w:rsidP="00390489">
      <w:pPr>
        <w:jc w:val="right"/>
        <w:rPr>
          <w:noProof/>
          <w:sz w:val="20"/>
        </w:rPr>
      </w:pPr>
      <w:r w:rsidRPr="00C34031">
        <w:rPr>
          <w:noProof/>
          <w:sz w:val="20"/>
        </w:rPr>
        <w:t>v milionech EUR (zaokrouhleno na tři desetinná místa)</w:t>
      </w:r>
    </w:p>
    <w:tbl>
      <w:tblPr>
        <w:tblW w:w="13140" w:type="dxa"/>
        <w:tblInd w:w="118" w:type="dxa"/>
        <w:tblLook w:val="04A0" w:firstRow="1" w:lastRow="0" w:firstColumn="1" w:lastColumn="0" w:noHBand="0" w:noVBand="1"/>
      </w:tblPr>
      <w:tblGrid>
        <w:gridCol w:w="4405"/>
        <w:gridCol w:w="2477"/>
        <w:gridCol w:w="505"/>
        <w:gridCol w:w="505"/>
        <w:gridCol w:w="1001"/>
        <w:gridCol w:w="1001"/>
        <w:gridCol w:w="1001"/>
        <w:gridCol w:w="1001"/>
        <w:gridCol w:w="1244"/>
      </w:tblGrid>
      <w:tr w:rsidR="00FA5543" w:rsidRPr="00C34031" w14:paraId="621FD0ED" w14:textId="77777777" w:rsidTr="139DF8FE">
        <w:trPr>
          <w:trHeight w:val="288"/>
        </w:trPr>
        <w:tc>
          <w:tcPr>
            <w:tcW w:w="7892" w:type="dxa"/>
            <w:gridSpan w:val="4"/>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16DC48E" w14:textId="77777777" w:rsidR="00FA5543" w:rsidRPr="00C34031" w:rsidRDefault="6C3AF1E0" w:rsidP="139DF8FE">
            <w:pPr>
              <w:spacing w:before="0" w:after="0"/>
              <w:jc w:val="center"/>
              <w:rPr>
                <w:noProof/>
                <w:color w:val="000000"/>
              </w:rPr>
            </w:pPr>
            <w:r w:rsidRPr="00C34031">
              <w:rPr>
                <w:noProof/>
                <w:color w:val="000000" w:themeColor="text1"/>
              </w:rPr>
              <w:t>GŘ: TAXUD</w:t>
            </w:r>
          </w:p>
        </w:tc>
        <w:tc>
          <w:tcPr>
            <w:tcW w:w="1001" w:type="dxa"/>
            <w:tcBorders>
              <w:top w:val="single" w:sz="8" w:space="0" w:color="auto"/>
              <w:left w:val="nil"/>
              <w:bottom w:val="nil"/>
              <w:right w:val="single" w:sz="8" w:space="0" w:color="auto"/>
            </w:tcBorders>
            <w:shd w:val="clear" w:color="auto" w:fill="auto"/>
            <w:vAlign w:val="center"/>
            <w:hideMark/>
          </w:tcPr>
          <w:p w14:paraId="5B1A5A38"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1001" w:type="dxa"/>
            <w:tcBorders>
              <w:top w:val="single" w:sz="8" w:space="0" w:color="auto"/>
              <w:left w:val="nil"/>
              <w:bottom w:val="nil"/>
              <w:right w:val="single" w:sz="8" w:space="0" w:color="auto"/>
            </w:tcBorders>
            <w:shd w:val="clear" w:color="auto" w:fill="auto"/>
            <w:vAlign w:val="center"/>
            <w:hideMark/>
          </w:tcPr>
          <w:p w14:paraId="1D03FFFF"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1001" w:type="dxa"/>
            <w:tcBorders>
              <w:top w:val="single" w:sz="8" w:space="0" w:color="auto"/>
              <w:left w:val="nil"/>
              <w:bottom w:val="nil"/>
              <w:right w:val="single" w:sz="8" w:space="0" w:color="auto"/>
            </w:tcBorders>
            <w:shd w:val="clear" w:color="auto" w:fill="auto"/>
            <w:vAlign w:val="center"/>
            <w:hideMark/>
          </w:tcPr>
          <w:p w14:paraId="3D809175"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1001" w:type="dxa"/>
            <w:tcBorders>
              <w:top w:val="single" w:sz="8" w:space="0" w:color="auto"/>
              <w:left w:val="nil"/>
              <w:bottom w:val="nil"/>
              <w:right w:val="single" w:sz="8" w:space="0" w:color="auto"/>
            </w:tcBorders>
            <w:shd w:val="clear" w:color="auto" w:fill="auto"/>
            <w:vAlign w:val="center"/>
            <w:hideMark/>
          </w:tcPr>
          <w:p w14:paraId="08591BB6"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1244" w:type="dxa"/>
            <w:vMerge w:val="restart"/>
            <w:tcBorders>
              <w:top w:val="single" w:sz="8" w:space="0" w:color="auto"/>
              <w:left w:val="single" w:sz="8" w:space="0" w:color="auto"/>
              <w:bottom w:val="single" w:sz="8" w:space="0" w:color="000000" w:themeColor="text1"/>
              <w:right w:val="single" w:sz="8" w:space="0" w:color="auto"/>
            </w:tcBorders>
            <w:shd w:val="clear" w:color="auto" w:fill="auto"/>
            <w:vAlign w:val="center"/>
            <w:hideMark/>
          </w:tcPr>
          <w:p w14:paraId="5D88BF4D"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CELKEM VFR na období 2021–2027</w:t>
            </w:r>
          </w:p>
        </w:tc>
      </w:tr>
      <w:tr w:rsidR="00FA5543" w:rsidRPr="00C34031" w14:paraId="5EB6B0DE" w14:textId="77777777" w:rsidTr="139DF8FE">
        <w:trPr>
          <w:trHeight w:val="300"/>
        </w:trPr>
        <w:tc>
          <w:tcPr>
            <w:tcW w:w="7892" w:type="dxa"/>
            <w:gridSpan w:val="4"/>
            <w:vMerge/>
            <w:vAlign w:val="center"/>
            <w:hideMark/>
          </w:tcPr>
          <w:p w14:paraId="799EF9C6" w14:textId="77777777" w:rsidR="00FA5543" w:rsidRPr="00C34031" w:rsidRDefault="00FA5543" w:rsidP="00390489">
            <w:pPr>
              <w:spacing w:before="0" w:after="0"/>
              <w:jc w:val="left"/>
              <w:rPr>
                <w:noProof/>
                <w:color w:val="000000"/>
                <w:szCs w:val="24"/>
                <w:lang w:eastAsia="en-IE"/>
              </w:rPr>
            </w:pPr>
          </w:p>
        </w:tc>
        <w:tc>
          <w:tcPr>
            <w:tcW w:w="1001" w:type="dxa"/>
            <w:tcBorders>
              <w:top w:val="nil"/>
              <w:left w:val="nil"/>
              <w:bottom w:val="single" w:sz="8" w:space="0" w:color="auto"/>
              <w:right w:val="single" w:sz="8" w:space="0" w:color="auto"/>
            </w:tcBorders>
            <w:shd w:val="clear" w:color="auto" w:fill="auto"/>
            <w:vAlign w:val="center"/>
            <w:hideMark/>
          </w:tcPr>
          <w:p w14:paraId="62E10D6D"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2024</w:t>
            </w:r>
          </w:p>
        </w:tc>
        <w:tc>
          <w:tcPr>
            <w:tcW w:w="1001" w:type="dxa"/>
            <w:tcBorders>
              <w:top w:val="nil"/>
              <w:left w:val="nil"/>
              <w:bottom w:val="single" w:sz="8" w:space="0" w:color="auto"/>
              <w:right w:val="single" w:sz="8" w:space="0" w:color="auto"/>
            </w:tcBorders>
            <w:shd w:val="clear" w:color="auto" w:fill="auto"/>
            <w:vAlign w:val="center"/>
            <w:hideMark/>
          </w:tcPr>
          <w:p w14:paraId="6ECCE909"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2025</w:t>
            </w:r>
          </w:p>
        </w:tc>
        <w:tc>
          <w:tcPr>
            <w:tcW w:w="1001" w:type="dxa"/>
            <w:tcBorders>
              <w:top w:val="nil"/>
              <w:left w:val="nil"/>
              <w:bottom w:val="single" w:sz="8" w:space="0" w:color="auto"/>
              <w:right w:val="single" w:sz="8" w:space="0" w:color="auto"/>
            </w:tcBorders>
            <w:shd w:val="clear" w:color="auto" w:fill="auto"/>
            <w:vAlign w:val="center"/>
            <w:hideMark/>
          </w:tcPr>
          <w:p w14:paraId="4614E153"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2026</w:t>
            </w:r>
          </w:p>
        </w:tc>
        <w:tc>
          <w:tcPr>
            <w:tcW w:w="1001" w:type="dxa"/>
            <w:tcBorders>
              <w:top w:val="nil"/>
              <w:left w:val="nil"/>
              <w:bottom w:val="single" w:sz="8" w:space="0" w:color="auto"/>
              <w:right w:val="single" w:sz="8" w:space="0" w:color="auto"/>
            </w:tcBorders>
            <w:shd w:val="clear" w:color="auto" w:fill="auto"/>
            <w:vAlign w:val="center"/>
            <w:hideMark/>
          </w:tcPr>
          <w:p w14:paraId="2A150C17"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2027</w:t>
            </w:r>
          </w:p>
        </w:tc>
        <w:tc>
          <w:tcPr>
            <w:tcW w:w="1244" w:type="dxa"/>
            <w:vMerge/>
            <w:vAlign w:val="center"/>
            <w:hideMark/>
          </w:tcPr>
          <w:p w14:paraId="047D8728" w14:textId="77777777" w:rsidR="00FA5543" w:rsidRPr="00C34031" w:rsidRDefault="00FA5543" w:rsidP="00390489">
            <w:pPr>
              <w:spacing w:before="0" w:after="0"/>
              <w:jc w:val="left"/>
              <w:rPr>
                <w:b/>
                <w:bCs/>
                <w:noProof/>
                <w:color w:val="000000"/>
                <w:sz w:val="20"/>
                <w:szCs w:val="20"/>
                <w:lang w:eastAsia="en-IE"/>
              </w:rPr>
            </w:pPr>
          </w:p>
        </w:tc>
      </w:tr>
      <w:tr w:rsidR="00FA5543" w:rsidRPr="00C34031" w14:paraId="5655DF07" w14:textId="77777777" w:rsidTr="139DF8FE">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21AC1C5A" w14:textId="77777777" w:rsidR="00FA5543" w:rsidRPr="00C34031" w:rsidRDefault="00FA5543" w:rsidP="00390489">
            <w:pPr>
              <w:spacing w:before="0" w:after="0"/>
              <w:jc w:val="left"/>
              <w:rPr>
                <w:rFonts w:ascii="Wingdings" w:hAnsi="Wingdings" w:cs="Calibri"/>
                <w:noProof/>
                <w:color w:val="000000"/>
                <w:sz w:val="22"/>
              </w:rPr>
            </w:pPr>
            <w:r w:rsidRPr="00C34031">
              <w:rPr>
                <w:rFonts w:ascii="Wingdings" w:hAnsi="Wingdings"/>
                <w:noProof/>
                <w:color w:val="000000"/>
                <w:sz w:val="22"/>
              </w:rPr>
              <w:t></w:t>
            </w:r>
            <w:r w:rsidRPr="00C34031">
              <w:rPr>
                <w:noProof/>
                <w:color w:val="000000"/>
                <w:sz w:val="22"/>
              </w:rPr>
              <w:t xml:space="preserve"> Lidské zdroje </w:t>
            </w:r>
          </w:p>
        </w:tc>
        <w:tc>
          <w:tcPr>
            <w:tcW w:w="1001" w:type="dxa"/>
            <w:tcBorders>
              <w:top w:val="nil"/>
              <w:left w:val="nil"/>
              <w:bottom w:val="single" w:sz="8" w:space="0" w:color="auto"/>
              <w:right w:val="single" w:sz="8" w:space="0" w:color="auto"/>
            </w:tcBorders>
            <w:shd w:val="clear" w:color="auto" w:fill="D9D9D9" w:themeFill="background1" w:themeFillShade="D9"/>
            <w:vAlign w:val="center"/>
            <w:hideMark/>
          </w:tcPr>
          <w:p w14:paraId="62C86B28" w14:textId="77777777" w:rsidR="00FA5543" w:rsidRPr="00C34031" w:rsidRDefault="7433F688" w:rsidP="139DF8FE">
            <w:pPr>
              <w:spacing w:before="0" w:after="0"/>
              <w:jc w:val="right"/>
              <w:rPr>
                <w:rFonts w:eastAsia="Times New Roman"/>
                <w:noProof/>
                <w:sz w:val="20"/>
                <w:szCs w:val="20"/>
              </w:rPr>
            </w:pPr>
            <w:r w:rsidRPr="00C34031">
              <w:rPr>
                <w:noProof/>
                <w:color w:val="000000" w:themeColor="text1"/>
                <w:sz w:val="20"/>
              </w:rPr>
              <w:t>8,572</w:t>
            </w:r>
          </w:p>
        </w:tc>
        <w:tc>
          <w:tcPr>
            <w:tcW w:w="1001" w:type="dxa"/>
            <w:tcBorders>
              <w:top w:val="nil"/>
              <w:left w:val="nil"/>
              <w:bottom w:val="single" w:sz="8" w:space="0" w:color="auto"/>
              <w:right w:val="single" w:sz="8" w:space="0" w:color="auto"/>
            </w:tcBorders>
            <w:shd w:val="clear" w:color="auto" w:fill="D9D9D9" w:themeFill="background1" w:themeFillShade="D9"/>
            <w:vAlign w:val="center"/>
            <w:hideMark/>
          </w:tcPr>
          <w:p w14:paraId="3DC3BBCB" w14:textId="77777777" w:rsidR="00FA5543" w:rsidRPr="00C34031" w:rsidRDefault="7433F688" w:rsidP="139DF8FE">
            <w:pPr>
              <w:spacing w:before="0" w:after="0"/>
              <w:jc w:val="right"/>
              <w:rPr>
                <w:rFonts w:eastAsia="Times New Roman"/>
                <w:noProof/>
                <w:sz w:val="20"/>
                <w:szCs w:val="20"/>
              </w:rPr>
            </w:pPr>
            <w:r w:rsidRPr="00C34031">
              <w:rPr>
                <w:noProof/>
                <w:color w:val="000000" w:themeColor="text1"/>
                <w:sz w:val="20"/>
              </w:rPr>
              <w:t>6,271</w:t>
            </w:r>
          </w:p>
        </w:tc>
        <w:tc>
          <w:tcPr>
            <w:tcW w:w="1001" w:type="dxa"/>
            <w:tcBorders>
              <w:top w:val="nil"/>
              <w:left w:val="nil"/>
              <w:bottom w:val="single" w:sz="8" w:space="0" w:color="auto"/>
              <w:right w:val="single" w:sz="8" w:space="0" w:color="auto"/>
            </w:tcBorders>
            <w:shd w:val="clear" w:color="auto" w:fill="D9D9D9" w:themeFill="background1" w:themeFillShade="D9"/>
            <w:vAlign w:val="center"/>
            <w:hideMark/>
          </w:tcPr>
          <w:p w14:paraId="1908218E" w14:textId="77777777" w:rsidR="00FA5543" w:rsidRPr="00C34031" w:rsidRDefault="7433F688" w:rsidP="139DF8FE">
            <w:pPr>
              <w:spacing w:before="0" w:after="0"/>
              <w:jc w:val="right"/>
              <w:rPr>
                <w:rFonts w:eastAsia="Times New Roman"/>
                <w:noProof/>
                <w:sz w:val="20"/>
                <w:szCs w:val="20"/>
              </w:rPr>
            </w:pPr>
            <w:r w:rsidRPr="00C34031">
              <w:rPr>
                <w:noProof/>
                <w:color w:val="000000" w:themeColor="text1"/>
                <w:sz w:val="20"/>
              </w:rPr>
              <w:t>8,740</w:t>
            </w:r>
          </w:p>
        </w:tc>
        <w:tc>
          <w:tcPr>
            <w:tcW w:w="1001" w:type="dxa"/>
            <w:tcBorders>
              <w:top w:val="nil"/>
              <w:left w:val="nil"/>
              <w:bottom w:val="single" w:sz="8" w:space="0" w:color="auto"/>
              <w:right w:val="single" w:sz="8" w:space="0" w:color="auto"/>
            </w:tcBorders>
            <w:shd w:val="clear" w:color="auto" w:fill="D9D9D9" w:themeFill="background1" w:themeFillShade="D9"/>
            <w:vAlign w:val="center"/>
            <w:hideMark/>
          </w:tcPr>
          <w:p w14:paraId="67FC1103" w14:textId="77777777" w:rsidR="00FA5543" w:rsidRPr="00C34031" w:rsidRDefault="7433F688" w:rsidP="139DF8FE">
            <w:pPr>
              <w:spacing w:before="0" w:after="0"/>
              <w:jc w:val="right"/>
              <w:rPr>
                <w:rFonts w:eastAsia="Times New Roman"/>
                <w:noProof/>
                <w:sz w:val="20"/>
                <w:szCs w:val="20"/>
              </w:rPr>
            </w:pPr>
            <w:r w:rsidRPr="00C34031">
              <w:rPr>
                <w:noProof/>
                <w:color w:val="000000" w:themeColor="text1"/>
                <w:sz w:val="20"/>
              </w:rPr>
              <w:t>11,700</w:t>
            </w:r>
          </w:p>
        </w:tc>
        <w:tc>
          <w:tcPr>
            <w:tcW w:w="1244" w:type="dxa"/>
            <w:tcBorders>
              <w:top w:val="nil"/>
              <w:left w:val="nil"/>
              <w:bottom w:val="single" w:sz="8" w:space="0" w:color="auto"/>
              <w:right w:val="single" w:sz="8" w:space="0" w:color="auto"/>
            </w:tcBorders>
            <w:shd w:val="clear" w:color="auto" w:fill="D9D9D9" w:themeFill="background1" w:themeFillShade="D9"/>
            <w:vAlign w:val="center"/>
            <w:hideMark/>
          </w:tcPr>
          <w:p w14:paraId="4C25846B" w14:textId="77777777" w:rsidR="00FA5543" w:rsidRPr="00C34031" w:rsidRDefault="2FC99411" w:rsidP="139DF8FE">
            <w:pPr>
              <w:spacing w:before="0" w:after="0"/>
              <w:jc w:val="right"/>
              <w:rPr>
                <w:rFonts w:eastAsia="Times New Roman"/>
                <w:noProof/>
                <w:sz w:val="20"/>
                <w:szCs w:val="20"/>
              </w:rPr>
            </w:pPr>
            <w:r w:rsidRPr="00C34031">
              <w:rPr>
                <w:b/>
                <w:noProof/>
                <w:color w:val="000000" w:themeColor="text1"/>
                <w:sz w:val="20"/>
              </w:rPr>
              <w:t>35,283</w:t>
            </w:r>
          </w:p>
        </w:tc>
      </w:tr>
      <w:tr w:rsidR="00FA5543" w:rsidRPr="00C34031" w14:paraId="7908EECC" w14:textId="77777777" w:rsidTr="139DF8FE">
        <w:trPr>
          <w:trHeight w:val="300"/>
        </w:trPr>
        <w:tc>
          <w:tcPr>
            <w:tcW w:w="7892"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14:paraId="3759E76F" w14:textId="77777777" w:rsidR="00FA5543" w:rsidRPr="00C34031" w:rsidRDefault="00FA5543" w:rsidP="00390489">
            <w:pPr>
              <w:spacing w:before="0" w:after="0"/>
              <w:jc w:val="left"/>
              <w:rPr>
                <w:rFonts w:ascii="Wingdings" w:hAnsi="Wingdings" w:cs="Calibri"/>
                <w:noProof/>
                <w:color w:val="000000"/>
                <w:sz w:val="22"/>
              </w:rPr>
            </w:pPr>
            <w:r w:rsidRPr="00C34031">
              <w:rPr>
                <w:rFonts w:ascii="Wingdings" w:hAnsi="Wingdings"/>
                <w:noProof/>
                <w:color w:val="000000"/>
                <w:sz w:val="22"/>
              </w:rPr>
              <w:t></w:t>
            </w:r>
            <w:r w:rsidRPr="00C34031">
              <w:rPr>
                <w:noProof/>
                <w:color w:val="000000"/>
                <w:sz w:val="22"/>
              </w:rPr>
              <w:t xml:space="preserve">Ostatní správní výdaje </w:t>
            </w:r>
          </w:p>
        </w:tc>
        <w:tc>
          <w:tcPr>
            <w:tcW w:w="1001" w:type="dxa"/>
            <w:tcBorders>
              <w:top w:val="nil"/>
              <w:left w:val="nil"/>
              <w:bottom w:val="single" w:sz="8" w:space="0" w:color="auto"/>
              <w:right w:val="single" w:sz="8" w:space="0" w:color="auto"/>
            </w:tcBorders>
            <w:shd w:val="clear" w:color="auto" w:fill="D9D9D9" w:themeFill="background1" w:themeFillShade="D9"/>
            <w:vAlign w:val="center"/>
            <w:hideMark/>
          </w:tcPr>
          <w:p w14:paraId="0F1069A4" w14:textId="77777777" w:rsidR="00FA5543" w:rsidRPr="00C34031" w:rsidRDefault="604F9413" w:rsidP="139DF8FE">
            <w:pPr>
              <w:spacing w:before="0" w:after="0"/>
              <w:jc w:val="right"/>
              <w:rPr>
                <w:rFonts w:eastAsia="Times New Roman"/>
                <w:noProof/>
                <w:sz w:val="20"/>
                <w:szCs w:val="20"/>
              </w:rPr>
            </w:pPr>
            <w:r w:rsidRPr="00C34031">
              <w:rPr>
                <w:noProof/>
                <w:color w:val="000000" w:themeColor="text1"/>
                <w:sz w:val="20"/>
              </w:rPr>
              <w:t>0,600</w:t>
            </w:r>
          </w:p>
        </w:tc>
        <w:tc>
          <w:tcPr>
            <w:tcW w:w="1001" w:type="dxa"/>
            <w:tcBorders>
              <w:top w:val="nil"/>
              <w:left w:val="nil"/>
              <w:bottom w:val="single" w:sz="8" w:space="0" w:color="auto"/>
              <w:right w:val="single" w:sz="8" w:space="0" w:color="auto"/>
            </w:tcBorders>
            <w:shd w:val="clear" w:color="auto" w:fill="D9D9D9" w:themeFill="background1" w:themeFillShade="D9"/>
            <w:vAlign w:val="center"/>
            <w:hideMark/>
          </w:tcPr>
          <w:p w14:paraId="03B163AA" w14:textId="77777777" w:rsidR="00FA5543" w:rsidRPr="00C34031" w:rsidRDefault="604F9413" w:rsidP="139DF8FE">
            <w:pPr>
              <w:spacing w:before="0" w:after="0"/>
              <w:jc w:val="right"/>
              <w:rPr>
                <w:rFonts w:eastAsia="Times New Roman"/>
                <w:noProof/>
                <w:sz w:val="20"/>
                <w:szCs w:val="20"/>
              </w:rPr>
            </w:pPr>
            <w:r w:rsidRPr="00C34031">
              <w:rPr>
                <w:noProof/>
                <w:color w:val="000000" w:themeColor="text1"/>
                <w:sz w:val="20"/>
              </w:rPr>
              <w:t>0,300</w:t>
            </w:r>
          </w:p>
        </w:tc>
        <w:tc>
          <w:tcPr>
            <w:tcW w:w="1001" w:type="dxa"/>
            <w:tcBorders>
              <w:top w:val="nil"/>
              <w:left w:val="nil"/>
              <w:bottom w:val="single" w:sz="8" w:space="0" w:color="auto"/>
              <w:right w:val="single" w:sz="8" w:space="0" w:color="auto"/>
            </w:tcBorders>
            <w:shd w:val="clear" w:color="auto" w:fill="D9D9D9" w:themeFill="background1" w:themeFillShade="D9"/>
            <w:vAlign w:val="center"/>
            <w:hideMark/>
          </w:tcPr>
          <w:p w14:paraId="4749353E" w14:textId="77777777" w:rsidR="00FA5543" w:rsidRPr="00C34031" w:rsidRDefault="604F9413" w:rsidP="139DF8FE">
            <w:pPr>
              <w:spacing w:before="0" w:after="0"/>
              <w:jc w:val="right"/>
              <w:rPr>
                <w:rFonts w:eastAsia="Times New Roman"/>
                <w:noProof/>
                <w:sz w:val="20"/>
                <w:szCs w:val="20"/>
              </w:rPr>
            </w:pPr>
            <w:r w:rsidRPr="00C34031">
              <w:rPr>
                <w:noProof/>
                <w:color w:val="000000" w:themeColor="text1"/>
                <w:sz w:val="20"/>
              </w:rPr>
              <w:t>0,306</w:t>
            </w:r>
          </w:p>
        </w:tc>
        <w:tc>
          <w:tcPr>
            <w:tcW w:w="1001" w:type="dxa"/>
            <w:tcBorders>
              <w:top w:val="nil"/>
              <w:left w:val="nil"/>
              <w:bottom w:val="single" w:sz="8" w:space="0" w:color="auto"/>
              <w:right w:val="single" w:sz="8" w:space="0" w:color="auto"/>
            </w:tcBorders>
            <w:shd w:val="clear" w:color="auto" w:fill="D9D9D9" w:themeFill="background1" w:themeFillShade="D9"/>
            <w:vAlign w:val="center"/>
            <w:hideMark/>
          </w:tcPr>
          <w:p w14:paraId="5E8C661C" w14:textId="77777777" w:rsidR="00FA5543" w:rsidRPr="00C34031" w:rsidRDefault="604F9413" w:rsidP="139DF8FE">
            <w:pPr>
              <w:spacing w:before="0" w:after="0"/>
              <w:jc w:val="right"/>
              <w:rPr>
                <w:rFonts w:eastAsia="Times New Roman"/>
                <w:noProof/>
                <w:sz w:val="20"/>
                <w:szCs w:val="20"/>
              </w:rPr>
            </w:pPr>
            <w:r w:rsidRPr="00C34031">
              <w:rPr>
                <w:noProof/>
                <w:color w:val="000000" w:themeColor="text1"/>
                <w:sz w:val="20"/>
              </w:rPr>
              <w:t>0,312</w:t>
            </w:r>
          </w:p>
        </w:tc>
        <w:tc>
          <w:tcPr>
            <w:tcW w:w="1244" w:type="dxa"/>
            <w:tcBorders>
              <w:top w:val="nil"/>
              <w:left w:val="nil"/>
              <w:bottom w:val="single" w:sz="8" w:space="0" w:color="auto"/>
              <w:right w:val="single" w:sz="8" w:space="0" w:color="auto"/>
            </w:tcBorders>
            <w:shd w:val="clear" w:color="auto" w:fill="D9D9D9" w:themeFill="background1" w:themeFillShade="D9"/>
            <w:vAlign w:val="center"/>
            <w:hideMark/>
          </w:tcPr>
          <w:p w14:paraId="4B36312A" w14:textId="77777777" w:rsidR="00FA5543" w:rsidRPr="00C34031" w:rsidRDefault="604F9413" w:rsidP="139DF8FE">
            <w:pPr>
              <w:spacing w:before="0" w:after="0"/>
              <w:jc w:val="right"/>
              <w:rPr>
                <w:rFonts w:eastAsia="Times New Roman"/>
                <w:noProof/>
                <w:sz w:val="20"/>
                <w:szCs w:val="20"/>
              </w:rPr>
            </w:pPr>
            <w:r w:rsidRPr="00C34031">
              <w:rPr>
                <w:b/>
                <w:noProof/>
                <w:color w:val="000000" w:themeColor="text1"/>
                <w:sz w:val="20"/>
              </w:rPr>
              <w:t>1,518</w:t>
            </w:r>
          </w:p>
        </w:tc>
      </w:tr>
      <w:tr w:rsidR="00FA5543" w:rsidRPr="00C34031" w14:paraId="10D5FF3A" w14:textId="77777777" w:rsidTr="139DF8FE">
        <w:trPr>
          <w:trHeight w:val="300"/>
        </w:trPr>
        <w:tc>
          <w:tcPr>
            <w:tcW w:w="4405" w:type="dxa"/>
            <w:tcBorders>
              <w:top w:val="nil"/>
              <w:left w:val="single" w:sz="8" w:space="0" w:color="auto"/>
              <w:bottom w:val="single" w:sz="8" w:space="0" w:color="auto"/>
              <w:right w:val="single" w:sz="8" w:space="0" w:color="auto"/>
            </w:tcBorders>
            <w:shd w:val="clear" w:color="auto" w:fill="auto"/>
            <w:vAlign w:val="center"/>
            <w:hideMark/>
          </w:tcPr>
          <w:p w14:paraId="66BE0071" w14:textId="77777777" w:rsidR="00FA5543" w:rsidRPr="00C34031" w:rsidRDefault="6C3AF1E0" w:rsidP="139DF8FE">
            <w:pPr>
              <w:spacing w:before="0" w:after="0"/>
              <w:jc w:val="center"/>
              <w:rPr>
                <w:b/>
                <w:bCs/>
                <w:noProof/>
                <w:color w:val="000000"/>
                <w:sz w:val="22"/>
              </w:rPr>
            </w:pPr>
            <w:r w:rsidRPr="00C34031">
              <w:rPr>
                <w:b/>
                <w:noProof/>
                <w:color w:val="000000" w:themeColor="text1"/>
                <w:sz w:val="22"/>
              </w:rPr>
              <w:t>GŘ TAXUD CELKEM</w:t>
            </w:r>
          </w:p>
        </w:tc>
        <w:tc>
          <w:tcPr>
            <w:tcW w:w="3487" w:type="dxa"/>
            <w:gridSpan w:val="3"/>
            <w:tcBorders>
              <w:top w:val="single" w:sz="8" w:space="0" w:color="auto"/>
              <w:left w:val="nil"/>
              <w:bottom w:val="single" w:sz="8" w:space="0" w:color="auto"/>
              <w:right w:val="single" w:sz="8" w:space="0" w:color="auto"/>
            </w:tcBorders>
            <w:shd w:val="clear" w:color="auto" w:fill="auto"/>
            <w:vAlign w:val="center"/>
            <w:hideMark/>
          </w:tcPr>
          <w:p w14:paraId="2223E477" w14:textId="77777777" w:rsidR="00FA5543" w:rsidRPr="00C34031" w:rsidRDefault="00FA5543" w:rsidP="00390489">
            <w:pPr>
              <w:spacing w:before="0" w:after="0"/>
              <w:jc w:val="left"/>
              <w:rPr>
                <w:noProof/>
                <w:color w:val="000000"/>
                <w:sz w:val="18"/>
                <w:szCs w:val="18"/>
              </w:rPr>
            </w:pPr>
            <w:r w:rsidRPr="00C34031">
              <w:rPr>
                <w:noProof/>
                <w:color w:val="000000"/>
                <w:sz w:val="18"/>
              </w:rPr>
              <w:t xml:space="preserve">Prostředky </w:t>
            </w:r>
          </w:p>
        </w:tc>
        <w:tc>
          <w:tcPr>
            <w:tcW w:w="1001" w:type="dxa"/>
            <w:tcBorders>
              <w:top w:val="nil"/>
              <w:left w:val="nil"/>
              <w:bottom w:val="single" w:sz="8" w:space="0" w:color="auto"/>
              <w:right w:val="single" w:sz="8" w:space="0" w:color="auto"/>
            </w:tcBorders>
            <w:shd w:val="clear" w:color="auto" w:fill="D9D9D9" w:themeFill="background1" w:themeFillShade="D9"/>
            <w:vAlign w:val="center"/>
            <w:hideMark/>
          </w:tcPr>
          <w:p w14:paraId="560074E8" w14:textId="77777777" w:rsidR="139DF8FE" w:rsidRPr="00C34031" w:rsidRDefault="139DF8FE" w:rsidP="139DF8FE">
            <w:pPr>
              <w:spacing w:before="0" w:after="0"/>
              <w:jc w:val="right"/>
              <w:rPr>
                <w:noProof/>
              </w:rPr>
            </w:pPr>
            <w:r w:rsidRPr="00C34031">
              <w:rPr>
                <w:b/>
                <w:noProof/>
                <w:color w:val="000000" w:themeColor="text1"/>
                <w:sz w:val="20"/>
              </w:rPr>
              <w:t>9,172</w:t>
            </w:r>
          </w:p>
        </w:tc>
        <w:tc>
          <w:tcPr>
            <w:tcW w:w="1001" w:type="dxa"/>
            <w:tcBorders>
              <w:top w:val="nil"/>
              <w:left w:val="nil"/>
              <w:bottom w:val="single" w:sz="8" w:space="0" w:color="auto"/>
              <w:right w:val="single" w:sz="8" w:space="0" w:color="auto"/>
            </w:tcBorders>
            <w:shd w:val="clear" w:color="auto" w:fill="D9D9D9" w:themeFill="background1" w:themeFillShade="D9"/>
            <w:vAlign w:val="center"/>
            <w:hideMark/>
          </w:tcPr>
          <w:p w14:paraId="6A91D3A7" w14:textId="77777777" w:rsidR="00FA5543" w:rsidRPr="00C34031" w:rsidRDefault="26B5E3D3" w:rsidP="139DF8FE">
            <w:pPr>
              <w:spacing w:before="0" w:after="0"/>
              <w:jc w:val="right"/>
              <w:rPr>
                <w:rFonts w:eastAsia="Times New Roman"/>
                <w:noProof/>
                <w:sz w:val="20"/>
                <w:szCs w:val="20"/>
              </w:rPr>
            </w:pPr>
            <w:r w:rsidRPr="00C34031">
              <w:rPr>
                <w:b/>
                <w:noProof/>
                <w:color w:val="000000" w:themeColor="text1"/>
                <w:sz w:val="20"/>
              </w:rPr>
              <w:t>6,571</w:t>
            </w:r>
          </w:p>
        </w:tc>
        <w:tc>
          <w:tcPr>
            <w:tcW w:w="1001" w:type="dxa"/>
            <w:tcBorders>
              <w:top w:val="nil"/>
              <w:left w:val="nil"/>
              <w:bottom w:val="single" w:sz="8" w:space="0" w:color="auto"/>
              <w:right w:val="single" w:sz="8" w:space="0" w:color="auto"/>
            </w:tcBorders>
            <w:shd w:val="clear" w:color="auto" w:fill="D9D9D9" w:themeFill="background1" w:themeFillShade="D9"/>
            <w:vAlign w:val="center"/>
            <w:hideMark/>
          </w:tcPr>
          <w:p w14:paraId="777192AB" w14:textId="77777777" w:rsidR="139DF8FE" w:rsidRPr="00C34031" w:rsidRDefault="139DF8FE" w:rsidP="139DF8FE">
            <w:pPr>
              <w:spacing w:before="0" w:after="0"/>
              <w:jc w:val="right"/>
              <w:rPr>
                <w:noProof/>
              </w:rPr>
            </w:pPr>
            <w:r w:rsidRPr="00C34031">
              <w:rPr>
                <w:b/>
                <w:noProof/>
                <w:color w:val="000000" w:themeColor="text1"/>
                <w:sz w:val="20"/>
              </w:rPr>
              <w:t>9,046</w:t>
            </w:r>
          </w:p>
        </w:tc>
        <w:tc>
          <w:tcPr>
            <w:tcW w:w="1001" w:type="dxa"/>
            <w:tcBorders>
              <w:top w:val="nil"/>
              <w:left w:val="nil"/>
              <w:bottom w:val="single" w:sz="8" w:space="0" w:color="auto"/>
              <w:right w:val="single" w:sz="8" w:space="0" w:color="auto"/>
            </w:tcBorders>
            <w:shd w:val="clear" w:color="auto" w:fill="D9D9D9" w:themeFill="background1" w:themeFillShade="D9"/>
            <w:vAlign w:val="center"/>
            <w:hideMark/>
          </w:tcPr>
          <w:p w14:paraId="5B14A4A1" w14:textId="77777777" w:rsidR="00FA5543" w:rsidRPr="00C34031" w:rsidRDefault="0C1439CB" w:rsidP="00390489">
            <w:pPr>
              <w:spacing w:before="0" w:after="0"/>
              <w:jc w:val="right"/>
              <w:rPr>
                <w:b/>
                <w:bCs/>
                <w:noProof/>
                <w:color w:val="000000"/>
                <w:sz w:val="20"/>
                <w:szCs w:val="20"/>
              </w:rPr>
            </w:pPr>
            <w:r w:rsidRPr="00C34031">
              <w:rPr>
                <w:b/>
                <w:noProof/>
                <w:color w:val="000000" w:themeColor="text1"/>
                <w:sz w:val="20"/>
              </w:rPr>
              <w:t>12,012</w:t>
            </w:r>
          </w:p>
        </w:tc>
        <w:tc>
          <w:tcPr>
            <w:tcW w:w="1244" w:type="dxa"/>
            <w:tcBorders>
              <w:top w:val="nil"/>
              <w:left w:val="nil"/>
              <w:bottom w:val="single" w:sz="8" w:space="0" w:color="auto"/>
              <w:right w:val="single" w:sz="8" w:space="0" w:color="auto"/>
            </w:tcBorders>
            <w:shd w:val="clear" w:color="auto" w:fill="D9D9D9" w:themeFill="background1" w:themeFillShade="D9"/>
            <w:vAlign w:val="center"/>
            <w:hideMark/>
          </w:tcPr>
          <w:p w14:paraId="41FC8DBA" w14:textId="77777777" w:rsidR="00FA5543" w:rsidRPr="00C34031" w:rsidRDefault="0C1439CB" w:rsidP="139DF8FE">
            <w:pPr>
              <w:spacing w:before="0" w:after="0"/>
              <w:jc w:val="right"/>
              <w:rPr>
                <w:rFonts w:eastAsia="Times New Roman"/>
                <w:noProof/>
                <w:sz w:val="20"/>
                <w:szCs w:val="20"/>
              </w:rPr>
            </w:pPr>
            <w:r w:rsidRPr="00C34031">
              <w:rPr>
                <w:b/>
                <w:noProof/>
                <w:color w:val="000000" w:themeColor="text1"/>
                <w:sz w:val="20"/>
              </w:rPr>
              <w:t>36,801</w:t>
            </w:r>
          </w:p>
        </w:tc>
      </w:tr>
      <w:tr w:rsidR="00FA5543" w:rsidRPr="00C34031" w14:paraId="746840D7" w14:textId="77777777" w:rsidTr="139DF8FE">
        <w:trPr>
          <w:trHeight w:val="300"/>
        </w:trPr>
        <w:tc>
          <w:tcPr>
            <w:tcW w:w="4405" w:type="dxa"/>
            <w:tcBorders>
              <w:top w:val="nil"/>
              <w:left w:val="nil"/>
              <w:bottom w:val="nil"/>
              <w:right w:val="nil"/>
            </w:tcBorders>
            <w:shd w:val="clear" w:color="auto" w:fill="auto"/>
            <w:noWrap/>
            <w:vAlign w:val="bottom"/>
            <w:hideMark/>
          </w:tcPr>
          <w:p w14:paraId="7CAD01B3" w14:textId="77777777" w:rsidR="00FA5543" w:rsidRPr="00C34031" w:rsidRDefault="00FA5543" w:rsidP="00390489">
            <w:pPr>
              <w:spacing w:before="0" w:after="0"/>
              <w:jc w:val="right"/>
              <w:rPr>
                <w:b/>
                <w:bCs/>
                <w:noProof/>
                <w:color w:val="000000"/>
                <w:sz w:val="20"/>
                <w:szCs w:val="20"/>
                <w:lang w:eastAsia="en-IE"/>
              </w:rPr>
            </w:pPr>
          </w:p>
        </w:tc>
        <w:tc>
          <w:tcPr>
            <w:tcW w:w="2477" w:type="dxa"/>
            <w:tcBorders>
              <w:top w:val="nil"/>
              <w:left w:val="nil"/>
              <w:bottom w:val="nil"/>
              <w:right w:val="nil"/>
            </w:tcBorders>
            <w:shd w:val="clear" w:color="auto" w:fill="auto"/>
            <w:noWrap/>
            <w:vAlign w:val="bottom"/>
            <w:hideMark/>
          </w:tcPr>
          <w:p w14:paraId="1427219F" w14:textId="77777777" w:rsidR="00FA5543" w:rsidRPr="00C34031" w:rsidRDefault="00FA5543" w:rsidP="00390489">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14:paraId="3C419253" w14:textId="77777777" w:rsidR="00FA5543" w:rsidRPr="00C34031" w:rsidRDefault="00FA5543" w:rsidP="00390489">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14:paraId="3A975185" w14:textId="77777777" w:rsidR="00FA5543" w:rsidRPr="00C34031" w:rsidRDefault="00FA5543" w:rsidP="00390489">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5A1F2D36" w14:textId="77777777" w:rsidR="00FA5543" w:rsidRPr="00C34031" w:rsidRDefault="00FA5543" w:rsidP="00390489">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79165EE9" w14:textId="77777777" w:rsidR="00FA5543" w:rsidRPr="00C34031" w:rsidRDefault="00FA5543" w:rsidP="00390489">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6A43F8DE" w14:textId="77777777" w:rsidR="00FA5543" w:rsidRPr="00C34031" w:rsidRDefault="00FA5543" w:rsidP="00390489">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4CAF4FF6" w14:textId="77777777" w:rsidR="00FA5543" w:rsidRPr="00C34031" w:rsidRDefault="00FA5543" w:rsidP="00390489">
            <w:pPr>
              <w:spacing w:before="0" w:after="0"/>
              <w:jc w:val="left"/>
              <w:rPr>
                <w:noProof/>
                <w:sz w:val="20"/>
                <w:szCs w:val="20"/>
                <w:lang w:eastAsia="en-IE"/>
              </w:rPr>
            </w:pPr>
          </w:p>
        </w:tc>
        <w:tc>
          <w:tcPr>
            <w:tcW w:w="1244" w:type="dxa"/>
            <w:tcBorders>
              <w:top w:val="nil"/>
              <w:left w:val="nil"/>
              <w:bottom w:val="nil"/>
              <w:right w:val="nil"/>
            </w:tcBorders>
            <w:shd w:val="clear" w:color="auto" w:fill="auto"/>
            <w:noWrap/>
            <w:vAlign w:val="bottom"/>
            <w:hideMark/>
          </w:tcPr>
          <w:p w14:paraId="7C9B7F1C" w14:textId="77777777" w:rsidR="00FA5543" w:rsidRPr="00C34031" w:rsidRDefault="00FA5543" w:rsidP="00390489">
            <w:pPr>
              <w:spacing w:before="0" w:after="0"/>
              <w:jc w:val="left"/>
              <w:rPr>
                <w:noProof/>
                <w:sz w:val="20"/>
                <w:szCs w:val="20"/>
                <w:lang w:eastAsia="en-IE"/>
              </w:rPr>
            </w:pPr>
          </w:p>
        </w:tc>
      </w:tr>
      <w:tr w:rsidR="00FA5543" w:rsidRPr="00C34031" w14:paraId="3CBBDDCD" w14:textId="77777777" w:rsidTr="139DF8FE">
        <w:trPr>
          <w:trHeight w:val="300"/>
        </w:trPr>
        <w:tc>
          <w:tcPr>
            <w:tcW w:w="4405" w:type="dxa"/>
            <w:tcBorders>
              <w:top w:val="nil"/>
              <w:left w:val="nil"/>
              <w:bottom w:val="nil"/>
              <w:right w:val="nil"/>
            </w:tcBorders>
            <w:shd w:val="clear" w:color="auto" w:fill="auto"/>
            <w:noWrap/>
            <w:vAlign w:val="bottom"/>
            <w:hideMark/>
          </w:tcPr>
          <w:p w14:paraId="5E8C790E" w14:textId="77777777" w:rsidR="00FA5543" w:rsidRPr="00C34031" w:rsidRDefault="00FA5543" w:rsidP="00390489">
            <w:pPr>
              <w:spacing w:before="0" w:after="0"/>
              <w:jc w:val="right"/>
              <w:rPr>
                <w:b/>
                <w:bCs/>
                <w:noProof/>
                <w:color w:val="000000"/>
                <w:sz w:val="20"/>
                <w:szCs w:val="20"/>
                <w:lang w:eastAsia="en-IE"/>
              </w:rPr>
            </w:pPr>
          </w:p>
        </w:tc>
        <w:tc>
          <w:tcPr>
            <w:tcW w:w="2477" w:type="dxa"/>
            <w:tcBorders>
              <w:top w:val="nil"/>
              <w:left w:val="nil"/>
              <w:bottom w:val="nil"/>
              <w:right w:val="nil"/>
            </w:tcBorders>
            <w:shd w:val="clear" w:color="auto" w:fill="auto"/>
            <w:noWrap/>
            <w:vAlign w:val="bottom"/>
            <w:hideMark/>
          </w:tcPr>
          <w:p w14:paraId="4E0CFF27" w14:textId="77777777" w:rsidR="00FA5543" w:rsidRPr="00C34031" w:rsidRDefault="00FA5543" w:rsidP="00390489">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14:paraId="63A558AD" w14:textId="77777777" w:rsidR="00FA5543" w:rsidRPr="00C34031" w:rsidRDefault="00FA5543" w:rsidP="00390489">
            <w:pPr>
              <w:spacing w:before="0" w:after="0"/>
              <w:jc w:val="left"/>
              <w:rPr>
                <w:noProof/>
                <w:sz w:val="20"/>
                <w:szCs w:val="20"/>
                <w:lang w:eastAsia="en-IE"/>
              </w:rPr>
            </w:pPr>
          </w:p>
        </w:tc>
        <w:tc>
          <w:tcPr>
            <w:tcW w:w="505" w:type="dxa"/>
            <w:tcBorders>
              <w:top w:val="nil"/>
              <w:left w:val="nil"/>
              <w:bottom w:val="nil"/>
              <w:right w:val="nil"/>
            </w:tcBorders>
            <w:shd w:val="clear" w:color="auto" w:fill="auto"/>
            <w:noWrap/>
            <w:vAlign w:val="bottom"/>
            <w:hideMark/>
          </w:tcPr>
          <w:p w14:paraId="5947D90F" w14:textId="77777777" w:rsidR="00FA5543" w:rsidRPr="00C34031" w:rsidRDefault="00FA5543" w:rsidP="00390489">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345F0A16" w14:textId="77777777" w:rsidR="00FA5543" w:rsidRPr="00C34031" w:rsidRDefault="00FA5543" w:rsidP="00390489">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3D12CE93" w14:textId="77777777" w:rsidR="00FA5543" w:rsidRPr="00C34031" w:rsidRDefault="00FA5543" w:rsidP="00390489">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158BBC6A" w14:textId="77777777" w:rsidR="00FA5543" w:rsidRPr="00C34031" w:rsidRDefault="00FA5543" w:rsidP="00390489">
            <w:pPr>
              <w:spacing w:before="0" w:after="0"/>
              <w:jc w:val="left"/>
              <w:rPr>
                <w:noProof/>
                <w:sz w:val="20"/>
                <w:szCs w:val="20"/>
                <w:lang w:eastAsia="en-IE"/>
              </w:rPr>
            </w:pPr>
          </w:p>
        </w:tc>
        <w:tc>
          <w:tcPr>
            <w:tcW w:w="1001" w:type="dxa"/>
            <w:tcBorders>
              <w:top w:val="nil"/>
              <w:left w:val="nil"/>
              <w:bottom w:val="nil"/>
              <w:right w:val="nil"/>
            </w:tcBorders>
            <w:shd w:val="clear" w:color="auto" w:fill="auto"/>
            <w:noWrap/>
            <w:vAlign w:val="bottom"/>
            <w:hideMark/>
          </w:tcPr>
          <w:p w14:paraId="2CC7EE46" w14:textId="77777777" w:rsidR="00FA5543" w:rsidRPr="00C34031" w:rsidRDefault="00FA5543" w:rsidP="00390489">
            <w:pPr>
              <w:spacing w:before="0" w:after="0"/>
              <w:jc w:val="left"/>
              <w:rPr>
                <w:noProof/>
                <w:sz w:val="20"/>
                <w:szCs w:val="20"/>
                <w:lang w:eastAsia="en-IE"/>
              </w:rPr>
            </w:pPr>
          </w:p>
        </w:tc>
        <w:tc>
          <w:tcPr>
            <w:tcW w:w="1244" w:type="dxa"/>
            <w:tcBorders>
              <w:top w:val="nil"/>
              <w:left w:val="nil"/>
              <w:bottom w:val="nil"/>
              <w:right w:val="nil"/>
            </w:tcBorders>
            <w:shd w:val="clear" w:color="auto" w:fill="auto"/>
            <w:noWrap/>
            <w:vAlign w:val="bottom"/>
            <w:hideMark/>
          </w:tcPr>
          <w:p w14:paraId="0D0CBD03" w14:textId="77777777" w:rsidR="00FA5543" w:rsidRPr="00C34031" w:rsidRDefault="00FA5543" w:rsidP="00390489">
            <w:pPr>
              <w:spacing w:before="0" w:after="0"/>
              <w:jc w:val="left"/>
              <w:rPr>
                <w:noProof/>
                <w:sz w:val="20"/>
                <w:szCs w:val="20"/>
                <w:lang w:eastAsia="en-IE"/>
              </w:rPr>
            </w:pPr>
          </w:p>
        </w:tc>
      </w:tr>
      <w:tr w:rsidR="00FA5543" w:rsidRPr="00C34031" w14:paraId="64A6345A" w14:textId="77777777" w:rsidTr="139DF8FE">
        <w:trPr>
          <w:trHeight w:val="900"/>
        </w:trPr>
        <w:tc>
          <w:tcPr>
            <w:tcW w:w="6882" w:type="dxa"/>
            <w:gridSpan w:val="2"/>
            <w:tcBorders>
              <w:top w:val="single" w:sz="8" w:space="0" w:color="auto"/>
              <w:left w:val="single" w:sz="8" w:space="0" w:color="auto"/>
              <w:bottom w:val="single" w:sz="8" w:space="0" w:color="auto"/>
              <w:right w:val="single" w:sz="8" w:space="0" w:color="auto"/>
            </w:tcBorders>
            <w:shd w:val="clear" w:color="auto" w:fill="F1F1F1"/>
            <w:vAlign w:val="center"/>
            <w:hideMark/>
          </w:tcPr>
          <w:p w14:paraId="0E38E6C7" w14:textId="77777777" w:rsidR="00FA5543" w:rsidRPr="00C34031" w:rsidRDefault="00FA5543" w:rsidP="00390489">
            <w:pPr>
              <w:spacing w:before="0" w:after="0"/>
              <w:jc w:val="center"/>
              <w:rPr>
                <w:b/>
                <w:bCs/>
                <w:noProof/>
                <w:color w:val="000000"/>
                <w:sz w:val="22"/>
              </w:rPr>
            </w:pPr>
            <w:r w:rsidRPr="00C34031">
              <w:rPr>
                <w:b/>
                <w:noProof/>
                <w:color w:val="000000"/>
                <w:sz w:val="22"/>
              </w:rPr>
              <w:t xml:space="preserve">CELKEM prostředky z OKRUHU 7 víceletého finančního rámce </w:t>
            </w:r>
          </w:p>
        </w:tc>
        <w:tc>
          <w:tcPr>
            <w:tcW w:w="1010" w:type="dxa"/>
            <w:gridSpan w:val="2"/>
            <w:tcBorders>
              <w:top w:val="single" w:sz="8" w:space="0" w:color="auto"/>
              <w:left w:val="nil"/>
              <w:bottom w:val="single" w:sz="8" w:space="0" w:color="auto"/>
              <w:right w:val="single" w:sz="8" w:space="0" w:color="auto"/>
            </w:tcBorders>
            <w:shd w:val="clear" w:color="auto" w:fill="auto"/>
            <w:vAlign w:val="center"/>
            <w:hideMark/>
          </w:tcPr>
          <w:p w14:paraId="37FA29F3" w14:textId="77777777" w:rsidR="00FA5543" w:rsidRPr="00C34031" w:rsidRDefault="00FA5543" w:rsidP="00390489">
            <w:pPr>
              <w:spacing w:before="0" w:after="0"/>
              <w:jc w:val="center"/>
              <w:rPr>
                <w:noProof/>
                <w:color w:val="000000"/>
                <w:sz w:val="18"/>
                <w:szCs w:val="18"/>
              </w:rPr>
            </w:pPr>
            <w:r w:rsidRPr="00C34031">
              <w:rPr>
                <w:noProof/>
                <w:color w:val="000000"/>
                <w:sz w:val="18"/>
              </w:rPr>
              <w:t>(Závazky celkem = platby celkem)</w:t>
            </w:r>
          </w:p>
        </w:tc>
        <w:tc>
          <w:tcPr>
            <w:tcW w:w="10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132817F6" w14:textId="77777777" w:rsidR="00FA5543" w:rsidRPr="00C34031" w:rsidRDefault="4E6ECF0C" w:rsidP="139DF8FE">
            <w:pPr>
              <w:spacing w:before="0" w:after="0"/>
              <w:jc w:val="right"/>
              <w:rPr>
                <w:noProof/>
              </w:rPr>
            </w:pPr>
            <w:r w:rsidRPr="00C34031">
              <w:rPr>
                <w:b/>
                <w:noProof/>
                <w:color w:val="000000" w:themeColor="text1"/>
                <w:sz w:val="20"/>
              </w:rPr>
              <w:t>9,172</w:t>
            </w:r>
          </w:p>
        </w:tc>
        <w:tc>
          <w:tcPr>
            <w:tcW w:w="10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042BF331" w14:textId="77777777" w:rsidR="00FA5543" w:rsidRPr="00C34031" w:rsidRDefault="4E6ECF0C" w:rsidP="139DF8FE">
            <w:pPr>
              <w:spacing w:before="0" w:after="0"/>
              <w:jc w:val="right"/>
              <w:rPr>
                <w:rFonts w:eastAsia="Times New Roman"/>
                <w:noProof/>
                <w:sz w:val="20"/>
                <w:szCs w:val="20"/>
              </w:rPr>
            </w:pPr>
            <w:r w:rsidRPr="00C34031">
              <w:rPr>
                <w:b/>
                <w:noProof/>
                <w:color w:val="000000" w:themeColor="text1"/>
                <w:sz w:val="20"/>
              </w:rPr>
              <w:t>6,571</w:t>
            </w:r>
          </w:p>
        </w:tc>
        <w:tc>
          <w:tcPr>
            <w:tcW w:w="10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251D4278" w14:textId="77777777" w:rsidR="00FA5543" w:rsidRPr="00C34031" w:rsidRDefault="4E6ECF0C" w:rsidP="139DF8FE">
            <w:pPr>
              <w:spacing w:before="0" w:after="0"/>
              <w:jc w:val="right"/>
              <w:rPr>
                <w:noProof/>
              </w:rPr>
            </w:pPr>
            <w:r w:rsidRPr="00C34031">
              <w:rPr>
                <w:b/>
                <w:noProof/>
                <w:color w:val="000000" w:themeColor="text1"/>
                <w:sz w:val="20"/>
              </w:rPr>
              <w:t>9,046</w:t>
            </w:r>
          </w:p>
        </w:tc>
        <w:tc>
          <w:tcPr>
            <w:tcW w:w="1001"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6E8BBAC0" w14:textId="77777777" w:rsidR="00FA5543" w:rsidRPr="00C34031" w:rsidRDefault="4E6ECF0C" w:rsidP="00390489">
            <w:pPr>
              <w:spacing w:before="0" w:after="0"/>
              <w:jc w:val="right"/>
              <w:rPr>
                <w:b/>
                <w:bCs/>
                <w:noProof/>
                <w:color w:val="000000"/>
                <w:sz w:val="20"/>
                <w:szCs w:val="20"/>
              </w:rPr>
            </w:pPr>
            <w:r w:rsidRPr="00C34031">
              <w:rPr>
                <w:b/>
                <w:noProof/>
                <w:color w:val="000000" w:themeColor="text1"/>
                <w:sz w:val="20"/>
              </w:rPr>
              <w:t>12,012</w:t>
            </w:r>
          </w:p>
        </w:tc>
        <w:tc>
          <w:tcPr>
            <w:tcW w:w="1244"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14:paraId="01884AB2" w14:textId="77777777" w:rsidR="00FA5543" w:rsidRPr="00C34031" w:rsidRDefault="4E6ECF0C" w:rsidP="139DF8FE">
            <w:pPr>
              <w:spacing w:before="0" w:after="0"/>
              <w:jc w:val="right"/>
              <w:rPr>
                <w:rFonts w:eastAsia="Times New Roman"/>
                <w:noProof/>
                <w:sz w:val="20"/>
                <w:szCs w:val="20"/>
              </w:rPr>
            </w:pPr>
            <w:r w:rsidRPr="00C34031">
              <w:rPr>
                <w:b/>
                <w:noProof/>
                <w:color w:val="000000" w:themeColor="text1"/>
                <w:sz w:val="20"/>
              </w:rPr>
              <w:t>36,801</w:t>
            </w:r>
          </w:p>
        </w:tc>
      </w:tr>
    </w:tbl>
    <w:p w14:paraId="5733488C" w14:textId="77777777" w:rsidR="00FA5543" w:rsidRPr="00C34031" w:rsidRDefault="00FA5543" w:rsidP="00390489">
      <w:pPr>
        <w:jc w:val="right"/>
        <w:rPr>
          <w:noProof/>
          <w:sz w:val="20"/>
        </w:rPr>
      </w:pPr>
      <w:r w:rsidRPr="00C34031">
        <w:rPr>
          <w:noProof/>
          <w:sz w:val="20"/>
        </w:rPr>
        <w:t>v milionech EUR (zaokrouhleno na tři desetinná místa)</w:t>
      </w:r>
    </w:p>
    <w:tbl>
      <w:tblPr>
        <w:tblW w:w="13140" w:type="dxa"/>
        <w:tblInd w:w="118" w:type="dxa"/>
        <w:tblLook w:val="04A0" w:firstRow="1" w:lastRow="0" w:firstColumn="1" w:lastColumn="0" w:noHBand="0" w:noVBand="1"/>
      </w:tblPr>
      <w:tblGrid>
        <w:gridCol w:w="5180"/>
        <w:gridCol w:w="1920"/>
        <w:gridCol w:w="1160"/>
        <w:gridCol w:w="1160"/>
        <w:gridCol w:w="1160"/>
        <w:gridCol w:w="1160"/>
        <w:gridCol w:w="1400"/>
      </w:tblGrid>
      <w:tr w:rsidR="00FA5543" w:rsidRPr="00C34031" w14:paraId="698E69E5" w14:textId="77777777" w:rsidTr="139DF8FE">
        <w:trPr>
          <w:trHeight w:val="288"/>
        </w:trPr>
        <w:tc>
          <w:tcPr>
            <w:tcW w:w="7100" w:type="dxa"/>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6572FEB8" w14:textId="77777777" w:rsidR="00FA5543" w:rsidRPr="00C34031" w:rsidRDefault="00FA5543" w:rsidP="00390489">
            <w:pPr>
              <w:spacing w:before="0" w:after="0"/>
              <w:jc w:val="center"/>
              <w:rPr>
                <w:noProof/>
                <w:color w:val="000000"/>
                <w:szCs w:val="24"/>
              </w:rPr>
            </w:pPr>
            <w:r w:rsidRPr="00C34031">
              <w:rPr>
                <w:noProof/>
                <w:color w:val="000000"/>
              </w:rPr>
              <w:t> </w:t>
            </w:r>
          </w:p>
        </w:tc>
        <w:tc>
          <w:tcPr>
            <w:tcW w:w="1160" w:type="dxa"/>
            <w:tcBorders>
              <w:top w:val="single" w:sz="8" w:space="0" w:color="auto"/>
              <w:left w:val="nil"/>
              <w:bottom w:val="nil"/>
              <w:right w:val="single" w:sz="8" w:space="0" w:color="auto"/>
            </w:tcBorders>
            <w:shd w:val="clear" w:color="auto" w:fill="auto"/>
            <w:vAlign w:val="center"/>
            <w:hideMark/>
          </w:tcPr>
          <w:p w14:paraId="07A2CD36"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1160" w:type="dxa"/>
            <w:tcBorders>
              <w:top w:val="single" w:sz="8" w:space="0" w:color="auto"/>
              <w:left w:val="nil"/>
              <w:bottom w:val="nil"/>
              <w:right w:val="single" w:sz="8" w:space="0" w:color="auto"/>
            </w:tcBorders>
            <w:shd w:val="clear" w:color="auto" w:fill="auto"/>
            <w:vAlign w:val="center"/>
            <w:hideMark/>
          </w:tcPr>
          <w:p w14:paraId="0BA74778"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1160" w:type="dxa"/>
            <w:tcBorders>
              <w:top w:val="single" w:sz="8" w:space="0" w:color="auto"/>
              <w:left w:val="nil"/>
              <w:bottom w:val="nil"/>
              <w:right w:val="single" w:sz="8" w:space="0" w:color="auto"/>
            </w:tcBorders>
            <w:shd w:val="clear" w:color="auto" w:fill="auto"/>
            <w:vAlign w:val="center"/>
            <w:hideMark/>
          </w:tcPr>
          <w:p w14:paraId="2B6D7893"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1160" w:type="dxa"/>
            <w:tcBorders>
              <w:top w:val="single" w:sz="8" w:space="0" w:color="auto"/>
              <w:left w:val="nil"/>
              <w:bottom w:val="nil"/>
              <w:right w:val="single" w:sz="8" w:space="0" w:color="auto"/>
            </w:tcBorders>
            <w:shd w:val="clear" w:color="auto" w:fill="auto"/>
            <w:vAlign w:val="center"/>
            <w:hideMark/>
          </w:tcPr>
          <w:p w14:paraId="21B758CD"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1400" w:type="dxa"/>
            <w:vMerge w:val="restart"/>
            <w:tcBorders>
              <w:top w:val="single" w:sz="8" w:space="0" w:color="auto"/>
              <w:left w:val="single" w:sz="8" w:space="0" w:color="auto"/>
              <w:bottom w:val="single" w:sz="8" w:space="0" w:color="000000" w:themeColor="text1"/>
              <w:right w:val="single" w:sz="8" w:space="0" w:color="auto"/>
            </w:tcBorders>
            <w:shd w:val="clear" w:color="auto" w:fill="auto"/>
            <w:vAlign w:val="center"/>
            <w:hideMark/>
          </w:tcPr>
          <w:p w14:paraId="11D66932"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CELKEM VFR na období 2021–2027</w:t>
            </w:r>
          </w:p>
        </w:tc>
      </w:tr>
      <w:tr w:rsidR="00FA5543" w:rsidRPr="00C34031" w14:paraId="6388F664" w14:textId="77777777" w:rsidTr="139DF8FE">
        <w:trPr>
          <w:trHeight w:val="300"/>
        </w:trPr>
        <w:tc>
          <w:tcPr>
            <w:tcW w:w="7100" w:type="dxa"/>
            <w:gridSpan w:val="2"/>
            <w:vMerge/>
            <w:vAlign w:val="center"/>
            <w:hideMark/>
          </w:tcPr>
          <w:p w14:paraId="17816204" w14:textId="77777777" w:rsidR="00FA5543" w:rsidRPr="00C34031" w:rsidRDefault="00FA5543" w:rsidP="00390489">
            <w:pPr>
              <w:spacing w:before="0" w:after="0"/>
              <w:jc w:val="left"/>
              <w:rPr>
                <w:noProof/>
                <w:color w:val="000000"/>
                <w:szCs w:val="24"/>
                <w:lang w:eastAsia="en-IE"/>
              </w:rPr>
            </w:pPr>
          </w:p>
        </w:tc>
        <w:tc>
          <w:tcPr>
            <w:tcW w:w="1160" w:type="dxa"/>
            <w:tcBorders>
              <w:top w:val="nil"/>
              <w:left w:val="nil"/>
              <w:bottom w:val="single" w:sz="8" w:space="0" w:color="auto"/>
              <w:right w:val="single" w:sz="8" w:space="0" w:color="auto"/>
            </w:tcBorders>
            <w:shd w:val="clear" w:color="auto" w:fill="auto"/>
            <w:vAlign w:val="center"/>
            <w:hideMark/>
          </w:tcPr>
          <w:p w14:paraId="5999F58A"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2024</w:t>
            </w:r>
          </w:p>
        </w:tc>
        <w:tc>
          <w:tcPr>
            <w:tcW w:w="1160" w:type="dxa"/>
            <w:tcBorders>
              <w:top w:val="nil"/>
              <w:left w:val="nil"/>
              <w:bottom w:val="single" w:sz="8" w:space="0" w:color="auto"/>
              <w:right w:val="single" w:sz="8" w:space="0" w:color="auto"/>
            </w:tcBorders>
            <w:shd w:val="clear" w:color="auto" w:fill="auto"/>
            <w:vAlign w:val="center"/>
            <w:hideMark/>
          </w:tcPr>
          <w:p w14:paraId="026D90EB"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2025</w:t>
            </w:r>
          </w:p>
        </w:tc>
        <w:tc>
          <w:tcPr>
            <w:tcW w:w="1160" w:type="dxa"/>
            <w:tcBorders>
              <w:top w:val="nil"/>
              <w:left w:val="nil"/>
              <w:bottom w:val="single" w:sz="8" w:space="0" w:color="auto"/>
              <w:right w:val="single" w:sz="8" w:space="0" w:color="auto"/>
            </w:tcBorders>
            <w:shd w:val="clear" w:color="auto" w:fill="auto"/>
            <w:vAlign w:val="center"/>
            <w:hideMark/>
          </w:tcPr>
          <w:p w14:paraId="405D3C6C"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2026</w:t>
            </w:r>
          </w:p>
        </w:tc>
        <w:tc>
          <w:tcPr>
            <w:tcW w:w="1160" w:type="dxa"/>
            <w:tcBorders>
              <w:top w:val="nil"/>
              <w:left w:val="nil"/>
              <w:bottom w:val="single" w:sz="8" w:space="0" w:color="auto"/>
              <w:right w:val="single" w:sz="8" w:space="0" w:color="auto"/>
            </w:tcBorders>
            <w:shd w:val="clear" w:color="auto" w:fill="auto"/>
            <w:vAlign w:val="center"/>
            <w:hideMark/>
          </w:tcPr>
          <w:p w14:paraId="53E3C5CA"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2027</w:t>
            </w:r>
          </w:p>
        </w:tc>
        <w:tc>
          <w:tcPr>
            <w:tcW w:w="1400" w:type="dxa"/>
            <w:vMerge/>
            <w:vAlign w:val="center"/>
            <w:hideMark/>
          </w:tcPr>
          <w:p w14:paraId="6427BCF5" w14:textId="77777777" w:rsidR="00FA5543" w:rsidRPr="00C34031" w:rsidRDefault="00FA5543" w:rsidP="00390489">
            <w:pPr>
              <w:spacing w:before="0" w:after="0"/>
              <w:jc w:val="left"/>
              <w:rPr>
                <w:b/>
                <w:bCs/>
                <w:noProof/>
                <w:color w:val="000000"/>
                <w:sz w:val="20"/>
                <w:szCs w:val="20"/>
                <w:lang w:eastAsia="en-IE"/>
              </w:rPr>
            </w:pPr>
          </w:p>
        </w:tc>
      </w:tr>
      <w:tr w:rsidR="00FA5543" w:rsidRPr="00C34031" w14:paraId="644A0153" w14:textId="77777777" w:rsidTr="139DF8FE">
        <w:trPr>
          <w:trHeight w:val="564"/>
        </w:trPr>
        <w:tc>
          <w:tcPr>
            <w:tcW w:w="5180" w:type="dxa"/>
            <w:tcBorders>
              <w:top w:val="single" w:sz="8" w:space="0" w:color="auto"/>
              <w:left w:val="single" w:sz="8" w:space="0" w:color="auto"/>
              <w:bottom w:val="single" w:sz="8" w:space="0" w:color="auto"/>
              <w:right w:val="single" w:sz="8" w:space="0" w:color="000000" w:themeColor="text1"/>
            </w:tcBorders>
            <w:shd w:val="clear" w:color="auto" w:fill="C0C0C0"/>
            <w:vAlign w:val="center"/>
            <w:hideMark/>
          </w:tcPr>
          <w:p w14:paraId="1861500B" w14:textId="77777777" w:rsidR="00FA5543" w:rsidRPr="00C34031" w:rsidRDefault="00FA5543" w:rsidP="00390489">
            <w:pPr>
              <w:spacing w:before="0" w:after="0"/>
              <w:jc w:val="center"/>
              <w:rPr>
                <w:b/>
                <w:bCs/>
                <w:noProof/>
                <w:color w:val="000000"/>
                <w:sz w:val="22"/>
              </w:rPr>
            </w:pPr>
            <w:r w:rsidRPr="00C34031">
              <w:rPr>
                <w:b/>
                <w:noProof/>
                <w:color w:val="000000"/>
                <w:sz w:val="22"/>
              </w:rPr>
              <w:t>CELKEM prostředky z OKRUHŮ 1 až 7</w:t>
            </w:r>
          </w:p>
        </w:tc>
        <w:tc>
          <w:tcPr>
            <w:tcW w:w="1920" w:type="dxa"/>
            <w:tcBorders>
              <w:top w:val="single" w:sz="8" w:space="0" w:color="auto"/>
              <w:left w:val="nil"/>
              <w:bottom w:val="single" w:sz="8" w:space="0" w:color="auto"/>
              <w:right w:val="single" w:sz="8" w:space="0" w:color="auto"/>
            </w:tcBorders>
            <w:shd w:val="clear" w:color="auto" w:fill="auto"/>
            <w:vAlign w:val="center"/>
            <w:hideMark/>
          </w:tcPr>
          <w:p w14:paraId="6848772E" w14:textId="77777777" w:rsidR="00FA5543" w:rsidRPr="00C34031" w:rsidRDefault="00FA5543" w:rsidP="00390489">
            <w:pPr>
              <w:spacing w:before="0" w:after="0"/>
              <w:rPr>
                <w:noProof/>
                <w:color w:val="000000"/>
                <w:sz w:val="18"/>
                <w:szCs w:val="18"/>
              </w:rPr>
            </w:pPr>
            <w:r w:rsidRPr="00C34031">
              <w:rPr>
                <w:noProof/>
                <w:color w:val="000000"/>
                <w:sz w:val="18"/>
              </w:rPr>
              <w:t>Závazky</w:t>
            </w:r>
          </w:p>
        </w:tc>
        <w:tc>
          <w:tcPr>
            <w:tcW w:w="1160" w:type="dxa"/>
            <w:tcBorders>
              <w:top w:val="nil"/>
              <w:left w:val="nil"/>
              <w:bottom w:val="single" w:sz="8" w:space="0" w:color="auto"/>
              <w:right w:val="single" w:sz="8" w:space="0" w:color="auto"/>
            </w:tcBorders>
            <w:shd w:val="clear" w:color="auto" w:fill="D9D9D9" w:themeFill="background1" w:themeFillShade="D9"/>
            <w:vAlign w:val="center"/>
            <w:hideMark/>
          </w:tcPr>
          <w:p w14:paraId="3F1120F6" w14:textId="77777777" w:rsidR="00FA5543" w:rsidRPr="00C34031" w:rsidRDefault="78F6DEF2" w:rsidP="139DF8FE">
            <w:pPr>
              <w:spacing w:before="0" w:after="0"/>
              <w:jc w:val="right"/>
              <w:rPr>
                <w:rFonts w:eastAsia="Times New Roman"/>
                <w:noProof/>
                <w:szCs w:val="24"/>
              </w:rPr>
            </w:pPr>
            <w:r w:rsidRPr="00C34031">
              <w:rPr>
                <w:b/>
                <w:noProof/>
                <w:color w:val="000000" w:themeColor="text1"/>
              </w:rPr>
              <w:t>37,262</w:t>
            </w:r>
          </w:p>
        </w:tc>
        <w:tc>
          <w:tcPr>
            <w:tcW w:w="1160" w:type="dxa"/>
            <w:tcBorders>
              <w:top w:val="nil"/>
              <w:left w:val="nil"/>
              <w:bottom w:val="single" w:sz="8" w:space="0" w:color="auto"/>
              <w:right w:val="single" w:sz="8" w:space="0" w:color="auto"/>
            </w:tcBorders>
            <w:shd w:val="clear" w:color="auto" w:fill="D9D9D9" w:themeFill="background1" w:themeFillShade="D9"/>
            <w:vAlign w:val="center"/>
            <w:hideMark/>
          </w:tcPr>
          <w:p w14:paraId="0F2A63DF" w14:textId="77777777" w:rsidR="00FA5543" w:rsidRPr="00C34031" w:rsidRDefault="78F6DEF2" w:rsidP="139DF8FE">
            <w:pPr>
              <w:spacing w:before="0" w:after="0"/>
              <w:jc w:val="right"/>
              <w:rPr>
                <w:rFonts w:eastAsia="Times New Roman"/>
                <w:noProof/>
                <w:szCs w:val="24"/>
              </w:rPr>
            </w:pPr>
            <w:r w:rsidRPr="00C34031">
              <w:rPr>
                <w:b/>
                <w:noProof/>
                <w:color w:val="000000" w:themeColor="text1"/>
              </w:rPr>
              <w:t>41,321</w:t>
            </w:r>
          </w:p>
        </w:tc>
        <w:tc>
          <w:tcPr>
            <w:tcW w:w="1160" w:type="dxa"/>
            <w:tcBorders>
              <w:top w:val="nil"/>
              <w:left w:val="nil"/>
              <w:bottom w:val="single" w:sz="8" w:space="0" w:color="auto"/>
              <w:right w:val="single" w:sz="8" w:space="0" w:color="auto"/>
            </w:tcBorders>
            <w:shd w:val="clear" w:color="auto" w:fill="D9D9D9" w:themeFill="background1" w:themeFillShade="D9"/>
            <w:vAlign w:val="center"/>
            <w:hideMark/>
          </w:tcPr>
          <w:p w14:paraId="68462811" w14:textId="77777777" w:rsidR="00FA5543" w:rsidRPr="00C34031" w:rsidRDefault="78F6DEF2" w:rsidP="139DF8FE">
            <w:pPr>
              <w:spacing w:before="0" w:after="0"/>
              <w:jc w:val="right"/>
              <w:rPr>
                <w:rFonts w:eastAsia="Times New Roman"/>
                <w:noProof/>
                <w:szCs w:val="24"/>
              </w:rPr>
            </w:pPr>
            <w:r w:rsidRPr="00C34031">
              <w:rPr>
                <w:b/>
                <w:noProof/>
                <w:color w:val="000000" w:themeColor="text1"/>
              </w:rPr>
              <w:t>42,746</w:t>
            </w:r>
          </w:p>
        </w:tc>
        <w:tc>
          <w:tcPr>
            <w:tcW w:w="1160" w:type="dxa"/>
            <w:tcBorders>
              <w:top w:val="nil"/>
              <w:left w:val="nil"/>
              <w:bottom w:val="single" w:sz="8" w:space="0" w:color="auto"/>
              <w:right w:val="single" w:sz="8" w:space="0" w:color="auto"/>
            </w:tcBorders>
            <w:shd w:val="clear" w:color="auto" w:fill="D9D9D9" w:themeFill="background1" w:themeFillShade="D9"/>
            <w:vAlign w:val="center"/>
            <w:hideMark/>
          </w:tcPr>
          <w:p w14:paraId="667C0E02" w14:textId="77777777" w:rsidR="00FA5543" w:rsidRPr="00C34031" w:rsidRDefault="78F6DEF2" w:rsidP="139DF8FE">
            <w:pPr>
              <w:spacing w:before="0" w:after="0"/>
              <w:jc w:val="right"/>
              <w:rPr>
                <w:rFonts w:eastAsia="Times New Roman"/>
                <w:noProof/>
                <w:szCs w:val="24"/>
              </w:rPr>
            </w:pPr>
            <w:r w:rsidRPr="00C34031">
              <w:rPr>
                <w:b/>
                <w:noProof/>
                <w:color w:val="000000" w:themeColor="text1"/>
              </w:rPr>
              <w:t>42,162</w:t>
            </w:r>
          </w:p>
        </w:tc>
        <w:tc>
          <w:tcPr>
            <w:tcW w:w="1400" w:type="dxa"/>
            <w:tcBorders>
              <w:top w:val="nil"/>
              <w:left w:val="nil"/>
              <w:bottom w:val="single" w:sz="8" w:space="0" w:color="auto"/>
              <w:right w:val="single" w:sz="8" w:space="0" w:color="auto"/>
            </w:tcBorders>
            <w:shd w:val="clear" w:color="auto" w:fill="D9D9D9" w:themeFill="background1" w:themeFillShade="D9"/>
            <w:vAlign w:val="center"/>
            <w:hideMark/>
          </w:tcPr>
          <w:p w14:paraId="403249E7" w14:textId="77777777" w:rsidR="00FA5543" w:rsidRPr="00C34031" w:rsidRDefault="78F6DEF2" w:rsidP="139DF8FE">
            <w:pPr>
              <w:spacing w:before="0" w:after="0"/>
              <w:jc w:val="right"/>
              <w:rPr>
                <w:rFonts w:eastAsia="Times New Roman"/>
                <w:noProof/>
                <w:szCs w:val="24"/>
              </w:rPr>
            </w:pPr>
            <w:r w:rsidRPr="00C34031">
              <w:rPr>
                <w:b/>
                <w:noProof/>
                <w:color w:val="000000" w:themeColor="text1"/>
              </w:rPr>
              <w:t>163,491</w:t>
            </w:r>
          </w:p>
        </w:tc>
      </w:tr>
      <w:tr w:rsidR="00FA5543" w:rsidRPr="00C34031" w14:paraId="1CDDA466" w14:textId="77777777" w:rsidTr="139DF8FE">
        <w:trPr>
          <w:trHeight w:val="540"/>
        </w:trPr>
        <w:tc>
          <w:tcPr>
            <w:tcW w:w="5180" w:type="dxa"/>
            <w:tcBorders>
              <w:top w:val="single" w:sz="8" w:space="0" w:color="auto"/>
              <w:left w:val="single" w:sz="8" w:space="0" w:color="auto"/>
              <w:bottom w:val="single" w:sz="8" w:space="0" w:color="auto"/>
              <w:right w:val="single" w:sz="8" w:space="0" w:color="000000" w:themeColor="text1"/>
            </w:tcBorders>
            <w:shd w:val="clear" w:color="auto" w:fill="C0C0C0"/>
            <w:vAlign w:val="center"/>
            <w:hideMark/>
          </w:tcPr>
          <w:p w14:paraId="0621C843" w14:textId="77777777" w:rsidR="00FA5543" w:rsidRPr="00C34031" w:rsidRDefault="00FA5543" w:rsidP="00390489">
            <w:pPr>
              <w:spacing w:before="0" w:after="0"/>
              <w:jc w:val="center"/>
              <w:rPr>
                <w:noProof/>
                <w:color w:val="000000"/>
                <w:sz w:val="22"/>
              </w:rPr>
            </w:pPr>
            <w:r w:rsidRPr="00C34031">
              <w:rPr>
                <w:noProof/>
                <w:color w:val="000000"/>
                <w:sz w:val="22"/>
              </w:rPr>
              <w:t>víceletého finančního rámce</w:t>
            </w:r>
            <w:r w:rsidRPr="00C34031">
              <w:rPr>
                <w:b/>
                <w:noProof/>
                <w:color w:val="000000"/>
                <w:sz w:val="22"/>
              </w:rPr>
              <w:t xml:space="preserve"> </w:t>
            </w:r>
          </w:p>
        </w:tc>
        <w:tc>
          <w:tcPr>
            <w:tcW w:w="1920" w:type="dxa"/>
            <w:tcBorders>
              <w:top w:val="single" w:sz="8" w:space="0" w:color="auto"/>
              <w:left w:val="nil"/>
              <w:bottom w:val="single" w:sz="8" w:space="0" w:color="auto"/>
              <w:right w:val="single" w:sz="8" w:space="0" w:color="auto"/>
            </w:tcBorders>
            <w:shd w:val="clear" w:color="auto" w:fill="auto"/>
            <w:vAlign w:val="center"/>
            <w:hideMark/>
          </w:tcPr>
          <w:p w14:paraId="590C7686" w14:textId="77777777" w:rsidR="00FA5543" w:rsidRPr="00C34031" w:rsidRDefault="00FA5543" w:rsidP="00390489">
            <w:pPr>
              <w:spacing w:before="0" w:after="0"/>
              <w:rPr>
                <w:noProof/>
                <w:color w:val="000000"/>
                <w:sz w:val="18"/>
                <w:szCs w:val="18"/>
              </w:rPr>
            </w:pPr>
            <w:r w:rsidRPr="00C34031">
              <w:rPr>
                <w:noProof/>
                <w:color w:val="000000"/>
                <w:sz w:val="18"/>
              </w:rPr>
              <w:t>Platby</w:t>
            </w:r>
          </w:p>
        </w:tc>
        <w:tc>
          <w:tcPr>
            <w:tcW w:w="1160" w:type="dxa"/>
            <w:tcBorders>
              <w:top w:val="nil"/>
              <w:left w:val="nil"/>
              <w:bottom w:val="single" w:sz="8" w:space="0" w:color="auto"/>
              <w:right w:val="single" w:sz="8" w:space="0" w:color="auto"/>
            </w:tcBorders>
            <w:shd w:val="clear" w:color="auto" w:fill="D9D9D9" w:themeFill="background1" w:themeFillShade="D9"/>
            <w:vAlign w:val="center"/>
            <w:hideMark/>
          </w:tcPr>
          <w:p w14:paraId="4E2BD7C2" w14:textId="77777777" w:rsidR="00FA5543" w:rsidRPr="00C34031" w:rsidRDefault="140E2038" w:rsidP="139DF8FE">
            <w:pPr>
              <w:spacing w:before="0" w:after="0"/>
              <w:jc w:val="right"/>
              <w:rPr>
                <w:rFonts w:eastAsia="Times New Roman"/>
                <w:noProof/>
                <w:szCs w:val="24"/>
              </w:rPr>
            </w:pPr>
            <w:r w:rsidRPr="00C34031">
              <w:rPr>
                <w:b/>
                <w:noProof/>
                <w:color w:val="000000" w:themeColor="text1"/>
              </w:rPr>
              <w:t>26,702</w:t>
            </w:r>
          </w:p>
        </w:tc>
        <w:tc>
          <w:tcPr>
            <w:tcW w:w="1160" w:type="dxa"/>
            <w:tcBorders>
              <w:top w:val="nil"/>
              <w:left w:val="nil"/>
              <w:bottom w:val="single" w:sz="8" w:space="0" w:color="auto"/>
              <w:right w:val="single" w:sz="8" w:space="0" w:color="auto"/>
            </w:tcBorders>
            <w:shd w:val="clear" w:color="auto" w:fill="D9D9D9" w:themeFill="background1" w:themeFillShade="D9"/>
            <w:vAlign w:val="center"/>
            <w:hideMark/>
          </w:tcPr>
          <w:p w14:paraId="03010898" w14:textId="77777777" w:rsidR="00FA5543" w:rsidRPr="00C34031" w:rsidRDefault="140E2038" w:rsidP="139DF8FE">
            <w:pPr>
              <w:spacing w:before="0" w:after="0"/>
              <w:jc w:val="right"/>
              <w:rPr>
                <w:rFonts w:eastAsia="Times New Roman"/>
                <w:noProof/>
                <w:szCs w:val="24"/>
              </w:rPr>
            </w:pPr>
            <w:r w:rsidRPr="00C34031">
              <w:rPr>
                <w:b/>
                <w:noProof/>
                <w:color w:val="000000" w:themeColor="text1"/>
              </w:rPr>
              <w:t>27,728</w:t>
            </w:r>
          </w:p>
        </w:tc>
        <w:tc>
          <w:tcPr>
            <w:tcW w:w="1160" w:type="dxa"/>
            <w:tcBorders>
              <w:top w:val="nil"/>
              <w:left w:val="nil"/>
              <w:bottom w:val="single" w:sz="8" w:space="0" w:color="auto"/>
              <w:right w:val="single" w:sz="8" w:space="0" w:color="auto"/>
            </w:tcBorders>
            <w:shd w:val="clear" w:color="auto" w:fill="D9D9D9" w:themeFill="background1" w:themeFillShade="D9"/>
            <w:vAlign w:val="center"/>
            <w:hideMark/>
          </w:tcPr>
          <w:p w14:paraId="59B35DE6" w14:textId="77777777" w:rsidR="00FA5543" w:rsidRPr="00C34031" w:rsidRDefault="140E2038" w:rsidP="139DF8FE">
            <w:pPr>
              <w:spacing w:before="0" w:after="0"/>
              <w:jc w:val="right"/>
              <w:rPr>
                <w:rFonts w:eastAsia="Times New Roman"/>
                <w:noProof/>
                <w:szCs w:val="24"/>
              </w:rPr>
            </w:pPr>
            <w:r w:rsidRPr="00C34031">
              <w:rPr>
                <w:b/>
                <w:noProof/>
                <w:color w:val="000000" w:themeColor="text1"/>
              </w:rPr>
              <w:t>41,136</w:t>
            </w:r>
          </w:p>
        </w:tc>
        <w:tc>
          <w:tcPr>
            <w:tcW w:w="1160" w:type="dxa"/>
            <w:tcBorders>
              <w:top w:val="nil"/>
              <w:left w:val="nil"/>
              <w:bottom w:val="single" w:sz="8" w:space="0" w:color="auto"/>
              <w:right w:val="single" w:sz="8" w:space="0" w:color="auto"/>
            </w:tcBorders>
            <w:shd w:val="clear" w:color="auto" w:fill="D9D9D9" w:themeFill="background1" w:themeFillShade="D9"/>
            <w:vAlign w:val="center"/>
            <w:hideMark/>
          </w:tcPr>
          <w:p w14:paraId="5126209D" w14:textId="77777777" w:rsidR="00FA5543" w:rsidRPr="00C34031" w:rsidRDefault="140E2038" w:rsidP="139DF8FE">
            <w:pPr>
              <w:spacing w:before="0" w:after="0"/>
              <w:jc w:val="right"/>
              <w:rPr>
                <w:rFonts w:eastAsia="Times New Roman"/>
                <w:noProof/>
                <w:szCs w:val="24"/>
              </w:rPr>
            </w:pPr>
            <w:r w:rsidRPr="00C34031">
              <w:rPr>
                <w:b/>
                <w:noProof/>
                <w:color w:val="000000" w:themeColor="text1"/>
              </w:rPr>
              <w:t>45,079</w:t>
            </w:r>
          </w:p>
        </w:tc>
        <w:tc>
          <w:tcPr>
            <w:tcW w:w="1400" w:type="dxa"/>
            <w:tcBorders>
              <w:top w:val="nil"/>
              <w:left w:val="nil"/>
              <w:bottom w:val="single" w:sz="8" w:space="0" w:color="auto"/>
              <w:right w:val="single" w:sz="8" w:space="0" w:color="auto"/>
            </w:tcBorders>
            <w:shd w:val="clear" w:color="auto" w:fill="D9D9D9" w:themeFill="background1" w:themeFillShade="D9"/>
            <w:vAlign w:val="center"/>
            <w:hideMark/>
          </w:tcPr>
          <w:p w14:paraId="3EBE12A2" w14:textId="77777777" w:rsidR="00FA5543" w:rsidRPr="00C34031" w:rsidRDefault="140E2038" w:rsidP="139DF8FE">
            <w:pPr>
              <w:spacing w:before="0" w:after="0"/>
              <w:jc w:val="right"/>
              <w:rPr>
                <w:rFonts w:eastAsia="Times New Roman"/>
                <w:noProof/>
                <w:szCs w:val="24"/>
              </w:rPr>
            </w:pPr>
            <w:r w:rsidRPr="00C34031">
              <w:rPr>
                <w:b/>
                <w:noProof/>
                <w:color w:val="000000" w:themeColor="text1"/>
              </w:rPr>
              <w:t>140,645</w:t>
            </w:r>
          </w:p>
        </w:tc>
      </w:tr>
    </w:tbl>
    <w:p w14:paraId="7DF8A4D5" w14:textId="77777777" w:rsidR="00FA5543" w:rsidRPr="00C34031" w:rsidRDefault="00FA5543" w:rsidP="00390489">
      <w:pPr>
        <w:pStyle w:val="ManualHeading3"/>
        <w:rPr>
          <w:bCs/>
          <w:noProof/>
          <w:szCs w:val="24"/>
        </w:rPr>
      </w:pPr>
      <w:r w:rsidRPr="00C34031">
        <w:rPr>
          <w:noProof/>
        </w:rPr>
        <w:t>3.2.2.</w:t>
      </w:r>
      <w:r w:rsidRPr="00C34031">
        <w:rPr>
          <w:noProof/>
        </w:rPr>
        <w:tab/>
        <w:t>Odhadovaný výstup financovaný z operačních prostředků (nevyplňovat v případě decentralizovaných agentur)</w:t>
      </w:r>
    </w:p>
    <w:p w14:paraId="46D88008" w14:textId="77777777" w:rsidR="00FA5543" w:rsidRPr="00C34031" w:rsidRDefault="00FA5543" w:rsidP="00390489">
      <w:pPr>
        <w:jc w:val="right"/>
        <w:rPr>
          <w:noProof/>
          <w:sz w:val="20"/>
        </w:rPr>
      </w:pPr>
      <w:r w:rsidRPr="00C34031">
        <w:rPr>
          <w:noProof/>
          <w:sz w:val="20"/>
        </w:rPr>
        <w:t>Prostředky na závazky v milionech EUR (zaokrouhleno na tři desetinná místa)</w:t>
      </w:r>
    </w:p>
    <w:tbl>
      <w:tblPr>
        <w:tblW w:w="136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3"/>
        <w:gridCol w:w="720"/>
        <w:gridCol w:w="701"/>
        <w:gridCol w:w="504"/>
        <w:gridCol w:w="720"/>
        <w:gridCol w:w="540"/>
        <w:gridCol w:w="720"/>
        <w:gridCol w:w="720"/>
        <w:gridCol w:w="720"/>
        <w:gridCol w:w="900"/>
        <w:gridCol w:w="51"/>
        <w:gridCol w:w="669"/>
        <w:gridCol w:w="540"/>
        <w:gridCol w:w="648"/>
        <w:gridCol w:w="432"/>
        <w:gridCol w:w="720"/>
        <w:gridCol w:w="540"/>
        <w:gridCol w:w="720"/>
        <w:gridCol w:w="720"/>
        <w:gridCol w:w="900"/>
      </w:tblGrid>
      <w:tr w:rsidR="00FA5543" w:rsidRPr="00C34031" w14:paraId="7FB24BA7" w14:textId="77777777" w:rsidTr="139DF8FE">
        <w:trPr>
          <w:jc w:val="center"/>
        </w:trPr>
        <w:tc>
          <w:tcPr>
            <w:tcW w:w="1423" w:type="dxa"/>
            <w:vMerge w:val="restart"/>
            <w:vAlign w:val="center"/>
          </w:tcPr>
          <w:p w14:paraId="7AB48819" w14:textId="77777777" w:rsidR="00FA5543" w:rsidRPr="00C34031" w:rsidRDefault="00FA5543" w:rsidP="00390489">
            <w:pPr>
              <w:ind w:right="-29"/>
              <w:jc w:val="center"/>
              <w:rPr>
                <w:b/>
                <w:noProof/>
                <w:sz w:val="18"/>
                <w:szCs w:val="18"/>
              </w:rPr>
            </w:pPr>
            <w:r w:rsidRPr="00C34031">
              <w:rPr>
                <w:b/>
                <w:noProof/>
                <w:sz w:val="18"/>
              </w:rPr>
              <w:t xml:space="preserve">Uveďte cíle a výstupy </w:t>
            </w:r>
          </w:p>
          <w:p w14:paraId="7AD61513" w14:textId="77777777" w:rsidR="00FA5543" w:rsidRPr="00C34031" w:rsidRDefault="00FA5543" w:rsidP="00390489">
            <w:pPr>
              <w:ind w:right="-29"/>
              <w:jc w:val="center"/>
              <w:rPr>
                <w:b/>
                <w:noProof/>
                <w:sz w:val="18"/>
                <w:szCs w:val="18"/>
              </w:rPr>
            </w:pPr>
          </w:p>
          <w:p w14:paraId="01F36C9F" w14:textId="77777777" w:rsidR="00FA5543" w:rsidRPr="00C34031" w:rsidRDefault="00FA5543" w:rsidP="00390489">
            <w:pPr>
              <w:ind w:right="-29"/>
              <w:jc w:val="center"/>
              <w:rPr>
                <w:noProof/>
                <w:sz w:val="18"/>
                <w:szCs w:val="18"/>
              </w:rPr>
            </w:pPr>
            <w:r w:rsidRPr="00C34031">
              <w:rPr>
                <w:rFonts w:ascii="Wingdings" w:hAnsi="Wingdings"/>
                <w:noProof/>
                <w:sz w:val="18"/>
              </w:rPr>
              <w:t></w:t>
            </w:r>
          </w:p>
        </w:tc>
        <w:tc>
          <w:tcPr>
            <w:tcW w:w="720" w:type="dxa"/>
            <w:vAlign w:val="center"/>
          </w:tcPr>
          <w:p w14:paraId="729AC6D5" w14:textId="77777777" w:rsidR="00FA5543" w:rsidRPr="00C34031" w:rsidRDefault="00FA5543" w:rsidP="00390489">
            <w:pPr>
              <w:ind w:right="-29"/>
              <w:jc w:val="center"/>
              <w:rPr>
                <w:noProof/>
                <w:sz w:val="18"/>
                <w:szCs w:val="18"/>
              </w:rPr>
            </w:pPr>
          </w:p>
        </w:tc>
        <w:tc>
          <w:tcPr>
            <w:tcW w:w="701" w:type="dxa"/>
            <w:vAlign w:val="center"/>
          </w:tcPr>
          <w:p w14:paraId="36CAC6A1" w14:textId="77777777" w:rsidR="00FA5543" w:rsidRPr="00C34031" w:rsidRDefault="00FA5543" w:rsidP="00390489">
            <w:pPr>
              <w:ind w:right="-29"/>
              <w:jc w:val="center"/>
              <w:rPr>
                <w:noProof/>
                <w:sz w:val="18"/>
                <w:szCs w:val="18"/>
              </w:rPr>
            </w:pPr>
          </w:p>
        </w:tc>
        <w:tc>
          <w:tcPr>
            <w:tcW w:w="1224" w:type="dxa"/>
            <w:gridSpan w:val="2"/>
            <w:tcBorders>
              <w:left w:val="nil"/>
            </w:tcBorders>
            <w:vAlign w:val="center"/>
          </w:tcPr>
          <w:p w14:paraId="1C32D29A" w14:textId="77777777" w:rsidR="00FA5543" w:rsidRPr="00C34031" w:rsidRDefault="00FA5543" w:rsidP="00390489">
            <w:pPr>
              <w:ind w:right="-29"/>
              <w:jc w:val="center"/>
              <w:rPr>
                <w:noProof/>
                <w:sz w:val="18"/>
                <w:szCs w:val="18"/>
              </w:rPr>
            </w:pPr>
            <w:r w:rsidRPr="00C34031">
              <w:rPr>
                <w:noProof/>
                <w:sz w:val="18"/>
              </w:rPr>
              <w:t xml:space="preserve">Rok </w:t>
            </w:r>
            <w:r w:rsidRPr="00C34031">
              <w:rPr>
                <w:noProof/>
                <w:sz w:val="22"/>
              </w:rPr>
              <w:br/>
            </w:r>
            <w:r w:rsidRPr="00C34031">
              <w:rPr>
                <w:b/>
                <w:noProof/>
                <w:sz w:val="18"/>
              </w:rPr>
              <w:t>2024</w:t>
            </w:r>
          </w:p>
        </w:tc>
        <w:tc>
          <w:tcPr>
            <w:tcW w:w="1260" w:type="dxa"/>
            <w:gridSpan w:val="2"/>
            <w:vAlign w:val="center"/>
          </w:tcPr>
          <w:p w14:paraId="64C615B1" w14:textId="77777777" w:rsidR="00FA5543" w:rsidRPr="00C34031" w:rsidRDefault="00FA5543" w:rsidP="00390489">
            <w:pPr>
              <w:ind w:right="-29"/>
              <w:jc w:val="center"/>
              <w:rPr>
                <w:noProof/>
                <w:sz w:val="18"/>
                <w:szCs w:val="18"/>
              </w:rPr>
            </w:pPr>
            <w:r w:rsidRPr="00C34031">
              <w:rPr>
                <w:noProof/>
                <w:sz w:val="18"/>
              </w:rPr>
              <w:t xml:space="preserve">Rok </w:t>
            </w:r>
            <w:r w:rsidRPr="00C34031">
              <w:rPr>
                <w:noProof/>
                <w:sz w:val="22"/>
              </w:rPr>
              <w:br/>
            </w:r>
            <w:r w:rsidRPr="00C34031">
              <w:rPr>
                <w:b/>
                <w:noProof/>
                <w:sz w:val="18"/>
              </w:rPr>
              <w:t>2025</w:t>
            </w:r>
          </w:p>
        </w:tc>
        <w:tc>
          <w:tcPr>
            <w:tcW w:w="1440" w:type="dxa"/>
            <w:gridSpan w:val="2"/>
            <w:vAlign w:val="center"/>
          </w:tcPr>
          <w:p w14:paraId="1E3B0689" w14:textId="77777777" w:rsidR="00FA5543" w:rsidRPr="00C34031" w:rsidRDefault="00FA5543" w:rsidP="00390489">
            <w:pPr>
              <w:ind w:right="-29"/>
              <w:jc w:val="center"/>
              <w:rPr>
                <w:noProof/>
                <w:sz w:val="18"/>
                <w:szCs w:val="18"/>
              </w:rPr>
            </w:pPr>
            <w:r w:rsidRPr="00C34031">
              <w:rPr>
                <w:noProof/>
                <w:sz w:val="18"/>
              </w:rPr>
              <w:t xml:space="preserve">Rok </w:t>
            </w:r>
            <w:r w:rsidRPr="00C34031">
              <w:rPr>
                <w:noProof/>
                <w:sz w:val="22"/>
              </w:rPr>
              <w:br/>
            </w:r>
            <w:r w:rsidRPr="00C34031">
              <w:rPr>
                <w:b/>
                <w:noProof/>
                <w:sz w:val="18"/>
              </w:rPr>
              <w:t>2026</w:t>
            </w:r>
          </w:p>
        </w:tc>
        <w:tc>
          <w:tcPr>
            <w:tcW w:w="1620" w:type="dxa"/>
            <w:gridSpan w:val="3"/>
            <w:vAlign w:val="center"/>
          </w:tcPr>
          <w:p w14:paraId="59768A70" w14:textId="77777777" w:rsidR="00FA5543" w:rsidRPr="00C34031" w:rsidRDefault="00FA5543" w:rsidP="00390489">
            <w:pPr>
              <w:ind w:right="-29"/>
              <w:jc w:val="center"/>
              <w:rPr>
                <w:noProof/>
                <w:sz w:val="18"/>
                <w:szCs w:val="18"/>
              </w:rPr>
            </w:pPr>
            <w:r w:rsidRPr="00C34031">
              <w:rPr>
                <w:noProof/>
                <w:sz w:val="18"/>
              </w:rPr>
              <w:t xml:space="preserve">Rok </w:t>
            </w:r>
            <w:r w:rsidRPr="00C34031">
              <w:rPr>
                <w:noProof/>
                <w:sz w:val="22"/>
              </w:rPr>
              <w:br/>
            </w:r>
            <w:r w:rsidRPr="00C34031">
              <w:rPr>
                <w:b/>
                <w:noProof/>
                <w:sz w:val="18"/>
              </w:rPr>
              <w:t>2027</w:t>
            </w:r>
          </w:p>
        </w:tc>
        <w:tc>
          <w:tcPr>
            <w:tcW w:w="3600" w:type="dxa"/>
            <w:gridSpan w:val="6"/>
            <w:vAlign w:val="center"/>
          </w:tcPr>
          <w:p w14:paraId="33A9CE45" w14:textId="77777777" w:rsidR="00FA5543" w:rsidRPr="00C34031" w:rsidRDefault="00FA5543" w:rsidP="00390489">
            <w:pPr>
              <w:jc w:val="center"/>
              <w:rPr>
                <w:noProof/>
                <w:sz w:val="18"/>
                <w:szCs w:val="18"/>
              </w:rPr>
            </w:pPr>
            <w:r w:rsidRPr="00C34031">
              <w:rPr>
                <w:noProof/>
                <w:sz w:val="18"/>
              </w:rPr>
              <w:t>Vložit počet let podle trvání finančního dopadu (viz oddíl 1.6)</w:t>
            </w:r>
          </w:p>
        </w:tc>
        <w:tc>
          <w:tcPr>
            <w:tcW w:w="1620" w:type="dxa"/>
            <w:gridSpan w:val="2"/>
            <w:tcBorders>
              <w:left w:val="nil"/>
              <w:bottom w:val="nil"/>
            </w:tcBorders>
            <w:vAlign w:val="center"/>
          </w:tcPr>
          <w:p w14:paraId="145AEFE8" w14:textId="77777777" w:rsidR="00FA5543" w:rsidRPr="00C34031" w:rsidRDefault="00FA5543" w:rsidP="00390489">
            <w:pPr>
              <w:ind w:right="-29"/>
              <w:jc w:val="center"/>
              <w:rPr>
                <w:noProof/>
                <w:sz w:val="18"/>
                <w:szCs w:val="18"/>
              </w:rPr>
            </w:pPr>
            <w:r w:rsidRPr="00C34031">
              <w:rPr>
                <w:b/>
                <w:noProof/>
                <w:sz w:val="18"/>
              </w:rPr>
              <w:t>CELKEM</w:t>
            </w:r>
          </w:p>
        </w:tc>
      </w:tr>
      <w:tr w:rsidR="00FA5543" w:rsidRPr="00C34031" w14:paraId="7C8FC3A3" w14:textId="77777777" w:rsidTr="139DF8FE">
        <w:trPr>
          <w:jc w:val="center"/>
        </w:trPr>
        <w:tc>
          <w:tcPr>
            <w:tcW w:w="1423" w:type="dxa"/>
            <w:vMerge/>
            <w:vAlign w:val="center"/>
          </w:tcPr>
          <w:p w14:paraId="760D4498" w14:textId="77777777" w:rsidR="00FA5543" w:rsidRPr="00C34031" w:rsidRDefault="00FA5543" w:rsidP="00390489">
            <w:pPr>
              <w:ind w:right="-29"/>
              <w:jc w:val="center"/>
              <w:rPr>
                <w:noProof/>
                <w:sz w:val="18"/>
                <w:szCs w:val="18"/>
              </w:rPr>
            </w:pPr>
          </w:p>
        </w:tc>
        <w:tc>
          <w:tcPr>
            <w:tcW w:w="12185" w:type="dxa"/>
            <w:gridSpan w:val="19"/>
            <w:vAlign w:val="center"/>
          </w:tcPr>
          <w:p w14:paraId="760D7007" w14:textId="77777777" w:rsidR="00FA5543" w:rsidRPr="00C34031" w:rsidRDefault="00FA5543" w:rsidP="00390489">
            <w:pPr>
              <w:spacing w:before="60" w:after="60"/>
              <w:ind w:right="-29"/>
              <w:jc w:val="center"/>
              <w:rPr>
                <w:noProof/>
                <w:sz w:val="18"/>
                <w:szCs w:val="18"/>
              </w:rPr>
            </w:pPr>
            <w:r w:rsidRPr="00C34031">
              <w:rPr>
                <w:b/>
                <w:noProof/>
                <w:sz w:val="18"/>
              </w:rPr>
              <w:t>VÝSTUPY</w:t>
            </w:r>
          </w:p>
        </w:tc>
      </w:tr>
      <w:tr w:rsidR="00FA5543" w:rsidRPr="00C34031" w14:paraId="70EF9DC7" w14:textId="77777777" w:rsidTr="139DF8FE">
        <w:trPr>
          <w:cantSplit/>
          <w:trHeight w:val="1134"/>
          <w:jc w:val="center"/>
        </w:trPr>
        <w:tc>
          <w:tcPr>
            <w:tcW w:w="1423" w:type="dxa"/>
            <w:vMerge/>
            <w:vAlign w:val="center"/>
          </w:tcPr>
          <w:p w14:paraId="3251313D" w14:textId="77777777" w:rsidR="00FA5543" w:rsidRPr="00C34031" w:rsidRDefault="00FA5543" w:rsidP="00390489">
            <w:pPr>
              <w:rPr>
                <w:noProof/>
                <w:sz w:val="18"/>
                <w:szCs w:val="18"/>
              </w:rPr>
            </w:pPr>
          </w:p>
        </w:tc>
        <w:tc>
          <w:tcPr>
            <w:tcW w:w="720" w:type="dxa"/>
            <w:vAlign w:val="center"/>
          </w:tcPr>
          <w:p w14:paraId="6FDAAFB9" w14:textId="77777777" w:rsidR="00FA5543" w:rsidRPr="00C34031" w:rsidRDefault="6C3AF1E0" w:rsidP="00390489">
            <w:pPr>
              <w:jc w:val="center"/>
              <w:rPr>
                <w:noProof/>
                <w:sz w:val="18"/>
                <w:szCs w:val="18"/>
              </w:rPr>
            </w:pPr>
            <w:r w:rsidRPr="00C34031">
              <w:rPr>
                <w:noProof/>
                <w:sz w:val="18"/>
              </w:rPr>
              <w:t>Druh</w:t>
            </w:r>
            <w:r w:rsidR="00FA5543" w:rsidRPr="00C34031">
              <w:rPr>
                <w:rStyle w:val="FootnoteReference"/>
                <w:noProof/>
                <w:sz w:val="18"/>
                <w:szCs w:val="18"/>
              </w:rPr>
              <w:footnoteReference w:id="27"/>
            </w:r>
          </w:p>
          <w:p w14:paraId="33943FBF" w14:textId="77777777" w:rsidR="00FA5543" w:rsidRPr="00C34031" w:rsidRDefault="00FA5543" w:rsidP="00390489">
            <w:pPr>
              <w:spacing w:before="0" w:after="0"/>
              <w:jc w:val="center"/>
              <w:rPr>
                <w:noProof/>
                <w:sz w:val="18"/>
                <w:szCs w:val="18"/>
              </w:rPr>
            </w:pPr>
          </w:p>
        </w:tc>
        <w:tc>
          <w:tcPr>
            <w:tcW w:w="701" w:type="dxa"/>
            <w:vAlign w:val="center"/>
          </w:tcPr>
          <w:p w14:paraId="595E5FD2" w14:textId="77777777" w:rsidR="00FA5543" w:rsidRPr="00C34031" w:rsidRDefault="00FA5543" w:rsidP="00390489">
            <w:pPr>
              <w:jc w:val="center"/>
              <w:rPr>
                <w:noProof/>
                <w:sz w:val="18"/>
                <w:szCs w:val="18"/>
              </w:rPr>
            </w:pPr>
            <w:r w:rsidRPr="00C34031">
              <w:rPr>
                <w:noProof/>
                <w:sz w:val="18"/>
              </w:rPr>
              <w:t>Průměrné náklady</w:t>
            </w:r>
          </w:p>
        </w:tc>
        <w:tc>
          <w:tcPr>
            <w:tcW w:w="504" w:type="dxa"/>
            <w:tcBorders>
              <w:left w:val="nil"/>
              <w:right w:val="dashSmallGap" w:sz="4" w:space="0" w:color="auto"/>
            </w:tcBorders>
            <w:shd w:val="clear" w:color="auto" w:fill="auto"/>
            <w:textDirection w:val="btLr"/>
            <w:vAlign w:val="center"/>
          </w:tcPr>
          <w:p w14:paraId="148EE88A" w14:textId="77777777" w:rsidR="00FA5543" w:rsidRPr="00C34031" w:rsidRDefault="00FA5543" w:rsidP="00390489">
            <w:pPr>
              <w:ind w:left="113" w:right="113"/>
              <w:jc w:val="center"/>
              <w:rPr>
                <w:noProof/>
                <w:sz w:val="18"/>
                <w:szCs w:val="18"/>
              </w:rPr>
            </w:pPr>
            <w:r w:rsidRPr="00C34031">
              <w:rPr>
                <w:noProof/>
                <w:sz w:val="18"/>
              </w:rPr>
              <w:t>Počet</w:t>
            </w:r>
          </w:p>
        </w:tc>
        <w:tc>
          <w:tcPr>
            <w:tcW w:w="720" w:type="dxa"/>
            <w:tcBorders>
              <w:left w:val="dashSmallGap" w:sz="4" w:space="0" w:color="auto"/>
            </w:tcBorders>
            <w:shd w:val="clear" w:color="auto" w:fill="auto"/>
            <w:vAlign w:val="center"/>
          </w:tcPr>
          <w:p w14:paraId="497BA32A" w14:textId="77777777" w:rsidR="00FA5543" w:rsidRPr="00C34031" w:rsidRDefault="00FA5543" w:rsidP="00390489">
            <w:pPr>
              <w:jc w:val="center"/>
              <w:rPr>
                <w:noProof/>
                <w:sz w:val="18"/>
                <w:szCs w:val="18"/>
              </w:rPr>
            </w:pPr>
            <w:r w:rsidRPr="00C34031">
              <w:rPr>
                <w:noProof/>
                <w:sz w:val="18"/>
              </w:rPr>
              <w:t>Náklady</w:t>
            </w:r>
          </w:p>
        </w:tc>
        <w:tc>
          <w:tcPr>
            <w:tcW w:w="540" w:type="dxa"/>
            <w:tcBorders>
              <w:right w:val="dashSmallGap" w:sz="4" w:space="0" w:color="auto"/>
            </w:tcBorders>
            <w:shd w:val="clear" w:color="auto" w:fill="auto"/>
            <w:textDirection w:val="btLr"/>
            <w:vAlign w:val="center"/>
          </w:tcPr>
          <w:p w14:paraId="272F6278" w14:textId="77777777" w:rsidR="00FA5543" w:rsidRPr="00C34031" w:rsidRDefault="00FA5543" w:rsidP="00390489">
            <w:pPr>
              <w:ind w:left="113" w:right="113"/>
              <w:jc w:val="center"/>
              <w:rPr>
                <w:noProof/>
                <w:sz w:val="18"/>
                <w:szCs w:val="18"/>
              </w:rPr>
            </w:pPr>
            <w:r w:rsidRPr="00C34031">
              <w:rPr>
                <w:noProof/>
                <w:sz w:val="18"/>
              </w:rPr>
              <w:t>Počet</w:t>
            </w:r>
          </w:p>
        </w:tc>
        <w:tc>
          <w:tcPr>
            <w:tcW w:w="720" w:type="dxa"/>
            <w:tcBorders>
              <w:left w:val="dashSmallGap" w:sz="4" w:space="0" w:color="auto"/>
            </w:tcBorders>
            <w:shd w:val="clear" w:color="auto" w:fill="auto"/>
            <w:vAlign w:val="center"/>
          </w:tcPr>
          <w:p w14:paraId="5FE151C2" w14:textId="77777777" w:rsidR="00FA5543" w:rsidRPr="00C34031" w:rsidRDefault="00FA5543" w:rsidP="00390489">
            <w:pPr>
              <w:jc w:val="center"/>
              <w:rPr>
                <w:noProof/>
                <w:sz w:val="18"/>
                <w:szCs w:val="18"/>
              </w:rPr>
            </w:pPr>
            <w:r w:rsidRPr="00C34031">
              <w:rPr>
                <w:noProof/>
                <w:sz w:val="18"/>
              </w:rPr>
              <w:t>Náklady</w:t>
            </w:r>
          </w:p>
        </w:tc>
        <w:tc>
          <w:tcPr>
            <w:tcW w:w="720" w:type="dxa"/>
            <w:tcBorders>
              <w:right w:val="dashSmallGap" w:sz="4" w:space="0" w:color="auto"/>
            </w:tcBorders>
            <w:shd w:val="clear" w:color="auto" w:fill="auto"/>
            <w:textDirection w:val="btLr"/>
            <w:vAlign w:val="center"/>
          </w:tcPr>
          <w:p w14:paraId="620A7A35" w14:textId="77777777" w:rsidR="00FA5543" w:rsidRPr="00C34031" w:rsidRDefault="00FA5543" w:rsidP="00390489">
            <w:pPr>
              <w:ind w:left="113" w:right="113"/>
              <w:jc w:val="center"/>
              <w:rPr>
                <w:noProof/>
                <w:sz w:val="18"/>
                <w:szCs w:val="18"/>
              </w:rPr>
            </w:pPr>
            <w:r w:rsidRPr="00C34031">
              <w:rPr>
                <w:noProof/>
                <w:sz w:val="18"/>
              </w:rPr>
              <w:t>Počet</w:t>
            </w:r>
          </w:p>
        </w:tc>
        <w:tc>
          <w:tcPr>
            <w:tcW w:w="720" w:type="dxa"/>
            <w:tcBorders>
              <w:left w:val="dashSmallGap" w:sz="4" w:space="0" w:color="auto"/>
            </w:tcBorders>
            <w:shd w:val="clear" w:color="auto" w:fill="auto"/>
            <w:vAlign w:val="center"/>
          </w:tcPr>
          <w:p w14:paraId="46FF3153" w14:textId="77777777" w:rsidR="00FA5543" w:rsidRPr="00C34031" w:rsidRDefault="00FA5543" w:rsidP="00390489">
            <w:pPr>
              <w:jc w:val="center"/>
              <w:rPr>
                <w:noProof/>
                <w:sz w:val="18"/>
                <w:szCs w:val="18"/>
              </w:rPr>
            </w:pPr>
            <w:r w:rsidRPr="00C34031">
              <w:rPr>
                <w:noProof/>
                <w:sz w:val="18"/>
              </w:rPr>
              <w:t>Náklady</w:t>
            </w:r>
          </w:p>
        </w:tc>
        <w:tc>
          <w:tcPr>
            <w:tcW w:w="900" w:type="dxa"/>
            <w:tcBorders>
              <w:right w:val="dashSmallGap" w:sz="4" w:space="0" w:color="auto"/>
            </w:tcBorders>
            <w:shd w:val="clear" w:color="auto" w:fill="auto"/>
            <w:textDirection w:val="btLr"/>
            <w:vAlign w:val="center"/>
          </w:tcPr>
          <w:p w14:paraId="47141079" w14:textId="77777777" w:rsidR="00FA5543" w:rsidRPr="00C34031" w:rsidRDefault="00FA5543" w:rsidP="00390489">
            <w:pPr>
              <w:ind w:left="113" w:right="113"/>
              <w:jc w:val="center"/>
              <w:rPr>
                <w:noProof/>
                <w:sz w:val="18"/>
                <w:szCs w:val="18"/>
              </w:rPr>
            </w:pPr>
            <w:r w:rsidRPr="00C34031">
              <w:rPr>
                <w:noProof/>
                <w:sz w:val="18"/>
              </w:rPr>
              <w:t>Počet</w:t>
            </w:r>
          </w:p>
        </w:tc>
        <w:tc>
          <w:tcPr>
            <w:tcW w:w="720" w:type="dxa"/>
            <w:gridSpan w:val="2"/>
            <w:tcBorders>
              <w:left w:val="dashSmallGap" w:sz="4" w:space="0" w:color="auto"/>
            </w:tcBorders>
            <w:shd w:val="clear" w:color="auto" w:fill="auto"/>
            <w:vAlign w:val="center"/>
          </w:tcPr>
          <w:p w14:paraId="67C8CB32" w14:textId="77777777" w:rsidR="00FA5543" w:rsidRPr="00C34031" w:rsidRDefault="00FA5543" w:rsidP="00390489">
            <w:pPr>
              <w:jc w:val="center"/>
              <w:rPr>
                <w:noProof/>
                <w:sz w:val="18"/>
                <w:szCs w:val="18"/>
              </w:rPr>
            </w:pPr>
            <w:r w:rsidRPr="00C34031">
              <w:rPr>
                <w:noProof/>
                <w:sz w:val="18"/>
              </w:rPr>
              <w:t>Náklady</w:t>
            </w:r>
          </w:p>
        </w:tc>
        <w:tc>
          <w:tcPr>
            <w:tcW w:w="540" w:type="dxa"/>
            <w:tcBorders>
              <w:right w:val="dashSmallGap" w:sz="4" w:space="0" w:color="auto"/>
            </w:tcBorders>
            <w:shd w:val="clear" w:color="auto" w:fill="auto"/>
            <w:textDirection w:val="btLr"/>
            <w:vAlign w:val="center"/>
          </w:tcPr>
          <w:p w14:paraId="1D2823D1" w14:textId="77777777" w:rsidR="00FA5543" w:rsidRPr="00C34031" w:rsidRDefault="00FA5543" w:rsidP="00390489">
            <w:pPr>
              <w:ind w:left="113" w:right="113"/>
              <w:jc w:val="center"/>
              <w:rPr>
                <w:noProof/>
                <w:sz w:val="18"/>
                <w:szCs w:val="18"/>
              </w:rPr>
            </w:pPr>
            <w:r w:rsidRPr="00C34031">
              <w:rPr>
                <w:noProof/>
                <w:sz w:val="18"/>
              </w:rPr>
              <w:t>Počet</w:t>
            </w:r>
          </w:p>
        </w:tc>
        <w:tc>
          <w:tcPr>
            <w:tcW w:w="648" w:type="dxa"/>
            <w:tcBorders>
              <w:left w:val="dashSmallGap" w:sz="4" w:space="0" w:color="auto"/>
            </w:tcBorders>
            <w:shd w:val="clear" w:color="auto" w:fill="auto"/>
            <w:vAlign w:val="center"/>
          </w:tcPr>
          <w:p w14:paraId="27F2DCEC" w14:textId="77777777" w:rsidR="00FA5543" w:rsidRPr="00C34031" w:rsidRDefault="00FA5543" w:rsidP="00390489">
            <w:pPr>
              <w:jc w:val="center"/>
              <w:rPr>
                <w:noProof/>
                <w:sz w:val="18"/>
                <w:szCs w:val="18"/>
              </w:rPr>
            </w:pPr>
            <w:r w:rsidRPr="00C34031">
              <w:rPr>
                <w:noProof/>
                <w:sz w:val="18"/>
              </w:rPr>
              <w:t>Náklady</w:t>
            </w:r>
          </w:p>
        </w:tc>
        <w:tc>
          <w:tcPr>
            <w:tcW w:w="432" w:type="dxa"/>
            <w:tcBorders>
              <w:right w:val="dashSmallGap" w:sz="4" w:space="0" w:color="auto"/>
            </w:tcBorders>
            <w:shd w:val="clear" w:color="auto" w:fill="auto"/>
            <w:textDirection w:val="btLr"/>
            <w:vAlign w:val="center"/>
          </w:tcPr>
          <w:p w14:paraId="2B1214F7" w14:textId="77777777" w:rsidR="00FA5543" w:rsidRPr="00C34031" w:rsidRDefault="00FA5543" w:rsidP="00390489">
            <w:pPr>
              <w:ind w:left="113" w:right="113"/>
              <w:jc w:val="center"/>
              <w:rPr>
                <w:noProof/>
                <w:sz w:val="18"/>
                <w:szCs w:val="18"/>
              </w:rPr>
            </w:pPr>
            <w:r w:rsidRPr="00C34031">
              <w:rPr>
                <w:noProof/>
                <w:sz w:val="18"/>
              </w:rPr>
              <w:t>Počet</w:t>
            </w:r>
          </w:p>
        </w:tc>
        <w:tc>
          <w:tcPr>
            <w:tcW w:w="720" w:type="dxa"/>
            <w:tcBorders>
              <w:left w:val="dashSmallGap" w:sz="4" w:space="0" w:color="auto"/>
            </w:tcBorders>
            <w:shd w:val="clear" w:color="auto" w:fill="auto"/>
            <w:vAlign w:val="center"/>
          </w:tcPr>
          <w:p w14:paraId="6FBB094A" w14:textId="77777777" w:rsidR="00FA5543" w:rsidRPr="00C34031" w:rsidRDefault="00FA5543" w:rsidP="00390489">
            <w:pPr>
              <w:jc w:val="center"/>
              <w:rPr>
                <w:noProof/>
                <w:sz w:val="18"/>
                <w:szCs w:val="18"/>
              </w:rPr>
            </w:pPr>
            <w:r w:rsidRPr="00C34031">
              <w:rPr>
                <w:noProof/>
                <w:sz w:val="18"/>
              </w:rPr>
              <w:t>Náklady</w:t>
            </w:r>
          </w:p>
        </w:tc>
        <w:tc>
          <w:tcPr>
            <w:tcW w:w="540" w:type="dxa"/>
            <w:tcBorders>
              <w:right w:val="dashSmallGap" w:sz="4" w:space="0" w:color="auto"/>
            </w:tcBorders>
            <w:shd w:val="clear" w:color="auto" w:fill="auto"/>
            <w:textDirection w:val="btLr"/>
            <w:vAlign w:val="center"/>
          </w:tcPr>
          <w:p w14:paraId="7560599C" w14:textId="77777777" w:rsidR="00FA5543" w:rsidRPr="00C34031" w:rsidRDefault="00FA5543" w:rsidP="00390489">
            <w:pPr>
              <w:ind w:left="113" w:right="113"/>
              <w:jc w:val="center"/>
              <w:rPr>
                <w:noProof/>
                <w:sz w:val="18"/>
                <w:szCs w:val="18"/>
              </w:rPr>
            </w:pPr>
            <w:r w:rsidRPr="00C34031">
              <w:rPr>
                <w:noProof/>
                <w:sz w:val="18"/>
              </w:rPr>
              <w:t>Počet</w:t>
            </w:r>
          </w:p>
        </w:tc>
        <w:tc>
          <w:tcPr>
            <w:tcW w:w="720" w:type="dxa"/>
            <w:tcBorders>
              <w:left w:val="dashSmallGap" w:sz="4" w:space="0" w:color="auto"/>
            </w:tcBorders>
            <w:shd w:val="clear" w:color="auto" w:fill="auto"/>
            <w:vAlign w:val="center"/>
          </w:tcPr>
          <w:p w14:paraId="0C5AAE16" w14:textId="77777777" w:rsidR="00FA5543" w:rsidRPr="00C34031" w:rsidRDefault="00FA5543" w:rsidP="00390489">
            <w:pPr>
              <w:jc w:val="center"/>
              <w:rPr>
                <w:noProof/>
                <w:sz w:val="18"/>
                <w:szCs w:val="18"/>
              </w:rPr>
            </w:pPr>
            <w:r w:rsidRPr="00C34031">
              <w:rPr>
                <w:noProof/>
                <w:sz w:val="18"/>
              </w:rPr>
              <w:t>Náklady</w:t>
            </w:r>
          </w:p>
        </w:tc>
        <w:tc>
          <w:tcPr>
            <w:tcW w:w="720" w:type="dxa"/>
            <w:tcBorders>
              <w:right w:val="dashSmallGap" w:sz="4" w:space="0" w:color="auto"/>
            </w:tcBorders>
            <w:shd w:val="clear" w:color="auto" w:fill="auto"/>
            <w:vAlign w:val="center"/>
          </w:tcPr>
          <w:p w14:paraId="0DD53193" w14:textId="77777777" w:rsidR="00FA5543" w:rsidRPr="00C34031" w:rsidRDefault="00FA5543" w:rsidP="00390489">
            <w:pPr>
              <w:jc w:val="center"/>
              <w:rPr>
                <w:noProof/>
                <w:sz w:val="18"/>
                <w:szCs w:val="18"/>
              </w:rPr>
            </w:pPr>
            <w:r w:rsidRPr="00C34031">
              <w:rPr>
                <w:noProof/>
                <w:sz w:val="18"/>
              </w:rPr>
              <w:t>Celkový počet</w:t>
            </w:r>
          </w:p>
        </w:tc>
        <w:tc>
          <w:tcPr>
            <w:tcW w:w="900" w:type="dxa"/>
            <w:tcBorders>
              <w:left w:val="dashSmallGap" w:sz="4" w:space="0" w:color="auto"/>
            </w:tcBorders>
            <w:shd w:val="clear" w:color="auto" w:fill="auto"/>
            <w:vAlign w:val="center"/>
          </w:tcPr>
          <w:p w14:paraId="46DB94FE" w14:textId="77777777" w:rsidR="00FA5543" w:rsidRPr="00C34031" w:rsidRDefault="00FA5543" w:rsidP="00390489">
            <w:pPr>
              <w:jc w:val="center"/>
              <w:rPr>
                <w:noProof/>
                <w:sz w:val="18"/>
                <w:szCs w:val="18"/>
              </w:rPr>
            </w:pPr>
            <w:r w:rsidRPr="00C34031">
              <w:rPr>
                <w:noProof/>
                <w:sz w:val="18"/>
              </w:rPr>
              <w:t>Náklady celkem</w:t>
            </w:r>
          </w:p>
        </w:tc>
      </w:tr>
      <w:tr w:rsidR="00FA5543" w:rsidRPr="00C34031" w14:paraId="61140A70" w14:textId="77777777" w:rsidTr="139DF8FE">
        <w:trPr>
          <w:jc w:val="center"/>
        </w:trPr>
        <w:tc>
          <w:tcPr>
            <w:tcW w:w="2844" w:type="dxa"/>
            <w:gridSpan w:val="3"/>
            <w:vAlign w:val="center"/>
          </w:tcPr>
          <w:p w14:paraId="3384BC67" w14:textId="77777777" w:rsidR="00FA5543" w:rsidRPr="00C34031" w:rsidRDefault="6C3AF1E0" w:rsidP="00390489">
            <w:pPr>
              <w:spacing w:before="60" w:after="60"/>
              <w:ind w:right="-29"/>
              <w:jc w:val="center"/>
              <w:rPr>
                <w:noProof/>
                <w:sz w:val="18"/>
                <w:szCs w:val="18"/>
              </w:rPr>
            </w:pPr>
            <w:r w:rsidRPr="00C34031">
              <w:rPr>
                <w:noProof/>
                <w:sz w:val="18"/>
              </w:rPr>
              <w:t>SPECIFICKÝ CÍL č. 1</w:t>
            </w:r>
            <w:r w:rsidR="00FA5543" w:rsidRPr="00C34031">
              <w:rPr>
                <w:rStyle w:val="FootnoteReference"/>
                <w:noProof/>
                <w:sz w:val="18"/>
                <w:szCs w:val="18"/>
              </w:rPr>
              <w:footnoteReference w:id="28"/>
            </w:r>
            <w:r w:rsidRPr="00C34031">
              <w:rPr>
                <w:noProof/>
                <w:sz w:val="18"/>
              </w:rPr>
              <w:t>…</w:t>
            </w:r>
          </w:p>
        </w:tc>
        <w:tc>
          <w:tcPr>
            <w:tcW w:w="504" w:type="dxa"/>
            <w:tcBorders>
              <w:top w:val="nil"/>
              <w:left w:val="nil"/>
              <w:bottom w:val="nil"/>
              <w:right w:val="nil"/>
            </w:tcBorders>
          </w:tcPr>
          <w:p w14:paraId="063C7E7C" w14:textId="77777777" w:rsidR="00FA5543" w:rsidRPr="00C34031" w:rsidRDefault="00FA5543" w:rsidP="00390489">
            <w:pPr>
              <w:spacing w:before="60" w:after="60"/>
              <w:ind w:right="-29"/>
              <w:jc w:val="center"/>
              <w:rPr>
                <w:noProof/>
                <w:sz w:val="18"/>
                <w:szCs w:val="18"/>
              </w:rPr>
            </w:pPr>
          </w:p>
        </w:tc>
        <w:tc>
          <w:tcPr>
            <w:tcW w:w="720" w:type="dxa"/>
            <w:tcBorders>
              <w:top w:val="nil"/>
              <w:left w:val="nil"/>
              <w:bottom w:val="nil"/>
              <w:right w:val="nil"/>
            </w:tcBorders>
          </w:tcPr>
          <w:p w14:paraId="59CCFDF6" w14:textId="77777777" w:rsidR="00FA5543" w:rsidRPr="00C34031" w:rsidRDefault="00FA5543" w:rsidP="00390489">
            <w:pPr>
              <w:spacing w:before="60" w:after="60"/>
              <w:ind w:right="-29"/>
              <w:jc w:val="center"/>
              <w:rPr>
                <w:noProof/>
                <w:sz w:val="18"/>
                <w:szCs w:val="18"/>
              </w:rPr>
            </w:pPr>
          </w:p>
        </w:tc>
        <w:tc>
          <w:tcPr>
            <w:tcW w:w="540" w:type="dxa"/>
            <w:tcBorders>
              <w:top w:val="nil"/>
              <w:left w:val="nil"/>
              <w:bottom w:val="nil"/>
              <w:right w:val="nil"/>
            </w:tcBorders>
          </w:tcPr>
          <w:p w14:paraId="2837B8EF" w14:textId="77777777" w:rsidR="00FA5543" w:rsidRPr="00C34031" w:rsidRDefault="00FA5543" w:rsidP="00390489">
            <w:pPr>
              <w:spacing w:before="60" w:after="60"/>
              <w:ind w:right="-29"/>
              <w:jc w:val="center"/>
              <w:rPr>
                <w:noProof/>
                <w:sz w:val="18"/>
                <w:szCs w:val="18"/>
              </w:rPr>
            </w:pPr>
          </w:p>
        </w:tc>
        <w:tc>
          <w:tcPr>
            <w:tcW w:w="720" w:type="dxa"/>
            <w:tcBorders>
              <w:top w:val="nil"/>
              <w:left w:val="nil"/>
              <w:bottom w:val="nil"/>
              <w:right w:val="nil"/>
            </w:tcBorders>
          </w:tcPr>
          <w:p w14:paraId="7CBE783F" w14:textId="77777777" w:rsidR="00FA5543" w:rsidRPr="00C34031" w:rsidRDefault="00FA5543" w:rsidP="00390489">
            <w:pPr>
              <w:spacing w:before="60" w:after="60"/>
              <w:ind w:right="-29"/>
              <w:jc w:val="center"/>
              <w:rPr>
                <w:noProof/>
                <w:sz w:val="18"/>
                <w:szCs w:val="18"/>
              </w:rPr>
            </w:pPr>
          </w:p>
        </w:tc>
        <w:tc>
          <w:tcPr>
            <w:tcW w:w="720" w:type="dxa"/>
            <w:tcBorders>
              <w:top w:val="nil"/>
              <w:left w:val="nil"/>
              <w:bottom w:val="nil"/>
              <w:right w:val="nil"/>
            </w:tcBorders>
          </w:tcPr>
          <w:p w14:paraId="3217F768" w14:textId="77777777" w:rsidR="00FA5543" w:rsidRPr="00C34031" w:rsidRDefault="00FA5543" w:rsidP="00390489">
            <w:pPr>
              <w:spacing w:before="60" w:after="60"/>
              <w:ind w:right="-29"/>
              <w:jc w:val="center"/>
              <w:rPr>
                <w:noProof/>
                <w:sz w:val="18"/>
                <w:szCs w:val="18"/>
              </w:rPr>
            </w:pPr>
          </w:p>
        </w:tc>
        <w:tc>
          <w:tcPr>
            <w:tcW w:w="720" w:type="dxa"/>
            <w:tcBorders>
              <w:top w:val="nil"/>
              <w:left w:val="nil"/>
              <w:bottom w:val="nil"/>
              <w:right w:val="nil"/>
            </w:tcBorders>
          </w:tcPr>
          <w:p w14:paraId="5C7B279F" w14:textId="77777777" w:rsidR="00FA5543" w:rsidRPr="00C34031" w:rsidRDefault="00FA5543" w:rsidP="00390489">
            <w:pPr>
              <w:spacing w:before="60" w:after="60"/>
              <w:ind w:right="-29"/>
              <w:jc w:val="center"/>
              <w:rPr>
                <w:noProof/>
                <w:sz w:val="18"/>
                <w:szCs w:val="18"/>
              </w:rPr>
            </w:pPr>
          </w:p>
        </w:tc>
        <w:tc>
          <w:tcPr>
            <w:tcW w:w="900" w:type="dxa"/>
            <w:tcBorders>
              <w:top w:val="nil"/>
              <w:left w:val="nil"/>
              <w:bottom w:val="nil"/>
              <w:right w:val="nil"/>
            </w:tcBorders>
          </w:tcPr>
          <w:p w14:paraId="7BABEC9A" w14:textId="77777777" w:rsidR="00FA5543" w:rsidRPr="00C34031" w:rsidRDefault="00FA5543" w:rsidP="00390489">
            <w:pPr>
              <w:spacing w:before="60" w:after="60"/>
              <w:ind w:right="-29"/>
              <w:jc w:val="center"/>
              <w:rPr>
                <w:noProof/>
                <w:sz w:val="18"/>
                <w:szCs w:val="18"/>
              </w:rPr>
            </w:pPr>
          </w:p>
        </w:tc>
        <w:tc>
          <w:tcPr>
            <w:tcW w:w="720" w:type="dxa"/>
            <w:gridSpan w:val="2"/>
            <w:tcBorders>
              <w:top w:val="nil"/>
              <w:left w:val="nil"/>
              <w:bottom w:val="nil"/>
              <w:right w:val="nil"/>
            </w:tcBorders>
          </w:tcPr>
          <w:p w14:paraId="0DA0DB17" w14:textId="77777777" w:rsidR="00FA5543" w:rsidRPr="00C34031" w:rsidRDefault="00FA5543" w:rsidP="00390489">
            <w:pPr>
              <w:spacing w:before="60" w:after="60"/>
              <w:ind w:right="-29"/>
              <w:jc w:val="center"/>
              <w:rPr>
                <w:noProof/>
                <w:sz w:val="18"/>
                <w:szCs w:val="18"/>
              </w:rPr>
            </w:pPr>
          </w:p>
        </w:tc>
        <w:tc>
          <w:tcPr>
            <w:tcW w:w="540" w:type="dxa"/>
            <w:tcBorders>
              <w:top w:val="nil"/>
              <w:left w:val="nil"/>
              <w:bottom w:val="nil"/>
              <w:right w:val="nil"/>
            </w:tcBorders>
          </w:tcPr>
          <w:p w14:paraId="6F01C0AB" w14:textId="77777777" w:rsidR="00FA5543" w:rsidRPr="00C34031" w:rsidRDefault="00FA5543" w:rsidP="00390489">
            <w:pPr>
              <w:spacing w:before="60" w:after="60"/>
              <w:ind w:right="-29"/>
              <w:jc w:val="center"/>
              <w:rPr>
                <w:noProof/>
                <w:sz w:val="18"/>
                <w:szCs w:val="18"/>
              </w:rPr>
            </w:pPr>
          </w:p>
        </w:tc>
        <w:tc>
          <w:tcPr>
            <w:tcW w:w="648" w:type="dxa"/>
            <w:tcBorders>
              <w:top w:val="nil"/>
              <w:left w:val="nil"/>
              <w:bottom w:val="nil"/>
              <w:right w:val="nil"/>
            </w:tcBorders>
          </w:tcPr>
          <w:p w14:paraId="31494C9E" w14:textId="77777777" w:rsidR="00FA5543" w:rsidRPr="00C34031" w:rsidRDefault="00FA5543" w:rsidP="00390489">
            <w:pPr>
              <w:spacing w:before="60" w:after="60"/>
              <w:ind w:right="-29"/>
              <w:jc w:val="center"/>
              <w:rPr>
                <w:noProof/>
                <w:sz w:val="18"/>
                <w:szCs w:val="18"/>
              </w:rPr>
            </w:pPr>
          </w:p>
        </w:tc>
        <w:tc>
          <w:tcPr>
            <w:tcW w:w="432" w:type="dxa"/>
            <w:tcBorders>
              <w:top w:val="nil"/>
              <w:left w:val="nil"/>
              <w:bottom w:val="nil"/>
              <w:right w:val="nil"/>
            </w:tcBorders>
          </w:tcPr>
          <w:p w14:paraId="640D23D6" w14:textId="77777777" w:rsidR="00FA5543" w:rsidRPr="00C34031" w:rsidRDefault="00FA5543" w:rsidP="00390489">
            <w:pPr>
              <w:spacing w:before="60" w:after="60"/>
              <w:ind w:right="-29"/>
              <w:jc w:val="center"/>
              <w:rPr>
                <w:noProof/>
                <w:sz w:val="18"/>
                <w:szCs w:val="18"/>
              </w:rPr>
            </w:pPr>
          </w:p>
        </w:tc>
        <w:tc>
          <w:tcPr>
            <w:tcW w:w="720" w:type="dxa"/>
            <w:tcBorders>
              <w:top w:val="nil"/>
              <w:left w:val="nil"/>
              <w:bottom w:val="nil"/>
              <w:right w:val="nil"/>
            </w:tcBorders>
          </w:tcPr>
          <w:p w14:paraId="6724ABCC" w14:textId="77777777" w:rsidR="00FA5543" w:rsidRPr="00C34031" w:rsidRDefault="00FA5543" w:rsidP="00390489">
            <w:pPr>
              <w:spacing w:before="60" w:after="60"/>
              <w:ind w:right="-29"/>
              <w:jc w:val="center"/>
              <w:rPr>
                <w:noProof/>
                <w:sz w:val="18"/>
                <w:szCs w:val="18"/>
              </w:rPr>
            </w:pPr>
          </w:p>
        </w:tc>
        <w:tc>
          <w:tcPr>
            <w:tcW w:w="540" w:type="dxa"/>
            <w:tcBorders>
              <w:top w:val="nil"/>
              <w:left w:val="nil"/>
              <w:bottom w:val="nil"/>
              <w:right w:val="nil"/>
            </w:tcBorders>
          </w:tcPr>
          <w:p w14:paraId="04DF8FE6" w14:textId="77777777" w:rsidR="00FA5543" w:rsidRPr="00C34031" w:rsidRDefault="00FA5543" w:rsidP="00390489">
            <w:pPr>
              <w:spacing w:before="60" w:after="60"/>
              <w:ind w:right="-29"/>
              <w:jc w:val="center"/>
              <w:rPr>
                <w:noProof/>
                <w:sz w:val="18"/>
                <w:szCs w:val="18"/>
              </w:rPr>
            </w:pPr>
          </w:p>
        </w:tc>
        <w:tc>
          <w:tcPr>
            <w:tcW w:w="720" w:type="dxa"/>
            <w:tcBorders>
              <w:top w:val="nil"/>
              <w:left w:val="nil"/>
              <w:bottom w:val="nil"/>
              <w:right w:val="nil"/>
            </w:tcBorders>
          </w:tcPr>
          <w:p w14:paraId="0FA0156B" w14:textId="77777777" w:rsidR="00FA5543" w:rsidRPr="00C34031" w:rsidRDefault="00FA5543" w:rsidP="00390489">
            <w:pPr>
              <w:spacing w:before="60" w:after="60"/>
              <w:ind w:right="-29"/>
              <w:jc w:val="center"/>
              <w:rPr>
                <w:noProof/>
                <w:sz w:val="18"/>
                <w:szCs w:val="18"/>
              </w:rPr>
            </w:pPr>
          </w:p>
        </w:tc>
        <w:tc>
          <w:tcPr>
            <w:tcW w:w="720" w:type="dxa"/>
            <w:tcBorders>
              <w:top w:val="nil"/>
              <w:left w:val="nil"/>
              <w:bottom w:val="nil"/>
              <w:right w:val="nil"/>
            </w:tcBorders>
          </w:tcPr>
          <w:p w14:paraId="0B625974" w14:textId="77777777" w:rsidR="00FA5543" w:rsidRPr="00C34031" w:rsidRDefault="00FA5543" w:rsidP="00390489">
            <w:pPr>
              <w:spacing w:before="60" w:after="60"/>
              <w:ind w:right="-29"/>
              <w:jc w:val="center"/>
              <w:rPr>
                <w:noProof/>
                <w:sz w:val="18"/>
                <w:szCs w:val="18"/>
              </w:rPr>
            </w:pPr>
          </w:p>
        </w:tc>
        <w:tc>
          <w:tcPr>
            <w:tcW w:w="900" w:type="dxa"/>
            <w:tcBorders>
              <w:top w:val="nil"/>
              <w:left w:val="nil"/>
              <w:bottom w:val="nil"/>
              <w:right w:val="nil"/>
            </w:tcBorders>
          </w:tcPr>
          <w:p w14:paraId="570E77BA" w14:textId="77777777" w:rsidR="00FA5543" w:rsidRPr="00C34031" w:rsidRDefault="00FA5543" w:rsidP="00390489">
            <w:pPr>
              <w:spacing w:before="60" w:after="60"/>
              <w:ind w:right="-29"/>
              <w:jc w:val="center"/>
              <w:rPr>
                <w:noProof/>
                <w:sz w:val="18"/>
                <w:szCs w:val="18"/>
              </w:rPr>
            </w:pPr>
          </w:p>
        </w:tc>
      </w:tr>
      <w:tr w:rsidR="00FA5543" w:rsidRPr="00C34031" w14:paraId="7028DE73" w14:textId="77777777" w:rsidTr="139DF8FE">
        <w:trPr>
          <w:trHeight w:hRule="exact" w:val="369"/>
          <w:jc w:val="center"/>
        </w:trPr>
        <w:tc>
          <w:tcPr>
            <w:tcW w:w="1423" w:type="dxa"/>
          </w:tcPr>
          <w:p w14:paraId="58E14BCB" w14:textId="77777777" w:rsidR="00FA5543" w:rsidRPr="00C34031" w:rsidRDefault="00FA5543" w:rsidP="00390489">
            <w:pPr>
              <w:ind w:right="-29"/>
              <w:jc w:val="center"/>
              <w:rPr>
                <w:noProof/>
                <w:sz w:val="18"/>
                <w:szCs w:val="18"/>
              </w:rPr>
            </w:pPr>
            <w:r w:rsidRPr="00C34031">
              <w:rPr>
                <w:noProof/>
                <w:sz w:val="18"/>
              </w:rPr>
              <w:t>– Výstup</w:t>
            </w:r>
          </w:p>
        </w:tc>
        <w:tc>
          <w:tcPr>
            <w:tcW w:w="720" w:type="dxa"/>
          </w:tcPr>
          <w:p w14:paraId="5625942B" w14:textId="77777777" w:rsidR="00FA5543" w:rsidRPr="00C34031" w:rsidRDefault="00FA5543" w:rsidP="00390489">
            <w:pPr>
              <w:ind w:right="-29"/>
              <w:jc w:val="center"/>
              <w:rPr>
                <w:noProof/>
                <w:sz w:val="18"/>
                <w:szCs w:val="18"/>
              </w:rPr>
            </w:pPr>
          </w:p>
        </w:tc>
        <w:tc>
          <w:tcPr>
            <w:tcW w:w="701" w:type="dxa"/>
          </w:tcPr>
          <w:p w14:paraId="7AB22543" w14:textId="77777777" w:rsidR="00FA5543" w:rsidRPr="00C34031" w:rsidRDefault="00FA5543" w:rsidP="00390489">
            <w:pPr>
              <w:ind w:right="-29"/>
              <w:jc w:val="center"/>
              <w:rPr>
                <w:noProof/>
                <w:sz w:val="18"/>
                <w:szCs w:val="18"/>
              </w:rPr>
            </w:pPr>
          </w:p>
        </w:tc>
        <w:tc>
          <w:tcPr>
            <w:tcW w:w="504" w:type="dxa"/>
            <w:tcBorders>
              <w:right w:val="dashSmallGap" w:sz="4" w:space="0" w:color="auto"/>
            </w:tcBorders>
          </w:tcPr>
          <w:p w14:paraId="1F4C6DE8" w14:textId="77777777" w:rsidR="00FA5543" w:rsidRPr="00C34031" w:rsidRDefault="00FA5543" w:rsidP="00390489">
            <w:pPr>
              <w:ind w:right="-29"/>
              <w:jc w:val="center"/>
              <w:rPr>
                <w:noProof/>
                <w:sz w:val="18"/>
                <w:szCs w:val="18"/>
              </w:rPr>
            </w:pPr>
          </w:p>
        </w:tc>
        <w:tc>
          <w:tcPr>
            <w:tcW w:w="720" w:type="dxa"/>
            <w:tcBorders>
              <w:left w:val="dashSmallGap" w:sz="4" w:space="0" w:color="auto"/>
            </w:tcBorders>
          </w:tcPr>
          <w:p w14:paraId="52212CC8" w14:textId="77777777" w:rsidR="00FA5543" w:rsidRPr="00C34031" w:rsidRDefault="00FA5543" w:rsidP="00390489">
            <w:pPr>
              <w:ind w:right="-29"/>
              <w:jc w:val="center"/>
              <w:rPr>
                <w:noProof/>
                <w:sz w:val="18"/>
                <w:szCs w:val="18"/>
              </w:rPr>
            </w:pPr>
          </w:p>
        </w:tc>
        <w:tc>
          <w:tcPr>
            <w:tcW w:w="540" w:type="dxa"/>
            <w:tcBorders>
              <w:right w:val="dashSmallGap" w:sz="4" w:space="0" w:color="auto"/>
            </w:tcBorders>
          </w:tcPr>
          <w:p w14:paraId="5DBFC3C7" w14:textId="77777777" w:rsidR="00FA5543" w:rsidRPr="00C34031" w:rsidRDefault="00FA5543" w:rsidP="00390489">
            <w:pPr>
              <w:ind w:right="-29"/>
              <w:jc w:val="center"/>
              <w:rPr>
                <w:noProof/>
                <w:sz w:val="18"/>
                <w:szCs w:val="18"/>
              </w:rPr>
            </w:pPr>
          </w:p>
        </w:tc>
        <w:tc>
          <w:tcPr>
            <w:tcW w:w="720" w:type="dxa"/>
            <w:tcBorders>
              <w:left w:val="dashSmallGap" w:sz="4" w:space="0" w:color="auto"/>
            </w:tcBorders>
          </w:tcPr>
          <w:p w14:paraId="20C6A24E" w14:textId="77777777" w:rsidR="00FA5543" w:rsidRPr="00C34031" w:rsidRDefault="00FA5543" w:rsidP="00390489">
            <w:pPr>
              <w:ind w:right="-29"/>
              <w:jc w:val="center"/>
              <w:rPr>
                <w:noProof/>
                <w:sz w:val="18"/>
                <w:szCs w:val="18"/>
              </w:rPr>
            </w:pPr>
          </w:p>
        </w:tc>
        <w:tc>
          <w:tcPr>
            <w:tcW w:w="720" w:type="dxa"/>
            <w:tcBorders>
              <w:right w:val="dashSmallGap" w:sz="4" w:space="0" w:color="auto"/>
            </w:tcBorders>
          </w:tcPr>
          <w:p w14:paraId="7F4D4B38" w14:textId="77777777" w:rsidR="00FA5543" w:rsidRPr="00C34031" w:rsidRDefault="00FA5543" w:rsidP="00390489">
            <w:pPr>
              <w:ind w:right="-29"/>
              <w:jc w:val="center"/>
              <w:rPr>
                <w:noProof/>
                <w:sz w:val="18"/>
                <w:szCs w:val="18"/>
              </w:rPr>
            </w:pPr>
          </w:p>
        </w:tc>
        <w:tc>
          <w:tcPr>
            <w:tcW w:w="720" w:type="dxa"/>
            <w:tcBorders>
              <w:left w:val="dashSmallGap" w:sz="4" w:space="0" w:color="auto"/>
            </w:tcBorders>
          </w:tcPr>
          <w:p w14:paraId="534BAF16" w14:textId="77777777" w:rsidR="00FA5543" w:rsidRPr="00C34031" w:rsidRDefault="00FA5543" w:rsidP="00390489">
            <w:pPr>
              <w:ind w:right="-29"/>
              <w:jc w:val="center"/>
              <w:rPr>
                <w:noProof/>
                <w:sz w:val="18"/>
                <w:szCs w:val="18"/>
              </w:rPr>
            </w:pPr>
          </w:p>
        </w:tc>
        <w:tc>
          <w:tcPr>
            <w:tcW w:w="900" w:type="dxa"/>
            <w:tcBorders>
              <w:right w:val="dashSmallGap" w:sz="4" w:space="0" w:color="auto"/>
            </w:tcBorders>
          </w:tcPr>
          <w:p w14:paraId="1988AFB1" w14:textId="77777777" w:rsidR="00FA5543" w:rsidRPr="00C34031" w:rsidRDefault="00FA5543" w:rsidP="00390489">
            <w:pPr>
              <w:ind w:right="-29"/>
              <w:jc w:val="center"/>
              <w:rPr>
                <w:noProof/>
                <w:sz w:val="18"/>
                <w:szCs w:val="18"/>
              </w:rPr>
            </w:pPr>
          </w:p>
        </w:tc>
        <w:tc>
          <w:tcPr>
            <w:tcW w:w="720" w:type="dxa"/>
            <w:gridSpan w:val="2"/>
            <w:tcBorders>
              <w:left w:val="dashSmallGap" w:sz="4" w:space="0" w:color="auto"/>
            </w:tcBorders>
          </w:tcPr>
          <w:p w14:paraId="2BC8E4D4" w14:textId="77777777" w:rsidR="00FA5543" w:rsidRPr="00C34031" w:rsidRDefault="00FA5543" w:rsidP="00390489">
            <w:pPr>
              <w:ind w:right="-29"/>
              <w:jc w:val="center"/>
              <w:rPr>
                <w:noProof/>
                <w:sz w:val="18"/>
                <w:szCs w:val="18"/>
              </w:rPr>
            </w:pPr>
          </w:p>
        </w:tc>
        <w:tc>
          <w:tcPr>
            <w:tcW w:w="540" w:type="dxa"/>
            <w:tcBorders>
              <w:right w:val="dashSmallGap" w:sz="4" w:space="0" w:color="auto"/>
            </w:tcBorders>
          </w:tcPr>
          <w:p w14:paraId="54FF7673" w14:textId="77777777" w:rsidR="00FA5543" w:rsidRPr="00C34031" w:rsidRDefault="00FA5543" w:rsidP="00390489">
            <w:pPr>
              <w:ind w:right="-29"/>
              <w:jc w:val="center"/>
              <w:rPr>
                <w:noProof/>
                <w:sz w:val="18"/>
                <w:szCs w:val="18"/>
              </w:rPr>
            </w:pPr>
          </w:p>
        </w:tc>
        <w:tc>
          <w:tcPr>
            <w:tcW w:w="648" w:type="dxa"/>
            <w:tcBorders>
              <w:left w:val="dashSmallGap" w:sz="4" w:space="0" w:color="auto"/>
            </w:tcBorders>
          </w:tcPr>
          <w:p w14:paraId="67700705" w14:textId="77777777" w:rsidR="00FA5543" w:rsidRPr="00C34031" w:rsidRDefault="00FA5543" w:rsidP="00390489">
            <w:pPr>
              <w:ind w:right="-29"/>
              <w:jc w:val="center"/>
              <w:rPr>
                <w:noProof/>
                <w:sz w:val="18"/>
                <w:szCs w:val="18"/>
              </w:rPr>
            </w:pPr>
          </w:p>
        </w:tc>
        <w:tc>
          <w:tcPr>
            <w:tcW w:w="432" w:type="dxa"/>
            <w:tcBorders>
              <w:right w:val="dashSmallGap" w:sz="4" w:space="0" w:color="auto"/>
            </w:tcBorders>
          </w:tcPr>
          <w:p w14:paraId="4FCA4493" w14:textId="77777777" w:rsidR="00FA5543" w:rsidRPr="00C34031" w:rsidRDefault="00FA5543" w:rsidP="00390489">
            <w:pPr>
              <w:ind w:right="-29"/>
              <w:jc w:val="center"/>
              <w:rPr>
                <w:noProof/>
                <w:sz w:val="18"/>
                <w:szCs w:val="18"/>
              </w:rPr>
            </w:pPr>
          </w:p>
        </w:tc>
        <w:tc>
          <w:tcPr>
            <w:tcW w:w="720" w:type="dxa"/>
            <w:tcBorders>
              <w:left w:val="dashSmallGap" w:sz="4" w:space="0" w:color="auto"/>
            </w:tcBorders>
          </w:tcPr>
          <w:p w14:paraId="1DB59B9D" w14:textId="77777777" w:rsidR="00FA5543" w:rsidRPr="00C34031" w:rsidRDefault="00FA5543" w:rsidP="00390489">
            <w:pPr>
              <w:ind w:right="-29"/>
              <w:jc w:val="center"/>
              <w:rPr>
                <w:noProof/>
                <w:sz w:val="18"/>
                <w:szCs w:val="18"/>
              </w:rPr>
            </w:pPr>
          </w:p>
        </w:tc>
        <w:tc>
          <w:tcPr>
            <w:tcW w:w="540" w:type="dxa"/>
            <w:tcBorders>
              <w:right w:val="dashSmallGap" w:sz="4" w:space="0" w:color="auto"/>
            </w:tcBorders>
          </w:tcPr>
          <w:p w14:paraId="5B1F9234" w14:textId="77777777" w:rsidR="00FA5543" w:rsidRPr="00C34031" w:rsidRDefault="00FA5543" w:rsidP="00390489">
            <w:pPr>
              <w:ind w:right="-29"/>
              <w:jc w:val="center"/>
              <w:rPr>
                <w:noProof/>
                <w:sz w:val="18"/>
                <w:szCs w:val="18"/>
              </w:rPr>
            </w:pPr>
          </w:p>
        </w:tc>
        <w:tc>
          <w:tcPr>
            <w:tcW w:w="720" w:type="dxa"/>
            <w:tcBorders>
              <w:left w:val="dashSmallGap" w:sz="4" w:space="0" w:color="auto"/>
            </w:tcBorders>
          </w:tcPr>
          <w:p w14:paraId="6538A942" w14:textId="77777777" w:rsidR="00FA5543" w:rsidRPr="00C34031" w:rsidRDefault="00FA5543" w:rsidP="00390489">
            <w:pPr>
              <w:ind w:right="-29"/>
              <w:jc w:val="center"/>
              <w:rPr>
                <w:noProof/>
                <w:sz w:val="18"/>
                <w:szCs w:val="18"/>
              </w:rPr>
            </w:pPr>
          </w:p>
        </w:tc>
        <w:tc>
          <w:tcPr>
            <w:tcW w:w="720" w:type="dxa"/>
          </w:tcPr>
          <w:p w14:paraId="49C2370C" w14:textId="77777777" w:rsidR="00FA5543" w:rsidRPr="00C34031" w:rsidRDefault="00FA5543" w:rsidP="00390489">
            <w:pPr>
              <w:ind w:right="-29"/>
              <w:jc w:val="center"/>
              <w:rPr>
                <w:noProof/>
                <w:sz w:val="18"/>
                <w:szCs w:val="18"/>
              </w:rPr>
            </w:pPr>
          </w:p>
        </w:tc>
        <w:tc>
          <w:tcPr>
            <w:tcW w:w="900" w:type="dxa"/>
          </w:tcPr>
          <w:p w14:paraId="3AC69AAE" w14:textId="77777777" w:rsidR="00FA5543" w:rsidRPr="00C34031" w:rsidRDefault="00FA5543" w:rsidP="00390489">
            <w:pPr>
              <w:ind w:right="-29"/>
              <w:jc w:val="center"/>
              <w:rPr>
                <w:noProof/>
                <w:sz w:val="18"/>
                <w:szCs w:val="18"/>
              </w:rPr>
            </w:pPr>
          </w:p>
        </w:tc>
      </w:tr>
      <w:tr w:rsidR="00FA5543" w:rsidRPr="00C34031" w14:paraId="64209ADC" w14:textId="77777777" w:rsidTr="139DF8FE">
        <w:trPr>
          <w:trHeight w:hRule="exact" w:val="369"/>
          <w:jc w:val="center"/>
        </w:trPr>
        <w:tc>
          <w:tcPr>
            <w:tcW w:w="1423" w:type="dxa"/>
          </w:tcPr>
          <w:p w14:paraId="6AEAC86D" w14:textId="77777777" w:rsidR="00FA5543" w:rsidRPr="00C34031" w:rsidRDefault="00FA5543" w:rsidP="00390489">
            <w:pPr>
              <w:ind w:right="-29"/>
              <w:jc w:val="center"/>
              <w:rPr>
                <w:noProof/>
                <w:sz w:val="18"/>
                <w:szCs w:val="18"/>
              </w:rPr>
            </w:pPr>
            <w:r w:rsidRPr="00C34031">
              <w:rPr>
                <w:noProof/>
                <w:sz w:val="18"/>
              </w:rPr>
              <w:t>– Výstup</w:t>
            </w:r>
          </w:p>
        </w:tc>
        <w:tc>
          <w:tcPr>
            <w:tcW w:w="720" w:type="dxa"/>
          </w:tcPr>
          <w:p w14:paraId="4C17F81B" w14:textId="77777777" w:rsidR="00FA5543" w:rsidRPr="00C34031" w:rsidRDefault="00FA5543" w:rsidP="00390489">
            <w:pPr>
              <w:ind w:right="-29"/>
              <w:jc w:val="center"/>
              <w:rPr>
                <w:noProof/>
                <w:sz w:val="18"/>
                <w:szCs w:val="18"/>
              </w:rPr>
            </w:pPr>
          </w:p>
        </w:tc>
        <w:tc>
          <w:tcPr>
            <w:tcW w:w="701" w:type="dxa"/>
          </w:tcPr>
          <w:p w14:paraId="4E95FD0C" w14:textId="77777777" w:rsidR="00FA5543" w:rsidRPr="00C34031" w:rsidRDefault="00FA5543" w:rsidP="00390489">
            <w:pPr>
              <w:ind w:right="-29"/>
              <w:jc w:val="center"/>
              <w:rPr>
                <w:noProof/>
                <w:sz w:val="18"/>
                <w:szCs w:val="18"/>
              </w:rPr>
            </w:pPr>
          </w:p>
        </w:tc>
        <w:tc>
          <w:tcPr>
            <w:tcW w:w="504" w:type="dxa"/>
            <w:tcBorders>
              <w:right w:val="dashSmallGap" w:sz="4" w:space="0" w:color="auto"/>
            </w:tcBorders>
          </w:tcPr>
          <w:p w14:paraId="6B199C02" w14:textId="77777777" w:rsidR="00FA5543" w:rsidRPr="00C34031" w:rsidRDefault="00FA5543" w:rsidP="00390489">
            <w:pPr>
              <w:ind w:right="-29"/>
              <w:jc w:val="center"/>
              <w:rPr>
                <w:noProof/>
                <w:sz w:val="18"/>
                <w:szCs w:val="18"/>
              </w:rPr>
            </w:pPr>
          </w:p>
        </w:tc>
        <w:tc>
          <w:tcPr>
            <w:tcW w:w="720" w:type="dxa"/>
            <w:tcBorders>
              <w:left w:val="dashSmallGap" w:sz="4" w:space="0" w:color="auto"/>
            </w:tcBorders>
          </w:tcPr>
          <w:p w14:paraId="5082F315" w14:textId="77777777" w:rsidR="00FA5543" w:rsidRPr="00C34031" w:rsidRDefault="00FA5543" w:rsidP="00390489">
            <w:pPr>
              <w:ind w:right="-29"/>
              <w:jc w:val="center"/>
              <w:rPr>
                <w:noProof/>
                <w:sz w:val="18"/>
                <w:szCs w:val="18"/>
              </w:rPr>
            </w:pPr>
          </w:p>
        </w:tc>
        <w:tc>
          <w:tcPr>
            <w:tcW w:w="540" w:type="dxa"/>
            <w:tcBorders>
              <w:right w:val="dashSmallGap" w:sz="4" w:space="0" w:color="auto"/>
            </w:tcBorders>
          </w:tcPr>
          <w:p w14:paraId="4AB45E4B" w14:textId="77777777" w:rsidR="00FA5543" w:rsidRPr="00C34031" w:rsidRDefault="00FA5543" w:rsidP="00390489">
            <w:pPr>
              <w:ind w:right="-29"/>
              <w:jc w:val="center"/>
              <w:rPr>
                <w:noProof/>
                <w:sz w:val="18"/>
                <w:szCs w:val="18"/>
              </w:rPr>
            </w:pPr>
          </w:p>
        </w:tc>
        <w:tc>
          <w:tcPr>
            <w:tcW w:w="720" w:type="dxa"/>
            <w:tcBorders>
              <w:left w:val="dashSmallGap" w:sz="4" w:space="0" w:color="auto"/>
            </w:tcBorders>
          </w:tcPr>
          <w:p w14:paraId="04925225" w14:textId="77777777" w:rsidR="00FA5543" w:rsidRPr="00C34031" w:rsidRDefault="00FA5543" w:rsidP="00390489">
            <w:pPr>
              <w:ind w:right="-29"/>
              <w:jc w:val="center"/>
              <w:rPr>
                <w:noProof/>
                <w:sz w:val="18"/>
                <w:szCs w:val="18"/>
              </w:rPr>
            </w:pPr>
          </w:p>
        </w:tc>
        <w:tc>
          <w:tcPr>
            <w:tcW w:w="720" w:type="dxa"/>
            <w:tcBorders>
              <w:right w:val="dashSmallGap" w:sz="4" w:space="0" w:color="auto"/>
            </w:tcBorders>
          </w:tcPr>
          <w:p w14:paraId="7C660252" w14:textId="77777777" w:rsidR="00FA5543" w:rsidRPr="00C34031" w:rsidRDefault="00FA5543" w:rsidP="00390489">
            <w:pPr>
              <w:ind w:right="-29"/>
              <w:jc w:val="center"/>
              <w:rPr>
                <w:noProof/>
                <w:sz w:val="18"/>
                <w:szCs w:val="18"/>
              </w:rPr>
            </w:pPr>
          </w:p>
        </w:tc>
        <w:tc>
          <w:tcPr>
            <w:tcW w:w="720" w:type="dxa"/>
            <w:tcBorders>
              <w:left w:val="dashSmallGap" w:sz="4" w:space="0" w:color="auto"/>
            </w:tcBorders>
          </w:tcPr>
          <w:p w14:paraId="7073FC6C" w14:textId="77777777" w:rsidR="00FA5543" w:rsidRPr="00C34031" w:rsidRDefault="00FA5543" w:rsidP="00390489">
            <w:pPr>
              <w:ind w:right="-29"/>
              <w:jc w:val="center"/>
              <w:rPr>
                <w:noProof/>
                <w:sz w:val="18"/>
                <w:szCs w:val="18"/>
              </w:rPr>
            </w:pPr>
          </w:p>
        </w:tc>
        <w:tc>
          <w:tcPr>
            <w:tcW w:w="900" w:type="dxa"/>
            <w:tcBorders>
              <w:right w:val="dashSmallGap" w:sz="4" w:space="0" w:color="auto"/>
            </w:tcBorders>
          </w:tcPr>
          <w:p w14:paraId="2CA7A629" w14:textId="77777777" w:rsidR="00FA5543" w:rsidRPr="00C34031" w:rsidRDefault="00FA5543" w:rsidP="00390489">
            <w:pPr>
              <w:ind w:right="-29"/>
              <w:jc w:val="center"/>
              <w:rPr>
                <w:noProof/>
                <w:sz w:val="18"/>
                <w:szCs w:val="18"/>
              </w:rPr>
            </w:pPr>
          </w:p>
        </w:tc>
        <w:tc>
          <w:tcPr>
            <w:tcW w:w="720" w:type="dxa"/>
            <w:gridSpan w:val="2"/>
            <w:tcBorders>
              <w:left w:val="dashSmallGap" w:sz="4" w:space="0" w:color="auto"/>
            </w:tcBorders>
          </w:tcPr>
          <w:p w14:paraId="369E2E2A" w14:textId="77777777" w:rsidR="00FA5543" w:rsidRPr="00C34031" w:rsidRDefault="00FA5543" w:rsidP="00390489">
            <w:pPr>
              <w:ind w:right="-29"/>
              <w:jc w:val="center"/>
              <w:rPr>
                <w:noProof/>
                <w:sz w:val="18"/>
                <w:szCs w:val="18"/>
              </w:rPr>
            </w:pPr>
          </w:p>
        </w:tc>
        <w:tc>
          <w:tcPr>
            <w:tcW w:w="540" w:type="dxa"/>
            <w:tcBorders>
              <w:right w:val="dashSmallGap" w:sz="4" w:space="0" w:color="auto"/>
            </w:tcBorders>
          </w:tcPr>
          <w:p w14:paraId="6D5DCEBB" w14:textId="77777777" w:rsidR="00FA5543" w:rsidRPr="00C34031" w:rsidRDefault="00FA5543" w:rsidP="00390489">
            <w:pPr>
              <w:ind w:right="-29"/>
              <w:jc w:val="center"/>
              <w:rPr>
                <w:noProof/>
                <w:sz w:val="18"/>
                <w:szCs w:val="18"/>
              </w:rPr>
            </w:pPr>
          </w:p>
        </w:tc>
        <w:tc>
          <w:tcPr>
            <w:tcW w:w="648" w:type="dxa"/>
            <w:tcBorders>
              <w:left w:val="dashSmallGap" w:sz="4" w:space="0" w:color="auto"/>
            </w:tcBorders>
          </w:tcPr>
          <w:p w14:paraId="42D0D518" w14:textId="77777777" w:rsidR="00FA5543" w:rsidRPr="00C34031" w:rsidRDefault="00FA5543" w:rsidP="00390489">
            <w:pPr>
              <w:ind w:right="-29"/>
              <w:jc w:val="center"/>
              <w:rPr>
                <w:noProof/>
                <w:sz w:val="18"/>
                <w:szCs w:val="18"/>
              </w:rPr>
            </w:pPr>
          </w:p>
        </w:tc>
        <w:tc>
          <w:tcPr>
            <w:tcW w:w="432" w:type="dxa"/>
            <w:tcBorders>
              <w:right w:val="dashSmallGap" w:sz="4" w:space="0" w:color="auto"/>
            </w:tcBorders>
          </w:tcPr>
          <w:p w14:paraId="608BC89E" w14:textId="77777777" w:rsidR="00FA5543" w:rsidRPr="00C34031" w:rsidRDefault="00FA5543" w:rsidP="00390489">
            <w:pPr>
              <w:ind w:right="-29"/>
              <w:jc w:val="center"/>
              <w:rPr>
                <w:noProof/>
                <w:sz w:val="18"/>
                <w:szCs w:val="18"/>
              </w:rPr>
            </w:pPr>
          </w:p>
        </w:tc>
        <w:tc>
          <w:tcPr>
            <w:tcW w:w="720" w:type="dxa"/>
            <w:tcBorders>
              <w:left w:val="dashSmallGap" w:sz="4" w:space="0" w:color="auto"/>
            </w:tcBorders>
          </w:tcPr>
          <w:p w14:paraId="6D9C3980" w14:textId="77777777" w:rsidR="00FA5543" w:rsidRPr="00C34031" w:rsidRDefault="00FA5543" w:rsidP="00390489">
            <w:pPr>
              <w:ind w:right="-29"/>
              <w:jc w:val="center"/>
              <w:rPr>
                <w:noProof/>
                <w:sz w:val="18"/>
                <w:szCs w:val="18"/>
              </w:rPr>
            </w:pPr>
          </w:p>
        </w:tc>
        <w:tc>
          <w:tcPr>
            <w:tcW w:w="540" w:type="dxa"/>
            <w:tcBorders>
              <w:right w:val="dashSmallGap" w:sz="4" w:space="0" w:color="auto"/>
            </w:tcBorders>
          </w:tcPr>
          <w:p w14:paraId="1D56D71E" w14:textId="77777777" w:rsidR="00FA5543" w:rsidRPr="00C34031" w:rsidRDefault="00FA5543" w:rsidP="00390489">
            <w:pPr>
              <w:ind w:right="-29"/>
              <w:jc w:val="center"/>
              <w:rPr>
                <w:noProof/>
                <w:sz w:val="18"/>
                <w:szCs w:val="18"/>
              </w:rPr>
            </w:pPr>
          </w:p>
        </w:tc>
        <w:tc>
          <w:tcPr>
            <w:tcW w:w="720" w:type="dxa"/>
            <w:tcBorders>
              <w:left w:val="dashSmallGap" w:sz="4" w:space="0" w:color="auto"/>
            </w:tcBorders>
          </w:tcPr>
          <w:p w14:paraId="278757DE" w14:textId="77777777" w:rsidR="00FA5543" w:rsidRPr="00C34031" w:rsidRDefault="00FA5543" w:rsidP="00390489">
            <w:pPr>
              <w:ind w:right="-29"/>
              <w:jc w:val="center"/>
              <w:rPr>
                <w:noProof/>
                <w:sz w:val="18"/>
                <w:szCs w:val="18"/>
              </w:rPr>
            </w:pPr>
          </w:p>
        </w:tc>
        <w:tc>
          <w:tcPr>
            <w:tcW w:w="720" w:type="dxa"/>
          </w:tcPr>
          <w:p w14:paraId="0E429B72" w14:textId="77777777" w:rsidR="00FA5543" w:rsidRPr="00C34031" w:rsidRDefault="00FA5543" w:rsidP="00390489">
            <w:pPr>
              <w:ind w:right="-29"/>
              <w:jc w:val="center"/>
              <w:rPr>
                <w:noProof/>
                <w:sz w:val="18"/>
                <w:szCs w:val="18"/>
              </w:rPr>
            </w:pPr>
          </w:p>
        </w:tc>
        <w:tc>
          <w:tcPr>
            <w:tcW w:w="900" w:type="dxa"/>
          </w:tcPr>
          <w:p w14:paraId="2C5215F1" w14:textId="77777777" w:rsidR="00FA5543" w:rsidRPr="00C34031" w:rsidRDefault="00FA5543" w:rsidP="00390489">
            <w:pPr>
              <w:ind w:right="-29"/>
              <w:jc w:val="center"/>
              <w:rPr>
                <w:noProof/>
                <w:sz w:val="18"/>
                <w:szCs w:val="18"/>
              </w:rPr>
            </w:pPr>
          </w:p>
        </w:tc>
      </w:tr>
      <w:tr w:rsidR="00FA5543" w:rsidRPr="00C34031" w14:paraId="183442E2" w14:textId="77777777" w:rsidTr="139DF8FE">
        <w:trPr>
          <w:trHeight w:hRule="exact" w:val="369"/>
          <w:jc w:val="center"/>
        </w:trPr>
        <w:tc>
          <w:tcPr>
            <w:tcW w:w="1423" w:type="dxa"/>
          </w:tcPr>
          <w:p w14:paraId="51E1E1BB" w14:textId="77777777" w:rsidR="00FA5543" w:rsidRPr="00C34031" w:rsidRDefault="00FA5543" w:rsidP="00390489">
            <w:pPr>
              <w:ind w:right="-29"/>
              <w:jc w:val="center"/>
              <w:rPr>
                <w:noProof/>
                <w:sz w:val="18"/>
                <w:szCs w:val="18"/>
              </w:rPr>
            </w:pPr>
            <w:r w:rsidRPr="00C34031">
              <w:rPr>
                <w:noProof/>
                <w:sz w:val="18"/>
              </w:rPr>
              <w:t>– Výstup</w:t>
            </w:r>
          </w:p>
        </w:tc>
        <w:tc>
          <w:tcPr>
            <w:tcW w:w="720" w:type="dxa"/>
          </w:tcPr>
          <w:p w14:paraId="619DADC8" w14:textId="77777777" w:rsidR="00FA5543" w:rsidRPr="00C34031" w:rsidRDefault="00FA5543" w:rsidP="00390489">
            <w:pPr>
              <w:ind w:right="-29"/>
              <w:jc w:val="center"/>
              <w:rPr>
                <w:noProof/>
                <w:sz w:val="18"/>
                <w:szCs w:val="18"/>
              </w:rPr>
            </w:pPr>
          </w:p>
        </w:tc>
        <w:tc>
          <w:tcPr>
            <w:tcW w:w="701" w:type="dxa"/>
          </w:tcPr>
          <w:p w14:paraId="7920AC3E" w14:textId="77777777" w:rsidR="00FA5543" w:rsidRPr="00C34031" w:rsidRDefault="00FA5543" w:rsidP="00390489">
            <w:pPr>
              <w:ind w:right="-29"/>
              <w:jc w:val="center"/>
              <w:rPr>
                <w:noProof/>
                <w:sz w:val="18"/>
                <w:szCs w:val="18"/>
              </w:rPr>
            </w:pPr>
          </w:p>
        </w:tc>
        <w:tc>
          <w:tcPr>
            <w:tcW w:w="504" w:type="dxa"/>
          </w:tcPr>
          <w:p w14:paraId="757CB783" w14:textId="77777777" w:rsidR="00FA5543" w:rsidRPr="00C34031" w:rsidRDefault="00FA5543" w:rsidP="00390489">
            <w:pPr>
              <w:ind w:right="-29"/>
              <w:jc w:val="center"/>
              <w:rPr>
                <w:noProof/>
                <w:sz w:val="18"/>
                <w:szCs w:val="18"/>
              </w:rPr>
            </w:pPr>
          </w:p>
        </w:tc>
        <w:tc>
          <w:tcPr>
            <w:tcW w:w="720" w:type="dxa"/>
          </w:tcPr>
          <w:p w14:paraId="4C99197F" w14:textId="77777777" w:rsidR="00FA5543" w:rsidRPr="00C34031" w:rsidRDefault="00FA5543" w:rsidP="00390489">
            <w:pPr>
              <w:ind w:right="-29"/>
              <w:jc w:val="center"/>
              <w:rPr>
                <w:noProof/>
                <w:sz w:val="18"/>
                <w:szCs w:val="18"/>
              </w:rPr>
            </w:pPr>
          </w:p>
        </w:tc>
        <w:tc>
          <w:tcPr>
            <w:tcW w:w="540" w:type="dxa"/>
          </w:tcPr>
          <w:p w14:paraId="2873EF2F" w14:textId="77777777" w:rsidR="00FA5543" w:rsidRPr="00C34031" w:rsidRDefault="00FA5543" w:rsidP="00390489">
            <w:pPr>
              <w:ind w:right="-29"/>
              <w:jc w:val="center"/>
              <w:rPr>
                <w:noProof/>
                <w:sz w:val="18"/>
                <w:szCs w:val="18"/>
              </w:rPr>
            </w:pPr>
          </w:p>
        </w:tc>
        <w:tc>
          <w:tcPr>
            <w:tcW w:w="720" w:type="dxa"/>
          </w:tcPr>
          <w:p w14:paraId="02ABB3F2" w14:textId="77777777" w:rsidR="00FA5543" w:rsidRPr="00C34031" w:rsidRDefault="00FA5543" w:rsidP="00390489">
            <w:pPr>
              <w:ind w:right="-29"/>
              <w:jc w:val="center"/>
              <w:rPr>
                <w:noProof/>
                <w:sz w:val="18"/>
                <w:szCs w:val="18"/>
              </w:rPr>
            </w:pPr>
          </w:p>
        </w:tc>
        <w:tc>
          <w:tcPr>
            <w:tcW w:w="720" w:type="dxa"/>
          </w:tcPr>
          <w:p w14:paraId="1023048A" w14:textId="77777777" w:rsidR="00FA5543" w:rsidRPr="00C34031" w:rsidRDefault="00FA5543" w:rsidP="00390489">
            <w:pPr>
              <w:ind w:right="-29"/>
              <w:jc w:val="center"/>
              <w:rPr>
                <w:noProof/>
                <w:sz w:val="18"/>
                <w:szCs w:val="18"/>
              </w:rPr>
            </w:pPr>
          </w:p>
        </w:tc>
        <w:tc>
          <w:tcPr>
            <w:tcW w:w="720" w:type="dxa"/>
          </w:tcPr>
          <w:p w14:paraId="2A71C966" w14:textId="77777777" w:rsidR="00FA5543" w:rsidRPr="00C34031" w:rsidRDefault="00FA5543" w:rsidP="00390489">
            <w:pPr>
              <w:ind w:right="-29"/>
              <w:jc w:val="center"/>
              <w:rPr>
                <w:noProof/>
                <w:sz w:val="18"/>
                <w:szCs w:val="18"/>
              </w:rPr>
            </w:pPr>
          </w:p>
        </w:tc>
        <w:tc>
          <w:tcPr>
            <w:tcW w:w="900" w:type="dxa"/>
          </w:tcPr>
          <w:p w14:paraId="6A481F6D" w14:textId="77777777" w:rsidR="00FA5543" w:rsidRPr="00C34031" w:rsidRDefault="00FA5543" w:rsidP="00390489">
            <w:pPr>
              <w:ind w:right="-29"/>
              <w:jc w:val="center"/>
              <w:rPr>
                <w:noProof/>
                <w:sz w:val="18"/>
                <w:szCs w:val="18"/>
              </w:rPr>
            </w:pPr>
          </w:p>
        </w:tc>
        <w:tc>
          <w:tcPr>
            <w:tcW w:w="720" w:type="dxa"/>
            <w:gridSpan w:val="2"/>
          </w:tcPr>
          <w:p w14:paraId="6BEA7C7A" w14:textId="77777777" w:rsidR="00FA5543" w:rsidRPr="00C34031" w:rsidRDefault="00FA5543" w:rsidP="00390489">
            <w:pPr>
              <w:ind w:right="-29"/>
              <w:jc w:val="center"/>
              <w:rPr>
                <w:noProof/>
                <w:sz w:val="18"/>
                <w:szCs w:val="18"/>
              </w:rPr>
            </w:pPr>
          </w:p>
        </w:tc>
        <w:tc>
          <w:tcPr>
            <w:tcW w:w="540" w:type="dxa"/>
          </w:tcPr>
          <w:p w14:paraId="1DB63308" w14:textId="77777777" w:rsidR="00FA5543" w:rsidRPr="00C34031" w:rsidRDefault="00FA5543" w:rsidP="00390489">
            <w:pPr>
              <w:ind w:right="-29"/>
              <w:jc w:val="center"/>
              <w:rPr>
                <w:noProof/>
                <w:sz w:val="18"/>
                <w:szCs w:val="18"/>
              </w:rPr>
            </w:pPr>
          </w:p>
        </w:tc>
        <w:tc>
          <w:tcPr>
            <w:tcW w:w="648" w:type="dxa"/>
          </w:tcPr>
          <w:p w14:paraId="71D08428" w14:textId="77777777" w:rsidR="00FA5543" w:rsidRPr="00C34031" w:rsidRDefault="00FA5543" w:rsidP="00390489">
            <w:pPr>
              <w:ind w:right="-29"/>
              <w:jc w:val="center"/>
              <w:rPr>
                <w:noProof/>
                <w:sz w:val="18"/>
                <w:szCs w:val="18"/>
              </w:rPr>
            </w:pPr>
          </w:p>
        </w:tc>
        <w:tc>
          <w:tcPr>
            <w:tcW w:w="432" w:type="dxa"/>
          </w:tcPr>
          <w:p w14:paraId="676AF2F5" w14:textId="77777777" w:rsidR="00FA5543" w:rsidRPr="00C34031" w:rsidRDefault="00FA5543" w:rsidP="00390489">
            <w:pPr>
              <w:ind w:right="-29"/>
              <w:jc w:val="center"/>
              <w:rPr>
                <w:noProof/>
                <w:sz w:val="18"/>
                <w:szCs w:val="18"/>
              </w:rPr>
            </w:pPr>
          </w:p>
        </w:tc>
        <w:tc>
          <w:tcPr>
            <w:tcW w:w="720" w:type="dxa"/>
          </w:tcPr>
          <w:p w14:paraId="0CF787BC" w14:textId="77777777" w:rsidR="00FA5543" w:rsidRPr="00C34031" w:rsidRDefault="00FA5543" w:rsidP="00390489">
            <w:pPr>
              <w:ind w:right="-29"/>
              <w:jc w:val="center"/>
              <w:rPr>
                <w:noProof/>
                <w:sz w:val="18"/>
                <w:szCs w:val="18"/>
              </w:rPr>
            </w:pPr>
          </w:p>
        </w:tc>
        <w:tc>
          <w:tcPr>
            <w:tcW w:w="540" w:type="dxa"/>
          </w:tcPr>
          <w:p w14:paraId="0F1EEBE6" w14:textId="77777777" w:rsidR="00FA5543" w:rsidRPr="00C34031" w:rsidRDefault="00FA5543" w:rsidP="00390489">
            <w:pPr>
              <w:ind w:right="-29"/>
              <w:jc w:val="center"/>
              <w:rPr>
                <w:noProof/>
                <w:sz w:val="18"/>
                <w:szCs w:val="18"/>
              </w:rPr>
            </w:pPr>
          </w:p>
        </w:tc>
        <w:tc>
          <w:tcPr>
            <w:tcW w:w="720" w:type="dxa"/>
          </w:tcPr>
          <w:p w14:paraId="304C9DAA" w14:textId="77777777" w:rsidR="00FA5543" w:rsidRPr="00C34031" w:rsidRDefault="00FA5543" w:rsidP="00390489">
            <w:pPr>
              <w:ind w:right="-29"/>
              <w:jc w:val="center"/>
              <w:rPr>
                <w:noProof/>
                <w:sz w:val="18"/>
                <w:szCs w:val="18"/>
              </w:rPr>
            </w:pPr>
          </w:p>
        </w:tc>
        <w:tc>
          <w:tcPr>
            <w:tcW w:w="720" w:type="dxa"/>
          </w:tcPr>
          <w:p w14:paraId="064944B3" w14:textId="77777777" w:rsidR="00FA5543" w:rsidRPr="00C34031" w:rsidRDefault="00FA5543" w:rsidP="00390489">
            <w:pPr>
              <w:ind w:right="-29"/>
              <w:jc w:val="center"/>
              <w:rPr>
                <w:noProof/>
                <w:sz w:val="18"/>
                <w:szCs w:val="18"/>
              </w:rPr>
            </w:pPr>
          </w:p>
        </w:tc>
        <w:tc>
          <w:tcPr>
            <w:tcW w:w="900" w:type="dxa"/>
          </w:tcPr>
          <w:p w14:paraId="43DD3482" w14:textId="77777777" w:rsidR="00FA5543" w:rsidRPr="00C34031" w:rsidRDefault="00FA5543" w:rsidP="00390489">
            <w:pPr>
              <w:ind w:right="-29"/>
              <w:jc w:val="center"/>
              <w:rPr>
                <w:noProof/>
                <w:sz w:val="18"/>
                <w:szCs w:val="18"/>
              </w:rPr>
            </w:pPr>
          </w:p>
        </w:tc>
      </w:tr>
      <w:tr w:rsidR="00FA5543" w:rsidRPr="00C34031" w14:paraId="4F3F8853" w14:textId="77777777" w:rsidTr="139DF8FE">
        <w:trPr>
          <w:trHeight w:val="77"/>
          <w:jc w:val="center"/>
        </w:trPr>
        <w:tc>
          <w:tcPr>
            <w:tcW w:w="2844" w:type="dxa"/>
            <w:gridSpan w:val="3"/>
            <w:tcBorders>
              <w:bottom w:val="single" w:sz="12" w:space="0" w:color="auto"/>
            </w:tcBorders>
            <w:vAlign w:val="center"/>
          </w:tcPr>
          <w:p w14:paraId="27F6A1E8" w14:textId="77777777" w:rsidR="00FA5543" w:rsidRPr="00C34031" w:rsidRDefault="00FA5543" w:rsidP="00390489">
            <w:pPr>
              <w:ind w:right="-29"/>
              <w:jc w:val="center"/>
              <w:rPr>
                <w:noProof/>
                <w:sz w:val="18"/>
                <w:szCs w:val="18"/>
              </w:rPr>
            </w:pPr>
            <w:r w:rsidRPr="00C34031">
              <w:rPr>
                <w:noProof/>
                <w:sz w:val="18"/>
              </w:rPr>
              <w:t>Mezisoučet za specifický cíl č. 1</w:t>
            </w:r>
          </w:p>
        </w:tc>
        <w:tc>
          <w:tcPr>
            <w:tcW w:w="504" w:type="dxa"/>
            <w:tcBorders>
              <w:bottom w:val="single" w:sz="12" w:space="0" w:color="auto"/>
            </w:tcBorders>
          </w:tcPr>
          <w:p w14:paraId="3BAE17E6" w14:textId="77777777" w:rsidR="00FA5543" w:rsidRPr="00C34031" w:rsidRDefault="00FA5543" w:rsidP="00390489">
            <w:pPr>
              <w:ind w:right="-29"/>
              <w:jc w:val="center"/>
              <w:rPr>
                <w:noProof/>
                <w:sz w:val="18"/>
                <w:szCs w:val="18"/>
              </w:rPr>
            </w:pPr>
          </w:p>
        </w:tc>
        <w:tc>
          <w:tcPr>
            <w:tcW w:w="720" w:type="dxa"/>
            <w:tcBorders>
              <w:bottom w:val="single" w:sz="12" w:space="0" w:color="auto"/>
            </w:tcBorders>
          </w:tcPr>
          <w:p w14:paraId="20D7AB7F" w14:textId="77777777" w:rsidR="00FA5543" w:rsidRPr="00C34031" w:rsidRDefault="00FA5543" w:rsidP="00390489">
            <w:pPr>
              <w:ind w:right="-29"/>
              <w:jc w:val="center"/>
              <w:rPr>
                <w:noProof/>
                <w:sz w:val="18"/>
                <w:szCs w:val="18"/>
              </w:rPr>
            </w:pPr>
          </w:p>
        </w:tc>
        <w:tc>
          <w:tcPr>
            <w:tcW w:w="540" w:type="dxa"/>
            <w:tcBorders>
              <w:bottom w:val="single" w:sz="12" w:space="0" w:color="auto"/>
            </w:tcBorders>
          </w:tcPr>
          <w:p w14:paraId="0CDAF1EB" w14:textId="77777777" w:rsidR="00FA5543" w:rsidRPr="00C34031" w:rsidRDefault="00FA5543" w:rsidP="00390489">
            <w:pPr>
              <w:ind w:right="-29"/>
              <w:jc w:val="center"/>
              <w:rPr>
                <w:noProof/>
                <w:sz w:val="18"/>
                <w:szCs w:val="18"/>
              </w:rPr>
            </w:pPr>
          </w:p>
        </w:tc>
        <w:tc>
          <w:tcPr>
            <w:tcW w:w="720" w:type="dxa"/>
            <w:tcBorders>
              <w:bottom w:val="single" w:sz="12" w:space="0" w:color="auto"/>
            </w:tcBorders>
          </w:tcPr>
          <w:p w14:paraId="467F827D" w14:textId="77777777" w:rsidR="00FA5543" w:rsidRPr="00C34031" w:rsidRDefault="00FA5543" w:rsidP="00390489">
            <w:pPr>
              <w:ind w:right="-29"/>
              <w:jc w:val="center"/>
              <w:rPr>
                <w:noProof/>
                <w:sz w:val="18"/>
                <w:szCs w:val="18"/>
              </w:rPr>
            </w:pPr>
          </w:p>
        </w:tc>
        <w:tc>
          <w:tcPr>
            <w:tcW w:w="720" w:type="dxa"/>
            <w:tcBorders>
              <w:bottom w:val="single" w:sz="12" w:space="0" w:color="auto"/>
            </w:tcBorders>
          </w:tcPr>
          <w:p w14:paraId="24BDBF24" w14:textId="77777777" w:rsidR="00FA5543" w:rsidRPr="00C34031" w:rsidRDefault="00FA5543" w:rsidP="00390489">
            <w:pPr>
              <w:ind w:right="-29"/>
              <w:jc w:val="center"/>
              <w:rPr>
                <w:noProof/>
                <w:sz w:val="18"/>
                <w:szCs w:val="18"/>
              </w:rPr>
            </w:pPr>
          </w:p>
        </w:tc>
        <w:tc>
          <w:tcPr>
            <w:tcW w:w="720" w:type="dxa"/>
            <w:tcBorders>
              <w:bottom w:val="single" w:sz="12" w:space="0" w:color="auto"/>
            </w:tcBorders>
          </w:tcPr>
          <w:p w14:paraId="1E5A97BB" w14:textId="77777777" w:rsidR="00FA5543" w:rsidRPr="00C34031" w:rsidRDefault="00FA5543" w:rsidP="00390489">
            <w:pPr>
              <w:ind w:right="-29"/>
              <w:jc w:val="center"/>
              <w:rPr>
                <w:noProof/>
                <w:sz w:val="18"/>
                <w:szCs w:val="18"/>
              </w:rPr>
            </w:pPr>
          </w:p>
        </w:tc>
        <w:tc>
          <w:tcPr>
            <w:tcW w:w="900" w:type="dxa"/>
            <w:tcBorders>
              <w:bottom w:val="single" w:sz="12" w:space="0" w:color="auto"/>
            </w:tcBorders>
          </w:tcPr>
          <w:p w14:paraId="147B97A2" w14:textId="77777777" w:rsidR="00FA5543" w:rsidRPr="00C34031" w:rsidRDefault="00FA5543" w:rsidP="00390489">
            <w:pPr>
              <w:ind w:right="-29"/>
              <w:jc w:val="center"/>
              <w:rPr>
                <w:noProof/>
                <w:sz w:val="18"/>
                <w:szCs w:val="18"/>
              </w:rPr>
            </w:pPr>
          </w:p>
        </w:tc>
        <w:tc>
          <w:tcPr>
            <w:tcW w:w="720" w:type="dxa"/>
            <w:gridSpan w:val="2"/>
            <w:tcBorders>
              <w:bottom w:val="single" w:sz="12" w:space="0" w:color="auto"/>
            </w:tcBorders>
          </w:tcPr>
          <w:p w14:paraId="6474EC41" w14:textId="77777777" w:rsidR="00FA5543" w:rsidRPr="00C34031" w:rsidRDefault="00FA5543" w:rsidP="00390489">
            <w:pPr>
              <w:ind w:right="-29"/>
              <w:jc w:val="center"/>
              <w:rPr>
                <w:noProof/>
                <w:sz w:val="18"/>
                <w:szCs w:val="18"/>
              </w:rPr>
            </w:pPr>
          </w:p>
        </w:tc>
        <w:tc>
          <w:tcPr>
            <w:tcW w:w="540" w:type="dxa"/>
            <w:tcBorders>
              <w:bottom w:val="single" w:sz="12" w:space="0" w:color="auto"/>
            </w:tcBorders>
          </w:tcPr>
          <w:p w14:paraId="7498619C" w14:textId="77777777" w:rsidR="00FA5543" w:rsidRPr="00C34031" w:rsidRDefault="00FA5543" w:rsidP="00390489">
            <w:pPr>
              <w:ind w:right="-29"/>
              <w:jc w:val="center"/>
              <w:rPr>
                <w:noProof/>
                <w:sz w:val="18"/>
                <w:szCs w:val="18"/>
              </w:rPr>
            </w:pPr>
          </w:p>
        </w:tc>
        <w:tc>
          <w:tcPr>
            <w:tcW w:w="648" w:type="dxa"/>
            <w:tcBorders>
              <w:bottom w:val="single" w:sz="12" w:space="0" w:color="auto"/>
            </w:tcBorders>
          </w:tcPr>
          <w:p w14:paraId="14E5A25F" w14:textId="77777777" w:rsidR="00FA5543" w:rsidRPr="00C34031" w:rsidRDefault="00FA5543" w:rsidP="00390489">
            <w:pPr>
              <w:ind w:right="-29"/>
              <w:jc w:val="center"/>
              <w:rPr>
                <w:noProof/>
                <w:sz w:val="18"/>
                <w:szCs w:val="18"/>
              </w:rPr>
            </w:pPr>
          </w:p>
        </w:tc>
        <w:tc>
          <w:tcPr>
            <w:tcW w:w="432" w:type="dxa"/>
            <w:tcBorders>
              <w:bottom w:val="single" w:sz="12" w:space="0" w:color="auto"/>
            </w:tcBorders>
          </w:tcPr>
          <w:p w14:paraId="4892E45D" w14:textId="77777777" w:rsidR="00FA5543" w:rsidRPr="00C34031" w:rsidRDefault="00FA5543" w:rsidP="00390489">
            <w:pPr>
              <w:ind w:right="-29"/>
              <w:jc w:val="center"/>
              <w:rPr>
                <w:noProof/>
                <w:sz w:val="18"/>
                <w:szCs w:val="18"/>
              </w:rPr>
            </w:pPr>
          </w:p>
        </w:tc>
        <w:tc>
          <w:tcPr>
            <w:tcW w:w="720" w:type="dxa"/>
            <w:tcBorders>
              <w:bottom w:val="single" w:sz="12" w:space="0" w:color="auto"/>
            </w:tcBorders>
          </w:tcPr>
          <w:p w14:paraId="464F930F" w14:textId="77777777" w:rsidR="00FA5543" w:rsidRPr="00C34031" w:rsidRDefault="00FA5543" w:rsidP="00390489">
            <w:pPr>
              <w:ind w:right="-29"/>
              <w:jc w:val="center"/>
              <w:rPr>
                <w:noProof/>
                <w:sz w:val="18"/>
                <w:szCs w:val="18"/>
              </w:rPr>
            </w:pPr>
          </w:p>
        </w:tc>
        <w:tc>
          <w:tcPr>
            <w:tcW w:w="540" w:type="dxa"/>
            <w:tcBorders>
              <w:bottom w:val="single" w:sz="12" w:space="0" w:color="auto"/>
            </w:tcBorders>
          </w:tcPr>
          <w:p w14:paraId="75C98707" w14:textId="77777777" w:rsidR="00FA5543" w:rsidRPr="00C34031" w:rsidRDefault="00FA5543" w:rsidP="00390489">
            <w:pPr>
              <w:ind w:right="-29"/>
              <w:jc w:val="center"/>
              <w:rPr>
                <w:noProof/>
                <w:sz w:val="18"/>
                <w:szCs w:val="18"/>
              </w:rPr>
            </w:pPr>
          </w:p>
        </w:tc>
        <w:tc>
          <w:tcPr>
            <w:tcW w:w="720" w:type="dxa"/>
            <w:tcBorders>
              <w:bottom w:val="single" w:sz="12" w:space="0" w:color="auto"/>
            </w:tcBorders>
          </w:tcPr>
          <w:p w14:paraId="4F4E1CEA" w14:textId="77777777" w:rsidR="00FA5543" w:rsidRPr="00C34031" w:rsidRDefault="00FA5543" w:rsidP="00390489">
            <w:pPr>
              <w:ind w:right="-29"/>
              <w:jc w:val="center"/>
              <w:rPr>
                <w:noProof/>
                <w:sz w:val="18"/>
                <w:szCs w:val="18"/>
              </w:rPr>
            </w:pPr>
          </w:p>
        </w:tc>
        <w:tc>
          <w:tcPr>
            <w:tcW w:w="720" w:type="dxa"/>
            <w:tcBorders>
              <w:bottom w:val="single" w:sz="12" w:space="0" w:color="auto"/>
            </w:tcBorders>
          </w:tcPr>
          <w:p w14:paraId="02B82324" w14:textId="77777777" w:rsidR="00FA5543" w:rsidRPr="00C34031" w:rsidRDefault="00FA5543" w:rsidP="00390489">
            <w:pPr>
              <w:ind w:right="-29"/>
              <w:jc w:val="center"/>
              <w:rPr>
                <w:noProof/>
                <w:sz w:val="18"/>
                <w:szCs w:val="18"/>
              </w:rPr>
            </w:pPr>
          </w:p>
        </w:tc>
        <w:tc>
          <w:tcPr>
            <w:tcW w:w="900" w:type="dxa"/>
            <w:tcBorders>
              <w:bottom w:val="single" w:sz="12" w:space="0" w:color="auto"/>
            </w:tcBorders>
          </w:tcPr>
          <w:p w14:paraId="6D28BF4B" w14:textId="77777777" w:rsidR="00FA5543" w:rsidRPr="00C34031" w:rsidRDefault="00FA5543" w:rsidP="00390489">
            <w:pPr>
              <w:ind w:right="-29"/>
              <w:jc w:val="center"/>
              <w:rPr>
                <w:noProof/>
                <w:sz w:val="18"/>
                <w:szCs w:val="18"/>
              </w:rPr>
            </w:pPr>
          </w:p>
        </w:tc>
      </w:tr>
      <w:tr w:rsidR="00FA5543" w:rsidRPr="00C34031" w14:paraId="0DD53F0C" w14:textId="77777777" w:rsidTr="139DF8FE">
        <w:trPr>
          <w:jc w:val="center"/>
        </w:trPr>
        <w:tc>
          <w:tcPr>
            <w:tcW w:w="2844" w:type="dxa"/>
            <w:gridSpan w:val="3"/>
            <w:vAlign w:val="center"/>
          </w:tcPr>
          <w:p w14:paraId="535DAE18" w14:textId="77777777" w:rsidR="00FA5543" w:rsidRPr="00C34031" w:rsidRDefault="00FA5543" w:rsidP="00390489">
            <w:pPr>
              <w:spacing w:before="60" w:after="60"/>
              <w:ind w:right="-29"/>
              <w:jc w:val="center"/>
              <w:rPr>
                <w:noProof/>
                <w:sz w:val="18"/>
                <w:szCs w:val="18"/>
              </w:rPr>
            </w:pPr>
            <w:r w:rsidRPr="00C34031">
              <w:rPr>
                <w:noProof/>
                <w:sz w:val="18"/>
              </w:rPr>
              <w:t>SPECIFICKÝ CÍL č. 2 ...</w:t>
            </w:r>
          </w:p>
        </w:tc>
        <w:tc>
          <w:tcPr>
            <w:tcW w:w="504" w:type="dxa"/>
            <w:tcBorders>
              <w:top w:val="nil"/>
              <w:left w:val="nil"/>
              <w:bottom w:val="nil"/>
              <w:right w:val="nil"/>
            </w:tcBorders>
          </w:tcPr>
          <w:p w14:paraId="4BECB5AB" w14:textId="77777777" w:rsidR="00FA5543" w:rsidRPr="00C34031" w:rsidRDefault="00FA5543" w:rsidP="00390489">
            <w:pPr>
              <w:spacing w:before="60" w:after="60"/>
              <w:ind w:right="-29"/>
              <w:jc w:val="center"/>
              <w:rPr>
                <w:noProof/>
                <w:sz w:val="18"/>
                <w:szCs w:val="18"/>
              </w:rPr>
            </w:pPr>
          </w:p>
        </w:tc>
        <w:tc>
          <w:tcPr>
            <w:tcW w:w="720" w:type="dxa"/>
            <w:tcBorders>
              <w:top w:val="nil"/>
              <w:left w:val="nil"/>
              <w:bottom w:val="nil"/>
              <w:right w:val="nil"/>
            </w:tcBorders>
          </w:tcPr>
          <w:p w14:paraId="530250FD" w14:textId="77777777" w:rsidR="00FA5543" w:rsidRPr="00C34031" w:rsidRDefault="00FA5543" w:rsidP="00390489">
            <w:pPr>
              <w:spacing w:before="60" w:after="60"/>
              <w:ind w:right="-29"/>
              <w:jc w:val="center"/>
              <w:rPr>
                <w:noProof/>
                <w:sz w:val="18"/>
                <w:szCs w:val="18"/>
              </w:rPr>
            </w:pPr>
          </w:p>
        </w:tc>
        <w:tc>
          <w:tcPr>
            <w:tcW w:w="540" w:type="dxa"/>
            <w:tcBorders>
              <w:top w:val="nil"/>
              <w:left w:val="nil"/>
              <w:bottom w:val="nil"/>
              <w:right w:val="nil"/>
            </w:tcBorders>
          </w:tcPr>
          <w:p w14:paraId="1AE9DB05" w14:textId="77777777" w:rsidR="00FA5543" w:rsidRPr="00C34031" w:rsidRDefault="00FA5543" w:rsidP="00390489">
            <w:pPr>
              <w:spacing w:before="60" w:after="60"/>
              <w:ind w:right="-29"/>
              <w:jc w:val="center"/>
              <w:rPr>
                <w:noProof/>
                <w:sz w:val="18"/>
                <w:szCs w:val="18"/>
              </w:rPr>
            </w:pPr>
          </w:p>
        </w:tc>
        <w:tc>
          <w:tcPr>
            <w:tcW w:w="720" w:type="dxa"/>
            <w:tcBorders>
              <w:top w:val="nil"/>
              <w:left w:val="nil"/>
              <w:bottom w:val="nil"/>
              <w:right w:val="nil"/>
            </w:tcBorders>
          </w:tcPr>
          <w:p w14:paraId="188411E1" w14:textId="77777777" w:rsidR="00FA5543" w:rsidRPr="00C34031" w:rsidRDefault="00FA5543" w:rsidP="00390489">
            <w:pPr>
              <w:spacing w:before="60" w:after="60"/>
              <w:ind w:right="-29"/>
              <w:jc w:val="center"/>
              <w:rPr>
                <w:noProof/>
                <w:sz w:val="18"/>
                <w:szCs w:val="18"/>
              </w:rPr>
            </w:pPr>
          </w:p>
        </w:tc>
        <w:tc>
          <w:tcPr>
            <w:tcW w:w="720" w:type="dxa"/>
            <w:tcBorders>
              <w:top w:val="nil"/>
              <w:left w:val="nil"/>
              <w:bottom w:val="nil"/>
              <w:right w:val="nil"/>
            </w:tcBorders>
          </w:tcPr>
          <w:p w14:paraId="1DAEAE05" w14:textId="77777777" w:rsidR="00FA5543" w:rsidRPr="00C34031" w:rsidRDefault="00FA5543" w:rsidP="00390489">
            <w:pPr>
              <w:spacing w:before="60" w:after="60"/>
              <w:ind w:right="-29"/>
              <w:jc w:val="center"/>
              <w:rPr>
                <w:noProof/>
                <w:sz w:val="18"/>
                <w:szCs w:val="18"/>
              </w:rPr>
            </w:pPr>
          </w:p>
        </w:tc>
        <w:tc>
          <w:tcPr>
            <w:tcW w:w="720" w:type="dxa"/>
            <w:tcBorders>
              <w:top w:val="nil"/>
              <w:left w:val="nil"/>
              <w:bottom w:val="nil"/>
              <w:right w:val="nil"/>
            </w:tcBorders>
          </w:tcPr>
          <w:p w14:paraId="5156C205" w14:textId="77777777" w:rsidR="00FA5543" w:rsidRPr="00C34031" w:rsidRDefault="00FA5543" w:rsidP="00390489">
            <w:pPr>
              <w:spacing w:before="60" w:after="60"/>
              <w:ind w:right="-29"/>
              <w:jc w:val="center"/>
              <w:rPr>
                <w:noProof/>
                <w:sz w:val="18"/>
                <w:szCs w:val="18"/>
              </w:rPr>
            </w:pPr>
          </w:p>
        </w:tc>
        <w:tc>
          <w:tcPr>
            <w:tcW w:w="900" w:type="dxa"/>
            <w:tcBorders>
              <w:top w:val="nil"/>
              <w:left w:val="nil"/>
              <w:bottom w:val="nil"/>
              <w:right w:val="nil"/>
            </w:tcBorders>
          </w:tcPr>
          <w:p w14:paraId="085E093E" w14:textId="77777777" w:rsidR="00FA5543" w:rsidRPr="00C34031" w:rsidRDefault="00FA5543" w:rsidP="00390489">
            <w:pPr>
              <w:spacing w:before="60" w:after="60"/>
              <w:ind w:right="-29"/>
              <w:jc w:val="center"/>
              <w:rPr>
                <w:noProof/>
                <w:sz w:val="18"/>
                <w:szCs w:val="18"/>
              </w:rPr>
            </w:pPr>
          </w:p>
        </w:tc>
        <w:tc>
          <w:tcPr>
            <w:tcW w:w="720" w:type="dxa"/>
            <w:gridSpan w:val="2"/>
            <w:tcBorders>
              <w:top w:val="nil"/>
              <w:left w:val="nil"/>
              <w:bottom w:val="nil"/>
              <w:right w:val="nil"/>
            </w:tcBorders>
          </w:tcPr>
          <w:p w14:paraId="1A9557AF" w14:textId="77777777" w:rsidR="00FA5543" w:rsidRPr="00C34031" w:rsidRDefault="00FA5543" w:rsidP="00390489">
            <w:pPr>
              <w:spacing w:before="60" w:after="60"/>
              <w:ind w:right="-29"/>
              <w:jc w:val="center"/>
              <w:rPr>
                <w:noProof/>
                <w:sz w:val="18"/>
                <w:szCs w:val="18"/>
              </w:rPr>
            </w:pPr>
          </w:p>
        </w:tc>
        <w:tc>
          <w:tcPr>
            <w:tcW w:w="540" w:type="dxa"/>
            <w:tcBorders>
              <w:top w:val="nil"/>
              <w:left w:val="nil"/>
              <w:bottom w:val="nil"/>
              <w:right w:val="nil"/>
            </w:tcBorders>
          </w:tcPr>
          <w:p w14:paraId="6E5184FA" w14:textId="77777777" w:rsidR="00FA5543" w:rsidRPr="00C34031" w:rsidRDefault="00FA5543" w:rsidP="00390489">
            <w:pPr>
              <w:spacing w:before="60" w:after="60"/>
              <w:ind w:right="-29"/>
              <w:jc w:val="center"/>
              <w:rPr>
                <w:noProof/>
                <w:sz w:val="18"/>
                <w:szCs w:val="18"/>
              </w:rPr>
            </w:pPr>
          </w:p>
        </w:tc>
        <w:tc>
          <w:tcPr>
            <w:tcW w:w="648" w:type="dxa"/>
            <w:tcBorders>
              <w:top w:val="nil"/>
              <w:left w:val="nil"/>
              <w:bottom w:val="nil"/>
              <w:right w:val="nil"/>
            </w:tcBorders>
          </w:tcPr>
          <w:p w14:paraId="486751B2" w14:textId="77777777" w:rsidR="00FA5543" w:rsidRPr="00C34031" w:rsidRDefault="00FA5543" w:rsidP="00390489">
            <w:pPr>
              <w:spacing w:before="60" w:after="60"/>
              <w:ind w:right="-29"/>
              <w:jc w:val="center"/>
              <w:rPr>
                <w:noProof/>
                <w:sz w:val="18"/>
                <w:szCs w:val="18"/>
              </w:rPr>
            </w:pPr>
          </w:p>
        </w:tc>
        <w:tc>
          <w:tcPr>
            <w:tcW w:w="432" w:type="dxa"/>
            <w:tcBorders>
              <w:top w:val="nil"/>
              <w:left w:val="nil"/>
              <w:bottom w:val="nil"/>
              <w:right w:val="nil"/>
            </w:tcBorders>
          </w:tcPr>
          <w:p w14:paraId="3EB602A4" w14:textId="77777777" w:rsidR="00FA5543" w:rsidRPr="00C34031" w:rsidRDefault="00FA5543" w:rsidP="00390489">
            <w:pPr>
              <w:spacing w:before="60" w:after="60"/>
              <w:ind w:right="-29"/>
              <w:jc w:val="center"/>
              <w:rPr>
                <w:noProof/>
                <w:sz w:val="18"/>
                <w:szCs w:val="18"/>
              </w:rPr>
            </w:pPr>
          </w:p>
        </w:tc>
        <w:tc>
          <w:tcPr>
            <w:tcW w:w="720" w:type="dxa"/>
            <w:tcBorders>
              <w:top w:val="nil"/>
              <w:left w:val="nil"/>
              <w:bottom w:val="nil"/>
              <w:right w:val="nil"/>
            </w:tcBorders>
          </w:tcPr>
          <w:p w14:paraId="67901369" w14:textId="77777777" w:rsidR="00FA5543" w:rsidRPr="00C34031" w:rsidRDefault="00FA5543" w:rsidP="00390489">
            <w:pPr>
              <w:spacing w:before="60" w:after="60"/>
              <w:ind w:right="-29"/>
              <w:jc w:val="center"/>
              <w:rPr>
                <w:noProof/>
                <w:sz w:val="18"/>
                <w:szCs w:val="18"/>
              </w:rPr>
            </w:pPr>
          </w:p>
        </w:tc>
        <w:tc>
          <w:tcPr>
            <w:tcW w:w="540" w:type="dxa"/>
            <w:tcBorders>
              <w:top w:val="nil"/>
              <w:left w:val="nil"/>
              <w:bottom w:val="nil"/>
              <w:right w:val="nil"/>
            </w:tcBorders>
          </w:tcPr>
          <w:p w14:paraId="1D458813" w14:textId="77777777" w:rsidR="00FA5543" w:rsidRPr="00C34031" w:rsidRDefault="00FA5543" w:rsidP="00390489">
            <w:pPr>
              <w:spacing w:before="60" w:after="60"/>
              <w:ind w:right="-29"/>
              <w:jc w:val="center"/>
              <w:rPr>
                <w:noProof/>
                <w:sz w:val="18"/>
                <w:szCs w:val="18"/>
              </w:rPr>
            </w:pPr>
          </w:p>
        </w:tc>
        <w:tc>
          <w:tcPr>
            <w:tcW w:w="720" w:type="dxa"/>
            <w:tcBorders>
              <w:top w:val="nil"/>
              <w:left w:val="nil"/>
              <w:bottom w:val="nil"/>
              <w:right w:val="nil"/>
            </w:tcBorders>
          </w:tcPr>
          <w:p w14:paraId="0F820E15" w14:textId="77777777" w:rsidR="00FA5543" w:rsidRPr="00C34031" w:rsidRDefault="00FA5543" w:rsidP="00390489">
            <w:pPr>
              <w:spacing w:before="60" w:after="60"/>
              <w:ind w:right="-29"/>
              <w:jc w:val="center"/>
              <w:rPr>
                <w:noProof/>
                <w:sz w:val="18"/>
                <w:szCs w:val="18"/>
              </w:rPr>
            </w:pPr>
          </w:p>
        </w:tc>
        <w:tc>
          <w:tcPr>
            <w:tcW w:w="720" w:type="dxa"/>
            <w:tcBorders>
              <w:top w:val="nil"/>
              <w:left w:val="nil"/>
              <w:bottom w:val="nil"/>
              <w:right w:val="nil"/>
            </w:tcBorders>
          </w:tcPr>
          <w:p w14:paraId="0B62F28E" w14:textId="77777777" w:rsidR="00FA5543" w:rsidRPr="00C34031" w:rsidRDefault="00FA5543" w:rsidP="00390489">
            <w:pPr>
              <w:spacing w:before="60" w:after="60"/>
              <w:ind w:right="-29"/>
              <w:jc w:val="center"/>
              <w:rPr>
                <w:noProof/>
                <w:sz w:val="18"/>
                <w:szCs w:val="18"/>
              </w:rPr>
            </w:pPr>
          </w:p>
        </w:tc>
        <w:tc>
          <w:tcPr>
            <w:tcW w:w="900" w:type="dxa"/>
            <w:tcBorders>
              <w:top w:val="nil"/>
              <w:left w:val="nil"/>
              <w:bottom w:val="nil"/>
              <w:right w:val="nil"/>
            </w:tcBorders>
          </w:tcPr>
          <w:p w14:paraId="6DFFEA87" w14:textId="77777777" w:rsidR="00FA5543" w:rsidRPr="00C34031" w:rsidRDefault="00FA5543" w:rsidP="00390489">
            <w:pPr>
              <w:spacing w:before="60" w:after="60"/>
              <w:ind w:right="-29"/>
              <w:jc w:val="center"/>
              <w:rPr>
                <w:noProof/>
                <w:sz w:val="18"/>
                <w:szCs w:val="18"/>
              </w:rPr>
            </w:pPr>
          </w:p>
        </w:tc>
      </w:tr>
      <w:tr w:rsidR="00FA5543" w:rsidRPr="00C34031" w14:paraId="3048E825" w14:textId="77777777" w:rsidTr="139DF8FE">
        <w:trPr>
          <w:trHeight w:hRule="exact" w:val="369"/>
          <w:jc w:val="center"/>
        </w:trPr>
        <w:tc>
          <w:tcPr>
            <w:tcW w:w="1423" w:type="dxa"/>
          </w:tcPr>
          <w:p w14:paraId="48E06888" w14:textId="77777777" w:rsidR="00FA5543" w:rsidRPr="00C34031" w:rsidRDefault="00FA5543" w:rsidP="00390489">
            <w:pPr>
              <w:ind w:right="-29"/>
              <w:jc w:val="center"/>
              <w:rPr>
                <w:noProof/>
                <w:sz w:val="18"/>
                <w:szCs w:val="18"/>
              </w:rPr>
            </w:pPr>
            <w:r w:rsidRPr="00C34031">
              <w:rPr>
                <w:noProof/>
                <w:sz w:val="18"/>
              </w:rPr>
              <w:t>– Výstup</w:t>
            </w:r>
          </w:p>
        </w:tc>
        <w:tc>
          <w:tcPr>
            <w:tcW w:w="720" w:type="dxa"/>
          </w:tcPr>
          <w:p w14:paraId="6416F395" w14:textId="77777777" w:rsidR="00FA5543" w:rsidRPr="00C34031" w:rsidRDefault="00FA5543" w:rsidP="00390489">
            <w:pPr>
              <w:ind w:right="-29"/>
              <w:jc w:val="center"/>
              <w:rPr>
                <w:noProof/>
                <w:sz w:val="18"/>
                <w:szCs w:val="18"/>
              </w:rPr>
            </w:pPr>
          </w:p>
        </w:tc>
        <w:tc>
          <w:tcPr>
            <w:tcW w:w="701" w:type="dxa"/>
          </w:tcPr>
          <w:p w14:paraId="5F8B9496" w14:textId="77777777" w:rsidR="00FA5543" w:rsidRPr="00C34031" w:rsidRDefault="00FA5543" w:rsidP="00390489">
            <w:pPr>
              <w:ind w:right="-29"/>
              <w:jc w:val="center"/>
              <w:rPr>
                <w:noProof/>
                <w:sz w:val="18"/>
                <w:szCs w:val="18"/>
              </w:rPr>
            </w:pPr>
          </w:p>
        </w:tc>
        <w:tc>
          <w:tcPr>
            <w:tcW w:w="504" w:type="dxa"/>
          </w:tcPr>
          <w:p w14:paraId="08D02932" w14:textId="77777777" w:rsidR="00FA5543" w:rsidRPr="00C34031" w:rsidRDefault="00FA5543" w:rsidP="00390489">
            <w:pPr>
              <w:ind w:right="-29"/>
              <w:jc w:val="center"/>
              <w:rPr>
                <w:noProof/>
                <w:sz w:val="18"/>
                <w:szCs w:val="18"/>
              </w:rPr>
            </w:pPr>
          </w:p>
        </w:tc>
        <w:tc>
          <w:tcPr>
            <w:tcW w:w="720" w:type="dxa"/>
          </w:tcPr>
          <w:p w14:paraId="34C90974" w14:textId="77777777" w:rsidR="00FA5543" w:rsidRPr="00C34031" w:rsidRDefault="00FA5543" w:rsidP="00390489">
            <w:pPr>
              <w:ind w:right="-29"/>
              <w:jc w:val="center"/>
              <w:rPr>
                <w:noProof/>
                <w:sz w:val="18"/>
                <w:szCs w:val="18"/>
              </w:rPr>
            </w:pPr>
          </w:p>
        </w:tc>
        <w:tc>
          <w:tcPr>
            <w:tcW w:w="540" w:type="dxa"/>
          </w:tcPr>
          <w:p w14:paraId="1F7C7A03" w14:textId="77777777" w:rsidR="00FA5543" w:rsidRPr="00C34031" w:rsidRDefault="00FA5543" w:rsidP="00390489">
            <w:pPr>
              <w:ind w:right="-29"/>
              <w:jc w:val="center"/>
              <w:rPr>
                <w:noProof/>
                <w:sz w:val="18"/>
                <w:szCs w:val="18"/>
              </w:rPr>
            </w:pPr>
          </w:p>
        </w:tc>
        <w:tc>
          <w:tcPr>
            <w:tcW w:w="720" w:type="dxa"/>
          </w:tcPr>
          <w:p w14:paraId="05619AE3" w14:textId="77777777" w:rsidR="00FA5543" w:rsidRPr="00C34031" w:rsidRDefault="00FA5543" w:rsidP="00390489">
            <w:pPr>
              <w:ind w:right="-29"/>
              <w:jc w:val="center"/>
              <w:rPr>
                <w:noProof/>
                <w:sz w:val="18"/>
                <w:szCs w:val="18"/>
              </w:rPr>
            </w:pPr>
          </w:p>
        </w:tc>
        <w:tc>
          <w:tcPr>
            <w:tcW w:w="720" w:type="dxa"/>
          </w:tcPr>
          <w:p w14:paraId="0C7FA91F" w14:textId="77777777" w:rsidR="00FA5543" w:rsidRPr="00C34031" w:rsidRDefault="00FA5543" w:rsidP="00390489">
            <w:pPr>
              <w:ind w:right="-29"/>
              <w:jc w:val="center"/>
              <w:rPr>
                <w:noProof/>
                <w:sz w:val="18"/>
                <w:szCs w:val="18"/>
              </w:rPr>
            </w:pPr>
          </w:p>
        </w:tc>
        <w:tc>
          <w:tcPr>
            <w:tcW w:w="720" w:type="dxa"/>
          </w:tcPr>
          <w:p w14:paraId="1887B5A6" w14:textId="77777777" w:rsidR="00FA5543" w:rsidRPr="00C34031" w:rsidRDefault="00FA5543" w:rsidP="00390489">
            <w:pPr>
              <w:ind w:right="-29"/>
              <w:jc w:val="center"/>
              <w:rPr>
                <w:noProof/>
                <w:sz w:val="18"/>
                <w:szCs w:val="18"/>
              </w:rPr>
            </w:pPr>
          </w:p>
        </w:tc>
        <w:tc>
          <w:tcPr>
            <w:tcW w:w="900" w:type="dxa"/>
          </w:tcPr>
          <w:p w14:paraId="29505B4D" w14:textId="77777777" w:rsidR="00FA5543" w:rsidRPr="00C34031" w:rsidRDefault="00FA5543" w:rsidP="00390489">
            <w:pPr>
              <w:ind w:right="-29"/>
              <w:jc w:val="center"/>
              <w:rPr>
                <w:noProof/>
                <w:sz w:val="18"/>
                <w:szCs w:val="18"/>
              </w:rPr>
            </w:pPr>
          </w:p>
        </w:tc>
        <w:tc>
          <w:tcPr>
            <w:tcW w:w="720" w:type="dxa"/>
            <w:gridSpan w:val="2"/>
          </w:tcPr>
          <w:p w14:paraId="0ACB6315" w14:textId="77777777" w:rsidR="00FA5543" w:rsidRPr="00C34031" w:rsidRDefault="00FA5543" w:rsidP="00390489">
            <w:pPr>
              <w:ind w:right="-29"/>
              <w:jc w:val="center"/>
              <w:rPr>
                <w:noProof/>
                <w:sz w:val="18"/>
                <w:szCs w:val="18"/>
              </w:rPr>
            </w:pPr>
          </w:p>
        </w:tc>
        <w:tc>
          <w:tcPr>
            <w:tcW w:w="540" w:type="dxa"/>
          </w:tcPr>
          <w:p w14:paraId="37A4C265" w14:textId="77777777" w:rsidR="00FA5543" w:rsidRPr="00C34031" w:rsidRDefault="00FA5543" w:rsidP="00390489">
            <w:pPr>
              <w:ind w:right="-29"/>
              <w:jc w:val="center"/>
              <w:rPr>
                <w:noProof/>
                <w:sz w:val="18"/>
                <w:szCs w:val="18"/>
              </w:rPr>
            </w:pPr>
          </w:p>
        </w:tc>
        <w:tc>
          <w:tcPr>
            <w:tcW w:w="648" w:type="dxa"/>
          </w:tcPr>
          <w:p w14:paraId="46C26526" w14:textId="77777777" w:rsidR="00FA5543" w:rsidRPr="00C34031" w:rsidRDefault="00FA5543" w:rsidP="00390489">
            <w:pPr>
              <w:ind w:right="-29"/>
              <w:jc w:val="center"/>
              <w:rPr>
                <w:noProof/>
                <w:sz w:val="18"/>
                <w:szCs w:val="18"/>
              </w:rPr>
            </w:pPr>
          </w:p>
        </w:tc>
        <w:tc>
          <w:tcPr>
            <w:tcW w:w="432" w:type="dxa"/>
          </w:tcPr>
          <w:p w14:paraId="2AAF2F15" w14:textId="77777777" w:rsidR="00FA5543" w:rsidRPr="00C34031" w:rsidRDefault="00FA5543" w:rsidP="00390489">
            <w:pPr>
              <w:ind w:right="-29"/>
              <w:jc w:val="center"/>
              <w:rPr>
                <w:noProof/>
                <w:sz w:val="18"/>
                <w:szCs w:val="18"/>
              </w:rPr>
            </w:pPr>
          </w:p>
        </w:tc>
        <w:tc>
          <w:tcPr>
            <w:tcW w:w="720" w:type="dxa"/>
          </w:tcPr>
          <w:p w14:paraId="1DAE0F06" w14:textId="77777777" w:rsidR="00FA5543" w:rsidRPr="00C34031" w:rsidRDefault="00FA5543" w:rsidP="00390489">
            <w:pPr>
              <w:ind w:right="-29"/>
              <w:jc w:val="center"/>
              <w:rPr>
                <w:noProof/>
                <w:sz w:val="18"/>
                <w:szCs w:val="18"/>
              </w:rPr>
            </w:pPr>
          </w:p>
        </w:tc>
        <w:tc>
          <w:tcPr>
            <w:tcW w:w="540" w:type="dxa"/>
          </w:tcPr>
          <w:p w14:paraId="39831D37" w14:textId="77777777" w:rsidR="00FA5543" w:rsidRPr="00C34031" w:rsidRDefault="00FA5543" w:rsidP="00390489">
            <w:pPr>
              <w:ind w:right="-29"/>
              <w:jc w:val="center"/>
              <w:rPr>
                <w:noProof/>
                <w:sz w:val="18"/>
                <w:szCs w:val="18"/>
              </w:rPr>
            </w:pPr>
          </w:p>
        </w:tc>
        <w:tc>
          <w:tcPr>
            <w:tcW w:w="720" w:type="dxa"/>
          </w:tcPr>
          <w:p w14:paraId="76049E1E" w14:textId="77777777" w:rsidR="00FA5543" w:rsidRPr="00C34031" w:rsidRDefault="00FA5543" w:rsidP="00390489">
            <w:pPr>
              <w:ind w:right="-29"/>
              <w:jc w:val="center"/>
              <w:rPr>
                <w:noProof/>
                <w:sz w:val="18"/>
                <w:szCs w:val="18"/>
              </w:rPr>
            </w:pPr>
          </w:p>
        </w:tc>
        <w:tc>
          <w:tcPr>
            <w:tcW w:w="720" w:type="dxa"/>
          </w:tcPr>
          <w:p w14:paraId="2A32EE9E" w14:textId="77777777" w:rsidR="00FA5543" w:rsidRPr="00C34031" w:rsidRDefault="00FA5543" w:rsidP="00390489">
            <w:pPr>
              <w:ind w:right="-29"/>
              <w:jc w:val="center"/>
              <w:rPr>
                <w:noProof/>
                <w:sz w:val="18"/>
                <w:szCs w:val="18"/>
              </w:rPr>
            </w:pPr>
          </w:p>
        </w:tc>
        <w:tc>
          <w:tcPr>
            <w:tcW w:w="900" w:type="dxa"/>
          </w:tcPr>
          <w:p w14:paraId="7EF8F7D7" w14:textId="77777777" w:rsidR="00FA5543" w:rsidRPr="00C34031" w:rsidRDefault="00FA5543" w:rsidP="00390489">
            <w:pPr>
              <w:ind w:right="-29"/>
              <w:jc w:val="center"/>
              <w:rPr>
                <w:noProof/>
                <w:sz w:val="18"/>
                <w:szCs w:val="18"/>
              </w:rPr>
            </w:pPr>
          </w:p>
        </w:tc>
      </w:tr>
      <w:tr w:rsidR="00FA5543" w:rsidRPr="00C34031" w14:paraId="4EEE66D3" w14:textId="77777777" w:rsidTr="139DF8FE">
        <w:trPr>
          <w:jc w:val="center"/>
        </w:trPr>
        <w:tc>
          <w:tcPr>
            <w:tcW w:w="2844" w:type="dxa"/>
            <w:gridSpan w:val="3"/>
            <w:tcBorders>
              <w:bottom w:val="single" w:sz="12" w:space="0" w:color="auto"/>
            </w:tcBorders>
            <w:vAlign w:val="center"/>
          </w:tcPr>
          <w:p w14:paraId="77FEA2CA" w14:textId="77777777" w:rsidR="00FA5543" w:rsidRPr="00C34031" w:rsidRDefault="00FA5543" w:rsidP="00390489">
            <w:pPr>
              <w:jc w:val="center"/>
              <w:rPr>
                <w:noProof/>
                <w:sz w:val="18"/>
                <w:szCs w:val="18"/>
              </w:rPr>
            </w:pPr>
            <w:r w:rsidRPr="00C34031">
              <w:rPr>
                <w:noProof/>
                <w:sz w:val="18"/>
              </w:rPr>
              <w:t>Mezisoučet za specifický cíl č. 2</w:t>
            </w:r>
          </w:p>
        </w:tc>
        <w:tc>
          <w:tcPr>
            <w:tcW w:w="504" w:type="dxa"/>
            <w:tcBorders>
              <w:bottom w:val="single" w:sz="12" w:space="0" w:color="auto"/>
            </w:tcBorders>
          </w:tcPr>
          <w:p w14:paraId="7EB806EE" w14:textId="77777777" w:rsidR="00FA5543" w:rsidRPr="00C34031" w:rsidRDefault="00FA5543" w:rsidP="00390489">
            <w:pPr>
              <w:ind w:right="-29"/>
              <w:jc w:val="center"/>
              <w:rPr>
                <w:noProof/>
                <w:sz w:val="18"/>
                <w:szCs w:val="18"/>
              </w:rPr>
            </w:pPr>
          </w:p>
        </w:tc>
        <w:tc>
          <w:tcPr>
            <w:tcW w:w="720" w:type="dxa"/>
            <w:tcBorders>
              <w:bottom w:val="single" w:sz="12" w:space="0" w:color="auto"/>
            </w:tcBorders>
          </w:tcPr>
          <w:p w14:paraId="74EED9DC" w14:textId="77777777" w:rsidR="00FA5543" w:rsidRPr="00C34031" w:rsidRDefault="00FA5543" w:rsidP="00390489">
            <w:pPr>
              <w:ind w:right="-29"/>
              <w:jc w:val="center"/>
              <w:rPr>
                <w:noProof/>
                <w:sz w:val="18"/>
                <w:szCs w:val="18"/>
              </w:rPr>
            </w:pPr>
          </w:p>
        </w:tc>
        <w:tc>
          <w:tcPr>
            <w:tcW w:w="540" w:type="dxa"/>
            <w:tcBorders>
              <w:bottom w:val="single" w:sz="12" w:space="0" w:color="auto"/>
            </w:tcBorders>
          </w:tcPr>
          <w:p w14:paraId="0A28C170" w14:textId="77777777" w:rsidR="00FA5543" w:rsidRPr="00C34031" w:rsidRDefault="00FA5543" w:rsidP="00390489">
            <w:pPr>
              <w:ind w:right="-29"/>
              <w:jc w:val="center"/>
              <w:rPr>
                <w:noProof/>
                <w:sz w:val="18"/>
                <w:szCs w:val="18"/>
              </w:rPr>
            </w:pPr>
          </w:p>
        </w:tc>
        <w:tc>
          <w:tcPr>
            <w:tcW w:w="720" w:type="dxa"/>
            <w:tcBorders>
              <w:bottom w:val="single" w:sz="12" w:space="0" w:color="auto"/>
            </w:tcBorders>
          </w:tcPr>
          <w:p w14:paraId="5891AA8C" w14:textId="77777777" w:rsidR="00FA5543" w:rsidRPr="00C34031" w:rsidRDefault="00FA5543" w:rsidP="00390489">
            <w:pPr>
              <w:ind w:right="-29"/>
              <w:jc w:val="center"/>
              <w:rPr>
                <w:noProof/>
                <w:sz w:val="18"/>
                <w:szCs w:val="18"/>
              </w:rPr>
            </w:pPr>
          </w:p>
        </w:tc>
        <w:tc>
          <w:tcPr>
            <w:tcW w:w="720" w:type="dxa"/>
            <w:tcBorders>
              <w:bottom w:val="single" w:sz="12" w:space="0" w:color="auto"/>
            </w:tcBorders>
          </w:tcPr>
          <w:p w14:paraId="674893ED" w14:textId="77777777" w:rsidR="00FA5543" w:rsidRPr="00C34031" w:rsidRDefault="00FA5543" w:rsidP="00390489">
            <w:pPr>
              <w:ind w:right="-29"/>
              <w:jc w:val="center"/>
              <w:rPr>
                <w:noProof/>
                <w:sz w:val="18"/>
                <w:szCs w:val="18"/>
              </w:rPr>
            </w:pPr>
          </w:p>
        </w:tc>
        <w:tc>
          <w:tcPr>
            <w:tcW w:w="720" w:type="dxa"/>
            <w:tcBorders>
              <w:bottom w:val="single" w:sz="12" w:space="0" w:color="auto"/>
            </w:tcBorders>
          </w:tcPr>
          <w:p w14:paraId="665FC77B" w14:textId="77777777" w:rsidR="00FA5543" w:rsidRPr="00C34031" w:rsidRDefault="00FA5543" w:rsidP="00390489">
            <w:pPr>
              <w:ind w:right="-29"/>
              <w:jc w:val="center"/>
              <w:rPr>
                <w:noProof/>
                <w:sz w:val="18"/>
                <w:szCs w:val="18"/>
              </w:rPr>
            </w:pPr>
          </w:p>
        </w:tc>
        <w:tc>
          <w:tcPr>
            <w:tcW w:w="951" w:type="dxa"/>
            <w:gridSpan w:val="2"/>
            <w:tcBorders>
              <w:bottom w:val="single" w:sz="12" w:space="0" w:color="auto"/>
            </w:tcBorders>
          </w:tcPr>
          <w:p w14:paraId="0374B877" w14:textId="77777777" w:rsidR="00FA5543" w:rsidRPr="00C34031" w:rsidRDefault="00FA5543" w:rsidP="00390489">
            <w:pPr>
              <w:ind w:right="-29"/>
              <w:jc w:val="center"/>
              <w:rPr>
                <w:noProof/>
                <w:sz w:val="18"/>
                <w:szCs w:val="18"/>
              </w:rPr>
            </w:pPr>
          </w:p>
        </w:tc>
        <w:tc>
          <w:tcPr>
            <w:tcW w:w="669" w:type="dxa"/>
            <w:tcBorders>
              <w:bottom w:val="single" w:sz="12" w:space="0" w:color="auto"/>
            </w:tcBorders>
          </w:tcPr>
          <w:p w14:paraId="2FD56D98" w14:textId="77777777" w:rsidR="00FA5543" w:rsidRPr="00C34031" w:rsidRDefault="00FA5543" w:rsidP="00390489">
            <w:pPr>
              <w:ind w:right="-29"/>
              <w:jc w:val="center"/>
              <w:rPr>
                <w:noProof/>
                <w:sz w:val="18"/>
                <w:szCs w:val="18"/>
              </w:rPr>
            </w:pPr>
          </w:p>
        </w:tc>
        <w:tc>
          <w:tcPr>
            <w:tcW w:w="540" w:type="dxa"/>
            <w:tcBorders>
              <w:bottom w:val="single" w:sz="12" w:space="0" w:color="auto"/>
            </w:tcBorders>
          </w:tcPr>
          <w:p w14:paraId="29DA3B2F" w14:textId="77777777" w:rsidR="00FA5543" w:rsidRPr="00C34031" w:rsidRDefault="00FA5543" w:rsidP="00390489">
            <w:pPr>
              <w:ind w:right="-29"/>
              <w:jc w:val="center"/>
              <w:rPr>
                <w:noProof/>
                <w:sz w:val="18"/>
                <w:szCs w:val="18"/>
              </w:rPr>
            </w:pPr>
          </w:p>
        </w:tc>
        <w:tc>
          <w:tcPr>
            <w:tcW w:w="648" w:type="dxa"/>
            <w:tcBorders>
              <w:bottom w:val="single" w:sz="12" w:space="0" w:color="auto"/>
            </w:tcBorders>
          </w:tcPr>
          <w:p w14:paraId="341D412F" w14:textId="77777777" w:rsidR="00FA5543" w:rsidRPr="00C34031" w:rsidRDefault="00FA5543" w:rsidP="00390489">
            <w:pPr>
              <w:ind w:right="-29"/>
              <w:jc w:val="center"/>
              <w:rPr>
                <w:noProof/>
                <w:sz w:val="18"/>
                <w:szCs w:val="18"/>
              </w:rPr>
            </w:pPr>
          </w:p>
        </w:tc>
        <w:tc>
          <w:tcPr>
            <w:tcW w:w="432" w:type="dxa"/>
            <w:tcBorders>
              <w:bottom w:val="single" w:sz="12" w:space="0" w:color="auto"/>
            </w:tcBorders>
          </w:tcPr>
          <w:p w14:paraId="615A6A02" w14:textId="77777777" w:rsidR="00FA5543" w:rsidRPr="00C34031" w:rsidRDefault="00FA5543" w:rsidP="00390489">
            <w:pPr>
              <w:ind w:right="-29"/>
              <w:jc w:val="center"/>
              <w:rPr>
                <w:noProof/>
                <w:sz w:val="18"/>
                <w:szCs w:val="18"/>
              </w:rPr>
            </w:pPr>
          </w:p>
        </w:tc>
        <w:tc>
          <w:tcPr>
            <w:tcW w:w="720" w:type="dxa"/>
            <w:tcBorders>
              <w:bottom w:val="single" w:sz="12" w:space="0" w:color="auto"/>
            </w:tcBorders>
          </w:tcPr>
          <w:p w14:paraId="64A1C8EF" w14:textId="77777777" w:rsidR="00FA5543" w:rsidRPr="00C34031" w:rsidRDefault="00FA5543" w:rsidP="00390489">
            <w:pPr>
              <w:ind w:right="-29"/>
              <w:jc w:val="center"/>
              <w:rPr>
                <w:noProof/>
                <w:sz w:val="18"/>
                <w:szCs w:val="18"/>
              </w:rPr>
            </w:pPr>
          </w:p>
        </w:tc>
        <w:tc>
          <w:tcPr>
            <w:tcW w:w="540" w:type="dxa"/>
            <w:tcBorders>
              <w:bottom w:val="single" w:sz="12" w:space="0" w:color="auto"/>
            </w:tcBorders>
          </w:tcPr>
          <w:p w14:paraId="2DA65C7B" w14:textId="77777777" w:rsidR="00FA5543" w:rsidRPr="00C34031" w:rsidRDefault="00FA5543" w:rsidP="00390489">
            <w:pPr>
              <w:ind w:right="-29"/>
              <w:jc w:val="center"/>
              <w:rPr>
                <w:noProof/>
                <w:sz w:val="18"/>
                <w:szCs w:val="18"/>
              </w:rPr>
            </w:pPr>
          </w:p>
        </w:tc>
        <w:tc>
          <w:tcPr>
            <w:tcW w:w="720" w:type="dxa"/>
            <w:tcBorders>
              <w:bottom w:val="single" w:sz="12" w:space="0" w:color="auto"/>
            </w:tcBorders>
          </w:tcPr>
          <w:p w14:paraId="6236A47C" w14:textId="77777777" w:rsidR="00FA5543" w:rsidRPr="00C34031" w:rsidRDefault="00FA5543" w:rsidP="00390489">
            <w:pPr>
              <w:ind w:right="-29"/>
              <w:jc w:val="center"/>
              <w:rPr>
                <w:noProof/>
                <w:sz w:val="18"/>
                <w:szCs w:val="18"/>
              </w:rPr>
            </w:pPr>
          </w:p>
        </w:tc>
        <w:tc>
          <w:tcPr>
            <w:tcW w:w="720" w:type="dxa"/>
            <w:tcBorders>
              <w:bottom w:val="single" w:sz="12" w:space="0" w:color="auto"/>
            </w:tcBorders>
          </w:tcPr>
          <w:p w14:paraId="65512606" w14:textId="77777777" w:rsidR="00FA5543" w:rsidRPr="00C34031" w:rsidRDefault="00FA5543" w:rsidP="00390489">
            <w:pPr>
              <w:ind w:right="-29"/>
              <w:jc w:val="center"/>
              <w:rPr>
                <w:noProof/>
                <w:sz w:val="18"/>
                <w:szCs w:val="18"/>
              </w:rPr>
            </w:pPr>
          </w:p>
        </w:tc>
        <w:tc>
          <w:tcPr>
            <w:tcW w:w="900" w:type="dxa"/>
            <w:tcBorders>
              <w:bottom w:val="single" w:sz="12" w:space="0" w:color="auto"/>
            </w:tcBorders>
          </w:tcPr>
          <w:p w14:paraId="752CB37B" w14:textId="77777777" w:rsidR="00FA5543" w:rsidRPr="00C34031" w:rsidRDefault="00FA5543" w:rsidP="00390489">
            <w:pPr>
              <w:ind w:right="-29"/>
              <w:jc w:val="center"/>
              <w:rPr>
                <w:noProof/>
                <w:sz w:val="18"/>
                <w:szCs w:val="18"/>
              </w:rPr>
            </w:pPr>
          </w:p>
        </w:tc>
      </w:tr>
      <w:tr w:rsidR="00FA5543" w:rsidRPr="00C34031" w14:paraId="2940AF16" w14:textId="77777777" w:rsidTr="139DF8FE">
        <w:trPr>
          <w:jc w:val="center"/>
        </w:trPr>
        <w:tc>
          <w:tcPr>
            <w:tcW w:w="2844" w:type="dxa"/>
            <w:gridSpan w:val="3"/>
            <w:tcBorders>
              <w:top w:val="single" w:sz="12" w:space="0" w:color="auto"/>
              <w:left w:val="single" w:sz="12" w:space="0" w:color="auto"/>
              <w:bottom w:val="single" w:sz="12" w:space="0" w:color="auto"/>
            </w:tcBorders>
            <w:vAlign w:val="center"/>
          </w:tcPr>
          <w:p w14:paraId="2AEB9148" w14:textId="77777777" w:rsidR="00FA5543" w:rsidRPr="00C34031" w:rsidRDefault="00FA5543" w:rsidP="00390489">
            <w:pPr>
              <w:ind w:right="-29"/>
              <w:jc w:val="center"/>
              <w:rPr>
                <w:noProof/>
                <w:sz w:val="18"/>
                <w:szCs w:val="18"/>
              </w:rPr>
            </w:pPr>
            <w:r w:rsidRPr="00C34031">
              <w:rPr>
                <w:b/>
                <w:noProof/>
                <w:sz w:val="18"/>
              </w:rPr>
              <w:t>CELKEM</w:t>
            </w:r>
          </w:p>
        </w:tc>
        <w:tc>
          <w:tcPr>
            <w:tcW w:w="504" w:type="dxa"/>
            <w:tcBorders>
              <w:top w:val="single" w:sz="12" w:space="0" w:color="auto"/>
              <w:bottom w:val="single" w:sz="12" w:space="0" w:color="auto"/>
            </w:tcBorders>
          </w:tcPr>
          <w:p w14:paraId="2A314ED3" w14:textId="77777777" w:rsidR="00FA5543" w:rsidRPr="00C34031" w:rsidRDefault="00FA5543" w:rsidP="00390489">
            <w:pPr>
              <w:spacing w:before="180" w:after="180"/>
              <w:ind w:right="-29"/>
              <w:jc w:val="center"/>
              <w:rPr>
                <w:noProof/>
                <w:sz w:val="18"/>
                <w:szCs w:val="18"/>
              </w:rPr>
            </w:pPr>
          </w:p>
        </w:tc>
        <w:tc>
          <w:tcPr>
            <w:tcW w:w="720" w:type="dxa"/>
            <w:tcBorders>
              <w:top w:val="single" w:sz="12" w:space="0" w:color="auto"/>
              <w:bottom w:val="single" w:sz="12" w:space="0" w:color="auto"/>
            </w:tcBorders>
          </w:tcPr>
          <w:p w14:paraId="40A9BC0F" w14:textId="77777777" w:rsidR="00FA5543" w:rsidRPr="00C34031" w:rsidRDefault="00FA5543" w:rsidP="00390489">
            <w:pPr>
              <w:spacing w:before="180" w:after="180"/>
              <w:ind w:right="-29"/>
              <w:jc w:val="center"/>
              <w:rPr>
                <w:noProof/>
                <w:sz w:val="18"/>
                <w:szCs w:val="18"/>
              </w:rPr>
            </w:pPr>
          </w:p>
        </w:tc>
        <w:tc>
          <w:tcPr>
            <w:tcW w:w="540" w:type="dxa"/>
            <w:tcBorders>
              <w:top w:val="single" w:sz="12" w:space="0" w:color="auto"/>
              <w:bottom w:val="single" w:sz="12" w:space="0" w:color="auto"/>
            </w:tcBorders>
          </w:tcPr>
          <w:p w14:paraId="4AA06942" w14:textId="77777777" w:rsidR="00FA5543" w:rsidRPr="00C34031" w:rsidRDefault="00FA5543" w:rsidP="00390489">
            <w:pPr>
              <w:spacing w:before="180" w:after="180"/>
              <w:ind w:right="-29"/>
              <w:jc w:val="center"/>
              <w:rPr>
                <w:noProof/>
                <w:sz w:val="18"/>
                <w:szCs w:val="18"/>
              </w:rPr>
            </w:pPr>
          </w:p>
        </w:tc>
        <w:tc>
          <w:tcPr>
            <w:tcW w:w="720" w:type="dxa"/>
            <w:tcBorders>
              <w:top w:val="single" w:sz="12" w:space="0" w:color="auto"/>
              <w:bottom w:val="single" w:sz="12" w:space="0" w:color="auto"/>
            </w:tcBorders>
          </w:tcPr>
          <w:p w14:paraId="06F2F2B4" w14:textId="77777777" w:rsidR="00FA5543" w:rsidRPr="00C34031" w:rsidRDefault="00FA5543" w:rsidP="00390489">
            <w:pPr>
              <w:spacing w:before="180" w:after="180"/>
              <w:ind w:right="-29"/>
              <w:jc w:val="center"/>
              <w:rPr>
                <w:noProof/>
                <w:sz w:val="18"/>
                <w:szCs w:val="18"/>
              </w:rPr>
            </w:pPr>
          </w:p>
        </w:tc>
        <w:tc>
          <w:tcPr>
            <w:tcW w:w="720" w:type="dxa"/>
            <w:tcBorders>
              <w:top w:val="single" w:sz="12" w:space="0" w:color="auto"/>
              <w:bottom w:val="single" w:sz="12" w:space="0" w:color="auto"/>
            </w:tcBorders>
          </w:tcPr>
          <w:p w14:paraId="3155A22F" w14:textId="77777777" w:rsidR="00FA5543" w:rsidRPr="00C34031" w:rsidRDefault="00FA5543" w:rsidP="00390489">
            <w:pPr>
              <w:spacing w:before="180" w:after="180"/>
              <w:ind w:right="-29"/>
              <w:jc w:val="center"/>
              <w:rPr>
                <w:noProof/>
                <w:sz w:val="18"/>
                <w:szCs w:val="18"/>
              </w:rPr>
            </w:pPr>
          </w:p>
        </w:tc>
        <w:tc>
          <w:tcPr>
            <w:tcW w:w="720" w:type="dxa"/>
            <w:tcBorders>
              <w:top w:val="single" w:sz="12" w:space="0" w:color="auto"/>
              <w:bottom w:val="single" w:sz="12" w:space="0" w:color="auto"/>
            </w:tcBorders>
          </w:tcPr>
          <w:p w14:paraId="3D3BA0CB" w14:textId="77777777" w:rsidR="00FA5543" w:rsidRPr="00C34031" w:rsidRDefault="00FA5543" w:rsidP="00390489">
            <w:pPr>
              <w:spacing w:before="180" w:after="180"/>
              <w:ind w:right="-29"/>
              <w:jc w:val="center"/>
              <w:rPr>
                <w:noProof/>
                <w:sz w:val="18"/>
                <w:szCs w:val="18"/>
              </w:rPr>
            </w:pPr>
          </w:p>
        </w:tc>
        <w:tc>
          <w:tcPr>
            <w:tcW w:w="900" w:type="dxa"/>
            <w:tcBorders>
              <w:top w:val="single" w:sz="12" w:space="0" w:color="auto"/>
              <w:bottom w:val="single" w:sz="12" w:space="0" w:color="auto"/>
            </w:tcBorders>
          </w:tcPr>
          <w:p w14:paraId="33945CAB" w14:textId="77777777" w:rsidR="00FA5543" w:rsidRPr="00C34031" w:rsidRDefault="00FA5543" w:rsidP="00390489">
            <w:pPr>
              <w:spacing w:before="180" w:after="180"/>
              <w:ind w:right="-29"/>
              <w:jc w:val="center"/>
              <w:rPr>
                <w:noProof/>
                <w:sz w:val="18"/>
                <w:szCs w:val="18"/>
              </w:rPr>
            </w:pPr>
          </w:p>
        </w:tc>
        <w:tc>
          <w:tcPr>
            <w:tcW w:w="720" w:type="dxa"/>
            <w:gridSpan w:val="2"/>
            <w:tcBorders>
              <w:top w:val="single" w:sz="12" w:space="0" w:color="auto"/>
              <w:bottom w:val="single" w:sz="12" w:space="0" w:color="auto"/>
            </w:tcBorders>
          </w:tcPr>
          <w:p w14:paraId="5DB3EC8D" w14:textId="77777777" w:rsidR="00FA5543" w:rsidRPr="00C34031" w:rsidRDefault="00FA5543" w:rsidP="00390489">
            <w:pPr>
              <w:spacing w:before="180" w:after="180"/>
              <w:ind w:right="-29"/>
              <w:jc w:val="center"/>
              <w:rPr>
                <w:noProof/>
                <w:sz w:val="18"/>
                <w:szCs w:val="18"/>
              </w:rPr>
            </w:pPr>
          </w:p>
        </w:tc>
        <w:tc>
          <w:tcPr>
            <w:tcW w:w="540" w:type="dxa"/>
            <w:tcBorders>
              <w:top w:val="single" w:sz="12" w:space="0" w:color="auto"/>
              <w:bottom w:val="single" w:sz="12" w:space="0" w:color="auto"/>
            </w:tcBorders>
          </w:tcPr>
          <w:p w14:paraId="5A86D4A8" w14:textId="77777777" w:rsidR="00FA5543" w:rsidRPr="00C34031" w:rsidRDefault="00FA5543" w:rsidP="00390489">
            <w:pPr>
              <w:spacing w:before="180" w:after="180"/>
              <w:ind w:right="-29"/>
              <w:jc w:val="center"/>
              <w:rPr>
                <w:noProof/>
                <w:sz w:val="18"/>
                <w:szCs w:val="18"/>
              </w:rPr>
            </w:pPr>
          </w:p>
        </w:tc>
        <w:tc>
          <w:tcPr>
            <w:tcW w:w="648" w:type="dxa"/>
            <w:tcBorders>
              <w:top w:val="single" w:sz="12" w:space="0" w:color="auto"/>
              <w:bottom w:val="single" w:sz="12" w:space="0" w:color="auto"/>
            </w:tcBorders>
          </w:tcPr>
          <w:p w14:paraId="01991F68" w14:textId="77777777" w:rsidR="00FA5543" w:rsidRPr="00C34031" w:rsidRDefault="00FA5543" w:rsidP="00390489">
            <w:pPr>
              <w:spacing w:before="180" w:after="180"/>
              <w:ind w:right="-29"/>
              <w:jc w:val="center"/>
              <w:rPr>
                <w:noProof/>
                <w:sz w:val="18"/>
                <w:szCs w:val="18"/>
              </w:rPr>
            </w:pPr>
          </w:p>
        </w:tc>
        <w:tc>
          <w:tcPr>
            <w:tcW w:w="432" w:type="dxa"/>
            <w:tcBorders>
              <w:top w:val="single" w:sz="12" w:space="0" w:color="auto"/>
              <w:bottom w:val="single" w:sz="12" w:space="0" w:color="auto"/>
            </w:tcBorders>
          </w:tcPr>
          <w:p w14:paraId="6A567B3F" w14:textId="77777777" w:rsidR="00FA5543" w:rsidRPr="00C34031" w:rsidRDefault="00FA5543" w:rsidP="00390489">
            <w:pPr>
              <w:spacing w:before="180" w:after="180"/>
              <w:ind w:right="-29"/>
              <w:jc w:val="center"/>
              <w:rPr>
                <w:noProof/>
                <w:sz w:val="18"/>
                <w:szCs w:val="18"/>
              </w:rPr>
            </w:pPr>
          </w:p>
        </w:tc>
        <w:tc>
          <w:tcPr>
            <w:tcW w:w="720" w:type="dxa"/>
            <w:tcBorders>
              <w:top w:val="single" w:sz="12" w:space="0" w:color="auto"/>
              <w:bottom w:val="single" w:sz="12" w:space="0" w:color="auto"/>
            </w:tcBorders>
          </w:tcPr>
          <w:p w14:paraId="12C30F02" w14:textId="77777777" w:rsidR="00FA5543" w:rsidRPr="00C34031" w:rsidRDefault="00FA5543" w:rsidP="00390489">
            <w:pPr>
              <w:spacing w:before="180" w:after="180"/>
              <w:ind w:right="-29"/>
              <w:jc w:val="center"/>
              <w:rPr>
                <w:noProof/>
                <w:sz w:val="18"/>
                <w:szCs w:val="18"/>
              </w:rPr>
            </w:pPr>
          </w:p>
        </w:tc>
        <w:tc>
          <w:tcPr>
            <w:tcW w:w="540" w:type="dxa"/>
            <w:tcBorders>
              <w:top w:val="single" w:sz="12" w:space="0" w:color="auto"/>
              <w:bottom w:val="single" w:sz="12" w:space="0" w:color="auto"/>
            </w:tcBorders>
          </w:tcPr>
          <w:p w14:paraId="60238CFA" w14:textId="77777777" w:rsidR="00FA5543" w:rsidRPr="00C34031" w:rsidRDefault="00FA5543" w:rsidP="00390489">
            <w:pPr>
              <w:spacing w:before="180" w:after="180"/>
              <w:ind w:right="-29"/>
              <w:jc w:val="center"/>
              <w:rPr>
                <w:noProof/>
                <w:sz w:val="18"/>
                <w:szCs w:val="18"/>
              </w:rPr>
            </w:pPr>
          </w:p>
        </w:tc>
        <w:tc>
          <w:tcPr>
            <w:tcW w:w="720" w:type="dxa"/>
            <w:tcBorders>
              <w:top w:val="single" w:sz="12" w:space="0" w:color="auto"/>
              <w:bottom w:val="single" w:sz="12" w:space="0" w:color="auto"/>
            </w:tcBorders>
          </w:tcPr>
          <w:p w14:paraId="4EE43713" w14:textId="77777777" w:rsidR="00FA5543" w:rsidRPr="00C34031" w:rsidRDefault="00FA5543" w:rsidP="00390489">
            <w:pPr>
              <w:spacing w:before="180" w:after="180"/>
              <w:ind w:right="-29"/>
              <w:jc w:val="center"/>
              <w:rPr>
                <w:noProof/>
                <w:sz w:val="18"/>
                <w:szCs w:val="18"/>
              </w:rPr>
            </w:pPr>
          </w:p>
        </w:tc>
        <w:tc>
          <w:tcPr>
            <w:tcW w:w="720" w:type="dxa"/>
            <w:tcBorders>
              <w:top w:val="single" w:sz="12" w:space="0" w:color="auto"/>
              <w:bottom w:val="single" w:sz="12" w:space="0" w:color="auto"/>
            </w:tcBorders>
          </w:tcPr>
          <w:p w14:paraId="2421AF18" w14:textId="77777777" w:rsidR="00FA5543" w:rsidRPr="00C34031" w:rsidRDefault="00FA5543" w:rsidP="00390489">
            <w:pPr>
              <w:spacing w:before="180" w:after="180"/>
              <w:ind w:right="-29"/>
              <w:jc w:val="center"/>
              <w:rPr>
                <w:noProof/>
                <w:sz w:val="18"/>
                <w:szCs w:val="18"/>
              </w:rPr>
            </w:pPr>
          </w:p>
        </w:tc>
        <w:tc>
          <w:tcPr>
            <w:tcW w:w="900" w:type="dxa"/>
            <w:tcBorders>
              <w:top w:val="single" w:sz="12" w:space="0" w:color="auto"/>
              <w:bottom w:val="single" w:sz="12" w:space="0" w:color="auto"/>
              <w:right w:val="single" w:sz="12" w:space="0" w:color="auto"/>
            </w:tcBorders>
          </w:tcPr>
          <w:p w14:paraId="3B46E15E" w14:textId="77777777" w:rsidR="00FA5543" w:rsidRPr="00C34031" w:rsidRDefault="00FA5543" w:rsidP="00390489">
            <w:pPr>
              <w:spacing w:before="180" w:after="180"/>
              <w:ind w:right="-29"/>
              <w:jc w:val="center"/>
              <w:rPr>
                <w:noProof/>
                <w:sz w:val="18"/>
                <w:szCs w:val="18"/>
              </w:rPr>
            </w:pPr>
          </w:p>
        </w:tc>
      </w:tr>
    </w:tbl>
    <w:p w14:paraId="3189B3F6" w14:textId="77777777" w:rsidR="00FA5543" w:rsidRPr="00C34031" w:rsidRDefault="00FA5543" w:rsidP="00390489">
      <w:pPr>
        <w:rPr>
          <w:noProof/>
        </w:rPr>
        <w:sectPr w:rsidR="00FA5543" w:rsidRPr="00C34031" w:rsidSect="00516924">
          <w:headerReference w:type="default" r:id="rId23"/>
          <w:footerReference w:type="default" r:id="rId24"/>
          <w:pgSz w:w="16840" w:h="11907" w:orient="landscape" w:code="9"/>
          <w:pgMar w:top="1134" w:right="1418" w:bottom="567" w:left="1418" w:header="709" w:footer="709" w:gutter="0"/>
          <w:cols w:space="708"/>
          <w:docGrid w:linePitch="360"/>
        </w:sectPr>
      </w:pPr>
    </w:p>
    <w:p w14:paraId="0AC9BD76" w14:textId="77777777" w:rsidR="00FA5543" w:rsidRPr="00C34031" w:rsidRDefault="00FA5543" w:rsidP="00390489">
      <w:pPr>
        <w:pStyle w:val="ManualHeading3"/>
        <w:rPr>
          <w:bCs/>
          <w:noProof/>
          <w:szCs w:val="24"/>
        </w:rPr>
      </w:pPr>
      <w:r w:rsidRPr="00C34031">
        <w:rPr>
          <w:noProof/>
        </w:rPr>
        <w:t>3.2.3.</w:t>
      </w:r>
      <w:r w:rsidRPr="00C34031">
        <w:rPr>
          <w:noProof/>
        </w:rPr>
        <w:tab/>
        <w:t xml:space="preserve">Odhadovaný souhrnný dopad na správní prostředky </w:t>
      </w:r>
    </w:p>
    <w:p w14:paraId="78760A37" w14:textId="77777777" w:rsidR="00FA5543" w:rsidRPr="00C34031" w:rsidRDefault="6C3AF1E0" w:rsidP="00390489">
      <w:pPr>
        <w:pStyle w:val="ListDash1"/>
        <w:rPr>
          <w:noProof/>
        </w:rPr>
      </w:pPr>
      <w:r w:rsidRPr="00C34031">
        <w:rPr>
          <w:rFonts w:ascii="Wingdings" w:hAnsi="Wingdings"/>
          <w:noProof/>
        </w:rPr>
        <w:t></w:t>
      </w:r>
      <w:r w:rsidRPr="00C34031">
        <w:rPr>
          <w:noProof/>
        </w:rPr>
        <w:tab/>
        <w:t xml:space="preserve">Návrh/podnět nevyžaduje využití prostředků správní povahy. </w:t>
      </w:r>
    </w:p>
    <w:p w14:paraId="6372E294" w14:textId="77777777" w:rsidR="00FA5543" w:rsidRPr="00C34031" w:rsidRDefault="19E9A19A" w:rsidP="00390489">
      <w:pPr>
        <w:pStyle w:val="ListDash1"/>
        <w:rPr>
          <w:noProof/>
        </w:rPr>
      </w:pPr>
      <w:r w:rsidRPr="00C34031">
        <w:rPr>
          <w:rFonts w:ascii="Wingdings" w:hAnsi="Wingdings"/>
          <w:noProof/>
        </w:rPr>
        <w:t></w:t>
      </w:r>
      <w:r w:rsidRPr="00C34031">
        <w:rPr>
          <w:noProof/>
        </w:rPr>
        <w:tab/>
        <w:t>Návrh/podnět vyžaduje využití prostředků správní povahy, jak je vysvětleno dále:</w:t>
      </w:r>
    </w:p>
    <w:p w14:paraId="496B38AF" w14:textId="77777777" w:rsidR="00FA5543" w:rsidRPr="00C34031" w:rsidRDefault="00FA5543" w:rsidP="00390489">
      <w:pPr>
        <w:pStyle w:val="ManualHeading3"/>
        <w:rPr>
          <w:noProof/>
        </w:rPr>
      </w:pPr>
      <w:r w:rsidRPr="00C34031">
        <w:rPr>
          <w:noProof/>
        </w:rPr>
        <w:t>3.2.3.1. Prostředky ze schváleného rozpočtu</w:t>
      </w:r>
    </w:p>
    <w:tbl>
      <w:tblPr>
        <w:tblW w:w="9289" w:type="dxa"/>
        <w:tblLook w:val="04A0" w:firstRow="1" w:lastRow="0" w:firstColumn="1" w:lastColumn="0" w:noHBand="0" w:noVBand="1"/>
      </w:tblPr>
      <w:tblGrid>
        <w:gridCol w:w="4027"/>
        <w:gridCol w:w="1027"/>
        <w:gridCol w:w="1027"/>
        <w:gridCol w:w="1027"/>
        <w:gridCol w:w="930"/>
        <w:gridCol w:w="1251"/>
      </w:tblGrid>
      <w:tr w:rsidR="00FA5543" w:rsidRPr="00C34031" w14:paraId="5E74D06F" w14:textId="77777777" w:rsidTr="139DF8FE">
        <w:trPr>
          <w:trHeight w:val="300"/>
        </w:trPr>
        <w:tc>
          <w:tcPr>
            <w:tcW w:w="4027"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316A6126" w14:textId="77777777" w:rsidR="00FA5543" w:rsidRPr="00C34031" w:rsidRDefault="00FA5543" w:rsidP="00390489">
            <w:pPr>
              <w:spacing w:before="0" w:after="0"/>
              <w:jc w:val="center"/>
              <w:rPr>
                <w:b/>
                <w:bCs/>
                <w:noProof/>
                <w:color w:val="000000"/>
                <w:sz w:val="18"/>
                <w:szCs w:val="18"/>
              </w:rPr>
            </w:pPr>
            <w:r w:rsidRPr="00C34031">
              <w:rPr>
                <w:b/>
                <w:noProof/>
                <w:color w:val="000000"/>
                <w:sz w:val="18"/>
              </w:rPr>
              <w:t>SCHVÁLENÉ PROSTŘEDKY</w:t>
            </w:r>
          </w:p>
        </w:tc>
        <w:tc>
          <w:tcPr>
            <w:tcW w:w="1027" w:type="dxa"/>
            <w:tcBorders>
              <w:top w:val="single" w:sz="8" w:space="0" w:color="auto"/>
              <w:left w:val="nil"/>
              <w:bottom w:val="single" w:sz="8" w:space="0" w:color="auto"/>
              <w:right w:val="single" w:sz="8" w:space="0" w:color="auto"/>
            </w:tcBorders>
            <w:shd w:val="clear" w:color="auto" w:fill="auto"/>
            <w:vAlign w:val="center"/>
            <w:hideMark/>
          </w:tcPr>
          <w:p w14:paraId="591DC4E5" w14:textId="77777777" w:rsidR="00FA5543" w:rsidRPr="00C34031" w:rsidRDefault="00FA5543" w:rsidP="00390489">
            <w:pPr>
              <w:spacing w:before="0" w:after="0"/>
              <w:jc w:val="center"/>
              <w:rPr>
                <w:noProof/>
                <w:color w:val="000000"/>
                <w:sz w:val="18"/>
                <w:szCs w:val="18"/>
              </w:rPr>
            </w:pPr>
            <w:r w:rsidRPr="00C34031">
              <w:rPr>
                <w:noProof/>
                <w:color w:val="000000"/>
                <w:sz w:val="18"/>
              </w:rPr>
              <w:t>Rok</w:t>
            </w:r>
          </w:p>
        </w:tc>
        <w:tc>
          <w:tcPr>
            <w:tcW w:w="1027" w:type="dxa"/>
            <w:tcBorders>
              <w:top w:val="single" w:sz="8" w:space="0" w:color="auto"/>
              <w:left w:val="nil"/>
              <w:bottom w:val="single" w:sz="8" w:space="0" w:color="auto"/>
              <w:right w:val="single" w:sz="8" w:space="0" w:color="auto"/>
            </w:tcBorders>
            <w:shd w:val="clear" w:color="auto" w:fill="auto"/>
            <w:vAlign w:val="center"/>
            <w:hideMark/>
          </w:tcPr>
          <w:p w14:paraId="66177A14" w14:textId="77777777" w:rsidR="00FA5543" w:rsidRPr="00C34031" w:rsidRDefault="00FA5543" w:rsidP="00390489">
            <w:pPr>
              <w:spacing w:before="0" w:after="0"/>
              <w:jc w:val="center"/>
              <w:rPr>
                <w:noProof/>
                <w:color w:val="000000"/>
                <w:sz w:val="18"/>
                <w:szCs w:val="18"/>
              </w:rPr>
            </w:pPr>
            <w:r w:rsidRPr="00C34031">
              <w:rPr>
                <w:noProof/>
                <w:color w:val="000000"/>
                <w:sz w:val="18"/>
              </w:rPr>
              <w:t>Rok</w:t>
            </w:r>
          </w:p>
        </w:tc>
        <w:tc>
          <w:tcPr>
            <w:tcW w:w="1027" w:type="dxa"/>
            <w:tcBorders>
              <w:top w:val="single" w:sz="8" w:space="0" w:color="auto"/>
              <w:left w:val="nil"/>
              <w:bottom w:val="single" w:sz="8" w:space="0" w:color="auto"/>
              <w:right w:val="single" w:sz="8" w:space="0" w:color="auto"/>
            </w:tcBorders>
            <w:shd w:val="clear" w:color="auto" w:fill="auto"/>
            <w:vAlign w:val="center"/>
            <w:hideMark/>
          </w:tcPr>
          <w:p w14:paraId="2DB338E5" w14:textId="77777777" w:rsidR="00FA5543" w:rsidRPr="00C34031" w:rsidRDefault="00FA5543" w:rsidP="00390489">
            <w:pPr>
              <w:spacing w:before="0" w:after="0"/>
              <w:jc w:val="center"/>
              <w:rPr>
                <w:noProof/>
                <w:color w:val="000000"/>
                <w:sz w:val="18"/>
                <w:szCs w:val="18"/>
              </w:rPr>
            </w:pPr>
            <w:r w:rsidRPr="00C34031">
              <w:rPr>
                <w:noProof/>
                <w:color w:val="000000"/>
                <w:sz w:val="18"/>
              </w:rPr>
              <w:t>Rok</w:t>
            </w:r>
          </w:p>
        </w:tc>
        <w:tc>
          <w:tcPr>
            <w:tcW w:w="930" w:type="dxa"/>
            <w:tcBorders>
              <w:top w:val="single" w:sz="8" w:space="0" w:color="auto"/>
              <w:left w:val="nil"/>
              <w:bottom w:val="single" w:sz="8" w:space="0" w:color="auto"/>
              <w:right w:val="single" w:sz="8" w:space="0" w:color="auto"/>
            </w:tcBorders>
            <w:shd w:val="clear" w:color="auto" w:fill="auto"/>
            <w:vAlign w:val="center"/>
            <w:hideMark/>
          </w:tcPr>
          <w:p w14:paraId="4F9A64AF" w14:textId="77777777" w:rsidR="00FA5543" w:rsidRPr="00C34031" w:rsidRDefault="00FA5543" w:rsidP="00390489">
            <w:pPr>
              <w:spacing w:before="0" w:after="0"/>
              <w:jc w:val="center"/>
              <w:rPr>
                <w:noProof/>
                <w:color w:val="000000"/>
                <w:sz w:val="18"/>
                <w:szCs w:val="18"/>
              </w:rPr>
            </w:pPr>
            <w:r w:rsidRPr="00C34031">
              <w:rPr>
                <w:noProof/>
                <w:color w:val="000000"/>
                <w:sz w:val="18"/>
              </w:rPr>
              <w:t>Rok</w:t>
            </w:r>
          </w:p>
        </w:tc>
        <w:tc>
          <w:tcPr>
            <w:tcW w:w="1251"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14:paraId="71156FF4" w14:textId="77777777" w:rsidR="00FA5543" w:rsidRPr="00C34031" w:rsidRDefault="00FA5543" w:rsidP="00390489">
            <w:pPr>
              <w:spacing w:before="0" w:after="0"/>
              <w:jc w:val="center"/>
              <w:rPr>
                <w:b/>
                <w:bCs/>
                <w:noProof/>
                <w:color w:val="000000"/>
                <w:sz w:val="18"/>
                <w:szCs w:val="18"/>
              </w:rPr>
            </w:pPr>
            <w:r w:rsidRPr="00C34031">
              <w:rPr>
                <w:b/>
                <w:noProof/>
                <w:color w:val="000000"/>
                <w:sz w:val="18"/>
              </w:rPr>
              <w:t>CELKEM 2021–2027</w:t>
            </w:r>
          </w:p>
        </w:tc>
      </w:tr>
      <w:tr w:rsidR="00FA5543" w:rsidRPr="00C34031" w14:paraId="4246E33E" w14:textId="77777777" w:rsidTr="139DF8FE">
        <w:trPr>
          <w:trHeight w:val="300"/>
        </w:trPr>
        <w:tc>
          <w:tcPr>
            <w:tcW w:w="4027" w:type="dxa"/>
            <w:vMerge/>
            <w:vAlign w:val="center"/>
            <w:hideMark/>
          </w:tcPr>
          <w:p w14:paraId="426D28A3" w14:textId="77777777" w:rsidR="00FA5543" w:rsidRPr="00C34031" w:rsidRDefault="00FA5543" w:rsidP="00390489">
            <w:pPr>
              <w:spacing w:before="0" w:after="0"/>
              <w:jc w:val="left"/>
              <w:rPr>
                <w:b/>
                <w:bCs/>
                <w:noProof/>
                <w:color w:val="000000"/>
                <w:sz w:val="18"/>
                <w:szCs w:val="18"/>
                <w:lang w:eastAsia="en-IE"/>
              </w:rPr>
            </w:pPr>
          </w:p>
        </w:tc>
        <w:tc>
          <w:tcPr>
            <w:tcW w:w="1027" w:type="dxa"/>
            <w:tcBorders>
              <w:top w:val="nil"/>
              <w:left w:val="nil"/>
              <w:bottom w:val="single" w:sz="8" w:space="0" w:color="auto"/>
              <w:right w:val="single" w:sz="8" w:space="0" w:color="auto"/>
            </w:tcBorders>
            <w:shd w:val="clear" w:color="auto" w:fill="auto"/>
            <w:vAlign w:val="center"/>
            <w:hideMark/>
          </w:tcPr>
          <w:p w14:paraId="70BCC7C8" w14:textId="77777777" w:rsidR="00FA5543" w:rsidRPr="00C34031" w:rsidRDefault="00FA5543" w:rsidP="00390489">
            <w:pPr>
              <w:spacing w:before="0" w:after="0"/>
              <w:jc w:val="center"/>
              <w:rPr>
                <w:b/>
                <w:bCs/>
                <w:noProof/>
                <w:color w:val="000000"/>
                <w:sz w:val="18"/>
                <w:szCs w:val="18"/>
              </w:rPr>
            </w:pPr>
            <w:r w:rsidRPr="00C34031">
              <w:rPr>
                <w:b/>
                <w:noProof/>
                <w:color w:val="000000"/>
                <w:sz w:val="18"/>
              </w:rPr>
              <w:t>2024</w:t>
            </w:r>
          </w:p>
        </w:tc>
        <w:tc>
          <w:tcPr>
            <w:tcW w:w="1027" w:type="dxa"/>
            <w:tcBorders>
              <w:top w:val="nil"/>
              <w:left w:val="nil"/>
              <w:bottom w:val="single" w:sz="8" w:space="0" w:color="auto"/>
              <w:right w:val="single" w:sz="8" w:space="0" w:color="auto"/>
            </w:tcBorders>
            <w:shd w:val="clear" w:color="auto" w:fill="auto"/>
            <w:vAlign w:val="center"/>
            <w:hideMark/>
          </w:tcPr>
          <w:p w14:paraId="15494A4E" w14:textId="77777777" w:rsidR="00FA5543" w:rsidRPr="00C34031" w:rsidRDefault="00FA5543" w:rsidP="00390489">
            <w:pPr>
              <w:spacing w:before="0" w:after="0"/>
              <w:jc w:val="center"/>
              <w:rPr>
                <w:b/>
                <w:bCs/>
                <w:noProof/>
                <w:color w:val="000000"/>
                <w:sz w:val="18"/>
                <w:szCs w:val="18"/>
              </w:rPr>
            </w:pPr>
            <w:r w:rsidRPr="00C34031">
              <w:rPr>
                <w:b/>
                <w:noProof/>
                <w:color w:val="000000"/>
                <w:sz w:val="18"/>
              </w:rPr>
              <w:t>2025</w:t>
            </w:r>
          </w:p>
        </w:tc>
        <w:tc>
          <w:tcPr>
            <w:tcW w:w="1027" w:type="dxa"/>
            <w:tcBorders>
              <w:top w:val="nil"/>
              <w:left w:val="nil"/>
              <w:bottom w:val="single" w:sz="8" w:space="0" w:color="auto"/>
              <w:right w:val="single" w:sz="8" w:space="0" w:color="auto"/>
            </w:tcBorders>
            <w:shd w:val="clear" w:color="auto" w:fill="auto"/>
            <w:vAlign w:val="center"/>
            <w:hideMark/>
          </w:tcPr>
          <w:p w14:paraId="37B4558C" w14:textId="77777777" w:rsidR="00FA5543" w:rsidRPr="00C34031" w:rsidRDefault="00FA5543" w:rsidP="00390489">
            <w:pPr>
              <w:spacing w:before="0" w:after="0"/>
              <w:jc w:val="center"/>
              <w:rPr>
                <w:b/>
                <w:bCs/>
                <w:noProof/>
                <w:color w:val="000000"/>
                <w:sz w:val="18"/>
                <w:szCs w:val="18"/>
              </w:rPr>
            </w:pPr>
            <w:r w:rsidRPr="00C34031">
              <w:rPr>
                <w:b/>
                <w:noProof/>
                <w:color w:val="000000"/>
                <w:sz w:val="18"/>
              </w:rPr>
              <w:t>2026</w:t>
            </w:r>
          </w:p>
        </w:tc>
        <w:tc>
          <w:tcPr>
            <w:tcW w:w="930" w:type="dxa"/>
            <w:tcBorders>
              <w:top w:val="nil"/>
              <w:left w:val="nil"/>
              <w:bottom w:val="single" w:sz="8" w:space="0" w:color="auto"/>
              <w:right w:val="single" w:sz="8" w:space="0" w:color="auto"/>
            </w:tcBorders>
            <w:shd w:val="clear" w:color="auto" w:fill="auto"/>
            <w:vAlign w:val="center"/>
            <w:hideMark/>
          </w:tcPr>
          <w:p w14:paraId="1C42B314" w14:textId="77777777" w:rsidR="00FA5543" w:rsidRPr="00C34031" w:rsidRDefault="00FA5543" w:rsidP="00390489">
            <w:pPr>
              <w:spacing w:before="0" w:after="0"/>
              <w:jc w:val="center"/>
              <w:rPr>
                <w:b/>
                <w:bCs/>
                <w:noProof/>
                <w:color w:val="000000"/>
                <w:sz w:val="18"/>
                <w:szCs w:val="18"/>
              </w:rPr>
            </w:pPr>
            <w:r w:rsidRPr="00C34031">
              <w:rPr>
                <w:b/>
                <w:noProof/>
                <w:color w:val="000000"/>
                <w:sz w:val="18"/>
              </w:rPr>
              <w:t>2027</w:t>
            </w:r>
          </w:p>
        </w:tc>
        <w:tc>
          <w:tcPr>
            <w:tcW w:w="1251" w:type="dxa"/>
            <w:vMerge/>
            <w:vAlign w:val="center"/>
            <w:hideMark/>
          </w:tcPr>
          <w:p w14:paraId="45DCCA3A" w14:textId="77777777" w:rsidR="00FA5543" w:rsidRPr="00C34031" w:rsidRDefault="00FA5543" w:rsidP="00390489">
            <w:pPr>
              <w:spacing w:before="0" w:after="0"/>
              <w:jc w:val="left"/>
              <w:rPr>
                <w:b/>
                <w:bCs/>
                <w:noProof/>
                <w:color w:val="000000"/>
                <w:sz w:val="18"/>
                <w:szCs w:val="18"/>
                <w:lang w:eastAsia="en-IE"/>
              </w:rPr>
            </w:pPr>
          </w:p>
        </w:tc>
      </w:tr>
      <w:tr w:rsidR="00FA5543" w:rsidRPr="00C34031" w14:paraId="79C838EB" w14:textId="77777777" w:rsidTr="139DF8FE">
        <w:trPr>
          <w:trHeight w:val="300"/>
        </w:trPr>
        <w:tc>
          <w:tcPr>
            <w:tcW w:w="9289"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3488A900" w14:textId="77777777" w:rsidR="00FA5543" w:rsidRPr="00C34031" w:rsidRDefault="00FA5543" w:rsidP="00390489">
            <w:pPr>
              <w:spacing w:before="0" w:after="0"/>
              <w:jc w:val="left"/>
              <w:rPr>
                <w:b/>
                <w:bCs/>
                <w:noProof/>
                <w:sz w:val="16"/>
                <w:szCs w:val="16"/>
              </w:rPr>
            </w:pPr>
            <w:r w:rsidRPr="00C34031">
              <w:rPr>
                <w:b/>
                <w:noProof/>
                <w:sz w:val="16"/>
              </w:rPr>
              <w:t>OKRUH 7</w:t>
            </w:r>
          </w:p>
        </w:tc>
      </w:tr>
      <w:tr w:rsidR="00FA5543" w:rsidRPr="00C34031" w14:paraId="1F46EC32" w14:textId="77777777" w:rsidTr="139DF8FE">
        <w:trPr>
          <w:trHeight w:val="300"/>
        </w:trPr>
        <w:tc>
          <w:tcPr>
            <w:tcW w:w="4027" w:type="dxa"/>
            <w:tcBorders>
              <w:top w:val="nil"/>
              <w:left w:val="single" w:sz="8" w:space="0" w:color="auto"/>
              <w:bottom w:val="single" w:sz="8" w:space="0" w:color="auto"/>
              <w:right w:val="single" w:sz="8" w:space="0" w:color="auto"/>
            </w:tcBorders>
            <w:shd w:val="clear" w:color="auto" w:fill="auto"/>
            <w:vAlign w:val="center"/>
            <w:hideMark/>
          </w:tcPr>
          <w:p w14:paraId="113C79FF" w14:textId="77777777" w:rsidR="00FA5543" w:rsidRPr="00C34031" w:rsidRDefault="6C3AF1E0" w:rsidP="139DF8FE">
            <w:pPr>
              <w:spacing w:before="0" w:after="0"/>
              <w:jc w:val="left"/>
              <w:rPr>
                <w:noProof/>
                <w:color w:val="000000"/>
                <w:sz w:val="16"/>
                <w:szCs w:val="16"/>
              </w:rPr>
            </w:pPr>
            <w:r w:rsidRPr="00C34031">
              <w:rPr>
                <w:noProof/>
                <w:color w:val="000000" w:themeColor="text1"/>
                <w:sz w:val="16"/>
              </w:rPr>
              <w:t xml:space="preserve">Lidské zdroje </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5820F165" w14:textId="77777777" w:rsidR="00FA5543" w:rsidRPr="00C34031" w:rsidRDefault="33E0B663" w:rsidP="139DF8FE">
            <w:pPr>
              <w:spacing w:before="0" w:after="0"/>
              <w:jc w:val="right"/>
              <w:rPr>
                <w:rFonts w:eastAsia="Times New Roman"/>
                <w:noProof/>
                <w:sz w:val="16"/>
                <w:szCs w:val="16"/>
              </w:rPr>
            </w:pPr>
            <w:r w:rsidRPr="00C34031">
              <w:rPr>
                <w:noProof/>
                <w:color w:val="000000" w:themeColor="text1"/>
                <w:sz w:val="16"/>
              </w:rPr>
              <w:t>8,572</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02D98DA8" w14:textId="77777777" w:rsidR="00FA5543" w:rsidRPr="00C34031" w:rsidRDefault="41CE3102" w:rsidP="139DF8FE">
            <w:pPr>
              <w:spacing w:before="0" w:after="0"/>
              <w:jc w:val="right"/>
              <w:rPr>
                <w:rFonts w:eastAsia="Times New Roman"/>
                <w:noProof/>
                <w:sz w:val="16"/>
                <w:szCs w:val="16"/>
              </w:rPr>
            </w:pPr>
            <w:r w:rsidRPr="00C34031">
              <w:rPr>
                <w:noProof/>
                <w:color w:val="000000" w:themeColor="text1"/>
                <w:sz w:val="16"/>
              </w:rPr>
              <w:t>6,271</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6F1C10F6" w14:textId="77777777" w:rsidR="00FA5543" w:rsidRPr="00C34031" w:rsidRDefault="41CE3102" w:rsidP="139DF8FE">
            <w:pPr>
              <w:spacing w:before="0" w:after="0"/>
              <w:jc w:val="right"/>
              <w:rPr>
                <w:rFonts w:eastAsia="Times New Roman"/>
                <w:noProof/>
                <w:sz w:val="16"/>
                <w:szCs w:val="16"/>
              </w:rPr>
            </w:pPr>
            <w:r w:rsidRPr="00C34031">
              <w:rPr>
                <w:noProof/>
                <w:color w:val="000000" w:themeColor="text1"/>
                <w:sz w:val="16"/>
              </w:rPr>
              <w:t>8,740</w:t>
            </w:r>
          </w:p>
        </w:tc>
        <w:tc>
          <w:tcPr>
            <w:tcW w:w="930" w:type="dxa"/>
            <w:tcBorders>
              <w:top w:val="nil"/>
              <w:left w:val="nil"/>
              <w:bottom w:val="single" w:sz="8" w:space="0" w:color="auto"/>
              <w:right w:val="single" w:sz="8" w:space="0" w:color="auto"/>
            </w:tcBorders>
            <w:shd w:val="clear" w:color="auto" w:fill="D9D9D9" w:themeFill="background1" w:themeFillShade="D9"/>
            <w:vAlign w:val="center"/>
            <w:hideMark/>
          </w:tcPr>
          <w:p w14:paraId="22C3B0A5" w14:textId="77777777" w:rsidR="00FA5543" w:rsidRPr="00C34031" w:rsidRDefault="41CE3102" w:rsidP="139DF8FE">
            <w:pPr>
              <w:spacing w:before="0" w:after="0"/>
              <w:jc w:val="right"/>
              <w:rPr>
                <w:rFonts w:eastAsia="Times New Roman"/>
                <w:noProof/>
                <w:sz w:val="16"/>
                <w:szCs w:val="16"/>
              </w:rPr>
            </w:pPr>
            <w:r w:rsidRPr="00C34031">
              <w:rPr>
                <w:noProof/>
                <w:color w:val="000000" w:themeColor="text1"/>
                <w:sz w:val="16"/>
              </w:rPr>
              <w:t>11,700</w:t>
            </w:r>
          </w:p>
        </w:tc>
        <w:tc>
          <w:tcPr>
            <w:tcW w:w="1251" w:type="dxa"/>
            <w:tcBorders>
              <w:top w:val="nil"/>
              <w:left w:val="nil"/>
              <w:bottom w:val="single" w:sz="8" w:space="0" w:color="auto"/>
              <w:right w:val="single" w:sz="8" w:space="0" w:color="auto"/>
            </w:tcBorders>
            <w:shd w:val="clear" w:color="auto" w:fill="D9D9D9" w:themeFill="background1" w:themeFillShade="D9"/>
            <w:vAlign w:val="center"/>
            <w:hideMark/>
          </w:tcPr>
          <w:p w14:paraId="485C7D7C" w14:textId="77777777" w:rsidR="00FA5543" w:rsidRPr="00C34031" w:rsidRDefault="41CE3102" w:rsidP="139DF8FE">
            <w:pPr>
              <w:spacing w:before="0" w:after="0"/>
              <w:jc w:val="right"/>
              <w:rPr>
                <w:rFonts w:eastAsia="Times New Roman"/>
                <w:noProof/>
                <w:sz w:val="16"/>
                <w:szCs w:val="16"/>
              </w:rPr>
            </w:pPr>
            <w:r w:rsidRPr="00C34031">
              <w:rPr>
                <w:b/>
                <w:noProof/>
                <w:color w:val="000000" w:themeColor="text1"/>
                <w:sz w:val="16"/>
              </w:rPr>
              <w:t>35,283</w:t>
            </w:r>
          </w:p>
        </w:tc>
      </w:tr>
      <w:tr w:rsidR="00FA5543" w:rsidRPr="00C34031" w14:paraId="0CC34E65" w14:textId="77777777" w:rsidTr="139DF8FE">
        <w:trPr>
          <w:trHeight w:val="300"/>
        </w:trPr>
        <w:tc>
          <w:tcPr>
            <w:tcW w:w="4027" w:type="dxa"/>
            <w:tcBorders>
              <w:top w:val="nil"/>
              <w:left w:val="single" w:sz="8" w:space="0" w:color="auto"/>
              <w:bottom w:val="single" w:sz="8" w:space="0" w:color="auto"/>
              <w:right w:val="single" w:sz="8" w:space="0" w:color="auto"/>
            </w:tcBorders>
            <w:shd w:val="clear" w:color="auto" w:fill="auto"/>
            <w:vAlign w:val="center"/>
            <w:hideMark/>
          </w:tcPr>
          <w:p w14:paraId="7EDFEE16" w14:textId="77777777" w:rsidR="00FA5543" w:rsidRPr="00C34031" w:rsidRDefault="00FA5543" w:rsidP="00390489">
            <w:pPr>
              <w:spacing w:before="0" w:after="0"/>
              <w:jc w:val="left"/>
              <w:rPr>
                <w:noProof/>
                <w:color w:val="000000"/>
                <w:sz w:val="16"/>
                <w:szCs w:val="16"/>
              </w:rPr>
            </w:pPr>
            <w:r w:rsidRPr="00C34031">
              <w:rPr>
                <w:noProof/>
                <w:color w:val="000000"/>
                <w:sz w:val="16"/>
              </w:rPr>
              <w:t xml:space="preserve">Ostatní správní výdaje </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6FBDBD79" w14:textId="77777777" w:rsidR="00FA5543" w:rsidRPr="00C34031" w:rsidRDefault="131AFCED" w:rsidP="139DF8FE">
            <w:pPr>
              <w:spacing w:before="0" w:after="0"/>
              <w:jc w:val="right"/>
              <w:rPr>
                <w:rFonts w:eastAsia="Times New Roman"/>
                <w:noProof/>
                <w:sz w:val="16"/>
                <w:szCs w:val="16"/>
              </w:rPr>
            </w:pPr>
            <w:r w:rsidRPr="00C34031">
              <w:rPr>
                <w:noProof/>
                <w:color w:val="000000" w:themeColor="text1"/>
                <w:sz w:val="16"/>
              </w:rPr>
              <w:t>0,600</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5D1AB1FB" w14:textId="77777777" w:rsidR="00FA5543" w:rsidRPr="00C34031" w:rsidRDefault="131AFCED" w:rsidP="139DF8FE">
            <w:pPr>
              <w:spacing w:before="0" w:after="0"/>
              <w:jc w:val="right"/>
              <w:rPr>
                <w:rFonts w:eastAsia="Times New Roman"/>
                <w:noProof/>
                <w:sz w:val="16"/>
                <w:szCs w:val="16"/>
              </w:rPr>
            </w:pPr>
            <w:r w:rsidRPr="00C34031">
              <w:rPr>
                <w:noProof/>
                <w:color w:val="000000" w:themeColor="text1"/>
                <w:sz w:val="16"/>
              </w:rPr>
              <w:t>0,300</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642AE118" w14:textId="77777777" w:rsidR="00FA5543" w:rsidRPr="00C34031" w:rsidRDefault="131AFCED" w:rsidP="139DF8FE">
            <w:pPr>
              <w:spacing w:before="0" w:after="0"/>
              <w:jc w:val="right"/>
              <w:rPr>
                <w:rFonts w:eastAsia="Times New Roman"/>
                <w:noProof/>
                <w:sz w:val="16"/>
                <w:szCs w:val="16"/>
              </w:rPr>
            </w:pPr>
            <w:r w:rsidRPr="00C34031">
              <w:rPr>
                <w:noProof/>
                <w:color w:val="000000" w:themeColor="text1"/>
                <w:sz w:val="16"/>
              </w:rPr>
              <w:t>0,306</w:t>
            </w:r>
          </w:p>
        </w:tc>
        <w:tc>
          <w:tcPr>
            <w:tcW w:w="930" w:type="dxa"/>
            <w:tcBorders>
              <w:top w:val="nil"/>
              <w:left w:val="nil"/>
              <w:bottom w:val="single" w:sz="8" w:space="0" w:color="auto"/>
              <w:right w:val="single" w:sz="8" w:space="0" w:color="auto"/>
            </w:tcBorders>
            <w:shd w:val="clear" w:color="auto" w:fill="D9D9D9" w:themeFill="background1" w:themeFillShade="D9"/>
            <w:vAlign w:val="center"/>
            <w:hideMark/>
          </w:tcPr>
          <w:p w14:paraId="5C0A39AC" w14:textId="77777777" w:rsidR="00FA5543" w:rsidRPr="00C34031" w:rsidRDefault="131AFCED" w:rsidP="139DF8FE">
            <w:pPr>
              <w:spacing w:before="0" w:after="0"/>
              <w:jc w:val="right"/>
              <w:rPr>
                <w:rFonts w:eastAsia="Times New Roman"/>
                <w:noProof/>
                <w:sz w:val="16"/>
                <w:szCs w:val="16"/>
              </w:rPr>
            </w:pPr>
            <w:r w:rsidRPr="00C34031">
              <w:rPr>
                <w:noProof/>
                <w:color w:val="000000" w:themeColor="text1"/>
                <w:sz w:val="16"/>
              </w:rPr>
              <w:t>0,312</w:t>
            </w:r>
          </w:p>
        </w:tc>
        <w:tc>
          <w:tcPr>
            <w:tcW w:w="1251" w:type="dxa"/>
            <w:tcBorders>
              <w:top w:val="nil"/>
              <w:left w:val="nil"/>
              <w:bottom w:val="single" w:sz="8" w:space="0" w:color="auto"/>
              <w:right w:val="single" w:sz="8" w:space="0" w:color="auto"/>
            </w:tcBorders>
            <w:shd w:val="clear" w:color="auto" w:fill="D9D9D9" w:themeFill="background1" w:themeFillShade="D9"/>
            <w:vAlign w:val="center"/>
            <w:hideMark/>
          </w:tcPr>
          <w:p w14:paraId="0F53612A" w14:textId="77777777" w:rsidR="00FA5543" w:rsidRPr="00C34031" w:rsidRDefault="131AFCED" w:rsidP="139DF8FE">
            <w:pPr>
              <w:spacing w:before="0" w:after="0"/>
              <w:jc w:val="right"/>
              <w:rPr>
                <w:rFonts w:eastAsia="Times New Roman"/>
                <w:noProof/>
                <w:sz w:val="16"/>
                <w:szCs w:val="16"/>
              </w:rPr>
            </w:pPr>
            <w:r w:rsidRPr="00C34031">
              <w:rPr>
                <w:b/>
                <w:noProof/>
                <w:color w:val="000000" w:themeColor="text1"/>
                <w:sz w:val="16"/>
              </w:rPr>
              <w:t>1,518</w:t>
            </w:r>
          </w:p>
        </w:tc>
      </w:tr>
      <w:tr w:rsidR="00FA5543" w:rsidRPr="00C34031" w14:paraId="24EEA559" w14:textId="77777777" w:rsidTr="139DF8FE">
        <w:trPr>
          <w:trHeight w:val="300"/>
        </w:trPr>
        <w:tc>
          <w:tcPr>
            <w:tcW w:w="4027" w:type="dxa"/>
            <w:tcBorders>
              <w:top w:val="nil"/>
              <w:left w:val="single" w:sz="8" w:space="0" w:color="auto"/>
              <w:bottom w:val="single" w:sz="8" w:space="0" w:color="auto"/>
              <w:right w:val="single" w:sz="8" w:space="0" w:color="auto"/>
            </w:tcBorders>
            <w:shd w:val="clear" w:color="auto" w:fill="CCCCCC"/>
            <w:vAlign w:val="center"/>
            <w:hideMark/>
          </w:tcPr>
          <w:p w14:paraId="3BA32CC4" w14:textId="77777777" w:rsidR="00FA5543" w:rsidRPr="00C34031" w:rsidRDefault="00FA5543" w:rsidP="00390489">
            <w:pPr>
              <w:spacing w:before="0" w:after="0"/>
              <w:jc w:val="center"/>
              <w:rPr>
                <w:b/>
                <w:bCs/>
                <w:noProof/>
                <w:color w:val="000000"/>
                <w:sz w:val="16"/>
                <w:szCs w:val="16"/>
              </w:rPr>
            </w:pPr>
            <w:r w:rsidRPr="00C34031">
              <w:rPr>
                <w:b/>
                <w:noProof/>
                <w:color w:val="000000"/>
                <w:sz w:val="16"/>
              </w:rPr>
              <w:t>Mezisoučet za OKRUH 7</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7DF93E41" w14:textId="77777777" w:rsidR="00FA5543" w:rsidRPr="00C34031" w:rsidRDefault="60D565DF" w:rsidP="139DF8FE">
            <w:pPr>
              <w:spacing w:before="0" w:after="0"/>
              <w:jc w:val="right"/>
              <w:rPr>
                <w:rFonts w:eastAsia="Times New Roman"/>
                <w:noProof/>
                <w:sz w:val="16"/>
                <w:szCs w:val="16"/>
              </w:rPr>
            </w:pPr>
            <w:r w:rsidRPr="00C34031">
              <w:rPr>
                <w:b/>
                <w:noProof/>
                <w:color w:val="000000" w:themeColor="text1"/>
                <w:sz w:val="16"/>
              </w:rPr>
              <w:t>9,576</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5DD648C2" w14:textId="77777777" w:rsidR="00FA5543" w:rsidRPr="00C34031" w:rsidRDefault="60D565DF" w:rsidP="139DF8FE">
            <w:pPr>
              <w:spacing w:before="0" w:after="0"/>
              <w:jc w:val="right"/>
              <w:rPr>
                <w:rFonts w:eastAsia="Times New Roman"/>
                <w:noProof/>
                <w:sz w:val="16"/>
                <w:szCs w:val="16"/>
              </w:rPr>
            </w:pPr>
            <w:r w:rsidRPr="00C34031">
              <w:rPr>
                <w:b/>
                <w:noProof/>
                <w:color w:val="000000" w:themeColor="text1"/>
                <w:sz w:val="16"/>
              </w:rPr>
              <w:t>6,571</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00B23224" w14:textId="77777777" w:rsidR="00FA5543" w:rsidRPr="00C34031" w:rsidRDefault="60D565DF" w:rsidP="139DF8FE">
            <w:pPr>
              <w:spacing w:before="0" w:after="0"/>
              <w:jc w:val="right"/>
              <w:rPr>
                <w:rFonts w:eastAsia="Times New Roman"/>
                <w:noProof/>
                <w:sz w:val="16"/>
                <w:szCs w:val="16"/>
              </w:rPr>
            </w:pPr>
            <w:r w:rsidRPr="00C34031">
              <w:rPr>
                <w:b/>
                <w:noProof/>
                <w:color w:val="000000" w:themeColor="text1"/>
                <w:sz w:val="16"/>
              </w:rPr>
              <w:t>9,046</w:t>
            </w:r>
          </w:p>
        </w:tc>
        <w:tc>
          <w:tcPr>
            <w:tcW w:w="930" w:type="dxa"/>
            <w:tcBorders>
              <w:top w:val="nil"/>
              <w:left w:val="nil"/>
              <w:bottom w:val="single" w:sz="8" w:space="0" w:color="auto"/>
              <w:right w:val="single" w:sz="8" w:space="0" w:color="auto"/>
            </w:tcBorders>
            <w:shd w:val="clear" w:color="auto" w:fill="D9D9D9" w:themeFill="background1" w:themeFillShade="D9"/>
            <w:vAlign w:val="center"/>
            <w:hideMark/>
          </w:tcPr>
          <w:p w14:paraId="4F3A45A0" w14:textId="77777777" w:rsidR="00FA5543" w:rsidRPr="00C34031" w:rsidRDefault="60D565DF" w:rsidP="139DF8FE">
            <w:pPr>
              <w:spacing w:before="0" w:after="0"/>
              <w:jc w:val="right"/>
              <w:rPr>
                <w:rFonts w:eastAsia="Times New Roman"/>
                <w:noProof/>
                <w:sz w:val="16"/>
                <w:szCs w:val="16"/>
              </w:rPr>
            </w:pPr>
            <w:r w:rsidRPr="00C34031">
              <w:rPr>
                <w:b/>
                <w:noProof/>
                <w:color w:val="000000" w:themeColor="text1"/>
                <w:sz w:val="16"/>
              </w:rPr>
              <w:t>12,012</w:t>
            </w:r>
          </w:p>
        </w:tc>
        <w:tc>
          <w:tcPr>
            <w:tcW w:w="1251" w:type="dxa"/>
            <w:tcBorders>
              <w:top w:val="nil"/>
              <w:left w:val="nil"/>
              <w:bottom w:val="single" w:sz="8" w:space="0" w:color="auto"/>
              <w:right w:val="single" w:sz="8" w:space="0" w:color="auto"/>
            </w:tcBorders>
            <w:shd w:val="clear" w:color="auto" w:fill="D9D9D9" w:themeFill="background1" w:themeFillShade="D9"/>
            <w:vAlign w:val="center"/>
            <w:hideMark/>
          </w:tcPr>
          <w:p w14:paraId="098DEDF6" w14:textId="77777777" w:rsidR="00FA5543" w:rsidRPr="00C34031" w:rsidRDefault="60D565DF" w:rsidP="139DF8FE">
            <w:pPr>
              <w:spacing w:before="0" w:after="0"/>
              <w:jc w:val="right"/>
              <w:rPr>
                <w:rFonts w:eastAsia="Times New Roman"/>
                <w:noProof/>
                <w:sz w:val="16"/>
                <w:szCs w:val="16"/>
              </w:rPr>
            </w:pPr>
            <w:r w:rsidRPr="00C34031">
              <w:rPr>
                <w:b/>
                <w:noProof/>
                <w:color w:val="000000" w:themeColor="text1"/>
                <w:sz w:val="16"/>
              </w:rPr>
              <w:t>36,801</w:t>
            </w:r>
          </w:p>
        </w:tc>
      </w:tr>
      <w:tr w:rsidR="00FA5543" w:rsidRPr="00C34031" w14:paraId="20438E08" w14:textId="77777777" w:rsidTr="139DF8FE">
        <w:trPr>
          <w:trHeight w:val="300"/>
        </w:trPr>
        <w:tc>
          <w:tcPr>
            <w:tcW w:w="9289" w:type="dxa"/>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724A1CE6" w14:textId="77777777" w:rsidR="00FA5543" w:rsidRPr="00C34031" w:rsidRDefault="00FA5543" w:rsidP="00390489">
            <w:pPr>
              <w:spacing w:before="0" w:after="0"/>
              <w:jc w:val="left"/>
              <w:rPr>
                <w:b/>
                <w:bCs/>
                <w:noProof/>
                <w:sz w:val="16"/>
                <w:szCs w:val="16"/>
              </w:rPr>
            </w:pPr>
            <w:r w:rsidRPr="00C34031">
              <w:rPr>
                <w:b/>
                <w:noProof/>
                <w:sz w:val="16"/>
              </w:rPr>
              <w:t>Mimo OKRUH 7</w:t>
            </w:r>
          </w:p>
        </w:tc>
      </w:tr>
      <w:tr w:rsidR="00FA5543" w:rsidRPr="00C34031" w14:paraId="455856C6" w14:textId="77777777" w:rsidTr="139DF8FE">
        <w:trPr>
          <w:trHeight w:val="300"/>
        </w:trPr>
        <w:tc>
          <w:tcPr>
            <w:tcW w:w="4027" w:type="dxa"/>
            <w:tcBorders>
              <w:top w:val="nil"/>
              <w:left w:val="single" w:sz="8" w:space="0" w:color="auto"/>
              <w:bottom w:val="single" w:sz="8" w:space="0" w:color="auto"/>
              <w:right w:val="single" w:sz="8" w:space="0" w:color="auto"/>
            </w:tcBorders>
            <w:shd w:val="clear" w:color="auto" w:fill="auto"/>
            <w:vAlign w:val="center"/>
            <w:hideMark/>
          </w:tcPr>
          <w:p w14:paraId="5AAC80BA" w14:textId="77777777" w:rsidR="00FA5543" w:rsidRPr="00C34031" w:rsidRDefault="00FA5543" w:rsidP="00390489">
            <w:pPr>
              <w:spacing w:before="0" w:after="0"/>
              <w:jc w:val="left"/>
              <w:rPr>
                <w:noProof/>
                <w:color w:val="000000"/>
                <w:sz w:val="16"/>
                <w:szCs w:val="16"/>
              </w:rPr>
            </w:pPr>
            <w:r w:rsidRPr="00C34031">
              <w:rPr>
                <w:noProof/>
                <w:color w:val="000000"/>
                <w:sz w:val="16"/>
              </w:rPr>
              <w:t xml:space="preserve">Lidské zdroje </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26D345C6" w14:textId="77777777" w:rsidR="00FA5543" w:rsidRPr="00C34031" w:rsidRDefault="00FA5543" w:rsidP="00390489">
            <w:pPr>
              <w:spacing w:before="0" w:after="0"/>
              <w:jc w:val="right"/>
              <w:rPr>
                <w:noProof/>
                <w:color w:val="000000"/>
                <w:sz w:val="16"/>
                <w:szCs w:val="16"/>
              </w:rPr>
            </w:pPr>
            <w:r w:rsidRPr="00C34031">
              <w:rPr>
                <w:noProof/>
                <w:color w:val="000000"/>
                <w:sz w:val="16"/>
              </w:rPr>
              <w:t>0,000</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12288D7B" w14:textId="77777777" w:rsidR="00FA5543" w:rsidRPr="00C34031" w:rsidRDefault="00FA5543" w:rsidP="00390489">
            <w:pPr>
              <w:spacing w:before="0" w:after="0"/>
              <w:jc w:val="right"/>
              <w:rPr>
                <w:noProof/>
                <w:color w:val="000000"/>
                <w:sz w:val="16"/>
                <w:szCs w:val="16"/>
              </w:rPr>
            </w:pPr>
            <w:r w:rsidRPr="00C34031">
              <w:rPr>
                <w:noProof/>
                <w:color w:val="000000"/>
                <w:sz w:val="16"/>
              </w:rPr>
              <w:t>0,000</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38C86547" w14:textId="77777777" w:rsidR="00FA5543" w:rsidRPr="00C34031" w:rsidRDefault="00FA5543" w:rsidP="00390489">
            <w:pPr>
              <w:spacing w:before="0" w:after="0"/>
              <w:jc w:val="right"/>
              <w:rPr>
                <w:noProof/>
                <w:color w:val="000000"/>
                <w:sz w:val="16"/>
                <w:szCs w:val="16"/>
              </w:rPr>
            </w:pPr>
            <w:r w:rsidRPr="00C34031">
              <w:rPr>
                <w:noProof/>
                <w:color w:val="000000"/>
                <w:sz w:val="16"/>
              </w:rPr>
              <w:t>0,000</w:t>
            </w:r>
          </w:p>
        </w:tc>
        <w:tc>
          <w:tcPr>
            <w:tcW w:w="930" w:type="dxa"/>
            <w:tcBorders>
              <w:top w:val="nil"/>
              <w:left w:val="nil"/>
              <w:bottom w:val="single" w:sz="8" w:space="0" w:color="auto"/>
              <w:right w:val="single" w:sz="8" w:space="0" w:color="auto"/>
            </w:tcBorders>
            <w:shd w:val="clear" w:color="auto" w:fill="D9D9D9" w:themeFill="background1" w:themeFillShade="D9"/>
            <w:vAlign w:val="center"/>
            <w:hideMark/>
          </w:tcPr>
          <w:p w14:paraId="7AE2141B" w14:textId="77777777" w:rsidR="00FA5543" w:rsidRPr="00C34031" w:rsidRDefault="00FA5543" w:rsidP="00390489">
            <w:pPr>
              <w:spacing w:before="0" w:after="0"/>
              <w:jc w:val="right"/>
              <w:rPr>
                <w:noProof/>
                <w:color w:val="000000"/>
                <w:sz w:val="16"/>
                <w:szCs w:val="16"/>
              </w:rPr>
            </w:pPr>
            <w:r w:rsidRPr="00C34031">
              <w:rPr>
                <w:noProof/>
                <w:color w:val="000000"/>
                <w:sz w:val="16"/>
              </w:rPr>
              <w:t>0,000</w:t>
            </w:r>
          </w:p>
        </w:tc>
        <w:tc>
          <w:tcPr>
            <w:tcW w:w="1251" w:type="dxa"/>
            <w:tcBorders>
              <w:top w:val="nil"/>
              <w:left w:val="nil"/>
              <w:bottom w:val="single" w:sz="8" w:space="0" w:color="auto"/>
              <w:right w:val="single" w:sz="8" w:space="0" w:color="auto"/>
            </w:tcBorders>
            <w:shd w:val="clear" w:color="auto" w:fill="D9D9D9" w:themeFill="background1" w:themeFillShade="D9"/>
            <w:vAlign w:val="center"/>
            <w:hideMark/>
          </w:tcPr>
          <w:p w14:paraId="4E2A3C4E" w14:textId="77777777" w:rsidR="00FA5543" w:rsidRPr="00C34031" w:rsidRDefault="00FA5543" w:rsidP="00390489">
            <w:pPr>
              <w:spacing w:before="0" w:after="0"/>
              <w:jc w:val="right"/>
              <w:rPr>
                <w:b/>
                <w:bCs/>
                <w:noProof/>
                <w:color w:val="000000"/>
                <w:sz w:val="16"/>
                <w:szCs w:val="16"/>
              </w:rPr>
            </w:pPr>
            <w:r w:rsidRPr="00C34031">
              <w:rPr>
                <w:b/>
                <w:noProof/>
                <w:color w:val="000000"/>
                <w:sz w:val="16"/>
              </w:rPr>
              <w:t>0,000</w:t>
            </w:r>
          </w:p>
        </w:tc>
      </w:tr>
      <w:tr w:rsidR="00FA5543" w:rsidRPr="00C34031" w14:paraId="5F0AF35F" w14:textId="77777777" w:rsidTr="139DF8FE">
        <w:trPr>
          <w:trHeight w:val="300"/>
        </w:trPr>
        <w:tc>
          <w:tcPr>
            <w:tcW w:w="4027" w:type="dxa"/>
            <w:tcBorders>
              <w:top w:val="nil"/>
              <w:left w:val="single" w:sz="8" w:space="0" w:color="auto"/>
              <w:bottom w:val="single" w:sz="8" w:space="0" w:color="auto"/>
              <w:right w:val="single" w:sz="8" w:space="0" w:color="auto"/>
            </w:tcBorders>
            <w:shd w:val="clear" w:color="auto" w:fill="auto"/>
            <w:vAlign w:val="center"/>
            <w:hideMark/>
          </w:tcPr>
          <w:p w14:paraId="6905CCFC" w14:textId="77777777" w:rsidR="00FA5543" w:rsidRPr="00C34031" w:rsidRDefault="00FA5543" w:rsidP="00390489">
            <w:pPr>
              <w:spacing w:before="0" w:after="0"/>
              <w:jc w:val="left"/>
              <w:rPr>
                <w:noProof/>
                <w:color w:val="000000"/>
                <w:sz w:val="16"/>
                <w:szCs w:val="16"/>
              </w:rPr>
            </w:pPr>
            <w:r w:rsidRPr="00C34031">
              <w:rPr>
                <w:noProof/>
                <w:color w:val="000000"/>
                <w:sz w:val="16"/>
              </w:rPr>
              <w:t>Ostatní výdaje správní povahy</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1E95BE55" w14:textId="77777777" w:rsidR="00FA5543" w:rsidRPr="00C34031" w:rsidRDefault="00FA5543" w:rsidP="00390489">
            <w:pPr>
              <w:spacing w:before="0" w:after="0"/>
              <w:jc w:val="right"/>
              <w:rPr>
                <w:noProof/>
                <w:color w:val="000000"/>
                <w:sz w:val="16"/>
                <w:szCs w:val="16"/>
              </w:rPr>
            </w:pPr>
            <w:r w:rsidRPr="00C34031">
              <w:rPr>
                <w:noProof/>
                <w:color w:val="000000"/>
                <w:sz w:val="16"/>
              </w:rPr>
              <w:t>0,000</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71B39419" w14:textId="77777777" w:rsidR="00FA5543" w:rsidRPr="00C34031" w:rsidRDefault="00FA5543" w:rsidP="00390489">
            <w:pPr>
              <w:spacing w:before="0" w:after="0"/>
              <w:jc w:val="right"/>
              <w:rPr>
                <w:noProof/>
                <w:color w:val="000000"/>
                <w:sz w:val="16"/>
                <w:szCs w:val="16"/>
              </w:rPr>
            </w:pPr>
            <w:r w:rsidRPr="00C34031">
              <w:rPr>
                <w:noProof/>
                <w:color w:val="000000"/>
                <w:sz w:val="16"/>
              </w:rPr>
              <w:t>0,000</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11457F64" w14:textId="77777777" w:rsidR="00FA5543" w:rsidRPr="00C34031" w:rsidRDefault="00FA5543" w:rsidP="00390489">
            <w:pPr>
              <w:spacing w:before="0" w:after="0"/>
              <w:jc w:val="right"/>
              <w:rPr>
                <w:noProof/>
                <w:color w:val="000000"/>
                <w:sz w:val="16"/>
                <w:szCs w:val="16"/>
              </w:rPr>
            </w:pPr>
            <w:r w:rsidRPr="00C34031">
              <w:rPr>
                <w:noProof/>
                <w:color w:val="000000"/>
                <w:sz w:val="16"/>
              </w:rPr>
              <w:t>0,000</w:t>
            </w:r>
          </w:p>
        </w:tc>
        <w:tc>
          <w:tcPr>
            <w:tcW w:w="930" w:type="dxa"/>
            <w:tcBorders>
              <w:top w:val="nil"/>
              <w:left w:val="nil"/>
              <w:bottom w:val="single" w:sz="8" w:space="0" w:color="auto"/>
              <w:right w:val="single" w:sz="8" w:space="0" w:color="auto"/>
            </w:tcBorders>
            <w:shd w:val="clear" w:color="auto" w:fill="D9D9D9" w:themeFill="background1" w:themeFillShade="D9"/>
            <w:vAlign w:val="center"/>
            <w:hideMark/>
          </w:tcPr>
          <w:p w14:paraId="3234DFFE" w14:textId="77777777" w:rsidR="00FA5543" w:rsidRPr="00C34031" w:rsidRDefault="00FA5543" w:rsidP="00390489">
            <w:pPr>
              <w:spacing w:before="0" w:after="0"/>
              <w:jc w:val="right"/>
              <w:rPr>
                <w:noProof/>
                <w:color w:val="000000"/>
                <w:sz w:val="16"/>
                <w:szCs w:val="16"/>
              </w:rPr>
            </w:pPr>
            <w:r w:rsidRPr="00C34031">
              <w:rPr>
                <w:noProof/>
                <w:color w:val="000000"/>
                <w:sz w:val="16"/>
              </w:rPr>
              <w:t>0,000</w:t>
            </w:r>
          </w:p>
        </w:tc>
        <w:tc>
          <w:tcPr>
            <w:tcW w:w="1251" w:type="dxa"/>
            <w:tcBorders>
              <w:top w:val="nil"/>
              <w:left w:val="nil"/>
              <w:bottom w:val="single" w:sz="8" w:space="0" w:color="auto"/>
              <w:right w:val="single" w:sz="8" w:space="0" w:color="auto"/>
            </w:tcBorders>
            <w:shd w:val="clear" w:color="auto" w:fill="D9D9D9" w:themeFill="background1" w:themeFillShade="D9"/>
            <w:vAlign w:val="center"/>
            <w:hideMark/>
          </w:tcPr>
          <w:p w14:paraId="3181E3BF" w14:textId="77777777" w:rsidR="00FA5543" w:rsidRPr="00C34031" w:rsidRDefault="00FA5543" w:rsidP="00390489">
            <w:pPr>
              <w:spacing w:before="0" w:after="0"/>
              <w:jc w:val="right"/>
              <w:rPr>
                <w:b/>
                <w:bCs/>
                <w:noProof/>
                <w:color w:val="000000"/>
                <w:sz w:val="16"/>
                <w:szCs w:val="16"/>
              </w:rPr>
            </w:pPr>
            <w:r w:rsidRPr="00C34031">
              <w:rPr>
                <w:b/>
                <w:noProof/>
                <w:color w:val="000000"/>
                <w:sz w:val="16"/>
              </w:rPr>
              <w:t>0,000</w:t>
            </w:r>
          </w:p>
        </w:tc>
      </w:tr>
      <w:tr w:rsidR="00FA5543" w:rsidRPr="00C34031" w14:paraId="3269313B" w14:textId="77777777" w:rsidTr="139DF8FE">
        <w:trPr>
          <w:trHeight w:val="300"/>
        </w:trPr>
        <w:tc>
          <w:tcPr>
            <w:tcW w:w="4027" w:type="dxa"/>
            <w:tcBorders>
              <w:top w:val="nil"/>
              <w:left w:val="single" w:sz="8" w:space="0" w:color="auto"/>
              <w:bottom w:val="single" w:sz="8" w:space="0" w:color="auto"/>
              <w:right w:val="single" w:sz="8" w:space="0" w:color="auto"/>
            </w:tcBorders>
            <w:shd w:val="clear" w:color="auto" w:fill="CCCCCC"/>
            <w:vAlign w:val="center"/>
            <w:hideMark/>
          </w:tcPr>
          <w:p w14:paraId="42276D50" w14:textId="77777777" w:rsidR="00FA5543" w:rsidRPr="00C34031" w:rsidRDefault="00FA5543" w:rsidP="00390489">
            <w:pPr>
              <w:spacing w:before="0" w:after="0"/>
              <w:jc w:val="center"/>
              <w:rPr>
                <w:b/>
                <w:bCs/>
                <w:noProof/>
                <w:color w:val="000000"/>
                <w:sz w:val="16"/>
                <w:szCs w:val="16"/>
              </w:rPr>
            </w:pPr>
            <w:r w:rsidRPr="00C34031">
              <w:rPr>
                <w:b/>
                <w:noProof/>
                <w:color w:val="000000"/>
                <w:sz w:val="16"/>
              </w:rPr>
              <w:t>Mezisoučet mimo OKRUH 7</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7D995BD1" w14:textId="77777777" w:rsidR="00FA5543" w:rsidRPr="00C34031" w:rsidRDefault="00FA5543" w:rsidP="00390489">
            <w:pPr>
              <w:spacing w:before="0" w:after="0"/>
              <w:jc w:val="right"/>
              <w:rPr>
                <w:b/>
                <w:bCs/>
                <w:noProof/>
                <w:color w:val="000000"/>
                <w:sz w:val="16"/>
                <w:szCs w:val="16"/>
              </w:rPr>
            </w:pPr>
            <w:r w:rsidRPr="00C34031">
              <w:rPr>
                <w:b/>
                <w:noProof/>
                <w:color w:val="000000"/>
                <w:sz w:val="16"/>
              </w:rPr>
              <w:t>0,000</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7F64653F" w14:textId="77777777" w:rsidR="00FA5543" w:rsidRPr="00C34031" w:rsidRDefault="00FA5543" w:rsidP="00390489">
            <w:pPr>
              <w:spacing w:before="0" w:after="0"/>
              <w:jc w:val="right"/>
              <w:rPr>
                <w:b/>
                <w:bCs/>
                <w:noProof/>
                <w:color w:val="000000"/>
                <w:sz w:val="16"/>
                <w:szCs w:val="16"/>
              </w:rPr>
            </w:pPr>
            <w:r w:rsidRPr="00C34031">
              <w:rPr>
                <w:b/>
                <w:noProof/>
                <w:color w:val="000000"/>
                <w:sz w:val="16"/>
              </w:rPr>
              <w:t>0,000</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498D19B2" w14:textId="77777777" w:rsidR="00FA5543" w:rsidRPr="00C34031" w:rsidRDefault="00FA5543" w:rsidP="00390489">
            <w:pPr>
              <w:spacing w:before="0" w:after="0"/>
              <w:jc w:val="right"/>
              <w:rPr>
                <w:b/>
                <w:bCs/>
                <w:noProof/>
                <w:color w:val="000000"/>
                <w:sz w:val="16"/>
                <w:szCs w:val="16"/>
              </w:rPr>
            </w:pPr>
            <w:r w:rsidRPr="00C34031">
              <w:rPr>
                <w:b/>
                <w:noProof/>
                <w:color w:val="000000"/>
                <w:sz w:val="16"/>
              </w:rPr>
              <w:t>0,000</w:t>
            </w:r>
          </w:p>
        </w:tc>
        <w:tc>
          <w:tcPr>
            <w:tcW w:w="930" w:type="dxa"/>
            <w:tcBorders>
              <w:top w:val="nil"/>
              <w:left w:val="nil"/>
              <w:bottom w:val="single" w:sz="8" w:space="0" w:color="auto"/>
              <w:right w:val="single" w:sz="8" w:space="0" w:color="auto"/>
            </w:tcBorders>
            <w:shd w:val="clear" w:color="auto" w:fill="D9D9D9" w:themeFill="background1" w:themeFillShade="D9"/>
            <w:vAlign w:val="center"/>
            <w:hideMark/>
          </w:tcPr>
          <w:p w14:paraId="451FAC96" w14:textId="77777777" w:rsidR="00FA5543" w:rsidRPr="00C34031" w:rsidRDefault="00FA5543" w:rsidP="00390489">
            <w:pPr>
              <w:spacing w:before="0" w:after="0"/>
              <w:jc w:val="right"/>
              <w:rPr>
                <w:b/>
                <w:bCs/>
                <w:noProof/>
                <w:color w:val="000000"/>
                <w:sz w:val="16"/>
                <w:szCs w:val="16"/>
              </w:rPr>
            </w:pPr>
            <w:r w:rsidRPr="00C34031">
              <w:rPr>
                <w:b/>
                <w:noProof/>
                <w:color w:val="000000"/>
                <w:sz w:val="16"/>
              </w:rPr>
              <w:t>0,000</w:t>
            </w:r>
          </w:p>
        </w:tc>
        <w:tc>
          <w:tcPr>
            <w:tcW w:w="1251" w:type="dxa"/>
            <w:tcBorders>
              <w:top w:val="nil"/>
              <w:left w:val="nil"/>
              <w:bottom w:val="single" w:sz="8" w:space="0" w:color="auto"/>
              <w:right w:val="single" w:sz="8" w:space="0" w:color="auto"/>
            </w:tcBorders>
            <w:shd w:val="clear" w:color="auto" w:fill="D9D9D9" w:themeFill="background1" w:themeFillShade="D9"/>
            <w:vAlign w:val="center"/>
            <w:hideMark/>
          </w:tcPr>
          <w:p w14:paraId="6B2CD80C" w14:textId="77777777" w:rsidR="00FA5543" w:rsidRPr="00C34031" w:rsidRDefault="00FA5543" w:rsidP="00390489">
            <w:pPr>
              <w:spacing w:before="0" w:after="0"/>
              <w:jc w:val="right"/>
              <w:rPr>
                <w:b/>
                <w:bCs/>
                <w:noProof/>
                <w:color w:val="000000"/>
                <w:sz w:val="16"/>
                <w:szCs w:val="16"/>
              </w:rPr>
            </w:pPr>
            <w:r w:rsidRPr="00C34031">
              <w:rPr>
                <w:b/>
                <w:noProof/>
                <w:color w:val="000000"/>
                <w:sz w:val="16"/>
              </w:rPr>
              <w:t>0,000</w:t>
            </w:r>
          </w:p>
        </w:tc>
      </w:tr>
      <w:tr w:rsidR="00FA5543" w:rsidRPr="00C34031" w14:paraId="7695DA03" w14:textId="77777777" w:rsidTr="139DF8FE">
        <w:trPr>
          <w:trHeight w:val="300"/>
        </w:trPr>
        <w:tc>
          <w:tcPr>
            <w:tcW w:w="9289" w:type="dxa"/>
            <w:gridSpan w:val="6"/>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08927B6E" w14:textId="77777777" w:rsidR="00FA5543" w:rsidRPr="00C34031" w:rsidRDefault="00FA5543" w:rsidP="00390489">
            <w:pPr>
              <w:spacing w:before="0" w:after="0"/>
              <w:jc w:val="center"/>
              <w:rPr>
                <w:noProof/>
                <w:color w:val="000000"/>
                <w:sz w:val="16"/>
                <w:szCs w:val="16"/>
              </w:rPr>
            </w:pPr>
            <w:r w:rsidRPr="00C34031">
              <w:rPr>
                <w:noProof/>
                <w:color w:val="000000"/>
                <w:sz w:val="16"/>
              </w:rPr>
              <w:t> </w:t>
            </w:r>
          </w:p>
        </w:tc>
      </w:tr>
      <w:tr w:rsidR="00FA5543" w:rsidRPr="00C34031" w14:paraId="7E4A3C67" w14:textId="77777777" w:rsidTr="139DF8FE">
        <w:trPr>
          <w:trHeight w:val="300"/>
        </w:trPr>
        <w:tc>
          <w:tcPr>
            <w:tcW w:w="4027" w:type="dxa"/>
            <w:tcBorders>
              <w:top w:val="nil"/>
              <w:left w:val="single" w:sz="8" w:space="0" w:color="auto"/>
              <w:bottom w:val="single" w:sz="8" w:space="0" w:color="auto"/>
              <w:right w:val="single" w:sz="8" w:space="0" w:color="auto"/>
            </w:tcBorders>
            <w:shd w:val="clear" w:color="auto" w:fill="auto"/>
            <w:vAlign w:val="center"/>
            <w:hideMark/>
          </w:tcPr>
          <w:p w14:paraId="6DD9A7FD" w14:textId="77777777" w:rsidR="00FA5543" w:rsidRPr="00C34031" w:rsidRDefault="00FA5543" w:rsidP="00390489">
            <w:pPr>
              <w:spacing w:before="0" w:after="0"/>
              <w:jc w:val="center"/>
              <w:rPr>
                <w:b/>
                <w:bCs/>
                <w:noProof/>
                <w:color w:val="000000"/>
                <w:sz w:val="16"/>
                <w:szCs w:val="16"/>
              </w:rPr>
            </w:pPr>
            <w:r w:rsidRPr="00C34031">
              <w:rPr>
                <w:b/>
                <w:noProof/>
                <w:color w:val="000000"/>
                <w:sz w:val="16"/>
              </w:rPr>
              <w:t>CELKEM</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520E7B56" w14:textId="77777777" w:rsidR="00FA5543" w:rsidRPr="00C34031" w:rsidRDefault="00D40C57" w:rsidP="139DF8FE">
            <w:pPr>
              <w:spacing w:before="0" w:after="0"/>
              <w:jc w:val="right"/>
              <w:rPr>
                <w:rFonts w:eastAsia="Times New Roman"/>
                <w:noProof/>
                <w:sz w:val="16"/>
                <w:szCs w:val="16"/>
              </w:rPr>
            </w:pPr>
            <w:r w:rsidRPr="00C34031">
              <w:rPr>
                <w:b/>
                <w:noProof/>
                <w:color w:val="000000" w:themeColor="text1"/>
                <w:sz w:val="16"/>
              </w:rPr>
              <w:t>9,576</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109E77C6" w14:textId="77777777" w:rsidR="00FA5543" w:rsidRPr="00C34031" w:rsidRDefault="00D40C57" w:rsidP="139DF8FE">
            <w:pPr>
              <w:spacing w:before="0" w:after="0"/>
              <w:jc w:val="right"/>
              <w:rPr>
                <w:rFonts w:eastAsia="Times New Roman"/>
                <w:noProof/>
                <w:sz w:val="16"/>
                <w:szCs w:val="16"/>
              </w:rPr>
            </w:pPr>
            <w:r w:rsidRPr="00C34031">
              <w:rPr>
                <w:b/>
                <w:noProof/>
                <w:color w:val="000000" w:themeColor="text1"/>
                <w:sz w:val="16"/>
              </w:rPr>
              <w:t>6,571</w:t>
            </w:r>
          </w:p>
        </w:tc>
        <w:tc>
          <w:tcPr>
            <w:tcW w:w="1027" w:type="dxa"/>
            <w:tcBorders>
              <w:top w:val="nil"/>
              <w:left w:val="nil"/>
              <w:bottom w:val="single" w:sz="8" w:space="0" w:color="auto"/>
              <w:right w:val="single" w:sz="8" w:space="0" w:color="auto"/>
            </w:tcBorders>
            <w:shd w:val="clear" w:color="auto" w:fill="D9D9D9" w:themeFill="background1" w:themeFillShade="D9"/>
            <w:vAlign w:val="center"/>
            <w:hideMark/>
          </w:tcPr>
          <w:p w14:paraId="2A659F21" w14:textId="77777777" w:rsidR="00FA5543" w:rsidRPr="00C34031" w:rsidRDefault="00D40C57" w:rsidP="139DF8FE">
            <w:pPr>
              <w:spacing w:before="0" w:after="0"/>
              <w:jc w:val="right"/>
              <w:rPr>
                <w:rFonts w:eastAsia="Times New Roman"/>
                <w:noProof/>
                <w:sz w:val="16"/>
                <w:szCs w:val="16"/>
              </w:rPr>
            </w:pPr>
            <w:r w:rsidRPr="00C34031">
              <w:rPr>
                <w:b/>
                <w:noProof/>
                <w:color w:val="000000" w:themeColor="text1"/>
                <w:sz w:val="16"/>
              </w:rPr>
              <w:t>9,046</w:t>
            </w:r>
          </w:p>
        </w:tc>
        <w:tc>
          <w:tcPr>
            <w:tcW w:w="930" w:type="dxa"/>
            <w:tcBorders>
              <w:top w:val="nil"/>
              <w:left w:val="nil"/>
              <w:bottom w:val="single" w:sz="8" w:space="0" w:color="auto"/>
              <w:right w:val="single" w:sz="8" w:space="0" w:color="auto"/>
            </w:tcBorders>
            <w:shd w:val="clear" w:color="auto" w:fill="D9D9D9" w:themeFill="background1" w:themeFillShade="D9"/>
            <w:vAlign w:val="center"/>
            <w:hideMark/>
          </w:tcPr>
          <w:p w14:paraId="1796714F" w14:textId="77777777" w:rsidR="00FA5543" w:rsidRPr="00C34031" w:rsidRDefault="00D40C57" w:rsidP="139DF8FE">
            <w:pPr>
              <w:spacing w:before="0" w:after="0"/>
              <w:jc w:val="right"/>
              <w:rPr>
                <w:rFonts w:eastAsia="Times New Roman"/>
                <w:noProof/>
                <w:sz w:val="16"/>
                <w:szCs w:val="16"/>
              </w:rPr>
            </w:pPr>
            <w:r w:rsidRPr="00C34031">
              <w:rPr>
                <w:b/>
                <w:noProof/>
                <w:color w:val="000000" w:themeColor="text1"/>
                <w:sz w:val="16"/>
              </w:rPr>
              <w:t>12,012</w:t>
            </w:r>
          </w:p>
        </w:tc>
        <w:tc>
          <w:tcPr>
            <w:tcW w:w="1251" w:type="dxa"/>
            <w:tcBorders>
              <w:top w:val="nil"/>
              <w:left w:val="nil"/>
              <w:bottom w:val="single" w:sz="8" w:space="0" w:color="auto"/>
              <w:right w:val="single" w:sz="8" w:space="0" w:color="auto"/>
            </w:tcBorders>
            <w:shd w:val="clear" w:color="auto" w:fill="D9D9D9" w:themeFill="background1" w:themeFillShade="D9"/>
            <w:vAlign w:val="center"/>
            <w:hideMark/>
          </w:tcPr>
          <w:p w14:paraId="01859FA5" w14:textId="77777777" w:rsidR="00FA5543" w:rsidRPr="00C34031" w:rsidRDefault="69F3AE27" w:rsidP="139DF8FE">
            <w:pPr>
              <w:spacing w:before="0" w:after="0"/>
              <w:jc w:val="right"/>
              <w:rPr>
                <w:rFonts w:eastAsia="Times New Roman"/>
                <w:noProof/>
                <w:sz w:val="16"/>
                <w:szCs w:val="16"/>
              </w:rPr>
            </w:pPr>
            <w:r w:rsidRPr="00C34031">
              <w:rPr>
                <w:b/>
                <w:noProof/>
                <w:color w:val="000000" w:themeColor="text1"/>
                <w:sz w:val="16"/>
              </w:rPr>
              <w:t>36,801</w:t>
            </w:r>
          </w:p>
        </w:tc>
      </w:tr>
    </w:tbl>
    <w:p w14:paraId="00FC35DB" w14:textId="77777777" w:rsidR="00FA5543" w:rsidRPr="00C34031" w:rsidRDefault="00FA5543" w:rsidP="00390489">
      <w:pPr>
        <w:rPr>
          <w:noProof/>
          <w:sz w:val="22"/>
          <w:szCs w:val="28"/>
        </w:rPr>
      </w:pPr>
      <w:r w:rsidRPr="00C34031">
        <w:rPr>
          <w:noProof/>
          <w:sz w:val="22"/>
        </w:rPr>
        <w:t>Potřebné prostředky na oblast lidských zdrojů a na ostatní výdaje správní povahy budou pokryty z prostředků GŘ, které jsou již vyčleněny na řízení akce a/nebo byly vnitřně přerozděleny v rámci GŘ a případně doplněny z dodatečného přídělu, který lze řídícímu GŘ poskytnout v rámci ročního přidělování a s ohledem na rozpočtová omezení.</w:t>
      </w:r>
    </w:p>
    <w:p w14:paraId="66AAC9EE" w14:textId="77777777" w:rsidR="00FA5543" w:rsidRPr="00C34031" w:rsidRDefault="00FA5543" w:rsidP="00390489">
      <w:pPr>
        <w:pStyle w:val="ManualHeading3"/>
        <w:rPr>
          <w:bCs/>
          <w:noProof/>
          <w:szCs w:val="24"/>
        </w:rPr>
      </w:pPr>
      <w:r w:rsidRPr="00C34031">
        <w:rPr>
          <w:noProof/>
        </w:rPr>
        <w:t>3.2.4.</w:t>
      </w:r>
      <w:r w:rsidRPr="00C34031">
        <w:rPr>
          <w:noProof/>
        </w:rPr>
        <w:tab/>
        <w:t xml:space="preserve">Odhadované potřeby v oblasti lidských zdrojů </w:t>
      </w:r>
    </w:p>
    <w:p w14:paraId="41119238" w14:textId="77777777" w:rsidR="00FA5543" w:rsidRPr="00C34031" w:rsidRDefault="6C3AF1E0" w:rsidP="00390489">
      <w:pPr>
        <w:pStyle w:val="ListDash1"/>
        <w:rPr>
          <w:noProof/>
        </w:rPr>
      </w:pPr>
      <w:r w:rsidRPr="00C34031">
        <w:rPr>
          <w:rFonts w:ascii="Wingdings" w:hAnsi="Wingdings"/>
          <w:noProof/>
        </w:rPr>
        <w:t></w:t>
      </w:r>
      <w:r w:rsidRPr="00C34031">
        <w:rPr>
          <w:noProof/>
        </w:rPr>
        <w:tab/>
        <w:t xml:space="preserve">Návrh/podnět nevyžaduje využití lidských zdrojů. </w:t>
      </w:r>
    </w:p>
    <w:p w14:paraId="5A233CB8" w14:textId="77777777" w:rsidR="00FA5543" w:rsidRPr="00C34031" w:rsidRDefault="0791A15B" w:rsidP="00390489">
      <w:pPr>
        <w:pStyle w:val="ListDash1"/>
        <w:rPr>
          <w:noProof/>
        </w:rPr>
      </w:pPr>
      <w:r w:rsidRPr="00C34031">
        <w:rPr>
          <w:rFonts w:ascii="Wingdings" w:hAnsi="Wingdings"/>
          <w:noProof/>
        </w:rPr>
        <w:t></w:t>
      </w:r>
      <w:r w:rsidRPr="00C34031">
        <w:rPr>
          <w:noProof/>
        </w:rPr>
        <w:tab/>
        <w:t>Návrh/podnět vyžaduje využití lidských zdrojů, jak je vysvětleno dále:</w:t>
      </w:r>
    </w:p>
    <w:p w14:paraId="14DD3889" w14:textId="77777777" w:rsidR="00FA5543" w:rsidRPr="00C34031" w:rsidRDefault="00FA5543" w:rsidP="00390489">
      <w:pPr>
        <w:pStyle w:val="ManualHeading3"/>
        <w:rPr>
          <w:noProof/>
        </w:rPr>
      </w:pPr>
      <w:r w:rsidRPr="00C34031">
        <w:rPr>
          <w:noProof/>
        </w:rPr>
        <w:t>3.2.4.1.</w:t>
      </w:r>
      <w:r w:rsidRPr="00C34031">
        <w:rPr>
          <w:noProof/>
        </w:rPr>
        <w:tab/>
        <w:t>Financované ze schváleného rozpočtu</w:t>
      </w:r>
    </w:p>
    <w:p w14:paraId="05CEA382" w14:textId="77777777" w:rsidR="00FA5543" w:rsidRPr="00C34031" w:rsidRDefault="6C3AF1E0" w:rsidP="00390489">
      <w:pPr>
        <w:spacing w:after="60"/>
        <w:jc w:val="right"/>
        <w:rPr>
          <w:i/>
          <w:noProof/>
          <w:sz w:val="20"/>
        </w:rPr>
      </w:pPr>
      <w:r w:rsidRPr="00C34031">
        <w:rPr>
          <w:i/>
          <w:noProof/>
          <w:sz w:val="20"/>
        </w:rPr>
        <w:t>Odhad vyjádřete v přepočtu na plné pracovní úvazky (FTE)</w:t>
      </w:r>
      <w:r w:rsidR="00FA5543" w:rsidRPr="00C34031">
        <w:rPr>
          <w:rStyle w:val="FootnoteReference"/>
          <w:i/>
          <w:iCs/>
          <w:noProof/>
          <w:sz w:val="20"/>
          <w:szCs w:val="20"/>
        </w:rPr>
        <w:footnoteReference w:id="29"/>
      </w:r>
    </w:p>
    <w:p w14:paraId="63636D7E" w14:textId="77777777" w:rsidR="00FA5543" w:rsidRPr="00C34031" w:rsidRDefault="00FA5543" w:rsidP="00390489">
      <w:pPr>
        <w:pStyle w:val="Text1"/>
        <w:spacing w:before="60" w:after="60"/>
        <w:ind w:left="-426" w:right="-427"/>
        <w:rPr>
          <w:b/>
          <w:noProof/>
          <w:sz w:val="18"/>
          <w:szCs w:val="18"/>
        </w:rPr>
      </w:pPr>
    </w:p>
    <w:tbl>
      <w:tblPr>
        <w:tblW w:w="5000" w:type="pct"/>
        <w:tblLook w:val="04A0" w:firstRow="1" w:lastRow="0" w:firstColumn="1" w:lastColumn="0" w:noHBand="0" w:noVBand="1"/>
      </w:tblPr>
      <w:tblGrid>
        <w:gridCol w:w="1513"/>
        <w:gridCol w:w="3898"/>
        <w:gridCol w:w="970"/>
        <w:gridCol w:w="970"/>
        <w:gridCol w:w="970"/>
        <w:gridCol w:w="968"/>
      </w:tblGrid>
      <w:tr w:rsidR="00FA5543" w:rsidRPr="00C34031" w14:paraId="5BAF00FB" w14:textId="77777777" w:rsidTr="139DF8FE">
        <w:trPr>
          <w:trHeight w:val="300"/>
        </w:trPr>
        <w:tc>
          <w:tcPr>
            <w:tcW w:w="2913" w:type="pct"/>
            <w:gridSpan w:val="2"/>
            <w:vMerge w:val="restart"/>
            <w:tcBorders>
              <w:top w:val="single" w:sz="8" w:space="0" w:color="auto"/>
              <w:left w:val="single" w:sz="8" w:space="0" w:color="auto"/>
              <w:bottom w:val="single" w:sz="8" w:space="0" w:color="000000" w:themeColor="text1"/>
              <w:right w:val="single" w:sz="8" w:space="0" w:color="000000" w:themeColor="text1"/>
            </w:tcBorders>
            <w:shd w:val="clear" w:color="auto" w:fill="auto"/>
            <w:vAlign w:val="center"/>
            <w:hideMark/>
          </w:tcPr>
          <w:p w14:paraId="786C6E9C" w14:textId="77777777" w:rsidR="00FA5543" w:rsidRPr="00C34031" w:rsidRDefault="00FA5543" w:rsidP="00390489">
            <w:pPr>
              <w:spacing w:before="0" w:after="0"/>
              <w:jc w:val="center"/>
              <w:rPr>
                <w:b/>
                <w:bCs/>
                <w:noProof/>
                <w:color w:val="000000"/>
                <w:sz w:val="18"/>
                <w:szCs w:val="18"/>
              </w:rPr>
            </w:pPr>
            <w:r w:rsidRPr="00C34031">
              <w:rPr>
                <w:b/>
                <w:noProof/>
                <w:color w:val="000000"/>
                <w:sz w:val="18"/>
              </w:rPr>
              <w:t>SCHVÁLENÉ PROSTŘEDKY</w:t>
            </w:r>
          </w:p>
        </w:tc>
        <w:tc>
          <w:tcPr>
            <w:tcW w:w="522" w:type="pct"/>
            <w:tcBorders>
              <w:top w:val="single" w:sz="8" w:space="0" w:color="auto"/>
              <w:left w:val="nil"/>
              <w:bottom w:val="nil"/>
              <w:right w:val="single" w:sz="8" w:space="0" w:color="auto"/>
            </w:tcBorders>
            <w:shd w:val="clear" w:color="auto" w:fill="auto"/>
            <w:vAlign w:val="center"/>
            <w:hideMark/>
          </w:tcPr>
          <w:p w14:paraId="72DC4FD4"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522" w:type="pct"/>
            <w:tcBorders>
              <w:top w:val="single" w:sz="8" w:space="0" w:color="auto"/>
              <w:left w:val="nil"/>
              <w:bottom w:val="nil"/>
              <w:right w:val="single" w:sz="8" w:space="0" w:color="auto"/>
            </w:tcBorders>
            <w:shd w:val="clear" w:color="auto" w:fill="auto"/>
            <w:vAlign w:val="center"/>
            <w:hideMark/>
          </w:tcPr>
          <w:p w14:paraId="08EF6D48"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522" w:type="pct"/>
            <w:tcBorders>
              <w:top w:val="single" w:sz="8" w:space="0" w:color="auto"/>
              <w:left w:val="nil"/>
              <w:bottom w:val="nil"/>
              <w:right w:val="single" w:sz="8" w:space="0" w:color="auto"/>
            </w:tcBorders>
            <w:shd w:val="clear" w:color="auto" w:fill="auto"/>
            <w:vAlign w:val="center"/>
            <w:hideMark/>
          </w:tcPr>
          <w:p w14:paraId="644020F8"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c>
          <w:tcPr>
            <w:tcW w:w="522" w:type="pct"/>
            <w:tcBorders>
              <w:top w:val="single" w:sz="8" w:space="0" w:color="auto"/>
              <w:left w:val="nil"/>
              <w:bottom w:val="nil"/>
              <w:right w:val="single" w:sz="8" w:space="0" w:color="auto"/>
            </w:tcBorders>
            <w:shd w:val="clear" w:color="auto" w:fill="auto"/>
            <w:vAlign w:val="center"/>
            <w:hideMark/>
          </w:tcPr>
          <w:p w14:paraId="0B3DC4AE" w14:textId="77777777" w:rsidR="00FA5543" w:rsidRPr="00C34031" w:rsidRDefault="00FA5543" w:rsidP="00390489">
            <w:pPr>
              <w:spacing w:before="0" w:after="0"/>
              <w:jc w:val="center"/>
              <w:rPr>
                <w:noProof/>
                <w:color w:val="000000"/>
                <w:sz w:val="20"/>
                <w:szCs w:val="20"/>
              </w:rPr>
            </w:pPr>
            <w:r w:rsidRPr="00C34031">
              <w:rPr>
                <w:noProof/>
                <w:color w:val="000000"/>
                <w:sz w:val="20"/>
              </w:rPr>
              <w:t>Rok</w:t>
            </w:r>
          </w:p>
        </w:tc>
      </w:tr>
      <w:tr w:rsidR="00FA5543" w:rsidRPr="00C34031" w14:paraId="2BD79069" w14:textId="77777777" w:rsidTr="139DF8FE">
        <w:trPr>
          <w:trHeight w:val="300"/>
        </w:trPr>
        <w:tc>
          <w:tcPr>
            <w:tcW w:w="2913" w:type="pct"/>
            <w:gridSpan w:val="2"/>
            <w:vMerge/>
            <w:vAlign w:val="center"/>
            <w:hideMark/>
          </w:tcPr>
          <w:p w14:paraId="63C578BE" w14:textId="77777777" w:rsidR="00FA5543" w:rsidRPr="00C34031" w:rsidRDefault="00FA5543" w:rsidP="00390489">
            <w:pPr>
              <w:spacing w:before="0" w:after="0"/>
              <w:jc w:val="left"/>
              <w:rPr>
                <w:b/>
                <w:bCs/>
                <w:noProof/>
                <w:color w:val="000000"/>
                <w:sz w:val="18"/>
                <w:szCs w:val="18"/>
                <w:lang w:eastAsia="en-IE"/>
              </w:rPr>
            </w:pPr>
          </w:p>
        </w:tc>
        <w:tc>
          <w:tcPr>
            <w:tcW w:w="522" w:type="pct"/>
            <w:tcBorders>
              <w:top w:val="nil"/>
              <w:left w:val="nil"/>
              <w:bottom w:val="single" w:sz="8" w:space="0" w:color="auto"/>
              <w:right w:val="single" w:sz="8" w:space="0" w:color="auto"/>
            </w:tcBorders>
            <w:shd w:val="clear" w:color="auto" w:fill="auto"/>
            <w:vAlign w:val="center"/>
            <w:hideMark/>
          </w:tcPr>
          <w:p w14:paraId="29B60FE1"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2024</w:t>
            </w:r>
          </w:p>
        </w:tc>
        <w:tc>
          <w:tcPr>
            <w:tcW w:w="522" w:type="pct"/>
            <w:tcBorders>
              <w:top w:val="nil"/>
              <w:left w:val="nil"/>
              <w:bottom w:val="single" w:sz="8" w:space="0" w:color="auto"/>
              <w:right w:val="single" w:sz="8" w:space="0" w:color="auto"/>
            </w:tcBorders>
            <w:shd w:val="clear" w:color="auto" w:fill="auto"/>
            <w:vAlign w:val="center"/>
            <w:hideMark/>
          </w:tcPr>
          <w:p w14:paraId="488BF212"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2025</w:t>
            </w:r>
          </w:p>
        </w:tc>
        <w:tc>
          <w:tcPr>
            <w:tcW w:w="522" w:type="pct"/>
            <w:tcBorders>
              <w:top w:val="nil"/>
              <w:left w:val="nil"/>
              <w:bottom w:val="single" w:sz="8" w:space="0" w:color="auto"/>
              <w:right w:val="single" w:sz="8" w:space="0" w:color="auto"/>
            </w:tcBorders>
            <w:shd w:val="clear" w:color="auto" w:fill="auto"/>
            <w:vAlign w:val="center"/>
            <w:hideMark/>
          </w:tcPr>
          <w:p w14:paraId="3BD27362"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2026</w:t>
            </w:r>
          </w:p>
        </w:tc>
        <w:tc>
          <w:tcPr>
            <w:tcW w:w="522" w:type="pct"/>
            <w:tcBorders>
              <w:top w:val="nil"/>
              <w:left w:val="nil"/>
              <w:bottom w:val="single" w:sz="8" w:space="0" w:color="auto"/>
              <w:right w:val="single" w:sz="8" w:space="0" w:color="auto"/>
            </w:tcBorders>
            <w:shd w:val="clear" w:color="auto" w:fill="auto"/>
            <w:vAlign w:val="center"/>
            <w:hideMark/>
          </w:tcPr>
          <w:p w14:paraId="13A13E16" w14:textId="77777777" w:rsidR="00FA5543" w:rsidRPr="00C34031" w:rsidRDefault="00FA5543" w:rsidP="00390489">
            <w:pPr>
              <w:spacing w:before="0" w:after="0"/>
              <w:jc w:val="center"/>
              <w:rPr>
                <w:b/>
                <w:bCs/>
                <w:noProof/>
                <w:color w:val="000000"/>
                <w:sz w:val="20"/>
                <w:szCs w:val="20"/>
              </w:rPr>
            </w:pPr>
            <w:r w:rsidRPr="00C34031">
              <w:rPr>
                <w:b/>
                <w:noProof/>
                <w:color w:val="000000"/>
                <w:sz w:val="20"/>
              </w:rPr>
              <w:t>2027</w:t>
            </w:r>
          </w:p>
        </w:tc>
      </w:tr>
      <w:tr w:rsidR="00FA5543" w:rsidRPr="00C34031" w14:paraId="30465421" w14:textId="77777777" w:rsidTr="139DF8FE">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07CBCB63" w14:textId="77777777" w:rsidR="00FA5543" w:rsidRPr="00C34031" w:rsidRDefault="00FA5543" w:rsidP="00390489">
            <w:pPr>
              <w:spacing w:before="0" w:after="0"/>
              <w:jc w:val="left"/>
              <w:rPr>
                <w:rFonts w:ascii="Wingdings" w:hAnsi="Wingdings" w:cs="Calibri"/>
                <w:b/>
                <w:bCs/>
                <w:noProof/>
                <w:color w:val="000000"/>
                <w:sz w:val="16"/>
                <w:szCs w:val="16"/>
              </w:rPr>
            </w:pPr>
            <w:r w:rsidRPr="00C34031">
              <w:rPr>
                <w:rFonts w:ascii="Wingdings" w:hAnsi="Wingdings"/>
                <w:b/>
                <w:noProof/>
                <w:color w:val="000000"/>
                <w:sz w:val="16"/>
              </w:rPr>
              <w:t></w:t>
            </w:r>
            <w:r w:rsidRPr="00C34031">
              <w:rPr>
                <w:b/>
                <w:noProof/>
                <w:color w:val="000000"/>
                <w:sz w:val="16"/>
              </w:rPr>
              <w:t xml:space="preserve"> Pracovní místa podle plánu pracovních míst (místa úředníků a dočasných zaměstnanců)</w:t>
            </w:r>
          </w:p>
        </w:tc>
      </w:tr>
      <w:tr w:rsidR="00FA5543" w:rsidRPr="00C34031" w14:paraId="2CE60361" w14:textId="77777777" w:rsidTr="139DF8FE">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1516548D" w14:textId="77777777" w:rsidR="00FA5543" w:rsidRPr="00C34031" w:rsidRDefault="00FA5543" w:rsidP="00390489">
            <w:pPr>
              <w:spacing w:before="0" w:after="0"/>
              <w:ind w:firstLineChars="100" w:firstLine="160"/>
              <w:jc w:val="left"/>
              <w:rPr>
                <w:noProof/>
                <w:color w:val="000000"/>
                <w:sz w:val="16"/>
                <w:szCs w:val="16"/>
              </w:rPr>
            </w:pPr>
            <w:r w:rsidRPr="00C34031">
              <w:rPr>
                <w:noProof/>
                <w:color w:val="000000"/>
                <w:sz w:val="16"/>
              </w:rPr>
              <w:t>20 01 02 01</w:t>
            </w:r>
            <w:r w:rsidRPr="00C34031">
              <w:rPr>
                <w:rFonts w:ascii="Arial Narrow" w:hAnsi="Arial Narrow"/>
                <w:noProof/>
                <w:color w:val="000000"/>
                <w:sz w:val="20"/>
              </w:rPr>
              <w:t xml:space="preserve"> </w:t>
            </w:r>
            <w:r w:rsidRPr="00C34031">
              <w:rPr>
                <w:noProof/>
                <w:color w:val="000000"/>
                <w:sz w:val="16"/>
              </w:rPr>
              <w:t>(v ústředí a v zastoupeních Komise)</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14B6618B" w14:textId="77777777" w:rsidR="00FA5543" w:rsidRPr="00C34031" w:rsidRDefault="505D9B02" w:rsidP="139DF8FE">
            <w:pPr>
              <w:spacing w:before="0" w:after="0"/>
              <w:jc w:val="center"/>
              <w:rPr>
                <w:rFonts w:eastAsia="Times New Roman"/>
                <w:noProof/>
                <w:sz w:val="16"/>
                <w:szCs w:val="16"/>
              </w:rPr>
            </w:pPr>
            <w:r w:rsidRPr="00C34031">
              <w:rPr>
                <w:noProof/>
                <w:color w:val="000000" w:themeColor="text1"/>
                <w:sz w:val="16"/>
              </w:rPr>
              <w:t>21</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33C8CD71" w14:textId="77777777" w:rsidR="00FA5543" w:rsidRPr="00C34031" w:rsidRDefault="505D9B02" w:rsidP="139DF8FE">
            <w:pPr>
              <w:spacing w:before="0" w:after="0"/>
              <w:jc w:val="center"/>
              <w:rPr>
                <w:rFonts w:eastAsia="Times New Roman"/>
                <w:noProof/>
                <w:sz w:val="16"/>
                <w:szCs w:val="16"/>
              </w:rPr>
            </w:pPr>
            <w:r w:rsidRPr="00C34031">
              <w:rPr>
                <w:noProof/>
                <w:color w:val="000000" w:themeColor="text1"/>
                <w:sz w:val="16"/>
              </w:rPr>
              <w:t>21</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397E2784" w14:textId="77777777" w:rsidR="00FA5543" w:rsidRPr="00C34031" w:rsidRDefault="505D9B02" w:rsidP="00390489">
            <w:pPr>
              <w:spacing w:before="0" w:after="0"/>
              <w:jc w:val="center"/>
              <w:rPr>
                <w:noProof/>
                <w:color w:val="000000"/>
                <w:sz w:val="16"/>
                <w:szCs w:val="16"/>
              </w:rPr>
            </w:pPr>
            <w:r w:rsidRPr="00C34031">
              <w:rPr>
                <w:noProof/>
                <w:color w:val="000000" w:themeColor="text1"/>
                <w:sz w:val="16"/>
              </w:rPr>
              <w:t>25</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37BEC706" w14:textId="77777777" w:rsidR="00FA5543" w:rsidRPr="00C34031" w:rsidRDefault="505D9B02" w:rsidP="00390489">
            <w:pPr>
              <w:spacing w:before="0" w:after="0"/>
              <w:jc w:val="center"/>
              <w:rPr>
                <w:noProof/>
                <w:color w:val="000000"/>
                <w:sz w:val="16"/>
                <w:szCs w:val="16"/>
              </w:rPr>
            </w:pPr>
            <w:r w:rsidRPr="00C34031">
              <w:rPr>
                <w:noProof/>
                <w:color w:val="000000" w:themeColor="text1"/>
                <w:sz w:val="16"/>
              </w:rPr>
              <w:t>30</w:t>
            </w:r>
          </w:p>
        </w:tc>
      </w:tr>
      <w:tr w:rsidR="00FA5543" w:rsidRPr="00C34031" w14:paraId="22957BDA" w14:textId="77777777" w:rsidTr="139DF8FE">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F1C5DAF" w14:textId="77777777" w:rsidR="00FA5543" w:rsidRPr="00C34031" w:rsidRDefault="00FA5543" w:rsidP="00390489">
            <w:pPr>
              <w:spacing w:before="0" w:after="0"/>
              <w:ind w:firstLineChars="100" w:firstLine="160"/>
              <w:jc w:val="left"/>
              <w:rPr>
                <w:noProof/>
                <w:color w:val="000000"/>
                <w:sz w:val="16"/>
                <w:szCs w:val="16"/>
              </w:rPr>
            </w:pPr>
            <w:r w:rsidRPr="00C34031">
              <w:rPr>
                <w:noProof/>
                <w:color w:val="000000"/>
                <w:sz w:val="16"/>
              </w:rPr>
              <w:t>20 01 02 03 (při delegacích EU)</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4E42B3F4"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6FFE6603"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0D9C8125"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48132C40"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r>
      <w:tr w:rsidR="00FA5543" w:rsidRPr="00C34031" w14:paraId="306AB65E" w14:textId="77777777" w:rsidTr="139DF8FE">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BBD238C" w14:textId="77777777" w:rsidR="00FA5543" w:rsidRPr="00C34031" w:rsidRDefault="00FA5543" w:rsidP="00390489">
            <w:pPr>
              <w:spacing w:before="0" w:after="0"/>
              <w:ind w:firstLineChars="100" w:firstLine="160"/>
              <w:jc w:val="left"/>
              <w:rPr>
                <w:noProof/>
                <w:color w:val="000000"/>
                <w:sz w:val="16"/>
                <w:szCs w:val="16"/>
              </w:rPr>
            </w:pPr>
            <w:r w:rsidRPr="00C34031">
              <w:rPr>
                <w:noProof/>
                <w:color w:val="000000"/>
                <w:sz w:val="16"/>
              </w:rPr>
              <w:t>01 01 01 01</w:t>
            </w:r>
            <w:r w:rsidRPr="00C34031">
              <w:rPr>
                <w:rFonts w:ascii="Arial Narrow" w:hAnsi="Arial Narrow"/>
                <w:noProof/>
                <w:color w:val="000000"/>
                <w:sz w:val="20"/>
              </w:rPr>
              <w:t xml:space="preserve"> </w:t>
            </w:r>
            <w:r w:rsidRPr="00C34031">
              <w:rPr>
                <w:noProof/>
                <w:color w:val="000000"/>
                <w:sz w:val="16"/>
              </w:rPr>
              <w:t>(v nepřímém výzkumu)</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0209AB66"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48010CFF"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6B5C5B2B"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51226ADE"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r>
      <w:tr w:rsidR="00FA5543" w:rsidRPr="00C34031" w14:paraId="6941516C" w14:textId="77777777" w:rsidTr="139DF8FE">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8E30753" w14:textId="77777777" w:rsidR="00FA5543" w:rsidRPr="00C34031" w:rsidRDefault="00FA5543" w:rsidP="00390489">
            <w:pPr>
              <w:spacing w:before="0" w:after="0"/>
              <w:ind w:firstLineChars="100" w:firstLine="160"/>
              <w:jc w:val="left"/>
              <w:rPr>
                <w:noProof/>
                <w:color w:val="000000"/>
                <w:sz w:val="16"/>
                <w:szCs w:val="16"/>
              </w:rPr>
            </w:pPr>
            <w:r w:rsidRPr="00C34031">
              <w:rPr>
                <w:noProof/>
                <w:color w:val="000000"/>
                <w:sz w:val="16"/>
              </w:rPr>
              <w:t>01 01 01 11 (v přímém výzkumu)</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089CA019"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7BB6813F"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2389477F"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6488A57B"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r>
      <w:tr w:rsidR="00FA5543" w:rsidRPr="00C34031" w14:paraId="7B67F79A" w14:textId="77777777" w:rsidTr="139DF8FE">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09DD921A" w14:textId="77777777" w:rsidR="00FA5543" w:rsidRPr="00C34031" w:rsidRDefault="00FA5543" w:rsidP="00390489">
            <w:pPr>
              <w:spacing w:before="0" w:after="0"/>
              <w:ind w:firstLineChars="100" w:firstLine="160"/>
              <w:jc w:val="left"/>
              <w:rPr>
                <w:noProof/>
                <w:color w:val="000000"/>
                <w:sz w:val="16"/>
                <w:szCs w:val="16"/>
              </w:rPr>
            </w:pPr>
            <w:r w:rsidRPr="00C34031">
              <w:rPr>
                <w:noProof/>
                <w:color w:val="000000"/>
                <w:sz w:val="16"/>
              </w:rPr>
              <w:t>Jiné rozpočtové položky (upřesněte)</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143A9836"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26EDFBE7"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12E58DCF"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0B7DFD38"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r>
      <w:tr w:rsidR="00FA5543" w:rsidRPr="00C34031" w14:paraId="3DF15B48" w14:textId="77777777" w:rsidTr="139DF8FE">
        <w:trPr>
          <w:trHeight w:val="300"/>
        </w:trPr>
        <w:tc>
          <w:tcPr>
            <w:tcW w:w="5000" w:type="pct"/>
            <w:gridSpan w:val="6"/>
            <w:tcBorders>
              <w:top w:val="single" w:sz="8" w:space="0" w:color="auto"/>
              <w:left w:val="single" w:sz="8" w:space="0" w:color="auto"/>
              <w:bottom w:val="single" w:sz="8" w:space="0" w:color="auto"/>
              <w:right w:val="single" w:sz="4" w:space="0" w:color="auto"/>
            </w:tcBorders>
            <w:shd w:val="clear" w:color="auto" w:fill="auto"/>
            <w:vAlign w:val="center"/>
            <w:hideMark/>
          </w:tcPr>
          <w:p w14:paraId="5E92B9DE" w14:textId="77777777" w:rsidR="00FA5543" w:rsidRPr="00C34031" w:rsidRDefault="00FA5543" w:rsidP="00390489">
            <w:pPr>
              <w:spacing w:before="0" w:after="0"/>
              <w:jc w:val="left"/>
              <w:rPr>
                <w:rFonts w:ascii="Wingdings" w:hAnsi="Wingdings" w:cs="Calibri"/>
                <w:b/>
                <w:bCs/>
                <w:noProof/>
                <w:color w:val="000000"/>
                <w:sz w:val="16"/>
                <w:szCs w:val="16"/>
              </w:rPr>
            </w:pPr>
            <w:r w:rsidRPr="00C34031">
              <w:rPr>
                <w:rFonts w:ascii="Calibri" w:hAnsi="Calibri"/>
                <w:b/>
                <w:noProof/>
                <w:color w:val="000000"/>
                <w:sz w:val="16"/>
              </w:rPr>
              <w:t>•</w:t>
            </w:r>
            <w:r w:rsidRPr="00C34031">
              <w:rPr>
                <w:b/>
                <w:noProof/>
                <w:color w:val="000000"/>
                <w:sz w:val="16"/>
              </w:rPr>
              <w:t xml:space="preserve"> Externí zaměstnanci (v přepočtu na plné pracovní úvazky)</w:t>
            </w:r>
          </w:p>
        </w:tc>
      </w:tr>
      <w:tr w:rsidR="00FA5543" w:rsidRPr="00C34031" w14:paraId="4BE51FB8" w14:textId="77777777" w:rsidTr="139DF8FE">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F47A6A1" w14:textId="77777777" w:rsidR="00FA5543" w:rsidRPr="00C34031" w:rsidRDefault="00FA5543" w:rsidP="00390489">
            <w:pPr>
              <w:spacing w:before="0" w:after="0"/>
              <w:ind w:firstLineChars="100" w:firstLine="160"/>
              <w:jc w:val="left"/>
              <w:rPr>
                <w:noProof/>
                <w:color w:val="000000"/>
                <w:sz w:val="16"/>
                <w:szCs w:val="16"/>
              </w:rPr>
            </w:pPr>
            <w:r w:rsidRPr="00C34031">
              <w:rPr>
                <w:noProof/>
                <w:color w:val="000000"/>
                <w:sz w:val="16"/>
              </w:rPr>
              <w:t>20 02 01</w:t>
            </w:r>
            <w:r w:rsidRPr="00C34031">
              <w:rPr>
                <w:rFonts w:ascii="Arial Narrow" w:hAnsi="Arial Narrow"/>
                <w:noProof/>
                <w:color w:val="000000"/>
                <w:sz w:val="20"/>
              </w:rPr>
              <w:t xml:space="preserve"> </w:t>
            </w:r>
            <w:r w:rsidRPr="00C34031">
              <w:rPr>
                <w:noProof/>
                <w:color w:val="000000"/>
                <w:sz w:val="16"/>
              </w:rPr>
              <w:t>(SZ, VNO z celkového rámce)</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2AD067A6" w14:textId="77777777" w:rsidR="00FA5543" w:rsidRPr="00C34031" w:rsidRDefault="388BABB3" w:rsidP="00390489">
            <w:pPr>
              <w:spacing w:before="0" w:after="0"/>
              <w:jc w:val="center"/>
              <w:rPr>
                <w:noProof/>
                <w:color w:val="000000"/>
                <w:sz w:val="16"/>
                <w:szCs w:val="16"/>
              </w:rPr>
            </w:pPr>
            <w:r w:rsidRPr="00C34031">
              <w:rPr>
                <w:noProof/>
                <w:color w:val="000000" w:themeColor="text1"/>
                <w:sz w:val="16"/>
              </w:rPr>
              <w:t>12</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18251A35" w14:textId="77777777" w:rsidR="00FA5543" w:rsidRPr="00C34031" w:rsidRDefault="388BABB3" w:rsidP="00390489">
            <w:pPr>
              <w:spacing w:before="0" w:after="0"/>
              <w:jc w:val="center"/>
              <w:rPr>
                <w:noProof/>
                <w:color w:val="000000"/>
                <w:sz w:val="16"/>
                <w:szCs w:val="16"/>
              </w:rPr>
            </w:pPr>
            <w:r w:rsidRPr="00C34031">
              <w:rPr>
                <w:noProof/>
                <w:color w:val="000000" w:themeColor="text1"/>
                <w:sz w:val="16"/>
              </w:rPr>
              <w:t>23</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626B20FE" w14:textId="77777777" w:rsidR="00FA5543" w:rsidRPr="00C34031" w:rsidRDefault="388BABB3" w:rsidP="00390489">
            <w:pPr>
              <w:spacing w:before="0" w:after="0"/>
              <w:jc w:val="center"/>
              <w:rPr>
                <w:noProof/>
                <w:color w:val="000000"/>
                <w:sz w:val="16"/>
                <w:szCs w:val="16"/>
              </w:rPr>
            </w:pPr>
            <w:r w:rsidRPr="00C34031">
              <w:rPr>
                <w:noProof/>
                <w:color w:val="000000" w:themeColor="text1"/>
                <w:sz w:val="16"/>
              </w:rPr>
              <w:t>40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42DDA3E3" w14:textId="77777777" w:rsidR="00FA5543" w:rsidRPr="00C34031" w:rsidRDefault="388BABB3" w:rsidP="00390489">
            <w:pPr>
              <w:spacing w:before="0" w:after="0"/>
              <w:jc w:val="center"/>
              <w:rPr>
                <w:noProof/>
                <w:color w:val="000000"/>
                <w:sz w:val="16"/>
                <w:szCs w:val="16"/>
              </w:rPr>
            </w:pPr>
            <w:r w:rsidRPr="00C34031">
              <w:rPr>
                <w:noProof/>
                <w:color w:val="000000" w:themeColor="text1"/>
                <w:sz w:val="16"/>
              </w:rPr>
              <w:t>60</w:t>
            </w:r>
          </w:p>
        </w:tc>
      </w:tr>
      <w:tr w:rsidR="00FA5543" w:rsidRPr="00C34031" w14:paraId="444BD268" w14:textId="77777777" w:rsidTr="139DF8FE">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2FFEB108" w14:textId="77777777" w:rsidR="00FA5543" w:rsidRPr="00C34031" w:rsidRDefault="00FA5543" w:rsidP="00390489">
            <w:pPr>
              <w:spacing w:before="0" w:after="0"/>
              <w:ind w:firstLineChars="100" w:firstLine="160"/>
              <w:jc w:val="left"/>
              <w:rPr>
                <w:noProof/>
                <w:color w:val="000000"/>
                <w:sz w:val="16"/>
                <w:szCs w:val="16"/>
              </w:rPr>
            </w:pPr>
            <w:r w:rsidRPr="00C34031">
              <w:rPr>
                <w:noProof/>
                <w:color w:val="000000"/>
                <w:sz w:val="16"/>
              </w:rPr>
              <w:t>20 02 03 (SZ, MZ, VNO a MOD při delegacích EU)</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58DA5BEB"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4C05224F"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7C0205AA"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74A04A35"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r>
      <w:tr w:rsidR="00FA5543" w:rsidRPr="00C34031" w14:paraId="23B5A654" w14:textId="77777777" w:rsidTr="139DF8FE">
        <w:trPr>
          <w:trHeight w:val="300"/>
        </w:trPr>
        <w:tc>
          <w:tcPr>
            <w:tcW w:w="815" w:type="pct"/>
            <w:vMerge w:val="restart"/>
            <w:tcBorders>
              <w:top w:val="nil"/>
              <w:left w:val="single" w:sz="8" w:space="0" w:color="auto"/>
              <w:bottom w:val="single" w:sz="8" w:space="0" w:color="auto"/>
              <w:right w:val="single" w:sz="8" w:space="0" w:color="auto"/>
            </w:tcBorders>
            <w:shd w:val="clear" w:color="auto" w:fill="auto"/>
            <w:vAlign w:val="center"/>
            <w:hideMark/>
          </w:tcPr>
          <w:p w14:paraId="2BD3C310" w14:textId="77777777" w:rsidR="00FA5543" w:rsidRPr="00C34031" w:rsidRDefault="00FA5543" w:rsidP="00390489">
            <w:pPr>
              <w:spacing w:before="0" w:after="0"/>
              <w:jc w:val="center"/>
              <w:rPr>
                <w:noProof/>
                <w:color w:val="000000"/>
                <w:sz w:val="16"/>
                <w:szCs w:val="16"/>
              </w:rPr>
            </w:pPr>
            <w:r w:rsidRPr="00C34031">
              <w:rPr>
                <w:noProof/>
                <w:color w:val="000000"/>
                <w:sz w:val="16"/>
              </w:rPr>
              <w:t>Položka administrativní podpory</w:t>
            </w:r>
            <w:r w:rsidRPr="00C34031">
              <w:rPr>
                <w:noProof/>
                <w:color w:val="000000"/>
                <w:sz w:val="16"/>
              </w:rPr>
              <w:br/>
              <w:t>[XX.01.YY.YY]</w:t>
            </w:r>
          </w:p>
        </w:tc>
        <w:tc>
          <w:tcPr>
            <w:tcW w:w="2098" w:type="pct"/>
            <w:tcBorders>
              <w:top w:val="nil"/>
              <w:left w:val="nil"/>
              <w:bottom w:val="single" w:sz="8" w:space="0" w:color="auto"/>
              <w:right w:val="single" w:sz="8" w:space="0" w:color="auto"/>
            </w:tcBorders>
            <w:shd w:val="clear" w:color="auto" w:fill="auto"/>
            <w:vAlign w:val="center"/>
            <w:hideMark/>
          </w:tcPr>
          <w:p w14:paraId="75EF0A23" w14:textId="77777777" w:rsidR="00FA5543" w:rsidRPr="00C34031" w:rsidRDefault="00FA5543" w:rsidP="00390489">
            <w:pPr>
              <w:spacing w:before="0" w:after="0"/>
              <w:ind w:firstLineChars="100" w:firstLine="160"/>
              <w:jc w:val="left"/>
              <w:rPr>
                <w:noProof/>
                <w:color w:val="000000"/>
                <w:sz w:val="16"/>
                <w:szCs w:val="16"/>
              </w:rPr>
            </w:pPr>
            <w:r w:rsidRPr="00C34031">
              <w:rPr>
                <w:noProof/>
                <w:color w:val="000000"/>
                <w:sz w:val="16"/>
              </w:rPr>
              <w:t>– v ústředí</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6E64CBEF"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2BF08D55"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466AB2F2"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065FC92E"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r>
      <w:tr w:rsidR="00FA5543" w:rsidRPr="00C34031" w14:paraId="60D04AF6" w14:textId="77777777" w:rsidTr="139DF8FE">
        <w:trPr>
          <w:trHeight w:val="300"/>
        </w:trPr>
        <w:tc>
          <w:tcPr>
            <w:tcW w:w="815" w:type="pct"/>
            <w:vMerge/>
            <w:vAlign w:val="center"/>
            <w:hideMark/>
          </w:tcPr>
          <w:p w14:paraId="0ABABC56" w14:textId="77777777" w:rsidR="00FA5543" w:rsidRPr="00C34031" w:rsidRDefault="00FA5543" w:rsidP="00390489">
            <w:pPr>
              <w:spacing w:before="0" w:after="0"/>
              <w:jc w:val="left"/>
              <w:rPr>
                <w:noProof/>
                <w:color w:val="000000"/>
                <w:sz w:val="16"/>
                <w:szCs w:val="16"/>
                <w:lang w:eastAsia="en-IE"/>
              </w:rPr>
            </w:pPr>
          </w:p>
        </w:tc>
        <w:tc>
          <w:tcPr>
            <w:tcW w:w="2098" w:type="pct"/>
            <w:tcBorders>
              <w:top w:val="nil"/>
              <w:left w:val="nil"/>
              <w:bottom w:val="single" w:sz="8" w:space="0" w:color="auto"/>
              <w:right w:val="single" w:sz="8" w:space="0" w:color="auto"/>
            </w:tcBorders>
            <w:shd w:val="clear" w:color="auto" w:fill="auto"/>
            <w:vAlign w:val="center"/>
            <w:hideMark/>
          </w:tcPr>
          <w:p w14:paraId="38D7DE39" w14:textId="77777777" w:rsidR="00FA5543" w:rsidRPr="00C34031" w:rsidRDefault="00FA5543" w:rsidP="00390489">
            <w:pPr>
              <w:spacing w:before="0" w:after="0"/>
              <w:ind w:firstLineChars="100" w:firstLine="160"/>
              <w:jc w:val="left"/>
              <w:rPr>
                <w:noProof/>
                <w:color w:val="000000"/>
                <w:sz w:val="16"/>
                <w:szCs w:val="16"/>
              </w:rPr>
            </w:pPr>
            <w:r w:rsidRPr="00C34031">
              <w:rPr>
                <w:noProof/>
                <w:color w:val="000000"/>
                <w:sz w:val="16"/>
              </w:rPr>
              <w:t xml:space="preserve">– při delegacích EU </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4C750646"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407E95E7"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53499D07"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4A19F4C7"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r>
      <w:tr w:rsidR="00FA5543" w:rsidRPr="00C34031" w14:paraId="6E58B0FB" w14:textId="77777777" w:rsidTr="139DF8FE">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31D8A2F3" w14:textId="77777777" w:rsidR="00FA5543" w:rsidRPr="00C34031" w:rsidRDefault="00FA5543" w:rsidP="00390489">
            <w:pPr>
              <w:spacing w:before="0" w:after="0"/>
              <w:ind w:firstLineChars="100" w:firstLine="160"/>
              <w:jc w:val="left"/>
              <w:rPr>
                <w:noProof/>
                <w:color w:val="000000"/>
                <w:sz w:val="16"/>
                <w:szCs w:val="16"/>
              </w:rPr>
            </w:pPr>
            <w:r w:rsidRPr="00C34031">
              <w:rPr>
                <w:noProof/>
                <w:color w:val="000000"/>
                <w:sz w:val="16"/>
              </w:rPr>
              <w:t>01 01 01 02</w:t>
            </w:r>
            <w:r w:rsidRPr="00C34031">
              <w:rPr>
                <w:rFonts w:ascii="Arial Narrow" w:hAnsi="Arial Narrow"/>
                <w:noProof/>
                <w:color w:val="000000"/>
                <w:sz w:val="20"/>
              </w:rPr>
              <w:t xml:space="preserve"> </w:t>
            </w:r>
            <w:r w:rsidRPr="00C34031">
              <w:rPr>
                <w:noProof/>
                <w:color w:val="000000"/>
                <w:sz w:val="16"/>
              </w:rPr>
              <w:t>(SZ, VNO v nepřímém výzkumu)</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5EF0071D"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394DBE46"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76895BFE"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0E9B13F1"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r>
      <w:tr w:rsidR="00FA5543" w:rsidRPr="00C34031" w14:paraId="6293F631" w14:textId="77777777" w:rsidTr="139DF8FE">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5B8A825F" w14:textId="77777777" w:rsidR="00FA5543" w:rsidRPr="00C34031" w:rsidRDefault="00FA5543" w:rsidP="00390489">
            <w:pPr>
              <w:spacing w:before="0" w:after="0"/>
              <w:ind w:firstLineChars="100" w:firstLine="160"/>
              <w:jc w:val="left"/>
              <w:rPr>
                <w:noProof/>
                <w:color w:val="000000"/>
                <w:sz w:val="16"/>
                <w:szCs w:val="16"/>
              </w:rPr>
            </w:pPr>
            <w:r w:rsidRPr="00C34031">
              <w:rPr>
                <w:noProof/>
                <w:color w:val="000000"/>
                <w:sz w:val="16"/>
              </w:rPr>
              <w:t xml:space="preserve"> 01 01 01 12 (SZ, VNO v přímém výzkumu)</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6BB853A5"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196DD8AE"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261E48E1"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72DEA605"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r>
      <w:tr w:rsidR="00FA5543" w:rsidRPr="00C34031" w14:paraId="40E50886" w14:textId="77777777" w:rsidTr="139DF8FE">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615890B0" w14:textId="77777777" w:rsidR="00FA5543" w:rsidRPr="00C34031" w:rsidRDefault="00FA5543" w:rsidP="00390489">
            <w:pPr>
              <w:spacing w:before="0" w:after="0"/>
              <w:ind w:firstLineChars="100" w:firstLine="160"/>
              <w:jc w:val="left"/>
              <w:rPr>
                <w:noProof/>
                <w:color w:val="000000"/>
                <w:sz w:val="16"/>
                <w:szCs w:val="16"/>
              </w:rPr>
            </w:pPr>
            <w:r w:rsidRPr="00C34031">
              <w:rPr>
                <w:noProof/>
                <w:color w:val="000000"/>
                <w:sz w:val="16"/>
              </w:rPr>
              <w:t>Jiné rozpočtové položky (upřesněte) – okruh 7</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1DB39671"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0D9F331D"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2F788CA5"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3EB856C1"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r>
      <w:tr w:rsidR="00FA5543" w:rsidRPr="00C34031" w14:paraId="671C7FFF" w14:textId="77777777" w:rsidTr="139DF8FE">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2D84D16D" w14:textId="77777777" w:rsidR="00FA5543" w:rsidRPr="00C34031" w:rsidRDefault="00FA5543" w:rsidP="00390489">
            <w:pPr>
              <w:spacing w:before="0" w:after="0"/>
              <w:ind w:firstLineChars="100" w:firstLine="160"/>
              <w:jc w:val="left"/>
              <w:rPr>
                <w:noProof/>
                <w:color w:val="000000"/>
                <w:sz w:val="16"/>
                <w:szCs w:val="16"/>
              </w:rPr>
            </w:pPr>
            <w:r w:rsidRPr="00C34031">
              <w:rPr>
                <w:noProof/>
                <w:color w:val="000000"/>
                <w:sz w:val="16"/>
              </w:rPr>
              <w:t>Jiné rozpočtové položky (upřesněte) – mimo okruh 7</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5B6306C8"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01080BBD"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2CB70669"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047DBF31" w14:textId="77777777" w:rsidR="00FA5543" w:rsidRPr="00C34031" w:rsidRDefault="00FA5543" w:rsidP="00390489">
            <w:pPr>
              <w:spacing w:before="0" w:after="0"/>
              <w:jc w:val="center"/>
              <w:rPr>
                <w:noProof/>
                <w:color w:val="000000"/>
                <w:sz w:val="16"/>
                <w:szCs w:val="16"/>
              </w:rPr>
            </w:pPr>
            <w:r w:rsidRPr="00C34031">
              <w:rPr>
                <w:noProof/>
                <w:color w:val="000000"/>
                <w:sz w:val="16"/>
              </w:rPr>
              <w:t>0</w:t>
            </w:r>
          </w:p>
        </w:tc>
      </w:tr>
      <w:tr w:rsidR="00FA5543" w:rsidRPr="00C34031" w14:paraId="6E126D64" w14:textId="77777777" w:rsidTr="139DF8FE">
        <w:trPr>
          <w:trHeight w:val="300"/>
        </w:trPr>
        <w:tc>
          <w:tcPr>
            <w:tcW w:w="2913"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14:paraId="4B673CE1" w14:textId="77777777" w:rsidR="00FA5543" w:rsidRPr="00C34031" w:rsidRDefault="00FA5543" w:rsidP="00390489">
            <w:pPr>
              <w:spacing w:before="0" w:after="0"/>
              <w:ind w:firstLineChars="100" w:firstLine="160"/>
              <w:jc w:val="left"/>
              <w:rPr>
                <w:b/>
                <w:bCs/>
                <w:noProof/>
                <w:color w:val="000000"/>
                <w:sz w:val="16"/>
                <w:szCs w:val="16"/>
              </w:rPr>
            </w:pPr>
            <w:r w:rsidRPr="00C34031">
              <w:rPr>
                <w:b/>
                <w:noProof/>
                <w:color w:val="000000"/>
                <w:sz w:val="16"/>
              </w:rPr>
              <w:t>CELKEM</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529760CC" w14:textId="77777777" w:rsidR="00FA5543" w:rsidRPr="00C34031" w:rsidRDefault="14FE9AA5" w:rsidP="00390489">
            <w:pPr>
              <w:spacing w:before="0" w:after="0"/>
              <w:jc w:val="center"/>
              <w:rPr>
                <w:b/>
                <w:bCs/>
                <w:noProof/>
                <w:color w:val="000000"/>
                <w:sz w:val="16"/>
                <w:szCs w:val="16"/>
              </w:rPr>
            </w:pPr>
            <w:r w:rsidRPr="00C34031">
              <w:rPr>
                <w:b/>
                <w:noProof/>
                <w:color w:val="000000" w:themeColor="text1"/>
                <w:sz w:val="16"/>
              </w:rPr>
              <w:t>33</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146962E1" w14:textId="77777777" w:rsidR="00FA5543" w:rsidRPr="00C34031" w:rsidRDefault="14FE9AA5" w:rsidP="00390489">
            <w:pPr>
              <w:spacing w:before="0" w:after="0"/>
              <w:jc w:val="center"/>
              <w:rPr>
                <w:b/>
                <w:bCs/>
                <w:noProof/>
                <w:color w:val="000000"/>
                <w:sz w:val="16"/>
                <w:szCs w:val="16"/>
              </w:rPr>
            </w:pPr>
            <w:r w:rsidRPr="00C34031">
              <w:rPr>
                <w:b/>
                <w:noProof/>
                <w:color w:val="000000" w:themeColor="text1"/>
                <w:sz w:val="16"/>
              </w:rPr>
              <w:t>44</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2A031361" w14:textId="77777777" w:rsidR="00FA5543" w:rsidRPr="00C34031" w:rsidRDefault="14FE9AA5" w:rsidP="00390489">
            <w:pPr>
              <w:spacing w:before="0" w:after="0"/>
              <w:jc w:val="center"/>
              <w:rPr>
                <w:b/>
                <w:bCs/>
                <w:noProof/>
                <w:color w:val="000000"/>
                <w:sz w:val="16"/>
                <w:szCs w:val="16"/>
              </w:rPr>
            </w:pPr>
            <w:r w:rsidRPr="00C34031">
              <w:rPr>
                <w:b/>
                <w:noProof/>
                <w:color w:val="000000" w:themeColor="text1"/>
                <w:sz w:val="16"/>
              </w:rPr>
              <w:t>65</w:t>
            </w:r>
          </w:p>
        </w:tc>
        <w:tc>
          <w:tcPr>
            <w:tcW w:w="522" w:type="pct"/>
            <w:tcBorders>
              <w:top w:val="nil"/>
              <w:left w:val="nil"/>
              <w:bottom w:val="single" w:sz="8" w:space="0" w:color="auto"/>
              <w:right w:val="single" w:sz="8" w:space="0" w:color="auto"/>
            </w:tcBorders>
            <w:shd w:val="clear" w:color="auto" w:fill="D9D9D9" w:themeFill="background1" w:themeFillShade="D9"/>
            <w:vAlign w:val="center"/>
            <w:hideMark/>
          </w:tcPr>
          <w:p w14:paraId="530B2835" w14:textId="77777777" w:rsidR="00FA5543" w:rsidRPr="00C34031" w:rsidRDefault="14FE9AA5" w:rsidP="00390489">
            <w:pPr>
              <w:spacing w:before="0" w:after="0"/>
              <w:jc w:val="center"/>
              <w:rPr>
                <w:b/>
                <w:bCs/>
                <w:noProof/>
                <w:color w:val="000000"/>
                <w:sz w:val="16"/>
                <w:szCs w:val="16"/>
              </w:rPr>
            </w:pPr>
            <w:r w:rsidRPr="00C34031">
              <w:rPr>
                <w:b/>
                <w:noProof/>
                <w:color w:val="000000" w:themeColor="text1"/>
                <w:sz w:val="16"/>
              </w:rPr>
              <w:t>90</w:t>
            </w:r>
          </w:p>
        </w:tc>
      </w:tr>
    </w:tbl>
    <w:p w14:paraId="53FB83FF" w14:textId="77777777" w:rsidR="540B61AC" w:rsidRPr="00C34031" w:rsidRDefault="540B61AC" w:rsidP="139DF8FE">
      <w:pPr>
        <w:ind w:left="-426" w:right="-427"/>
        <w:rPr>
          <w:rFonts w:eastAsia="Times New Roman"/>
          <w:noProof/>
          <w:szCs w:val="24"/>
        </w:rPr>
      </w:pPr>
      <w:r w:rsidRPr="00C34031">
        <w:rPr>
          <w:noProof/>
        </w:rPr>
        <w:t>Výše uvedené dodatečné zdroje byly přiděleny již při přijímání původního nařízení o CBAM. V pracovních místech podle plánu pracovních míst a externích zaměstnanců v oblasti lidských zdrojů nedošlo k žádným změnám, s výjimkou opravy počtu pracovních míst v plánu pracovních míst na rok 2026 (upraveno z 15 na 25 – administrativní chyba v předchozím legislativním finančním výkazu).</w:t>
      </w:r>
    </w:p>
    <w:p w14:paraId="7303B26A" w14:textId="77777777" w:rsidR="00FA5543" w:rsidRPr="00C34031" w:rsidRDefault="6C3AF1E0" w:rsidP="00390489">
      <w:pPr>
        <w:pStyle w:val="Text1"/>
        <w:ind w:left="-426"/>
        <w:rPr>
          <w:noProof/>
          <w:color w:val="000000" w:themeColor="text1"/>
        </w:rPr>
      </w:pPr>
      <w:bookmarkStart w:id="2" w:name="_Hlk167692843"/>
      <w:r w:rsidRPr="00C34031">
        <w:rPr>
          <w:noProof/>
          <w:color w:val="000000" w:themeColor="text1"/>
        </w:rPr>
        <w:t xml:space="preserve">Zaměstnanci potřební k provedení návrhu (v ekvivalentech plného pracovního úvazku): </w:t>
      </w:r>
    </w:p>
    <w:tbl>
      <w:tblPr>
        <w:tblStyle w:val="TableGrid"/>
        <w:tblW w:w="9487" w:type="dxa"/>
        <w:tblInd w:w="-426" w:type="dxa"/>
        <w:tblLook w:val="04A0" w:firstRow="1" w:lastRow="0" w:firstColumn="1" w:lastColumn="0" w:noHBand="0" w:noVBand="1"/>
      </w:tblPr>
      <w:tblGrid>
        <w:gridCol w:w="1845"/>
        <w:gridCol w:w="2031"/>
        <w:gridCol w:w="1925"/>
        <w:gridCol w:w="1938"/>
        <w:gridCol w:w="1748"/>
      </w:tblGrid>
      <w:tr w:rsidR="00FA5543" w:rsidRPr="00C34031" w14:paraId="62AFD30B" w14:textId="77777777" w:rsidTr="139DF8FE">
        <w:trPr>
          <w:trHeight w:val="300"/>
        </w:trPr>
        <w:tc>
          <w:tcPr>
            <w:tcW w:w="1845" w:type="dxa"/>
          </w:tcPr>
          <w:p w14:paraId="6FE0721C" w14:textId="77777777" w:rsidR="00FA5543" w:rsidRPr="00C34031" w:rsidRDefault="00FA5543" w:rsidP="00390489">
            <w:pPr>
              <w:pStyle w:val="Text1"/>
              <w:ind w:left="0"/>
              <w:jc w:val="center"/>
              <w:rPr>
                <w:b/>
                <w:bCs/>
                <w:noProof/>
                <w:sz w:val="22"/>
                <w:szCs w:val="28"/>
              </w:rPr>
            </w:pPr>
          </w:p>
        </w:tc>
        <w:tc>
          <w:tcPr>
            <w:tcW w:w="2031" w:type="dxa"/>
          </w:tcPr>
          <w:p w14:paraId="108681B4" w14:textId="77777777" w:rsidR="00FA5543" w:rsidRPr="00C34031" w:rsidRDefault="00FA5543" w:rsidP="00390489">
            <w:pPr>
              <w:pStyle w:val="Text1"/>
              <w:ind w:left="0"/>
              <w:jc w:val="center"/>
              <w:rPr>
                <w:b/>
                <w:bCs/>
                <w:noProof/>
                <w:sz w:val="22"/>
              </w:rPr>
            </w:pPr>
            <w:r w:rsidRPr="00C34031">
              <w:rPr>
                <w:b/>
                <w:noProof/>
                <w:sz w:val="22"/>
              </w:rPr>
              <w:t xml:space="preserve">Současní zaměstnanci, kteří jsou k dispozici v útvarech Komise </w:t>
            </w:r>
          </w:p>
        </w:tc>
        <w:tc>
          <w:tcPr>
            <w:tcW w:w="5611" w:type="dxa"/>
            <w:gridSpan w:val="3"/>
          </w:tcPr>
          <w:p w14:paraId="132A8EAA" w14:textId="77777777" w:rsidR="00FA5543" w:rsidRPr="00C34031" w:rsidRDefault="00FA5543" w:rsidP="00390489">
            <w:pPr>
              <w:pStyle w:val="Text1"/>
              <w:ind w:left="0"/>
              <w:jc w:val="center"/>
              <w:rPr>
                <w:b/>
                <w:bCs/>
                <w:noProof/>
                <w:sz w:val="22"/>
              </w:rPr>
            </w:pPr>
            <w:r w:rsidRPr="00C34031">
              <w:rPr>
                <w:b/>
                <w:noProof/>
                <w:sz w:val="22"/>
              </w:rPr>
              <w:t>Výjimečně požadovaní dodateční zaměstnanci*</w:t>
            </w:r>
          </w:p>
        </w:tc>
      </w:tr>
      <w:tr w:rsidR="00FA5543" w:rsidRPr="00C34031" w14:paraId="4DE439B2" w14:textId="77777777" w:rsidTr="139DF8FE">
        <w:trPr>
          <w:trHeight w:val="300"/>
        </w:trPr>
        <w:tc>
          <w:tcPr>
            <w:tcW w:w="1845" w:type="dxa"/>
          </w:tcPr>
          <w:p w14:paraId="0E402B2F" w14:textId="77777777" w:rsidR="00FA5543" w:rsidRPr="00C34031" w:rsidRDefault="00FA5543" w:rsidP="00390489">
            <w:pPr>
              <w:pStyle w:val="Text1"/>
              <w:ind w:left="0"/>
              <w:jc w:val="center"/>
              <w:rPr>
                <w:b/>
                <w:bCs/>
                <w:noProof/>
                <w:sz w:val="22"/>
                <w:szCs w:val="28"/>
              </w:rPr>
            </w:pPr>
          </w:p>
        </w:tc>
        <w:tc>
          <w:tcPr>
            <w:tcW w:w="2031" w:type="dxa"/>
          </w:tcPr>
          <w:p w14:paraId="4EC569EA" w14:textId="77777777" w:rsidR="00FA5543" w:rsidRPr="00C34031" w:rsidRDefault="00FA5543" w:rsidP="00390489">
            <w:pPr>
              <w:pStyle w:val="Text1"/>
              <w:ind w:left="0"/>
              <w:jc w:val="center"/>
              <w:rPr>
                <w:b/>
                <w:bCs/>
                <w:noProof/>
                <w:sz w:val="22"/>
                <w:szCs w:val="28"/>
              </w:rPr>
            </w:pPr>
          </w:p>
        </w:tc>
        <w:tc>
          <w:tcPr>
            <w:tcW w:w="1925" w:type="dxa"/>
          </w:tcPr>
          <w:p w14:paraId="067D068F" w14:textId="77777777" w:rsidR="00FA5543" w:rsidRPr="00C34031" w:rsidRDefault="6C3AF1E0" w:rsidP="139DF8FE">
            <w:pPr>
              <w:pStyle w:val="Text1"/>
              <w:ind w:left="0"/>
              <w:jc w:val="center"/>
              <w:rPr>
                <w:b/>
                <w:bCs/>
                <w:noProof/>
                <w:sz w:val="22"/>
                <w:szCs w:val="22"/>
              </w:rPr>
            </w:pPr>
            <w:r w:rsidRPr="00C34031">
              <w:rPr>
                <w:b/>
                <w:noProof/>
                <w:sz w:val="22"/>
              </w:rPr>
              <w:t>Má být financováno z okruhu 7 nebo v rámci výzkumu</w:t>
            </w:r>
          </w:p>
        </w:tc>
        <w:tc>
          <w:tcPr>
            <w:tcW w:w="1938" w:type="dxa"/>
          </w:tcPr>
          <w:p w14:paraId="0571598B" w14:textId="77777777" w:rsidR="00FA5543" w:rsidRPr="00C34031" w:rsidRDefault="00FA5543" w:rsidP="00390489">
            <w:pPr>
              <w:pStyle w:val="Text1"/>
              <w:ind w:left="0"/>
              <w:jc w:val="center"/>
              <w:rPr>
                <w:b/>
                <w:bCs/>
                <w:noProof/>
                <w:sz w:val="22"/>
                <w:szCs w:val="28"/>
              </w:rPr>
            </w:pPr>
            <w:r w:rsidRPr="00C34031">
              <w:rPr>
                <w:b/>
                <w:noProof/>
                <w:sz w:val="22"/>
              </w:rPr>
              <w:t>Má být financováno z položky BA</w:t>
            </w:r>
          </w:p>
        </w:tc>
        <w:tc>
          <w:tcPr>
            <w:tcW w:w="1748" w:type="dxa"/>
          </w:tcPr>
          <w:p w14:paraId="6884E8CF" w14:textId="77777777" w:rsidR="00FA5543" w:rsidRPr="00C34031" w:rsidRDefault="00FA5543" w:rsidP="00390489">
            <w:pPr>
              <w:pStyle w:val="Text1"/>
              <w:ind w:left="0"/>
              <w:jc w:val="center"/>
              <w:rPr>
                <w:b/>
                <w:bCs/>
                <w:noProof/>
                <w:sz w:val="22"/>
                <w:szCs w:val="28"/>
              </w:rPr>
            </w:pPr>
            <w:r w:rsidRPr="00C34031">
              <w:rPr>
                <w:b/>
                <w:noProof/>
                <w:sz w:val="22"/>
              </w:rPr>
              <w:t>Má být financováno z poplatků</w:t>
            </w:r>
          </w:p>
        </w:tc>
      </w:tr>
      <w:tr w:rsidR="00FA5543" w:rsidRPr="00C34031" w14:paraId="1E33DEAF" w14:textId="77777777" w:rsidTr="139DF8FE">
        <w:trPr>
          <w:trHeight w:val="300"/>
        </w:trPr>
        <w:tc>
          <w:tcPr>
            <w:tcW w:w="1845" w:type="dxa"/>
          </w:tcPr>
          <w:p w14:paraId="47863C1A" w14:textId="77777777" w:rsidR="00FA5543" w:rsidRPr="00C34031" w:rsidRDefault="00FA5543" w:rsidP="00390489">
            <w:pPr>
              <w:pStyle w:val="Text1"/>
              <w:ind w:left="0"/>
              <w:rPr>
                <w:noProof/>
                <w:sz w:val="22"/>
                <w:szCs w:val="28"/>
              </w:rPr>
            </w:pPr>
            <w:r w:rsidRPr="00C34031">
              <w:rPr>
                <w:noProof/>
                <w:sz w:val="22"/>
              </w:rPr>
              <w:t>Pracovní místa podle plánu pracovních míst</w:t>
            </w:r>
          </w:p>
        </w:tc>
        <w:tc>
          <w:tcPr>
            <w:tcW w:w="2031" w:type="dxa"/>
          </w:tcPr>
          <w:p w14:paraId="03BC9481" w14:textId="77777777" w:rsidR="00FA5543" w:rsidRPr="00C34031" w:rsidRDefault="0F82BEA5" w:rsidP="139DF8FE">
            <w:pPr>
              <w:rPr>
                <w:noProof/>
              </w:rPr>
            </w:pPr>
            <w:r w:rsidRPr="00C34031">
              <w:rPr>
                <w:noProof/>
                <w:sz w:val="22"/>
              </w:rPr>
              <w:t>Nepoužije se.</w:t>
            </w:r>
          </w:p>
        </w:tc>
        <w:tc>
          <w:tcPr>
            <w:tcW w:w="1925" w:type="dxa"/>
          </w:tcPr>
          <w:p w14:paraId="7499D148" w14:textId="77777777" w:rsidR="00FA5543" w:rsidRPr="00C34031" w:rsidRDefault="47B95AAA" w:rsidP="139DF8FE">
            <w:pPr>
              <w:rPr>
                <w:noProof/>
              </w:rPr>
            </w:pPr>
            <w:r w:rsidRPr="00C34031">
              <w:rPr>
                <w:noProof/>
                <w:sz w:val="22"/>
              </w:rPr>
              <w:t>Nepoužije se.</w:t>
            </w:r>
          </w:p>
        </w:tc>
        <w:tc>
          <w:tcPr>
            <w:tcW w:w="1938" w:type="dxa"/>
          </w:tcPr>
          <w:p w14:paraId="4BFEAEBE" w14:textId="77777777" w:rsidR="00FA5543" w:rsidRPr="00C34031" w:rsidRDefault="00FA5543" w:rsidP="00390489">
            <w:pPr>
              <w:pStyle w:val="Text1"/>
              <w:ind w:left="0"/>
              <w:rPr>
                <w:noProof/>
                <w:sz w:val="22"/>
                <w:szCs w:val="28"/>
              </w:rPr>
            </w:pPr>
            <w:r w:rsidRPr="00C34031">
              <w:rPr>
                <w:noProof/>
                <w:sz w:val="22"/>
              </w:rPr>
              <w:t>Nepoužije se.</w:t>
            </w:r>
          </w:p>
        </w:tc>
        <w:tc>
          <w:tcPr>
            <w:tcW w:w="1748" w:type="dxa"/>
          </w:tcPr>
          <w:p w14:paraId="048284F8" w14:textId="77777777" w:rsidR="00FA5543" w:rsidRPr="00C34031" w:rsidRDefault="4468F384" w:rsidP="139DF8FE">
            <w:pPr>
              <w:rPr>
                <w:noProof/>
              </w:rPr>
            </w:pPr>
            <w:r w:rsidRPr="00C34031">
              <w:rPr>
                <w:noProof/>
                <w:sz w:val="22"/>
              </w:rPr>
              <w:t>Nepoužije se.</w:t>
            </w:r>
          </w:p>
        </w:tc>
      </w:tr>
      <w:tr w:rsidR="00FA5543" w:rsidRPr="00C34031" w14:paraId="15327A89" w14:textId="77777777" w:rsidTr="139DF8FE">
        <w:trPr>
          <w:trHeight w:val="300"/>
        </w:trPr>
        <w:tc>
          <w:tcPr>
            <w:tcW w:w="1845" w:type="dxa"/>
          </w:tcPr>
          <w:p w14:paraId="46F2A914" w14:textId="77777777" w:rsidR="00FA5543" w:rsidRPr="00C34031" w:rsidRDefault="00FA5543" w:rsidP="00390489">
            <w:pPr>
              <w:pStyle w:val="Text1"/>
              <w:ind w:left="0"/>
              <w:rPr>
                <w:noProof/>
                <w:sz w:val="22"/>
                <w:szCs w:val="28"/>
              </w:rPr>
            </w:pPr>
            <w:r w:rsidRPr="00C34031">
              <w:rPr>
                <w:noProof/>
                <w:sz w:val="22"/>
              </w:rPr>
              <w:t>Externí zaměstnanci (SZ, VNO, ZAP)</w:t>
            </w:r>
          </w:p>
        </w:tc>
        <w:tc>
          <w:tcPr>
            <w:tcW w:w="2031" w:type="dxa"/>
          </w:tcPr>
          <w:p w14:paraId="664D455F" w14:textId="77777777" w:rsidR="00FA5543" w:rsidRPr="00C34031" w:rsidRDefault="4D1C0C45" w:rsidP="139DF8FE">
            <w:pPr>
              <w:rPr>
                <w:noProof/>
              </w:rPr>
            </w:pPr>
            <w:r w:rsidRPr="00C34031">
              <w:rPr>
                <w:noProof/>
                <w:sz w:val="22"/>
              </w:rPr>
              <w:t>Nepoužije se.</w:t>
            </w:r>
          </w:p>
        </w:tc>
        <w:tc>
          <w:tcPr>
            <w:tcW w:w="1925" w:type="dxa"/>
          </w:tcPr>
          <w:p w14:paraId="3D6B36F0" w14:textId="77777777" w:rsidR="00FA5543" w:rsidRPr="00C34031" w:rsidRDefault="4D1C0C45" w:rsidP="139DF8FE">
            <w:pPr>
              <w:rPr>
                <w:noProof/>
              </w:rPr>
            </w:pPr>
            <w:r w:rsidRPr="00C34031">
              <w:rPr>
                <w:noProof/>
                <w:sz w:val="22"/>
              </w:rPr>
              <w:t>Nepoužije se.</w:t>
            </w:r>
          </w:p>
        </w:tc>
        <w:tc>
          <w:tcPr>
            <w:tcW w:w="1938" w:type="dxa"/>
          </w:tcPr>
          <w:p w14:paraId="55275E77" w14:textId="77777777" w:rsidR="00FA5543" w:rsidRPr="00C34031" w:rsidRDefault="4D1C0C45" w:rsidP="139DF8FE">
            <w:pPr>
              <w:rPr>
                <w:noProof/>
              </w:rPr>
            </w:pPr>
            <w:r w:rsidRPr="00C34031">
              <w:rPr>
                <w:noProof/>
                <w:sz w:val="22"/>
              </w:rPr>
              <w:t>Nepoužije se.</w:t>
            </w:r>
          </w:p>
        </w:tc>
        <w:tc>
          <w:tcPr>
            <w:tcW w:w="1748" w:type="dxa"/>
          </w:tcPr>
          <w:p w14:paraId="625FEDCB" w14:textId="77777777" w:rsidR="00FA5543" w:rsidRPr="00C34031" w:rsidRDefault="4D1C0C45" w:rsidP="139DF8FE">
            <w:pPr>
              <w:rPr>
                <w:noProof/>
              </w:rPr>
            </w:pPr>
            <w:r w:rsidRPr="00C34031">
              <w:rPr>
                <w:noProof/>
                <w:sz w:val="22"/>
              </w:rPr>
              <w:t>Nepoužije se.</w:t>
            </w:r>
          </w:p>
        </w:tc>
      </w:tr>
    </w:tbl>
    <w:p w14:paraId="4C93A1ED" w14:textId="77777777" w:rsidR="139DF8FE" w:rsidRPr="00C34031" w:rsidRDefault="139DF8FE" w:rsidP="139DF8FE">
      <w:pPr>
        <w:pStyle w:val="Text1"/>
        <w:ind w:left="-426" w:right="-427"/>
        <w:rPr>
          <w:noProof/>
        </w:rPr>
      </w:pPr>
    </w:p>
    <w:p w14:paraId="56B7D7DD" w14:textId="77777777" w:rsidR="00FA5543" w:rsidRPr="00C34031" w:rsidRDefault="00FA5543" w:rsidP="00390489">
      <w:pPr>
        <w:pStyle w:val="Text1"/>
        <w:ind w:left="-426" w:right="-427"/>
        <w:rPr>
          <w:noProof/>
        </w:rPr>
      </w:pPr>
      <w:r w:rsidRPr="00C34031">
        <w:rPr>
          <w:noProof/>
        </w:rPr>
        <w:t>Popis úkolů:</w:t>
      </w:r>
    </w:p>
    <w:tbl>
      <w:tblPr>
        <w:tblW w:w="10440" w:type="dxa"/>
        <w:tblInd w:w="-4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200"/>
      </w:tblGrid>
      <w:tr w:rsidR="003E3DBC" w:rsidRPr="00C34031" w14:paraId="576729F9" w14:textId="77777777" w:rsidTr="139DF8FE">
        <w:tc>
          <w:tcPr>
            <w:tcW w:w="3240" w:type="dxa"/>
          </w:tcPr>
          <w:p w14:paraId="65E12029" w14:textId="77777777" w:rsidR="00FA5543" w:rsidRPr="00C34031" w:rsidRDefault="00FA5543" w:rsidP="00390489">
            <w:pPr>
              <w:rPr>
                <w:noProof/>
                <w:sz w:val="20"/>
              </w:rPr>
            </w:pPr>
            <w:r w:rsidRPr="00C34031">
              <w:rPr>
                <w:noProof/>
                <w:sz w:val="20"/>
              </w:rPr>
              <w:t>Úředníci a dočasní zaměstnanci</w:t>
            </w:r>
          </w:p>
        </w:tc>
        <w:tc>
          <w:tcPr>
            <w:tcW w:w="7200" w:type="dxa"/>
          </w:tcPr>
          <w:p w14:paraId="089BADCC" w14:textId="77777777" w:rsidR="00FA5543" w:rsidRPr="00C34031" w:rsidRDefault="37F9FA91" w:rsidP="00390489">
            <w:pPr>
              <w:rPr>
                <w:noProof/>
              </w:rPr>
            </w:pPr>
            <w:r w:rsidRPr="00C34031">
              <w:rPr>
                <w:noProof/>
                <w:sz w:val="20"/>
              </w:rPr>
              <w:t>Nařízení o CBAM vyžaduje, aby Komise po jeho přijetí přijala několik aktů v přenesené pravomoci a prováděcích aktů. Zaměstnanci Komise budou rovněž zapotřebí k přezkumu a vyhodnocení fungování systému CBAM a k zavedení informačního systému.</w:t>
            </w:r>
          </w:p>
        </w:tc>
      </w:tr>
      <w:tr w:rsidR="003E3DBC" w:rsidRPr="00C34031" w14:paraId="4E07A35A" w14:textId="77777777" w:rsidTr="139DF8FE">
        <w:tc>
          <w:tcPr>
            <w:tcW w:w="3240" w:type="dxa"/>
          </w:tcPr>
          <w:p w14:paraId="2BC21E82" w14:textId="77777777" w:rsidR="00FA5543" w:rsidRPr="00C34031" w:rsidRDefault="00FA5543" w:rsidP="00390489">
            <w:pPr>
              <w:spacing w:before="60" w:after="60"/>
              <w:rPr>
                <w:noProof/>
                <w:sz w:val="20"/>
              </w:rPr>
            </w:pPr>
            <w:r w:rsidRPr="00C34031">
              <w:rPr>
                <w:noProof/>
                <w:sz w:val="20"/>
              </w:rPr>
              <w:t>Externí zaměstnanci</w:t>
            </w:r>
          </w:p>
        </w:tc>
        <w:tc>
          <w:tcPr>
            <w:tcW w:w="7200" w:type="dxa"/>
          </w:tcPr>
          <w:p w14:paraId="51192E07" w14:textId="77777777" w:rsidR="00FA5543" w:rsidRPr="00C34031" w:rsidRDefault="2390497A" w:rsidP="00390489">
            <w:pPr>
              <w:rPr>
                <w:noProof/>
              </w:rPr>
            </w:pPr>
            <w:r w:rsidRPr="00C34031">
              <w:rPr>
                <w:noProof/>
                <w:sz w:val="20"/>
              </w:rPr>
              <w:t>Mnohé úkoly mohou být prováděny externími subjekty.</w:t>
            </w:r>
          </w:p>
        </w:tc>
      </w:tr>
    </w:tbl>
    <w:p w14:paraId="16128140" w14:textId="77777777" w:rsidR="00FA5543" w:rsidRPr="00C34031" w:rsidRDefault="00FA5543" w:rsidP="00390489">
      <w:pPr>
        <w:pStyle w:val="ManualHeading3"/>
        <w:rPr>
          <w:noProof/>
        </w:rPr>
      </w:pPr>
      <w:r w:rsidRPr="00C34031">
        <w:rPr>
          <w:noProof/>
        </w:rPr>
        <w:t>3.2.5.</w:t>
      </w:r>
      <w:r w:rsidRPr="00C34031">
        <w:rPr>
          <w:noProof/>
        </w:rPr>
        <w:tab/>
        <w:t>Odhadovaný dopad na investice související s digitálními technologiemi</w:t>
      </w:r>
    </w:p>
    <w:p w14:paraId="5EF527A6" w14:textId="77777777" w:rsidR="00FA5543" w:rsidRPr="00C34031" w:rsidRDefault="00FA5543" w:rsidP="00390489">
      <w:pPr>
        <w:pStyle w:val="Text1"/>
        <w:spacing w:line="259" w:lineRule="auto"/>
        <w:rPr>
          <w:noProof/>
        </w:rPr>
      </w:pPr>
      <w:r w:rsidRPr="00C34031">
        <w:rPr>
          <w:noProof/>
        </w:rPr>
        <w:t xml:space="preserve">Compulsory: the best estimate of the digital technology-related investments entailed by the proposal/initiative should be included in the table below. </w:t>
      </w:r>
    </w:p>
    <w:p w14:paraId="7DFEFC5E" w14:textId="77777777" w:rsidR="00FA5543" w:rsidRPr="00C34031" w:rsidRDefault="00FA5543" w:rsidP="00390489">
      <w:pPr>
        <w:pStyle w:val="Text1"/>
        <w:spacing w:line="259" w:lineRule="auto"/>
        <w:rPr>
          <w:noProof/>
        </w:rPr>
      </w:pPr>
      <w:r w:rsidRPr="00C34031">
        <w:rPr>
          <w:noProof/>
        </w:rPr>
        <w:t xml:space="preserve">Exceptionally, when required for the implementation of the proposal/initiative, the appropriations under Heading 7 should be presented in the designated line. </w:t>
      </w:r>
    </w:p>
    <w:p w14:paraId="3A24A606" w14:textId="77777777" w:rsidR="00FA5543" w:rsidRPr="00C34031" w:rsidRDefault="00FA5543" w:rsidP="00390489">
      <w:pPr>
        <w:pStyle w:val="Text1"/>
        <w:spacing w:line="259" w:lineRule="auto"/>
        <w:rPr>
          <w:noProof/>
        </w:rPr>
      </w:pPr>
      <w:r w:rsidRPr="00C34031">
        <w:rPr>
          <w:noProof/>
        </w:rPr>
        <w:t>The appropriations under Headings 1-6 should be reflected as “Policy IT expenditure on operational programmes”. This expenditure refers to the operational budget to be used to re-use/ buy/ develop IT platforms/ tools directly linked to the implementation of the initiative and their associated investments (e.g. licences, studies, data storage etc). The information provided in this table should be consistent with details presented under Section 4 “Digital dimensions”.</w:t>
      </w:r>
    </w:p>
    <w:tbl>
      <w:tblPr>
        <w:tblW w:w="0" w:type="auto"/>
        <w:tblLayout w:type="fixed"/>
        <w:tblLook w:val="04A0" w:firstRow="1" w:lastRow="0" w:firstColumn="1" w:lastColumn="0" w:noHBand="0" w:noVBand="1"/>
      </w:tblPr>
      <w:tblGrid>
        <w:gridCol w:w="3214"/>
        <w:gridCol w:w="835"/>
        <w:gridCol w:w="835"/>
        <w:gridCol w:w="835"/>
        <w:gridCol w:w="835"/>
        <w:gridCol w:w="981"/>
      </w:tblGrid>
      <w:tr w:rsidR="00FA5543" w:rsidRPr="00C34031" w14:paraId="620B7506" w14:textId="77777777" w:rsidTr="139DF8FE">
        <w:trPr>
          <w:trHeight w:val="525"/>
        </w:trPr>
        <w:tc>
          <w:tcPr>
            <w:tcW w:w="3214" w:type="dxa"/>
            <w:vMerge w:val="restart"/>
            <w:tcBorders>
              <w:top w:val="single" w:sz="8" w:space="0" w:color="auto"/>
              <w:left w:val="single" w:sz="4" w:space="0" w:color="auto"/>
              <w:right w:val="single" w:sz="4" w:space="0" w:color="auto"/>
            </w:tcBorders>
            <w:tcMar>
              <w:left w:w="108" w:type="dxa"/>
              <w:right w:w="108" w:type="dxa"/>
            </w:tcMar>
            <w:vAlign w:val="center"/>
          </w:tcPr>
          <w:p w14:paraId="2B020208" w14:textId="77777777" w:rsidR="00FA5543" w:rsidRPr="00C34031" w:rsidRDefault="6C3AF1E0" w:rsidP="00390489">
            <w:pPr>
              <w:spacing w:before="0" w:after="0"/>
              <w:jc w:val="center"/>
              <w:rPr>
                <w:b/>
                <w:bCs/>
                <w:noProof/>
                <w:color w:val="000000" w:themeColor="text1"/>
                <w:sz w:val="18"/>
                <w:szCs w:val="18"/>
              </w:rPr>
            </w:pPr>
            <w:r w:rsidRPr="00C34031">
              <w:rPr>
                <w:b/>
                <w:noProof/>
                <w:color w:val="000000" w:themeColor="text1"/>
                <w:sz w:val="18"/>
              </w:rPr>
              <w:t>CELKEM prostředky na digitální oblast a IT</w:t>
            </w:r>
          </w:p>
        </w:tc>
        <w:tc>
          <w:tcPr>
            <w:tcW w:w="835" w:type="dxa"/>
            <w:tcBorders>
              <w:top w:val="single" w:sz="8" w:space="0" w:color="auto"/>
              <w:left w:val="single" w:sz="4" w:space="0" w:color="auto"/>
              <w:bottom w:val="nil"/>
              <w:right w:val="single" w:sz="8" w:space="0" w:color="auto"/>
            </w:tcBorders>
            <w:tcMar>
              <w:left w:w="108" w:type="dxa"/>
              <w:right w:w="108" w:type="dxa"/>
            </w:tcMar>
            <w:vAlign w:val="center"/>
          </w:tcPr>
          <w:p w14:paraId="0714BC2F" w14:textId="77777777" w:rsidR="00FA5543" w:rsidRPr="00C34031" w:rsidRDefault="00FA5543" w:rsidP="00390489">
            <w:pPr>
              <w:spacing w:before="0" w:after="0"/>
              <w:jc w:val="center"/>
              <w:rPr>
                <w:noProof/>
                <w:color w:val="000000" w:themeColor="text1"/>
                <w:sz w:val="18"/>
                <w:szCs w:val="18"/>
              </w:rPr>
            </w:pPr>
            <w:r w:rsidRPr="00C34031">
              <w:rPr>
                <w:noProof/>
                <w:color w:val="000000" w:themeColor="text1"/>
                <w:sz w:val="18"/>
              </w:rPr>
              <w:t>Rok</w:t>
            </w:r>
          </w:p>
        </w:tc>
        <w:tc>
          <w:tcPr>
            <w:tcW w:w="835" w:type="dxa"/>
            <w:tcBorders>
              <w:top w:val="single" w:sz="8" w:space="0" w:color="auto"/>
              <w:left w:val="single" w:sz="8" w:space="0" w:color="auto"/>
              <w:bottom w:val="nil"/>
              <w:right w:val="single" w:sz="8" w:space="0" w:color="auto"/>
            </w:tcBorders>
            <w:tcMar>
              <w:left w:w="108" w:type="dxa"/>
              <w:right w:w="108" w:type="dxa"/>
            </w:tcMar>
            <w:vAlign w:val="center"/>
          </w:tcPr>
          <w:p w14:paraId="4184114B" w14:textId="77777777" w:rsidR="00FA5543" w:rsidRPr="00C34031" w:rsidRDefault="00FA5543" w:rsidP="00390489">
            <w:pPr>
              <w:spacing w:before="0" w:after="0"/>
              <w:jc w:val="center"/>
              <w:rPr>
                <w:noProof/>
                <w:color w:val="000000" w:themeColor="text1"/>
                <w:sz w:val="18"/>
                <w:szCs w:val="18"/>
              </w:rPr>
            </w:pPr>
            <w:r w:rsidRPr="00C34031">
              <w:rPr>
                <w:noProof/>
                <w:color w:val="000000" w:themeColor="text1"/>
                <w:sz w:val="18"/>
              </w:rPr>
              <w:t>Rok</w:t>
            </w:r>
          </w:p>
        </w:tc>
        <w:tc>
          <w:tcPr>
            <w:tcW w:w="835" w:type="dxa"/>
            <w:tcBorders>
              <w:top w:val="single" w:sz="8" w:space="0" w:color="auto"/>
              <w:left w:val="single" w:sz="8" w:space="0" w:color="auto"/>
              <w:bottom w:val="nil"/>
              <w:right w:val="single" w:sz="8" w:space="0" w:color="auto"/>
            </w:tcBorders>
            <w:tcMar>
              <w:left w:w="108" w:type="dxa"/>
              <w:right w:w="108" w:type="dxa"/>
            </w:tcMar>
            <w:vAlign w:val="center"/>
          </w:tcPr>
          <w:p w14:paraId="02984942" w14:textId="77777777" w:rsidR="00FA5543" w:rsidRPr="00C34031" w:rsidRDefault="00FA5543" w:rsidP="00390489">
            <w:pPr>
              <w:spacing w:before="0" w:after="0"/>
              <w:jc w:val="center"/>
              <w:rPr>
                <w:noProof/>
                <w:color w:val="000000" w:themeColor="text1"/>
                <w:sz w:val="18"/>
                <w:szCs w:val="18"/>
              </w:rPr>
            </w:pPr>
            <w:r w:rsidRPr="00C34031">
              <w:rPr>
                <w:noProof/>
                <w:color w:val="000000" w:themeColor="text1"/>
                <w:sz w:val="18"/>
              </w:rPr>
              <w:t>Rok</w:t>
            </w:r>
          </w:p>
        </w:tc>
        <w:tc>
          <w:tcPr>
            <w:tcW w:w="835" w:type="dxa"/>
            <w:tcBorders>
              <w:top w:val="single" w:sz="8" w:space="0" w:color="auto"/>
              <w:left w:val="single" w:sz="8" w:space="0" w:color="auto"/>
              <w:bottom w:val="nil"/>
              <w:right w:val="single" w:sz="8" w:space="0" w:color="auto"/>
            </w:tcBorders>
            <w:tcMar>
              <w:left w:w="108" w:type="dxa"/>
              <w:right w:w="108" w:type="dxa"/>
            </w:tcMar>
            <w:vAlign w:val="center"/>
          </w:tcPr>
          <w:p w14:paraId="273F28BE" w14:textId="77777777" w:rsidR="00FA5543" w:rsidRPr="00C34031" w:rsidRDefault="00FA5543" w:rsidP="00390489">
            <w:pPr>
              <w:spacing w:before="0" w:after="0"/>
              <w:jc w:val="center"/>
              <w:rPr>
                <w:noProof/>
                <w:color w:val="000000" w:themeColor="text1"/>
                <w:sz w:val="18"/>
                <w:szCs w:val="18"/>
              </w:rPr>
            </w:pPr>
            <w:r w:rsidRPr="00C34031">
              <w:rPr>
                <w:noProof/>
                <w:color w:val="000000" w:themeColor="text1"/>
                <w:sz w:val="18"/>
              </w:rPr>
              <w:t>Rok</w:t>
            </w:r>
          </w:p>
        </w:tc>
        <w:tc>
          <w:tcPr>
            <w:tcW w:w="981" w:type="dxa"/>
            <w:vMerge w:val="restart"/>
            <w:tcBorders>
              <w:top w:val="single" w:sz="8" w:space="0" w:color="auto"/>
              <w:left w:val="single" w:sz="8" w:space="0" w:color="auto"/>
              <w:bottom w:val="single" w:sz="8" w:space="0" w:color="auto"/>
              <w:right w:val="single" w:sz="4" w:space="0" w:color="auto"/>
            </w:tcBorders>
            <w:tcMar>
              <w:left w:w="108" w:type="dxa"/>
              <w:right w:w="108" w:type="dxa"/>
            </w:tcMar>
            <w:vAlign w:val="center"/>
          </w:tcPr>
          <w:p w14:paraId="3D0ACA9B" w14:textId="77777777" w:rsidR="00FA5543" w:rsidRPr="00C34031" w:rsidRDefault="00FA5543" w:rsidP="00390489">
            <w:pPr>
              <w:spacing w:before="0" w:after="0"/>
              <w:jc w:val="center"/>
              <w:rPr>
                <w:b/>
                <w:bCs/>
                <w:noProof/>
                <w:color w:val="000000" w:themeColor="text1"/>
                <w:sz w:val="18"/>
                <w:szCs w:val="18"/>
              </w:rPr>
            </w:pPr>
            <w:r w:rsidRPr="00C34031">
              <w:rPr>
                <w:b/>
                <w:noProof/>
                <w:color w:val="000000" w:themeColor="text1"/>
                <w:sz w:val="18"/>
              </w:rPr>
              <w:t>CELKEM VFR na období 2021–2027</w:t>
            </w:r>
          </w:p>
        </w:tc>
      </w:tr>
      <w:tr w:rsidR="00FA5543" w:rsidRPr="00C34031" w14:paraId="3EAD256A" w14:textId="77777777" w:rsidTr="139DF8FE">
        <w:trPr>
          <w:trHeight w:val="525"/>
        </w:trPr>
        <w:tc>
          <w:tcPr>
            <w:tcW w:w="3214" w:type="dxa"/>
            <w:vMerge/>
            <w:vAlign w:val="center"/>
          </w:tcPr>
          <w:p w14:paraId="6C95436A" w14:textId="77777777" w:rsidR="00FA5543" w:rsidRPr="00C34031" w:rsidRDefault="00FA5543" w:rsidP="00390489">
            <w:pPr>
              <w:rPr>
                <w:noProof/>
              </w:rPr>
            </w:pPr>
          </w:p>
        </w:tc>
        <w:tc>
          <w:tcPr>
            <w:tcW w:w="835" w:type="dxa"/>
            <w:tcBorders>
              <w:top w:val="nil"/>
              <w:left w:val="single" w:sz="4" w:space="0" w:color="auto"/>
              <w:bottom w:val="single" w:sz="8" w:space="0" w:color="auto"/>
              <w:right w:val="single" w:sz="8" w:space="0" w:color="auto"/>
            </w:tcBorders>
            <w:tcMar>
              <w:left w:w="108" w:type="dxa"/>
              <w:right w:w="108" w:type="dxa"/>
            </w:tcMar>
            <w:vAlign w:val="center"/>
          </w:tcPr>
          <w:p w14:paraId="35482A5A" w14:textId="77777777" w:rsidR="00FA5543" w:rsidRPr="00C34031" w:rsidRDefault="00FA5543" w:rsidP="00390489">
            <w:pPr>
              <w:spacing w:before="0" w:after="0"/>
              <w:jc w:val="center"/>
              <w:rPr>
                <w:b/>
                <w:bCs/>
                <w:noProof/>
                <w:color w:val="000000" w:themeColor="text1"/>
                <w:sz w:val="18"/>
                <w:szCs w:val="18"/>
              </w:rPr>
            </w:pPr>
            <w:r w:rsidRPr="00C34031">
              <w:rPr>
                <w:b/>
                <w:noProof/>
                <w:color w:val="000000" w:themeColor="text1"/>
                <w:sz w:val="18"/>
              </w:rPr>
              <w:t>2024</w:t>
            </w:r>
          </w:p>
        </w:tc>
        <w:tc>
          <w:tcPr>
            <w:tcW w:w="835" w:type="dxa"/>
            <w:tcBorders>
              <w:top w:val="nil"/>
              <w:left w:val="single" w:sz="8" w:space="0" w:color="auto"/>
              <w:bottom w:val="single" w:sz="8" w:space="0" w:color="auto"/>
              <w:right w:val="single" w:sz="8" w:space="0" w:color="auto"/>
            </w:tcBorders>
            <w:tcMar>
              <w:left w:w="108" w:type="dxa"/>
              <w:right w:w="108" w:type="dxa"/>
            </w:tcMar>
            <w:vAlign w:val="center"/>
          </w:tcPr>
          <w:p w14:paraId="2C8D8774" w14:textId="77777777" w:rsidR="00FA5543" w:rsidRPr="00C34031" w:rsidRDefault="00FA5543" w:rsidP="00390489">
            <w:pPr>
              <w:spacing w:before="0" w:after="0"/>
              <w:jc w:val="center"/>
              <w:rPr>
                <w:b/>
                <w:bCs/>
                <w:noProof/>
                <w:color w:val="000000" w:themeColor="text1"/>
                <w:sz w:val="18"/>
                <w:szCs w:val="18"/>
              </w:rPr>
            </w:pPr>
            <w:r w:rsidRPr="00C34031">
              <w:rPr>
                <w:b/>
                <w:noProof/>
                <w:color w:val="000000" w:themeColor="text1"/>
                <w:sz w:val="18"/>
              </w:rPr>
              <w:t>2025</w:t>
            </w:r>
          </w:p>
        </w:tc>
        <w:tc>
          <w:tcPr>
            <w:tcW w:w="835" w:type="dxa"/>
            <w:tcBorders>
              <w:top w:val="nil"/>
              <w:left w:val="single" w:sz="8" w:space="0" w:color="auto"/>
              <w:bottom w:val="single" w:sz="8" w:space="0" w:color="auto"/>
              <w:right w:val="single" w:sz="8" w:space="0" w:color="auto"/>
            </w:tcBorders>
            <w:tcMar>
              <w:left w:w="108" w:type="dxa"/>
              <w:right w:w="108" w:type="dxa"/>
            </w:tcMar>
            <w:vAlign w:val="center"/>
          </w:tcPr>
          <w:p w14:paraId="4C922EED" w14:textId="77777777" w:rsidR="00FA5543" w:rsidRPr="00C34031" w:rsidRDefault="00FA5543" w:rsidP="00390489">
            <w:pPr>
              <w:spacing w:before="0" w:after="0"/>
              <w:jc w:val="center"/>
              <w:rPr>
                <w:b/>
                <w:bCs/>
                <w:noProof/>
                <w:color w:val="000000" w:themeColor="text1"/>
                <w:sz w:val="18"/>
                <w:szCs w:val="18"/>
              </w:rPr>
            </w:pPr>
            <w:r w:rsidRPr="00C34031">
              <w:rPr>
                <w:b/>
                <w:noProof/>
                <w:color w:val="000000" w:themeColor="text1"/>
                <w:sz w:val="18"/>
              </w:rPr>
              <w:t>2026</w:t>
            </w:r>
          </w:p>
        </w:tc>
        <w:tc>
          <w:tcPr>
            <w:tcW w:w="835" w:type="dxa"/>
            <w:tcBorders>
              <w:top w:val="nil"/>
              <w:left w:val="single" w:sz="8" w:space="0" w:color="auto"/>
              <w:bottom w:val="single" w:sz="8" w:space="0" w:color="auto"/>
              <w:right w:val="single" w:sz="8" w:space="0" w:color="auto"/>
            </w:tcBorders>
            <w:tcMar>
              <w:left w:w="108" w:type="dxa"/>
              <w:right w:w="108" w:type="dxa"/>
            </w:tcMar>
            <w:vAlign w:val="center"/>
          </w:tcPr>
          <w:p w14:paraId="1F1F265F" w14:textId="77777777" w:rsidR="00FA5543" w:rsidRPr="00C34031" w:rsidRDefault="00FA5543" w:rsidP="00390489">
            <w:pPr>
              <w:spacing w:before="0" w:after="0"/>
              <w:jc w:val="center"/>
              <w:rPr>
                <w:b/>
                <w:bCs/>
                <w:noProof/>
                <w:color w:val="000000" w:themeColor="text1"/>
                <w:sz w:val="18"/>
                <w:szCs w:val="18"/>
              </w:rPr>
            </w:pPr>
            <w:r w:rsidRPr="00C34031">
              <w:rPr>
                <w:b/>
                <w:noProof/>
                <w:color w:val="000000" w:themeColor="text1"/>
                <w:sz w:val="18"/>
              </w:rPr>
              <w:t>2027</w:t>
            </w:r>
          </w:p>
        </w:tc>
        <w:tc>
          <w:tcPr>
            <w:tcW w:w="981" w:type="dxa"/>
            <w:vMerge/>
            <w:vAlign w:val="center"/>
          </w:tcPr>
          <w:p w14:paraId="090FD00D" w14:textId="77777777" w:rsidR="00FA5543" w:rsidRPr="00C34031" w:rsidRDefault="00FA5543" w:rsidP="00390489">
            <w:pPr>
              <w:rPr>
                <w:noProof/>
              </w:rPr>
            </w:pPr>
          </w:p>
        </w:tc>
      </w:tr>
      <w:tr w:rsidR="00FA5543" w:rsidRPr="00C34031" w14:paraId="5E481A68" w14:textId="77777777" w:rsidTr="139DF8FE">
        <w:trPr>
          <w:trHeight w:val="300"/>
        </w:trPr>
        <w:tc>
          <w:tcPr>
            <w:tcW w:w="7535" w:type="dxa"/>
            <w:gridSpan w:val="6"/>
            <w:tcBorders>
              <w:top w:val="nil"/>
              <w:left w:val="single" w:sz="8" w:space="0" w:color="auto"/>
              <w:bottom w:val="single" w:sz="8" w:space="0" w:color="auto"/>
              <w:right w:val="single" w:sz="8" w:space="0" w:color="auto"/>
            </w:tcBorders>
            <w:tcMar>
              <w:left w:w="108" w:type="dxa"/>
              <w:right w:w="108" w:type="dxa"/>
            </w:tcMar>
            <w:vAlign w:val="center"/>
          </w:tcPr>
          <w:p w14:paraId="1381312C" w14:textId="77777777" w:rsidR="00FA5543" w:rsidRPr="00C34031" w:rsidRDefault="00FA5543" w:rsidP="00390489">
            <w:pPr>
              <w:spacing w:before="0" w:after="0"/>
              <w:jc w:val="left"/>
              <w:rPr>
                <w:b/>
                <w:bCs/>
                <w:noProof/>
                <w:sz w:val="16"/>
                <w:szCs w:val="16"/>
              </w:rPr>
            </w:pPr>
            <w:r w:rsidRPr="00C34031">
              <w:rPr>
                <w:b/>
                <w:noProof/>
                <w:sz w:val="16"/>
              </w:rPr>
              <w:t>OKRUH 7</w:t>
            </w:r>
          </w:p>
        </w:tc>
      </w:tr>
      <w:tr w:rsidR="00FA5543" w:rsidRPr="00C34031" w14:paraId="15FE2917" w14:textId="77777777" w:rsidTr="139DF8FE">
        <w:trPr>
          <w:trHeight w:val="300"/>
        </w:trPr>
        <w:tc>
          <w:tcPr>
            <w:tcW w:w="32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29F52E" w14:textId="77777777" w:rsidR="00FA5543" w:rsidRPr="00C34031" w:rsidRDefault="00FA5543" w:rsidP="00390489">
            <w:pPr>
              <w:spacing w:before="0" w:after="0"/>
              <w:jc w:val="left"/>
              <w:rPr>
                <w:noProof/>
                <w:color w:val="000000" w:themeColor="text1"/>
                <w:sz w:val="16"/>
                <w:szCs w:val="16"/>
              </w:rPr>
            </w:pPr>
            <w:r w:rsidRPr="00C34031">
              <w:rPr>
                <w:rFonts w:ascii="Arial Narrow" w:hAnsi="Arial Narrow"/>
                <w:noProof/>
                <w:color w:val="000000" w:themeColor="text1"/>
                <w:sz w:val="20"/>
              </w:rPr>
              <w:t>Výdaje na informační technologie (podnikové)</w:t>
            </w:r>
            <w:r w:rsidRPr="00C34031">
              <w:rPr>
                <w:noProof/>
                <w:color w:val="000000" w:themeColor="text1"/>
                <w:sz w:val="16"/>
              </w:rPr>
              <w:t xml:space="preserve"> </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7AFA0AE" w14:textId="77777777" w:rsidR="00FA5543" w:rsidRPr="00C34031" w:rsidRDefault="00FA5543" w:rsidP="00390489">
            <w:pPr>
              <w:spacing w:before="0" w:after="0"/>
              <w:jc w:val="right"/>
              <w:rPr>
                <w:noProof/>
                <w:color w:val="000000" w:themeColor="text1"/>
                <w:sz w:val="16"/>
                <w:szCs w:val="16"/>
              </w:rPr>
            </w:pPr>
            <w:r w:rsidRPr="00C34031">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7B40B2E" w14:textId="77777777" w:rsidR="00FA5543" w:rsidRPr="00C34031" w:rsidRDefault="00FA5543" w:rsidP="00390489">
            <w:pPr>
              <w:spacing w:before="0" w:after="0"/>
              <w:jc w:val="right"/>
              <w:rPr>
                <w:noProof/>
                <w:color w:val="000000" w:themeColor="text1"/>
                <w:sz w:val="16"/>
                <w:szCs w:val="16"/>
              </w:rPr>
            </w:pPr>
            <w:r w:rsidRPr="00C34031">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11DA0A1" w14:textId="77777777" w:rsidR="00FA5543" w:rsidRPr="00C34031" w:rsidRDefault="00FA5543" w:rsidP="00390489">
            <w:pPr>
              <w:spacing w:before="0" w:after="0"/>
              <w:jc w:val="right"/>
              <w:rPr>
                <w:noProof/>
                <w:color w:val="000000" w:themeColor="text1"/>
                <w:sz w:val="16"/>
                <w:szCs w:val="16"/>
              </w:rPr>
            </w:pPr>
            <w:r w:rsidRPr="00C34031">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8A80DD1" w14:textId="77777777" w:rsidR="00FA5543" w:rsidRPr="00C34031" w:rsidRDefault="00FA5543" w:rsidP="00390489">
            <w:pPr>
              <w:spacing w:before="0" w:after="0"/>
              <w:jc w:val="right"/>
              <w:rPr>
                <w:noProof/>
                <w:color w:val="000000" w:themeColor="text1"/>
                <w:sz w:val="16"/>
                <w:szCs w:val="16"/>
              </w:rPr>
            </w:pPr>
            <w:r w:rsidRPr="00C34031">
              <w:rPr>
                <w:noProof/>
                <w:color w:val="000000" w:themeColor="text1"/>
                <w:sz w:val="16"/>
              </w:rPr>
              <w:t>0,000</w:t>
            </w:r>
          </w:p>
        </w:tc>
        <w:tc>
          <w:tcPr>
            <w:tcW w:w="98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3226CFC9"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r>
      <w:tr w:rsidR="00FA5543" w:rsidRPr="00C34031" w14:paraId="68118C2B" w14:textId="77777777" w:rsidTr="139DF8FE">
        <w:trPr>
          <w:trHeight w:val="300"/>
        </w:trPr>
        <w:tc>
          <w:tcPr>
            <w:tcW w:w="3214" w:type="dxa"/>
            <w:tcBorders>
              <w:top w:val="single" w:sz="8" w:space="0" w:color="auto"/>
              <w:left w:val="single" w:sz="8" w:space="0" w:color="auto"/>
              <w:bottom w:val="single" w:sz="8" w:space="0" w:color="auto"/>
              <w:right w:val="single" w:sz="8" w:space="0" w:color="auto"/>
            </w:tcBorders>
            <w:shd w:val="clear" w:color="auto" w:fill="CCCCCC"/>
            <w:tcMar>
              <w:left w:w="108" w:type="dxa"/>
              <w:right w:w="108" w:type="dxa"/>
            </w:tcMar>
            <w:vAlign w:val="center"/>
          </w:tcPr>
          <w:p w14:paraId="527B0D61" w14:textId="77777777" w:rsidR="00FA5543" w:rsidRPr="00C34031" w:rsidRDefault="00FA5543" w:rsidP="00390489">
            <w:pPr>
              <w:spacing w:before="0" w:after="0"/>
              <w:jc w:val="center"/>
              <w:rPr>
                <w:b/>
                <w:bCs/>
                <w:noProof/>
                <w:color w:val="000000" w:themeColor="text1"/>
                <w:sz w:val="16"/>
                <w:szCs w:val="16"/>
              </w:rPr>
            </w:pPr>
            <w:r w:rsidRPr="00C34031">
              <w:rPr>
                <w:b/>
                <w:noProof/>
                <w:color w:val="000000" w:themeColor="text1"/>
                <w:sz w:val="16"/>
              </w:rPr>
              <w:t>Mezisoučet za OKRUH 7</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5BD1AA7"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52B45F65"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6CBC80A7"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6A07424"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c>
          <w:tcPr>
            <w:tcW w:w="98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4944B18"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r>
      <w:tr w:rsidR="00FA5543" w:rsidRPr="00C34031" w14:paraId="6D4021B5" w14:textId="77777777" w:rsidTr="139DF8FE">
        <w:trPr>
          <w:trHeight w:val="300"/>
        </w:trPr>
        <w:tc>
          <w:tcPr>
            <w:tcW w:w="7535" w:type="dxa"/>
            <w:gridSpan w:val="6"/>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3B2D29" w14:textId="77777777" w:rsidR="00FA5543" w:rsidRPr="00C34031" w:rsidRDefault="00FA5543" w:rsidP="00390489">
            <w:pPr>
              <w:spacing w:before="0" w:after="0"/>
              <w:jc w:val="left"/>
              <w:rPr>
                <w:b/>
                <w:bCs/>
                <w:noProof/>
                <w:sz w:val="16"/>
                <w:szCs w:val="16"/>
              </w:rPr>
            </w:pPr>
            <w:r w:rsidRPr="00C34031">
              <w:rPr>
                <w:b/>
                <w:noProof/>
                <w:sz w:val="16"/>
              </w:rPr>
              <w:t>Mimo OKRUH 7</w:t>
            </w:r>
          </w:p>
        </w:tc>
      </w:tr>
      <w:tr w:rsidR="00FA5543" w:rsidRPr="00C34031" w14:paraId="069060EC" w14:textId="77777777" w:rsidTr="139DF8FE">
        <w:trPr>
          <w:trHeight w:val="300"/>
        </w:trPr>
        <w:tc>
          <w:tcPr>
            <w:tcW w:w="32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5A1636" w14:textId="77777777" w:rsidR="00FA5543" w:rsidRPr="00C34031" w:rsidRDefault="00FA5543" w:rsidP="00390489">
            <w:pPr>
              <w:spacing w:before="0" w:after="0"/>
              <w:jc w:val="left"/>
              <w:rPr>
                <w:rFonts w:ascii="Arial Narrow" w:eastAsia="Arial Narrow" w:hAnsi="Arial Narrow" w:cs="Arial Narrow"/>
                <w:noProof/>
                <w:color w:val="000000" w:themeColor="text1"/>
                <w:sz w:val="20"/>
                <w:szCs w:val="20"/>
              </w:rPr>
            </w:pPr>
            <w:r w:rsidRPr="00C34031">
              <w:rPr>
                <w:rFonts w:ascii="Arial Narrow" w:hAnsi="Arial Narrow"/>
                <w:noProof/>
                <w:color w:val="000000" w:themeColor="text1"/>
                <w:sz w:val="20"/>
              </w:rPr>
              <w:t>Výdaje politiky v oblasti informačních technologií na operační programy</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B130064" w14:textId="77777777" w:rsidR="00FA5543" w:rsidRPr="00C34031" w:rsidRDefault="00FA5543" w:rsidP="00390489">
            <w:pPr>
              <w:spacing w:before="0" w:after="0"/>
              <w:jc w:val="right"/>
              <w:rPr>
                <w:noProof/>
                <w:color w:val="000000" w:themeColor="text1"/>
                <w:sz w:val="16"/>
                <w:szCs w:val="16"/>
              </w:rPr>
            </w:pPr>
            <w:r w:rsidRPr="00C34031">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302CFF3" w14:textId="77777777" w:rsidR="00FA5543" w:rsidRPr="00C34031" w:rsidRDefault="00FA5543" w:rsidP="00390489">
            <w:pPr>
              <w:spacing w:before="0" w:after="0"/>
              <w:jc w:val="right"/>
              <w:rPr>
                <w:noProof/>
                <w:color w:val="000000" w:themeColor="text1"/>
                <w:sz w:val="16"/>
                <w:szCs w:val="16"/>
              </w:rPr>
            </w:pPr>
            <w:r w:rsidRPr="00C34031">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6DF06C06" w14:textId="77777777" w:rsidR="00FA5543" w:rsidRPr="00C34031" w:rsidRDefault="00FA5543" w:rsidP="00390489">
            <w:pPr>
              <w:spacing w:before="0" w:after="0"/>
              <w:jc w:val="right"/>
              <w:rPr>
                <w:noProof/>
                <w:color w:val="000000" w:themeColor="text1"/>
                <w:sz w:val="16"/>
                <w:szCs w:val="16"/>
              </w:rPr>
            </w:pPr>
            <w:r w:rsidRPr="00C34031">
              <w:rPr>
                <w:noProof/>
                <w:color w:val="000000" w:themeColor="text1"/>
                <w:sz w:val="16"/>
              </w:rPr>
              <w:t>0,000</w:t>
            </w:r>
          </w:p>
        </w:tc>
        <w:tc>
          <w:tcPr>
            <w:tcW w:w="835"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3B6D1EB6" w14:textId="77777777" w:rsidR="00FA5543" w:rsidRPr="00C34031" w:rsidRDefault="00FA5543" w:rsidP="00390489">
            <w:pPr>
              <w:spacing w:before="0" w:after="0"/>
              <w:jc w:val="right"/>
              <w:rPr>
                <w:noProof/>
                <w:color w:val="000000" w:themeColor="text1"/>
                <w:sz w:val="16"/>
                <w:szCs w:val="16"/>
              </w:rPr>
            </w:pPr>
            <w:r w:rsidRPr="00C34031">
              <w:rPr>
                <w:noProof/>
                <w:color w:val="000000" w:themeColor="text1"/>
                <w:sz w:val="16"/>
              </w:rPr>
              <w:t>0,000</w:t>
            </w:r>
          </w:p>
        </w:tc>
        <w:tc>
          <w:tcPr>
            <w:tcW w:w="98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644001C2"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r>
      <w:tr w:rsidR="00FA5543" w:rsidRPr="00C34031" w14:paraId="59C2B0EC" w14:textId="77777777" w:rsidTr="139DF8FE">
        <w:trPr>
          <w:trHeight w:val="300"/>
        </w:trPr>
        <w:tc>
          <w:tcPr>
            <w:tcW w:w="3214" w:type="dxa"/>
            <w:tcBorders>
              <w:top w:val="single" w:sz="8" w:space="0" w:color="auto"/>
              <w:left w:val="single" w:sz="8" w:space="0" w:color="auto"/>
              <w:bottom w:val="single" w:sz="8" w:space="0" w:color="auto"/>
              <w:right w:val="single" w:sz="8" w:space="0" w:color="auto"/>
            </w:tcBorders>
            <w:shd w:val="clear" w:color="auto" w:fill="CCCCCC"/>
            <w:tcMar>
              <w:left w:w="108" w:type="dxa"/>
              <w:right w:w="108" w:type="dxa"/>
            </w:tcMar>
            <w:vAlign w:val="center"/>
          </w:tcPr>
          <w:p w14:paraId="6BE2F15C" w14:textId="77777777" w:rsidR="00FA5543" w:rsidRPr="00C34031" w:rsidRDefault="00FA5543" w:rsidP="00390489">
            <w:pPr>
              <w:spacing w:before="0" w:after="0"/>
              <w:jc w:val="center"/>
              <w:rPr>
                <w:b/>
                <w:bCs/>
                <w:noProof/>
                <w:color w:val="000000" w:themeColor="text1"/>
                <w:sz w:val="16"/>
                <w:szCs w:val="16"/>
              </w:rPr>
            </w:pPr>
            <w:r w:rsidRPr="00C34031">
              <w:rPr>
                <w:b/>
                <w:noProof/>
                <w:color w:val="000000" w:themeColor="text1"/>
                <w:sz w:val="16"/>
              </w:rPr>
              <w:t>Mezisoučet mimo OKRUH 7</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C523607"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78EFA20D"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1C28C223"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c>
          <w:tcPr>
            <w:tcW w:w="83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62AC8477"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c>
          <w:tcPr>
            <w:tcW w:w="98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F62BB93"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r>
      <w:tr w:rsidR="00FA5543" w:rsidRPr="00C34031" w14:paraId="28D0ED42" w14:textId="77777777" w:rsidTr="139DF8FE">
        <w:trPr>
          <w:trHeight w:val="300"/>
        </w:trPr>
        <w:tc>
          <w:tcPr>
            <w:tcW w:w="7535" w:type="dxa"/>
            <w:gridSpan w:val="6"/>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D0A2242" w14:textId="77777777" w:rsidR="00FA5543" w:rsidRPr="00C34031" w:rsidRDefault="00FA5543" w:rsidP="00390489">
            <w:pPr>
              <w:spacing w:before="0" w:after="0"/>
              <w:jc w:val="center"/>
              <w:rPr>
                <w:noProof/>
                <w:color w:val="000000" w:themeColor="text1"/>
                <w:sz w:val="16"/>
                <w:szCs w:val="16"/>
              </w:rPr>
            </w:pPr>
            <w:r w:rsidRPr="00C34031">
              <w:rPr>
                <w:noProof/>
                <w:color w:val="000000" w:themeColor="text1"/>
                <w:sz w:val="16"/>
              </w:rPr>
              <w:t xml:space="preserve"> </w:t>
            </w:r>
          </w:p>
        </w:tc>
      </w:tr>
      <w:tr w:rsidR="00FA5543" w:rsidRPr="00C34031" w14:paraId="1A161BCD" w14:textId="77777777" w:rsidTr="139DF8FE">
        <w:trPr>
          <w:trHeight w:val="315"/>
        </w:trPr>
        <w:tc>
          <w:tcPr>
            <w:tcW w:w="3214" w:type="dxa"/>
            <w:tcBorders>
              <w:top w:val="single" w:sz="8" w:space="0" w:color="auto"/>
              <w:left w:val="single" w:sz="12" w:space="0" w:color="auto"/>
              <w:bottom w:val="single" w:sz="12" w:space="0" w:color="auto"/>
              <w:right w:val="single" w:sz="8" w:space="0" w:color="auto"/>
            </w:tcBorders>
            <w:tcMar>
              <w:left w:w="108" w:type="dxa"/>
              <w:right w:w="108" w:type="dxa"/>
            </w:tcMar>
            <w:vAlign w:val="center"/>
          </w:tcPr>
          <w:p w14:paraId="722AC80D" w14:textId="77777777" w:rsidR="00FA5543" w:rsidRPr="00C34031" w:rsidRDefault="00FA5543" w:rsidP="00390489">
            <w:pPr>
              <w:spacing w:before="0" w:after="0"/>
              <w:jc w:val="center"/>
              <w:rPr>
                <w:b/>
                <w:bCs/>
                <w:noProof/>
                <w:color w:val="000000" w:themeColor="text1"/>
                <w:sz w:val="16"/>
                <w:szCs w:val="16"/>
              </w:rPr>
            </w:pPr>
            <w:r w:rsidRPr="00C34031">
              <w:rPr>
                <w:b/>
                <w:noProof/>
                <w:color w:val="000000" w:themeColor="text1"/>
                <w:sz w:val="16"/>
              </w:rPr>
              <w:t>CELKEM</w:t>
            </w:r>
          </w:p>
        </w:tc>
        <w:tc>
          <w:tcPr>
            <w:tcW w:w="835"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14:paraId="6E499B13"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c>
          <w:tcPr>
            <w:tcW w:w="835"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14:paraId="18CF0797"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c>
          <w:tcPr>
            <w:tcW w:w="835"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14:paraId="5962DDAE"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c>
          <w:tcPr>
            <w:tcW w:w="835"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14:paraId="40DF5465"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c>
          <w:tcPr>
            <w:tcW w:w="981" w:type="dxa"/>
            <w:tcBorders>
              <w:top w:val="nil"/>
              <w:left w:val="single" w:sz="8" w:space="0" w:color="auto"/>
              <w:bottom w:val="single" w:sz="12" w:space="0" w:color="auto"/>
              <w:right w:val="single" w:sz="8" w:space="0" w:color="auto"/>
            </w:tcBorders>
            <w:shd w:val="clear" w:color="auto" w:fill="D9D9D9" w:themeFill="background1" w:themeFillShade="D9"/>
            <w:tcMar>
              <w:left w:w="108" w:type="dxa"/>
              <w:right w:w="108" w:type="dxa"/>
            </w:tcMar>
            <w:vAlign w:val="center"/>
          </w:tcPr>
          <w:p w14:paraId="52B58E04" w14:textId="77777777" w:rsidR="00FA5543" w:rsidRPr="00C34031" w:rsidRDefault="00FA5543" w:rsidP="00390489">
            <w:pPr>
              <w:spacing w:before="0" w:after="0"/>
              <w:jc w:val="right"/>
              <w:rPr>
                <w:b/>
                <w:bCs/>
                <w:noProof/>
                <w:color w:val="000000" w:themeColor="text1"/>
                <w:sz w:val="16"/>
                <w:szCs w:val="16"/>
              </w:rPr>
            </w:pPr>
            <w:r w:rsidRPr="00C34031">
              <w:rPr>
                <w:b/>
                <w:noProof/>
                <w:color w:val="000000" w:themeColor="text1"/>
                <w:sz w:val="16"/>
              </w:rPr>
              <w:t>0,000</w:t>
            </w:r>
          </w:p>
        </w:tc>
      </w:tr>
    </w:tbl>
    <w:bookmarkEnd w:id="2"/>
    <w:p w14:paraId="5D3553F9" w14:textId="77777777" w:rsidR="00FA5543" w:rsidRPr="00C34031" w:rsidRDefault="00FA5543" w:rsidP="00390489">
      <w:pPr>
        <w:pStyle w:val="ManualHeading3"/>
        <w:rPr>
          <w:noProof/>
        </w:rPr>
      </w:pPr>
      <w:r w:rsidRPr="00C34031">
        <w:rPr>
          <w:noProof/>
        </w:rPr>
        <w:t>3.2.6.</w:t>
      </w:r>
      <w:r w:rsidRPr="00C34031">
        <w:rPr>
          <w:noProof/>
        </w:rPr>
        <w:tab/>
        <w:t xml:space="preserve">Slučitelnost se stávajícím víceletým finančním rámcem </w:t>
      </w:r>
    </w:p>
    <w:p w14:paraId="61E362C1" w14:textId="77777777" w:rsidR="00FA5543" w:rsidRPr="00C34031" w:rsidRDefault="00FA5543" w:rsidP="00390489">
      <w:pPr>
        <w:pStyle w:val="Text1"/>
        <w:rPr>
          <w:noProof/>
        </w:rPr>
      </w:pPr>
      <w:r w:rsidRPr="00C34031">
        <w:rPr>
          <w:noProof/>
        </w:rPr>
        <w:t>Návrh/podnět:</w:t>
      </w:r>
    </w:p>
    <w:p w14:paraId="6B506425" w14:textId="77777777" w:rsidR="00FA5543" w:rsidRPr="00C34031" w:rsidRDefault="6C3AF1E0" w:rsidP="00390489">
      <w:pPr>
        <w:pStyle w:val="ListDash1"/>
        <w:rPr>
          <w:noProof/>
        </w:rPr>
      </w:pPr>
      <w:r w:rsidRPr="00C34031">
        <w:rPr>
          <w:rFonts w:ascii="Wingdings" w:hAnsi="Wingdings"/>
          <w:noProof/>
        </w:rPr>
        <w:t></w:t>
      </w:r>
      <w:r w:rsidRPr="00C34031">
        <w:rPr>
          <w:noProof/>
        </w:rPr>
        <w:tab/>
        <w:t>může být v plném rozsahu financován přerozdělením prostředků v rámci příslušného okruhu víceletého finančního rámce (VFR).</w:t>
      </w:r>
    </w:p>
    <w:p w14:paraId="061EDE13" w14:textId="46CA1E79" w:rsidR="00FA5543" w:rsidRPr="00C34031" w:rsidRDefault="007876D7" w:rsidP="00390489">
      <w:pPr>
        <w:pStyle w:val="ListDash1"/>
        <w:rPr>
          <w:noProof/>
        </w:rPr>
      </w:pPr>
      <w:r w:rsidRPr="00C34031">
        <w:rPr>
          <w:rFonts w:ascii="Wingdings" w:hAnsi="Wingdings"/>
          <w:noProof/>
        </w:rPr>
        <w:t></w:t>
      </w:r>
      <w:r w:rsidRPr="00C34031">
        <w:rPr>
          <w:noProof/>
        </w:rPr>
        <w:t xml:space="preserve"> </w:t>
      </w:r>
      <w:r w:rsidRPr="00C34031">
        <w:rPr>
          <w:noProof/>
        </w:rPr>
        <w:tab/>
        <w:t>vyžaduje použití nepřiděleného rozpětí v rámci příslušného okruhu VFR a/nebo použití zvláštních nástrojů definovaných v nařízení o VFR.</w:t>
      </w:r>
    </w:p>
    <w:p w14:paraId="693A317A" w14:textId="1B9DE56F" w:rsidR="00FA5543" w:rsidRPr="00C34031" w:rsidRDefault="007876D7" w:rsidP="00390489">
      <w:pPr>
        <w:pStyle w:val="ListDash1"/>
        <w:rPr>
          <w:noProof/>
        </w:rPr>
      </w:pPr>
      <w:r w:rsidRPr="00C34031">
        <w:rPr>
          <w:rFonts w:ascii="Wingdings" w:hAnsi="Wingdings"/>
          <w:noProof/>
        </w:rPr>
        <w:t></w:t>
      </w:r>
      <w:r w:rsidRPr="00C34031">
        <w:rPr>
          <w:noProof/>
        </w:rPr>
        <w:t xml:space="preserve"> vyžaduje revizi VFR.</w:t>
      </w:r>
    </w:p>
    <w:p w14:paraId="78890675" w14:textId="6678A6A7" w:rsidR="00FA5543" w:rsidRPr="00C34031" w:rsidRDefault="56F1BF95"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Další výdaje na IT jsou potřebné k pokrytí vývoje IT potřebného k provedení změn souvisejících s prováděním zjednodušujících postupů CBAM a k zavedení nástrojů IT na podporu odhalování nesrovnalostí a omezení rizika podvodů: 6,350 milionu v roce 2025, 6,850 milionu v roce 2026 a 5,750 milionu v roce 2027 – v prostředcích na závazky. Kromě toho jsou každoročně zapotřebí 2 miliony EUR na pokrytí studií, včetně pravidelného posuzování účinnosti CBAM, jakož i osvětové činnosti, včetně externí komunikace a odborné přípravy se zúčastněnými stranami. Tyto náklady nebyly v předchozím legislativním finančním výkazu zahrnuty. Návrh vyžaduje přesun až 25 milionů EUR z okruhu 4 (11.0301 – CCEI) do okruhu 3 (09.200401 – CBAM).</w:t>
      </w:r>
    </w:p>
    <w:p w14:paraId="3BC9C159" w14:textId="77777777" w:rsidR="00FA5543" w:rsidRPr="00C34031" w:rsidRDefault="00FA5543" w:rsidP="00390489">
      <w:pPr>
        <w:pStyle w:val="ManualHeading3"/>
        <w:rPr>
          <w:noProof/>
        </w:rPr>
      </w:pPr>
      <w:r w:rsidRPr="00C34031">
        <w:rPr>
          <w:noProof/>
        </w:rPr>
        <w:t>3.2.7.</w:t>
      </w:r>
      <w:r w:rsidRPr="00C34031">
        <w:rPr>
          <w:noProof/>
        </w:rPr>
        <w:tab/>
        <w:t xml:space="preserve">Příspěvky třetích stran </w:t>
      </w:r>
    </w:p>
    <w:p w14:paraId="460B3D23" w14:textId="77777777" w:rsidR="00FA5543" w:rsidRPr="00C34031" w:rsidRDefault="00FA5543" w:rsidP="00390489">
      <w:pPr>
        <w:pStyle w:val="Text1"/>
        <w:rPr>
          <w:noProof/>
        </w:rPr>
      </w:pPr>
      <w:r w:rsidRPr="00C34031">
        <w:rPr>
          <w:noProof/>
        </w:rPr>
        <w:t>Návrh/podnět:</w:t>
      </w:r>
    </w:p>
    <w:p w14:paraId="38353E55" w14:textId="77777777" w:rsidR="00FA5543" w:rsidRPr="00C34031" w:rsidRDefault="06479F38" w:rsidP="00390489">
      <w:pPr>
        <w:pStyle w:val="ListDash1"/>
        <w:rPr>
          <w:noProof/>
        </w:rPr>
      </w:pPr>
      <w:r w:rsidRPr="00C34031">
        <w:rPr>
          <w:rFonts w:ascii="Wingdings" w:hAnsi="Wingdings"/>
          <w:noProof/>
        </w:rPr>
        <w:t></w:t>
      </w:r>
      <w:r w:rsidRPr="00C34031">
        <w:rPr>
          <w:noProof/>
        </w:rPr>
        <w:t xml:space="preserve"> nepočítá se spolufinancováním od třetích stran</w:t>
      </w:r>
    </w:p>
    <w:p w14:paraId="6DA51BD1" w14:textId="77777777" w:rsidR="00FA5543" w:rsidRPr="00C34031" w:rsidRDefault="6C3AF1E0" w:rsidP="00390489">
      <w:pPr>
        <w:pStyle w:val="ListDash1"/>
        <w:rPr>
          <w:noProof/>
        </w:rPr>
      </w:pPr>
      <w:r w:rsidRPr="00C34031">
        <w:rPr>
          <w:rFonts w:ascii="Wingdings" w:hAnsi="Wingdings"/>
          <w:noProof/>
        </w:rPr>
        <w:t></w:t>
      </w:r>
      <w:r w:rsidRPr="00C34031">
        <w:rPr>
          <w:noProof/>
        </w:rPr>
        <w:tab/>
        <w:t>počítá se spolufinancováním od třetích stran podle následujícího odhadu:</w:t>
      </w:r>
    </w:p>
    <w:p w14:paraId="72291211" w14:textId="77777777" w:rsidR="00FA5543" w:rsidRPr="00C34031" w:rsidRDefault="00FA5543" w:rsidP="00390489">
      <w:pPr>
        <w:jc w:val="right"/>
        <w:rPr>
          <w:noProof/>
          <w:sz w:val="20"/>
        </w:rPr>
      </w:pPr>
      <w:r w:rsidRPr="00C34031">
        <w:rPr>
          <w:noProof/>
          <w:sz w:val="20"/>
        </w:rPr>
        <w:t>prostředky v milionech EUR (zaokrouhleno na tři desetinná místa)</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959"/>
        <w:gridCol w:w="1217"/>
        <w:gridCol w:w="1217"/>
        <w:gridCol w:w="1217"/>
        <w:gridCol w:w="1217"/>
        <w:gridCol w:w="1462"/>
      </w:tblGrid>
      <w:tr w:rsidR="00FA5543" w:rsidRPr="00C34031" w14:paraId="114A11CA" w14:textId="77777777" w:rsidTr="00390489">
        <w:trPr>
          <w:cantSplit/>
        </w:trPr>
        <w:tc>
          <w:tcPr>
            <w:tcW w:w="1591" w:type="pct"/>
          </w:tcPr>
          <w:p w14:paraId="2CA6FACE" w14:textId="77777777" w:rsidR="00FA5543" w:rsidRPr="00C34031" w:rsidRDefault="00FA5543" w:rsidP="00390489">
            <w:pPr>
              <w:spacing w:before="60" w:after="60"/>
              <w:rPr>
                <w:noProof/>
                <w:sz w:val="20"/>
              </w:rPr>
            </w:pPr>
          </w:p>
        </w:tc>
        <w:tc>
          <w:tcPr>
            <w:tcW w:w="655" w:type="pct"/>
            <w:vAlign w:val="center"/>
          </w:tcPr>
          <w:p w14:paraId="1CF08894" w14:textId="77777777" w:rsidR="00FA5543" w:rsidRPr="00C34031" w:rsidRDefault="00FA5543" w:rsidP="00390489">
            <w:pPr>
              <w:jc w:val="center"/>
              <w:rPr>
                <w:noProof/>
                <w:sz w:val="20"/>
              </w:rPr>
            </w:pPr>
            <w:r w:rsidRPr="00C34031">
              <w:rPr>
                <w:noProof/>
                <w:sz w:val="20"/>
              </w:rPr>
              <w:t xml:space="preserve">Rok </w:t>
            </w:r>
            <w:r w:rsidRPr="00C34031">
              <w:rPr>
                <w:noProof/>
                <w:sz w:val="22"/>
              </w:rPr>
              <w:br/>
            </w:r>
            <w:r w:rsidRPr="00C34031">
              <w:rPr>
                <w:b/>
                <w:noProof/>
                <w:sz w:val="20"/>
              </w:rPr>
              <w:t>2024</w:t>
            </w:r>
          </w:p>
        </w:tc>
        <w:tc>
          <w:tcPr>
            <w:tcW w:w="655" w:type="pct"/>
            <w:vAlign w:val="center"/>
          </w:tcPr>
          <w:p w14:paraId="52B46424" w14:textId="77777777" w:rsidR="00FA5543" w:rsidRPr="00C34031" w:rsidRDefault="00FA5543" w:rsidP="00390489">
            <w:pPr>
              <w:jc w:val="center"/>
              <w:rPr>
                <w:noProof/>
                <w:sz w:val="20"/>
              </w:rPr>
            </w:pPr>
            <w:r w:rsidRPr="00C34031">
              <w:rPr>
                <w:noProof/>
                <w:sz w:val="20"/>
              </w:rPr>
              <w:t xml:space="preserve">Rok </w:t>
            </w:r>
            <w:r w:rsidRPr="00C34031">
              <w:rPr>
                <w:noProof/>
                <w:sz w:val="22"/>
              </w:rPr>
              <w:br/>
            </w:r>
            <w:r w:rsidRPr="00C34031">
              <w:rPr>
                <w:b/>
                <w:noProof/>
                <w:sz w:val="20"/>
              </w:rPr>
              <w:t>2025</w:t>
            </w:r>
          </w:p>
        </w:tc>
        <w:tc>
          <w:tcPr>
            <w:tcW w:w="655" w:type="pct"/>
            <w:vAlign w:val="center"/>
          </w:tcPr>
          <w:p w14:paraId="6D7292C4" w14:textId="77777777" w:rsidR="00FA5543" w:rsidRPr="00C34031" w:rsidRDefault="00FA5543" w:rsidP="00390489">
            <w:pPr>
              <w:jc w:val="center"/>
              <w:rPr>
                <w:noProof/>
                <w:sz w:val="20"/>
              </w:rPr>
            </w:pPr>
            <w:r w:rsidRPr="00C34031">
              <w:rPr>
                <w:noProof/>
                <w:sz w:val="20"/>
              </w:rPr>
              <w:t xml:space="preserve">Rok </w:t>
            </w:r>
            <w:r w:rsidRPr="00C34031">
              <w:rPr>
                <w:noProof/>
                <w:sz w:val="22"/>
              </w:rPr>
              <w:br/>
            </w:r>
            <w:r w:rsidRPr="00C34031">
              <w:rPr>
                <w:b/>
                <w:noProof/>
                <w:sz w:val="20"/>
              </w:rPr>
              <w:t>2026</w:t>
            </w:r>
          </w:p>
        </w:tc>
        <w:tc>
          <w:tcPr>
            <w:tcW w:w="655" w:type="pct"/>
            <w:vAlign w:val="center"/>
          </w:tcPr>
          <w:p w14:paraId="5F75534D" w14:textId="77777777" w:rsidR="00FA5543" w:rsidRPr="00C34031" w:rsidRDefault="00FA5543" w:rsidP="00390489">
            <w:pPr>
              <w:jc w:val="center"/>
              <w:rPr>
                <w:noProof/>
                <w:sz w:val="20"/>
              </w:rPr>
            </w:pPr>
            <w:r w:rsidRPr="00C34031">
              <w:rPr>
                <w:noProof/>
                <w:sz w:val="20"/>
              </w:rPr>
              <w:t xml:space="preserve">Rok </w:t>
            </w:r>
            <w:r w:rsidRPr="00C34031">
              <w:rPr>
                <w:noProof/>
                <w:sz w:val="22"/>
              </w:rPr>
              <w:br/>
            </w:r>
            <w:r w:rsidRPr="00C34031">
              <w:rPr>
                <w:b/>
                <w:noProof/>
                <w:sz w:val="20"/>
              </w:rPr>
              <w:t>2027</w:t>
            </w:r>
          </w:p>
        </w:tc>
        <w:tc>
          <w:tcPr>
            <w:tcW w:w="787" w:type="pct"/>
            <w:vAlign w:val="center"/>
          </w:tcPr>
          <w:p w14:paraId="3309929B" w14:textId="77777777" w:rsidR="00FA5543" w:rsidRPr="00C34031" w:rsidRDefault="00FA5543" w:rsidP="00390489">
            <w:pPr>
              <w:spacing w:before="60" w:after="60"/>
              <w:jc w:val="center"/>
              <w:rPr>
                <w:noProof/>
                <w:sz w:val="20"/>
              </w:rPr>
            </w:pPr>
            <w:r w:rsidRPr="00C34031">
              <w:rPr>
                <w:noProof/>
                <w:sz w:val="20"/>
              </w:rPr>
              <w:t>Celkem</w:t>
            </w:r>
          </w:p>
        </w:tc>
      </w:tr>
      <w:tr w:rsidR="00FA5543" w:rsidRPr="00C34031" w14:paraId="6C37EC35" w14:textId="77777777" w:rsidTr="00390489">
        <w:trPr>
          <w:cantSplit/>
        </w:trPr>
        <w:tc>
          <w:tcPr>
            <w:tcW w:w="1591" w:type="pct"/>
          </w:tcPr>
          <w:p w14:paraId="61991ED0" w14:textId="77777777" w:rsidR="00FA5543" w:rsidRPr="00C34031" w:rsidRDefault="00FA5543" w:rsidP="00390489">
            <w:pPr>
              <w:rPr>
                <w:noProof/>
              </w:rPr>
            </w:pPr>
            <w:r w:rsidRPr="00C34031">
              <w:rPr>
                <w:noProof/>
                <w:sz w:val="20"/>
              </w:rPr>
              <w:t>Upřesněte spolufinancující subjekt</w:t>
            </w:r>
            <w:r w:rsidRPr="00C34031">
              <w:rPr>
                <w:i/>
                <w:noProof/>
                <w:sz w:val="20"/>
              </w:rPr>
              <w:t xml:space="preserve"> </w:t>
            </w:r>
          </w:p>
        </w:tc>
        <w:tc>
          <w:tcPr>
            <w:tcW w:w="655" w:type="pct"/>
            <w:vAlign w:val="center"/>
          </w:tcPr>
          <w:p w14:paraId="4A4006C0" w14:textId="77777777" w:rsidR="00FA5543" w:rsidRPr="00C34031" w:rsidRDefault="00FA5543" w:rsidP="00390489">
            <w:pPr>
              <w:spacing w:before="60" w:after="60"/>
              <w:jc w:val="center"/>
              <w:rPr>
                <w:noProof/>
                <w:sz w:val="20"/>
              </w:rPr>
            </w:pPr>
          </w:p>
        </w:tc>
        <w:tc>
          <w:tcPr>
            <w:tcW w:w="655" w:type="pct"/>
            <w:vAlign w:val="center"/>
          </w:tcPr>
          <w:p w14:paraId="154FD0E4" w14:textId="77777777" w:rsidR="00FA5543" w:rsidRPr="00C34031" w:rsidRDefault="00FA5543" w:rsidP="00390489">
            <w:pPr>
              <w:spacing w:before="60" w:after="60"/>
              <w:jc w:val="center"/>
              <w:rPr>
                <w:noProof/>
                <w:sz w:val="20"/>
              </w:rPr>
            </w:pPr>
          </w:p>
        </w:tc>
        <w:tc>
          <w:tcPr>
            <w:tcW w:w="655" w:type="pct"/>
            <w:vAlign w:val="center"/>
          </w:tcPr>
          <w:p w14:paraId="320D65D7" w14:textId="77777777" w:rsidR="00FA5543" w:rsidRPr="00C34031" w:rsidRDefault="00FA5543" w:rsidP="00390489">
            <w:pPr>
              <w:spacing w:before="60" w:after="60"/>
              <w:jc w:val="center"/>
              <w:rPr>
                <w:noProof/>
                <w:sz w:val="20"/>
              </w:rPr>
            </w:pPr>
          </w:p>
        </w:tc>
        <w:tc>
          <w:tcPr>
            <w:tcW w:w="655" w:type="pct"/>
            <w:vAlign w:val="center"/>
          </w:tcPr>
          <w:p w14:paraId="4708A69F" w14:textId="77777777" w:rsidR="00FA5543" w:rsidRPr="00C34031" w:rsidRDefault="00FA5543" w:rsidP="00390489">
            <w:pPr>
              <w:spacing w:before="60" w:after="60"/>
              <w:jc w:val="center"/>
              <w:rPr>
                <w:noProof/>
                <w:sz w:val="20"/>
              </w:rPr>
            </w:pPr>
          </w:p>
        </w:tc>
        <w:tc>
          <w:tcPr>
            <w:tcW w:w="787" w:type="pct"/>
            <w:vAlign w:val="center"/>
          </w:tcPr>
          <w:p w14:paraId="31ED0079" w14:textId="77777777" w:rsidR="00FA5543" w:rsidRPr="00C34031" w:rsidRDefault="00FA5543" w:rsidP="00390489">
            <w:pPr>
              <w:spacing w:before="60" w:after="60"/>
              <w:jc w:val="center"/>
              <w:rPr>
                <w:noProof/>
                <w:sz w:val="20"/>
              </w:rPr>
            </w:pPr>
          </w:p>
        </w:tc>
      </w:tr>
      <w:tr w:rsidR="00FA5543" w:rsidRPr="00C34031" w14:paraId="274BCEF3" w14:textId="77777777" w:rsidTr="00390489">
        <w:trPr>
          <w:cantSplit/>
        </w:trPr>
        <w:tc>
          <w:tcPr>
            <w:tcW w:w="1591" w:type="pct"/>
          </w:tcPr>
          <w:p w14:paraId="386DADAF" w14:textId="77777777" w:rsidR="00FA5543" w:rsidRPr="00C34031" w:rsidRDefault="00FA5543" w:rsidP="00390489">
            <w:pPr>
              <w:spacing w:before="60" w:after="60"/>
              <w:jc w:val="left"/>
              <w:rPr>
                <w:noProof/>
                <w:sz w:val="20"/>
              </w:rPr>
            </w:pPr>
            <w:r w:rsidRPr="00C34031">
              <w:rPr>
                <w:noProof/>
                <w:sz w:val="20"/>
              </w:rPr>
              <w:t xml:space="preserve">Spolufinancované prostředky CELKEM </w:t>
            </w:r>
          </w:p>
        </w:tc>
        <w:tc>
          <w:tcPr>
            <w:tcW w:w="655" w:type="pct"/>
            <w:vAlign w:val="center"/>
          </w:tcPr>
          <w:p w14:paraId="62ACD2F0" w14:textId="77777777" w:rsidR="00FA5543" w:rsidRPr="00C34031" w:rsidRDefault="00FA5543" w:rsidP="00390489">
            <w:pPr>
              <w:spacing w:before="60" w:after="60"/>
              <w:jc w:val="center"/>
              <w:rPr>
                <w:noProof/>
                <w:sz w:val="20"/>
              </w:rPr>
            </w:pPr>
          </w:p>
        </w:tc>
        <w:tc>
          <w:tcPr>
            <w:tcW w:w="655" w:type="pct"/>
            <w:vAlign w:val="center"/>
          </w:tcPr>
          <w:p w14:paraId="1B251C27" w14:textId="77777777" w:rsidR="00FA5543" w:rsidRPr="00C34031" w:rsidRDefault="00FA5543" w:rsidP="00390489">
            <w:pPr>
              <w:spacing w:before="60" w:after="60"/>
              <w:jc w:val="center"/>
              <w:rPr>
                <w:noProof/>
                <w:sz w:val="20"/>
              </w:rPr>
            </w:pPr>
          </w:p>
        </w:tc>
        <w:tc>
          <w:tcPr>
            <w:tcW w:w="655" w:type="pct"/>
            <w:vAlign w:val="center"/>
          </w:tcPr>
          <w:p w14:paraId="79B5CB46" w14:textId="77777777" w:rsidR="00FA5543" w:rsidRPr="00C34031" w:rsidRDefault="00FA5543" w:rsidP="00390489">
            <w:pPr>
              <w:spacing w:before="60" w:after="60"/>
              <w:jc w:val="center"/>
              <w:rPr>
                <w:noProof/>
                <w:sz w:val="20"/>
              </w:rPr>
            </w:pPr>
          </w:p>
        </w:tc>
        <w:tc>
          <w:tcPr>
            <w:tcW w:w="655" w:type="pct"/>
            <w:vAlign w:val="center"/>
          </w:tcPr>
          <w:p w14:paraId="4E4424BB" w14:textId="77777777" w:rsidR="00FA5543" w:rsidRPr="00C34031" w:rsidRDefault="00FA5543" w:rsidP="00390489">
            <w:pPr>
              <w:spacing w:before="60" w:after="60"/>
              <w:jc w:val="center"/>
              <w:rPr>
                <w:noProof/>
                <w:sz w:val="20"/>
              </w:rPr>
            </w:pPr>
          </w:p>
        </w:tc>
        <w:tc>
          <w:tcPr>
            <w:tcW w:w="787" w:type="pct"/>
            <w:vAlign w:val="center"/>
          </w:tcPr>
          <w:p w14:paraId="2741EDC8" w14:textId="77777777" w:rsidR="00FA5543" w:rsidRPr="00C34031" w:rsidRDefault="00FA5543" w:rsidP="00390489">
            <w:pPr>
              <w:spacing w:before="60" w:after="60"/>
              <w:jc w:val="center"/>
              <w:rPr>
                <w:noProof/>
                <w:sz w:val="20"/>
              </w:rPr>
            </w:pPr>
          </w:p>
        </w:tc>
      </w:tr>
    </w:tbl>
    <w:p w14:paraId="224F0A15" w14:textId="77777777" w:rsidR="00FA5543" w:rsidRPr="00C34031" w:rsidRDefault="00FA5543" w:rsidP="00390489">
      <w:pPr>
        <w:outlineLvl w:val="1"/>
        <w:rPr>
          <w:noProof/>
          <w:szCs w:val="24"/>
        </w:rPr>
      </w:pPr>
      <w:r w:rsidRPr="00C34031">
        <w:rPr>
          <w:noProof/>
        </w:rPr>
        <w:br/>
      </w:r>
      <w:bookmarkStart w:id="3" w:name="_Hlk166860179"/>
      <w:r w:rsidRPr="00C34031">
        <w:rPr>
          <w:noProof/>
        </w:rPr>
        <w:t>3.3.</w:t>
      </w:r>
      <w:r w:rsidRPr="00C34031">
        <w:rPr>
          <w:noProof/>
        </w:rPr>
        <w:tab/>
        <w:t xml:space="preserve">Odhadovaný dopad na příjmy </w:t>
      </w:r>
    </w:p>
    <w:bookmarkEnd w:id="3"/>
    <w:p w14:paraId="4D429E3F" w14:textId="77777777" w:rsidR="00FA5543" w:rsidRPr="00C34031" w:rsidRDefault="6C3AF1E0" w:rsidP="00390489">
      <w:pPr>
        <w:pStyle w:val="ListDash1"/>
        <w:rPr>
          <w:noProof/>
        </w:rPr>
      </w:pPr>
      <w:r w:rsidRPr="00C34031">
        <w:rPr>
          <w:rFonts w:ascii="Wingdings" w:hAnsi="Wingdings"/>
          <w:noProof/>
        </w:rPr>
        <w:t></w:t>
      </w:r>
      <w:r w:rsidRPr="00C34031">
        <w:rPr>
          <w:noProof/>
        </w:rPr>
        <w:tab/>
        <w:t>Návrh/podnět nemá žádný finanční dopad na příjmy.</w:t>
      </w:r>
    </w:p>
    <w:p w14:paraId="0FBDAFD4" w14:textId="77777777" w:rsidR="00FA5543" w:rsidRPr="00C34031" w:rsidRDefault="02C43BC7" w:rsidP="00390489">
      <w:pPr>
        <w:pStyle w:val="ListDash1"/>
        <w:rPr>
          <w:noProof/>
        </w:rPr>
      </w:pPr>
      <w:r w:rsidRPr="00C34031">
        <w:rPr>
          <w:rFonts w:ascii="Wingdings" w:hAnsi="Wingdings"/>
          <w:noProof/>
        </w:rPr>
        <w:t></w:t>
      </w:r>
      <w:r w:rsidRPr="00C34031">
        <w:rPr>
          <w:noProof/>
        </w:rPr>
        <w:t xml:space="preserve"> Návrh/podnět má tento finanční dopad:</w:t>
      </w:r>
    </w:p>
    <w:p w14:paraId="7B0F22CA" w14:textId="77777777" w:rsidR="00FA5543" w:rsidRPr="00C34031" w:rsidRDefault="284E1829" w:rsidP="00FA5543">
      <w:pPr>
        <w:pStyle w:val="ListNumberLevel3"/>
        <w:rPr>
          <w:noProof/>
        </w:rPr>
      </w:pPr>
      <w:r w:rsidRPr="00C34031">
        <w:rPr>
          <w:rFonts w:ascii="Wingdings" w:hAnsi="Wingdings"/>
          <w:noProof/>
        </w:rPr>
        <w:t></w:t>
      </w:r>
      <w:r w:rsidRPr="00C34031">
        <w:rPr>
          <w:noProof/>
        </w:rPr>
        <w:tab/>
        <w:t xml:space="preserve">na vlastní zdroje </w:t>
      </w:r>
    </w:p>
    <w:p w14:paraId="0EB6AA3A" w14:textId="77777777" w:rsidR="00FA5543" w:rsidRPr="00C34031" w:rsidRDefault="00FA5543" w:rsidP="00FA5543">
      <w:pPr>
        <w:pStyle w:val="ListNumberLevel3"/>
        <w:rPr>
          <w:noProof/>
        </w:rPr>
      </w:pPr>
      <w:r w:rsidRPr="00C34031">
        <w:rPr>
          <w:rFonts w:ascii="Wingdings" w:hAnsi="Wingdings"/>
          <w:noProof/>
        </w:rPr>
        <w:t></w:t>
      </w:r>
      <w:r w:rsidRPr="00C34031">
        <w:rPr>
          <w:noProof/>
        </w:rPr>
        <w:tab/>
        <w:t>na jiné příjmy</w:t>
      </w:r>
    </w:p>
    <w:p w14:paraId="10AD3CE1" w14:textId="77777777" w:rsidR="00FA5543" w:rsidRPr="00C34031" w:rsidRDefault="00FA5543" w:rsidP="00FA5543">
      <w:pPr>
        <w:pStyle w:val="ListNumberLevel3"/>
        <w:rPr>
          <w:noProof/>
        </w:rPr>
      </w:pPr>
      <w:r w:rsidRPr="00C34031">
        <w:rPr>
          <w:rFonts w:ascii="Wingdings" w:hAnsi="Wingdings"/>
          <w:noProof/>
        </w:rPr>
        <w:t></w:t>
      </w:r>
      <w:r w:rsidRPr="00C34031">
        <w:rPr>
          <w:rFonts w:ascii="Wingdings" w:hAnsi="Wingdings"/>
          <w:noProof/>
        </w:rPr>
        <w:tab/>
      </w:r>
      <w:r w:rsidRPr="00C34031">
        <w:rPr>
          <w:noProof/>
        </w:rPr>
        <w:t>uveďte, zda je příjem účelově vázán na výdajové položky</w:t>
      </w:r>
    </w:p>
    <w:p w14:paraId="610533FE" w14:textId="77777777" w:rsidR="00FA5543" w:rsidRPr="00C34031" w:rsidRDefault="6C3AF1E0" w:rsidP="00390489">
      <w:pPr>
        <w:jc w:val="right"/>
        <w:rPr>
          <w:noProof/>
          <w:sz w:val="20"/>
        </w:rPr>
      </w:pPr>
      <w:r w:rsidRPr="00C34031">
        <w:rPr>
          <w:noProof/>
          <w:sz w:val="20"/>
        </w:rPr>
        <w:t xml:space="preserve">     v milionech EUR (zaokrouhleno na tři desetinná místa)</w:t>
      </w:r>
    </w:p>
    <w:tbl>
      <w:tblPr>
        <w:tblW w:w="0" w:type="auto"/>
        <w:tblLayout w:type="fixed"/>
        <w:tblLook w:val="06A0" w:firstRow="1" w:lastRow="0" w:firstColumn="1" w:lastColumn="0" w:noHBand="1" w:noVBand="1"/>
      </w:tblPr>
      <w:tblGrid>
        <w:gridCol w:w="2329"/>
        <w:gridCol w:w="1392"/>
        <w:gridCol w:w="1463"/>
        <w:gridCol w:w="873"/>
        <w:gridCol w:w="865"/>
        <w:gridCol w:w="1069"/>
        <w:gridCol w:w="1069"/>
      </w:tblGrid>
      <w:tr w:rsidR="139DF8FE" w:rsidRPr="00C34031" w14:paraId="7C2956BB" w14:textId="77777777" w:rsidTr="139DF8FE">
        <w:trPr>
          <w:trHeight w:val="390"/>
        </w:trPr>
        <w:tc>
          <w:tcPr>
            <w:tcW w:w="232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A87037" w14:textId="77777777" w:rsidR="139DF8FE" w:rsidRPr="00C34031" w:rsidRDefault="139DF8FE" w:rsidP="139DF8FE">
            <w:pPr>
              <w:spacing w:before="40" w:after="40"/>
              <w:rPr>
                <w:noProof/>
              </w:rPr>
            </w:pPr>
            <w:r w:rsidRPr="00C34031">
              <w:rPr>
                <w:noProof/>
                <w:sz w:val="18"/>
              </w:rPr>
              <w:t>Příjmová rozpočtová položka:</w:t>
            </w:r>
          </w:p>
        </w:tc>
        <w:tc>
          <w:tcPr>
            <w:tcW w:w="1392"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E5B8C3" w14:textId="77777777" w:rsidR="139DF8FE" w:rsidRPr="00C34031" w:rsidRDefault="139DF8FE" w:rsidP="139DF8FE">
            <w:pPr>
              <w:jc w:val="center"/>
              <w:rPr>
                <w:noProof/>
              </w:rPr>
            </w:pPr>
            <w:r w:rsidRPr="00C34031">
              <w:rPr>
                <w:noProof/>
                <w:sz w:val="18"/>
              </w:rPr>
              <w:t>Prostředky dostupné v běžném rozpočtovém roce</w:t>
            </w:r>
          </w:p>
        </w:tc>
        <w:tc>
          <w:tcPr>
            <w:tcW w:w="5339" w:type="dxa"/>
            <w:gridSpan w:val="5"/>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EDCEF4" w14:textId="77777777" w:rsidR="139DF8FE" w:rsidRPr="00C34031" w:rsidRDefault="139DF8FE" w:rsidP="139DF8FE">
            <w:pPr>
              <w:jc w:val="center"/>
              <w:rPr>
                <w:noProof/>
              </w:rPr>
            </w:pPr>
            <w:r w:rsidRPr="00C34031">
              <w:rPr>
                <w:noProof/>
                <w:sz w:val="18"/>
              </w:rPr>
              <w:t>Dopad návrhu/podnětu</w:t>
            </w:r>
            <w:hyperlink r:id="rId25" w:anchor="_ftn1">
              <w:r w:rsidRPr="00C34031">
                <w:rPr>
                  <w:rStyle w:val="Hyperlink"/>
                  <w:noProof/>
                  <w:sz w:val="18"/>
                  <w:vertAlign w:val="superscript"/>
                </w:rPr>
                <w:t>[1]</w:t>
              </w:r>
            </w:hyperlink>
          </w:p>
        </w:tc>
      </w:tr>
      <w:tr w:rsidR="00F605F1" w:rsidRPr="00C34031" w14:paraId="610273E3" w14:textId="77777777" w:rsidTr="139DF8FE">
        <w:trPr>
          <w:trHeight w:val="390"/>
        </w:trPr>
        <w:tc>
          <w:tcPr>
            <w:tcW w:w="2329" w:type="dxa"/>
            <w:vMerge/>
            <w:vAlign w:val="center"/>
          </w:tcPr>
          <w:p w14:paraId="58F139F2" w14:textId="77777777" w:rsidR="00A60788" w:rsidRPr="00C34031" w:rsidRDefault="00A60788">
            <w:pPr>
              <w:rPr>
                <w:noProof/>
              </w:rPr>
            </w:pPr>
          </w:p>
        </w:tc>
        <w:tc>
          <w:tcPr>
            <w:tcW w:w="1392" w:type="dxa"/>
            <w:vMerge/>
            <w:vAlign w:val="center"/>
          </w:tcPr>
          <w:p w14:paraId="3948D60D" w14:textId="77777777" w:rsidR="00A60788" w:rsidRPr="00C34031" w:rsidRDefault="00A60788">
            <w:pPr>
              <w:rPr>
                <w:noProof/>
              </w:rPr>
            </w:pPr>
          </w:p>
        </w:tc>
        <w:tc>
          <w:tcPr>
            <w:tcW w:w="1463" w:type="dxa"/>
            <w:tcBorders>
              <w:top w:val="single" w:sz="8" w:space="0" w:color="auto"/>
              <w:left w:val="nil"/>
              <w:bottom w:val="single" w:sz="8" w:space="0" w:color="auto"/>
              <w:right w:val="single" w:sz="8" w:space="0" w:color="auto"/>
            </w:tcBorders>
            <w:tcMar>
              <w:left w:w="108" w:type="dxa"/>
              <w:right w:w="108" w:type="dxa"/>
            </w:tcMar>
            <w:vAlign w:val="center"/>
          </w:tcPr>
          <w:p w14:paraId="3A488218" w14:textId="77777777" w:rsidR="139DF8FE" w:rsidRPr="00C34031" w:rsidRDefault="139DF8FE" w:rsidP="139DF8FE">
            <w:pPr>
              <w:jc w:val="center"/>
              <w:rPr>
                <w:noProof/>
              </w:rPr>
            </w:pPr>
            <w:r w:rsidRPr="00C34031">
              <w:rPr>
                <w:noProof/>
                <w:sz w:val="18"/>
              </w:rPr>
              <w:t xml:space="preserve">Rok </w:t>
            </w:r>
            <w:r w:rsidRPr="00C34031">
              <w:rPr>
                <w:b/>
                <w:noProof/>
                <w:sz w:val="18"/>
              </w:rPr>
              <w:t>2026</w:t>
            </w:r>
          </w:p>
        </w:tc>
        <w:tc>
          <w:tcPr>
            <w:tcW w:w="873" w:type="dxa"/>
            <w:tcBorders>
              <w:top w:val="nil"/>
              <w:left w:val="single" w:sz="8" w:space="0" w:color="auto"/>
              <w:bottom w:val="single" w:sz="8" w:space="0" w:color="auto"/>
              <w:right w:val="single" w:sz="8" w:space="0" w:color="auto"/>
            </w:tcBorders>
            <w:tcMar>
              <w:left w:w="108" w:type="dxa"/>
              <w:right w:w="108" w:type="dxa"/>
            </w:tcMar>
            <w:vAlign w:val="center"/>
          </w:tcPr>
          <w:p w14:paraId="0AB3B69A" w14:textId="77777777" w:rsidR="139DF8FE" w:rsidRPr="00C34031" w:rsidRDefault="139DF8FE" w:rsidP="139DF8FE">
            <w:pPr>
              <w:jc w:val="center"/>
              <w:rPr>
                <w:noProof/>
              </w:rPr>
            </w:pPr>
            <w:r w:rsidRPr="00C34031">
              <w:rPr>
                <w:noProof/>
                <w:sz w:val="18"/>
              </w:rPr>
              <w:t xml:space="preserve">Rok </w:t>
            </w:r>
            <w:r w:rsidRPr="00C34031">
              <w:rPr>
                <w:b/>
                <w:noProof/>
                <w:sz w:val="18"/>
              </w:rPr>
              <w:t>2027</w:t>
            </w:r>
          </w:p>
        </w:tc>
        <w:tc>
          <w:tcPr>
            <w:tcW w:w="865" w:type="dxa"/>
            <w:tcBorders>
              <w:top w:val="nil"/>
              <w:left w:val="single" w:sz="8" w:space="0" w:color="auto"/>
              <w:bottom w:val="single" w:sz="8" w:space="0" w:color="auto"/>
              <w:right w:val="single" w:sz="8" w:space="0" w:color="auto"/>
            </w:tcBorders>
            <w:tcMar>
              <w:left w:w="108" w:type="dxa"/>
              <w:right w:w="108" w:type="dxa"/>
            </w:tcMar>
            <w:vAlign w:val="center"/>
          </w:tcPr>
          <w:p w14:paraId="2B70EA4B" w14:textId="77777777" w:rsidR="139DF8FE" w:rsidRPr="00C34031" w:rsidRDefault="139DF8FE" w:rsidP="139DF8FE">
            <w:pPr>
              <w:jc w:val="center"/>
              <w:rPr>
                <w:noProof/>
              </w:rPr>
            </w:pPr>
            <w:r w:rsidRPr="00C34031">
              <w:rPr>
                <w:noProof/>
                <w:sz w:val="18"/>
              </w:rPr>
              <w:t xml:space="preserve">Rok </w:t>
            </w:r>
            <w:r w:rsidRPr="00C34031">
              <w:rPr>
                <w:b/>
                <w:noProof/>
                <w:sz w:val="18"/>
              </w:rPr>
              <w:t>2028</w:t>
            </w:r>
          </w:p>
        </w:tc>
        <w:tc>
          <w:tcPr>
            <w:tcW w:w="1069" w:type="dxa"/>
            <w:tcBorders>
              <w:top w:val="nil"/>
              <w:left w:val="single" w:sz="8" w:space="0" w:color="auto"/>
              <w:bottom w:val="single" w:sz="8" w:space="0" w:color="auto"/>
              <w:right w:val="single" w:sz="8" w:space="0" w:color="auto"/>
            </w:tcBorders>
            <w:tcMar>
              <w:left w:w="108" w:type="dxa"/>
              <w:right w:w="108" w:type="dxa"/>
            </w:tcMar>
            <w:vAlign w:val="center"/>
          </w:tcPr>
          <w:p w14:paraId="25D90981" w14:textId="77777777" w:rsidR="139DF8FE" w:rsidRPr="00C34031" w:rsidRDefault="139DF8FE" w:rsidP="139DF8FE">
            <w:pPr>
              <w:jc w:val="center"/>
              <w:rPr>
                <w:noProof/>
              </w:rPr>
            </w:pPr>
            <w:r w:rsidRPr="00C34031">
              <w:rPr>
                <w:noProof/>
                <w:sz w:val="18"/>
              </w:rPr>
              <w:t xml:space="preserve">Rok </w:t>
            </w:r>
            <w:r w:rsidRPr="00C34031">
              <w:rPr>
                <w:b/>
                <w:noProof/>
                <w:sz w:val="18"/>
              </w:rPr>
              <w:t>2029</w:t>
            </w:r>
          </w:p>
        </w:tc>
        <w:tc>
          <w:tcPr>
            <w:tcW w:w="1069" w:type="dxa"/>
            <w:tcBorders>
              <w:top w:val="nil"/>
              <w:left w:val="single" w:sz="8" w:space="0" w:color="auto"/>
              <w:bottom w:val="single" w:sz="8" w:space="0" w:color="auto"/>
              <w:right w:val="single" w:sz="8" w:space="0" w:color="auto"/>
            </w:tcBorders>
            <w:tcMar>
              <w:left w:w="108" w:type="dxa"/>
              <w:right w:w="108" w:type="dxa"/>
            </w:tcMar>
          </w:tcPr>
          <w:p w14:paraId="124E4D91" w14:textId="77777777" w:rsidR="139DF8FE" w:rsidRPr="00C34031" w:rsidRDefault="139DF8FE" w:rsidP="139DF8FE">
            <w:pPr>
              <w:jc w:val="center"/>
              <w:rPr>
                <w:noProof/>
              </w:rPr>
            </w:pPr>
            <w:r w:rsidRPr="00C34031">
              <w:rPr>
                <w:noProof/>
                <w:sz w:val="18"/>
              </w:rPr>
              <w:t xml:space="preserve">Rok </w:t>
            </w:r>
            <w:r w:rsidRPr="00C34031">
              <w:rPr>
                <w:b/>
                <w:noProof/>
                <w:sz w:val="18"/>
              </w:rPr>
              <w:t>2030</w:t>
            </w:r>
          </w:p>
        </w:tc>
      </w:tr>
      <w:tr w:rsidR="139DF8FE" w:rsidRPr="00C34031" w14:paraId="3AD625BC" w14:textId="77777777" w:rsidTr="139DF8FE">
        <w:trPr>
          <w:trHeight w:val="390"/>
        </w:trPr>
        <w:tc>
          <w:tcPr>
            <w:tcW w:w="2329" w:type="dxa"/>
            <w:tcBorders>
              <w:top w:val="nil"/>
              <w:left w:val="single" w:sz="8" w:space="0" w:color="auto"/>
              <w:bottom w:val="single" w:sz="8" w:space="0" w:color="auto"/>
              <w:right w:val="single" w:sz="8" w:space="0" w:color="auto"/>
            </w:tcBorders>
            <w:tcMar>
              <w:left w:w="108" w:type="dxa"/>
              <w:right w:w="108" w:type="dxa"/>
            </w:tcMar>
            <w:vAlign w:val="center"/>
          </w:tcPr>
          <w:p w14:paraId="3624BEDB" w14:textId="77777777" w:rsidR="139DF8FE" w:rsidRPr="00C34031" w:rsidRDefault="139DF8FE" w:rsidP="139DF8FE">
            <w:pPr>
              <w:spacing w:before="40" w:after="40"/>
              <w:rPr>
                <w:noProof/>
              </w:rPr>
            </w:pPr>
            <w:r w:rsidRPr="00C34031">
              <w:rPr>
                <w:noProof/>
                <w:sz w:val="18"/>
              </w:rPr>
              <w:t>Článek 09 20 04 01</w:t>
            </w:r>
          </w:p>
        </w:tc>
        <w:tc>
          <w:tcPr>
            <w:tcW w:w="1392" w:type="dxa"/>
            <w:tcBorders>
              <w:top w:val="nil"/>
              <w:left w:val="single" w:sz="8" w:space="0" w:color="auto"/>
              <w:bottom w:val="single" w:sz="8" w:space="0" w:color="auto"/>
              <w:right w:val="single" w:sz="8" w:space="0" w:color="auto"/>
            </w:tcBorders>
            <w:tcMar>
              <w:left w:w="108" w:type="dxa"/>
              <w:right w:w="108" w:type="dxa"/>
            </w:tcMar>
          </w:tcPr>
          <w:p w14:paraId="3ABAA6E9" w14:textId="77777777" w:rsidR="139DF8FE" w:rsidRPr="00C34031" w:rsidRDefault="139DF8FE" w:rsidP="139DF8FE">
            <w:pPr>
              <w:spacing w:before="96" w:after="96"/>
              <w:jc w:val="center"/>
              <w:rPr>
                <w:noProof/>
              </w:rPr>
            </w:pPr>
            <w:r w:rsidRPr="00C34031">
              <w:rPr>
                <w:i/>
                <w:noProof/>
                <w:sz w:val="18"/>
              </w:rPr>
              <w:t xml:space="preserve"> </w:t>
            </w:r>
          </w:p>
        </w:tc>
        <w:tc>
          <w:tcPr>
            <w:tcW w:w="1463" w:type="dxa"/>
            <w:tcBorders>
              <w:top w:val="single" w:sz="8" w:space="0" w:color="auto"/>
              <w:left w:val="single" w:sz="8" w:space="0" w:color="auto"/>
              <w:bottom w:val="single" w:sz="8" w:space="0" w:color="auto"/>
              <w:right w:val="single" w:sz="8" w:space="0" w:color="auto"/>
            </w:tcBorders>
            <w:tcMar>
              <w:left w:w="108" w:type="dxa"/>
              <w:right w:w="108" w:type="dxa"/>
            </w:tcMar>
          </w:tcPr>
          <w:p w14:paraId="25A1F9D6" w14:textId="77777777" w:rsidR="139DF8FE" w:rsidRPr="00C34031" w:rsidRDefault="139DF8FE" w:rsidP="139DF8FE">
            <w:pPr>
              <w:spacing w:before="96" w:after="96"/>
              <w:jc w:val="center"/>
              <w:rPr>
                <w:noProof/>
              </w:rPr>
            </w:pPr>
            <w:r w:rsidRPr="00C34031">
              <w:rPr>
                <w:noProof/>
                <w:sz w:val="18"/>
              </w:rPr>
              <w:t xml:space="preserve">1,495 </w:t>
            </w:r>
          </w:p>
        </w:tc>
        <w:tc>
          <w:tcPr>
            <w:tcW w:w="873" w:type="dxa"/>
            <w:tcBorders>
              <w:top w:val="single" w:sz="8" w:space="0" w:color="auto"/>
              <w:left w:val="single" w:sz="8" w:space="0" w:color="auto"/>
              <w:bottom w:val="single" w:sz="8" w:space="0" w:color="auto"/>
              <w:right w:val="single" w:sz="8" w:space="0" w:color="auto"/>
            </w:tcBorders>
            <w:tcMar>
              <w:left w:w="108" w:type="dxa"/>
              <w:right w:w="108" w:type="dxa"/>
            </w:tcMar>
          </w:tcPr>
          <w:p w14:paraId="51FA3B44" w14:textId="77777777" w:rsidR="139DF8FE" w:rsidRPr="00C34031" w:rsidRDefault="139DF8FE" w:rsidP="139DF8FE">
            <w:pPr>
              <w:spacing w:before="96" w:after="96"/>
              <w:jc w:val="center"/>
              <w:rPr>
                <w:noProof/>
              </w:rPr>
            </w:pPr>
            <w:r w:rsidRPr="00C34031">
              <w:rPr>
                <w:noProof/>
                <w:sz w:val="18"/>
              </w:rPr>
              <w:t xml:space="preserve">1,643 </w:t>
            </w:r>
          </w:p>
        </w:tc>
        <w:tc>
          <w:tcPr>
            <w:tcW w:w="865" w:type="dxa"/>
            <w:tcBorders>
              <w:top w:val="single" w:sz="8" w:space="0" w:color="auto"/>
              <w:left w:val="single" w:sz="8" w:space="0" w:color="auto"/>
              <w:bottom w:val="single" w:sz="8" w:space="0" w:color="auto"/>
              <w:right w:val="single" w:sz="8" w:space="0" w:color="auto"/>
            </w:tcBorders>
            <w:tcMar>
              <w:left w:w="108" w:type="dxa"/>
              <w:right w:w="108" w:type="dxa"/>
            </w:tcMar>
          </w:tcPr>
          <w:p w14:paraId="07C08635" w14:textId="77777777" w:rsidR="139DF8FE" w:rsidRPr="00C34031" w:rsidRDefault="139DF8FE" w:rsidP="139DF8FE">
            <w:pPr>
              <w:spacing w:before="96" w:after="96"/>
              <w:jc w:val="center"/>
              <w:rPr>
                <w:noProof/>
              </w:rPr>
            </w:pPr>
            <w:r w:rsidRPr="00C34031">
              <w:rPr>
                <w:noProof/>
                <w:sz w:val="18"/>
              </w:rPr>
              <w:t xml:space="preserve">1,792 </w:t>
            </w:r>
          </w:p>
        </w:tc>
        <w:tc>
          <w:tcPr>
            <w:tcW w:w="1069" w:type="dxa"/>
            <w:tcBorders>
              <w:top w:val="single" w:sz="8" w:space="0" w:color="auto"/>
              <w:left w:val="single" w:sz="8" w:space="0" w:color="auto"/>
              <w:bottom w:val="single" w:sz="8" w:space="0" w:color="auto"/>
              <w:right w:val="single" w:sz="8" w:space="0" w:color="auto"/>
            </w:tcBorders>
            <w:tcMar>
              <w:left w:w="108" w:type="dxa"/>
              <w:right w:w="108" w:type="dxa"/>
            </w:tcMar>
          </w:tcPr>
          <w:p w14:paraId="7FE9654F" w14:textId="77777777" w:rsidR="139DF8FE" w:rsidRPr="00C34031" w:rsidRDefault="139DF8FE" w:rsidP="139DF8FE">
            <w:pPr>
              <w:spacing w:before="96" w:after="96"/>
              <w:jc w:val="center"/>
              <w:rPr>
                <w:noProof/>
              </w:rPr>
            </w:pPr>
            <w:r w:rsidRPr="00C34031">
              <w:rPr>
                <w:noProof/>
                <w:sz w:val="18"/>
              </w:rPr>
              <w:t>1,940</w:t>
            </w:r>
          </w:p>
        </w:tc>
        <w:tc>
          <w:tcPr>
            <w:tcW w:w="1069" w:type="dxa"/>
            <w:tcBorders>
              <w:top w:val="single" w:sz="8" w:space="0" w:color="auto"/>
              <w:left w:val="single" w:sz="8" w:space="0" w:color="auto"/>
              <w:bottom w:val="single" w:sz="8" w:space="0" w:color="auto"/>
              <w:right w:val="single" w:sz="8" w:space="0" w:color="auto"/>
            </w:tcBorders>
            <w:tcMar>
              <w:left w:w="108" w:type="dxa"/>
              <w:right w:w="108" w:type="dxa"/>
            </w:tcMar>
          </w:tcPr>
          <w:p w14:paraId="37E08189" w14:textId="77777777" w:rsidR="139DF8FE" w:rsidRPr="00C34031" w:rsidRDefault="139DF8FE" w:rsidP="139DF8FE">
            <w:pPr>
              <w:spacing w:before="96" w:after="96"/>
              <w:jc w:val="center"/>
              <w:rPr>
                <w:noProof/>
              </w:rPr>
            </w:pPr>
            <w:r w:rsidRPr="00C34031">
              <w:rPr>
                <w:noProof/>
                <w:sz w:val="18"/>
              </w:rPr>
              <w:t xml:space="preserve">2,089 </w:t>
            </w:r>
          </w:p>
        </w:tc>
      </w:tr>
    </w:tbl>
    <w:p w14:paraId="44726348" w14:textId="77777777" w:rsidR="139DF8FE" w:rsidRPr="00C34031" w:rsidRDefault="139DF8FE" w:rsidP="139DF8FE">
      <w:pPr>
        <w:spacing w:before="0" w:after="0"/>
        <w:rPr>
          <w:noProof/>
        </w:rPr>
      </w:pPr>
    </w:p>
    <w:p w14:paraId="73578DA8" w14:textId="77777777" w:rsidR="12C23B9B" w:rsidRPr="00C34031" w:rsidRDefault="00336E66" w:rsidP="139DF8FE">
      <w:pPr>
        <w:spacing w:before="0" w:after="0"/>
        <w:ind w:left="720" w:hanging="720"/>
        <w:rPr>
          <w:noProof/>
        </w:rPr>
      </w:pPr>
      <w:hyperlink r:id="rId26" w:anchor="_ftnref1">
        <w:r w:rsidR="00DF75F0" w:rsidRPr="00C34031">
          <w:rPr>
            <w:rStyle w:val="Hyperlink"/>
            <w:noProof/>
            <w:sz w:val="20"/>
            <w:vertAlign w:val="superscript"/>
          </w:rPr>
          <w:t>[1]</w:t>
        </w:r>
      </w:hyperlink>
      <w:r w:rsidR="00DF75F0" w:rsidRPr="00C34031">
        <w:rPr>
          <w:noProof/>
        </w:rPr>
        <w:tab/>
      </w:r>
      <w:r w:rsidR="00DF75F0" w:rsidRPr="00C34031">
        <w:rPr>
          <w:noProof/>
          <w:sz w:val="20"/>
        </w:rPr>
        <w:t>Pokud jde o tradiční vlastní zdroje (cla, dávky z cukru), je třeba uvést čisté částky, tj. hrubé částky po odečtení 20 % nákladů na výběr.</w:t>
      </w:r>
    </w:p>
    <w:p w14:paraId="00E25155" w14:textId="77777777" w:rsidR="139DF8FE" w:rsidRPr="00C34031" w:rsidRDefault="139DF8FE" w:rsidP="139DF8FE">
      <w:pPr>
        <w:pStyle w:val="Text1"/>
        <w:rPr>
          <w:noProof/>
        </w:rPr>
      </w:pPr>
    </w:p>
    <w:p w14:paraId="0556E18E" w14:textId="77777777" w:rsidR="00FA5543" w:rsidRPr="00C34031" w:rsidRDefault="6C3AF1E0" w:rsidP="00390489">
      <w:pPr>
        <w:pStyle w:val="Text1"/>
        <w:rPr>
          <w:noProof/>
          <w:szCs w:val="24"/>
        </w:rPr>
      </w:pPr>
      <w:r w:rsidRPr="00C34031">
        <w:rPr>
          <w:noProof/>
        </w:rPr>
        <w:t>U účelově vázaných příjmů upřesněte dotčené výdajové rozpočtové položky.</w:t>
      </w:r>
    </w:p>
    <w:p w14:paraId="7117B67D" w14:textId="77777777" w:rsidR="00FA5543" w:rsidRPr="00C34031" w:rsidRDefault="050C9E36" w:rsidP="139DF8FE">
      <w:pPr>
        <w:pBdr>
          <w:top w:val="single" w:sz="8" w:space="1" w:color="000000"/>
          <w:left w:val="single" w:sz="8" w:space="4" w:color="000000"/>
          <w:bottom w:val="single" w:sz="8" w:space="1" w:color="000000"/>
          <w:right w:val="single" w:sz="8" w:space="4" w:color="000000"/>
        </w:pBdr>
        <w:ind w:left="720"/>
        <w:rPr>
          <w:rFonts w:eastAsia="Times New Roman"/>
          <w:noProof/>
          <w:szCs w:val="24"/>
        </w:rPr>
      </w:pPr>
      <w:r w:rsidRPr="00C34031">
        <w:rPr>
          <w:noProof/>
        </w:rPr>
        <w:t>CBAM – 09 20 04 01</w:t>
      </w:r>
    </w:p>
    <w:p w14:paraId="35C0BDB3" w14:textId="77777777" w:rsidR="00FA5543" w:rsidRPr="00C34031" w:rsidRDefault="00FA5543" w:rsidP="00390489">
      <w:pPr>
        <w:pStyle w:val="Text1"/>
        <w:rPr>
          <w:noProof/>
          <w:szCs w:val="24"/>
        </w:rPr>
      </w:pPr>
      <w:r w:rsidRPr="00C34031">
        <w:rPr>
          <w:noProof/>
        </w:rPr>
        <w:t>Jiné poznámky (např. způsob/vzorec výpočtu dopadu na příjmy nebo jiné údaje).</w:t>
      </w:r>
    </w:p>
    <w:p w14:paraId="3E3A3FFD" w14:textId="77777777" w:rsidR="00FA5543" w:rsidRPr="00C34031" w:rsidRDefault="748332BC" w:rsidP="139DF8FE">
      <w:pPr>
        <w:pStyle w:val="Text1"/>
        <w:pBdr>
          <w:top w:val="single" w:sz="8" w:space="1" w:color="000000"/>
          <w:left w:val="single" w:sz="8" w:space="4" w:color="000000"/>
          <w:bottom w:val="single" w:sz="8" w:space="1" w:color="000000"/>
          <w:right w:val="single" w:sz="8" w:space="4" w:color="000000"/>
        </w:pBdr>
        <w:rPr>
          <w:rFonts w:eastAsia="Times New Roman"/>
          <w:noProof/>
          <w:szCs w:val="24"/>
        </w:rPr>
      </w:pPr>
      <w:r w:rsidRPr="00C34031">
        <w:rPr>
          <w:noProof/>
        </w:rPr>
        <w:t xml:space="preserve">Odhady podílu dotčených příjmů vycházely z interních výpočtů Komise za použití údajů o dovozu celních orgánů a standardních hodnot. Byly použity za účelem odhadů příjmů z posouzení dopadů Komise z roku 2021, které v roce 2030 činily přibližně 2,1 miliardy EUR.  Vzhledem k tomu, že podle nové prahové hodnoty </w:t>
      </w:r>
      <w:r w:rsidRPr="00C34031">
        <w:rPr>
          <w:i/>
          <w:iCs/>
          <w:noProof/>
        </w:rPr>
        <w:t>de minimis</w:t>
      </w:r>
      <w:r w:rsidRPr="00C34031">
        <w:rPr>
          <w:noProof/>
        </w:rPr>
        <w:t xml:space="preserve"> by nebylo zachyceno méně než 1 % emisí, odhaduje se, že ušlý implikovaný příjem za rok 2030 v důsledku nezachycených emisí činí přibližně 21 000 000 EUR.</w:t>
      </w:r>
    </w:p>
    <w:p w14:paraId="5BB59D15" w14:textId="77777777" w:rsidR="00FA5543" w:rsidRPr="00C34031" w:rsidRDefault="00FA5543" w:rsidP="00390489">
      <w:pPr>
        <w:pStyle w:val="ManualHeading1"/>
        <w:rPr>
          <w:caps/>
          <w:noProof/>
        </w:rPr>
      </w:pPr>
      <w:r w:rsidRPr="00C34031">
        <w:rPr>
          <w:noProof/>
        </w:rPr>
        <w:t>4.</w:t>
      </w:r>
      <w:r w:rsidRPr="00C34031">
        <w:rPr>
          <w:noProof/>
        </w:rPr>
        <w:tab/>
      </w:r>
      <w:bookmarkStart w:id="4" w:name="_Hlk167692977"/>
      <w:r w:rsidRPr="00C34031">
        <w:rPr>
          <w:caps/>
          <w:noProof/>
        </w:rPr>
        <w:t>Digitální rozměr</w:t>
      </w:r>
    </w:p>
    <w:p w14:paraId="6158161A" w14:textId="77777777" w:rsidR="00FA5543" w:rsidRPr="00C34031" w:rsidRDefault="5A3C8582" w:rsidP="139DF8FE">
      <w:pPr>
        <w:pStyle w:val="Text1"/>
        <w:pBdr>
          <w:top w:val="single" w:sz="8" w:space="1" w:color="000000"/>
          <w:left w:val="single" w:sz="8" w:space="4" w:color="000000"/>
          <w:bottom w:val="single" w:sz="8" w:space="1" w:color="000000"/>
          <w:right w:val="single" w:sz="8" w:space="4" w:color="000000"/>
        </w:pBdr>
        <w:spacing w:line="257" w:lineRule="auto"/>
        <w:rPr>
          <w:rFonts w:eastAsia="Times New Roman"/>
          <w:noProof/>
          <w:szCs w:val="24"/>
        </w:rPr>
      </w:pPr>
      <w:r w:rsidRPr="00C34031">
        <w:rPr>
          <w:noProof/>
        </w:rPr>
        <w:t xml:space="preserve">Digitální koncepce a architektura schválená chartou projektu konečného systému CBAM se nemění, pokud jde o digitální požadavky, používané údaje, digitální řešení, posouzení opakované použitelnosti a opatření na podporu digitálního provádění. </w:t>
      </w:r>
    </w:p>
    <w:p w14:paraId="0B54DDBB" w14:textId="77777777" w:rsidR="00FA5543" w:rsidRPr="00C34031" w:rsidRDefault="5A3C8582" w:rsidP="139DF8FE">
      <w:pPr>
        <w:pBdr>
          <w:top w:val="single" w:sz="8" w:space="1" w:color="000000"/>
          <w:left w:val="single" w:sz="8" w:space="4" w:color="000000"/>
          <w:bottom w:val="single" w:sz="8" w:space="1" w:color="000000"/>
          <w:right w:val="single" w:sz="8" w:space="4" w:color="000000"/>
        </w:pBdr>
        <w:spacing w:line="257" w:lineRule="auto"/>
        <w:ind w:left="850"/>
        <w:rPr>
          <w:rFonts w:eastAsia="Times New Roman"/>
          <w:noProof/>
          <w:szCs w:val="24"/>
        </w:rPr>
      </w:pPr>
      <w:r w:rsidRPr="00C34031">
        <w:rPr>
          <w:noProof/>
        </w:rPr>
        <w:t xml:space="preserve">Jediná změna se týká řízení rizik a monitorování obcházení, která byla analyzována a posouzena a zahrnuta do charty projektu, avšak nebyla zahrnuta do odhadů charty projektu. Hlavním cílem složky řízení rizik je podpora odhalování nesrovnalostí a omezení rizika podvodu. </w:t>
      </w:r>
    </w:p>
    <w:p w14:paraId="51CB1331" w14:textId="77777777" w:rsidR="00FA5543" w:rsidRPr="00C34031" w:rsidRDefault="5A3C8582" w:rsidP="139DF8FE">
      <w:pPr>
        <w:pBdr>
          <w:top w:val="single" w:sz="8" w:space="1" w:color="000000"/>
          <w:left w:val="single" w:sz="8" w:space="4" w:color="000000"/>
          <w:bottom w:val="single" w:sz="8" w:space="1" w:color="000000"/>
          <w:right w:val="single" w:sz="8" w:space="4" w:color="000000"/>
        </w:pBdr>
        <w:spacing w:line="257" w:lineRule="auto"/>
        <w:ind w:left="850"/>
        <w:rPr>
          <w:rFonts w:eastAsia="Times New Roman"/>
          <w:noProof/>
          <w:szCs w:val="24"/>
        </w:rPr>
      </w:pPr>
      <w:r w:rsidRPr="00C34031">
        <w:rPr>
          <w:noProof/>
        </w:rPr>
        <w:t>Ke změně architektury digitálního řešení nevedou ani zjednodušující změny, nýbrž je nutný dodatečný rozpočet na provedení změny funkcí a služeb, které již CBAM vytváří.</w:t>
      </w:r>
    </w:p>
    <w:p w14:paraId="76AC2AD8" w14:textId="77777777" w:rsidR="00FA5543" w:rsidRPr="00C34031" w:rsidRDefault="00FA5543" w:rsidP="00390489">
      <w:pPr>
        <w:pStyle w:val="ManualHeading2"/>
        <w:rPr>
          <w:noProof/>
        </w:rPr>
      </w:pPr>
      <w:r w:rsidRPr="00C34031">
        <w:rPr>
          <w:noProof/>
        </w:rPr>
        <w:t>4.1.</w:t>
      </w:r>
      <w:r w:rsidRPr="00C34031">
        <w:rPr>
          <w:noProof/>
        </w:rPr>
        <w:tab/>
        <w:t>Požadavky digitálního významu</w:t>
      </w:r>
    </w:p>
    <w:tbl>
      <w:tblPr>
        <w:tblStyle w:val="TableGrid"/>
        <w:tblW w:w="9072" w:type="dxa"/>
        <w:tblInd w:w="-5" w:type="dxa"/>
        <w:tblLayout w:type="fixed"/>
        <w:tblLook w:val="06A0" w:firstRow="1" w:lastRow="0" w:firstColumn="1" w:lastColumn="0" w:noHBand="1" w:noVBand="1"/>
      </w:tblPr>
      <w:tblGrid>
        <w:gridCol w:w="9072"/>
      </w:tblGrid>
      <w:tr w:rsidR="00FA5543" w:rsidRPr="00C34031" w14:paraId="308C5838" w14:textId="77777777" w:rsidTr="139DF8FE">
        <w:trPr>
          <w:trHeight w:val="300"/>
        </w:trPr>
        <w:tc>
          <w:tcPr>
            <w:tcW w:w="9072" w:type="dxa"/>
          </w:tcPr>
          <w:p w14:paraId="45F49DD3" w14:textId="443D038C" w:rsidR="00FA5543" w:rsidRPr="00C34031" w:rsidRDefault="00C21D19" w:rsidP="139DF8FE">
            <w:pPr>
              <w:spacing w:before="0"/>
              <w:rPr>
                <w:noProof/>
              </w:rPr>
            </w:pPr>
            <w:r w:rsidRPr="00C21D19">
              <w:rPr>
                <w:rFonts w:ascii="Calibri" w:hAnsi="Calibri"/>
                <w:noProof/>
                <w:lang w:val="en-GB" w:eastAsia="en-GB"/>
              </w:rPr>
              <w:drawing>
                <wp:inline distT="0" distB="0" distL="0" distR="0" wp14:anchorId="73BDEA92" wp14:editId="57DCE5A3">
                  <wp:extent cx="5623560" cy="5120640"/>
                  <wp:effectExtent l="0" t="0" r="0" b="3810"/>
                  <wp:docPr id="2003250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250364" name=""/>
                          <pic:cNvPicPr/>
                        </pic:nvPicPr>
                        <pic:blipFill>
                          <a:blip r:embed="rId27"/>
                          <a:stretch>
                            <a:fillRect/>
                          </a:stretch>
                        </pic:blipFill>
                        <pic:spPr>
                          <a:xfrm>
                            <a:off x="0" y="0"/>
                            <a:ext cx="5623560" cy="5120640"/>
                          </a:xfrm>
                          <a:prstGeom prst="rect">
                            <a:avLst/>
                          </a:prstGeom>
                        </pic:spPr>
                      </pic:pic>
                    </a:graphicData>
                  </a:graphic>
                </wp:inline>
              </w:drawing>
            </w:r>
            <w:r w:rsidR="4A43FBFD" w:rsidRPr="00C34031">
              <w:rPr>
                <w:rFonts w:ascii="Calibri" w:hAnsi="Calibri"/>
                <w:noProof/>
              </w:rPr>
              <w:t>Jak ukazuje diagram výše, rejstřík CBAM získává informace o dovozu zboží podléhajícího CBAM z celních systémů EU, a to buď od členských států, nebo prostřednictvím GŘ TAXUD, spolu s celní identifikací dovozců a celní klasifikací dováženého zboží. Systém CBAM na oplátku zpřístupňuje povolení CBAM deklarantů pro CBAM vnitrostátním celním dovozním systémům, aby mohly prosazovat nařízení o CBAM při dovozním odbavení zboží podléhajícího CBAM. Informační systém CBAM si vyměňuje informace o řízení rizik s celními systémy EU. Rozhraní s celními systémy EU je pro fungování CBAM zásadní, protože celá koncepce CBAM má zabránit dvojímu zachycování informací tím, že se od deklarantů pro CBAM požaduje, aby své dovozy doplnili o zprávu o emisích vzniklých při jejich výrobě ve třetích zemích. Základní zásadou CBAM je „jednorázové poskytnutí údajů“.</w:t>
            </w:r>
          </w:p>
          <w:p w14:paraId="54577D25" w14:textId="77777777" w:rsidR="00FA5543" w:rsidRPr="00C34031" w:rsidRDefault="4A43FBFD" w:rsidP="139DF8FE">
            <w:pPr>
              <w:spacing w:before="0"/>
              <w:rPr>
                <w:noProof/>
              </w:rPr>
            </w:pPr>
            <w:r w:rsidRPr="00C34031">
              <w:rPr>
                <w:rFonts w:ascii="Calibri" w:hAnsi="Calibri"/>
                <w:noProof/>
              </w:rPr>
              <w:t xml:space="preserve">CBAM bude rovněž spolupracovat s </w:t>
            </w:r>
            <w:r w:rsidRPr="00C34031">
              <w:rPr>
                <w:rFonts w:ascii="Calibri" w:hAnsi="Calibri"/>
                <w:b/>
                <w:noProof/>
              </w:rPr>
              <w:t>novým</w:t>
            </w:r>
            <w:r w:rsidRPr="00C34031">
              <w:rPr>
                <w:rFonts w:ascii="Calibri" w:hAnsi="Calibri"/>
                <w:noProof/>
              </w:rPr>
              <w:t xml:space="preserve"> mechanismem CBAM (IT systémy nebo jiné prostředky) příslušných vnitrostátních orgánů s cílem podpořit integraci vnitrostátních postupů prosazování CBAM v členských státech a vnitrostátních postupů pro shromažďování informací o pokutách a vymáhání prostředků.</w:t>
            </w:r>
          </w:p>
          <w:p w14:paraId="3B68D7F2" w14:textId="77777777" w:rsidR="00FA5543" w:rsidRPr="00C34031" w:rsidRDefault="4A43FBFD" w:rsidP="139DF8FE">
            <w:pPr>
              <w:spacing w:before="0"/>
              <w:rPr>
                <w:noProof/>
              </w:rPr>
            </w:pPr>
            <w:r w:rsidRPr="00C34031">
              <w:rPr>
                <w:rFonts w:ascii="Calibri" w:hAnsi="Calibri"/>
                <w:noProof/>
              </w:rPr>
              <w:t xml:space="preserve">Dalším </w:t>
            </w:r>
            <w:r w:rsidRPr="00C34031">
              <w:rPr>
                <w:rFonts w:ascii="Calibri" w:hAnsi="Calibri"/>
                <w:b/>
                <w:noProof/>
              </w:rPr>
              <w:t xml:space="preserve">novým </w:t>
            </w:r>
            <w:r w:rsidRPr="00C34031">
              <w:rPr>
                <w:rFonts w:ascii="Calibri" w:hAnsi="Calibri"/>
                <w:noProof/>
              </w:rPr>
              <w:t>klíčovým externím systémem pro CBAM je společná centrální platforma, což je informační systém, jehož prostřednictvím budou deklaranti pro CBAM nakupovat certifikáty CBAM od členských států. Cena certifikátů bude stanovena podle ceny povolenky definované v systému ETS. Deklaranti pro CBAM budou muset čtvrtletně udržovat zůstatek na svých účtech CBAM na úrovni 80 %, aby bylo zajištěno, že budou moci vyřadit požadovaný počet certifikátů za účelem kompenzace svých deklarovaných emisí a cen emisí, které již byly zaplaceny ve třetích zemích. Komise zpětně odkoupí přebytečné certifikáty od deklarantů pro CBAM jménem členských států. Tuto platformu, která však nespadá do působnosti rejstříku CBAM, musí společně zřídit a spravovat Komise a členské státy. Rozhraní se společnou centrální platformou má zásadní význam pro to, aby deklaranti CBAM poskytovali nezbytné certifikáty na svých účtech CBAM. Účty a certifikáty budou vysoce citlivými informacemi.</w:t>
            </w:r>
          </w:p>
          <w:p w14:paraId="40314125" w14:textId="77777777" w:rsidR="00FA5543" w:rsidRPr="00C34031" w:rsidRDefault="4A43FBFD" w:rsidP="139DF8FE">
            <w:pPr>
              <w:spacing w:before="0"/>
              <w:rPr>
                <w:noProof/>
              </w:rPr>
            </w:pPr>
            <w:r w:rsidRPr="00C34031">
              <w:rPr>
                <w:rFonts w:ascii="Calibri" w:hAnsi="Calibri"/>
                <w:noProof/>
              </w:rPr>
              <w:t>Systém ETS jednoduše stanoví prodejní cenu certifikátů.</w:t>
            </w:r>
          </w:p>
          <w:p w14:paraId="3C9D074D" w14:textId="77777777" w:rsidR="00FA5543" w:rsidRPr="00C34031" w:rsidRDefault="4A43FBFD" w:rsidP="139DF8FE">
            <w:pPr>
              <w:spacing w:before="0"/>
              <w:rPr>
                <w:noProof/>
              </w:rPr>
            </w:pPr>
            <w:r w:rsidRPr="00C34031">
              <w:rPr>
                <w:rFonts w:ascii="Calibri" w:hAnsi="Calibri"/>
                <w:noProof/>
              </w:rPr>
              <w:t>Hlavními uživateli rejstříku CBAM jsou deklaranti pro CBAM. GŘ TAXUD předpokládá, že v roce 2026 jich může být až 200 000 (po přijetí zjednodušujícího opatření se počet deklarantů sníží, ale bude dále zvýšen o rozšíření CBAM pro navazující zboží). Budou používat rejstřík CBAM ke každoročnímu deklarování emisí vzniklých při výrobě svého dováženého zboží (v květnu každého roku), k monitorování čtvrtletního zůstatku svých účtů CBAM, pokud jde o certifikáty v porovnání s deklarovaným dovozem, a ke spolupráci s vnitrostátními celními orgány během přezkumu svých prohlášení CBAM. Deklaranti pro CBAM budou nejprve prověřeni příslušnými vnitrostátními orgány prostřednictvím rejstříku CBAM a poté jim bude uděleno povolení dovážet zboží podléhající CBAM a bude jim přidělen účet CBAM. Deklaranti pro CBAM pak budou moci každoročně deklarovat své emise v rejstříku CBAM a vyřazovat požadované certifikáty.</w:t>
            </w:r>
          </w:p>
          <w:p w14:paraId="6F2DED29" w14:textId="77777777" w:rsidR="00FA5543" w:rsidRPr="00C34031" w:rsidRDefault="4A43FBFD" w:rsidP="139DF8FE">
            <w:pPr>
              <w:spacing w:before="0"/>
              <w:rPr>
                <w:noProof/>
              </w:rPr>
            </w:pPr>
            <w:r w:rsidRPr="00C34031">
              <w:rPr>
                <w:rFonts w:ascii="Calibri" w:hAnsi="Calibri"/>
                <w:noProof/>
              </w:rPr>
              <w:t>Provozovatelé zařízení vyrábějících zboží podléhající CBAM ve třetích zemích se před zadáním údajů o emisích svých výrobků zaregistrují v rejstříku CBAM. Deklaranti pro CBAM se budou moci odvolávat na záznamy provozovatelů za účelem zdůvodnění svých vykázaných emisí. Jedná se o významné opatření s cílem snížit regulační zátěž deklarantů pro CBAM a zlepšit kvalitu údajů CBAM. Ačkoli v této fázi neexistují žádné důkazy, které by tento odhad potvrzovaly, GŘ TAXUD odhaduje počet provozovatelů v roce 2026 na 50 000.</w:t>
            </w:r>
          </w:p>
          <w:p w14:paraId="4FF03614" w14:textId="77777777" w:rsidR="00FA5543" w:rsidRPr="00C34031" w:rsidRDefault="4A43FBFD" w:rsidP="139DF8FE">
            <w:pPr>
              <w:spacing w:before="0"/>
              <w:rPr>
                <w:noProof/>
              </w:rPr>
            </w:pPr>
            <w:r w:rsidRPr="00C34031">
              <w:rPr>
                <w:rFonts w:ascii="Calibri" w:hAnsi="Calibri"/>
                <w:noProof/>
              </w:rPr>
              <w:t>Příslušné vnitrostátní orgány, do jejichž působnosti CBAM spadá, budou využívat rejstřík CBAM k poskytování přístupu deklarantům pro CBAM, ke správě povolení CBAM, k monitorování účtů a prohlášení CBAM a k interakci s deklaranty pro CBAM s cílem zajistit, aby dodržovali nařízení o CBAM. Jsou jediným kontaktním místem pro deklaranty pro CBAM.</w:t>
            </w:r>
          </w:p>
          <w:p w14:paraId="4D578497" w14:textId="77777777" w:rsidR="00FA5543" w:rsidRPr="00C34031" w:rsidRDefault="4A43FBFD" w:rsidP="139DF8FE">
            <w:pPr>
              <w:spacing w:before="0"/>
              <w:rPr>
                <w:noProof/>
              </w:rPr>
            </w:pPr>
            <w:r w:rsidRPr="00C34031">
              <w:rPr>
                <w:rFonts w:ascii="Calibri" w:hAnsi="Calibri"/>
                <w:noProof/>
              </w:rPr>
              <w:t>Ostatní orgány budou mít přístup do rejstříku CBAM, aby mohly přispívat k řízení rizik a prosazování předpisů z oblasti své působnosti. Rejstřík CBAM bude koordinovat a podporovat spolupráci mezi agenturami při podpoře dodržování předpisů. Vnitrostátní celní správy ověří platnost povolení CBAM během kontroly dovozních prohlášení s využitím replikačních a ověřovacích služeb rejstříku CBAM prostřednictvím portálu EU CSW-CERTEX.</w:t>
            </w:r>
          </w:p>
          <w:p w14:paraId="31868134" w14:textId="77777777" w:rsidR="00FA5543" w:rsidRPr="00C34031" w:rsidRDefault="4A43FBFD" w:rsidP="139DF8FE">
            <w:pPr>
              <w:spacing w:before="0"/>
              <w:rPr>
                <w:noProof/>
              </w:rPr>
            </w:pPr>
            <w:r w:rsidRPr="00C34031">
              <w:rPr>
                <w:rFonts w:ascii="Calibri" w:hAnsi="Calibri"/>
                <w:noProof/>
              </w:rPr>
              <w:t>V rejstříku CBAM Komise přidělí a vede aktuální účty CBAM deklarantů pro CBAM, přičemž kombinuje informace z dovozů obdržené od vnitrostátních celních správ, emise z ročních prohlášení, množství certifikátů, jejich nákup vykázaný společnou centrální platformou, jejich roční vyřazení potvrzené deklarantem pro CBAM a zpětný nákup nevyužitých certifikátů. Komise bude využívat rejstřík CBAM k monitorování dováženého zboží a souvisejících emisí za účelem řízení rizik, a zejména rizika obcházení. Rejstřík CBAM rovněž nabídne bezpečné fórum pro výměnu citlivých informací mezi všemi orgány odpovědnými za prosazování nařízení o CBAM.</w:t>
            </w:r>
          </w:p>
          <w:p w14:paraId="10177465" w14:textId="77777777" w:rsidR="00FA5543" w:rsidRPr="00C34031" w:rsidRDefault="4A43FBFD" w:rsidP="139DF8FE">
            <w:pPr>
              <w:spacing w:before="0"/>
              <w:rPr>
                <w:noProof/>
              </w:rPr>
            </w:pPr>
            <w:r w:rsidRPr="00C34031">
              <w:rPr>
                <w:rFonts w:ascii="Calibri" w:hAnsi="Calibri"/>
                <w:noProof/>
              </w:rPr>
              <w:t>Přístup všech účastníků do rejstříku CBAM prostřednictvím specializovaných portálů podporovaných správou distribuovaného přístupu mezi zúčastněnými stranami:</w:t>
            </w:r>
          </w:p>
          <w:p w14:paraId="6ED90B9F" w14:textId="77777777" w:rsidR="00FA5543" w:rsidRPr="00C34031" w:rsidRDefault="4A43FBFD" w:rsidP="139DF8FE">
            <w:pPr>
              <w:pStyle w:val="ListParagraph"/>
              <w:numPr>
                <w:ilvl w:val="0"/>
                <w:numId w:val="6"/>
              </w:numPr>
              <w:spacing w:before="0" w:after="0"/>
              <w:ind w:left="360"/>
              <w:rPr>
                <w:rFonts w:ascii="Calibri" w:eastAsia="Calibri" w:hAnsi="Calibri" w:cs="Calibri"/>
                <w:noProof/>
                <w:szCs w:val="24"/>
              </w:rPr>
            </w:pPr>
            <w:r w:rsidRPr="00C34031">
              <w:rPr>
                <w:rFonts w:ascii="Calibri" w:hAnsi="Calibri"/>
                <w:noProof/>
              </w:rPr>
              <w:t>příslušné vnitrostátní orgány budou spravovat přístup deklarantů pro CBAM k portálu deklarantů pro CBAM, a to buď pomocí vnitrostátních přihlašovacích údajů, které již udělily vnitrostátní celní správy, nebo pomocí služby EU Login,</w:t>
            </w:r>
          </w:p>
          <w:p w14:paraId="179FD72A" w14:textId="77777777" w:rsidR="00FA5543" w:rsidRPr="00C34031" w:rsidRDefault="4A43FBFD" w:rsidP="139DF8FE">
            <w:pPr>
              <w:pStyle w:val="ListParagraph"/>
              <w:numPr>
                <w:ilvl w:val="0"/>
                <w:numId w:val="6"/>
              </w:numPr>
              <w:spacing w:before="0" w:after="0"/>
              <w:ind w:left="360"/>
              <w:rPr>
                <w:rFonts w:ascii="Calibri" w:eastAsia="Calibri" w:hAnsi="Calibri" w:cs="Calibri"/>
                <w:noProof/>
                <w:szCs w:val="24"/>
              </w:rPr>
            </w:pPr>
            <w:r w:rsidRPr="00C34031">
              <w:rPr>
                <w:rFonts w:ascii="Calibri" w:hAnsi="Calibri"/>
                <w:noProof/>
              </w:rPr>
              <w:t>Komise bude spravovat přístup provozovatelů zařízení ve třetích zemích na stejnojmenný portál s využitím přihlašovacích údajů poskytnutých systémem EU Login. Zbývá vyjasnit, zda se Komise bude spoléhat na externí důvěryhodné strany, aby je pověřila udělováním oprávnění k přístupu do rejstříku CBAM,</w:t>
            </w:r>
          </w:p>
          <w:p w14:paraId="6A0E183C" w14:textId="77777777" w:rsidR="00FA5543" w:rsidRPr="00C34031" w:rsidRDefault="4A43FBFD" w:rsidP="139DF8FE">
            <w:pPr>
              <w:pStyle w:val="ListParagraph"/>
              <w:numPr>
                <w:ilvl w:val="0"/>
                <w:numId w:val="6"/>
              </w:numPr>
              <w:spacing w:before="0" w:after="0"/>
              <w:ind w:left="360"/>
              <w:rPr>
                <w:rFonts w:ascii="Calibri" w:eastAsia="Calibri" w:hAnsi="Calibri" w:cs="Calibri"/>
                <w:noProof/>
                <w:szCs w:val="24"/>
              </w:rPr>
            </w:pPr>
            <w:r w:rsidRPr="00C34031">
              <w:rPr>
                <w:rFonts w:ascii="Calibri" w:hAnsi="Calibri"/>
                <w:noProof/>
              </w:rPr>
              <w:t>příslušný vnitrostátní orgán, Komise a další orgány budou spravovat přístup svých uživatelů.</w:t>
            </w:r>
          </w:p>
          <w:p w14:paraId="39C4958E" w14:textId="77777777" w:rsidR="00FA5543" w:rsidRPr="00C34031" w:rsidRDefault="4A43FBFD" w:rsidP="139DF8FE">
            <w:pPr>
              <w:spacing w:before="0"/>
              <w:rPr>
                <w:noProof/>
              </w:rPr>
            </w:pPr>
            <w:r w:rsidRPr="00C34031">
              <w:rPr>
                <w:rFonts w:ascii="Calibri" w:hAnsi="Calibri"/>
                <w:noProof/>
              </w:rPr>
              <w:t xml:space="preserve"> </w:t>
            </w:r>
          </w:p>
          <w:p w14:paraId="45AA47AB" w14:textId="77777777" w:rsidR="00FA5543" w:rsidRPr="00C34031" w:rsidRDefault="4A43FBFD" w:rsidP="139DF8FE">
            <w:pPr>
              <w:spacing w:before="0"/>
              <w:rPr>
                <w:noProof/>
              </w:rPr>
            </w:pPr>
            <w:r w:rsidRPr="00C34031">
              <w:rPr>
                <w:rFonts w:ascii="Calibri" w:hAnsi="Calibri"/>
                <w:noProof/>
              </w:rPr>
              <w:t>Základní rejstřík CBAM zobrazuje automatizované procesy, které bude Komise provádět za účelem plnění svých povinností podle nařízení o CBAM, jak je shrnuto výše. Správa referenčních údajů bude klíčovým administrativním procesem, který zajistí konzistentnost a integritu všech automatizovaných procesů, jež slouží ke spolupráci a kooperaci mezi všemi zúčastněnými stranami. Kromě „jednoduchého“ seznamu zboží, příslušných vnitrostátních orgánů a ceny emisí budou tyto orgány uvádět konkrétní parametry používané pro vykazování emisí podle specifických metodik a standardní hodnotu pro stanovené emise. Standardní hodnota je klíčová pro ověření věrohodnosti deklarovaných emisí.</w:t>
            </w:r>
          </w:p>
        </w:tc>
      </w:tr>
    </w:tbl>
    <w:p w14:paraId="132121CE" w14:textId="77777777" w:rsidR="00FA5543" w:rsidRPr="00C34031" w:rsidRDefault="00FA5543" w:rsidP="00390489">
      <w:pPr>
        <w:pStyle w:val="ManualHeading2"/>
        <w:rPr>
          <w:noProof/>
        </w:rPr>
      </w:pPr>
      <w:r w:rsidRPr="00C34031">
        <w:rPr>
          <w:noProof/>
        </w:rPr>
        <w:t>4.2.</w:t>
      </w:r>
      <w:r w:rsidRPr="00C34031">
        <w:rPr>
          <w:noProof/>
        </w:rPr>
        <w:tab/>
        <w:t>Údaje</w:t>
      </w:r>
    </w:p>
    <w:tbl>
      <w:tblPr>
        <w:tblStyle w:val="TableGrid"/>
        <w:tblW w:w="0" w:type="auto"/>
        <w:tblLook w:val="04A0" w:firstRow="1" w:lastRow="0" w:firstColumn="1" w:lastColumn="0" w:noHBand="0" w:noVBand="1"/>
      </w:tblPr>
      <w:tblGrid>
        <w:gridCol w:w="2348"/>
        <w:gridCol w:w="6281"/>
        <w:gridCol w:w="434"/>
      </w:tblGrid>
      <w:tr w:rsidR="00FA5543" w:rsidRPr="00C34031" w14:paraId="41014A84" w14:textId="77777777" w:rsidTr="139DF8FE">
        <w:trPr>
          <w:trHeight w:val="300"/>
        </w:trPr>
        <w:tc>
          <w:tcPr>
            <w:tcW w:w="9063" w:type="dxa"/>
            <w:gridSpan w:val="3"/>
          </w:tcPr>
          <w:p w14:paraId="791A9DEB" w14:textId="77777777" w:rsidR="00FA5543" w:rsidRPr="00C34031" w:rsidRDefault="40BC9099" w:rsidP="139DF8FE">
            <w:pPr>
              <w:rPr>
                <w:noProof/>
                <w:szCs w:val="24"/>
              </w:rPr>
            </w:pPr>
            <w:r w:rsidRPr="00C34031">
              <w:rPr>
                <w:noProof/>
              </w:rPr>
              <w:t xml:space="preserve">CBAM bude zpracovávat následující soubory údajů </w:t>
            </w:r>
          </w:p>
          <w:p w14:paraId="0D294885" w14:textId="77777777" w:rsidR="00FA5543" w:rsidRPr="00C34031" w:rsidRDefault="40BC9099" w:rsidP="139DF8FE">
            <w:pPr>
              <w:pStyle w:val="ListParagraph"/>
              <w:numPr>
                <w:ilvl w:val="0"/>
                <w:numId w:val="5"/>
              </w:numPr>
              <w:spacing w:before="0" w:after="0"/>
              <w:ind w:left="360"/>
              <w:rPr>
                <w:noProof/>
                <w:szCs w:val="24"/>
              </w:rPr>
            </w:pPr>
            <w:r w:rsidRPr="00C34031">
              <w:rPr>
                <w:noProof/>
              </w:rPr>
              <w:t>Údaje deklaranta pro CBAM (Fáze 2)</w:t>
            </w:r>
          </w:p>
          <w:p w14:paraId="03CFCB72" w14:textId="77777777" w:rsidR="00FA5543" w:rsidRPr="00C34031" w:rsidRDefault="40BC9099" w:rsidP="139DF8FE">
            <w:pPr>
              <w:pStyle w:val="ListParagraph"/>
              <w:numPr>
                <w:ilvl w:val="0"/>
                <w:numId w:val="5"/>
              </w:numPr>
              <w:spacing w:before="0" w:after="0"/>
              <w:ind w:left="360"/>
              <w:rPr>
                <w:noProof/>
                <w:szCs w:val="24"/>
              </w:rPr>
            </w:pPr>
            <w:r w:rsidRPr="00C34031">
              <w:rPr>
                <w:noProof/>
              </w:rPr>
              <w:t>Údaje o provozovatelích ve třetích zemích a jejich zařízeních (Fáze 2)</w:t>
            </w:r>
          </w:p>
          <w:p w14:paraId="55BC7F92" w14:textId="77777777" w:rsidR="00FA5543" w:rsidRPr="00C34031" w:rsidRDefault="40BC9099" w:rsidP="139DF8FE">
            <w:pPr>
              <w:pStyle w:val="ListParagraph"/>
              <w:numPr>
                <w:ilvl w:val="0"/>
                <w:numId w:val="5"/>
              </w:numPr>
              <w:spacing w:before="0" w:after="0"/>
              <w:ind w:left="360"/>
              <w:rPr>
                <w:noProof/>
                <w:szCs w:val="24"/>
              </w:rPr>
            </w:pPr>
            <w:r w:rsidRPr="00C34031">
              <w:rPr>
                <w:noProof/>
              </w:rPr>
              <w:t>Referenční údaje CBAM (Fáze 2)</w:t>
            </w:r>
          </w:p>
          <w:p w14:paraId="3B76F5DB" w14:textId="77777777" w:rsidR="00FA5543" w:rsidRPr="00C34031" w:rsidRDefault="40BC9099" w:rsidP="139DF8FE">
            <w:pPr>
              <w:pStyle w:val="ListParagraph"/>
              <w:numPr>
                <w:ilvl w:val="0"/>
                <w:numId w:val="5"/>
              </w:numPr>
              <w:spacing w:before="0" w:after="0"/>
              <w:ind w:left="360"/>
              <w:rPr>
                <w:noProof/>
                <w:szCs w:val="24"/>
              </w:rPr>
            </w:pPr>
            <w:r w:rsidRPr="00C34031">
              <w:rPr>
                <w:noProof/>
              </w:rPr>
              <w:t>Údaje o správě přístupu uživatelů CBAM (Fáze 2)</w:t>
            </w:r>
          </w:p>
          <w:p w14:paraId="5DC2A906" w14:textId="77777777" w:rsidR="00FA5543" w:rsidRPr="00C34031" w:rsidRDefault="40BC9099" w:rsidP="139DF8FE">
            <w:pPr>
              <w:pStyle w:val="ListParagraph"/>
              <w:numPr>
                <w:ilvl w:val="0"/>
                <w:numId w:val="5"/>
              </w:numPr>
              <w:spacing w:before="0" w:after="0"/>
              <w:ind w:left="360"/>
              <w:rPr>
                <w:noProof/>
                <w:szCs w:val="24"/>
              </w:rPr>
            </w:pPr>
            <w:r w:rsidRPr="00C34031">
              <w:rPr>
                <w:noProof/>
              </w:rPr>
              <w:t>Funkce deklaranta/dovozce pro CBAM (Fáze 2)</w:t>
            </w:r>
          </w:p>
          <w:p w14:paraId="0FDB3C8D" w14:textId="77777777" w:rsidR="00FA5543" w:rsidRPr="00C34031" w:rsidRDefault="40BC9099" w:rsidP="139DF8FE">
            <w:pPr>
              <w:pStyle w:val="ListParagraph"/>
              <w:numPr>
                <w:ilvl w:val="0"/>
                <w:numId w:val="5"/>
              </w:numPr>
              <w:spacing w:before="0" w:after="0"/>
              <w:ind w:left="360"/>
              <w:rPr>
                <w:noProof/>
                <w:szCs w:val="24"/>
              </w:rPr>
            </w:pPr>
            <w:r w:rsidRPr="00C34031">
              <w:rPr>
                <w:noProof/>
              </w:rPr>
              <w:t>Funkce Komise pro CBAM (Fáze 2)</w:t>
            </w:r>
          </w:p>
          <w:p w14:paraId="68AE99E1" w14:textId="77777777" w:rsidR="00FA5543" w:rsidRPr="00C34031" w:rsidRDefault="40BC9099" w:rsidP="139DF8FE">
            <w:pPr>
              <w:pStyle w:val="ListParagraph"/>
              <w:numPr>
                <w:ilvl w:val="0"/>
                <w:numId w:val="5"/>
              </w:numPr>
              <w:spacing w:before="0" w:after="0"/>
              <w:ind w:left="360"/>
              <w:rPr>
                <w:noProof/>
                <w:szCs w:val="24"/>
              </w:rPr>
            </w:pPr>
            <w:r w:rsidRPr="00C34031">
              <w:rPr>
                <w:noProof/>
              </w:rPr>
              <w:t>Provozovatelé zařízení ve třetích zemích (O3CI) pro fázi 2 a funkce akreditovaných ověřovatelů (TBC fáze 3)</w:t>
            </w:r>
          </w:p>
          <w:p w14:paraId="0D523079" w14:textId="77777777" w:rsidR="00FA5543" w:rsidRPr="00C34031" w:rsidRDefault="40BC9099" w:rsidP="139DF8FE">
            <w:pPr>
              <w:pStyle w:val="ListParagraph"/>
              <w:numPr>
                <w:ilvl w:val="0"/>
                <w:numId w:val="5"/>
              </w:numPr>
              <w:spacing w:before="0" w:after="0"/>
              <w:ind w:left="360"/>
              <w:rPr>
                <w:noProof/>
                <w:szCs w:val="24"/>
              </w:rPr>
            </w:pPr>
            <w:r w:rsidRPr="00C34031">
              <w:rPr>
                <w:noProof/>
              </w:rPr>
              <w:t>Údaje o prohlášení CBAM, přezkum a údaje o životním cyklu prohlášení (Fáze 3)</w:t>
            </w:r>
          </w:p>
          <w:p w14:paraId="251A3C5E" w14:textId="77777777" w:rsidR="00FA5543" w:rsidRPr="00C34031" w:rsidRDefault="40BC9099" w:rsidP="139DF8FE">
            <w:pPr>
              <w:pStyle w:val="ListParagraph"/>
              <w:numPr>
                <w:ilvl w:val="0"/>
                <w:numId w:val="5"/>
              </w:numPr>
              <w:spacing w:before="0" w:after="0"/>
              <w:ind w:left="360"/>
              <w:rPr>
                <w:noProof/>
                <w:szCs w:val="24"/>
              </w:rPr>
            </w:pPr>
            <w:r w:rsidRPr="00C34031">
              <w:rPr>
                <w:noProof/>
              </w:rPr>
              <w:t>Údaje o dováženém zboží podléhajícímu CBAM (Fáze 3)</w:t>
            </w:r>
          </w:p>
          <w:p w14:paraId="7A8AB4A4" w14:textId="77777777" w:rsidR="00FA5543" w:rsidRPr="00C34031" w:rsidRDefault="40BC9099" w:rsidP="139DF8FE">
            <w:pPr>
              <w:pStyle w:val="ListParagraph"/>
              <w:numPr>
                <w:ilvl w:val="0"/>
                <w:numId w:val="5"/>
              </w:numPr>
              <w:spacing w:before="0" w:after="0"/>
              <w:ind w:left="360"/>
              <w:rPr>
                <w:noProof/>
                <w:szCs w:val="24"/>
              </w:rPr>
            </w:pPr>
            <w:r w:rsidRPr="00C34031">
              <w:rPr>
                <w:noProof/>
              </w:rPr>
              <w:t>Údaje o emisích a výpočtech CBAM (Fáze 3)</w:t>
            </w:r>
          </w:p>
          <w:p w14:paraId="3640F742" w14:textId="77777777" w:rsidR="00FA5543" w:rsidRPr="00C34031" w:rsidRDefault="40BC9099" w:rsidP="139DF8FE">
            <w:pPr>
              <w:pStyle w:val="ListParagraph"/>
              <w:numPr>
                <w:ilvl w:val="0"/>
                <w:numId w:val="5"/>
              </w:numPr>
              <w:spacing w:before="0" w:after="0"/>
              <w:ind w:left="360"/>
              <w:rPr>
                <w:noProof/>
                <w:szCs w:val="24"/>
              </w:rPr>
            </w:pPr>
            <w:r w:rsidRPr="00C34031">
              <w:rPr>
                <w:noProof/>
              </w:rPr>
              <w:t>Údaje z knihy (rejstříku) CBAM (Fáze 3)</w:t>
            </w:r>
          </w:p>
          <w:p w14:paraId="755A663B" w14:textId="77777777" w:rsidR="00FA5543" w:rsidRPr="00C34031" w:rsidRDefault="40BC9099" w:rsidP="139DF8FE">
            <w:pPr>
              <w:pStyle w:val="ListParagraph"/>
              <w:numPr>
                <w:ilvl w:val="0"/>
                <w:numId w:val="5"/>
              </w:numPr>
              <w:spacing w:before="0" w:after="0"/>
              <w:ind w:left="360"/>
              <w:rPr>
                <w:noProof/>
                <w:szCs w:val="24"/>
              </w:rPr>
            </w:pPr>
            <w:r w:rsidRPr="00C34031">
              <w:rPr>
                <w:noProof/>
              </w:rPr>
              <w:t>Údaje o správě certifikátů CBAM (Fáze 3)</w:t>
            </w:r>
          </w:p>
          <w:p w14:paraId="2810DBAC" w14:textId="77777777" w:rsidR="00FA5543" w:rsidRPr="00C34031" w:rsidRDefault="40BC9099" w:rsidP="139DF8FE">
            <w:pPr>
              <w:pStyle w:val="ListParagraph"/>
              <w:numPr>
                <w:ilvl w:val="0"/>
                <w:numId w:val="5"/>
              </w:numPr>
              <w:spacing w:before="0" w:after="0"/>
              <w:ind w:left="360"/>
              <w:rPr>
                <w:noProof/>
                <w:szCs w:val="24"/>
              </w:rPr>
            </w:pPr>
            <w:r w:rsidRPr="00C34031">
              <w:rPr>
                <w:noProof/>
              </w:rPr>
              <w:t>Údaje o monitorování nedodržování předpisů, vyšetřování obcházení předpisů a řízení rizik CBAM (Fáze 3)</w:t>
            </w:r>
          </w:p>
          <w:p w14:paraId="29C8213D" w14:textId="77777777" w:rsidR="00FA5543" w:rsidRPr="00C34031" w:rsidRDefault="40BC9099" w:rsidP="139DF8FE">
            <w:pPr>
              <w:pStyle w:val="ListParagraph"/>
              <w:numPr>
                <w:ilvl w:val="0"/>
                <w:numId w:val="5"/>
              </w:numPr>
              <w:spacing w:before="0" w:after="0"/>
              <w:ind w:left="360"/>
              <w:rPr>
                <w:noProof/>
                <w:szCs w:val="24"/>
              </w:rPr>
            </w:pPr>
            <w:r w:rsidRPr="00C34031">
              <w:rPr>
                <w:noProof/>
              </w:rPr>
              <w:t>Podávání zpráv CBAM, přehledy, oznámení a údaje o správě dokumentů (Fáze 3)</w:t>
            </w:r>
          </w:p>
          <w:p w14:paraId="7DAFED22" w14:textId="77777777" w:rsidR="00FA5543" w:rsidRPr="00C34031" w:rsidRDefault="40BC9099" w:rsidP="139DF8FE">
            <w:pPr>
              <w:pStyle w:val="ListParagraph"/>
              <w:numPr>
                <w:ilvl w:val="0"/>
                <w:numId w:val="5"/>
              </w:numPr>
              <w:spacing w:before="0" w:after="0"/>
              <w:ind w:left="360"/>
              <w:rPr>
                <w:noProof/>
                <w:szCs w:val="24"/>
              </w:rPr>
            </w:pPr>
            <w:r w:rsidRPr="00C34031">
              <w:rPr>
                <w:noProof/>
              </w:rPr>
              <w:t>Údaje bezpečného fóra CBAM (Fáze 3)</w:t>
            </w:r>
          </w:p>
          <w:p w14:paraId="61293898" w14:textId="77777777" w:rsidR="00FA5543" w:rsidRPr="00C34031" w:rsidRDefault="40BC9099" w:rsidP="139DF8FE">
            <w:pPr>
              <w:pStyle w:val="ListParagraph"/>
              <w:numPr>
                <w:ilvl w:val="0"/>
                <w:numId w:val="5"/>
              </w:numPr>
              <w:spacing w:before="0" w:after="0"/>
              <w:ind w:left="360"/>
              <w:rPr>
                <w:noProof/>
                <w:szCs w:val="24"/>
              </w:rPr>
            </w:pPr>
            <w:r w:rsidRPr="00C34031">
              <w:rPr>
                <w:noProof/>
              </w:rPr>
              <w:t>Funkce příslušných vnitrostátních orgánů (Fáze 3)</w:t>
            </w:r>
          </w:p>
          <w:p w14:paraId="056D1A2E" w14:textId="77777777" w:rsidR="00FA5543" w:rsidRPr="00C34031" w:rsidRDefault="40BC9099" w:rsidP="139DF8FE">
            <w:pPr>
              <w:pStyle w:val="ListParagraph"/>
              <w:numPr>
                <w:ilvl w:val="0"/>
                <w:numId w:val="5"/>
              </w:numPr>
              <w:spacing w:before="0" w:after="0"/>
              <w:ind w:left="360"/>
              <w:rPr>
                <w:noProof/>
                <w:szCs w:val="24"/>
              </w:rPr>
            </w:pPr>
            <w:r w:rsidRPr="00C34031">
              <w:rPr>
                <w:noProof/>
              </w:rPr>
              <w:t>Monitorování nedodržování předpisů, vyšetřování obcházení předpisů a řízení rizik CBAM (Fáze 3)</w:t>
            </w:r>
          </w:p>
          <w:p w14:paraId="45920CF6" w14:textId="77777777" w:rsidR="00FA5543" w:rsidRPr="00C34031" w:rsidRDefault="00FA5543" w:rsidP="139DF8FE">
            <w:pPr>
              <w:rPr>
                <w:noProof/>
              </w:rPr>
            </w:pPr>
          </w:p>
          <w:p w14:paraId="0F080054" w14:textId="77777777" w:rsidR="00FA5543" w:rsidRPr="00C34031" w:rsidRDefault="40BC9099" w:rsidP="139DF8FE">
            <w:pPr>
              <w:rPr>
                <w:noProof/>
                <w:szCs w:val="24"/>
              </w:rPr>
            </w:pPr>
            <w:r w:rsidRPr="00C34031">
              <w:rPr>
                <w:noProof/>
              </w:rPr>
              <w:t>Další podrobnosti o jednotlivých souborech údajů naleznete v následující tabulce</w:t>
            </w:r>
          </w:p>
        </w:tc>
      </w:tr>
      <w:tr w:rsidR="139DF8FE" w:rsidRPr="00C34031" w14:paraId="18724EFC" w14:textId="77777777" w:rsidTr="139DF8FE">
        <w:trPr>
          <w:gridAfter w:val="1"/>
          <w:wAfter w:w="434" w:type="dxa"/>
          <w:trHeight w:val="300"/>
        </w:trPr>
        <w:tc>
          <w:tcPr>
            <w:tcW w:w="2348" w:type="dxa"/>
            <w:tcBorders>
              <w:top w:val="single" w:sz="8" w:space="0" w:color="000000" w:themeColor="text1"/>
              <w:left w:val="single" w:sz="8" w:space="0" w:color="000000" w:themeColor="text1"/>
              <w:bottom w:val="single" w:sz="8" w:space="0" w:color="000000" w:themeColor="text1"/>
              <w:right w:val="nil"/>
            </w:tcBorders>
            <w:shd w:val="clear" w:color="auto" w:fill="000000" w:themeFill="text1"/>
            <w:tcMar>
              <w:left w:w="108" w:type="dxa"/>
              <w:right w:w="108" w:type="dxa"/>
            </w:tcMar>
            <w:vAlign w:val="center"/>
          </w:tcPr>
          <w:p w14:paraId="6994860A" w14:textId="77777777" w:rsidR="139DF8FE" w:rsidRPr="00C34031" w:rsidRDefault="139DF8FE" w:rsidP="139DF8FE">
            <w:pPr>
              <w:spacing w:after="0"/>
              <w:jc w:val="left"/>
              <w:rPr>
                <w:noProof/>
              </w:rPr>
            </w:pPr>
            <w:r w:rsidRPr="00C34031">
              <w:rPr>
                <w:b/>
                <w:noProof/>
                <w:color w:val="FFFFFF" w:themeColor="background1"/>
                <w:sz w:val="18"/>
              </w:rPr>
              <w:t>Popis konečného primárního aktiva CBAM</w:t>
            </w:r>
          </w:p>
        </w:tc>
        <w:tc>
          <w:tcPr>
            <w:tcW w:w="6281" w:type="dxa"/>
            <w:tcBorders>
              <w:top w:val="single" w:sz="8" w:space="0" w:color="000000" w:themeColor="text1"/>
              <w:left w:val="nil"/>
              <w:bottom w:val="single" w:sz="8" w:space="0" w:color="000000" w:themeColor="text1"/>
              <w:right w:val="single" w:sz="8" w:space="0" w:color="000000" w:themeColor="text1"/>
            </w:tcBorders>
            <w:shd w:val="clear" w:color="auto" w:fill="000000" w:themeFill="text1"/>
            <w:tcMar>
              <w:left w:w="108" w:type="dxa"/>
              <w:right w:w="108" w:type="dxa"/>
            </w:tcMar>
            <w:vAlign w:val="center"/>
          </w:tcPr>
          <w:p w14:paraId="01E7108B" w14:textId="77777777" w:rsidR="139DF8FE" w:rsidRPr="00C34031" w:rsidRDefault="139DF8FE" w:rsidP="139DF8FE">
            <w:pPr>
              <w:spacing w:after="0"/>
              <w:jc w:val="left"/>
              <w:rPr>
                <w:noProof/>
              </w:rPr>
            </w:pPr>
            <w:r w:rsidRPr="00C34031">
              <w:rPr>
                <w:b/>
                <w:noProof/>
                <w:color w:val="FFFFFF" w:themeColor="background1"/>
                <w:sz w:val="18"/>
              </w:rPr>
              <w:t>Popis příslušné obchodní složky / procesů</w:t>
            </w:r>
          </w:p>
        </w:tc>
      </w:tr>
      <w:tr w:rsidR="139DF8FE" w:rsidRPr="00C34031" w14:paraId="4B0B5B6E" w14:textId="77777777" w:rsidTr="139DF8FE">
        <w:trPr>
          <w:gridAfter w:val="1"/>
          <w:wAfter w:w="434" w:type="dxa"/>
          <w:trHeight w:val="60"/>
        </w:trPr>
        <w:tc>
          <w:tcPr>
            <w:tcW w:w="2348" w:type="dxa"/>
            <w:tcBorders>
              <w:top w:val="single" w:sz="8" w:space="0" w:color="000000" w:themeColor="text1"/>
              <w:left w:val="single" w:sz="8" w:space="0" w:color="666666"/>
              <w:bottom w:val="single" w:sz="8" w:space="0" w:color="666666"/>
              <w:right w:val="single" w:sz="8" w:space="0" w:color="666666"/>
            </w:tcBorders>
            <w:shd w:val="clear" w:color="auto" w:fill="CCCCCC"/>
            <w:tcMar>
              <w:left w:w="108" w:type="dxa"/>
              <w:right w:w="108" w:type="dxa"/>
            </w:tcMar>
            <w:vAlign w:val="center"/>
          </w:tcPr>
          <w:p w14:paraId="744CCCA6" w14:textId="77777777" w:rsidR="139DF8FE" w:rsidRPr="00C34031" w:rsidRDefault="139DF8FE" w:rsidP="139DF8FE">
            <w:pPr>
              <w:spacing w:after="0"/>
              <w:jc w:val="left"/>
              <w:rPr>
                <w:noProof/>
              </w:rPr>
            </w:pPr>
            <w:r w:rsidRPr="00C34031">
              <w:rPr>
                <w:b/>
                <w:noProof/>
                <w:color w:val="000000" w:themeColor="text1"/>
                <w:sz w:val="18"/>
              </w:rPr>
              <w:t>Údaje o správě certifikátů CBAM</w:t>
            </w:r>
          </w:p>
        </w:tc>
        <w:tc>
          <w:tcPr>
            <w:tcW w:w="6281" w:type="dxa"/>
            <w:tcBorders>
              <w:top w:val="single" w:sz="8" w:space="0" w:color="000000" w:themeColor="text1"/>
              <w:left w:val="single" w:sz="8" w:space="0" w:color="666666"/>
              <w:bottom w:val="single" w:sz="8" w:space="0" w:color="666666"/>
              <w:right w:val="single" w:sz="8" w:space="0" w:color="666666"/>
            </w:tcBorders>
            <w:shd w:val="clear" w:color="auto" w:fill="CCCCCC"/>
            <w:tcMar>
              <w:left w:w="108" w:type="dxa"/>
              <w:right w:w="108" w:type="dxa"/>
            </w:tcMar>
            <w:vAlign w:val="center"/>
          </w:tcPr>
          <w:p w14:paraId="4153E880" w14:textId="77777777" w:rsidR="139DF8FE" w:rsidRPr="00C34031" w:rsidRDefault="139DF8FE" w:rsidP="139DF8FE">
            <w:pPr>
              <w:spacing w:after="0"/>
              <w:jc w:val="left"/>
              <w:rPr>
                <w:noProof/>
              </w:rPr>
            </w:pPr>
            <w:r w:rsidRPr="00C34031">
              <w:rPr>
                <w:noProof/>
                <w:color w:val="000000" w:themeColor="text1"/>
                <w:sz w:val="18"/>
              </w:rPr>
              <w:t xml:space="preserve">Řízení životního cyklu certifikátů CBAM poskytuje informace o certifikátech a počtu zpracovaných certifikátů a jejich hodnotě a spravuje životní cyklus certifikátu a poskytuje informace pro účely monitorování rizik a nedodržování předpisů. </w:t>
            </w:r>
          </w:p>
        </w:tc>
      </w:tr>
      <w:tr w:rsidR="139DF8FE" w:rsidRPr="00C34031" w14:paraId="6C1E73D0" w14:textId="77777777" w:rsidTr="139DF8FE">
        <w:trPr>
          <w:gridAfter w:val="1"/>
          <w:wAfter w:w="434" w:type="dxa"/>
          <w:trHeight w:val="1155"/>
        </w:trPr>
        <w:tc>
          <w:tcPr>
            <w:tcW w:w="2348" w:type="dxa"/>
            <w:tcBorders>
              <w:top w:val="single" w:sz="8" w:space="0" w:color="666666"/>
              <w:left w:val="single" w:sz="8" w:space="0" w:color="666666"/>
              <w:bottom w:val="single" w:sz="8" w:space="0" w:color="666666"/>
              <w:right w:val="single" w:sz="8" w:space="0" w:color="666666"/>
            </w:tcBorders>
            <w:tcMar>
              <w:left w:w="108" w:type="dxa"/>
              <w:right w:w="108" w:type="dxa"/>
            </w:tcMar>
            <w:vAlign w:val="center"/>
          </w:tcPr>
          <w:p w14:paraId="0DBF5824" w14:textId="77777777" w:rsidR="139DF8FE" w:rsidRPr="00C34031" w:rsidRDefault="139DF8FE" w:rsidP="139DF8FE">
            <w:pPr>
              <w:spacing w:after="0"/>
              <w:jc w:val="left"/>
              <w:rPr>
                <w:noProof/>
              </w:rPr>
            </w:pPr>
            <w:r w:rsidRPr="00C34031">
              <w:rPr>
                <w:b/>
                <w:noProof/>
                <w:sz w:val="18"/>
              </w:rPr>
              <w:t>Údaje deklaranta pro CBAM</w:t>
            </w:r>
          </w:p>
        </w:tc>
        <w:tc>
          <w:tcPr>
            <w:tcW w:w="6281" w:type="dxa"/>
            <w:tcBorders>
              <w:top w:val="single" w:sz="8" w:space="0" w:color="666666"/>
              <w:left w:val="single" w:sz="8" w:space="0" w:color="666666"/>
              <w:bottom w:val="single" w:sz="8" w:space="0" w:color="666666"/>
              <w:right w:val="single" w:sz="8" w:space="0" w:color="666666"/>
            </w:tcBorders>
            <w:tcMar>
              <w:left w:w="108" w:type="dxa"/>
              <w:right w:w="108" w:type="dxa"/>
            </w:tcMar>
            <w:vAlign w:val="center"/>
          </w:tcPr>
          <w:p w14:paraId="00A51401" w14:textId="77777777" w:rsidR="139DF8FE" w:rsidRPr="00C34031" w:rsidRDefault="139DF8FE" w:rsidP="139DF8FE">
            <w:pPr>
              <w:spacing w:after="0"/>
              <w:jc w:val="left"/>
              <w:rPr>
                <w:noProof/>
              </w:rPr>
            </w:pPr>
            <w:r w:rsidRPr="00C34031">
              <w:rPr>
                <w:noProof/>
                <w:sz w:val="18"/>
              </w:rPr>
              <w:t>Údaje o schválení deklaranta a o jeho replikaci a ověření.</w:t>
            </w:r>
          </w:p>
          <w:p w14:paraId="57FD234F" w14:textId="77777777" w:rsidR="139DF8FE" w:rsidRPr="00C34031" w:rsidRDefault="139DF8FE" w:rsidP="139DF8FE">
            <w:pPr>
              <w:spacing w:after="0"/>
              <w:jc w:val="left"/>
              <w:rPr>
                <w:noProof/>
              </w:rPr>
            </w:pPr>
            <w:r w:rsidRPr="00C34031">
              <w:rPr>
                <w:noProof/>
                <w:sz w:val="18"/>
              </w:rPr>
              <w:t>Údaje o účtu deklaranta a správě účtu.</w:t>
            </w:r>
          </w:p>
          <w:p w14:paraId="25406957" w14:textId="77777777" w:rsidR="139DF8FE" w:rsidRPr="00C34031" w:rsidRDefault="139DF8FE" w:rsidP="139DF8FE">
            <w:pPr>
              <w:spacing w:after="0"/>
              <w:jc w:val="left"/>
              <w:rPr>
                <w:noProof/>
              </w:rPr>
            </w:pPr>
            <w:r w:rsidRPr="00C34031">
              <w:rPr>
                <w:noProof/>
                <w:sz w:val="18"/>
              </w:rPr>
              <w:t xml:space="preserve">Správa povolení CBAM odpovědná za řízení životního cyklu povolení CBAM uděleného příslušným vnitrostátním orgánem dovozcům nebo nepřímým zástupcům. </w:t>
            </w:r>
          </w:p>
          <w:p w14:paraId="3315F32A" w14:textId="77777777" w:rsidR="139DF8FE" w:rsidRPr="00C34031" w:rsidRDefault="139DF8FE" w:rsidP="139DF8FE">
            <w:pPr>
              <w:spacing w:after="0"/>
              <w:jc w:val="left"/>
              <w:rPr>
                <w:noProof/>
              </w:rPr>
            </w:pPr>
            <w:r w:rsidRPr="00C34031">
              <w:rPr>
                <w:noProof/>
                <w:sz w:val="18"/>
              </w:rPr>
              <w:t>Sdělí požadované informace o účtu deklaranta pro CBAM službám pro replikaci a ověření povolení CBAM, které uchovávají informace o schválených deklarantech pro CBAM, jež mají být poskytnuty příslušným vnitrostátním orgánům a příslušným vnitrostátním celním správám odpovědným za posuzování povolení dovozců.</w:t>
            </w:r>
          </w:p>
        </w:tc>
      </w:tr>
      <w:tr w:rsidR="139DF8FE" w:rsidRPr="00C34031" w14:paraId="4F8B04D8" w14:textId="77777777" w:rsidTr="139DF8FE">
        <w:trPr>
          <w:gridAfter w:val="1"/>
          <w:wAfter w:w="434" w:type="dxa"/>
          <w:trHeight w:val="300"/>
        </w:trPr>
        <w:tc>
          <w:tcPr>
            <w:tcW w:w="2348" w:type="dxa"/>
            <w:tcBorders>
              <w:top w:val="single" w:sz="8" w:space="0" w:color="666666"/>
              <w:left w:val="single" w:sz="8" w:space="0" w:color="666666"/>
              <w:bottom w:val="single" w:sz="8" w:space="0" w:color="666666"/>
              <w:right w:val="single" w:sz="8" w:space="0" w:color="666666"/>
            </w:tcBorders>
            <w:shd w:val="clear" w:color="auto" w:fill="CCCCCC"/>
            <w:tcMar>
              <w:left w:w="108" w:type="dxa"/>
              <w:right w:w="108" w:type="dxa"/>
            </w:tcMar>
            <w:vAlign w:val="center"/>
          </w:tcPr>
          <w:p w14:paraId="674DDF6E" w14:textId="77777777" w:rsidR="139DF8FE" w:rsidRPr="00C34031" w:rsidRDefault="139DF8FE" w:rsidP="139DF8FE">
            <w:pPr>
              <w:spacing w:after="0"/>
              <w:jc w:val="left"/>
              <w:rPr>
                <w:noProof/>
              </w:rPr>
            </w:pPr>
            <w:r w:rsidRPr="00C34031">
              <w:rPr>
                <w:b/>
                <w:noProof/>
                <w:color w:val="000000" w:themeColor="text1"/>
                <w:sz w:val="18"/>
              </w:rPr>
              <w:t>Údaje o prohlášení CBAM, přezkum a údaje o životním cyklu prohlášení</w:t>
            </w:r>
          </w:p>
        </w:tc>
        <w:tc>
          <w:tcPr>
            <w:tcW w:w="6281" w:type="dxa"/>
            <w:tcBorders>
              <w:top w:val="single" w:sz="8" w:space="0" w:color="666666"/>
              <w:left w:val="single" w:sz="8" w:space="0" w:color="666666"/>
              <w:bottom w:val="single" w:sz="8" w:space="0" w:color="666666"/>
              <w:right w:val="single" w:sz="8" w:space="0" w:color="666666"/>
            </w:tcBorders>
            <w:shd w:val="clear" w:color="auto" w:fill="CCCCCC"/>
            <w:tcMar>
              <w:left w:w="108" w:type="dxa"/>
              <w:right w:w="108" w:type="dxa"/>
            </w:tcMar>
            <w:vAlign w:val="center"/>
          </w:tcPr>
          <w:p w14:paraId="31817C51" w14:textId="77777777" w:rsidR="139DF8FE" w:rsidRPr="00C34031" w:rsidRDefault="139DF8FE" w:rsidP="139DF8FE">
            <w:pPr>
              <w:spacing w:after="0"/>
              <w:jc w:val="left"/>
              <w:rPr>
                <w:noProof/>
              </w:rPr>
            </w:pPr>
            <w:r w:rsidRPr="00C34031">
              <w:rPr>
                <w:noProof/>
                <w:color w:val="000000" w:themeColor="text1"/>
                <w:sz w:val="18"/>
              </w:rPr>
              <w:t>Údaje o řízení životního cyklu prohlášení a podávání zpráv o prohlášení.</w:t>
            </w:r>
            <w:r w:rsidRPr="00C34031">
              <w:rPr>
                <w:noProof/>
              </w:rPr>
              <w:br/>
            </w:r>
            <w:r w:rsidRPr="00C34031">
              <w:rPr>
                <w:noProof/>
                <w:color w:val="000000" w:themeColor="text1"/>
                <w:sz w:val="18"/>
              </w:rPr>
              <w:t xml:space="preserve"> </w:t>
            </w:r>
            <w:r w:rsidRPr="00C34031">
              <w:rPr>
                <w:noProof/>
              </w:rPr>
              <w:br/>
            </w:r>
            <w:r w:rsidRPr="00C34031">
              <w:rPr>
                <w:noProof/>
                <w:color w:val="000000" w:themeColor="text1"/>
                <w:sz w:val="18"/>
              </w:rPr>
              <w:t>Řízení životního cyklu prohlášení a podávání zpráv CBAM (vytvoření prohlášení, dovážené zboží, emise, přezkum, dokončení nebo zamítnutí).</w:t>
            </w:r>
          </w:p>
        </w:tc>
      </w:tr>
      <w:tr w:rsidR="139DF8FE" w:rsidRPr="00C34031" w14:paraId="13970DF8" w14:textId="77777777" w:rsidTr="139DF8FE">
        <w:trPr>
          <w:gridAfter w:val="1"/>
          <w:wAfter w:w="434" w:type="dxa"/>
          <w:trHeight w:val="300"/>
        </w:trPr>
        <w:tc>
          <w:tcPr>
            <w:tcW w:w="2348" w:type="dxa"/>
            <w:tcBorders>
              <w:top w:val="single" w:sz="8" w:space="0" w:color="666666"/>
              <w:left w:val="single" w:sz="8" w:space="0" w:color="666666"/>
              <w:bottom w:val="single" w:sz="8" w:space="0" w:color="666666"/>
              <w:right w:val="single" w:sz="8" w:space="0" w:color="666666"/>
            </w:tcBorders>
            <w:tcMar>
              <w:left w:w="108" w:type="dxa"/>
              <w:right w:w="108" w:type="dxa"/>
            </w:tcMar>
            <w:vAlign w:val="center"/>
          </w:tcPr>
          <w:p w14:paraId="2345AF02" w14:textId="77777777" w:rsidR="139DF8FE" w:rsidRPr="00C34031" w:rsidRDefault="139DF8FE" w:rsidP="139DF8FE">
            <w:pPr>
              <w:spacing w:after="0"/>
              <w:jc w:val="left"/>
              <w:rPr>
                <w:noProof/>
              </w:rPr>
            </w:pPr>
            <w:r w:rsidRPr="00C34031">
              <w:rPr>
                <w:b/>
                <w:noProof/>
                <w:sz w:val="18"/>
              </w:rPr>
              <w:t>Údaje o emisích a výpočtech CBAM</w:t>
            </w:r>
          </w:p>
        </w:tc>
        <w:tc>
          <w:tcPr>
            <w:tcW w:w="6281" w:type="dxa"/>
            <w:tcBorders>
              <w:top w:val="single" w:sz="8" w:space="0" w:color="666666"/>
              <w:left w:val="single" w:sz="8" w:space="0" w:color="666666"/>
              <w:bottom w:val="single" w:sz="8" w:space="0" w:color="666666"/>
              <w:right w:val="single" w:sz="8" w:space="0" w:color="666666"/>
            </w:tcBorders>
            <w:tcMar>
              <w:left w:w="108" w:type="dxa"/>
              <w:right w:w="108" w:type="dxa"/>
            </w:tcMar>
            <w:vAlign w:val="center"/>
          </w:tcPr>
          <w:p w14:paraId="43579FB7" w14:textId="77777777" w:rsidR="139DF8FE" w:rsidRPr="00C34031" w:rsidRDefault="139DF8FE" w:rsidP="139DF8FE">
            <w:pPr>
              <w:spacing w:after="0"/>
              <w:jc w:val="left"/>
              <w:rPr>
                <w:noProof/>
              </w:rPr>
            </w:pPr>
            <w:r w:rsidRPr="00C34031">
              <w:rPr>
                <w:noProof/>
                <w:sz w:val="18"/>
              </w:rPr>
              <w:t>Výpočet emisí dováženého zboží deklarantem pro CBAM na základě údajů získaných pro každého deklaranta, referenčních údajů, registračních údajů (vlastních hodnot deklaranta), provozovatelů a třetích zemí (zpráva o ověření) atd.</w:t>
            </w:r>
          </w:p>
        </w:tc>
      </w:tr>
      <w:tr w:rsidR="139DF8FE" w:rsidRPr="00C34031" w14:paraId="0A79E6C7" w14:textId="77777777" w:rsidTr="139DF8FE">
        <w:trPr>
          <w:gridAfter w:val="1"/>
          <w:wAfter w:w="434" w:type="dxa"/>
          <w:trHeight w:val="1260"/>
        </w:trPr>
        <w:tc>
          <w:tcPr>
            <w:tcW w:w="2348" w:type="dxa"/>
            <w:tcBorders>
              <w:top w:val="single" w:sz="8" w:space="0" w:color="666666"/>
              <w:left w:val="single" w:sz="8" w:space="0" w:color="666666"/>
              <w:bottom w:val="single" w:sz="8" w:space="0" w:color="666666"/>
              <w:right w:val="single" w:sz="8" w:space="0" w:color="666666"/>
            </w:tcBorders>
            <w:shd w:val="clear" w:color="auto" w:fill="CCCCCC"/>
            <w:tcMar>
              <w:left w:w="108" w:type="dxa"/>
              <w:right w:w="108" w:type="dxa"/>
            </w:tcMar>
            <w:vAlign w:val="center"/>
          </w:tcPr>
          <w:p w14:paraId="24FF9872" w14:textId="77777777" w:rsidR="139DF8FE" w:rsidRPr="00C34031" w:rsidRDefault="139DF8FE" w:rsidP="139DF8FE">
            <w:pPr>
              <w:spacing w:after="0"/>
              <w:jc w:val="left"/>
              <w:rPr>
                <w:noProof/>
              </w:rPr>
            </w:pPr>
            <w:r w:rsidRPr="00C34031">
              <w:rPr>
                <w:b/>
                <w:noProof/>
                <w:color w:val="000000" w:themeColor="text1"/>
                <w:sz w:val="18"/>
              </w:rPr>
              <w:t>Údaje o dováženém zboží podléhajícímu CBAM</w:t>
            </w:r>
          </w:p>
        </w:tc>
        <w:tc>
          <w:tcPr>
            <w:tcW w:w="6281" w:type="dxa"/>
            <w:tcBorders>
              <w:top w:val="single" w:sz="8" w:space="0" w:color="666666"/>
              <w:left w:val="single" w:sz="8" w:space="0" w:color="666666"/>
              <w:bottom w:val="single" w:sz="8" w:space="0" w:color="666666"/>
              <w:right w:val="single" w:sz="8" w:space="0" w:color="666666"/>
            </w:tcBorders>
            <w:shd w:val="clear" w:color="auto" w:fill="CCCCCC"/>
            <w:tcMar>
              <w:left w:w="108" w:type="dxa"/>
              <w:right w:w="108" w:type="dxa"/>
            </w:tcMar>
            <w:vAlign w:val="center"/>
          </w:tcPr>
          <w:p w14:paraId="7C880D79" w14:textId="77777777" w:rsidR="139DF8FE" w:rsidRPr="00C34031" w:rsidRDefault="139DF8FE" w:rsidP="139DF8FE">
            <w:pPr>
              <w:spacing w:after="0"/>
              <w:jc w:val="left"/>
              <w:rPr>
                <w:noProof/>
              </w:rPr>
            </w:pPr>
            <w:r w:rsidRPr="00C34031">
              <w:rPr>
                <w:noProof/>
                <w:color w:val="000000" w:themeColor="text1"/>
                <w:sz w:val="18"/>
              </w:rPr>
              <w:t>Vnitrostátní příslušný orgán a portály Komise obsahují rozhraní, která monitorují průnik údajů SURV3 (včetně určení problémů) a umožňují uživatelům manuálně zadávat údaje o dováženém zboží, jakož i údaje o zboží v režimu aktivního zušlechťovacího styku, a to prostřednictvím dávkového nahrávání souborů. Tyto údaje budou poté zpracovány, uloženy na portálech a následně předány zpět do rejstříku ke konsolidaci.</w:t>
            </w:r>
          </w:p>
        </w:tc>
      </w:tr>
      <w:tr w:rsidR="139DF8FE" w:rsidRPr="00C34031" w14:paraId="50E16359" w14:textId="77777777" w:rsidTr="139DF8FE">
        <w:trPr>
          <w:gridAfter w:val="1"/>
          <w:wAfter w:w="434" w:type="dxa"/>
          <w:trHeight w:val="300"/>
        </w:trPr>
        <w:tc>
          <w:tcPr>
            <w:tcW w:w="2348" w:type="dxa"/>
            <w:tcBorders>
              <w:top w:val="single" w:sz="8" w:space="0" w:color="666666"/>
              <w:left w:val="single" w:sz="8" w:space="0" w:color="666666"/>
              <w:bottom w:val="single" w:sz="8" w:space="0" w:color="666666"/>
              <w:right w:val="single" w:sz="8" w:space="0" w:color="666666"/>
            </w:tcBorders>
            <w:tcMar>
              <w:left w:w="108" w:type="dxa"/>
              <w:right w:w="108" w:type="dxa"/>
            </w:tcMar>
            <w:vAlign w:val="center"/>
          </w:tcPr>
          <w:p w14:paraId="019711AD" w14:textId="77777777" w:rsidR="139DF8FE" w:rsidRPr="00C34031" w:rsidRDefault="139DF8FE" w:rsidP="139DF8FE">
            <w:pPr>
              <w:spacing w:after="0"/>
              <w:jc w:val="left"/>
              <w:rPr>
                <w:noProof/>
              </w:rPr>
            </w:pPr>
            <w:r w:rsidRPr="00C34031">
              <w:rPr>
                <w:b/>
                <w:noProof/>
                <w:sz w:val="18"/>
              </w:rPr>
              <w:t>Údaje z knihy (rejstříku) CBAM</w:t>
            </w:r>
          </w:p>
          <w:p w14:paraId="1B8DC1DD" w14:textId="77777777" w:rsidR="139DF8FE" w:rsidRPr="00C34031" w:rsidRDefault="139DF8FE" w:rsidP="139DF8FE">
            <w:pPr>
              <w:spacing w:after="0"/>
              <w:jc w:val="left"/>
              <w:rPr>
                <w:noProof/>
              </w:rPr>
            </w:pPr>
            <w:r w:rsidRPr="00C34031">
              <w:rPr>
                <w:noProof/>
                <w:sz w:val="18"/>
              </w:rPr>
              <w:t xml:space="preserve"> </w:t>
            </w:r>
          </w:p>
          <w:p w14:paraId="2852EE9D" w14:textId="77777777" w:rsidR="139DF8FE" w:rsidRPr="00C34031" w:rsidRDefault="139DF8FE" w:rsidP="139DF8FE">
            <w:pPr>
              <w:spacing w:after="0"/>
              <w:jc w:val="left"/>
              <w:rPr>
                <w:noProof/>
              </w:rPr>
            </w:pPr>
            <w:r w:rsidRPr="00C34031">
              <w:rPr>
                <w:noProof/>
                <w:sz w:val="18"/>
              </w:rPr>
              <w:t>Pozn.: Přesné údaje, které mají být v knize uloženy, dosud nebyly s konečnou platností určeny. Hlavní myšlenkou je, že kniha je neměnný deník a že byla přijata vhodná bezpečnostní opatření. Tato záležitost bude znovu posouzena v průběhu fáze 3.</w:t>
            </w:r>
          </w:p>
        </w:tc>
        <w:tc>
          <w:tcPr>
            <w:tcW w:w="6281" w:type="dxa"/>
            <w:tcBorders>
              <w:top w:val="single" w:sz="8" w:space="0" w:color="666666"/>
              <w:left w:val="single" w:sz="8" w:space="0" w:color="666666"/>
              <w:bottom w:val="single" w:sz="8" w:space="0" w:color="666666"/>
              <w:right w:val="single" w:sz="8" w:space="0" w:color="666666"/>
            </w:tcBorders>
            <w:tcMar>
              <w:left w:w="108" w:type="dxa"/>
              <w:right w:w="108" w:type="dxa"/>
            </w:tcMar>
            <w:vAlign w:val="center"/>
          </w:tcPr>
          <w:p w14:paraId="1098CC46" w14:textId="77777777" w:rsidR="139DF8FE" w:rsidRPr="00C34031" w:rsidRDefault="139DF8FE" w:rsidP="139DF8FE">
            <w:pPr>
              <w:spacing w:after="0"/>
              <w:jc w:val="left"/>
              <w:rPr>
                <w:noProof/>
              </w:rPr>
            </w:pPr>
            <w:r w:rsidRPr="00C34031">
              <w:rPr>
                <w:noProof/>
                <w:sz w:val="18"/>
              </w:rPr>
              <w:t xml:space="preserve">Údaje o zpracování údajů a o transakcích na účtu v knize rejstříku. </w:t>
            </w:r>
            <w:r w:rsidRPr="00C34031">
              <w:rPr>
                <w:noProof/>
              </w:rPr>
              <w:br/>
            </w:r>
            <w:r w:rsidRPr="00C34031">
              <w:rPr>
                <w:noProof/>
              </w:rPr>
              <w:br/>
            </w:r>
            <w:r w:rsidRPr="00C34031">
              <w:rPr>
                <w:noProof/>
                <w:sz w:val="18"/>
              </w:rPr>
              <w:t>Kniha rejstříku CBAM spravuje, eviduje a registruje záznamy v deníku údajů deklaranta (včetně čísla účtu) a transakce mezi souvisejícími vztahy složek CBAM prostřednictvím procesu pouze pro připisování údajů a neměnného úložiště údajů (včetně řízení životního cyklu prohlášení, řízení povolení a účtů, řízení certifikátů, monitorování rizik a nedodržování předpisů, služeb pro replikaci a ověřování povolení atd.).</w:t>
            </w:r>
          </w:p>
        </w:tc>
      </w:tr>
      <w:tr w:rsidR="139DF8FE" w:rsidRPr="00C34031" w14:paraId="704E6D79" w14:textId="77777777" w:rsidTr="139DF8FE">
        <w:trPr>
          <w:gridAfter w:val="1"/>
          <w:wAfter w:w="434" w:type="dxa"/>
          <w:trHeight w:val="2085"/>
        </w:trPr>
        <w:tc>
          <w:tcPr>
            <w:tcW w:w="2348" w:type="dxa"/>
            <w:tcBorders>
              <w:top w:val="single" w:sz="8" w:space="0" w:color="666666"/>
              <w:left w:val="single" w:sz="8" w:space="0" w:color="666666"/>
              <w:bottom w:val="single" w:sz="8" w:space="0" w:color="666666"/>
              <w:right w:val="single" w:sz="8" w:space="0" w:color="666666"/>
            </w:tcBorders>
            <w:shd w:val="clear" w:color="auto" w:fill="CCCCCC"/>
            <w:tcMar>
              <w:left w:w="108" w:type="dxa"/>
              <w:right w:w="108" w:type="dxa"/>
            </w:tcMar>
            <w:vAlign w:val="center"/>
          </w:tcPr>
          <w:p w14:paraId="71AD1B38" w14:textId="77777777" w:rsidR="139DF8FE" w:rsidRPr="00C34031" w:rsidRDefault="139DF8FE" w:rsidP="139DF8FE">
            <w:pPr>
              <w:spacing w:after="0"/>
              <w:jc w:val="left"/>
              <w:rPr>
                <w:noProof/>
              </w:rPr>
            </w:pPr>
            <w:r w:rsidRPr="00C34031">
              <w:rPr>
                <w:b/>
                <w:noProof/>
                <w:color w:val="000000" w:themeColor="text1"/>
                <w:sz w:val="18"/>
              </w:rPr>
              <w:t>Údaje o monitorování nedodržování předpisů, vyšetřování obcházení předpisů a řízení rizik CBAM</w:t>
            </w:r>
          </w:p>
        </w:tc>
        <w:tc>
          <w:tcPr>
            <w:tcW w:w="6281" w:type="dxa"/>
            <w:tcBorders>
              <w:top w:val="single" w:sz="8" w:space="0" w:color="666666"/>
              <w:left w:val="single" w:sz="8" w:space="0" w:color="666666"/>
              <w:bottom w:val="single" w:sz="8" w:space="0" w:color="666666"/>
              <w:right w:val="single" w:sz="8" w:space="0" w:color="666666"/>
            </w:tcBorders>
            <w:shd w:val="clear" w:color="auto" w:fill="CCCCCC"/>
            <w:tcMar>
              <w:left w:w="108" w:type="dxa"/>
              <w:right w:w="108" w:type="dxa"/>
            </w:tcMar>
            <w:vAlign w:val="center"/>
          </w:tcPr>
          <w:p w14:paraId="18FA1940" w14:textId="77777777" w:rsidR="139DF8FE" w:rsidRPr="00C34031" w:rsidRDefault="139DF8FE" w:rsidP="139DF8FE">
            <w:pPr>
              <w:spacing w:after="0"/>
              <w:jc w:val="left"/>
              <w:rPr>
                <w:noProof/>
              </w:rPr>
            </w:pPr>
            <w:r w:rsidRPr="00C34031">
              <w:rPr>
                <w:noProof/>
                <w:color w:val="000000" w:themeColor="text1"/>
                <w:sz w:val="18"/>
              </w:rPr>
              <w:t>Informační systém CBAM slouží ke sledování, monitorování a zpracování potenciálních nebo potvrzených případů nesrovnalostí a nedodržování předpisů v systému CBAM.</w:t>
            </w:r>
          </w:p>
          <w:p w14:paraId="4DA760ED" w14:textId="77777777" w:rsidR="139DF8FE" w:rsidRPr="00C34031" w:rsidRDefault="139DF8FE" w:rsidP="139DF8FE">
            <w:pPr>
              <w:spacing w:after="0"/>
              <w:jc w:val="left"/>
              <w:rPr>
                <w:noProof/>
              </w:rPr>
            </w:pPr>
            <w:r w:rsidRPr="00C34031">
              <w:rPr>
                <w:noProof/>
                <w:color w:val="000000" w:themeColor="text1"/>
                <w:sz w:val="18"/>
              </w:rPr>
              <w:t xml:space="preserve">Určování, monitorování, vyšetřování a podávání zpráv o obcházení a jiných nezákonných praktikách, které nejsou v souladu s nařízením o CBAM. </w:t>
            </w:r>
          </w:p>
          <w:p w14:paraId="293E322D" w14:textId="77777777" w:rsidR="139DF8FE" w:rsidRPr="00C34031" w:rsidRDefault="139DF8FE" w:rsidP="139DF8FE">
            <w:pPr>
              <w:spacing w:after="0"/>
              <w:jc w:val="left"/>
              <w:rPr>
                <w:noProof/>
              </w:rPr>
            </w:pPr>
            <w:r w:rsidRPr="00C34031">
              <w:rPr>
                <w:noProof/>
                <w:color w:val="000000" w:themeColor="text1"/>
                <w:sz w:val="18"/>
              </w:rPr>
              <w:t>Posouzení rizik (včetně výsledků posouzení prohlášení) a složka řízení pro určení a posouzení rizik (např. analýza rizikových událostí, zprávy o ověření, výsledky kontroly rizik atd.) týkajících se procesu přezkumu prohlášení a potenciálních nesrovnalostí a obcházení (dalšího šetření) v rámci backendových služeb rejstříku CBAM.</w:t>
            </w:r>
          </w:p>
          <w:p w14:paraId="5217A62A" w14:textId="77777777" w:rsidR="139DF8FE" w:rsidRPr="00C34031" w:rsidRDefault="139DF8FE" w:rsidP="139DF8FE">
            <w:pPr>
              <w:spacing w:after="0"/>
              <w:jc w:val="left"/>
              <w:rPr>
                <w:noProof/>
              </w:rPr>
            </w:pPr>
            <w:r w:rsidRPr="00C34031">
              <w:rPr>
                <w:noProof/>
                <w:color w:val="000000" w:themeColor="text1"/>
                <w:sz w:val="18"/>
              </w:rPr>
              <w:t>Integruje informace a funkce mezi vyšetřováním, řízením rizik a bezpečným fórem pro příslušné činnosti.</w:t>
            </w:r>
          </w:p>
        </w:tc>
      </w:tr>
      <w:tr w:rsidR="139DF8FE" w:rsidRPr="00C34031" w14:paraId="63E363C0" w14:textId="77777777" w:rsidTr="139DF8FE">
        <w:trPr>
          <w:gridAfter w:val="1"/>
          <w:wAfter w:w="434" w:type="dxa"/>
          <w:trHeight w:val="300"/>
        </w:trPr>
        <w:tc>
          <w:tcPr>
            <w:tcW w:w="2348" w:type="dxa"/>
            <w:tcBorders>
              <w:top w:val="single" w:sz="8" w:space="0" w:color="666666"/>
              <w:left w:val="single" w:sz="8" w:space="0" w:color="666666"/>
              <w:bottom w:val="single" w:sz="8" w:space="0" w:color="666666"/>
              <w:right w:val="single" w:sz="8" w:space="0" w:color="666666"/>
            </w:tcBorders>
            <w:tcMar>
              <w:left w:w="108" w:type="dxa"/>
              <w:right w:w="108" w:type="dxa"/>
            </w:tcMar>
            <w:vAlign w:val="center"/>
          </w:tcPr>
          <w:p w14:paraId="0BCAC175" w14:textId="77777777" w:rsidR="139DF8FE" w:rsidRPr="00C34031" w:rsidRDefault="139DF8FE" w:rsidP="139DF8FE">
            <w:pPr>
              <w:spacing w:after="0"/>
              <w:jc w:val="left"/>
              <w:rPr>
                <w:noProof/>
              </w:rPr>
            </w:pPr>
            <w:r w:rsidRPr="00C34031">
              <w:rPr>
                <w:b/>
                <w:noProof/>
                <w:sz w:val="18"/>
              </w:rPr>
              <w:t>Referenční údaje CBAM</w:t>
            </w:r>
          </w:p>
        </w:tc>
        <w:tc>
          <w:tcPr>
            <w:tcW w:w="6281" w:type="dxa"/>
            <w:tcBorders>
              <w:top w:val="single" w:sz="8" w:space="0" w:color="666666"/>
              <w:left w:val="single" w:sz="8" w:space="0" w:color="666666"/>
              <w:bottom w:val="single" w:sz="8" w:space="0" w:color="666666"/>
              <w:right w:val="single" w:sz="8" w:space="0" w:color="666666"/>
            </w:tcBorders>
            <w:tcMar>
              <w:left w:w="108" w:type="dxa"/>
              <w:right w:w="108" w:type="dxa"/>
            </w:tcMar>
            <w:vAlign w:val="center"/>
          </w:tcPr>
          <w:p w14:paraId="7C6C5AC6" w14:textId="77777777" w:rsidR="139DF8FE" w:rsidRPr="00C34031" w:rsidRDefault="139DF8FE" w:rsidP="139DF8FE">
            <w:pPr>
              <w:spacing w:after="0"/>
              <w:jc w:val="left"/>
              <w:rPr>
                <w:noProof/>
              </w:rPr>
            </w:pPr>
            <w:r w:rsidRPr="00C34031">
              <w:rPr>
                <w:noProof/>
                <w:sz w:val="18"/>
              </w:rPr>
              <w:t xml:space="preserve">Primární zdroj všech referenčních údajů CBAM a zajišťuje konzistenci a integritu údaje ve všech složkách CBAM (přímo nebo nepřímo). </w:t>
            </w:r>
          </w:p>
        </w:tc>
      </w:tr>
      <w:tr w:rsidR="139DF8FE" w:rsidRPr="00C34031" w14:paraId="304E5B34" w14:textId="77777777" w:rsidTr="139DF8FE">
        <w:trPr>
          <w:gridAfter w:val="1"/>
          <w:wAfter w:w="434" w:type="dxa"/>
          <w:trHeight w:val="735"/>
        </w:trPr>
        <w:tc>
          <w:tcPr>
            <w:tcW w:w="2348" w:type="dxa"/>
            <w:tcBorders>
              <w:top w:val="single" w:sz="8" w:space="0" w:color="666666"/>
              <w:left w:val="single" w:sz="8" w:space="0" w:color="666666"/>
              <w:bottom w:val="single" w:sz="8" w:space="0" w:color="666666"/>
              <w:right w:val="single" w:sz="8" w:space="0" w:color="666666"/>
            </w:tcBorders>
            <w:shd w:val="clear" w:color="auto" w:fill="CCCCCC"/>
            <w:tcMar>
              <w:left w:w="108" w:type="dxa"/>
              <w:right w:w="108" w:type="dxa"/>
            </w:tcMar>
            <w:vAlign w:val="center"/>
          </w:tcPr>
          <w:p w14:paraId="2576A67A" w14:textId="77777777" w:rsidR="139DF8FE" w:rsidRPr="00C34031" w:rsidRDefault="139DF8FE" w:rsidP="139DF8FE">
            <w:pPr>
              <w:spacing w:after="0"/>
              <w:jc w:val="left"/>
              <w:rPr>
                <w:noProof/>
              </w:rPr>
            </w:pPr>
            <w:r w:rsidRPr="00C34031">
              <w:rPr>
                <w:b/>
                <w:noProof/>
                <w:color w:val="000000" w:themeColor="text1"/>
                <w:sz w:val="18"/>
              </w:rPr>
              <w:t>Podávání zpráv CBAM, přehledy, oznámení a údaje o správě dokumentů</w:t>
            </w:r>
          </w:p>
        </w:tc>
        <w:tc>
          <w:tcPr>
            <w:tcW w:w="6281" w:type="dxa"/>
            <w:tcBorders>
              <w:top w:val="single" w:sz="8" w:space="0" w:color="666666"/>
              <w:left w:val="single" w:sz="8" w:space="0" w:color="666666"/>
              <w:bottom w:val="single" w:sz="8" w:space="0" w:color="666666"/>
              <w:right w:val="single" w:sz="8" w:space="0" w:color="666666"/>
            </w:tcBorders>
            <w:shd w:val="clear" w:color="auto" w:fill="CCCCCC"/>
            <w:tcMar>
              <w:left w:w="108" w:type="dxa"/>
              <w:right w:w="108" w:type="dxa"/>
            </w:tcMar>
            <w:vAlign w:val="center"/>
          </w:tcPr>
          <w:p w14:paraId="53DD551C" w14:textId="77777777" w:rsidR="139DF8FE" w:rsidRPr="00C34031" w:rsidRDefault="139DF8FE" w:rsidP="139DF8FE">
            <w:pPr>
              <w:spacing w:after="0"/>
              <w:jc w:val="left"/>
              <w:rPr>
                <w:noProof/>
              </w:rPr>
            </w:pPr>
            <w:r w:rsidRPr="00C34031">
              <w:rPr>
                <w:noProof/>
                <w:color w:val="000000" w:themeColor="text1"/>
                <w:sz w:val="18"/>
              </w:rPr>
              <w:t>Kritický nástroj pro sledování a monitorování systému CBAM a klíčových ukazatelů výkonnosti a shromažďování a analýzu příslušných obchodních ukazatelů.</w:t>
            </w:r>
          </w:p>
          <w:p w14:paraId="6D16F540" w14:textId="77777777" w:rsidR="139DF8FE" w:rsidRPr="00C34031" w:rsidRDefault="139DF8FE" w:rsidP="139DF8FE">
            <w:pPr>
              <w:spacing w:after="0"/>
              <w:jc w:val="left"/>
              <w:rPr>
                <w:noProof/>
              </w:rPr>
            </w:pPr>
            <w:r w:rsidRPr="00C34031">
              <w:rPr>
                <w:noProof/>
                <w:color w:val="000000" w:themeColor="text1"/>
                <w:sz w:val="18"/>
              </w:rPr>
              <w:t>Slouží ke sdělování obchodních informací příslušným uživatelům systému a režimu CBAM; zahrnuje možnost odpovídat na oznámení, pokud je to nutné/vyžadováno.</w:t>
            </w:r>
          </w:p>
          <w:p w14:paraId="24CB8F8A" w14:textId="77777777" w:rsidR="139DF8FE" w:rsidRPr="00C34031" w:rsidRDefault="139DF8FE" w:rsidP="139DF8FE">
            <w:pPr>
              <w:spacing w:after="0"/>
              <w:jc w:val="left"/>
              <w:rPr>
                <w:noProof/>
              </w:rPr>
            </w:pPr>
            <w:r w:rsidRPr="00C34031">
              <w:rPr>
                <w:noProof/>
                <w:color w:val="000000" w:themeColor="text1"/>
                <w:sz w:val="18"/>
              </w:rPr>
              <w:t>Slouží k ukládání, vyhledávání a správě dokumentů, které se týkají mnoha oddělení v rámci systému CBAM.</w:t>
            </w:r>
          </w:p>
        </w:tc>
      </w:tr>
      <w:tr w:rsidR="139DF8FE" w:rsidRPr="00C34031" w14:paraId="5D1C2E87" w14:textId="77777777" w:rsidTr="139DF8FE">
        <w:trPr>
          <w:gridAfter w:val="1"/>
          <w:wAfter w:w="434" w:type="dxa"/>
          <w:trHeight w:val="300"/>
        </w:trPr>
        <w:tc>
          <w:tcPr>
            <w:tcW w:w="2348" w:type="dxa"/>
            <w:tcBorders>
              <w:top w:val="single" w:sz="8" w:space="0" w:color="666666"/>
              <w:left w:val="single" w:sz="8" w:space="0" w:color="666666"/>
              <w:bottom w:val="single" w:sz="8" w:space="0" w:color="666666"/>
              <w:right w:val="single" w:sz="8" w:space="0" w:color="666666"/>
            </w:tcBorders>
            <w:tcMar>
              <w:left w:w="108" w:type="dxa"/>
              <w:right w:w="108" w:type="dxa"/>
            </w:tcMar>
            <w:vAlign w:val="center"/>
          </w:tcPr>
          <w:p w14:paraId="490DAAF6" w14:textId="77777777" w:rsidR="139DF8FE" w:rsidRPr="00C34031" w:rsidRDefault="139DF8FE" w:rsidP="139DF8FE">
            <w:pPr>
              <w:spacing w:after="0"/>
              <w:jc w:val="left"/>
              <w:rPr>
                <w:noProof/>
              </w:rPr>
            </w:pPr>
            <w:r w:rsidRPr="00C34031">
              <w:rPr>
                <w:b/>
                <w:noProof/>
                <w:sz w:val="18"/>
              </w:rPr>
              <w:t>Údaje bezpečného fóra CBAM</w:t>
            </w:r>
          </w:p>
        </w:tc>
        <w:tc>
          <w:tcPr>
            <w:tcW w:w="6281" w:type="dxa"/>
            <w:tcBorders>
              <w:top w:val="single" w:sz="8" w:space="0" w:color="666666"/>
              <w:left w:val="single" w:sz="8" w:space="0" w:color="666666"/>
              <w:bottom w:val="single" w:sz="8" w:space="0" w:color="666666"/>
              <w:right w:val="single" w:sz="8" w:space="0" w:color="666666"/>
            </w:tcBorders>
            <w:tcMar>
              <w:left w:w="108" w:type="dxa"/>
              <w:right w:w="108" w:type="dxa"/>
            </w:tcMar>
            <w:vAlign w:val="center"/>
          </w:tcPr>
          <w:p w14:paraId="2C648DBD" w14:textId="77777777" w:rsidR="139DF8FE" w:rsidRPr="00C34031" w:rsidRDefault="139DF8FE" w:rsidP="139DF8FE">
            <w:pPr>
              <w:spacing w:after="0"/>
              <w:jc w:val="left"/>
              <w:rPr>
                <w:noProof/>
              </w:rPr>
            </w:pPr>
            <w:r w:rsidRPr="00C34031">
              <w:rPr>
                <w:noProof/>
                <w:sz w:val="18"/>
              </w:rPr>
              <w:t xml:space="preserve">Platforma pro </w:t>
            </w:r>
            <w:r w:rsidRPr="00C34031">
              <w:rPr>
                <w:i/>
                <w:iCs/>
                <w:noProof/>
                <w:sz w:val="18"/>
              </w:rPr>
              <w:t>ad hoc</w:t>
            </w:r>
            <w:r w:rsidRPr="00C34031">
              <w:rPr>
                <w:noProof/>
                <w:sz w:val="18"/>
              </w:rPr>
              <w:t xml:space="preserve"> komunikaci a výměnu citlivých informací mezi všemi orgány odpovědnými za provádění nařízení o CBAM (příslušné vnitrostátní orgány, příslušné vnitrostátní celní správy, Komise a další orgány, jako je Úřad evropského veřejného žalobce, OLAF atd.).</w:t>
            </w:r>
          </w:p>
          <w:p w14:paraId="289E547E" w14:textId="77777777" w:rsidR="139DF8FE" w:rsidRPr="00C34031" w:rsidRDefault="139DF8FE" w:rsidP="139DF8FE">
            <w:pPr>
              <w:spacing w:after="0"/>
              <w:jc w:val="left"/>
              <w:rPr>
                <w:noProof/>
              </w:rPr>
            </w:pPr>
            <w:r w:rsidRPr="00C34031">
              <w:rPr>
                <w:noProof/>
                <w:sz w:val="18"/>
              </w:rPr>
              <w:t>Veškeré další strukturované a/nebo nestrukturované informace/údaje získané a/nebo stažené ze systému CBAM a uložené a/nebo zpracované v úložištích a na médiích mimo systém CBAM.</w:t>
            </w:r>
          </w:p>
        </w:tc>
      </w:tr>
      <w:tr w:rsidR="139DF8FE" w:rsidRPr="00C34031" w14:paraId="13DCB370" w14:textId="77777777" w:rsidTr="139DF8FE">
        <w:trPr>
          <w:gridAfter w:val="1"/>
          <w:wAfter w:w="434" w:type="dxa"/>
          <w:trHeight w:val="300"/>
        </w:trPr>
        <w:tc>
          <w:tcPr>
            <w:tcW w:w="2348" w:type="dxa"/>
            <w:tcBorders>
              <w:top w:val="single" w:sz="8" w:space="0" w:color="666666"/>
              <w:left w:val="single" w:sz="8" w:space="0" w:color="666666"/>
              <w:bottom w:val="single" w:sz="8" w:space="0" w:color="666666"/>
              <w:right w:val="single" w:sz="8" w:space="0" w:color="666666"/>
            </w:tcBorders>
            <w:shd w:val="clear" w:color="auto" w:fill="CCCCCC"/>
            <w:tcMar>
              <w:left w:w="108" w:type="dxa"/>
              <w:right w:w="108" w:type="dxa"/>
            </w:tcMar>
            <w:vAlign w:val="center"/>
          </w:tcPr>
          <w:p w14:paraId="1D31D932" w14:textId="77777777" w:rsidR="139DF8FE" w:rsidRPr="00C34031" w:rsidRDefault="139DF8FE" w:rsidP="139DF8FE">
            <w:pPr>
              <w:spacing w:after="0"/>
              <w:jc w:val="left"/>
              <w:rPr>
                <w:noProof/>
              </w:rPr>
            </w:pPr>
            <w:r w:rsidRPr="00C34031">
              <w:rPr>
                <w:b/>
                <w:noProof/>
                <w:color w:val="000000" w:themeColor="text1"/>
                <w:sz w:val="18"/>
              </w:rPr>
              <w:t>Údaje o správě přístupu uživatelů CBAM</w:t>
            </w:r>
          </w:p>
        </w:tc>
        <w:tc>
          <w:tcPr>
            <w:tcW w:w="6281" w:type="dxa"/>
            <w:tcBorders>
              <w:top w:val="single" w:sz="8" w:space="0" w:color="666666"/>
              <w:left w:val="single" w:sz="8" w:space="0" w:color="666666"/>
              <w:bottom w:val="single" w:sz="8" w:space="0" w:color="666666"/>
              <w:right w:val="single" w:sz="8" w:space="0" w:color="666666"/>
            </w:tcBorders>
            <w:shd w:val="clear" w:color="auto" w:fill="CCCCCC"/>
            <w:tcMar>
              <w:left w:w="108" w:type="dxa"/>
              <w:right w:w="108" w:type="dxa"/>
            </w:tcMar>
            <w:vAlign w:val="center"/>
          </w:tcPr>
          <w:p w14:paraId="1C661913" w14:textId="77777777" w:rsidR="139DF8FE" w:rsidRPr="00C34031" w:rsidRDefault="139DF8FE" w:rsidP="139DF8FE">
            <w:pPr>
              <w:spacing w:after="0"/>
              <w:jc w:val="left"/>
              <w:rPr>
                <w:noProof/>
              </w:rPr>
            </w:pPr>
            <w:r w:rsidRPr="00C34031">
              <w:rPr>
                <w:noProof/>
                <w:color w:val="000000" w:themeColor="text1"/>
                <w:sz w:val="18"/>
              </w:rPr>
              <w:t>Přístup uživatelů (např. deklarantů, celních orgánů členských států, orgánů EK atd.), přihlašování a správa přístupových údajů do systému CBAM.</w:t>
            </w:r>
          </w:p>
        </w:tc>
      </w:tr>
      <w:tr w:rsidR="139DF8FE" w:rsidRPr="00C34031" w14:paraId="415AAB5D" w14:textId="77777777" w:rsidTr="139DF8FE">
        <w:trPr>
          <w:gridAfter w:val="1"/>
          <w:wAfter w:w="434" w:type="dxa"/>
          <w:trHeight w:val="300"/>
        </w:trPr>
        <w:tc>
          <w:tcPr>
            <w:tcW w:w="2348" w:type="dxa"/>
            <w:tcBorders>
              <w:top w:val="single" w:sz="8" w:space="0" w:color="666666"/>
              <w:left w:val="single" w:sz="8" w:space="0" w:color="666666"/>
              <w:bottom w:val="single" w:sz="8" w:space="0" w:color="666666"/>
              <w:right w:val="single" w:sz="8" w:space="0" w:color="666666"/>
            </w:tcBorders>
            <w:tcMar>
              <w:left w:w="108" w:type="dxa"/>
              <w:right w:w="108" w:type="dxa"/>
            </w:tcMar>
            <w:vAlign w:val="center"/>
          </w:tcPr>
          <w:p w14:paraId="14DC98BF" w14:textId="77777777" w:rsidR="139DF8FE" w:rsidRPr="00C34031" w:rsidRDefault="139DF8FE" w:rsidP="139DF8FE">
            <w:pPr>
              <w:spacing w:after="0"/>
              <w:jc w:val="left"/>
              <w:rPr>
                <w:noProof/>
              </w:rPr>
            </w:pPr>
            <w:r w:rsidRPr="00C34031">
              <w:rPr>
                <w:b/>
                <w:noProof/>
                <w:sz w:val="18"/>
              </w:rPr>
              <w:t>Údaje o provozovatelích ve třetích zemích a jejich zařízeních</w:t>
            </w:r>
          </w:p>
        </w:tc>
        <w:tc>
          <w:tcPr>
            <w:tcW w:w="6281" w:type="dxa"/>
            <w:tcBorders>
              <w:top w:val="single" w:sz="8" w:space="0" w:color="666666"/>
              <w:left w:val="single" w:sz="8" w:space="0" w:color="666666"/>
              <w:bottom w:val="single" w:sz="8" w:space="0" w:color="666666"/>
              <w:right w:val="single" w:sz="8" w:space="0" w:color="666666"/>
            </w:tcBorders>
            <w:tcMar>
              <w:left w:w="108" w:type="dxa"/>
              <w:right w:w="108" w:type="dxa"/>
            </w:tcMar>
            <w:vAlign w:val="center"/>
          </w:tcPr>
          <w:p w14:paraId="6DDC8EAE" w14:textId="77777777" w:rsidR="139DF8FE" w:rsidRPr="00C34031" w:rsidRDefault="139DF8FE" w:rsidP="139DF8FE">
            <w:pPr>
              <w:spacing w:after="0"/>
              <w:jc w:val="left"/>
              <w:rPr>
                <w:noProof/>
              </w:rPr>
            </w:pPr>
            <w:r w:rsidRPr="00C34031">
              <w:rPr>
                <w:noProof/>
                <w:sz w:val="18"/>
              </w:rPr>
              <w:t>Umožňuje provozovatelům zařízení ve třetích zemích, která vyrábějí zboží podléhající CBAM, aby se zaregistrovali / zrušili registraci (např. při ukončení provozu) jako provozovatelé CBAM a poskytli příslušné informace o výrobních procesech/metodách, kvalifikačních parametrech, údajích o emisích a ověřovacích zprávách atd.</w:t>
            </w:r>
            <w:r w:rsidRPr="00C34031">
              <w:rPr>
                <w:noProof/>
              </w:rPr>
              <w:br/>
              <w:t xml:space="preserve"> </w:t>
            </w:r>
            <w:r w:rsidRPr="00C34031">
              <w:rPr>
                <w:noProof/>
              </w:rPr>
              <w:br/>
            </w:r>
            <w:r w:rsidRPr="00C34031">
              <w:rPr>
                <w:noProof/>
                <w:sz w:val="18"/>
              </w:rPr>
              <w:t xml:space="preserve">Příslušná ověřovací zpráva může být zpřístupněna k použití deklaranty pro CBAM – tyto informace zahrnují důvěrné údaje o výrobních a kvalifikačních parametrech, které nemusí být k dispozici deklarantům, ale pouze Evropské komisi a příslušným vnitrostátním orgánům). </w:t>
            </w:r>
          </w:p>
        </w:tc>
      </w:tr>
      <w:tr w:rsidR="139DF8FE" w:rsidRPr="00C34031" w14:paraId="77647408" w14:textId="77777777" w:rsidTr="139DF8FE">
        <w:trPr>
          <w:gridAfter w:val="1"/>
          <w:wAfter w:w="434" w:type="dxa"/>
          <w:trHeight w:val="300"/>
        </w:trPr>
        <w:tc>
          <w:tcPr>
            <w:tcW w:w="2348" w:type="dxa"/>
            <w:tcBorders>
              <w:top w:val="single" w:sz="8" w:space="0" w:color="666666"/>
              <w:left w:val="single" w:sz="8" w:space="0" w:color="666666"/>
              <w:bottom w:val="single" w:sz="8" w:space="0" w:color="666666"/>
              <w:right w:val="single" w:sz="8" w:space="0" w:color="666666"/>
            </w:tcBorders>
            <w:shd w:val="clear" w:color="auto" w:fill="CCCCCC"/>
            <w:tcMar>
              <w:left w:w="108" w:type="dxa"/>
              <w:right w:w="108" w:type="dxa"/>
            </w:tcMar>
            <w:vAlign w:val="center"/>
          </w:tcPr>
          <w:p w14:paraId="4E6CD5E4" w14:textId="77777777" w:rsidR="139DF8FE" w:rsidRPr="00C34031" w:rsidRDefault="139DF8FE" w:rsidP="139DF8FE">
            <w:pPr>
              <w:spacing w:after="0"/>
              <w:jc w:val="left"/>
              <w:rPr>
                <w:noProof/>
              </w:rPr>
            </w:pPr>
            <w:r w:rsidRPr="00C34031">
              <w:rPr>
                <w:b/>
                <w:noProof/>
                <w:color w:val="000000" w:themeColor="text1"/>
                <w:sz w:val="18"/>
              </w:rPr>
              <w:t xml:space="preserve">Funkce deklaranta pro CBAM / dovozce </w:t>
            </w:r>
          </w:p>
        </w:tc>
        <w:tc>
          <w:tcPr>
            <w:tcW w:w="6281" w:type="dxa"/>
            <w:tcBorders>
              <w:top w:val="single" w:sz="8" w:space="0" w:color="666666"/>
              <w:left w:val="single" w:sz="8" w:space="0" w:color="666666"/>
              <w:bottom w:val="single" w:sz="8" w:space="0" w:color="666666"/>
              <w:right w:val="single" w:sz="8" w:space="0" w:color="666666"/>
            </w:tcBorders>
            <w:shd w:val="clear" w:color="auto" w:fill="CCCCCC"/>
            <w:tcMar>
              <w:left w:w="108" w:type="dxa"/>
              <w:right w:w="108" w:type="dxa"/>
            </w:tcMar>
            <w:vAlign w:val="center"/>
          </w:tcPr>
          <w:p w14:paraId="40567421" w14:textId="77777777" w:rsidR="139DF8FE" w:rsidRPr="00C34031" w:rsidRDefault="139DF8FE" w:rsidP="139DF8FE">
            <w:pPr>
              <w:spacing w:after="0"/>
              <w:jc w:val="left"/>
              <w:rPr>
                <w:noProof/>
              </w:rPr>
            </w:pPr>
            <w:r w:rsidRPr="00C34031">
              <w:rPr>
                <w:noProof/>
                <w:color w:val="000000" w:themeColor="text1"/>
                <w:sz w:val="18"/>
              </w:rPr>
              <w:t>Primární obchodní funkce prováděné deklarantem/obchodníkem, které se opírají o procesy prováděné/zahájené prostřednictvím portálu CBAM pro deklaranty.</w:t>
            </w:r>
          </w:p>
          <w:p w14:paraId="4FB1E9D5" w14:textId="77777777" w:rsidR="139DF8FE" w:rsidRPr="00C34031" w:rsidRDefault="139DF8FE" w:rsidP="139DF8FE">
            <w:pPr>
              <w:spacing w:after="0"/>
              <w:jc w:val="left"/>
              <w:rPr>
                <w:noProof/>
              </w:rPr>
            </w:pPr>
            <w:r w:rsidRPr="00C34031">
              <w:rPr>
                <w:noProof/>
                <w:sz w:val="18"/>
              </w:rPr>
              <w:t xml:space="preserve"> </w:t>
            </w:r>
          </w:p>
        </w:tc>
      </w:tr>
      <w:tr w:rsidR="139DF8FE" w:rsidRPr="00C34031" w14:paraId="7A56F920" w14:textId="77777777" w:rsidTr="139DF8FE">
        <w:trPr>
          <w:gridAfter w:val="1"/>
          <w:wAfter w:w="434" w:type="dxa"/>
          <w:trHeight w:val="825"/>
        </w:trPr>
        <w:tc>
          <w:tcPr>
            <w:tcW w:w="2348" w:type="dxa"/>
            <w:tcBorders>
              <w:top w:val="single" w:sz="8" w:space="0" w:color="666666"/>
              <w:left w:val="single" w:sz="8" w:space="0" w:color="666666"/>
              <w:bottom w:val="single" w:sz="8" w:space="0" w:color="666666"/>
              <w:right w:val="single" w:sz="8" w:space="0" w:color="666666"/>
            </w:tcBorders>
            <w:tcMar>
              <w:left w:w="108" w:type="dxa"/>
              <w:right w:w="108" w:type="dxa"/>
            </w:tcMar>
            <w:vAlign w:val="center"/>
          </w:tcPr>
          <w:p w14:paraId="63C44712" w14:textId="77777777" w:rsidR="139DF8FE" w:rsidRPr="00C34031" w:rsidRDefault="139DF8FE" w:rsidP="139DF8FE">
            <w:pPr>
              <w:spacing w:after="0"/>
              <w:jc w:val="left"/>
              <w:rPr>
                <w:noProof/>
              </w:rPr>
            </w:pPr>
            <w:r w:rsidRPr="00C34031">
              <w:rPr>
                <w:b/>
                <w:noProof/>
                <w:sz w:val="18"/>
              </w:rPr>
              <w:t xml:space="preserve">Funkce Evropské komise pro CBAM </w:t>
            </w:r>
          </w:p>
        </w:tc>
        <w:tc>
          <w:tcPr>
            <w:tcW w:w="6281" w:type="dxa"/>
            <w:tcBorders>
              <w:top w:val="single" w:sz="8" w:space="0" w:color="666666"/>
              <w:left w:val="single" w:sz="8" w:space="0" w:color="666666"/>
              <w:bottom w:val="single" w:sz="8" w:space="0" w:color="666666"/>
              <w:right w:val="single" w:sz="8" w:space="0" w:color="666666"/>
            </w:tcBorders>
            <w:tcMar>
              <w:left w:w="108" w:type="dxa"/>
              <w:right w:w="108" w:type="dxa"/>
            </w:tcMar>
            <w:vAlign w:val="center"/>
          </w:tcPr>
          <w:p w14:paraId="7BE77A97" w14:textId="77777777" w:rsidR="139DF8FE" w:rsidRPr="00C34031" w:rsidRDefault="139DF8FE" w:rsidP="139DF8FE">
            <w:pPr>
              <w:spacing w:after="0"/>
              <w:jc w:val="left"/>
              <w:rPr>
                <w:noProof/>
              </w:rPr>
            </w:pPr>
            <w:r w:rsidRPr="00C34031">
              <w:rPr>
                <w:noProof/>
                <w:sz w:val="18"/>
              </w:rPr>
              <w:t>Primární obchodní funkce prováděné Evropskou komisí, které se opírají o procesy prováděné/zahájené prostřednictvím portálu CBAM pro Komisi.</w:t>
            </w:r>
          </w:p>
        </w:tc>
      </w:tr>
      <w:tr w:rsidR="139DF8FE" w:rsidRPr="00C34031" w14:paraId="3C48F343" w14:textId="77777777" w:rsidTr="139DF8FE">
        <w:trPr>
          <w:gridAfter w:val="1"/>
          <w:wAfter w:w="434" w:type="dxa"/>
          <w:trHeight w:val="765"/>
        </w:trPr>
        <w:tc>
          <w:tcPr>
            <w:tcW w:w="2348" w:type="dxa"/>
            <w:tcBorders>
              <w:top w:val="single" w:sz="8" w:space="0" w:color="666666"/>
              <w:left w:val="single" w:sz="8" w:space="0" w:color="666666"/>
              <w:bottom w:val="single" w:sz="8" w:space="0" w:color="666666"/>
              <w:right w:val="single" w:sz="8" w:space="0" w:color="666666"/>
            </w:tcBorders>
            <w:shd w:val="clear" w:color="auto" w:fill="CCCCCC"/>
            <w:tcMar>
              <w:left w:w="108" w:type="dxa"/>
              <w:right w:w="108" w:type="dxa"/>
            </w:tcMar>
            <w:vAlign w:val="center"/>
          </w:tcPr>
          <w:p w14:paraId="75A02DA5" w14:textId="77777777" w:rsidR="139DF8FE" w:rsidRPr="00C34031" w:rsidRDefault="139DF8FE" w:rsidP="139DF8FE">
            <w:pPr>
              <w:spacing w:after="0"/>
              <w:jc w:val="left"/>
              <w:rPr>
                <w:noProof/>
              </w:rPr>
            </w:pPr>
            <w:r w:rsidRPr="00C34031">
              <w:rPr>
                <w:b/>
                <w:noProof/>
                <w:color w:val="000000" w:themeColor="text1"/>
                <w:sz w:val="18"/>
              </w:rPr>
              <w:t>Monitorování nedodržování předpisů, vyšetřování obcházení předpisů a řízení rizik CBAM</w:t>
            </w:r>
          </w:p>
        </w:tc>
        <w:tc>
          <w:tcPr>
            <w:tcW w:w="6281" w:type="dxa"/>
            <w:tcBorders>
              <w:top w:val="single" w:sz="8" w:space="0" w:color="666666"/>
              <w:left w:val="single" w:sz="8" w:space="0" w:color="666666"/>
              <w:bottom w:val="single" w:sz="8" w:space="0" w:color="666666"/>
              <w:right w:val="single" w:sz="8" w:space="0" w:color="666666"/>
            </w:tcBorders>
            <w:shd w:val="clear" w:color="auto" w:fill="CCCCCC"/>
            <w:tcMar>
              <w:left w:w="108" w:type="dxa"/>
              <w:right w:w="108" w:type="dxa"/>
            </w:tcMar>
            <w:vAlign w:val="center"/>
          </w:tcPr>
          <w:p w14:paraId="1D03F7DF" w14:textId="77777777" w:rsidR="139DF8FE" w:rsidRPr="00C34031" w:rsidRDefault="139DF8FE" w:rsidP="139DF8FE">
            <w:pPr>
              <w:spacing w:after="0"/>
              <w:jc w:val="left"/>
              <w:rPr>
                <w:noProof/>
              </w:rPr>
            </w:pPr>
            <w:r w:rsidRPr="00C34031">
              <w:rPr>
                <w:noProof/>
                <w:color w:val="000000" w:themeColor="text1"/>
                <w:sz w:val="18"/>
              </w:rPr>
              <w:t>Informační systém CBAM slouží ke sledování, monitorování a zpracování potenciálních nebo potvrzených případů nesrovnalostí a nedodržování předpisů v systému CBAM.</w:t>
            </w:r>
          </w:p>
        </w:tc>
      </w:tr>
      <w:tr w:rsidR="139DF8FE" w:rsidRPr="00C34031" w14:paraId="7A15E8CA" w14:textId="77777777" w:rsidTr="139DF8FE">
        <w:trPr>
          <w:gridAfter w:val="1"/>
          <w:wAfter w:w="434" w:type="dxa"/>
          <w:trHeight w:val="60"/>
        </w:trPr>
        <w:tc>
          <w:tcPr>
            <w:tcW w:w="2348" w:type="dxa"/>
            <w:tcBorders>
              <w:top w:val="single" w:sz="8" w:space="0" w:color="666666"/>
              <w:left w:val="single" w:sz="8" w:space="0" w:color="666666"/>
              <w:bottom w:val="single" w:sz="8" w:space="0" w:color="666666"/>
              <w:right w:val="single" w:sz="8" w:space="0" w:color="666666"/>
            </w:tcBorders>
            <w:tcMar>
              <w:left w:w="108" w:type="dxa"/>
              <w:right w:w="108" w:type="dxa"/>
            </w:tcMar>
            <w:vAlign w:val="center"/>
          </w:tcPr>
          <w:p w14:paraId="55A93598" w14:textId="77777777" w:rsidR="139DF8FE" w:rsidRPr="00C34031" w:rsidRDefault="139DF8FE" w:rsidP="139DF8FE">
            <w:pPr>
              <w:spacing w:after="0"/>
              <w:jc w:val="left"/>
              <w:rPr>
                <w:noProof/>
              </w:rPr>
            </w:pPr>
            <w:r w:rsidRPr="00C34031">
              <w:rPr>
                <w:b/>
                <w:noProof/>
                <w:sz w:val="18"/>
              </w:rPr>
              <w:t xml:space="preserve">Funkce příslušných vnitrostátních orgánů </w:t>
            </w:r>
          </w:p>
        </w:tc>
        <w:tc>
          <w:tcPr>
            <w:tcW w:w="6281" w:type="dxa"/>
            <w:tcBorders>
              <w:top w:val="single" w:sz="8" w:space="0" w:color="666666"/>
              <w:left w:val="single" w:sz="8" w:space="0" w:color="666666"/>
              <w:bottom w:val="single" w:sz="8" w:space="0" w:color="666666"/>
              <w:right w:val="single" w:sz="8" w:space="0" w:color="666666"/>
            </w:tcBorders>
            <w:tcMar>
              <w:left w:w="108" w:type="dxa"/>
              <w:right w:w="108" w:type="dxa"/>
            </w:tcMar>
            <w:vAlign w:val="center"/>
          </w:tcPr>
          <w:p w14:paraId="5779E368" w14:textId="77777777" w:rsidR="139DF8FE" w:rsidRPr="00C34031" w:rsidRDefault="139DF8FE" w:rsidP="139DF8FE">
            <w:pPr>
              <w:spacing w:after="0"/>
              <w:jc w:val="left"/>
              <w:rPr>
                <w:noProof/>
              </w:rPr>
            </w:pPr>
            <w:r w:rsidRPr="00C34031">
              <w:rPr>
                <w:noProof/>
                <w:sz w:val="18"/>
              </w:rPr>
              <w:t>Primární obchodní funkce prováděné příslušnými vnitrostátními orgány (nebo příslušnými vnitrostátními celními správami) členských států, které se opírají o procesy prováděné/zahajované prostřednictvím portálu  CBAM pro příslušné vnitrostátní orgány.</w:t>
            </w:r>
          </w:p>
        </w:tc>
      </w:tr>
      <w:tr w:rsidR="139DF8FE" w:rsidRPr="00C34031" w14:paraId="3D7BEA75" w14:textId="77777777" w:rsidTr="139DF8FE">
        <w:trPr>
          <w:gridAfter w:val="1"/>
          <w:wAfter w:w="434" w:type="dxa"/>
          <w:trHeight w:val="300"/>
        </w:trPr>
        <w:tc>
          <w:tcPr>
            <w:tcW w:w="2348" w:type="dxa"/>
            <w:tcBorders>
              <w:top w:val="single" w:sz="8" w:space="0" w:color="666666"/>
              <w:left w:val="single" w:sz="8" w:space="0" w:color="666666"/>
              <w:bottom w:val="single" w:sz="8" w:space="0" w:color="666666"/>
              <w:right w:val="single" w:sz="8" w:space="0" w:color="666666"/>
            </w:tcBorders>
            <w:shd w:val="clear" w:color="auto" w:fill="CCCCCC"/>
            <w:tcMar>
              <w:left w:w="108" w:type="dxa"/>
              <w:right w:w="108" w:type="dxa"/>
            </w:tcMar>
            <w:vAlign w:val="center"/>
          </w:tcPr>
          <w:p w14:paraId="35908FAF" w14:textId="77777777" w:rsidR="139DF8FE" w:rsidRPr="00C34031" w:rsidRDefault="139DF8FE" w:rsidP="139DF8FE">
            <w:pPr>
              <w:spacing w:after="0"/>
              <w:jc w:val="left"/>
              <w:rPr>
                <w:noProof/>
              </w:rPr>
            </w:pPr>
            <w:r w:rsidRPr="00C34031">
              <w:rPr>
                <w:b/>
                <w:noProof/>
                <w:color w:val="000000" w:themeColor="text1"/>
                <w:sz w:val="18"/>
              </w:rPr>
              <w:t>Funkce provozovatelů zařízení ve třetích zemích a akreditovaných ověřovatelů</w:t>
            </w:r>
          </w:p>
        </w:tc>
        <w:tc>
          <w:tcPr>
            <w:tcW w:w="6281" w:type="dxa"/>
            <w:tcBorders>
              <w:top w:val="single" w:sz="8" w:space="0" w:color="666666"/>
              <w:left w:val="single" w:sz="8" w:space="0" w:color="666666"/>
              <w:bottom w:val="single" w:sz="8" w:space="0" w:color="666666"/>
              <w:right w:val="single" w:sz="8" w:space="0" w:color="666666"/>
            </w:tcBorders>
            <w:shd w:val="clear" w:color="auto" w:fill="CCCCCC"/>
            <w:tcMar>
              <w:left w:w="108" w:type="dxa"/>
              <w:right w:w="108" w:type="dxa"/>
            </w:tcMar>
            <w:vAlign w:val="center"/>
          </w:tcPr>
          <w:p w14:paraId="05E5019F" w14:textId="77777777" w:rsidR="139DF8FE" w:rsidRPr="00C34031" w:rsidRDefault="139DF8FE" w:rsidP="139DF8FE">
            <w:pPr>
              <w:spacing w:after="0"/>
              <w:jc w:val="left"/>
              <w:rPr>
                <w:noProof/>
              </w:rPr>
            </w:pPr>
            <w:r w:rsidRPr="00C34031">
              <w:rPr>
                <w:noProof/>
                <w:color w:val="000000" w:themeColor="text1"/>
                <w:sz w:val="18"/>
              </w:rPr>
              <w:t>Primární obchodní funkce prováděné provozovateli a zařízeními ve třetích zemích a akreditovanými ověřovateli, kteří se opírají o procesy prováděné/zahájené prostřednictvím portálu CBAM pro provozovatele a zařízení ve třetích zemích.</w:t>
            </w:r>
          </w:p>
        </w:tc>
      </w:tr>
    </w:tbl>
    <w:p w14:paraId="55DE5F19" w14:textId="77777777" w:rsidR="139DF8FE" w:rsidRPr="00C34031" w:rsidRDefault="139DF8FE" w:rsidP="139DF8FE">
      <w:pPr>
        <w:pStyle w:val="Text1"/>
        <w:rPr>
          <w:noProof/>
        </w:rPr>
      </w:pPr>
    </w:p>
    <w:p w14:paraId="4EF31EB1" w14:textId="77777777" w:rsidR="139DF8FE" w:rsidRPr="00C34031" w:rsidRDefault="139DF8FE" w:rsidP="139DF8FE">
      <w:pPr>
        <w:pStyle w:val="ManualHeading2"/>
        <w:rPr>
          <w:noProof/>
        </w:rPr>
      </w:pPr>
    </w:p>
    <w:p w14:paraId="5FED599F" w14:textId="77777777" w:rsidR="00FA5543" w:rsidRPr="00C34031" w:rsidRDefault="00FA5543" w:rsidP="00390489">
      <w:pPr>
        <w:pStyle w:val="ManualHeading2"/>
        <w:rPr>
          <w:noProof/>
        </w:rPr>
      </w:pPr>
      <w:r w:rsidRPr="00C34031">
        <w:rPr>
          <w:noProof/>
        </w:rPr>
        <w:t>4.3.</w:t>
      </w:r>
      <w:r w:rsidRPr="00C34031">
        <w:rPr>
          <w:noProof/>
        </w:rPr>
        <w:tab/>
        <w:t>Digitální řešení</w:t>
      </w:r>
    </w:p>
    <w:tbl>
      <w:tblPr>
        <w:tblStyle w:val="TableGrid"/>
        <w:tblpPr w:leftFromText="141" w:rightFromText="141" w:vertAnchor="text" w:horzAnchor="margin" w:tblpY="2"/>
        <w:tblW w:w="9067" w:type="dxa"/>
        <w:tblLook w:val="04A0" w:firstRow="1" w:lastRow="0" w:firstColumn="1" w:lastColumn="0" w:noHBand="0" w:noVBand="1"/>
      </w:tblPr>
      <w:tblGrid>
        <w:gridCol w:w="9289"/>
      </w:tblGrid>
      <w:tr w:rsidR="00FA5543" w:rsidRPr="00C34031" w14:paraId="6DC92F05" w14:textId="77777777" w:rsidTr="139DF8FE">
        <w:tc>
          <w:tcPr>
            <w:tcW w:w="9067" w:type="dxa"/>
          </w:tcPr>
          <w:p w14:paraId="2F940320" w14:textId="77777777" w:rsidR="00FA5543" w:rsidRPr="00C34031" w:rsidRDefault="00FA5543" w:rsidP="00390489">
            <w:pPr>
              <w:rPr>
                <w:noProof/>
              </w:rPr>
            </w:pPr>
          </w:p>
          <w:p w14:paraId="5C48BEB6" w14:textId="5125706D" w:rsidR="00FA5543" w:rsidRPr="00C34031" w:rsidRDefault="00C21D19" w:rsidP="00390489">
            <w:pPr>
              <w:rPr>
                <w:noProof/>
              </w:rPr>
            </w:pPr>
            <w:r w:rsidRPr="00C21D19">
              <w:rPr>
                <w:noProof/>
                <w:lang w:val="en-GB" w:eastAsia="en-GB"/>
              </w:rPr>
              <w:drawing>
                <wp:inline distT="0" distB="0" distL="0" distR="0" wp14:anchorId="2456EAAE" wp14:editId="3575C9F6">
                  <wp:extent cx="5783580" cy="5266055"/>
                  <wp:effectExtent l="0" t="0" r="7620" b="0"/>
                  <wp:docPr id="14820963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096354" name=""/>
                          <pic:cNvPicPr/>
                        </pic:nvPicPr>
                        <pic:blipFill>
                          <a:blip r:embed="rId27"/>
                          <a:stretch>
                            <a:fillRect/>
                          </a:stretch>
                        </pic:blipFill>
                        <pic:spPr>
                          <a:xfrm>
                            <a:off x="0" y="0"/>
                            <a:ext cx="5783580" cy="5266055"/>
                          </a:xfrm>
                          <a:prstGeom prst="rect">
                            <a:avLst/>
                          </a:prstGeom>
                        </pic:spPr>
                      </pic:pic>
                    </a:graphicData>
                  </a:graphic>
                </wp:inline>
              </w:drawing>
            </w:r>
          </w:p>
        </w:tc>
      </w:tr>
      <w:tr w:rsidR="139DF8FE" w:rsidRPr="00C34031" w14:paraId="56BF2DF1" w14:textId="77777777" w:rsidTr="139DF8FE">
        <w:trPr>
          <w:trHeight w:val="300"/>
        </w:trPr>
        <w:tc>
          <w:tcPr>
            <w:tcW w:w="9067" w:type="dxa"/>
            <w:tcMar>
              <w:left w:w="141" w:type="dxa"/>
              <w:right w:w="141" w:type="dxa"/>
            </w:tcMar>
          </w:tcPr>
          <w:p w14:paraId="5A1DCA07" w14:textId="77777777" w:rsidR="139DF8FE" w:rsidRPr="00C34031" w:rsidRDefault="139DF8FE" w:rsidP="139DF8FE">
            <w:pPr>
              <w:spacing w:before="0"/>
              <w:rPr>
                <w:noProof/>
              </w:rPr>
            </w:pPr>
            <w:r w:rsidRPr="00C34031">
              <w:rPr>
                <w:rFonts w:ascii="Calibri" w:hAnsi="Calibri"/>
                <w:noProof/>
              </w:rPr>
              <w:t xml:space="preserve">Struktura rejstříku CBAM na vysoké úrovni bude tvořena třemi vrstvami: </w:t>
            </w:r>
          </w:p>
          <w:p w14:paraId="43DC4815" w14:textId="77777777" w:rsidR="139DF8FE" w:rsidRPr="00C34031" w:rsidRDefault="139DF8FE" w:rsidP="139DF8FE">
            <w:pPr>
              <w:pStyle w:val="ListParagraph"/>
              <w:numPr>
                <w:ilvl w:val="0"/>
                <w:numId w:val="4"/>
              </w:numPr>
              <w:spacing w:before="0" w:after="0" w:line="257" w:lineRule="auto"/>
              <w:ind w:left="360"/>
              <w:rPr>
                <w:rFonts w:ascii="Calibri" w:eastAsia="Calibri" w:hAnsi="Calibri" w:cs="Calibri"/>
                <w:noProof/>
                <w:szCs w:val="24"/>
              </w:rPr>
            </w:pPr>
            <w:r w:rsidRPr="00C34031">
              <w:rPr>
                <w:rFonts w:ascii="Calibri" w:hAnsi="Calibri"/>
                <w:b/>
                <w:noProof/>
              </w:rPr>
              <w:t>Vrstva portálu</w:t>
            </w:r>
            <w:r w:rsidRPr="00C34031">
              <w:rPr>
                <w:rFonts w:ascii="Calibri" w:hAnsi="Calibri"/>
                <w:noProof/>
              </w:rPr>
              <w:t xml:space="preserve"> nabízející různé portály pro jednotlivé komunity uživatelů rejstříku CBAM: deklaranti pro CBAM, provozovatelé zařízení ve třetích zemích, příslušné vnitrostátní orgány CBAM, Komise, vnitrostátní celní správy, úřad OLAF a další útvary EK.</w:t>
            </w:r>
          </w:p>
          <w:p w14:paraId="74C629CA" w14:textId="77777777" w:rsidR="139DF8FE" w:rsidRPr="00C34031" w:rsidRDefault="139DF8FE" w:rsidP="139DF8FE">
            <w:pPr>
              <w:pStyle w:val="ListParagraph"/>
              <w:numPr>
                <w:ilvl w:val="0"/>
                <w:numId w:val="4"/>
              </w:numPr>
              <w:spacing w:before="0" w:after="0" w:line="257" w:lineRule="auto"/>
              <w:ind w:left="360"/>
              <w:rPr>
                <w:rFonts w:ascii="Calibri" w:eastAsia="Calibri" w:hAnsi="Calibri" w:cs="Calibri"/>
                <w:noProof/>
                <w:szCs w:val="24"/>
              </w:rPr>
            </w:pPr>
            <w:r w:rsidRPr="00C34031">
              <w:rPr>
                <w:rFonts w:ascii="Calibri" w:hAnsi="Calibri"/>
                <w:b/>
                <w:noProof/>
              </w:rPr>
              <w:t>Vrstva správy přístupu uživatelů</w:t>
            </w:r>
            <w:r w:rsidRPr="00C34031">
              <w:rPr>
                <w:rFonts w:ascii="Calibri" w:hAnsi="Calibri"/>
                <w:noProof/>
              </w:rPr>
              <w:t>: spravuje ověřování a schvalování uživatelů rejstříku CBAM. Příslušné vnitrostátní orgány budou muset poskytnout a spravovat přístup deklarantů pro CBAM (očekává se, že v roce 2026 jich bude více než 200 000), zatímco Komise učiní totéž pro provozovatele ve třetích zemích (odhaduje se, že v roce 2026 jich bude 50 000), přičemž každý členský stát a správní orgány EU budou zodpovědné za přístup svých vlastních uživatelů.</w:t>
            </w:r>
          </w:p>
          <w:p w14:paraId="713E1441" w14:textId="77777777" w:rsidR="139DF8FE" w:rsidRPr="00C34031" w:rsidRDefault="139DF8FE" w:rsidP="139DF8FE">
            <w:pPr>
              <w:pStyle w:val="ListParagraph"/>
              <w:numPr>
                <w:ilvl w:val="0"/>
                <w:numId w:val="4"/>
              </w:numPr>
              <w:spacing w:before="0" w:after="0" w:line="257" w:lineRule="auto"/>
              <w:ind w:left="360"/>
              <w:rPr>
                <w:rFonts w:ascii="Calibri" w:eastAsia="Calibri" w:hAnsi="Calibri" w:cs="Calibri"/>
                <w:noProof/>
                <w:szCs w:val="24"/>
              </w:rPr>
            </w:pPr>
            <w:r w:rsidRPr="00C34031">
              <w:rPr>
                <w:rFonts w:ascii="Calibri" w:hAnsi="Calibri"/>
                <w:b/>
                <w:noProof/>
              </w:rPr>
              <w:t>Back-end</w:t>
            </w:r>
            <w:r w:rsidRPr="00C34031">
              <w:rPr>
                <w:rFonts w:ascii="Calibri" w:hAnsi="Calibri"/>
                <w:noProof/>
              </w:rPr>
              <w:t>: podporuje veškerou správu údajů a pravidel nutnou pro CBAM a také veškerou součinnost s externími systémy. Je třeba konstatovat, že: podporuje veškerou správu údajů a pravidel nutnou pro CBAM a také veškerou součinnost s externími systémy. Je třeba konstatovat, že:</w:t>
            </w:r>
          </w:p>
          <w:p w14:paraId="759BF4C6" w14:textId="77777777" w:rsidR="139DF8FE" w:rsidRPr="00C34031" w:rsidRDefault="139DF8FE" w:rsidP="139DF8FE">
            <w:pPr>
              <w:pStyle w:val="ListParagraph"/>
              <w:numPr>
                <w:ilvl w:val="1"/>
                <w:numId w:val="4"/>
              </w:numPr>
              <w:spacing w:before="0" w:after="0" w:line="257" w:lineRule="auto"/>
              <w:ind w:left="1080"/>
              <w:rPr>
                <w:rFonts w:ascii="Calibri" w:eastAsia="Calibri" w:hAnsi="Calibri" w:cs="Calibri"/>
                <w:noProof/>
                <w:szCs w:val="24"/>
              </w:rPr>
            </w:pPr>
            <w:r w:rsidRPr="00C34031">
              <w:rPr>
                <w:rFonts w:ascii="Calibri" w:hAnsi="Calibri"/>
                <w:noProof/>
              </w:rPr>
              <w:t>CBAM zavede řadu pracovních postupů, oznámení a výměn informací mezi Komisí, příslušnými vnitrostátními orgány a deklaranty pro CBAM, zejména v oblasti podávání prohlášení a přezkumu (včetně posouzení rizik),</w:t>
            </w:r>
          </w:p>
          <w:p w14:paraId="7B0A572C" w14:textId="77777777" w:rsidR="139DF8FE" w:rsidRPr="00C34031" w:rsidRDefault="139DF8FE" w:rsidP="139DF8FE">
            <w:pPr>
              <w:pStyle w:val="ListParagraph"/>
              <w:numPr>
                <w:ilvl w:val="1"/>
                <w:numId w:val="4"/>
              </w:numPr>
              <w:spacing w:before="0" w:after="0" w:line="257" w:lineRule="auto"/>
              <w:ind w:left="1080"/>
              <w:rPr>
                <w:rFonts w:ascii="Calibri" w:eastAsia="Calibri" w:hAnsi="Calibri" w:cs="Calibri"/>
                <w:noProof/>
                <w:szCs w:val="24"/>
              </w:rPr>
            </w:pPr>
            <w:r w:rsidRPr="00C34031">
              <w:rPr>
                <w:rFonts w:ascii="Calibri" w:hAnsi="Calibri"/>
                <w:noProof/>
              </w:rPr>
              <w:t>správa účtů deklaranta, správa certifikátů CBAM (potenciálně finančních aktiv), řízení rizik a bezpečná výměna informací mají vysoké bezpečnostní požadavky.</w:t>
            </w:r>
          </w:p>
        </w:tc>
      </w:tr>
    </w:tbl>
    <w:p w14:paraId="7F52533C" w14:textId="77777777" w:rsidR="139DF8FE" w:rsidRPr="00C34031" w:rsidRDefault="139DF8FE" w:rsidP="139DF8FE">
      <w:pPr>
        <w:pStyle w:val="Text1"/>
        <w:rPr>
          <w:noProof/>
        </w:rPr>
      </w:pPr>
    </w:p>
    <w:p w14:paraId="14501917" w14:textId="77777777" w:rsidR="00FA5543" w:rsidRPr="00C34031" w:rsidRDefault="00FA5543" w:rsidP="00390489">
      <w:pPr>
        <w:pStyle w:val="ManualHeading2"/>
        <w:rPr>
          <w:rStyle w:val="Emphasis"/>
          <w:b w:val="0"/>
          <w:bCs/>
          <w:i w:val="0"/>
          <w:iCs w:val="0"/>
          <w:noProof/>
        </w:rPr>
      </w:pPr>
      <w:r w:rsidRPr="00C34031">
        <w:rPr>
          <w:rStyle w:val="Emphasis"/>
          <w:noProof/>
        </w:rPr>
        <w:t>4.4.</w:t>
      </w:r>
      <w:r w:rsidRPr="00C34031">
        <w:rPr>
          <w:noProof/>
        </w:rPr>
        <w:tab/>
      </w:r>
      <w:r w:rsidRPr="00C34031">
        <w:rPr>
          <w:rStyle w:val="Emphasis"/>
          <w:noProof/>
        </w:rPr>
        <w:t>Posouzení interoperability</w:t>
      </w:r>
    </w:p>
    <w:tbl>
      <w:tblPr>
        <w:tblStyle w:val="TableGrid"/>
        <w:tblpPr w:leftFromText="141" w:rightFromText="141" w:vertAnchor="text" w:horzAnchor="margin" w:tblpY="36"/>
        <w:tblW w:w="9067" w:type="dxa"/>
        <w:tblLayout w:type="fixed"/>
        <w:tblLook w:val="06A0" w:firstRow="1" w:lastRow="0" w:firstColumn="1" w:lastColumn="0" w:noHBand="1" w:noVBand="1"/>
      </w:tblPr>
      <w:tblGrid>
        <w:gridCol w:w="9067"/>
      </w:tblGrid>
      <w:tr w:rsidR="00FA5543" w:rsidRPr="00C34031" w14:paraId="700E9747" w14:textId="77777777" w:rsidTr="139DF8FE">
        <w:trPr>
          <w:trHeight w:val="300"/>
        </w:trPr>
        <w:tc>
          <w:tcPr>
            <w:tcW w:w="9067" w:type="dxa"/>
          </w:tcPr>
          <w:p w14:paraId="5FDF373C" w14:textId="77777777" w:rsidR="139DF8FE" w:rsidRPr="00C34031" w:rsidRDefault="139DF8FE" w:rsidP="139DF8FE">
            <w:pPr>
              <w:spacing w:line="257" w:lineRule="auto"/>
              <w:rPr>
                <w:noProof/>
                <w:szCs w:val="24"/>
              </w:rPr>
            </w:pPr>
            <w:r w:rsidRPr="00C34031">
              <w:rPr>
                <w:noProof/>
              </w:rPr>
              <w:t xml:space="preserve">CBAM je již od návrhu přeshraniční, protože podporuje životní cyklus CBAM v celé EU, a zejména organizaci posouzení rizik a přezkum prohlášení CBAM ve všech příslušných vnitrostátních orgánech v Komisi. </w:t>
            </w:r>
          </w:p>
          <w:p w14:paraId="1156D543" w14:textId="77777777" w:rsidR="139DF8FE" w:rsidRPr="00C34031" w:rsidRDefault="139DF8FE" w:rsidP="139DF8FE">
            <w:pPr>
              <w:spacing w:line="257" w:lineRule="auto"/>
              <w:rPr>
                <w:noProof/>
                <w:szCs w:val="24"/>
              </w:rPr>
            </w:pPr>
            <w:r w:rsidRPr="00C34031">
              <w:rPr>
                <w:noProof/>
              </w:rPr>
              <w:t xml:space="preserve">Spolupráce mezi vnitrostátními celními systémy bude zajištěna využitím IT služeb a rozhraní Komise (např. SURV3, EU CSW – CERTEX), jakož i nových složek, které jsou speciálně navrženy pro účely CBAM. </w:t>
            </w:r>
          </w:p>
          <w:p w14:paraId="4B40245C" w14:textId="77777777" w:rsidR="139DF8FE" w:rsidRPr="00C34031" w:rsidRDefault="139DF8FE" w:rsidP="139DF8FE">
            <w:pPr>
              <w:spacing w:line="257" w:lineRule="auto"/>
              <w:rPr>
                <w:noProof/>
                <w:szCs w:val="24"/>
              </w:rPr>
            </w:pPr>
            <w:r w:rsidRPr="00C34031">
              <w:rPr>
                <w:noProof/>
              </w:rPr>
              <w:t>Rejstřík CBAM byl navržen tak, aby podporoval interoperabilitu tím, že klade důraz na otevřenost, modularitu, oddělování a odolné rozhraní. Bude spolupracovat s vnitrostátními systémy CBAM, se společnou centrální platformou, s celními systémy EU od GŘ TAXUD, s vnitrostátními celními správami a se systémy ostatních GŘ prostřednictvím otevřených rozhraní.</w:t>
            </w:r>
          </w:p>
          <w:p w14:paraId="76BFC006" w14:textId="77777777" w:rsidR="139DF8FE" w:rsidRPr="00C34031" w:rsidRDefault="139DF8FE" w:rsidP="139DF8FE">
            <w:pPr>
              <w:spacing w:line="257" w:lineRule="auto"/>
              <w:rPr>
                <w:noProof/>
              </w:rPr>
            </w:pPr>
            <w:r w:rsidRPr="00C34031">
              <w:rPr>
                <w:noProof/>
              </w:rPr>
              <w:t>Centrální úložiště CBAM bude využívat stávající rozhraní celních systémů EU spravovaných GŘ TAXUD a vymezí speciální formáty pro celní záznamy o dovozu a aktivním zušlechťovacím styku, které budou poskytovat vnitrostátní celní správy. Nová rozhraní s vnitrostátními celními systémy budou zveřejněna počátkem roku 2024, aby měly vnitrostátní celní správy dostatek času na odpovídající přípravu svých systémů.</w:t>
            </w:r>
          </w:p>
          <w:p w14:paraId="3536A7E2" w14:textId="77777777" w:rsidR="139DF8FE" w:rsidRPr="00C34031" w:rsidRDefault="139DF8FE" w:rsidP="139DF8FE">
            <w:pPr>
              <w:spacing w:before="0" w:line="257" w:lineRule="auto"/>
              <w:rPr>
                <w:noProof/>
              </w:rPr>
            </w:pPr>
            <w:r w:rsidRPr="00C34031">
              <w:rPr>
                <w:noProof/>
              </w:rPr>
              <w:t>Rozhraní S2S mezi rejstříkem CBAM a společnou centrální platformou bude založeno na výměně strukturovaných zpráv a bude k dispozici počátkem roku 2024, aby měly rejstřík CBAM i společná centrální platforma dostatek času na integraci svých příslušných rozhraní do poloviny roku 2025.</w:t>
            </w:r>
          </w:p>
          <w:p w14:paraId="0CD34CC4" w14:textId="77777777" w:rsidR="139DF8FE" w:rsidRPr="00C34031" w:rsidRDefault="139DF8FE" w:rsidP="139DF8FE">
            <w:pPr>
              <w:spacing w:before="0" w:line="257" w:lineRule="auto"/>
              <w:rPr>
                <w:noProof/>
              </w:rPr>
            </w:pPr>
            <w:r w:rsidRPr="00C34031">
              <w:rPr>
                <w:noProof/>
              </w:rPr>
              <w:t xml:space="preserve">Rozhraní S2S mezi rejstříkem CBAM a vnitrostátními systémy CBAM (které bude vyvinuto členskými státy) bude založeno na výměně strukturovaných zpráv a bude rovněž zpřístupněno počátkem roku 2024. </w:t>
            </w:r>
          </w:p>
          <w:p w14:paraId="2134AF81" w14:textId="77777777" w:rsidR="139DF8FE" w:rsidRPr="00C34031" w:rsidRDefault="139DF8FE" w:rsidP="139DF8FE">
            <w:pPr>
              <w:spacing w:before="0" w:line="257" w:lineRule="auto"/>
              <w:rPr>
                <w:noProof/>
              </w:rPr>
            </w:pPr>
            <w:r w:rsidRPr="00C34031">
              <w:rPr>
                <w:noProof/>
              </w:rPr>
              <w:t>Rozhraní S2S se systémy ostatních orgánů EU bude upřesněno a vyvinuto na dvoustranném základě během přípravy a vytváření rejstříku CBAM.</w:t>
            </w:r>
          </w:p>
          <w:p w14:paraId="7D3DB975" w14:textId="77777777" w:rsidR="139DF8FE" w:rsidRPr="00C34031" w:rsidRDefault="139DF8FE" w:rsidP="139DF8FE">
            <w:pPr>
              <w:spacing w:before="0" w:line="257" w:lineRule="auto"/>
              <w:rPr>
                <w:noProof/>
              </w:rPr>
            </w:pPr>
            <w:r w:rsidRPr="00C34031">
              <w:rPr>
                <w:noProof/>
              </w:rPr>
              <w:t>Všechna tato rozhraní budou založena na strukturovaných zprávách a budou v co největší míře v souladu s EUCDM a s přílohou B celního kodexu Unie. Specifikace A2B (orgán veřejné správy - podnik) a B2B (vztah mezi podniky) budou uvedeny v prováděcím aktu CBAM.</w:t>
            </w:r>
          </w:p>
          <w:p w14:paraId="4400B64A" w14:textId="77777777" w:rsidR="139DF8FE" w:rsidRPr="00C34031" w:rsidRDefault="139DF8FE" w:rsidP="139DF8FE">
            <w:pPr>
              <w:spacing w:before="0" w:line="257" w:lineRule="auto"/>
              <w:rPr>
                <w:noProof/>
              </w:rPr>
            </w:pPr>
            <w:r w:rsidRPr="00C34031">
              <w:rPr>
                <w:noProof/>
                <w:sz w:val="28"/>
              </w:rPr>
              <w:t>Omezení opětovné použitelnosti</w:t>
            </w:r>
          </w:p>
          <w:p w14:paraId="6A5E073A" w14:textId="77777777" w:rsidR="139DF8FE" w:rsidRPr="00C34031" w:rsidRDefault="139DF8FE" w:rsidP="139DF8FE">
            <w:pPr>
              <w:spacing w:before="0" w:line="257" w:lineRule="auto"/>
              <w:rPr>
                <w:noProof/>
              </w:rPr>
            </w:pPr>
            <w:r w:rsidRPr="00C34031">
              <w:rPr>
                <w:noProof/>
              </w:rPr>
              <w:t xml:space="preserve">Opětovná použitelnost je jádrem zásad architektury přijatých pro centrální rejstřík CBAM. Opětovná použitelnost má dvě stránky: využívání externích služeb rejstříkem CBAM a opětovné použití složek při vytváření rejstříku CBAM. </w:t>
            </w:r>
          </w:p>
          <w:p w14:paraId="34482DD0" w14:textId="77777777" w:rsidR="139DF8FE" w:rsidRPr="00C34031" w:rsidRDefault="139DF8FE" w:rsidP="139DF8FE">
            <w:pPr>
              <w:spacing w:before="0" w:line="264" w:lineRule="auto"/>
              <w:rPr>
                <w:noProof/>
              </w:rPr>
            </w:pPr>
            <w:r w:rsidRPr="00C34031">
              <w:rPr>
                <w:b/>
                <w:noProof/>
                <w:u w:val="single"/>
              </w:rPr>
              <w:t>Opětovná použitelnost služeb a složek GŘ TAXUD</w:t>
            </w:r>
          </w:p>
          <w:p w14:paraId="50125410" w14:textId="77777777" w:rsidR="139DF8FE" w:rsidRPr="00C34031" w:rsidRDefault="139DF8FE" w:rsidP="139DF8FE">
            <w:pPr>
              <w:spacing w:before="0" w:line="264" w:lineRule="auto"/>
              <w:rPr>
                <w:noProof/>
              </w:rPr>
            </w:pPr>
            <w:r w:rsidRPr="00C34031">
              <w:rPr>
                <w:noProof/>
              </w:rPr>
              <w:t>Rejstřík CBAM bude využívat celní služby EU nabízené GŘ TAXUD v přednastavené konfiguraci s cílem:</w:t>
            </w:r>
          </w:p>
          <w:p w14:paraId="6A2FB8EF" w14:textId="77777777" w:rsidR="139DF8FE" w:rsidRPr="00C34031" w:rsidRDefault="139DF8FE" w:rsidP="139DF8FE">
            <w:pPr>
              <w:pStyle w:val="ListParagraph"/>
              <w:numPr>
                <w:ilvl w:val="0"/>
                <w:numId w:val="3"/>
              </w:numPr>
              <w:spacing w:before="0" w:after="0" w:line="257" w:lineRule="auto"/>
              <w:ind w:left="357" w:hanging="357"/>
              <w:rPr>
                <w:noProof/>
                <w:szCs w:val="24"/>
              </w:rPr>
            </w:pPr>
            <w:r w:rsidRPr="00C34031">
              <w:rPr>
                <w:noProof/>
              </w:rPr>
              <w:t>získat informace EORI obchodníka,</w:t>
            </w:r>
          </w:p>
          <w:p w14:paraId="43D6A1D5" w14:textId="77777777" w:rsidR="139DF8FE" w:rsidRPr="00C34031" w:rsidRDefault="139DF8FE" w:rsidP="139DF8FE">
            <w:pPr>
              <w:pStyle w:val="ListParagraph"/>
              <w:numPr>
                <w:ilvl w:val="0"/>
                <w:numId w:val="3"/>
              </w:numPr>
              <w:spacing w:before="0" w:after="0" w:line="257" w:lineRule="auto"/>
              <w:ind w:left="357" w:hanging="357"/>
              <w:rPr>
                <w:noProof/>
                <w:szCs w:val="24"/>
              </w:rPr>
            </w:pPr>
            <w:r w:rsidRPr="00C34031">
              <w:rPr>
                <w:noProof/>
              </w:rPr>
              <w:t>získat celní záznamy o dovozu, které jsou k dispozici v systému Surveillance 3,</w:t>
            </w:r>
          </w:p>
          <w:p w14:paraId="1C0B4FA2" w14:textId="77777777" w:rsidR="139DF8FE" w:rsidRPr="00C34031" w:rsidRDefault="139DF8FE" w:rsidP="139DF8FE">
            <w:pPr>
              <w:pStyle w:val="ListParagraph"/>
              <w:numPr>
                <w:ilvl w:val="0"/>
                <w:numId w:val="3"/>
              </w:numPr>
              <w:spacing w:before="0" w:after="0" w:line="257" w:lineRule="auto"/>
              <w:ind w:left="357" w:hanging="357"/>
              <w:rPr>
                <w:noProof/>
                <w:szCs w:val="24"/>
              </w:rPr>
            </w:pPr>
            <w:r w:rsidRPr="00C34031">
              <w:rPr>
                <w:noProof/>
              </w:rPr>
              <w:t xml:space="preserve">získat zboží podléhající CBAM ze systému TARIC, </w:t>
            </w:r>
          </w:p>
          <w:p w14:paraId="78FAB8DD" w14:textId="77777777" w:rsidR="139DF8FE" w:rsidRPr="00C34031" w:rsidRDefault="139DF8FE" w:rsidP="139DF8FE">
            <w:pPr>
              <w:pStyle w:val="ListParagraph"/>
              <w:numPr>
                <w:ilvl w:val="0"/>
                <w:numId w:val="3"/>
              </w:numPr>
              <w:spacing w:before="0" w:after="0" w:line="257" w:lineRule="auto"/>
              <w:ind w:left="357" w:hanging="357"/>
              <w:rPr>
                <w:noProof/>
                <w:szCs w:val="24"/>
              </w:rPr>
            </w:pPr>
            <w:r w:rsidRPr="00C34031">
              <w:rPr>
                <w:noProof/>
              </w:rPr>
              <w:t>nabízet službu replikace a ověřování povolení CBAM pro vnitrostátní celní systémy prostřednictvím agentury EU CSW-CERTEX a</w:t>
            </w:r>
          </w:p>
          <w:p w14:paraId="4592ED45" w14:textId="77777777" w:rsidR="139DF8FE" w:rsidRPr="00C34031" w:rsidRDefault="139DF8FE" w:rsidP="139DF8FE">
            <w:pPr>
              <w:pStyle w:val="ListParagraph"/>
              <w:numPr>
                <w:ilvl w:val="0"/>
                <w:numId w:val="3"/>
              </w:numPr>
              <w:spacing w:before="0" w:after="0" w:line="257" w:lineRule="auto"/>
              <w:ind w:left="357" w:hanging="357"/>
              <w:rPr>
                <w:noProof/>
                <w:szCs w:val="24"/>
              </w:rPr>
            </w:pPr>
            <w:r w:rsidRPr="00C34031">
              <w:rPr>
                <w:noProof/>
              </w:rPr>
              <w:t xml:space="preserve">vyměňovat si zabezpečené informace se systémem CRMS2. </w:t>
            </w:r>
          </w:p>
          <w:p w14:paraId="30A55AFE" w14:textId="77777777" w:rsidR="139DF8FE" w:rsidRPr="00C34031" w:rsidRDefault="139DF8FE" w:rsidP="139DF8FE">
            <w:pPr>
              <w:spacing w:before="0" w:line="257" w:lineRule="auto"/>
              <w:rPr>
                <w:noProof/>
              </w:rPr>
            </w:pPr>
            <w:r w:rsidRPr="00C34031">
              <w:rPr>
                <w:noProof/>
              </w:rPr>
              <w:t>Správa uživatelského přístupu k portálům rejstříku CBAM bude svěřena systému UUM&amp;DS, což umožní členským státům, které jsou ochotny opětovně použít celní přihlašovací údaje deklarantů pro CBAM, aby jim poskytly přístup k portálu deklaranta pro CBAM, a Komisi (nebo důvěryhodným třetím stranám) udělit přístupová práva provozovatelům zařízení ve třetích zemích k jejich ověřovacím přihlašovacím údajům ve službě EU Login.</w:t>
            </w:r>
          </w:p>
          <w:p w14:paraId="52A07D77" w14:textId="77777777" w:rsidR="139DF8FE" w:rsidRPr="00C34031" w:rsidRDefault="139DF8FE" w:rsidP="139DF8FE">
            <w:pPr>
              <w:spacing w:before="0" w:line="264" w:lineRule="auto"/>
              <w:rPr>
                <w:noProof/>
              </w:rPr>
            </w:pPr>
            <w:r w:rsidRPr="00C34031">
              <w:rPr>
                <w:noProof/>
              </w:rPr>
              <w:t>Rejstřík CBAM opětovně použije několik technologických složek z prostředí GŘ TAXUD a interních IT, aniž by byl ohrožen jeho soulad se zásadou plovoucí architektury uvedenou v přehledu architektury v dodatku 2, konkrétně:</w:t>
            </w:r>
          </w:p>
          <w:p w14:paraId="71FA2B19" w14:textId="77777777" w:rsidR="139DF8FE" w:rsidRPr="00C34031" w:rsidRDefault="139DF8FE" w:rsidP="139DF8FE">
            <w:pPr>
              <w:pStyle w:val="ListParagraph"/>
              <w:numPr>
                <w:ilvl w:val="0"/>
                <w:numId w:val="2"/>
              </w:numPr>
              <w:spacing w:before="0" w:after="0" w:line="257" w:lineRule="auto"/>
              <w:ind w:left="1077" w:hanging="357"/>
              <w:rPr>
                <w:noProof/>
                <w:szCs w:val="24"/>
              </w:rPr>
            </w:pPr>
            <w:r w:rsidRPr="00C34031">
              <w:rPr>
                <w:noProof/>
              </w:rPr>
              <w:t>middlewarovou architekturu GŘ TAXUD TSOAP, která bude opětovně použita v každém z oddělení rejstříku CBAM,</w:t>
            </w:r>
          </w:p>
          <w:p w14:paraId="25545B5D" w14:textId="77777777" w:rsidR="139DF8FE" w:rsidRPr="00C34031" w:rsidRDefault="139DF8FE" w:rsidP="139DF8FE">
            <w:pPr>
              <w:pStyle w:val="ListParagraph"/>
              <w:numPr>
                <w:ilvl w:val="0"/>
                <w:numId w:val="2"/>
              </w:numPr>
              <w:spacing w:before="0" w:after="0" w:line="257" w:lineRule="auto"/>
              <w:ind w:left="1077" w:hanging="357"/>
              <w:rPr>
                <w:noProof/>
                <w:szCs w:val="24"/>
              </w:rPr>
            </w:pPr>
            <w:r w:rsidRPr="00C34031">
              <w:rPr>
                <w:noProof/>
              </w:rPr>
              <w:t>monitorování a audit COTS Elk a Kafka,</w:t>
            </w:r>
          </w:p>
          <w:p w14:paraId="3041CD3D" w14:textId="77777777" w:rsidR="139DF8FE" w:rsidRPr="00C34031" w:rsidRDefault="139DF8FE" w:rsidP="139DF8FE">
            <w:pPr>
              <w:pStyle w:val="ListParagraph"/>
              <w:numPr>
                <w:ilvl w:val="0"/>
                <w:numId w:val="2"/>
              </w:numPr>
              <w:spacing w:before="0" w:after="0" w:line="257" w:lineRule="auto"/>
              <w:ind w:left="1077" w:hanging="357"/>
              <w:rPr>
                <w:noProof/>
                <w:szCs w:val="24"/>
              </w:rPr>
            </w:pPr>
            <w:r w:rsidRPr="00C34031">
              <w:rPr>
                <w:noProof/>
              </w:rPr>
              <w:t>zdroje správy celního aplikačního rámce (TATAFng) GŘ TAXUD,</w:t>
            </w:r>
          </w:p>
          <w:p w14:paraId="676B5774" w14:textId="77777777" w:rsidR="139DF8FE" w:rsidRPr="00C34031" w:rsidRDefault="139DF8FE" w:rsidP="139DF8FE">
            <w:pPr>
              <w:pStyle w:val="ListParagraph"/>
              <w:numPr>
                <w:ilvl w:val="0"/>
                <w:numId w:val="2"/>
              </w:numPr>
              <w:spacing w:before="0" w:after="0" w:line="257" w:lineRule="auto"/>
              <w:ind w:left="1077" w:hanging="357"/>
              <w:rPr>
                <w:noProof/>
                <w:szCs w:val="24"/>
              </w:rPr>
            </w:pPr>
            <w:r w:rsidRPr="00C34031">
              <w:rPr>
                <w:noProof/>
              </w:rPr>
              <w:t>dokumentaci a zdrojový kód systému pro správu celních rozhodnutí GŘ TAXUD pro vytvoření systému pro povolování CBAM,</w:t>
            </w:r>
          </w:p>
          <w:p w14:paraId="1C06E31F" w14:textId="77777777" w:rsidR="139DF8FE" w:rsidRPr="00C34031" w:rsidRDefault="139DF8FE" w:rsidP="139DF8FE">
            <w:pPr>
              <w:pStyle w:val="ListParagraph"/>
              <w:numPr>
                <w:ilvl w:val="0"/>
                <w:numId w:val="2"/>
              </w:numPr>
              <w:spacing w:before="0" w:after="0" w:line="257" w:lineRule="auto"/>
              <w:ind w:left="1077" w:hanging="357"/>
              <w:rPr>
                <w:noProof/>
                <w:szCs w:val="24"/>
              </w:rPr>
            </w:pPr>
            <w:r w:rsidRPr="00C34031">
              <w:rPr>
                <w:noProof/>
              </w:rPr>
              <w:t>dokumentaci a zdrojový kód zákaznického referenčního systému GŘ TAXUD pro poskytování povolení CBAM národním vnitrostátním systémům za účelem jejich kontroly během dovozního řízení,</w:t>
            </w:r>
          </w:p>
          <w:p w14:paraId="4F43D7E7" w14:textId="77777777" w:rsidR="139DF8FE" w:rsidRPr="00C34031" w:rsidRDefault="139DF8FE" w:rsidP="139DF8FE">
            <w:pPr>
              <w:pStyle w:val="ListParagraph"/>
              <w:numPr>
                <w:ilvl w:val="0"/>
                <w:numId w:val="2"/>
              </w:numPr>
              <w:spacing w:before="0" w:after="0" w:line="257" w:lineRule="auto"/>
              <w:ind w:left="1077" w:hanging="357"/>
              <w:rPr>
                <w:noProof/>
                <w:szCs w:val="24"/>
              </w:rPr>
            </w:pPr>
            <w:r w:rsidRPr="00C34031">
              <w:rPr>
                <w:noProof/>
              </w:rPr>
              <w:t>dokumentaci a zdrojový kód systému řízení celních rizik 2 (CRMS2) GŘ TAXUD pro zajištění bezpečného fóra pro výměnu informací,</w:t>
            </w:r>
          </w:p>
          <w:p w14:paraId="78BEA93B" w14:textId="77777777" w:rsidR="139DF8FE" w:rsidRPr="00C34031" w:rsidRDefault="139DF8FE" w:rsidP="139DF8FE">
            <w:pPr>
              <w:pStyle w:val="ListParagraph"/>
              <w:numPr>
                <w:ilvl w:val="0"/>
                <w:numId w:val="2"/>
              </w:numPr>
              <w:spacing w:before="0" w:after="0" w:line="257" w:lineRule="auto"/>
              <w:ind w:left="1077" w:hanging="357"/>
              <w:rPr>
                <w:noProof/>
                <w:szCs w:val="24"/>
              </w:rPr>
            </w:pPr>
            <w:r w:rsidRPr="00C34031">
              <w:rPr>
                <w:noProof/>
              </w:rPr>
              <w:t>metodiku TEMPO GŘ TAXUD, včetně PM²,</w:t>
            </w:r>
          </w:p>
          <w:p w14:paraId="456F475A" w14:textId="77777777" w:rsidR="139DF8FE" w:rsidRPr="00C34031" w:rsidRDefault="139DF8FE" w:rsidP="139DF8FE">
            <w:pPr>
              <w:pStyle w:val="ListParagraph"/>
              <w:numPr>
                <w:ilvl w:val="0"/>
                <w:numId w:val="2"/>
              </w:numPr>
              <w:spacing w:before="0" w:after="0" w:line="257" w:lineRule="auto"/>
              <w:ind w:left="1077" w:hanging="357"/>
              <w:rPr>
                <w:noProof/>
                <w:szCs w:val="24"/>
              </w:rPr>
            </w:pPr>
            <w:r w:rsidRPr="00C34031">
              <w:rPr>
                <w:noProof/>
              </w:rPr>
              <w:t>dvě datová centra DG TAXUD pro testování, integraci a po dobu, kdy je provoz rejstříku CBAM svěřen DG TAXUD, spolu s jejich firewallem, clusteringem v režimu active-active, vyrovnáváním zátěže a dvěma datovými centry v režimu active-pasive pro zajištění škálovatelnosti, vysoké dostupnosti, obnovy po havárii a částí zabezpečení potřebného pro rejstřík CBAM.</w:t>
            </w:r>
          </w:p>
          <w:p w14:paraId="5911188B" w14:textId="77777777" w:rsidR="139DF8FE" w:rsidRPr="00C34031" w:rsidRDefault="139DF8FE" w:rsidP="139DF8FE">
            <w:pPr>
              <w:spacing w:before="0" w:line="257" w:lineRule="auto"/>
              <w:rPr>
                <w:noProof/>
              </w:rPr>
            </w:pPr>
            <w:r w:rsidRPr="00C34031">
              <w:rPr>
                <w:noProof/>
              </w:rPr>
              <w:t>Je třeba konstatovat, že GŘ TAXUD se od roku 2014 při navrhování služeb podnikových aplikací, datových služeb a veřejných služeb při vytváření aplikací SOA řídilo všemi doporučeními GŘ DIGIT.</w:t>
            </w:r>
          </w:p>
          <w:p w14:paraId="7FE765F5" w14:textId="77777777" w:rsidR="139DF8FE" w:rsidRPr="00C34031" w:rsidRDefault="139DF8FE" w:rsidP="139DF8FE">
            <w:pPr>
              <w:spacing w:before="0" w:line="264" w:lineRule="auto"/>
              <w:rPr>
                <w:noProof/>
              </w:rPr>
            </w:pPr>
            <w:r w:rsidRPr="00C34031">
              <w:rPr>
                <w:b/>
                <w:noProof/>
                <w:u w:val="single"/>
              </w:rPr>
              <w:t>Opětovná použitelnost interních služeb a složek EU</w:t>
            </w:r>
          </w:p>
          <w:p w14:paraId="6B3F638F" w14:textId="77777777" w:rsidR="139DF8FE" w:rsidRPr="00C34031" w:rsidRDefault="139DF8FE" w:rsidP="139DF8FE">
            <w:pPr>
              <w:spacing w:before="0" w:line="257" w:lineRule="auto"/>
              <w:rPr>
                <w:noProof/>
              </w:rPr>
            </w:pPr>
            <w:r w:rsidRPr="00C34031">
              <w:rPr>
                <w:noProof/>
              </w:rPr>
              <w:t xml:space="preserve">Rejstřík CBAM bude používat službu EU Login pro ověřování deklarantů pro CBAM z členských států, kteří jsou v systému UUM&amp;DS typu D, provozovatelů zařízení ve třetích zemích a všech úředníků příslušných vnitrostátních orgánů, Komise, vnitrostátní celní správy a dalších útvarů Komise. Rejstřík CBAM bude pro ověřování deklarantů pro CBAM z členských států ze systému UUM&amp;DS typu A, B a C používat celní síť pro eIDAS eID. </w:t>
            </w:r>
          </w:p>
          <w:p w14:paraId="79DB5304" w14:textId="77777777" w:rsidR="139DF8FE" w:rsidRPr="00C34031" w:rsidRDefault="139DF8FE" w:rsidP="139DF8FE">
            <w:pPr>
              <w:spacing w:before="0" w:line="257" w:lineRule="auto"/>
              <w:rPr>
                <w:noProof/>
              </w:rPr>
            </w:pPr>
            <w:r w:rsidRPr="00C34031">
              <w:rPr>
                <w:noProof/>
              </w:rPr>
              <w:t>Rejstřík CBAM bude pro povolování všech svých uživatelů používat systém UUM&amp;DS.</w:t>
            </w:r>
          </w:p>
          <w:p w14:paraId="6E0CBA36" w14:textId="77777777" w:rsidR="139DF8FE" w:rsidRPr="00C34031" w:rsidRDefault="139DF8FE" w:rsidP="139DF8FE">
            <w:pPr>
              <w:spacing w:before="0" w:line="257" w:lineRule="auto"/>
              <w:rPr>
                <w:noProof/>
              </w:rPr>
            </w:pPr>
            <w:r w:rsidRPr="00C34031">
              <w:rPr>
                <w:noProof/>
              </w:rPr>
              <w:t xml:space="preserve">Přechod ze systému UUM&amp;DS na systém EU Access bude zvažován v okamžiku, kdy budou všechny funkce systému UUM&amp;DS nabízeny v rámci systém EU Access, včetně podpory celní sítě eIDAS eID. </w:t>
            </w:r>
          </w:p>
          <w:p w14:paraId="795089E6" w14:textId="77777777" w:rsidR="139DF8FE" w:rsidRPr="00C34031" w:rsidRDefault="139DF8FE" w:rsidP="139DF8FE">
            <w:pPr>
              <w:spacing w:before="0" w:line="257" w:lineRule="auto"/>
              <w:rPr>
                <w:noProof/>
              </w:rPr>
            </w:pPr>
            <w:r w:rsidRPr="00C34031">
              <w:rPr>
                <w:noProof/>
              </w:rPr>
              <w:t>Rejstřík CBAM zpřístupní veřejné informace o CBAM na portálu Europa.</w:t>
            </w:r>
          </w:p>
          <w:p w14:paraId="21C72621" w14:textId="77777777" w:rsidR="139DF8FE" w:rsidRPr="00C34031" w:rsidRDefault="139DF8FE" w:rsidP="139DF8FE">
            <w:pPr>
              <w:spacing w:before="0" w:line="257" w:lineRule="auto"/>
              <w:rPr>
                <w:noProof/>
              </w:rPr>
            </w:pPr>
            <w:r w:rsidRPr="00C34031">
              <w:rPr>
                <w:noProof/>
              </w:rPr>
              <w:t>Kromě toho má GŘ TAXUD zájem maximalizovat opětovné používání interních služeb a složek, které by splňovaly některé požadavky CBAM, snížily riziko, že nebude včas nasazen a zajistily kvalitu provozu při současném snížení svých kapitálových a provozních výdajů.</w:t>
            </w:r>
          </w:p>
        </w:tc>
      </w:tr>
    </w:tbl>
    <w:p w14:paraId="7ACE7015" w14:textId="77777777" w:rsidR="00FA5543" w:rsidRPr="00C34031" w:rsidRDefault="00FA5543" w:rsidP="00390489">
      <w:pPr>
        <w:pStyle w:val="ManualHeading2"/>
        <w:rPr>
          <w:noProof/>
        </w:rPr>
      </w:pPr>
      <w:r w:rsidRPr="00C34031">
        <w:rPr>
          <w:noProof/>
        </w:rPr>
        <w:t>4.5.</w:t>
      </w:r>
      <w:r w:rsidRPr="00C34031">
        <w:rPr>
          <w:noProof/>
        </w:rPr>
        <w:tab/>
        <w:t>Opatření na podporu digitálního provádění</w:t>
      </w:r>
    </w:p>
    <w:tbl>
      <w:tblPr>
        <w:tblStyle w:val="TableGrid"/>
        <w:tblpPr w:leftFromText="141" w:rightFromText="141" w:vertAnchor="text" w:horzAnchor="margin" w:tblpY="49"/>
        <w:tblW w:w="9067" w:type="dxa"/>
        <w:tblLook w:val="04A0" w:firstRow="1" w:lastRow="0" w:firstColumn="1" w:lastColumn="0" w:noHBand="0" w:noVBand="1"/>
      </w:tblPr>
      <w:tblGrid>
        <w:gridCol w:w="9067"/>
      </w:tblGrid>
      <w:tr w:rsidR="00FA5543" w:rsidRPr="00C34031" w14:paraId="150BC358" w14:textId="77777777" w:rsidTr="139DF8FE">
        <w:tc>
          <w:tcPr>
            <w:tcW w:w="9067" w:type="dxa"/>
          </w:tcPr>
          <w:p w14:paraId="5CAEC80B" w14:textId="77777777" w:rsidR="139DF8FE" w:rsidRPr="00C34031" w:rsidRDefault="139DF8FE" w:rsidP="139DF8FE">
            <w:pPr>
              <w:rPr>
                <w:noProof/>
              </w:rPr>
            </w:pPr>
            <w:r w:rsidRPr="00C34031">
              <w:rPr>
                <w:rFonts w:ascii="Calibri" w:hAnsi="Calibri"/>
                <w:noProof/>
              </w:rPr>
              <w:t>Nařízení o CBAM definuje zavedení rejstříku CBAM ve dvou obdobích, která byla rozdělena do tří po sobě následujících fází:</w:t>
            </w:r>
          </w:p>
          <w:p w14:paraId="383D35EC" w14:textId="77777777" w:rsidR="139DF8FE" w:rsidRPr="00C34031" w:rsidRDefault="139DF8FE" w:rsidP="139DF8FE">
            <w:pPr>
              <w:pStyle w:val="ListParagraph"/>
              <w:numPr>
                <w:ilvl w:val="0"/>
                <w:numId w:val="1"/>
              </w:numPr>
              <w:spacing w:before="0" w:after="0"/>
              <w:ind w:left="360"/>
              <w:rPr>
                <w:rFonts w:ascii="Calibri" w:eastAsia="Calibri" w:hAnsi="Calibri" w:cs="Calibri"/>
                <w:noProof/>
                <w:szCs w:val="24"/>
              </w:rPr>
            </w:pPr>
            <w:r w:rsidRPr="00C34031">
              <w:rPr>
                <w:rFonts w:ascii="Calibri" w:hAnsi="Calibri"/>
                <w:b/>
                <w:noProof/>
              </w:rPr>
              <w:t>Perspektiva období</w:t>
            </w:r>
            <w:r w:rsidRPr="00C34031">
              <w:rPr>
                <w:rFonts w:ascii="Calibri" w:hAnsi="Calibri"/>
                <w:noProof/>
              </w:rPr>
              <w:t xml:space="preserve">: postupné nasazování během přechodného období od 4. čtvrtletí roku 2023 do 4. čtvrtletí roku 2025, po němž následuje konečné období od 1. čtvrtletí roku 2026. </w:t>
            </w:r>
          </w:p>
          <w:p w14:paraId="1F4A761A" w14:textId="77777777" w:rsidR="139DF8FE" w:rsidRPr="00C34031" w:rsidRDefault="139DF8FE" w:rsidP="139DF8FE">
            <w:pPr>
              <w:pStyle w:val="ListParagraph"/>
              <w:numPr>
                <w:ilvl w:val="1"/>
                <w:numId w:val="1"/>
              </w:numPr>
              <w:spacing w:before="0" w:after="0"/>
              <w:ind w:left="1080"/>
              <w:rPr>
                <w:rFonts w:ascii="Calibri" w:eastAsia="Calibri" w:hAnsi="Calibri" w:cs="Calibri"/>
                <w:noProof/>
                <w:szCs w:val="24"/>
              </w:rPr>
            </w:pPr>
            <w:r w:rsidRPr="00C34031">
              <w:rPr>
                <w:rFonts w:ascii="Calibri" w:hAnsi="Calibri"/>
                <w:noProof/>
              </w:rPr>
              <w:t xml:space="preserve">Během </w:t>
            </w:r>
            <w:r w:rsidRPr="00C34031">
              <w:rPr>
                <w:rFonts w:ascii="Calibri" w:hAnsi="Calibri"/>
                <w:b/>
                <w:noProof/>
              </w:rPr>
              <w:t>přechodného období</w:t>
            </w:r>
            <w:r w:rsidRPr="00C34031">
              <w:rPr>
                <w:rFonts w:ascii="Calibri" w:hAnsi="Calibri"/>
                <w:noProof/>
              </w:rPr>
              <w:t xml:space="preserve"> dovozci v rámci CBAM vykazují emise svého dováženého zboží čtvrtletně, ale nemusí nakupovat a vyřazovat certifikáty. Jedná se o období náběhu systému CBAM. </w:t>
            </w:r>
          </w:p>
          <w:p w14:paraId="06A19559" w14:textId="77777777" w:rsidR="139DF8FE" w:rsidRPr="00C34031" w:rsidRDefault="139DF8FE" w:rsidP="139DF8FE">
            <w:pPr>
              <w:pStyle w:val="ListParagraph"/>
              <w:numPr>
                <w:ilvl w:val="1"/>
                <w:numId w:val="1"/>
              </w:numPr>
              <w:spacing w:before="0" w:after="0"/>
              <w:ind w:left="1080"/>
              <w:rPr>
                <w:rFonts w:ascii="Calibri" w:eastAsia="Calibri" w:hAnsi="Calibri" w:cs="Calibri"/>
                <w:noProof/>
                <w:szCs w:val="24"/>
              </w:rPr>
            </w:pPr>
            <w:r w:rsidRPr="00C34031">
              <w:rPr>
                <w:rFonts w:ascii="Calibri" w:hAnsi="Calibri"/>
                <w:noProof/>
              </w:rPr>
              <w:t xml:space="preserve">Během </w:t>
            </w:r>
            <w:r w:rsidRPr="00C34031">
              <w:rPr>
                <w:rFonts w:ascii="Calibri" w:hAnsi="Calibri"/>
                <w:b/>
                <w:noProof/>
              </w:rPr>
              <w:t>konečného období</w:t>
            </w:r>
            <w:r w:rsidRPr="00C34031">
              <w:rPr>
                <w:rFonts w:ascii="Calibri" w:hAnsi="Calibri"/>
                <w:noProof/>
              </w:rPr>
              <w:t>, které začíná dne 1. ledna 2026, musí být deklarantům pro CBAM uděleno povolení, přičemž jednou ročně deklarují své emise, nakupují certifikáty, aby na jejich účtu CBAM byl minimálně 80% zůstatek mezi jejich emisemi a zakoupenými certifikáty, a vyřazují své certifikáty spolu se svými ročními prohlášeními.</w:t>
            </w:r>
          </w:p>
          <w:p w14:paraId="7FEB18E5" w14:textId="77777777" w:rsidR="139DF8FE" w:rsidRPr="00C34031" w:rsidRDefault="139DF8FE" w:rsidP="139DF8FE">
            <w:pPr>
              <w:pStyle w:val="ListParagraph"/>
              <w:numPr>
                <w:ilvl w:val="0"/>
                <w:numId w:val="1"/>
              </w:numPr>
              <w:spacing w:before="0" w:after="0"/>
              <w:ind w:left="360"/>
              <w:rPr>
                <w:rFonts w:ascii="Calibri" w:eastAsia="Calibri" w:hAnsi="Calibri" w:cs="Calibri"/>
                <w:noProof/>
                <w:szCs w:val="24"/>
              </w:rPr>
            </w:pPr>
            <w:r w:rsidRPr="00C34031">
              <w:rPr>
                <w:rFonts w:ascii="Calibri" w:hAnsi="Calibri"/>
                <w:b/>
                <w:noProof/>
              </w:rPr>
              <w:t>Perspektiva fáze a části</w:t>
            </w:r>
            <w:r w:rsidRPr="00C34031">
              <w:rPr>
                <w:rFonts w:ascii="Calibri" w:hAnsi="Calibri"/>
                <w:noProof/>
              </w:rPr>
              <w:t>:</w:t>
            </w:r>
          </w:p>
          <w:p w14:paraId="792717C7" w14:textId="77777777" w:rsidR="139DF8FE" w:rsidRPr="00C34031" w:rsidRDefault="139DF8FE" w:rsidP="139DF8FE">
            <w:pPr>
              <w:pStyle w:val="ListParagraph"/>
              <w:numPr>
                <w:ilvl w:val="1"/>
                <w:numId w:val="1"/>
              </w:numPr>
              <w:spacing w:before="0" w:after="0"/>
              <w:ind w:left="1080"/>
              <w:rPr>
                <w:rFonts w:ascii="Calibri" w:eastAsia="Calibri" w:hAnsi="Calibri" w:cs="Calibri"/>
                <w:noProof/>
                <w:szCs w:val="24"/>
              </w:rPr>
            </w:pPr>
            <w:r w:rsidRPr="00C34031">
              <w:rPr>
                <w:rFonts w:ascii="Calibri" w:hAnsi="Calibri"/>
                <w:b/>
                <w:noProof/>
              </w:rPr>
              <w:t>fáze 1 CBAM</w:t>
            </w:r>
            <w:r w:rsidRPr="00C34031">
              <w:rPr>
                <w:rFonts w:ascii="Calibri" w:hAnsi="Calibri"/>
                <w:noProof/>
              </w:rPr>
              <w:t>: „zprávy CBAM“ od dovozců zboží podléhajícího CBAM (tzv. část 1), které se budou používat během celého přechodného období od 4. čtvrtletí roku 2023 (mimo působnost charty projektu),</w:t>
            </w:r>
          </w:p>
          <w:p w14:paraId="6BC8209B" w14:textId="77777777" w:rsidR="139DF8FE" w:rsidRPr="00C34031" w:rsidRDefault="139DF8FE" w:rsidP="139DF8FE">
            <w:pPr>
              <w:pStyle w:val="ListParagraph"/>
              <w:numPr>
                <w:ilvl w:val="1"/>
                <w:numId w:val="1"/>
              </w:numPr>
              <w:spacing w:before="0" w:after="0"/>
              <w:ind w:left="1080"/>
              <w:rPr>
                <w:rFonts w:ascii="Calibri" w:eastAsia="Calibri" w:hAnsi="Calibri" w:cs="Calibri"/>
                <w:noProof/>
                <w:szCs w:val="24"/>
              </w:rPr>
            </w:pPr>
            <w:r w:rsidRPr="00C34031">
              <w:rPr>
                <w:rFonts w:ascii="Calibri" w:hAnsi="Calibri"/>
                <w:b/>
                <w:noProof/>
              </w:rPr>
              <w:t>fáze 2 CBAM:</w:t>
            </w:r>
            <w:r w:rsidRPr="00C34031">
              <w:rPr>
                <w:rFonts w:ascii="Calibri" w:hAnsi="Calibri"/>
                <w:noProof/>
              </w:rPr>
              <w:t xml:space="preserve"> „zprávy CBAM“ poskytnuté dovozci zboží CBAM (část 1), schválení deklaranta pro CBAM a registrace provozovatelů zařízení ve třetích zemích (tzv. část 2) od 31. prosince 2024 v očekávání konečného období,</w:t>
            </w:r>
          </w:p>
          <w:p w14:paraId="7797C920" w14:textId="77777777" w:rsidR="139DF8FE" w:rsidRPr="00C34031" w:rsidRDefault="139DF8FE" w:rsidP="139DF8FE">
            <w:pPr>
              <w:pStyle w:val="ListParagraph"/>
              <w:numPr>
                <w:ilvl w:val="1"/>
                <w:numId w:val="1"/>
              </w:numPr>
              <w:spacing w:before="0" w:after="0"/>
              <w:ind w:left="1080"/>
              <w:rPr>
                <w:rFonts w:ascii="Calibri" w:eastAsia="Calibri" w:hAnsi="Calibri" w:cs="Calibri"/>
                <w:noProof/>
                <w:szCs w:val="24"/>
              </w:rPr>
            </w:pPr>
            <w:r w:rsidRPr="00C34031">
              <w:rPr>
                <w:rFonts w:ascii="Calibri" w:hAnsi="Calibri"/>
                <w:b/>
                <w:noProof/>
              </w:rPr>
              <w:t>fáze 3 CBAM:</w:t>
            </w:r>
            <w:r w:rsidRPr="00C34031">
              <w:rPr>
                <w:rFonts w:ascii="Calibri" w:hAnsi="Calibri"/>
                <w:noProof/>
              </w:rPr>
              <w:t xml:space="preserve"> část 2 rozšířená o prohlášení a certifikáty CBAM spolu s úplným vedením účtu CBAM (tzv. část 3) od počátku konečného období, ale bez části 1 „zprávy CBAM“ od konce přechodného období dne 31. prosince 2025.</w:t>
            </w:r>
          </w:p>
        </w:tc>
      </w:tr>
    </w:tbl>
    <w:bookmarkEnd w:id="4"/>
    <w:p w14:paraId="7F51BE0A" w14:textId="7D9062DD" w:rsidR="39BBB1F1" w:rsidRPr="00C34031" w:rsidRDefault="005D0140">
      <w:pPr>
        <w:rPr>
          <w:noProof/>
        </w:rPr>
      </w:pPr>
      <w:r w:rsidRPr="005D0140">
        <w:rPr>
          <w:noProof/>
          <w:lang w:val="en-GB" w:eastAsia="en-GB"/>
        </w:rPr>
        <w:drawing>
          <wp:inline distT="0" distB="0" distL="0" distR="0" wp14:anchorId="272DAB74" wp14:editId="09FC25D3">
            <wp:extent cx="5761355" cy="1494790"/>
            <wp:effectExtent l="0" t="0" r="0" b="0"/>
            <wp:docPr id="2016784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784982" name=""/>
                    <pic:cNvPicPr/>
                  </pic:nvPicPr>
                  <pic:blipFill>
                    <a:blip r:embed="rId28"/>
                    <a:stretch>
                      <a:fillRect/>
                    </a:stretch>
                  </pic:blipFill>
                  <pic:spPr>
                    <a:xfrm>
                      <a:off x="0" y="0"/>
                      <a:ext cx="5761355" cy="1494790"/>
                    </a:xfrm>
                    <a:prstGeom prst="rect">
                      <a:avLst/>
                    </a:prstGeom>
                  </pic:spPr>
                </pic:pic>
              </a:graphicData>
            </a:graphic>
          </wp:inline>
        </w:drawing>
      </w:r>
    </w:p>
    <w:tbl>
      <w:tblPr>
        <w:tblW w:w="0" w:type="auto"/>
        <w:tblLayout w:type="fixed"/>
        <w:tblLook w:val="06A0" w:firstRow="1" w:lastRow="0" w:firstColumn="1" w:lastColumn="0" w:noHBand="1" w:noVBand="1"/>
      </w:tblPr>
      <w:tblGrid>
        <w:gridCol w:w="9060"/>
      </w:tblGrid>
      <w:tr w:rsidR="139DF8FE" w:rsidRPr="00C34031" w14:paraId="5BF6E3BB" w14:textId="77777777" w:rsidTr="139DF8FE">
        <w:trPr>
          <w:trHeight w:val="300"/>
        </w:trPr>
        <w:tc>
          <w:tcPr>
            <w:tcW w:w="9060" w:type="dxa"/>
            <w:tcMar>
              <w:left w:w="141" w:type="dxa"/>
              <w:right w:w="141" w:type="dxa"/>
            </w:tcMar>
          </w:tcPr>
          <w:p w14:paraId="7DF472E0" w14:textId="77777777" w:rsidR="139DF8FE" w:rsidRPr="00C34031" w:rsidRDefault="139DF8FE" w:rsidP="139DF8FE">
            <w:pPr>
              <w:jc w:val="center"/>
              <w:rPr>
                <w:noProof/>
              </w:rPr>
            </w:pPr>
            <w:r w:rsidRPr="00C34031">
              <w:rPr>
                <w:rFonts w:ascii="Calibri" w:hAnsi="Calibri"/>
                <w:b/>
                <w:noProof/>
              </w:rPr>
              <w:t>Nasazení rejstříku CBAM ve dvou fázích/částech</w:t>
            </w:r>
          </w:p>
          <w:p w14:paraId="25E7F549" w14:textId="77777777" w:rsidR="139DF8FE" w:rsidRPr="00C34031" w:rsidRDefault="139DF8FE" w:rsidP="139DF8FE">
            <w:pPr>
              <w:spacing w:before="0"/>
              <w:rPr>
                <w:noProof/>
              </w:rPr>
            </w:pPr>
            <w:r w:rsidRPr="00C34031">
              <w:rPr>
                <w:rFonts w:ascii="Calibri" w:hAnsi="Calibri"/>
                <w:noProof/>
              </w:rPr>
              <w:t xml:space="preserve">Na první fázi CBAM (provádění části 1 CBAM a jeho fungování od 4. čtvrtletí roku 2023 do konce roku 2025) se v plném rozsahu vztahuje charta projektu pro přechodné období. </w:t>
            </w:r>
          </w:p>
          <w:p w14:paraId="4EB9B960" w14:textId="77777777" w:rsidR="139DF8FE" w:rsidRPr="00C34031" w:rsidRDefault="139DF8FE" w:rsidP="139DF8FE">
            <w:pPr>
              <w:spacing w:before="0"/>
              <w:rPr>
                <w:noProof/>
              </w:rPr>
            </w:pPr>
            <w:r w:rsidRPr="00C34031">
              <w:rPr>
                <w:rFonts w:ascii="Calibri" w:hAnsi="Calibri"/>
                <w:noProof/>
              </w:rPr>
              <w:t>Následující dva grafy znázorňují přístup k realizaci celého rozsahu konečného systému ve dvou fázích a znázorňují komunity uživatelů, externí systémy, které hrají svou roli, a hlavní subjekty spravované v rámci příslušných fází. Definice externích systémů a subjektů viz následující část.</w:t>
            </w:r>
          </w:p>
          <w:p w14:paraId="46097922" w14:textId="77777777" w:rsidR="139DF8FE" w:rsidRPr="00C34031" w:rsidRDefault="139DF8FE" w:rsidP="139DF8FE">
            <w:pPr>
              <w:spacing w:before="0"/>
              <w:rPr>
                <w:noProof/>
              </w:rPr>
            </w:pPr>
            <w:r w:rsidRPr="00C34031">
              <w:rPr>
                <w:rFonts w:ascii="Calibri" w:hAnsi="Calibri"/>
                <w:b/>
                <w:noProof/>
              </w:rPr>
              <w:t>Část 2 CBAM – oblast působnosti:</w:t>
            </w:r>
            <w:r w:rsidRPr="00C34031">
              <w:rPr>
                <w:rFonts w:ascii="Calibri" w:hAnsi="Calibri"/>
                <w:noProof/>
              </w:rPr>
              <w:t xml:space="preserve"> po části 1: „zprávy CBAM“ od dovozců zboží podléhajícího CBAM následuje část 2 „Povolení a zařízení CBAM“ (obě v zelené barvě v následujících diagramech), která bude v souladu s nařízením o CBAM uvedena do provozu dne 31. prosince 2024. Část 1 i část 2 budou poté během zbývajícího přechodného období dále zachovány a rozvíjeny „Povolení a zařízení CBAM“ budou začleněny do konečného systému CBAM, zatímco „zprávy CBAM“ budou na konci přechodného období postupně zrušeny. Část 1 a část 2 propojují rejstřík CBAM s vnitrostátními celními systémy pro dovoz, s vnitrostátními celními systémy aktivního zušlechťovacího styku a s podpůrnými celními systémy EU od GŘ TAXUD s cílem podpořit dodržování předpisů při minimální zátěži pro obchod. Část 2 CBAM nastane při očekávání konečného systému tím, že realizuje jeho první složku.</w:t>
            </w:r>
          </w:p>
          <w:p w14:paraId="7478DE59" w14:textId="77777777" w:rsidR="139DF8FE" w:rsidRPr="00C34031" w:rsidRDefault="139DF8FE" w:rsidP="139DF8FE">
            <w:pPr>
              <w:spacing w:before="0"/>
              <w:rPr>
                <w:noProof/>
              </w:rPr>
            </w:pPr>
            <w:r w:rsidRPr="00C34031">
              <w:rPr>
                <w:rFonts w:ascii="Calibri" w:hAnsi="Calibri"/>
                <w:b/>
                <w:noProof/>
              </w:rPr>
              <w:t>Časová osa fáze 2 CBAM</w:t>
            </w:r>
            <w:r w:rsidRPr="00C34031">
              <w:rPr>
                <w:rFonts w:ascii="Calibri" w:hAnsi="Calibri"/>
                <w:noProof/>
              </w:rPr>
              <w:t>: Začíná 31.</w:t>
            </w:r>
            <w:r w:rsidRPr="00C34031">
              <w:rPr>
                <w:rFonts w:ascii="Calibri" w:hAnsi="Calibri"/>
                <w:noProof/>
                <w:vertAlign w:val="superscript"/>
              </w:rPr>
              <w:t xml:space="preserve"> </w:t>
            </w:r>
            <w:r w:rsidRPr="00C34031">
              <w:rPr>
                <w:rFonts w:ascii="Calibri" w:hAnsi="Calibri"/>
                <w:noProof/>
              </w:rPr>
              <w:t>prosince 2024 a končí 31. prosince 2025, kdy začíná konečné období. Komunita uživatelů je rozšířena na provozovatele zařízení ve třetích zemích, zatímco deklaranti pro CBAM budou muset získat požadovaná povolení pro konečné období.</w:t>
            </w:r>
          </w:p>
        </w:tc>
      </w:tr>
    </w:tbl>
    <w:p w14:paraId="298B7040" w14:textId="6F62D4EF" w:rsidR="4A63214D" w:rsidRPr="00C34031" w:rsidRDefault="00494CF0">
      <w:pPr>
        <w:rPr>
          <w:noProof/>
        </w:rPr>
      </w:pPr>
      <w:r w:rsidRPr="00494CF0">
        <w:rPr>
          <w:noProof/>
          <w:lang w:val="en-GB" w:eastAsia="en-GB"/>
        </w:rPr>
        <w:drawing>
          <wp:inline distT="0" distB="0" distL="0" distR="0" wp14:anchorId="3D8FD6D4" wp14:editId="20E59162">
            <wp:extent cx="5035137" cy="8757258"/>
            <wp:effectExtent l="0" t="0" r="0" b="6350"/>
            <wp:docPr id="1671590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590558" name=""/>
                    <pic:cNvPicPr/>
                  </pic:nvPicPr>
                  <pic:blipFill>
                    <a:blip r:embed="rId29"/>
                    <a:stretch>
                      <a:fillRect/>
                    </a:stretch>
                  </pic:blipFill>
                  <pic:spPr>
                    <a:xfrm>
                      <a:off x="0" y="0"/>
                      <a:ext cx="5049509" cy="8782255"/>
                    </a:xfrm>
                    <a:prstGeom prst="rect">
                      <a:avLst/>
                    </a:prstGeom>
                  </pic:spPr>
                </pic:pic>
              </a:graphicData>
            </a:graphic>
          </wp:inline>
        </w:drawing>
      </w:r>
    </w:p>
    <w:tbl>
      <w:tblPr>
        <w:tblW w:w="0" w:type="auto"/>
        <w:tblLayout w:type="fixed"/>
        <w:tblLook w:val="06A0" w:firstRow="1" w:lastRow="0" w:firstColumn="1" w:lastColumn="0" w:noHBand="1" w:noVBand="1"/>
      </w:tblPr>
      <w:tblGrid>
        <w:gridCol w:w="9060"/>
      </w:tblGrid>
      <w:tr w:rsidR="139DF8FE" w:rsidRPr="00C34031" w14:paraId="0F798E81" w14:textId="77777777" w:rsidTr="139DF8FE">
        <w:trPr>
          <w:trHeight w:val="300"/>
        </w:trPr>
        <w:tc>
          <w:tcPr>
            <w:tcW w:w="9060" w:type="dxa"/>
            <w:tcMar>
              <w:left w:w="141" w:type="dxa"/>
              <w:right w:w="141" w:type="dxa"/>
            </w:tcMar>
          </w:tcPr>
          <w:p w14:paraId="655E0FA1" w14:textId="77777777" w:rsidR="139DF8FE" w:rsidRPr="00C34031" w:rsidRDefault="139DF8FE" w:rsidP="139DF8FE">
            <w:pPr>
              <w:spacing w:before="0"/>
              <w:ind w:left="284"/>
              <w:rPr>
                <w:noProof/>
              </w:rPr>
            </w:pPr>
            <w:r w:rsidRPr="00C34031">
              <w:rPr>
                <w:rFonts w:ascii="Calibri" w:hAnsi="Calibri"/>
                <w:b/>
                <w:noProof/>
              </w:rPr>
              <w:t>Část 3 CBAM – oblast působnosti:</w:t>
            </w:r>
            <w:r w:rsidRPr="00C34031">
              <w:rPr>
                <w:rFonts w:ascii="Calibri" w:hAnsi="Calibri"/>
                <w:noProof/>
              </w:rPr>
              <w:t xml:space="preserve"> Část „Prohlášení, účty a řízení rizik CBAM“ (v následujícím diagramu vyznačena fialovou barvou) bude uvedena do provozu na začátku konečného období plánovaného na 1.</w:t>
            </w:r>
            <w:r w:rsidRPr="00C34031">
              <w:rPr>
                <w:rFonts w:ascii="Calibri" w:hAnsi="Calibri"/>
                <w:noProof/>
                <w:vertAlign w:val="superscript"/>
              </w:rPr>
              <w:t xml:space="preserve"> </w:t>
            </w:r>
            <w:r w:rsidRPr="00C34031">
              <w:rPr>
                <w:rFonts w:ascii="Calibri" w:hAnsi="Calibri"/>
                <w:noProof/>
              </w:rPr>
              <w:t>leden 2026. Představuje jádro konečného systému CBAM. Část 3 CBAM zahrnuje také rozhraní s vnitrostátními systémy dovozu pro povolení CBAM prostřednictvím EU CSW-CERTEX, společné centrální platformy pro nákup certifikátů CBAM, systému ETS, úřadu OLAF a systémů příslušných vnitrostátních orgánů. Kromě toho přidává do rejstříku CBAM</w:t>
            </w:r>
            <w:r w:rsidRPr="00C34031">
              <w:rPr>
                <w:rFonts w:ascii="Calibri" w:hAnsi="Calibri"/>
                <w:b/>
                <w:noProof/>
              </w:rPr>
              <w:t xml:space="preserve"> kapacity certifikátů CBAM</w:t>
            </w:r>
            <w:r w:rsidRPr="00C34031">
              <w:rPr>
                <w:rFonts w:ascii="Calibri" w:hAnsi="Calibri"/>
                <w:noProof/>
              </w:rPr>
              <w:t xml:space="preserve"> a také všechny kapacity pro řízení rizik. Vzhledem k tomu, že moduly pro certifikáty CBAM a řízení rizik zpracovávají důvěrné informace a monitorují případy obcházení a nedodržování předpisů, část 3 CBAM spravuje citlivé informace a vyžaduje vysoce bezpečné postupy. Tato část bude během konečného období dále zachována a rozvíjena. </w:t>
            </w:r>
          </w:p>
          <w:p w14:paraId="648A7F29" w14:textId="77777777" w:rsidR="139DF8FE" w:rsidRPr="00C34031" w:rsidRDefault="139DF8FE" w:rsidP="139DF8FE">
            <w:pPr>
              <w:spacing w:before="0"/>
              <w:ind w:left="284"/>
              <w:rPr>
                <w:noProof/>
              </w:rPr>
            </w:pPr>
            <w:r w:rsidRPr="00C34031">
              <w:rPr>
                <w:rFonts w:ascii="Calibri" w:hAnsi="Calibri"/>
                <w:b/>
                <w:noProof/>
              </w:rPr>
              <w:t>Časová osa</w:t>
            </w:r>
            <w:r w:rsidRPr="00C34031">
              <w:rPr>
                <w:rFonts w:ascii="Calibri" w:hAnsi="Calibri"/>
                <w:noProof/>
              </w:rPr>
              <w:t xml:space="preserve"> </w:t>
            </w:r>
            <w:r w:rsidRPr="00C34031">
              <w:rPr>
                <w:rFonts w:ascii="Calibri" w:hAnsi="Calibri"/>
                <w:b/>
                <w:noProof/>
              </w:rPr>
              <w:t>fáze 3 CBAM</w:t>
            </w:r>
            <w:r w:rsidRPr="00C34031">
              <w:rPr>
                <w:rFonts w:ascii="Calibri" w:hAnsi="Calibri"/>
                <w:noProof/>
              </w:rPr>
              <w:t>: Začíná 1.</w:t>
            </w:r>
            <w:r w:rsidRPr="00C34031">
              <w:rPr>
                <w:rFonts w:ascii="Calibri" w:hAnsi="Calibri"/>
                <w:noProof/>
                <w:vertAlign w:val="superscript"/>
              </w:rPr>
              <w:t xml:space="preserve"> </w:t>
            </w:r>
            <w:r w:rsidRPr="00C34031">
              <w:rPr>
                <w:rFonts w:ascii="Calibri" w:hAnsi="Calibri"/>
                <w:noProof/>
              </w:rPr>
              <w:t>ledna 2026 a shoduje se s konečným obdobím. Během této fáze budou souběžně a v úzké součinnosti fungovat pouze části 2 a 3 CBAM, protože část 1 byla určena pro přechodné období a je postupně ukončována. Komunita uživatelů je rozšířena o vnitrostátní celní správy</w:t>
            </w:r>
          </w:p>
          <w:p w14:paraId="303D2269" w14:textId="77777777" w:rsidR="139DF8FE" w:rsidRPr="00C34031" w:rsidRDefault="139DF8FE" w:rsidP="139DF8FE">
            <w:pPr>
              <w:spacing w:before="0"/>
              <w:ind w:left="284"/>
              <w:rPr>
                <w:noProof/>
              </w:rPr>
            </w:pPr>
            <w:r w:rsidRPr="00C34031">
              <w:rPr>
                <w:rFonts w:ascii="Calibri" w:hAnsi="Calibri"/>
                <w:b/>
                <w:noProof/>
              </w:rPr>
              <w:t>Část 3 CBAM – oblast působnosti:</w:t>
            </w:r>
            <w:r w:rsidRPr="00C34031">
              <w:rPr>
                <w:rFonts w:ascii="Calibri" w:hAnsi="Calibri"/>
                <w:noProof/>
              </w:rPr>
              <w:t xml:space="preserve"> Část „Prohlášení, účty a řízení rizik CBAM“ (v následujícím diagramu vyznačena fialovou barvou) bude uvedena do provozu na začátku konečného období plánovaného na 1.</w:t>
            </w:r>
            <w:r w:rsidRPr="00C34031">
              <w:rPr>
                <w:rFonts w:ascii="Calibri" w:hAnsi="Calibri"/>
                <w:noProof/>
                <w:vertAlign w:val="superscript"/>
              </w:rPr>
              <w:t xml:space="preserve"> </w:t>
            </w:r>
            <w:r w:rsidRPr="00C34031">
              <w:rPr>
                <w:rFonts w:ascii="Calibri" w:hAnsi="Calibri"/>
                <w:noProof/>
              </w:rPr>
              <w:t>leden 2026. Představuje jádro konečného systému CBAM. Část 3 CBAM zahrnuje také rozhraní s vnitrostátními systémy dovozu pro povolení CBAM prostřednictvím EU CSW-CERTEX, společné centrální platformy pro nákup certifikátů CBAM, systému ETS, úřadu OLAF a systémů příslušných vnitrostátních orgánů. Kromě toho přidává do rejstříku CBAM</w:t>
            </w:r>
            <w:r w:rsidRPr="00C34031">
              <w:rPr>
                <w:rFonts w:ascii="Calibri" w:hAnsi="Calibri"/>
                <w:b/>
                <w:noProof/>
              </w:rPr>
              <w:t xml:space="preserve"> kapacity certifikátů CBAM</w:t>
            </w:r>
            <w:r w:rsidRPr="00C34031">
              <w:rPr>
                <w:rFonts w:ascii="Calibri" w:hAnsi="Calibri"/>
                <w:noProof/>
              </w:rPr>
              <w:t xml:space="preserve"> a také všechny kapacity pro řízení rizik. Vzhledem k tomu, že moduly pro certifikáty CBAM a řízení rizik zpracovávají důvěrné informace a monitorují případy obcházení a nedodržování předpisů, část 3 CBAM spravuje citlivé informace a vyžaduje vysoce bezpečné postupy. Tato část bude během konečného období dále zachována a rozvíjena. </w:t>
            </w:r>
          </w:p>
          <w:p w14:paraId="345DD9CE" w14:textId="77777777" w:rsidR="139DF8FE" w:rsidRPr="00C34031" w:rsidRDefault="139DF8FE" w:rsidP="139DF8FE">
            <w:pPr>
              <w:spacing w:before="0"/>
              <w:ind w:left="284"/>
              <w:rPr>
                <w:noProof/>
              </w:rPr>
            </w:pPr>
            <w:r w:rsidRPr="00C34031">
              <w:rPr>
                <w:rFonts w:ascii="Calibri" w:hAnsi="Calibri"/>
                <w:b/>
                <w:noProof/>
              </w:rPr>
              <w:t>Časová osa</w:t>
            </w:r>
            <w:r w:rsidRPr="00C34031">
              <w:rPr>
                <w:rFonts w:ascii="Calibri" w:hAnsi="Calibri"/>
                <w:noProof/>
              </w:rPr>
              <w:t xml:space="preserve"> </w:t>
            </w:r>
            <w:r w:rsidRPr="00C34031">
              <w:rPr>
                <w:rFonts w:ascii="Calibri" w:hAnsi="Calibri"/>
                <w:b/>
                <w:noProof/>
              </w:rPr>
              <w:t>fáze 3 CBAM</w:t>
            </w:r>
            <w:r w:rsidRPr="00C34031">
              <w:rPr>
                <w:rFonts w:ascii="Calibri" w:hAnsi="Calibri"/>
                <w:noProof/>
              </w:rPr>
              <w:t>: Začíná 1.</w:t>
            </w:r>
            <w:r w:rsidRPr="00C34031">
              <w:rPr>
                <w:rFonts w:ascii="Calibri" w:hAnsi="Calibri"/>
                <w:noProof/>
                <w:vertAlign w:val="superscript"/>
              </w:rPr>
              <w:t xml:space="preserve"> </w:t>
            </w:r>
            <w:r w:rsidRPr="00C34031">
              <w:rPr>
                <w:rFonts w:ascii="Calibri" w:hAnsi="Calibri"/>
                <w:noProof/>
              </w:rPr>
              <w:t>ledna 2026 a shoduje se s konečným obdobím. Během této fáze budou souběžně a v úzké součinnosti fungovat pouze části 2 a 3 CBAM, protože část 1 byla určena pro přechodné období a je postupně ukončována. Komunita uživatelů je rozšířena o vnitrostátní celní správy.</w:t>
            </w:r>
          </w:p>
        </w:tc>
      </w:tr>
    </w:tbl>
    <w:p w14:paraId="455C9619" w14:textId="1270E14E" w:rsidR="5F38D6BE" w:rsidRPr="00C34031" w:rsidRDefault="007D734B">
      <w:pPr>
        <w:rPr>
          <w:noProof/>
        </w:rPr>
      </w:pPr>
      <w:r w:rsidRPr="007D734B">
        <w:rPr>
          <w:noProof/>
          <w:lang w:val="en-GB" w:eastAsia="en-GB"/>
        </w:rPr>
        <w:drawing>
          <wp:inline distT="0" distB="0" distL="0" distR="0" wp14:anchorId="0F80192C" wp14:editId="6131B103">
            <wp:extent cx="5454503" cy="5851997"/>
            <wp:effectExtent l="0" t="0" r="0" b="0"/>
            <wp:docPr id="1795943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943536" name=""/>
                    <pic:cNvPicPr/>
                  </pic:nvPicPr>
                  <pic:blipFill>
                    <a:blip r:embed="rId30"/>
                    <a:stretch>
                      <a:fillRect/>
                    </a:stretch>
                  </pic:blipFill>
                  <pic:spPr>
                    <a:xfrm>
                      <a:off x="0" y="0"/>
                      <a:ext cx="5461713" cy="5859732"/>
                    </a:xfrm>
                    <a:prstGeom prst="rect">
                      <a:avLst/>
                    </a:prstGeom>
                  </pic:spPr>
                </pic:pic>
              </a:graphicData>
            </a:graphic>
          </wp:inline>
        </w:drawing>
      </w:r>
    </w:p>
    <w:tbl>
      <w:tblPr>
        <w:tblW w:w="0" w:type="auto"/>
        <w:tblLayout w:type="fixed"/>
        <w:tblLook w:val="06A0" w:firstRow="1" w:lastRow="0" w:firstColumn="1" w:lastColumn="0" w:noHBand="1" w:noVBand="1"/>
      </w:tblPr>
      <w:tblGrid>
        <w:gridCol w:w="4279"/>
      </w:tblGrid>
      <w:tr w:rsidR="139DF8FE" w:rsidRPr="00C34031" w14:paraId="201A9A36" w14:textId="77777777" w:rsidTr="139DF8FE">
        <w:trPr>
          <w:trHeight w:val="300"/>
        </w:trPr>
        <w:tc>
          <w:tcPr>
            <w:tcW w:w="4279" w:type="dxa"/>
            <w:tcMar>
              <w:left w:w="141" w:type="dxa"/>
              <w:right w:w="141" w:type="dxa"/>
            </w:tcMar>
          </w:tcPr>
          <w:p w14:paraId="0BF70F82" w14:textId="77777777" w:rsidR="139DF8FE" w:rsidRPr="00C34031" w:rsidRDefault="139DF8FE" w:rsidP="139DF8FE">
            <w:pPr>
              <w:jc w:val="left"/>
              <w:rPr>
                <w:noProof/>
              </w:rPr>
            </w:pPr>
            <w:r w:rsidRPr="00C34031">
              <w:rPr>
                <w:rFonts w:ascii="Calibri" w:hAnsi="Calibri"/>
                <w:b/>
                <w:noProof/>
              </w:rPr>
              <w:t>Fáze 3 CBAM – architektura na vysoké úrovni</w:t>
            </w:r>
          </w:p>
        </w:tc>
      </w:tr>
    </w:tbl>
    <w:p w14:paraId="379AD4FF" w14:textId="77777777" w:rsidR="003B3A9D" w:rsidRPr="00C34031" w:rsidRDefault="003B3A9D">
      <w:pPr>
        <w:rPr>
          <w:noProof/>
        </w:rPr>
      </w:pPr>
    </w:p>
    <w:sectPr w:rsidR="003B3A9D" w:rsidRPr="00C34031" w:rsidSect="00516924">
      <w:headerReference w:type="default" r:id="rId31"/>
      <w:footerReference w:type="default" r:id="rId32"/>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9CC3C3" w14:textId="77777777" w:rsidR="00075523" w:rsidRDefault="00075523" w:rsidP="00FA5543">
      <w:pPr>
        <w:spacing w:before="0" w:after="0"/>
      </w:pPr>
      <w:r>
        <w:separator/>
      </w:r>
    </w:p>
  </w:endnote>
  <w:endnote w:type="continuationSeparator" w:id="0">
    <w:p w14:paraId="1E19818D" w14:textId="77777777" w:rsidR="00075523" w:rsidRDefault="00075523" w:rsidP="00FA5543">
      <w:pPr>
        <w:spacing w:before="0" w:after="0"/>
      </w:pPr>
      <w:r>
        <w:continuationSeparator/>
      </w:r>
    </w:p>
  </w:endnote>
  <w:endnote w:type="continuationNotice" w:id="1">
    <w:p w14:paraId="34E466E5" w14:textId="77777777" w:rsidR="00075523" w:rsidRDefault="0007552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ptos">
    <w:altName w:val="Arial"/>
    <w:charset w:val="00"/>
    <w:family w:val="swiss"/>
    <w:pitch w:val="variable"/>
    <w:sig w:usb0="00000001" w:usb1="00000003" w:usb2="00000000" w:usb3="00000000" w:csb0="0000019F" w:csb1="00000000"/>
  </w:font>
  <w:font w:name="EUAlbertina">
    <w:altName w:val="Calibri"/>
    <w:charset w:val="00"/>
    <w:family w:val="auto"/>
    <w:pitch w:val="variable"/>
    <w:sig w:usb0="800002EF" w:usb1="1000E0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4462D" w14:textId="145D88A5" w:rsidR="00516924" w:rsidRPr="00516924" w:rsidRDefault="00516924" w:rsidP="00516924">
    <w:pPr>
      <w:pStyle w:val="Footer"/>
      <w:rPr>
        <w:rFonts w:ascii="Arial" w:hAnsi="Arial" w:cs="Arial"/>
        <w:b/>
        <w:sz w:val="48"/>
      </w:rPr>
    </w:pPr>
    <w:r w:rsidRPr="00516924">
      <w:rPr>
        <w:rFonts w:ascii="Arial" w:hAnsi="Arial" w:cs="Arial"/>
        <w:b/>
        <w:sz w:val="48"/>
      </w:rPr>
      <w:t>CS</w:t>
    </w:r>
    <w:r w:rsidRPr="00516924">
      <w:rPr>
        <w:rFonts w:ascii="Arial" w:hAnsi="Arial" w:cs="Arial"/>
        <w:b/>
        <w:sz w:val="48"/>
      </w:rPr>
      <w:tab/>
    </w:r>
    <w:r w:rsidRPr="00516924">
      <w:rPr>
        <w:rFonts w:ascii="Arial" w:hAnsi="Arial" w:cs="Arial"/>
        <w:b/>
        <w:sz w:val="48"/>
      </w:rPr>
      <w:tab/>
    </w:r>
    <w:r w:rsidRPr="00516924">
      <w:tab/>
    </w:r>
    <w:r w:rsidRPr="00516924">
      <w:rPr>
        <w:rFonts w:ascii="Arial" w:hAnsi="Arial" w:cs="Arial"/>
        <w:b/>
        <w:sz w:val="48"/>
      </w:rPr>
      <w:t>CS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7948B" w14:textId="7BD4154E" w:rsidR="00516924" w:rsidRPr="00516924" w:rsidRDefault="00516924" w:rsidP="00516924">
    <w:pPr>
      <w:pStyle w:val="Footer"/>
      <w:rPr>
        <w:rFonts w:ascii="Arial" w:hAnsi="Arial" w:cs="Arial"/>
        <w:b/>
        <w:sz w:val="48"/>
      </w:rPr>
    </w:pPr>
    <w:r w:rsidRPr="00516924">
      <w:rPr>
        <w:rFonts w:ascii="Arial" w:hAnsi="Arial" w:cs="Arial"/>
        <w:b/>
        <w:sz w:val="48"/>
      </w:rPr>
      <w:t>CS</w:t>
    </w:r>
    <w:r w:rsidRPr="00516924">
      <w:rPr>
        <w:rFonts w:ascii="Arial" w:hAnsi="Arial" w:cs="Arial"/>
        <w:b/>
        <w:sz w:val="48"/>
      </w:rPr>
      <w:tab/>
    </w:r>
    <w:r w:rsidRPr="00516924">
      <w:rPr>
        <w:rFonts w:ascii="Arial" w:hAnsi="Arial" w:cs="Arial"/>
        <w:b/>
        <w:sz w:val="48"/>
      </w:rPr>
      <w:tab/>
    </w:r>
    <w:r w:rsidRPr="00516924">
      <w:tab/>
    </w:r>
    <w:r w:rsidRPr="00516924">
      <w:rPr>
        <w:rFonts w:ascii="Arial" w:hAnsi="Arial" w:cs="Arial"/>
        <w:b/>
        <w:sz w:val="48"/>
      </w:rPr>
      <w:t>CS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F7319" w14:textId="77777777" w:rsidR="00516924" w:rsidRDefault="0051692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74825" w14:textId="0E95914A" w:rsidR="00516924" w:rsidRPr="00516924" w:rsidRDefault="00516924" w:rsidP="00516924">
    <w:pPr>
      <w:pStyle w:val="Footer"/>
      <w:rPr>
        <w:rFonts w:ascii="Arial" w:hAnsi="Arial" w:cs="Arial"/>
        <w:b/>
        <w:sz w:val="48"/>
      </w:rPr>
    </w:pPr>
    <w:r w:rsidRPr="00516924">
      <w:rPr>
        <w:rFonts w:ascii="Arial" w:hAnsi="Arial" w:cs="Arial"/>
        <w:b/>
        <w:sz w:val="48"/>
      </w:rPr>
      <w:t>CS</w:t>
    </w:r>
    <w:r w:rsidRPr="00516924">
      <w:rPr>
        <w:rFonts w:ascii="Arial" w:hAnsi="Arial" w:cs="Arial"/>
        <w:b/>
        <w:sz w:val="48"/>
      </w:rPr>
      <w:tab/>
    </w:r>
    <w:r>
      <w:fldChar w:fldCharType="begin"/>
    </w:r>
    <w:r>
      <w:instrText xml:space="preserve"> PAGE  \* MERGEFORMAT </w:instrText>
    </w:r>
    <w:r>
      <w:fldChar w:fldCharType="separate"/>
    </w:r>
    <w:r w:rsidR="00A26F5D">
      <w:rPr>
        <w:noProof/>
      </w:rPr>
      <w:t>18</w:t>
    </w:r>
    <w:r>
      <w:fldChar w:fldCharType="end"/>
    </w:r>
    <w:r>
      <w:tab/>
    </w:r>
    <w:r w:rsidRPr="00516924">
      <w:tab/>
    </w:r>
    <w:r w:rsidRPr="00516924">
      <w:rPr>
        <w:rFonts w:ascii="Arial" w:hAnsi="Arial" w:cs="Arial"/>
        <w:b/>
        <w:sz w:val="48"/>
      </w:rPr>
      <w:t>CS</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E7C0A" w14:textId="77777777" w:rsidR="00516924" w:rsidRDefault="00516924" w:rsidP="0051692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C7FB4" w14:textId="5D2DFF35" w:rsidR="00516924" w:rsidRPr="00516924" w:rsidRDefault="00516924" w:rsidP="00516924">
    <w:pPr>
      <w:pStyle w:val="FooterLandscape"/>
      <w:rPr>
        <w:rFonts w:ascii="Arial" w:hAnsi="Arial" w:cs="Arial"/>
        <w:b/>
        <w:sz w:val="48"/>
      </w:rPr>
    </w:pPr>
    <w:r w:rsidRPr="00516924">
      <w:rPr>
        <w:rFonts w:ascii="Arial" w:hAnsi="Arial" w:cs="Arial"/>
        <w:b/>
        <w:sz w:val="48"/>
      </w:rPr>
      <w:t>CS</w:t>
    </w:r>
    <w:r w:rsidRPr="00516924">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rsidRPr="00516924">
      <w:tab/>
    </w:r>
    <w:r w:rsidRPr="00516924">
      <w:rPr>
        <w:rFonts w:ascii="Arial" w:hAnsi="Arial" w:cs="Arial"/>
        <w:b/>
        <w:sz w:val="48"/>
      </w:rPr>
      <w:t>CS</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306CE" w14:textId="5E50429A" w:rsidR="00516924" w:rsidRPr="00516924" w:rsidRDefault="00516924" w:rsidP="00516924">
    <w:pPr>
      <w:pStyle w:val="Footer"/>
      <w:rPr>
        <w:rFonts w:ascii="Arial" w:hAnsi="Arial" w:cs="Arial"/>
        <w:b/>
        <w:sz w:val="48"/>
      </w:rPr>
    </w:pPr>
    <w:r w:rsidRPr="00516924">
      <w:rPr>
        <w:rFonts w:ascii="Arial" w:hAnsi="Arial" w:cs="Arial"/>
        <w:b/>
        <w:sz w:val="48"/>
      </w:rPr>
      <w:t>CS</w:t>
    </w:r>
    <w:r w:rsidRPr="00516924">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rsidRPr="00516924">
      <w:tab/>
    </w:r>
    <w:r w:rsidRPr="00516924">
      <w:rPr>
        <w:rFonts w:ascii="Arial" w:hAnsi="Arial" w:cs="Arial"/>
        <w:b/>
        <w:sz w:val="48"/>
      </w:rPr>
      <w:t>CS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719F79" w14:textId="77777777" w:rsidR="00075523" w:rsidRDefault="00075523" w:rsidP="00FA5543">
      <w:pPr>
        <w:spacing w:before="0" w:after="0"/>
      </w:pPr>
      <w:r>
        <w:separator/>
      </w:r>
    </w:p>
  </w:footnote>
  <w:footnote w:type="continuationSeparator" w:id="0">
    <w:p w14:paraId="4DDF6BE8" w14:textId="77777777" w:rsidR="00075523" w:rsidRDefault="00075523" w:rsidP="00FA5543">
      <w:pPr>
        <w:spacing w:before="0" w:after="0"/>
      </w:pPr>
      <w:r>
        <w:continuationSeparator/>
      </w:r>
    </w:p>
  </w:footnote>
  <w:footnote w:type="continuationNotice" w:id="1">
    <w:p w14:paraId="793BCB6C" w14:textId="77777777" w:rsidR="00075523" w:rsidRDefault="00075523">
      <w:pPr>
        <w:spacing w:before="0" w:after="0"/>
      </w:pPr>
    </w:p>
  </w:footnote>
  <w:footnote w:id="2">
    <w:p w14:paraId="67F9F27C" w14:textId="77777777" w:rsidR="00A5393E" w:rsidRPr="00547CFA" w:rsidRDefault="00A5393E" w:rsidP="00547CFA">
      <w:pPr>
        <w:pStyle w:val="FootnoteText"/>
        <w:ind w:left="0" w:firstLine="0"/>
      </w:pPr>
      <w:r>
        <w:rPr>
          <w:rStyle w:val="FootnoteReference"/>
        </w:rPr>
        <w:footnoteRef/>
      </w:r>
      <w:r>
        <w:tab/>
        <w:t>„Budoucnost evropské konkurenceschopnosti“, září 2024. </w:t>
      </w:r>
    </w:p>
  </w:footnote>
  <w:footnote w:id="3">
    <w:p w14:paraId="7AD86ACA" w14:textId="77777777" w:rsidR="00547CFA" w:rsidRPr="00573190" w:rsidRDefault="00547CFA">
      <w:pPr>
        <w:pStyle w:val="FootnoteText"/>
      </w:pPr>
      <w:r>
        <w:rPr>
          <w:rStyle w:val="FootnoteReference"/>
        </w:rPr>
        <w:footnoteRef/>
      </w:r>
      <w:r>
        <w:tab/>
        <w:t>Budapešťské prohlášení o Nové dohodě pro konkurenceschopnost Evropy, 8. listopadu 2024.</w:t>
      </w:r>
    </w:p>
  </w:footnote>
  <w:footnote w:id="4">
    <w:p w14:paraId="5B85CF3A" w14:textId="77777777" w:rsidR="00573190" w:rsidRPr="007831C9" w:rsidRDefault="00573190">
      <w:pPr>
        <w:pStyle w:val="FootnoteText"/>
      </w:pPr>
      <w:r>
        <w:rPr>
          <w:rStyle w:val="FootnoteReference"/>
        </w:rPr>
        <w:footnoteRef/>
      </w:r>
      <w:r>
        <w:tab/>
        <w:t>Nařízení Evropského parlamentu a Rady (EU) 2023/956 ze dne 10. května 2023, kterým se zavádí mechanismus uhlíkového vyrovnání na hranicích (Úř. věst. L 130, 16.5.2023, s. 52, ELI:  </w:t>
      </w:r>
      <w:hyperlink r:id="rId1" w:tgtFrame="_blank" w:history="1">
        <w:r>
          <w:rPr>
            <w:rStyle w:val="Hyperlink"/>
            <w:u w:val="none"/>
          </w:rPr>
          <w:t>http://data.europa.eu/eli/reg/2023/956/oj</w:t>
        </w:r>
      </w:hyperlink>
      <w:r>
        <w:t>).</w:t>
      </w:r>
    </w:p>
  </w:footnote>
  <w:footnote w:id="5">
    <w:p w14:paraId="376BCA0C" w14:textId="77777777" w:rsidR="00E6373D" w:rsidRPr="007831C9" w:rsidRDefault="00E6373D">
      <w:pPr>
        <w:pStyle w:val="FootnoteText"/>
      </w:pPr>
      <w:r>
        <w:rPr>
          <w:rStyle w:val="FootnoteReference"/>
        </w:rPr>
        <w:footnoteRef/>
      </w:r>
      <w:r>
        <w:tab/>
        <w:t>Odkaz bude doplněn po zveřejnění.</w:t>
      </w:r>
    </w:p>
  </w:footnote>
  <w:footnote w:id="6">
    <w:p w14:paraId="3D33105E" w14:textId="77777777" w:rsidR="00C40371" w:rsidRPr="00C7519A" w:rsidRDefault="00C40371" w:rsidP="00C7519A">
      <w:pPr>
        <w:pStyle w:val="FootnoteText"/>
        <w:ind w:left="0" w:firstLine="0"/>
      </w:pPr>
      <w:r>
        <w:rPr>
          <w:rStyle w:val="FootnoteReference"/>
        </w:rPr>
        <w:footnoteRef/>
      </w:r>
      <w:r>
        <w:tab/>
        <w:t xml:space="preserve">Prováděcí nařízení Komise (EU) 2023/1773 ze dne 17. srpna 2023, kterým se stanoví pravidla pro uplatňování nařízení Evropského parlamentu a Rady (EU) 2023/956, pokud jde o oznamovací povinnosti pro účely mechanismu uhlíkového vyrovnání na hranicích během přechodného období (Úř. věst. L 228, 15.9.2023, s. 94, ELI: </w:t>
      </w:r>
      <w:hyperlink r:id="rId2" w:history="1">
        <w:r>
          <w:rPr>
            <w:rStyle w:val="Hyperlink"/>
          </w:rPr>
          <w:t>http://data.europa.eu/eli/reg_impl/2023/1773/oj</w:t>
        </w:r>
      </w:hyperlink>
      <w:r>
        <w:t xml:space="preserve">). </w:t>
      </w:r>
    </w:p>
  </w:footnote>
  <w:footnote w:id="7">
    <w:p w14:paraId="6B07B01A" w14:textId="77777777" w:rsidR="00C40371" w:rsidRPr="00C7519A" w:rsidRDefault="00C40371" w:rsidP="00390489">
      <w:pPr>
        <w:pStyle w:val="FootnoteText"/>
        <w:ind w:left="0" w:firstLine="0"/>
      </w:pPr>
      <w:r>
        <w:rPr>
          <w:rStyle w:val="FootnoteReference"/>
        </w:rPr>
        <w:footnoteRef/>
      </w:r>
      <w:r>
        <w:tab/>
        <w:t xml:space="preserve">Prováděcí nařízení Komise (EU) 2024/3210 ze dne 18. prosince 2024, kterým se stanoví prováděcí pravidla k nařízení Evropského parlamentu a Rady (EU) 2023/956, pokud jde o rejstřík CBAM (Úř. věst. 30.12.2024, ELI: </w:t>
      </w:r>
      <w:hyperlink r:id="rId3" w:history="1">
        <w:r>
          <w:rPr>
            <w:rStyle w:val="Hyperlink"/>
          </w:rPr>
          <w:t>http://data.europa.eu/eli/reg_impl/2024/3210/oj</w:t>
        </w:r>
      </w:hyperlink>
      <w:r>
        <w:t>).</w:t>
      </w:r>
    </w:p>
  </w:footnote>
  <w:footnote w:id="8">
    <w:p w14:paraId="20FBBA00" w14:textId="77777777" w:rsidR="00CD1B1D" w:rsidRPr="0005578D" w:rsidRDefault="00CD1B1D" w:rsidP="000464FB">
      <w:pPr>
        <w:pStyle w:val="FootnoteText"/>
        <w:ind w:left="0" w:firstLine="0"/>
      </w:pPr>
      <w:r>
        <w:rPr>
          <w:rStyle w:val="FootnoteReference"/>
        </w:rPr>
        <w:footnoteRef/>
      </w:r>
      <w:r>
        <w:tab/>
      </w:r>
      <w:hyperlink r:id="rId4" w:history="1">
        <w:r>
          <w:rPr>
            <w:rStyle w:val="Hyperlink"/>
          </w:rPr>
          <w:t>https://ec.europa.eu/transparency/expert-groups-register/screen/expert-groups/consult?lang=en&amp;groupID=3927</w:t>
        </w:r>
      </w:hyperlink>
      <w:r>
        <w:t xml:space="preserve"> </w:t>
      </w:r>
    </w:p>
  </w:footnote>
  <w:footnote w:id="9">
    <w:p w14:paraId="741B62D8" w14:textId="77777777" w:rsidR="00CD1B1D" w:rsidRPr="0005578D" w:rsidRDefault="00CD1B1D">
      <w:pPr>
        <w:pStyle w:val="FootnoteText"/>
      </w:pPr>
      <w:r>
        <w:rPr>
          <w:rStyle w:val="FootnoteReference"/>
        </w:rPr>
        <w:footnoteRef/>
      </w:r>
      <w:r>
        <w:tab/>
        <w:t xml:space="preserve"> </w:t>
      </w:r>
      <w:r>
        <w:rPr>
          <w:rStyle w:val="Hyperlink"/>
        </w:rPr>
        <w:t>https://taxation-customs.ec.europa.eu/carbon-border-adjustment-mechanism_en</w:t>
      </w:r>
    </w:p>
  </w:footnote>
  <w:footnote w:id="10">
    <w:p w14:paraId="59ABF84C" w14:textId="77777777" w:rsidR="00733279" w:rsidRPr="0035458B" w:rsidRDefault="00733279" w:rsidP="005F2B8C">
      <w:pPr>
        <w:pStyle w:val="FootnoteText"/>
      </w:pPr>
      <w:r>
        <w:rPr>
          <w:rStyle w:val="FootnoteReference"/>
        </w:rPr>
        <w:footnoteRef/>
      </w:r>
      <w:r>
        <w:tab/>
        <w:t>XXX.</w:t>
      </w:r>
    </w:p>
  </w:footnote>
  <w:footnote w:id="11">
    <w:p w14:paraId="356150F4" w14:textId="77777777" w:rsidR="00AD2CD3" w:rsidRPr="00ED0DEA" w:rsidRDefault="00AD2CD3">
      <w:pPr>
        <w:pStyle w:val="FootnoteText"/>
      </w:pPr>
      <w:r>
        <w:rPr>
          <w:rStyle w:val="FootnoteReference"/>
        </w:rPr>
        <w:footnoteRef/>
      </w:r>
      <w:r>
        <w:tab/>
        <w:t>SWD(2021) 643 final.</w:t>
      </w:r>
    </w:p>
  </w:footnote>
  <w:footnote w:id="12">
    <w:p w14:paraId="716B7635" w14:textId="77777777" w:rsidR="00ED0DEA" w:rsidRPr="00ED0DEA" w:rsidRDefault="00ED0DEA" w:rsidP="00ED0DEA">
      <w:pPr>
        <w:pStyle w:val="FootnoteText"/>
        <w:ind w:left="0" w:firstLine="0"/>
      </w:pPr>
      <w:r>
        <w:rPr>
          <w:rStyle w:val="FootnoteReference"/>
        </w:rPr>
        <w:footnoteRef/>
      </w:r>
      <w:r>
        <w:tab/>
        <w:t>COM(2020) 690 final.</w:t>
      </w:r>
    </w:p>
  </w:footnote>
  <w:footnote w:id="13">
    <w:p w14:paraId="42A2B9BA" w14:textId="77777777" w:rsidR="00FA5543" w:rsidRDefault="00FA5543" w:rsidP="00390489">
      <w:pPr>
        <w:pStyle w:val="FootnoteText"/>
      </w:pPr>
      <w:r>
        <w:rPr>
          <w:rStyle w:val="FootnoteReference"/>
        </w:rPr>
        <w:footnoteRef/>
      </w:r>
      <w:r>
        <w:tab/>
        <w:t>Úř. věst. C , , s. . .</w:t>
      </w:r>
    </w:p>
  </w:footnote>
  <w:footnote w:id="14">
    <w:p w14:paraId="77BBF2C1" w14:textId="77777777" w:rsidR="00FA5543" w:rsidRDefault="00FA5543" w:rsidP="00390489">
      <w:pPr>
        <w:pStyle w:val="FootnoteText"/>
      </w:pPr>
      <w:r>
        <w:rPr>
          <w:rStyle w:val="FootnoteReference"/>
        </w:rPr>
        <w:footnoteRef/>
      </w:r>
      <w:r>
        <w:tab/>
        <w:t>Úř. věst. C , , s. . .</w:t>
      </w:r>
    </w:p>
  </w:footnote>
  <w:footnote w:id="15">
    <w:p w14:paraId="005CBC52" w14:textId="77777777" w:rsidR="003F4D14" w:rsidRPr="00BE0198" w:rsidRDefault="003F4D14" w:rsidP="00DC6F9F">
      <w:pPr>
        <w:pStyle w:val="FootnoteText"/>
      </w:pPr>
      <w:r>
        <w:rPr>
          <w:rStyle w:val="FootnoteReference"/>
        </w:rPr>
        <w:footnoteRef/>
      </w:r>
      <w:r>
        <w:tab/>
        <w:t xml:space="preserve">Nařízení Evropského parlamentu a Rady (EU) 2023/956 ze dne 10. května 2023, kterým se zavádí mechanismus uhlíkového vyrovnání na hranicích (Úř. věst. L 130, 16.5.2023, s. 52, ELI:  </w:t>
      </w:r>
      <w:hyperlink r:id="rId5" w:history="1">
        <w:r>
          <w:rPr>
            <w:rStyle w:val="Hyperlink"/>
          </w:rPr>
          <w:t>http://data.europa.eu/eli/reg/2023/956/oj</w:t>
        </w:r>
      </w:hyperlink>
      <w:r>
        <w:t>).</w:t>
      </w:r>
    </w:p>
  </w:footnote>
  <w:footnote w:id="16">
    <w:p w14:paraId="00B13FFA" w14:textId="77777777" w:rsidR="7A72F46F" w:rsidRDefault="7A72F46F" w:rsidP="00F605F1">
      <w:pPr>
        <w:pStyle w:val="FootnoteText"/>
        <w:ind w:left="0" w:firstLine="0"/>
        <w:rPr>
          <w:rFonts w:eastAsia="Times New Roman"/>
        </w:rPr>
      </w:pPr>
      <w:r>
        <w:rPr>
          <w:rStyle w:val="FootnoteReference"/>
        </w:rPr>
        <w:footnoteRef/>
      </w:r>
      <w:r>
        <w:tab/>
        <w:t>Návrh NAŘÍZENÍ RADY, kterým se mění nařízení (EHS) č. 2658/87, pokud jde o zavedení zjednodušeného sazebního zacházení pro prodej zboží na dálku, a nařízení (ES) č. 1186/2009, pokud jde o zrušení prahové hodnoty osvobození od cla (COM(2023) 259 final).</w:t>
      </w:r>
    </w:p>
  </w:footnote>
  <w:footnote w:id="17">
    <w:p w14:paraId="2AF0176A" w14:textId="77777777" w:rsidR="00BA78D2" w:rsidRPr="00DC6F9F" w:rsidRDefault="00BA78D2" w:rsidP="00DC6F9F">
      <w:pPr>
        <w:pStyle w:val="FootnoteText"/>
      </w:pPr>
      <w:r>
        <w:rPr>
          <w:rStyle w:val="FootnoteReference"/>
        </w:rPr>
        <w:footnoteRef/>
      </w:r>
      <w:r>
        <w:tab/>
        <w:t xml:space="preserve">Nařízení Komise v přenesené pravomoci (EU) 2015/2446 ze dne 28. července 2015, kterým se doplňuje nařízení Evropského parlamentu a Rady (EU) č. 952/2013, pokud jde o podrobná pravidla k některým ustanovením celního kodexu Unie (Úř. věst. L 343, 29.12.2015, s. 1, ELI: </w:t>
      </w:r>
      <w:hyperlink r:id="rId6" w:history="1">
        <w:r>
          <w:rPr>
            <w:rStyle w:val="Hyperlink"/>
          </w:rPr>
          <w:t>http://data.europa.eu/eli/reg_del/2015/2446/oj</w:t>
        </w:r>
      </w:hyperlink>
      <w:r>
        <w:t>).</w:t>
      </w:r>
    </w:p>
  </w:footnote>
  <w:footnote w:id="18">
    <w:p w14:paraId="57BF0B32" w14:textId="77777777" w:rsidR="00A3576B" w:rsidRPr="00A3576B" w:rsidRDefault="00A3576B" w:rsidP="00D91B38">
      <w:pPr>
        <w:pStyle w:val="FootnoteText"/>
      </w:pPr>
      <w:r>
        <w:rPr>
          <w:rStyle w:val="FootnoteReference"/>
        </w:rPr>
        <w:footnoteRef/>
      </w:r>
      <w:r>
        <w:tab/>
        <w:t xml:space="preserve">Směrnice Evropského parlamentu a Rady 2003/87/ES ze dne 13. října 2003 o vytvoření systému pro obchodování s povolenkami na emise skleníkových plynů v Unii a o změně směrnice Rady 96/61/ES (Úř. věst. L 275, 25.10.2003, s. 32, ELI: </w:t>
      </w:r>
      <w:hyperlink r:id="rId7" w:history="1">
        <w:r>
          <w:rPr>
            <w:rStyle w:val="Hyperlink"/>
          </w:rPr>
          <w:t>http://data.europa.eu/eli/dir/2003/87/oj</w:t>
        </w:r>
      </w:hyperlink>
      <w:r>
        <w:t>).</w:t>
      </w:r>
    </w:p>
  </w:footnote>
  <w:footnote w:id="19">
    <w:p w14:paraId="571D597A" w14:textId="77777777" w:rsidR="00FA5543" w:rsidRDefault="00FA5543" w:rsidP="00390489">
      <w:pPr>
        <w:pStyle w:val="FootnoteText"/>
      </w:pPr>
      <w:r>
        <w:rPr>
          <w:rStyle w:val="FootnoteReference"/>
        </w:rPr>
        <w:footnoteRef/>
      </w:r>
      <w:r>
        <w:tab/>
        <w:t>Uvedené v čl. 58 odst. 2 písm. a) nebo b) finančního nařízení.</w:t>
      </w:r>
    </w:p>
  </w:footnote>
  <w:footnote w:id="20">
    <w:p w14:paraId="1BFE6EC5" w14:textId="77777777" w:rsidR="00FA5543" w:rsidRDefault="00FA5543" w:rsidP="00390489">
      <w:pPr>
        <w:pStyle w:val="FootnoteText"/>
        <w:jc w:val="left"/>
        <w:rPr>
          <w:szCs w:val="24"/>
        </w:rPr>
      </w:pPr>
      <w:r>
        <w:rPr>
          <w:rStyle w:val="FootnoteReference"/>
        </w:rPr>
        <w:footnoteRef/>
      </w:r>
      <w:r>
        <w:tab/>
        <w:t xml:space="preserve">Vysvětlení způsobů plnění rozpočtu spolu s odkazem na finanční nařízení jsou k dispozici na stránkách BUDGpedia: </w:t>
      </w:r>
      <w:hyperlink r:id="rId8" w:history="1">
        <w:r>
          <w:rPr>
            <w:rStyle w:val="Hyperlink"/>
          </w:rPr>
          <w:t>https://myintracomm.ec.europa.eu/corp/budget/financial-rules/budget-implementation/Pages/implementation-methods.aspx</w:t>
        </w:r>
      </w:hyperlink>
      <w:r>
        <w:rPr>
          <w:rStyle w:val="Hyperlink"/>
        </w:rPr>
        <w:t>.</w:t>
      </w:r>
    </w:p>
  </w:footnote>
  <w:footnote w:id="21">
    <w:p w14:paraId="0AEC400E" w14:textId="77777777" w:rsidR="00FA5543" w:rsidRDefault="00FA5543" w:rsidP="00390489">
      <w:pPr>
        <w:pStyle w:val="FootnoteText"/>
        <w:rPr>
          <w:szCs w:val="24"/>
        </w:rPr>
      </w:pPr>
      <w:r>
        <w:rPr>
          <w:rStyle w:val="FootnoteReference"/>
        </w:rPr>
        <w:footnoteRef/>
      </w:r>
      <w:r>
        <w:tab/>
        <w:t>RP = rozlišené prostředky / NRP = nerozlišené prostředky.</w:t>
      </w:r>
    </w:p>
  </w:footnote>
  <w:footnote w:id="22">
    <w:p w14:paraId="24620D50" w14:textId="77777777" w:rsidR="00FA5543" w:rsidRDefault="00FA5543" w:rsidP="00390489">
      <w:pPr>
        <w:pStyle w:val="FootnoteText"/>
        <w:rPr>
          <w:szCs w:val="24"/>
        </w:rPr>
      </w:pPr>
      <w:r>
        <w:rPr>
          <w:rStyle w:val="FootnoteReference"/>
        </w:rPr>
        <w:footnoteRef/>
      </w:r>
      <w:r>
        <w:tab/>
        <w:t xml:space="preserve">ESVO: Evropské sdružení volného obchodu. </w:t>
      </w:r>
    </w:p>
  </w:footnote>
  <w:footnote w:id="23">
    <w:p w14:paraId="60A580B0" w14:textId="77777777" w:rsidR="00FA5543" w:rsidRDefault="00FA5543" w:rsidP="00390489">
      <w:pPr>
        <w:pStyle w:val="FootnoteText"/>
        <w:rPr>
          <w:szCs w:val="24"/>
        </w:rPr>
      </w:pPr>
      <w:r>
        <w:rPr>
          <w:rStyle w:val="FootnoteReference"/>
        </w:rPr>
        <w:footnoteRef/>
      </w:r>
      <w:r>
        <w:tab/>
        <w:t>Kandidátské země a případně potenciální kandidáti ze západního Balkánu.</w:t>
      </w:r>
    </w:p>
  </w:footnote>
  <w:footnote w:id="24">
    <w:p w14:paraId="4846DCD8" w14:textId="77777777" w:rsidR="00FA5543" w:rsidRPr="00C2043F" w:rsidRDefault="00FA5543" w:rsidP="00390489">
      <w:pPr>
        <w:pStyle w:val="FootnoteText"/>
      </w:pPr>
      <w:r>
        <w:rPr>
          <w:rStyle w:val="FootnoteReference"/>
        </w:rPr>
        <w:footnoteRef/>
      </w:r>
      <w:r>
        <w:tab/>
      </w:r>
      <w:r>
        <w:rPr>
          <w:sz w:val="18"/>
        </w:rPr>
        <w:t>Technická a/nebo administrativní pomoc a výdaje na podporu provádění programů a/nebo akcí EU (bývalé položky „BA“), nepřímý výzkum, přímý výzkum.</w:t>
      </w:r>
    </w:p>
  </w:footnote>
  <w:footnote w:id="25">
    <w:p w14:paraId="61931C70" w14:textId="77777777" w:rsidR="00FA5543" w:rsidRPr="001004A6" w:rsidRDefault="00FA5543" w:rsidP="00390489">
      <w:pPr>
        <w:pStyle w:val="FootnoteText"/>
      </w:pPr>
      <w:r>
        <w:rPr>
          <w:rStyle w:val="FootnoteReference"/>
        </w:rPr>
        <w:footnoteRef/>
      </w:r>
      <w:r>
        <w:tab/>
      </w:r>
      <w:r>
        <w:rPr>
          <w:color w:val="374151"/>
          <w:sz w:val="18"/>
        </w:rPr>
        <w:t>Nezbytné prostředky by měly být stanoveny na základě údajů o průměrných ročních nákladech, které jsou k dispozici na příslušných internetových stránkách BUDGpedia</w:t>
      </w:r>
      <w:r>
        <w:rPr>
          <w:rFonts w:ascii="Segoe UI" w:hAnsi="Segoe UI"/>
          <w:color w:val="374151"/>
        </w:rPr>
        <w:t>.</w:t>
      </w:r>
    </w:p>
  </w:footnote>
  <w:footnote w:id="26">
    <w:p w14:paraId="63B6E9F3" w14:textId="77777777" w:rsidR="00FA5543" w:rsidRPr="001004A6" w:rsidRDefault="00FA5543" w:rsidP="00390489">
      <w:pPr>
        <w:pStyle w:val="FootnoteText"/>
      </w:pPr>
      <w:r>
        <w:rPr>
          <w:rStyle w:val="FootnoteReference"/>
        </w:rPr>
        <w:footnoteRef/>
      </w:r>
      <w:r>
        <w:tab/>
      </w:r>
      <w:r>
        <w:rPr>
          <w:color w:val="374151"/>
          <w:sz w:val="18"/>
        </w:rPr>
        <w:t>Nezbytné prostředky by měly být stanoveny na základě údajů o průměrných ročních nákladech, které jsou k dispozici na příslušných internetových stránkách BUDGpedia.</w:t>
      </w:r>
    </w:p>
  </w:footnote>
  <w:footnote w:id="27">
    <w:p w14:paraId="7B39F361" w14:textId="77777777" w:rsidR="00FA5543" w:rsidRDefault="00FA5543" w:rsidP="00390489">
      <w:pPr>
        <w:pStyle w:val="FootnoteText"/>
        <w:rPr>
          <w:szCs w:val="24"/>
        </w:rPr>
      </w:pPr>
      <w:r>
        <w:rPr>
          <w:rStyle w:val="FootnoteReference"/>
        </w:rPr>
        <w:footnoteRef/>
      </w:r>
      <w:r>
        <w:tab/>
        <w:t>Výstupy se rozumí produkty a služby, které mají být dodány (např. počet financovaných studentských výměn, počet vybudovaných kilometrů silnic atd.).</w:t>
      </w:r>
    </w:p>
  </w:footnote>
  <w:footnote w:id="28">
    <w:p w14:paraId="793AC3D9" w14:textId="77777777" w:rsidR="00FA5543" w:rsidRDefault="00FA5543" w:rsidP="00390489">
      <w:pPr>
        <w:pStyle w:val="FootnoteText"/>
        <w:rPr>
          <w:szCs w:val="24"/>
        </w:rPr>
      </w:pPr>
      <w:r>
        <w:rPr>
          <w:rStyle w:val="FootnoteReference"/>
        </w:rPr>
        <w:footnoteRef/>
      </w:r>
      <w:r>
        <w:tab/>
        <w:t xml:space="preserve">Popsaný v oddíle 1.3.2. „Specifické cíle“. </w:t>
      </w:r>
    </w:p>
  </w:footnote>
  <w:footnote w:id="29">
    <w:p w14:paraId="5E786686" w14:textId="77777777" w:rsidR="00FA5543" w:rsidRPr="00F94A0A" w:rsidRDefault="00FA5543" w:rsidP="00390489">
      <w:pPr>
        <w:pStyle w:val="FootnoteText"/>
      </w:pPr>
      <w:r>
        <w:rPr>
          <w:rStyle w:val="FootnoteReference"/>
        </w:rPr>
        <w:footnoteRef/>
      </w:r>
      <w:r>
        <w:tab/>
        <w:t>Pod tabulkou prosím upřesněte, kolik plných pracovních úvazků v rámci uvedeného počtu je již přiděleno na řízení akce a/nebo může být přerozděleno v rámci vašeho GŘ a jaké jsou vaše čisté potřeby.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1E629" w14:textId="77777777" w:rsidR="00516924" w:rsidRDefault="005169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54F40" w14:textId="77777777" w:rsidR="00516924" w:rsidRDefault="00516924" w:rsidP="005169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8ED1" w14:textId="77777777" w:rsidR="00516924" w:rsidRPr="00516924" w:rsidRDefault="00516924" w:rsidP="00516924">
    <w:pPr>
      <w:pStyle w:val="HeaderLandscap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FEFE1" w14:textId="77777777" w:rsidR="00516924" w:rsidRPr="00516924" w:rsidRDefault="00516924" w:rsidP="005169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1" w15:restartNumberingAfterBreak="0">
    <w:nsid w:val="128364B0"/>
    <w:multiLevelType w:val="singleLevel"/>
    <w:tmpl w:val="D084FB54"/>
    <w:lvl w:ilvl="0">
      <w:start w:val="1"/>
      <w:numFmt w:val="bullet"/>
      <w:pStyle w:val="ListDash3"/>
      <w:lvlText w:val="–"/>
      <w:lvlJc w:val="left"/>
      <w:pPr>
        <w:tabs>
          <w:tab w:val="num" w:pos="1134"/>
        </w:tabs>
        <w:ind w:left="1134" w:hanging="283"/>
      </w:pPr>
      <w:rPr>
        <w:rFonts w:ascii="Times New Roman" w:hAnsi="Times New Roman"/>
      </w:rPr>
    </w:lvl>
  </w:abstractNum>
  <w:abstractNum w:abstractNumId="2" w15:restartNumberingAfterBreak="0">
    <w:nsid w:val="13E4330B"/>
    <w:multiLevelType w:val="multilevel"/>
    <w:tmpl w:val="875C4416"/>
    <w:name w:val="List Dash 3"/>
    <w:lvl w:ilvl="0">
      <w:start w:val="1"/>
      <w:numFmt w:val="decimal"/>
      <w:pStyle w:val="ListNumber1"/>
      <w:lvlText w:val="(%1)"/>
      <w:lvlJc w:val="left"/>
      <w:pPr>
        <w:tabs>
          <w:tab w:val="num" w:pos="1560"/>
        </w:tabs>
        <w:ind w:left="1560" w:hanging="709"/>
      </w:pPr>
      <w:rPr>
        <w:rFonts w:cs="Times New Roman"/>
      </w:rPr>
    </w:lvl>
    <w:lvl w:ilvl="1">
      <w:start w:val="1"/>
      <w:numFmt w:val="lowerLetter"/>
      <w:pStyle w:val="ListNumber1Level2"/>
      <w:lvlText w:val="(%2)"/>
      <w:lvlJc w:val="left"/>
      <w:pPr>
        <w:tabs>
          <w:tab w:val="num" w:pos="2268"/>
        </w:tabs>
        <w:ind w:left="2268" w:hanging="708"/>
      </w:pPr>
      <w:rPr>
        <w:rFonts w:cs="Times New Roman"/>
      </w:rPr>
    </w:lvl>
    <w:lvl w:ilvl="2">
      <w:start w:val="1"/>
      <w:numFmt w:val="bullet"/>
      <w:pStyle w:val="ListNumber1Level3"/>
      <w:lvlText w:val="–"/>
      <w:lvlJc w:val="left"/>
      <w:pPr>
        <w:tabs>
          <w:tab w:val="num" w:pos="2977"/>
        </w:tabs>
        <w:ind w:left="2977" w:hanging="709"/>
      </w:pPr>
      <w:rPr>
        <w:rFonts w:ascii="Times New Roman" w:hAnsi="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153F572F"/>
    <w:multiLevelType w:val="hybridMultilevel"/>
    <w:tmpl w:val="7B5E3DA2"/>
    <w:lvl w:ilvl="0" w:tplc="D33AFC6A">
      <w:start w:val="1"/>
      <w:numFmt w:val="bullet"/>
      <w:lvlText w:val="·"/>
      <w:lvlJc w:val="left"/>
      <w:pPr>
        <w:ind w:left="720" w:hanging="360"/>
      </w:pPr>
      <w:rPr>
        <w:rFonts w:ascii="Symbol" w:hAnsi="Symbol" w:hint="default"/>
      </w:rPr>
    </w:lvl>
    <w:lvl w:ilvl="1" w:tplc="2A183480">
      <w:start w:val="1"/>
      <w:numFmt w:val="bullet"/>
      <w:lvlText w:val="o"/>
      <w:lvlJc w:val="left"/>
      <w:pPr>
        <w:ind w:left="1440" w:hanging="360"/>
      </w:pPr>
      <w:rPr>
        <w:rFonts w:ascii="Symbol" w:hAnsi="Symbol" w:hint="default"/>
      </w:rPr>
    </w:lvl>
    <w:lvl w:ilvl="2" w:tplc="91D2C294">
      <w:start w:val="1"/>
      <w:numFmt w:val="bullet"/>
      <w:lvlText w:val=""/>
      <w:lvlJc w:val="left"/>
      <w:pPr>
        <w:ind w:left="2160" w:hanging="360"/>
      </w:pPr>
      <w:rPr>
        <w:rFonts w:ascii="Wingdings" w:hAnsi="Wingdings" w:hint="default"/>
      </w:rPr>
    </w:lvl>
    <w:lvl w:ilvl="3" w:tplc="2206BA0E">
      <w:start w:val="1"/>
      <w:numFmt w:val="bullet"/>
      <w:lvlText w:val=""/>
      <w:lvlJc w:val="left"/>
      <w:pPr>
        <w:ind w:left="2880" w:hanging="360"/>
      </w:pPr>
      <w:rPr>
        <w:rFonts w:ascii="Symbol" w:hAnsi="Symbol" w:hint="default"/>
      </w:rPr>
    </w:lvl>
    <w:lvl w:ilvl="4" w:tplc="24B47058">
      <w:start w:val="1"/>
      <w:numFmt w:val="bullet"/>
      <w:lvlText w:val="o"/>
      <w:lvlJc w:val="left"/>
      <w:pPr>
        <w:ind w:left="3600" w:hanging="360"/>
      </w:pPr>
      <w:rPr>
        <w:rFonts w:ascii="Courier New" w:hAnsi="Courier New" w:hint="default"/>
      </w:rPr>
    </w:lvl>
    <w:lvl w:ilvl="5" w:tplc="4A0884EA">
      <w:start w:val="1"/>
      <w:numFmt w:val="bullet"/>
      <w:lvlText w:val=""/>
      <w:lvlJc w:val="left"/>
      <w:pPr>
        <w:ind w:left="4320" w:hanging="360"/>
      </w:pPr>
      <w:rPr>
        <w:rFonts w:ascii="Wingdings" w:hAnsi="Wingdings" w:hint="default"/>
      </w:rPr>
    </w:lvl>
    <w:lvl w:ilvl="6" w:tplc="68666ECC">
      <w:start w:val="1"/>
      <w:numFmt w:val="bullet"/>
      <w:lvlText w:val=""/>
      <w:lvlJc w:val="left"/>
      <w:pPr>
        <w:ind w:left="5040" w:hanging="360"/>
      </w:pPr>
      <w:rPr>
        <w:rFonts w:ascii="Symbol" w:hAnsi="Symbol" w:hint="default"/>
      </w:rPr>
    </w:lvl>
    <w:lvl w:ilvl="7" w:tplc="F7D66BA8">
      <w:start w:val="1"/>
      <w:numFmt w:val="bullet"/>
      <w:lvlText w:val="o"/>
      <w:lvlJc w:val="left"/>
      <w:pPr>
        <w:ind w:left="5760" w:hanging="360"/>
      </w:pPr>
      <w:rPr>
        <w:rFonts w:ascii="Courier New" w:hAnsi="Courier New" w:hint="default"/>
      </w:rPr>
    </w:lvl>
    <w:lvl w:ilvl="8" w:tplc="76F4EF48">
      <w:start w:val="1"/>
      <w:numFmt w:val="bullet"/>
      <w:lvlText w:val=""/>
      <w:lvlJc w:val="left"/>
      <w:pPr>
        <w:ind w:left="6480" w:hanging="360"/>
      </w:pPr>
      <w:rPr>
        <w:rFonts w:ascii="Wingdings" w:hAnsi="Wingdings" w:hint="default"/>
      </w:rPr>
    </w:lvl>
  </w:abstractNum>
  <w:abstractNum w:abstractNumId="4" w15:restartNumberingAfterBreak="0">
    <w:nsid w:val="1585FEF6"/>
    <w:multiLevelType w:val="hybridMultilevel"/>
    <w:tmpl w:val="6868B344"/>
    <w:lvl w:ilvl="0" w:tplc="C362FF04">
      <w:start w:val="1"/>
      <w:numFmt w:val="bullet"/>
      <w:lvlText w:val="·"/>
      <w:lvlJc w:val="left"/>
      <w:pPr>
        <w:ind w:left="720" w:hanging="360"/>
      </w:pPr>
      <w:rPr>
        <w:rFonts w:ascii="Symbol" w:hAnsi="Symbol" w:hint="default"/>
      </w:rPr>
    </w:lvl>
    <w:lvl w:ilvl="1" w:tplc="F474BE12">
      <w:start w:val="1"/>
      <w:numFmt w:val="bullet"/>
      <w:lvlText w:val="o"/>
      <w:lvlJc w:val="left"/>
      <w:pPr>
        <w:ind w:left="1440" w:hanging="360"/>
      </w:pPr>
      <w:rPr>
        <w:rFonts w:ascii="Courier New" w:hAnsi="Courier New" w:hint="default"/>
      </w:rPr>
    </w:lvl>
    <w:lvl w:ilvl="2" w:tplc="5D5AA4A4">
      <w:start w:val="1"/>
      <w:numFmt w:val="bullet"/>
      <w:lvlText w:val=""/>
      <w:lvlJc w:val="left"/>
      <w:pPr>
        <w:ind w:left="2160" w:hanging="360"/>
      </w:pPr>
      <w:rPr>
        <w:rFonts w:ascii="Wingdings" w:hAnsi="Wingdings" w:hint="default"/>
      </w:rPr>
    </w:lvl>
    <w:lvl w:ilvl="3" w:tplc="B32AECF2">
      <w:start w:val="1"/>
      <w:numFmt w:val="bullet"/>
      <w:lvlText w:val=""/>
      <w:lvlJc w:val="left"/>
      <w:pPr>
        <w:ind w:left="2880" w:hanging="360"/>
      </w:pPr>
      <w:rPr>
        <w:rFonts w:ascii="Symbol" w:hAnsi="Symbol" w:hint="default"/>
      </w:rPr>
    </w:lvl>
    <w:lvl w:ilvl="4" w:tplc="BCFA59BE">
      <w:start w:val="1"/>
      <w:numFmt w:val="bullet"/>
      <w:lvlText w:val="o"/>
      <w:lvlJc w:val="left"/>
      <w:pPr>
        <w:ind w:left="3600" w:hanging="360"/>
      </w:pPr>
      <w:rPr>
        <w:rFonts w:ascii="Courier New" w:hAnsi="Courier New" w:hint="default"/>
      </w:rPr>
    </w:lvl>
    <w:lvl w:ilvl="5" w:tplc="469053E6">
      <w:start w:val="1"/>
      <w:numFmt w:val="bullet"/>
      <w:lvlText w:val=""/>
      <w:lvlJc w:val="left"/>
      <w:pPr>
        <w:ind w:left="4320" w:hanging="360"/>
      </w:pPr>
      <w:rPr>
        <w:rFonts w:ascii="Wingdings" w:hAnsi="Wingdings" w:hint="default"/>
      </w:rPr>
    </w:lvl>
    <w:lvl w:ilvl="6" w:tplc="34F628F0">
      <w:start w:val="1"/>
      <w:numFmt w:val="bullet"/>
      <w:lvlText w:val=""/>
      <w:lvlJc w:val="left"/>
      <w:pPr>
        <w:ind w:left="5040" w:hanging="360"/>
      </w:pPr>
      <w:rPr>
        <w:rFonts w:ascii="Symbol" w:hAnsi="Symbol" w:hint="default"/>
      </w:rPr>
    </w:lvl>
    <w:lvl w:ilvl="7" w:tplc="045CB354">
      <w:start w:val="1"/>
      <w:numFmt w:val="bullet"/>
      <w:lvlText w:val="o"/>
      <w:lvlJc w:val="left"/>
      <w:pPr>
        <w:ind w:left="5760" w:hanging="360"/>
      </w:pPr>
      <w:rPr>
        <w:rFonts w:ascii="Courier New" w:hAnsi="Courier New" w:hint="default"/>
      </w:rPr>
    </w:lvl>
    <w:lvl w:ilvl="8" w:tplc="20A23DAE">
      <w:start w:val="1"/>
      <w:numFmt w:val="bullet"/>
      <w:lvlText w:val=""/>
      <w:lvlJc w:val="left"/>
      <w:pPr>
        <w:ind w:left="6480" w:hanging="360"/>
      </w:pPr>
      <w:rPr>
        <w:rFonts w:ascii="Wingdings" w:hAnsi="Wingdings" w:hint="default"/>
      </w:rPr>
    </w:lvl>
  </w:abstractNum>
  <w:abstractNum w:abstractNumId="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C91AFE3"/>
    <w:multiLevelType w:val="hybridMultilevel"/>
    <w:tmpl w:val="54AEF0BA"/>
    <w:lvl w:ilvl="0" w:tplc="9BEE67FE">
      <w:start w:val="1"/>
      <w:numFmt w:val="bullet"/>
      <w:lvlText w:val="·"/>
      <w:lvlJc w:val="left"/>
      <w:pPr>
        <w:ind w:left="720" w:hanging="360"/>
      </w:pPr>
      <w:rPr>
        <w:rFonts w:ascii="Symbol" w:hAnsi="Symbol" w:hint="default"/>
      </w:rPr>
    </w:lvl>
    <w:lvl w:ilvl="1" w:tplc="11A2B056">
      <w:start w:val="1"/>
      <w:numFmt w:val="bullet"/>
      <w:lvlText w:val="o"/>
      <w:lvlJc w:val="left"/>
      <w:pPr>
        <w:ind w:left="1440" w:hanging="360"/>
      </w:pPr>
      <w:rPr>
        <w:rFonts w:ascii="Courier New" w:hAnsi="Courier New" w:hint="default"/>
      </w:rPr>
    </w:lvl>
    <w:lvl w:ilvl="2" w:tplc="848A215E">
      <w:start w:val="1"/>
      <w:numFmt w:val="bullet"/>
      <w:lvlText w:val=""/>
      <w:lvlJc w:val="left"/>
      <w:pPr>
        <w:ind w:left="2160" w:hanging="360"/>
      </w:pPr>
      <w:rPr>
        <w:rFonts w:ascii="Wingdings" w:hAnsi="Wingdings" w:hint="default"/>
      </w:rPr>
    </w:lvl>
    <w:lvl w:ilvl="3" w:tplc="79029DE6">
      <w:start w:val="1"/>
      <w:numFmt w:val="bullet"/>
      <w:lvlText w:val=""/>
      <w:lvlJc w:val="left"/>
      <w:pPr>
        <w:ind w:left="2880" w:hanging="360"/>
      </w:pPr>
      <w:rPr>
        <w:rFonts w:ascii="Symbol" w:hAnsi="Symbol" w:hint="default"/>
      </w:rPr>
    </w:lvl>
    <w:lvl w:ilvl="4" w:tplc="1FEA9AF8">
      <w:start w:val="1"/>
      <w:numFmt w:val="bullet"/>
      <w:lvlText w:val="o"/>
      <w:lvlJc w:val="left"/>
      <w:pPr>
        <w:ind w:left="3600" w:hanging="360"/>
      </w:pPr>
      <w:rPr>
        <w:rFonts w:ascii="Courier New" w:hAnsi="Courier New" w:hint="default"/>
      </w:rPr>
    </w:lvl>
    <w:lvl w:ilvl="5" w:tplc="B3E61206">
      <w:start w:val="1"/>
      <w:numFmt w:val="bullet"/>
      <w:lvlText w:val=""/>
      <w:lvlJc w:val="left"/>
      <w:pPr>
        <w:ind w:left="4320" w:hanging="360"/>
      </w:pPr>
      <w:rPr>
        <w:rFonts w:ascii="Wingdings" w:hAnsi="Wingdings" w:hint="default"/>
      </w:rPr>
    </w:lvl>
    <w:lvl w:ilvl="6" w:tplc="C05E51C0">
      <w:start w:val="1"/>
      <w:numFmt w:val="bullet"/>
      <w:lvlText w:val=""/>
      <w:lvlJc w:val="left"/>
      <w:pPr>
        <w:ind w:left="5040" w:hanging="360"/>
      </w:pPr>
      <w:rPr>
        <w:rFonts w:ascii="Symbol" w:hAnsi="Symbol" w:hint="default"/>
      </w:rPr>
    </w:lvl>
    <w:lvl w:ilvl="7" w:tplc="A838DAAC">
      <w:start w:val="1"/>
      <w:numFmt w:val="bullet"/>
      <w:lvlText w:val="o"/>
      <w:lvlJc w:val="left"/>
      <w:pPr>
        <w:ind w:left="5760" w:hanging="360"/>
      </w:pPr>
      <w:rPr>
        <w:rFonts w:ascii="Courier New" w:hAnsi="Courier New" w:hint="default"/>
      </w:rPr>
    </w:lvl>
    <w:lvl w:ilvl="8" w:tplc="9BE642E4">
      <w:start w:val="1"/>
      <w:numFmt w:val="bullet"/>
      <w:lvlText w:val=""/>
      <w:lvlJc w:val="left"/>
      <w:pPr>
        <w:ind w:left="6480" w:hanging="360"/>
      </w:pPr>
      <w:rPr>
        <w:rFonts w:ascii="Wingdings" w:hAnsi="Wingdings" w:hint="default"/>
      </w:rPr>
    </w:lvl>
  </w:abstractNum>
  <w:abstractNum w:abstractNumId="8"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9"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0"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2D820C1F"/>
    <w:multiLevelType w:val="singleLevel"/>
    <w:tmpl w:val="7896AADE"/>
    <w:name w:val="List Dash"/>
    <w:lvl w:ilvl="0">
      <w:start w:val="1"/>
      <w:numFmt w:val="bullet"/>
      <w:lvlRestart w:val="0"/>
      <w:pStyle w:val="ListDash"/>
      <w:lvlText w:val="–"/>
      <w:lvlJc w:val="left"/>
      <w:pPr>
        <w:tabs>
          <w:tab w:val="num" w:pos="283"/>
        </w:tabs>
        <w:ind w:left="283" w:hanging="283"/>
      </w:pPr>
      <w:rPr>
        <w:rFonts w:ascii="Times New Roman" w:hAnsi="Times New Roman" w:cs="Times New Roman"/>
      </w:rPr>
    </w:lvl>
  </w:abstractNum>
  <w:abstractNum w:abstractNumId="12" w15:restartNumberingAfterBreak="0">
    <w:nsid w:val="2F191641"/>
    <w:multiLevelType w:val="multilevel"/>
    <w:tmpl w:val="B67C4E92"/>
    <w:lvl w:ilvl="0">
      <w:start w:val="1"/>
      <w:numFmt w:val="decimal"/>
      <w:pStyle w:val="ListNumber3"/>
      <w:lvlText w:val="(%1)"/>
      <w:lvlJc w:val="left"/>
      <w:pPr>
        <w:tabs>
          <w:tab w:val="num" w:pos="1560"/>
        </w:tabs>
        <w:ind w:left="1560" w:hanging="709"/>
      </w:pPr>
      <w:rPr>
        <w:rFonts w:cs="Times New Roman"/>
      </w:rPr>
    </w:lvl>
    <w:lvl w:ilvl="1">
      <w:start w:val="1"/>
      <w:numFmt w:val="lowerLetter"/>
      <w:pStyle w:val="ListNumber3Level2"/>
      <w:lvlText w:val="(%2)"/>
      <w:lvlJc w:val="left"/>
      <w:pPr>
        <w:tabs>
          <w:tab w:val="num" w:pos="2268"/>
        </w:tabs>
        <w:ind w:left="2268" w:hanging="708"/>
      </w:pPr>
      <w:rPr>
        <w:rFonts w:cs="Times New Roman"/>
      </w:rPr>
    </w:lvl>
    <w:lvl w:ilvl="2">
      <w:start w:val="1"/>
      <w:numFmt w:val="bullet"/>
      <w:pStyle w:val="ListNumber3Level3"/>
      <w:lvlText w:val="–"/>
      <w:lvlJc w:val="left"/>
      <w:pPr>
        <w:tabs>
          <w:tab w:val="num" w:pos="2977"/>
        </w:tabs>
        <w:ind w:left="2977" w:hanging="709"/>
      </w:pPr>
      <w:rPr>
        <w:rFonts w:ascii="Times New Roman" w:hAnsi="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2FC9ED8B"/>
    <w:multiLevelType w:val="hybridMultilevel"/>
    <w:tmpl w:val="C3D2D766"/>
    <w:lvl w:ilvl="0" w:tplc="16F07A88">
      <w:start w:val="1"/>
      <w:numFmt w:val="bullet"/>
      <w:lvlText w:val="·"/>
      <w:lvlJc w:val="left"/>
      <w:pPr>
        <w:ind w:left="720" w:hanging="360"/>
      </w:pPr>
      <w:rPr>
        <w:rFonts w:ascii="Symbol" w:hAnsi="Symbol" w:hint="default"/>
      </w:rPr>
    </w:lvl>
    <w:lvl w:ilvl="1" w:tplc="2B6079FE">
      <w:start w:val="1"/>
      <w:numFmt w:val="bullet"/>
      <w:lvlText w:val="o"/>
      <w:lvlJc w:val="left"/>
      <w:pPr>
        <w:ind w:left="1440" w:hanging="360"/>
      </w:pPr>
      <w:rPr>
        <w:rFonts w:ascii="Courier New" w:hAnsi="Courier New" w:hint="default"/>
      </w:rPr>
    </w:lvl>
    <w:lvl w:ilvl="2" w:tplc="A5B8F816">
      <w:start w:val="1"/>
      <w:numFmt w:val="bullet"/>
      <w:lvlText w:val=""/>
      <w:lvlJc w:val="left"/>
      <w:pPr>
        <w:ind w:left="2160" w:hanging="360"/>
      </w:pPr>
      <w:rPr>
        <w:rFonts w:ascii="Wingdings" w:hAnsi="Wingdings" w:hint="default"/>
      </w:rPr>
    </w:lvl>
    <w:lvl w:ilvl="3" w:tplc="2760068E">
      <w:start w:val="1"/>
      <w:numFmt w:val="bullet"/>
      <w:lvlText w:val=""/>
      <w:lvlJc w:val="left"/>
      <w:pPr>
        <w:ind w:left="2880" w:hanging="360"/>
      </w:pPr>
      <w:rPr>
        <w:rFonts w:ascii="Symbol" w:hAnsi="Symbol" w:hint="default"/>
      </w:rPr>
    </w:lvl>
    <w:lvl w:ilvl="4" w:tplc="EC3A27CE">
      <w:start w:val="1"/>
      <w:numFmt w:val="bullet"/>
      <w:lvlText w:val="o"/>
      <w:lvlJc w:val="left"/>
      <w:pPr>
        <w:ind w:left="3600" w:hanging="360"/>
      </w:pPr>
      <w:rPr>
        <w:rFonts w:ascii="Courier New" w:hAnsi="Courier New" w:hint="default"/>
      </w:rPr>
    </w:lvl>
    <w:lvl w:ilvl="5" w:tplc="577A7588">
      <w:start w:val="1"/>
      <w:numFmt w:val="bullet"/>
      <w:lvlText w:val=""/>
      <w:lvlJc w:val="left"/>
      <w:pPr>
        <w:ind w:left="4320" w:hanging="360"/>
      </w:pPr>
      <w:rPr>
        <w:rFonts w:ascii="Wingdings" w:hAnsi="Wingdings" w:hint="default"/>
      </w:rPr>
    </w:lvl>
    <w:lvl w:ilvl="6" w:tplc="47D4214C">
      <w:start w:val="1"/>
      <w:numFmt w:val="bullet"/>
      <w:lvlText w:val=""/>
      <w:lvlJc w:val="left"/>
      <w:pPr>
        <w:ind w:left="5040" w:hanging="360"/>
      </w:pPr>
      <w:rPr>
        <w:rFonts w:ascii="Symbol" w:hAnsi="Symbol" w:hint="default"/>
      </w:rPr>
    </w:lvl>
    <w:lvl w:ilvl="7" w:tplc="B9D844C8">
      <w:start w:val="1"/>
      <w:numFmt w:val="bullet"/>
      <w:lvlText w:val="o"/>
      <w:lvlJc w:val="left"/>
      <w:pPr>
        <w:ind w:left="5760" w:hanging="360"/>
      </w:pPr>
      <w:rPr>
        <w:rFonts w:ascii="Courier New" w:hAnsi="Courier New" w:hint="default"/>
      </w:rPr>
    </w:lvl>
    <w:lvl w:ilvl="8" w:tplc="328EE2CC">
      <w:start w:val="1"/>
      <w:numFmt w:val="bullet"/>
      <w:lvlText w:val=""/>
      <w:lvlJc w:val="left"/>
      <w:pPr>
        <w:ind w:left="6480" w:hanging="360"/>
      </w:pPr>
      <w:rPr>
        <w:rFonts w:ascii="Wingdings" w:hAnsi="Wingdings" w:hint="default"/>
      </w:rPr>
    </w:lvl>
  </w:abstractNum>
  <w:abstractNum w:abstractNumId="14" w15:restartNumberingAfterBreak="0">
    <w:nsid w:val="307E3DA9"/>
    <w:multiLevelType w:val="hybridMultilevel"/>
    <w:tmpl w:val="A6B2AD86"/>
    <w:lvl w:ilvl="0" w:tplc="6D7E09E6">
      <w:start w:val="1"/>
      <w:numFmt w:val="decimal"/>
      <w:lvlText w:val="%1."/>
      <w:lvlJc w:val="left"/>
      <w:pPr>
        <w:ind w:left="720" w:hanging="360"/>
      </w:pPr>
    </w:lvl>
    <w:lvl w:ilvl="1" w:tplc="2042CCE6">
      <w:start w:val="1"/>
      <w:numFmt w:val="lowerLetter"/>
      <w:lvlText w:val="%2."/>
      <w:lvlJc w:val="left"/>
      <w:pPr>
        <w:ind w:left="1440" w:hanging="360"/>
      </w:pPr>
    </w:lvl>
    <w:lvl w:ilvl="2" w:tplc="1A92D576">
      <w:start w:val="1"/>
      <w:numFmt w:val="lowerRoman"/>
      <w:lvlText w:val="%3."/>
      <w:lvlJc w:val="right"/>
      <w:pPr>
        <w:ind w:left="2160" w:hanging="180"/>
      </w:pPr>
    </w:lvl>
    <w:lvl w:ilvl="3" w:tplc="93A25672">
      <w:start w:val="1"/>
      <w:numFmt w:val="decimal"/>
      <w:lvlText w:val="%4."/>
      <w:lvlJc w:val="left"/>
      <w:pPr>
        <w:ind w:left="2880" w:hanging="360"/>
      </w:pPr>
    </w:lvl>
    <w:lvl w:ilvl="4" w:tplc="CFEC2254">
      <w:start w:val="1"/>
      <w:numFmt w:val="lowerLetter"/>
      <w:lvlText w:val="%5."/>
      <w:lvlJc w:val="left"/>
      <w:pPr>
        <w:ind w:left="3600" w:hanging="360"/>
      </w:pPr>
    </w:lvl>
    <w:lvl w:ilvl="5" w:tplc="57525546">
      <w:start w:val="1"/>
      <w:numFmt w:val="lowerRoman"/>
      <w:lvlText w:val="%6."/>
      <w:lvlJc w:val="right"/>
      <w:pPr>
        <w:ind w:left="4320" w:hanging="180"/>
      </w:pPr>
    </w:lvl>
    <w:lvl w:ilvl="6" w:tplc="DCFEB838">
      <w:start w:val="1"/>
      <w:numFmt w:val="decimal"/>
      <w:lvlText w:val="%7."/>
      <w:lvlJc w:val="left"/>
      <w:pPr>
        <w:ind w:left="5040" w:hanging="360"/>
      </w:pPr>
    </w:lvl>
    <w:lvl w:ilvl="7" w:tplc="D1FA13AC">
      <w:start w:val="1"/>
      <w:numFmt w:val="lowerLetter"/>
      <w:lvlText w:val="%8."/>
      <w:lvlJc w:val="left"/>
      <w:pPr>
        <w:ind w:left="5760" w:hanging="360"/>
      </w:pPr>
    </w:lvl>
    <w:lvl w:ilvl="8" w:tplc="0286352E">
      <w:start w:val="1"/>
      <w:numFmt w:val="lowerRoman"/>
      <w:lvlText w:val="%9."/>
      <w:lvlJc w:val="right"/>
      <w:pPr>
        <w:ind w:left="6480" w:hanging="180"/>
      </w:pPr>
    </w:lvl>
  </w:abstractNum>
  <w:abstractNum w:abstractNumId="15" w15:restartNumberingAfterBreak="0">
    <w:nsid w:val="31CD398A"/>
    <w:multiLevelType w:val="singleLevel"/>
    <w:tmpl w:val="0276BF00"/>
    <w:lvl w:ilvl="0">
      <w:start w:val="1"/>
      <w:numFmt w:val="bullet"/>
      <w:pStyle w:val="ListDash4"/>
      <w:lvlText w:val="–"/>
      <w:lvlJc w:val="left"/>
      <w:pPr>
        <w:tabs>
          <w:tab w:val="num" w:pos="1134"/>
        </w:tabs>
        <w:ind w:left="1134" w:hanging="283"/>
      </w:pPr>
      <w:rPr>
        <w:rFonts w:ascii="Times New Roman" w:hAnsi="Times New Roman"/>
      </w:rPr>
    </w:lvl>
  </w:abstractNum>
  <w:abstractNum w:abstractNumId="16" w15:restartNumberingAfterBreak="0">
    <w:nsid w:val="32D3A5FD"/>
    <w:multiLevelType w:val="hybridMultilevel"/>
    <w:tmpl w:val="C27C8B6C"/>
    <w:lvl w:ilvl="0" w:tplc="1D966950">
      <w:start w:val="1"/>
      <w:numFmt w:val="bullet"/>
      <w:lvlText w:val="·"/>
      <w:lvlJc w:val="left"/>
      <w:pPr>
        <w:ind w:left="720" w:hanging="360"/>
      </w:pPr>
      <w:rPr>
        <w:rFonts w:ascii="Symbol" w:hAnsi="Symbol" w:hint="default"/>
      </w:rPr>
    </w:lvl>
    <w:lvl w:ilvl="1" w:tplc="B3E291BC">
      <w:start w:val="1"/>
      <w:numFmt w:val="bullet"/>
      <w:lvlText w:val="o"/>
      <w:lvlJc w:val="left"/>
      <w:pPr>
        <w:ind w:left="1440" w:hanging="360"/>
      </w:pPr>
      <w:rPr>
        <w:rFonts w:ascii="Courier New" w:hAnsi="Courier New" w:hint="default"/>
      </w:rPr>
    </w:lvl>
    <w:lvl w:ilvl="2" w:tplc="702A6BAA">
      <w:start w:val="1"/>
      <w:numFmt w:val="bullet"/>
      <w:lvlText w:val=""/>
      <w:lvlJc w:val="left"/>
      <w:pPr>
        <w:ind w:left="2160" w:hanging="360"/>
      </w:pPr>
      <w:rPr>
        <w:rFonts w:ascii="Wingdings" w:hAnsi="Wingdings" w:hint="default"/>
      </w:rPr>
    </w:lvl>
    <w:lvl w:ilvl="3" w:tplc="F83466DC">
      <w:start w:val="1"/>
      <w:numFmt w:val="bullet"/>
      <w:lvlText w:val=""/>
      <w:lvlJc w:val="left"/>
      <w:pPr>
        <w:ind w:left="2880" w:hanging="360"/>
      </w:pPr>
      <w:rPr>
        <w:rFonts w:ascii="Symbol" w:hAnsi="Symbol" w:hint="default"/>
      </w:rPr>
    </w:lvl>
    <w:lvl w:ilvl="4" w:tplc="65784740">
      <w:start w:val="1"/>
      <w:numFmt w:val="bullet"/>
      <w:lvlText w:val="o"/>
      <w:lvlJc w:val="left"/>
      <w:pPr>
        <w:ind w:left="3600" w:hanging="360"/>
      </w:pPr>
      <w:rPr>
        <w:rFonts w:ascii="Courier New" w:hAnsi="Courier New" w:hint="default"/>
      </w:rPr>
    </w:lvl>
    <w:lvl w:ilvl="5" w:tplc="BA88AAA2">
      <w:start w:val="1"/>
      <w:numFmt w:val="bullet"/>
      <w:lvlText w:val=""/>
      <w:lvlJc w:val="left"/>
      <w:pPr>
        <w:ind w:left="4320" w:hanging="360"/>
      </w:pPr>
      <w:rPr>
        <w:rFonts w:ascii="Wingdings" w:hAnsi="Wingdings" w:hint="default"/>
      </w:rPr>
    </w:lvl>
    <w:lvl w:ilvl="6" w:tplc="76D8BDBE">
      <w:start w:val="1"/>
      <w:numFmt w:val="bullet"/>
      <w:lvlText w:val=""/>
      <w:lvlJc w:val="left"/>
      <w:pPr>
        <w:ind w:left="5040" w:hanging="360"/>
      </w:pPr>
      <w:rPr>
        <w:rFonts w:ascii="Symbol" w:hAnsi="Symbol" w:hint="default"/>
      </w:rPr>
    </w:lvl>
    <w:lvl w:ilvl="7" w:tplc="B0727310">
      <w:start w:val="1"/>
      <w:numFmt w:val="bullet"/>
      <w:lvlText w:val="o"/>
      <w:lvlJc w:val="left"/>
      <w:pPr>
        <w:ind w:left="5760" w:hanging="360"/>
      </w:pPr>
      <w:rPr>
        <w:rFonts w:ascii="Courier New" w:hAnsi="Courier New" w:hint="default"/>
      </w:rPr>
    </w:lvl>
    <w:lvl w:ilvl="8" w:tplc="9B64C5C0">
      <w:start w:val="1"/>
      <w:numFmt w:val="bullet"/>
      <w:lvlText w:val=""/>
      <w:lvlJc w:val="left"/>
      <w:pPr>
        <w:ind w:left="6480" w:hanging="360"/>
      </w:pPr>
      <w:rPr>
        <w:rFonts w:ascii="Wingdings" w:hAnsi="Wingdings" w:hint="default"/>
      </w:rPr>
    </w:lvl>
  </w:abstractNum>
  <w:abstractNum w:abstractNumId="17" w15:restartNumberingAfterBreak="0">
    <w:nsid w:val="398C015E"/>
    <w:multiLevelType w:val="multilevel"/>
    <w:tmpl w:val="027A66BA"/>
    <w:name w:val="List Dash 4"/>
    <w:lvl w:ilvl="0">
      <w:start w:val="1"/>
      <w:numFmt w:val="decimal"/>
      <w:pStyle w:val="ListNumber2"/>
      <w:lvlText w:val="(%1)"/>
      <w:lvlJc w:val="left"/>
      <w:pPr>
        <w:tabs>
          <w:tab w:val="num" w:pos="1560"/>
        </w:tabs>
        <w:ind w:left="1560" w:hanging="709"/>
      </w:pPr>
      <w:rPr>
        <w:rFonts w:cs="Times New Roman"/>
      </w:rPr>
    </w:lvl>
    <w:lvl w:ilvl="1">
      <w:start w:val="1"/>
      <w:numFmt w:val="lowerLetter"/>
      <w:pStyle w:val="ListNumber2Level2"/>
      <w:lvlText w:val="(%2)"/>
      <w:lvlJc w:val="left"/>
      <w:pPr>
        <w:tabs>
          <w:tab w:val="num" w:pos="2268"/>
        </w:tabs>
        <w:ind w:left="2268" w:hanging="708"/>
      </w:pPr>
      <w:rPr>
        <w:rFonts w:cs="Times New Roman"/>
      </w:rPr>
    </w:lvl>
    <w:lvl w:ilvl="2">
      <w:start w:val="1"/>
      <w:numFmt w:val="bullet"/>
      <w:pStyle w:val="ListNumber2Level3"/>
      <w:lvlText w:val="–"/>
      <w:lvlJc w:val="left"/>
      <w:pPr>
        <w:tabs>
          <w:tab w:val="num" w:pos="2977"/>
        </w:tabs>
        <w:ind w:left="2977" w:hanging="709"/>
      </w:pPr>
      <w:rPr>
        <w:rFonts w:ascii="Times New Roman" w:hAnsi="Times New Roman"/>
      </w:rPr>
    </w:lvl>
    <w:lvl w:ilvl="3">
      <w:start w:val="1"/>
      <w:numFmt w:val="bullet"/>
      <w:pStyle w:val="ListNumber2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421C0FC4"/>
    <w:multiLevelType w:val="hybridMultilevel"/>
    <w:tmpl w:val="B3B4AF3E"/>
    <w:lvl w:ilvl="0" w:tplc="6EE01010">
      <w:start w:val="1"/>
      <w:numFmt w:val="bullet"/>
      <w:lvlText w:val="·"/>
      <w:lvlJc w:val="left"/>
      <w:pPr>
        <w:ind w:left="720" w:hanging="360"/>
      </w:pPr>
      <w:rPr>
        <w:rFonts w:ascii="Symbol" w:hAnsi="Symbol" w:hint="default"/>
      </w:rPr>
    </w:lvl>
    <w:lvl w:ilvl="1" w:tplc="7F740258">
      <w:start w:val="1"/>
      <w:numFmt w:val="bullet"/>
      <w:lvlText w:val="o"/>
      <w:lvlJc w:val="left"/>
      <w:pPr>
        <w:ind w:left="1440" w:hanging="360"/>
      </w:pPr>
      <w:rPr>
        <w:rFonts w:ascii="Symbol" w:hAnsi="Symbol" w:hint="default"/>
      </w:rPr>
    </w:lvl>
    <w:lvl w:ilvl="2" w:tplc="2D6C0D48">
      <w:start w:val="1"/>
      <w:numFmt w:val="bullet"/>
      <w:lvlText w:val=""/>
      <w:lvlJc w:val="left"/>
      <w:pPr>
        <w:ind w:left="2160" w:hanging="360"/>
      </w:pPr>
      <w:rPr>
        <w:rFonts w:ascii="Wingdings" w:hAnsi="Wingdings" w:hint="default"/>
      </w:rPr>
    </w:lvl>
    <w:lvl w:ilvl="3" w:tplc="F1B6527E">
      <w:start w:val="1"/>
      <w:numFmt w:val="bullet"/>
      <w:lvlText w:val=""/>
      <w:lvlJc w:val="left"/>
      <w:pPr>
        <w:ind w:left="2880" w:hanging="360"/>
      </w:pPr>
      <w:rPr>
        <w:rFonts w:ascii="Symbol" w:hAnsi="Symbol" w:hint="default"/>
      </w:rPr>
    </w:lvl>
    <w:lvl w:ilvl="4" w:tplc="10A880DE">
      <w:start w:val="1"/>
      <w:numFmt w:val="bullet"/>
      <w:lvlText w:val="o"/>
      <w:lvlJc w:val="left"/>
      <w:pPr>
        <w:ind w:left="3600" w:hanging="360"/>
      </w:pPr>
      <w:rPr>
        <w:rFonts w:ascii="Courier New" w:hAnsi="Courier New" w:hint="default"/>
      </w:rPr>
    </w:lvl>
    <w:lvl w:ilvl="5" w:tplc="3C48E7E4">
      <w:start w:val="1"/>
      <w:numFmt w:val="bullet"/>
      <w:lvlText w:val=""/>
      <w:lvlJc w:val="left"/>
      <w:pPr>
        <w:ind w:left="4320" w:hanging="360"/>
      </w:pPr>
      <w:rPr>
        <w:rFonts w:ascii="Wingdings" w:hAnsi="Wingdings" w:hint="default"/>
      </w:rPr>
    </w:lvl>
    <w:lvl w:ilvl="6" w:tplc="B2EA43A2">
      <w:start w:val="1"/>
      <w:numFmt w:val="bullet"/>
      <w:lvlText w:val=""/>
      <w:lvlJc w:val="left"/>
      <w:pPr>
        <w:ind w:left="5040" w:hanging="360"/>
      </w:pPr>
      <w:rPr>
        <w:rFonts w:ascii="Symbol" w:hAnsi="Symbol" w:hint="default"/>
      </w:rPr>
    </w:lvl>
    <w:lvl w:ilvl="7" w:tplc="F56E2018">
      <w:start w:val="1"/>
      <w:numFmt w:val="bullet"/>
      <w:lvlText w:val="o"/>
      <w:lvlJc w:val="left"/>
      <w:pPr>
        <w:ind w:left="5760" w:hanging="360"/>
      </w:pPr>
      <w:rPr>
        <w:rFonts w:ascii="Courier New" w:hAnsi="Courier New" w:hint="default"/>
      </w:rPr>
    </w:lvl>
    <w:lvl w:ilvl="8" w:tplc="79F42500">
      <w:start w:val="1"/>
      <w:numFmt w:val="bullet"/>
      <w:lvlText w:val=""/>
      <w:lvlJc w:val="left"/>
      <w:pPr>
        <w:ind w:left="6480" w:hanging="360"/>
      </w:pPr>
      <w:rPr>
        <w:rFonts w:ascii="Wingdings" w:hAnsi="Wingdings" w:hint="default"/>
      </w:r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21"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22"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3" w15:restartNumberingAfterBreak="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24" w15:restartNumberingAfterBreak="0">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25" w15:restartNumberingAfterBreak="0">
    <w:nsid w:val="542A1204"/>
    <w:multiLevelType w:val="multilevel"/>
    <w:tmpl w:val="BC1E8404"/>
    <w:lvl w:ilvl="0">
      <w:start w:val="1"/>
      <w:numFmt w:val="decimal"/>
      <w:pStyle w:val="ListNumber4"/>
      <w:lvlText w:val="(%1)"/>
      <w:lvlJc w:val="left"/>
      <w:pPr>
        <w:tabs>
          <w:tab w:val="num" w:pos="1560"/>
        </w:tabs>
        <w:ind w:left="1560" w:hanging="709"/>
      </w:pPr>
      <w:rPr>
        <w:rFonts w:cs="Times New Roman"/>
      </w:rPr>
    </w:lvl>
    <w:lvl w:ilvl="1">
      <w:start w:val="1"/>
      <w:numFmt w:val="lowerLetter"/>
      <w:pStyle w:val="ListNumber4Level2"/>
      <w:lvlText w:val="(%2)"/>
      <w:lvlJc w:val="left"/>
      <w:pPr>
        <w:tabs>
          <w:tab w:val="num" w:pos="2268"/>
        </w:tabs>
        <w:ind w:left="2268" w:hanging="708"/>
      </w:pPr>
      <w:rPr>
        <w:rFonts w:cs="Times New Roman"/>
      </w:rPr>
    </w:lvl>
    <w:lvl w:ilvl="2">
      <w:start w:val="1"/>
      <w:numFmt w:val="bullet"/>
      <w:pStyle w:val="ListNumber4Level3"/>
      <w:lvlText w:val="–"/>
      <w:lvlJc w:val="left"/>
      <w:pPr>
        <w:tabs>
          <w:tab w:val="num" w:pos="2977"/>
        </w:tabs>
        <w:ind w:left="2977" w:hanging="709"/>
      </w:pPr>
      <w:rPr>
        <w:rFonts w:ascii="Times New Roman" w:hAnsi="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27" w15:restartNumberingAfterBreak="0">
    <w:nsid w:val="5B0B0635"/>
    <w:multiLevelType w:val="singleLevel"/>
    <w:tmpl w:val="017E7CEE"/>
    <w:lvl w:ilvl="0">
      <w:start w:val="1"/>
      <w:numFmt w:val="bullet"/>
      <w:lvlRestart w:val="0"/>
      <w:pStyle w:val="ListBullet4"/>
      <w:lvlText w:val=""/>
      <w:lvlJc w:val="left"/>
      <w:pPr>
        <w:tabs>
          <w:tab w:val="num" w:pos="1134"/>
        </w:tabs>
        <w:ind w:left="1134" w:hanging="283"/>
      </w:pPr>
      <w:rPr>
        <w:rFonts w:ascii="Symbol" w:hAnsi="Symbol" w:hint="default"/>
      </w:rPr>
    </w:lvl>
  </w:abstractNum>
  <w:abstractNum w:abstractNumId="2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3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1" w15:restartNumberingAfterBreak="0">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32"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34" w15:restartNumberingAfterBreak="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36" w15:restartNumberingAfterBreak="0">
    <w:nsid w:val="76BC5C11"/>
    <w:multiLevelType w:val="singleLevel"/>
    <w:tmpl w:val="E44CE82E"/>
    <w:lvl w:ilvl="0">
      <w:start w:val="1"/>
      <w:numFmt w:val="bullet"/>
      <w:pStyle w:val="ListBullet3"/>
      <w:lvlText w:val=""/>
      <w:lvlJc w:val="left"/>
      <w:pPr>
        <w:tabs>
          <w:tab w:val="num" w:pos="1134"/>
        </w:tabs>
        <w:ind w:left="1134" w:hanging="283"/>
      </w:pPr>
      <w:rPr>
        <w:rFonts w:ascii="Symbol" w:hAnsi="Symbol" w:hint="default"/>
      </w:rPr>
    </w:lvl>
  </w:abstractNum>
  <w:abstractNum w:abstractNumId="37"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8"/>
  </w:num>
  <w:num w:numId="2">
    <w:abstractNumId w:val="16"/>
  </w:num>
  <w:num w:numId="3">
    <w:abstractNumId w:val="4"/>
  </w:num>
  <w:num w:numId="4">
    <w:abstractNumId w:val="3"/>
  </w:num>
  <w:num w:numId="5">
    <w:abstractNumId w:val="7"/>
  </w:num>
  <w:num w:numId="6">
    <w:abstractNumId w:val="13"/>
  </w:num>
  <w:num w:numId="7">
    <w:abstractNumId w:val="14"/>
  </w:num>
  <w:num w:numId="8">
    <w:abstractNumId w:val="0"/>
  </w:num>
  <w:num w:numId="9">
    <w:abstractNumId w:val="27"/>
  </w:num>
  <w:num w:numId="10">
    <w:abstractNumId w:val="11"/>
  </w:num>
  <w:num w:numId="11">
    <w:abstractNumId w:val="24"/>
  </w:num>
  <w:num w:numId="12">
    <w:abstractNumId w:val="23"/>
  </w:num>
  <w:num w:numId="13">
    <w:abstractNumId w:val="34"/>
  </w:num>
  <w:num w:numId="14">
    <w:abstractNumId w:val="31"/>
  </w:num>
  <w:num w:numId="15">
    <w:abstractNumId w:val="35"/>
  </w:num>
  <w:num w:numId="16">
    <w:abstractNumId w:val="36"/>
  </w:num>
  <w:num w:numId="17">
    <w:abstractNumId w:val="1"/>
  </w:num>
  <w:num w:numId="18">
    <w:abstractNumId w:val="15"/>
  </w:num>
  <w:num w:numId="19">
    <w:abstractNumId w:val="2"/>
  </w:num>
  <w:num w:numId="20">
    <w:abstractNumId w:val="17"/>
  </w:num>
  <w:num w:numId="21">
    <w:abstractNumId w:val="12"/>
  </w:num>
  <w:num w:numId="22">
    <w:abstractNumId w:val="25"/>
  </w:num>
  <w:num w:numId="23">
    <w:abstractNumId w:val="10"/>
  </w:num>
  <w:num w:numId="24">
    <w:abstractNumId w:val="30"/>
  </w:num>
  <w:num w:numId="25">
    <w:abstractNumId w:val="19"/>
  </w:num>
  <w:num w:numId="26">
    <w:abstractNumId w:val="33"/>
  </w:num>
  <w:num w:numId="27">
    <w:abstractNumId w:val="9"/>
  </w:num>
  <w:num w:numId="28">
    <w:abstractNumId w:val="20"/>
  </w:num>
  <w:num w:numId="29">
    <w:abstractNumId w:val="21"/>
  </w:num>
  <w:num w:numId="30">
    <w:abstractNumId w:val="6"/>
  </w:num>
  <w:num w:numId="31">
    <w:abstractNumId w:val="32"/>
  </w:num>
  <w:num w:numId="32">
    <w:abstractNumId w:val="5"/>
  </w:num>
  <w:num w:numId="33">
    <w:abstractNumId w:val="22"/>
  </w:num>
  <w:num w:numId="34">
    <w:abstractNumId w:val="28"/>
  </w:num>
  <w:num w:numId="35">
    <w:abstractNumId w:val="29"/>
  </w:num>
  <w:num w:numId="36">
    <w:abstractNumId w:val="8"/>
  </w:num>
  <w:num w:numId="37">
    <w:abstractNumId w:val="26"/>
  </w:num>
  <w:num w:numId="38">
    <w:abstractNumId w:val="3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5-03-28 13:52:00"/>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39958802-1B4B-4335-A246-89BBB9CC8760"/>
    <w:docVar w:name="LW_COVERPAGE_TYPE" w:val="1"/>
    <w:docVar w:name="LW_CreatedUtc" w:val="2025-02-13T16:18:59.5316724Z"/>
    <w:docVar w:name="LW_CROSSREFERENCE" w:val="{SWD(2025) 58 final}"/>
    <w:docVar w:name="LW_DocType" w:val="COM"/>
    <w:docVar w:name="LW_EMISSION" w:val="26.2.2025"/>
    <w:docVar w:name="LW_EMISSION_ISODATE" w:val="2025-02-26"/>
    <w:docVar w:name="LW_EMISSION_LOCATION" w:val="BRX"/>
    <w:docVar w:name="LW_EMISSION_PREFIX" w:val="V Bruselu dne "/>
    <w:docVar w:name="LW_EMISSION_SUFFIX" w:val=" "/>
    <w:docVar w:name="LW_ID_DOCMODEL" w:val="SJ-023"/>
    <w:docVar w:name="LW_ID_DOCSIGNATURE" w:val="SJ-023"/>
    <w:docVar w:name="LW_ID_DOCSTRUCTURE" w:val="COM/PL/ORG"/>
    <w:docVar w:name="LW_ID_DOCTYPE" w:val="SJ-023"/>
    <w:docVar w:name="LW_ID_STATUT" w:val="SJ-023"/>
    <w:docVar w:name="LW_INSERT_EXP.MOTIFS.NEW" w:val="1"/>
    <w:docVar w:name="LW_INTERETEEE.CP" w:val="(Text s významem pro EHP)"/>
    <w:docVar w:name="LW_LANGUE" w:val="CS"/>
    <w:docVar w:name="LW_LEVEL_OF_SENSITIVITY" w:val="Standard treatment"/>
    <w:docVar w:name="LW_NOM.INST" w:val="EVROPSKÁ KOMISE"/>
    <w:docVar w:name="LW_NOM.INST_JOINTDOC" w:val="&lt;EMPTY&gt;"/>
    <w:docVar w:name="LW_PART_NBR" w:val="1"/>
    <w:docVar w:name="LW_PART_NBR_TOTAL" w:val="1"/>
    <w:docVar w:name="LW_REF.II.NEW.CP" w:val="COD"/>
    <w:docVar w:name="LW_REF.II.NEW.CP_NUMBER" w:val="0039"/>
    <w:docVar w:name="LW_REF.II.NEW.CP_YEAR" w:val="2025"/>
    <w:docVar w:name="LW_REF.INST.NEW" w:val="COM"/>
    <w:docVar w:name="LW_REF.INST.NEW_ADOPTED" w:val="final"/>
    <w:docVar w:name="LW_REF.INST.NEW_TEXT" w:val="(2025) 87"/>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Návrh"/>
    <w:docVar w:name="LW_SUPERTITRE" w:val="&lt;UNUSED&gt;"/>
    <w:docVar w:name="LW_TITRE.OBJ.CP" w:val="kterým se m\u283?ní na\u345?ízení (EU) 2023/956, pokud jde o zjednodu\u353?ení a posílení mechanismu uhlíkového vyrovnání na hranicích"/>
    <w:docVar w:name="LW_TYPE.DOC.CP" w:val="NA\u344?ÍZENÍ EVROPSKÉHO PARLAMENTU A RADY,"/>
    <w:docVar w:name="LwApiVersions" w:val="LW4CoDe 1.24.5.0; LW 9.0, Build 20240221"/>
  </w:docVars>
  <w:rsids>
    <w:rsidRoot w:val="00FA5543"/>
    <w:rsid w:val="000002D2"/>
    <w:rsid w:val="00000CE3"/>
    <w:rsid w:val="00000E2B"/>
    <w:rsid w:val="00001490"/>
    <w:rsid w:val="000014C6"/>
    <w:rsid w:val="00001717"/>
    <w:rsid w:val="00001777"/>
    <w:rsid w:val="000018AF"/>
    <w:rsid w:val="000029D9"/>
    <w:rsid w:val="00002C13"/>
    <w:rsid w:val="00002FD5"/>
    <w:rsid w:val="000036BC"/>
    <w:rsid w:val="00004037"/>
    <w:rsid w:val="000040AB"/>
    <w:rsid w:val="000040B4"/>
    <w:rsid w:val="0000443C"/>
    <w:rsid w:val="000047CD"/>
    <w:rsid w:val="00004B91"/>
    <w:rsid w:val="00005A01"/>
    <w:rsid w:val="00006041"/>
    <w:rsid w:val="0000629C"/>
    <w:rsid w:val="000062DB"/>
    <w:rsid w:val="000064E6"/>
    <w:rsid w:val="0000706F"/>
    <w:rsid w:val="000074DC"/>
    <w:rsid w:val="0000753A"/>
    <w:rsid w:val="00007578"/>
    <w:rsid w:val="0000764C"/>
    <w:rsid w:val="00007814"/>
    <w:rsid w:val="00007841"/>
    <w:rsid w:val="00007A90"/>
    <w:rsid w:val="00007E30"/>
    <w:rsid w:val="000105CA"/>
    <w:rsid w:val="0001071D"/>
    <w:rsid w:val="00010C46"/>
    <w:rsid w:val="0001141A"/>
    <w:rsid w:val="0001142B"/>
    <w:rsid w:val="00011A22"/>
    <w:rsid w:val="00011C08"/>
    <w:rsid w:val="0001203C"/>
    <w:rsid w:val="000121A1"/>
    <w:rsid w:val="00012777"/>
    <w:rsid w:val="00012C1F"/>
    <w:rsid w:val="000133F0"/>
    <w:rsid w:val="00013423"/>
    <w:rsid w:val="00013912"/>
    <w:rsid w:val="0001496D"/>
    <w:rsid w:val="00014E6A"/>
    <w:rsid w:val="00014F5C"/>
    <w:rsid w:val="00014FA9"/>
    <w:rsid w:val="0001515E"/>
    <w:rsid w:val="0001564C"/>
    <w:rsid w:val="00015FAA"/>
    <w:rsid w:val="000167E5"/>
    <w:rsid w:val="00016CA1"/>
    <w:rsid w:val="00017680"/>
    <w:rsid w:val="00017DB3"/>
    <w:rsid w:val="000208A3"/>
    <w:rsid w:val="00020D34"/>
    <w:rsid w:val="00021625"/>
    <w:rsid w:val="000223C1"/>
    <w:rsid w:val="000231D1"/>
    <w:rsid w:val="00023214"/>
    <w:rsid w:val="00023565"/>
    <w:rsid w:val="00023B0B"/>
    <w:rsid w:val="00023D01"/>
    <w:rsid w:val="00023FC3"/>
    <w:rsid w:val="00024136"/>
    <w:rsid w:val="00024272"/>
    <w:rsid w:val="000247EA"/>
    <w:rsid w:val="00024C68"/>
    <w:rsid w:val="00024DBD"/>
    <w:rsid w:val="00024DC2"/>
    <w:rsid w:val="00025AE0"/>
    <w:rsid w:val="00026B1F"/>
    <w:rsid w:val="000270B6"/>
    <w:rsid w:val="000274AF"/>
    <w:rsid w:val="000304A8"/>
    <w:rsid w:val="00030602"/>
    <w:rsid w:val="000307C3"/>
    <w:rsid w:val="0003086E"/>
    <w:rsid w:val="0003088B"/>
    <w:rsid w:val="00031291"/>
    <w:rsid w:val="000312D5"/>
    <w:rsid w:val="000314B1"/>
    <w:rsid w:val="00031501"/>
    <w:rsid w:val="0003153F"/>
    <w:rsid w:val="00031755"/>
    <w:rsid w:val="00031A9A"/>
    <w:rsid w:val="00032A71"/>
    <w:rsid w:val="00033DE2"/>
    <w:rsid w:val="00033FC1"/>
    <w:rsid w:val="000342CD"/>
    <w:rsid w:val="000342DB"/>
    <w:rsid w:val="0003542A"/>
    <w:rsid w:val="00035475"/>
    <w:rsid w:val="000355E2"/>
    <w:rsid w:val="000357C8"/>
    <w:rsid w:val="00035B48"/>
    <w:rsid w:val="00035EEC"/>
    <w:rsid w:val="0003632B"/>
    <w:rsid w:val="00036600"/>
    <w:rsid w:val="0003685A"/>
    <w:rsid w:val="00037269"/>
    <w:rsid w:val="00037EFF"/>
    <w:rsid w:val="00041125"/>
    <w:rsid w:val="00041406"/>
    <w:rsid w:val="00041947"/>
    <w:rsid w:val="000419E7"/>
    <w:rsid w:val="00041B21"/>
    <w:rsid w:val="00041D01"/>
    <w:rsid w:val="000424E8"/>
    <w:rsid w:val="0004258D"/>
    <w:rsid w:val="00042690"/>
    <w:rsid w:val="00042C12"/>
    <w:rsid w:val="00042C1F"/>
    <w:rsid w:val="00043492"/>
    <w:rsid w:val="00043926"/>
    <w:rsid w:val="00043CDE"/>
    <w:rsid w:val="00043CE5"/>
    <w:rsid w:val="00043F70"/>
    <w:rsid w:val="0004423F"/>
    <w:rsid w:val="00044258"/>
    <w:rsid w:val="00044632"/>
    <w:rsid w:val="00044723"/>
    <w:rsid w:val="00044785"/>
    <w:rsid w:val="0004480A"/>
    <w:rsid w:val="0004483A"/>
    <w:rsid w:val="00044E5E"/>
    <w:rsid w:val="0004525A"/>
    <w:rsid w:val="00045351"/>
    <w:rsid w:val="000453FD"/>
    <w:rsid w:val="00045692"/>
    <w:rsid w:val="00045814"/>
    <w:rsid w:val="000458EE"/>
    <w:rsid w:val="000464FB"/>
    <w:rsid w:val="00046E91"/>
    <w:rsid w:val="0004724F"/>
    <w:rsid w:val="00047842"/>
    <w:rsid w:val="00047927"/>
    <w:rsid w:val="00047FD3"/>
    <w:rsid w:val="00050155"/>
    <w:rsid w:val="00050DE7"/>
    <w:rsid w:val="00051499"/>
    <w:rsid w:val="000515A6"/>
    <w:rsid w:val="000518EC"/>
    <w:rsid w:val="00051930"/>
    <w:rsid w:val="00051B46"/>
    <w:rsid w:val="00051DAC"/>
    <w:rsid w:val="00051FDA"/>
    <w:rsid w:val="0005302A"/>
    <w:rsid w:val="0005364F"/>
    <w:rsid w:val="00053919"/>
    <w:rsid w:val="0005472D"/>
    <w:rsid w:val="0005517A"/>
    <w:rsid w:val="000551A2"/>
    <w:rsid w:val="0005578D"/>
    <w:rsid w:val="00055B45"/>
    <w:rsid w:val="00055CFD"/>
    <w:rsid w:val="000568E9"/>
    <w:rsid w:val="00056950"/>
    <w:rsid w:val="000577D0"/>
    <w:rsid w:val="00057F9C"/>
    <w:rsid w:val="000601DD"/>
    <w:rsid w:val="00060250"/>
    <w:rsid w:val="000609C7"/>
    <w:rsid w:val="00061664"/>
    <w:rsid w:val="00061B9B"/>
    <w:rsid w:val="0006208E"/>
    <w:rsid w:val="000629D7"/>
    <w:rsid w:val="00062ADF"/>
    <w:rsid w:val="00063561"/>
    <w:rsid w:val="0006381A"/>
    <w:rsid w:val="000639FA"/>
    <w:rsid w:val="00063B4A"/>
    <w:rsid w:val="0006483A"/>
    <w:rsid w:val="00064CF6"/>
    <w:rsid w:val="00064ED4"/>
    <w:rsid w:val="000653D0"/>
    <w:rsid w:val="00065A01"/>
    <w:rsid w:val="00065AEC"/>
    <w:rsid w:val="00065E62"/>
    <w:rsid w:val="000661B9"/>
    <w:rsid w:val="00066644"/>
    <w:rsid w:val="00066744"/>
    <w:rsid w:val="00066EBC"/>
    <w:rsid w:val="000673FD"/>
    <w:rsid w:val="000678BA"/>
    <w:rsid w:val="00067BF0"/>
    <w:rsid w:val="0007054B"/>
    <w:rsid w:val="00070694"/>
    <w:rsid w:val="00070753"/>
    <w:rsid w:val="00070840"/>
    <w:rsid w:val="00071177"/>
    <w:rsid w:val="000724AC"/>
    <w:rsid w:val="0007281F"/>
    <w:rsid w:val="00072B00"/>
    <w:rsid w:val="00072BB9"/>
    <w:rsid w:val="00072F22"/>
    <w:rsid w:val="00073581"/>
    <w:rsid w:val="000735BB"/>
    <w:rsid w:val="00073C29"/>
    <w:rsid w:val="00073DA8"/>
    <w:rsid w:val="00074240"/>
    <w:rsid w:val="000742AE"/>
    <w:rsid w:val="00074B43"/>
    <w:rsid w:val="00075523"/>
    <w:rsid w:val="000759C2"/>
    <w:rsid w:val="00075D23"/>
    <w:rsid w:val="00076362"/>
    <w:rsid w:val="00076E17"/>
    <w:rsid w:val="0007705C"/>
    <w:rsid w:val="00080D20"/>
    <w:rsid w:val="00080E44"/>
    <w:rsid w:val="00081332"/>
    <w:rsid w:val="00081374"/>
    <w:rsid w:val="00081E85"/>
    <w:rsid w:val="00081FDA"/>
    <w:rsid w:val="000826C2"/>
    <w:rsid w:val="000827BF"/>
    <w:rsid w:val="0008297B"/>
    <w:rsid w:val="00083A01"/>
    <w:rsid w:val="000841DF"/>
    <w:rsid w:val="000847E0"/>
    <w:rsid w:val="00084888"/>
    <w:rsid w:val="00085164"/>
    <w:rsid w:val="0008521B"/>
    <w:rsid w:val="0008559C"/>
    <w:rsid w:val="000855E3"/>
    <w:rsid w:val="00085730"/>
    <w:rsid w:val="00085D6F"/>
    <w:rsid w:val="00085FE8"/>
    <w:rsid w:val="00086357"/>
    <w:rsid w:val="000869AC"/>
    <w:rsid w:val="000871B4"/>
    <w:rsid w:val="00087226"/>
    <w:rsid w:val="00087377"/>
    <w:rsid w:val="000875BF"/>
    <w:rsid w:val="000879B7"/>
    <w:rsid w:val="0009036B"/>
    <w:rsid w:val="00090637"/>
    <w:rsid w:val="0009072E"/>
    <w:rsid w:val="000908E1"/>
    <w:rsid w:val="00091234"/>
    <w:rsid w:val="0009190D"/>
    <w:rsid w:val="00091BF3"/>
    <w:rsid w:val="00091E62"/>
    <w:rsid w:val="00092128"/>
    <w:rsid w:val="0009297F"/>
    <w:rsid w:val="00092FFB"/>
    <w:rsid w:val="0009380D"/>
    <w:rsid w:val="00093AE7"/>
    <w:rsid w:val="00093B4C"/>
    <w:rsid w:val="00093EF0"/>
    <w:rsid w:val="00094490"/>
    <w:rsid w:val="000945BC"/>
    <w:rsid w:val="00094728"/>
    <w:rsid w:val="000950F7"/>
    <w:rsid w:val="00095723"/>
    <w:rsid w:val="00095740"/>
    <w:rsid w:val="00095C47"/>
    <w:rsid w:val="00095ECF"/>
    <w:rsid w:val="000966C7"/>
    <w:rsid w:val="000969AC"/>
    <w:rsid w:val="00096B76"/>
    <w:rsid w:val="00097450"/>
    <w:rsid w:val="000976DB"/>
    <w:rsid w:val="000978E4"/>
    <w:rsid w:val="00097C96"/>
    <w:rsid w:val="00097EAA"/>
    <w:rsid w:val="000A0037"/>
    <w:rsid w:val="000A01E6"/>
    <w:rsid w:val="000A021D"/>
    <w:rsid w:val="000A0824"/>
    <w:rsid w:val="000A0989"/>
    <w:rsid w:val="000A0DE6"/>
    <w:rsid w:val="000A292C"/>
    <w:rsid w:val="000A2BD3"/>
    <w:rsid w:val="000A3279"/>
    <w:rsid w:val="000A3604"/>
    <w:rsid w:val="000A3A16"/>
    <w:rsid w:val="000A3BFA"/>
    <w:rsid w:val="000A484D"/>
    <w:rsid w:val="000A4866"/>
    <w:rsid w:val="000A4A69"/>
    <w:rsid w:val="000A5643"/>
    <w:rsid w:val="000A6A13"/>
    <w:rsid w:val="000A7111"/>
    <w:rsid w:val="000B00AD"/>
    <w:rsid w:val="000B01AB"/>
    <w:rsid w:val="000B05C1"/>
    <w:rsid w:val="000B05D5"/>
    <w:rsid w:val="000B168F"/>
    <w:rsid w:val="000B169B"/>
    <w:rsid w:val="000B1D36"/>
    <w:rsid w:val="000B225D"/>
    <w:rsid w:val="000B2721"/>
    <w:rsid w:val="000B320E"/>
    <w:rsid w:val="000B35C6"/>
    <w:rsid w:val="000B39FA"/>
    <w:rsid w:val="000B3CFB"/>
    <w:rsid w:val="000B40E6"/>
    <w:rsid w:val="000B43FC"/>
    <w:rsid w:val="000B453A"/>
    <w:rsid w:val="000B4701"/>
    <w:rsid w:val="000B4974"/>
    <w:rsid w:val="000B4AE0"/>
    <w:rsid w:val="000B522E"/>
    <w:rsid w:val="000B5B84"/>
    <w:rsid w:val="000B6971"/>
    <w:rsid w:val="000B6BCB"/>
    <w:rsid w:val="000B77C2"/>
    <w:rsid w:val="000C0022"/>
    <w:rsid w:val="000C01CF"/>
    <w:rsid w:val="000C02AB"/>
    <w:rsid w:val="000C0965"/>
    <w:rsid w:val="000C0C35"/>
    <w:rsid w:val="000C11DD"/>
    <w:rsid w:val="000C1995"/>
    <w:rsid w:val="000C1A7B"/>
    <w:rsid w:val="000C1F3A"/>
    <w:rsid w:val="000C2319"/>
    <w:rsid w:val="000C23EB"/>
    <w:rsid w:val="000C29ED"/>
    <w:rsid w:val="000C335B"/>
    <w:rsid w:val="000C35C3"/>
    <w:rsid w:val="000C405A"/>
    <w:rsid w:val="000C4102"/>
    <w:rsid w:val="000C428F"/>
    <w:rsid w:val="000C4D5F"/>
    <w:rsid w:val="000C5319"/>
    <w:rsid w:val="000C5D2D"/>
    <w:rsid w:val="000C5DCA"/>
    <w:rsid w:val="000C61B7"/>
    <w:rsid w:val="000C6C11"/>
    <w:rsid w:val="000C7264"/>
    <w:rsid w:val="000C7505"/>
    <w:rsid w:val="000C75FB"/>
    <w:rsid w:val="000C7781"/>
    <w:rsid w:val="000C7ED2"/>
    <w:rsid w:val="000C7F97"/>
    <w:rsid w:val="000D00A2"/>
    <w:rsid w:val="000D00C8"/>
    <w:rsid w:val="000D027A"/>
    <w:rsid w:val="000D05B1"/>
    <w:rsid w:val="000D0F40"/>
    <w:rsid w:val="000D18A1"/>
    <w:rsid w:val="000D3097"/>
    <w:rsid w:val="000D3170"/>
    <w:rsid w:val="000D3332"/>
    <w:rsid w:val="000D3EC4"/>
    <w:rsid w:val="000D40A4"/>
    <w:rsid w:val="000D426B"/>
    <w:rsid w:val="000D4AB6"/>
    <w:rsid w:val="000D52E0"/>
    <w:rsid w:val="000D5400"/>
    <w:rsid w:val="000D592D"/>
    <w:rsid w:val="000D5FB9"/>
    <w:rsid w:val="000D6017"/>
    <w:rsid w:val="000D6981"/>
    <w:rsid w:val="000D70F6"/>
    <w:rsid w:val="000D73E3"/>
    <w:rsid w:val="000D7583"/>
    <w:rsid w:val="000D7865"/>
    <w:rsid w:val="000D7A5C"/>
    <w:rsid w:val="000D7E4B"/>
    <w:rsid w:val="000D7E64"/>
    <w:rsid w:val="000E04C4"/>
    <w:rsid w:val="000E06D3"/>
    <w:rsid w:val="000E07AF"/>
    <w:rsid w:val="000E07C7"/>
    <w:rsid w:val="000E09D8"/>
    <w:rsid w:val="000E0ECB"/>
    <w:rsid w:val="000E1705"/>
    <w:rsid w:val="000E1922"/>
    <w:rsid w:val="000E1CEB"/>
    <w:rsid w:val="000E1DF6"/>
    <w:rsid w:val="000E2018"/>
    <w:rsid w:val="000E201D"/>
    <w:rsid w:val="000E20C5"/>
    <w:rsid w:val="000E274D"/>
    <w:rsid w:val="000E279F"/>
    <w:rsid w:val="000E2892"/>
    <w:rsid w:val="000E3179"/>
    <w:rsid w:val="000E4E0B"/>
    <w:rsid w:val="000E62BE"/>
    <w:rsid w:val="000E634F"/>
    <w:rsid w:val="000E6771"/>
    <w:rsid w:val="000E6B89"/>
    <w:rsid w:val="000E70DF"/>
    <w:rsid w:val="000E7723"/>
    <w:rsid w:val="000E7A07"/>
    <w:rsid w:val="000E7A82"/>
    <w:rsid w:val="000E7B22"/>
    <w:rsid w:val="000F0C98"/>
    <w:rsid w:val="000F11D9"/>
    <w:rsid w:val="000F1797"/>
    <w:rsid w:val="000F17CB"/>
    <w:rsid w:val="000F2AE7"/>
    <w:rsid w:val="000F2D5F"/>
    <w:rsid w:val="000F39B5"/>
    <w:rsid w:val="000F4103"/>
    <w:rsid w:val="000F4668"/>
    <w:rsid w:val="000F46C5"/>
    <w:rsid w:val="000F46FA"/>
    <w:rsid w:val="000F4884"/>
    <w:rsid w:val="000F4A6A"/>
    <w:rsid w:val="000F4ACF"/>
    <w:rsid w:val="000F4B65"/>
    <w:rsid w:val="000F4F01"/>
    <w:rsid w:val="000F5D9C"/>
    <w:rsid w:val="000F68E7"/>
    <w:rsid w:val="000F69AA"/>
    <w:rsid w:val="000F6DE9"/>
    <w:rsid w:val="000F6DF8"/>
    <w:rsid w:val="000F6EA2"/>
    <w:rsid w:val="000F7C43"/>
    <w:rsid w:val="00100A19"/>
    <w:rsid w:val="00100E81"/>
    <w:rsid w:val="001013B7"/>
    <w:rsid w:val="001016FE"/>
    <w:rsid w:val="001017A4"/>
    <w:rsid w:val="00101EB5"/>
    <w:rsid w:val="0010209A"/>
    <w:rsid w:val="001021E4"/>
    <w:rsid w:val="00102266"/>
    <w:rsid w:val="0010229F"/>
    <w:rsid w:val="001022AC"/>
    <w:rsid w:val="00102491"/>
    <w:rsid w:val="0010276F"/>
    <w:rsid w:val="00102C83"/>
    <w:rsid w:val="001031B5"/>
    <w:rsid w:val="00103512"/>
    <w:rsid w:val="00103818"/>
    <w:rsid w:val="00103ECB"/>
    <w:rsid w:val="001051EA"/>
    <w:rsid w:val="001065F5"/>
    <w:rsid w:val="0010680F"/>
    <w:rsid w:val="00106DA6"/>
    <w:rsid w:val="00106E20"/>
    <w:rsid w:val="00106E82"/>
    <w:rsid w:val="0010737B"/>
    <w:rsid w:val="0010785F"/>
    <w:rsid w:val="0010788D"/>
    <w:rsid w:val="001100BB"/>
    <w:rsid w:val="001103C4"/>
    <w:rsid w:val="001104C7"/>
    <w:rsid w:val="00110BBB"/>
    <w:rsid w:val="00110DB1"/>
    <w:rsid w:val="001111EE"/>
    <w:rsid w:val="00111945"/>
    <w:rsid w:val="00111DA3"/>
    <w:rsid w:val="001120FA"/>
    <w:rsid w:val="00112200"/>
    <w:rsid w:val="001123AA"/>
    <w:rsid w:val="001123AD"/>
    <w:rsid w:val="00112C40"/>
    <w:rsid w:val="001135EF"/>
    <w:rsid w:val="00113A9F"/>
    <w:rsid w:val="00113B43"/>
    <w:rsid w:val="00114333"/>
    <w:rsid w:val="00114443"/>
    <w:rsid w:val="00114878"/>
    <w:rsid w:val="00114ACF"/>
    <w:rsid w:val="00114F8D"/>
    <w:rsid w:val="00115022"/>
    <w:rsid w:val="0011563D"/>
    <w:rsid w:val="0011568A"/>
    <w:rsid w:val="001157B3"/>
    <w:rsid w:val="00115C96"/>
    <w:rsid w:val="0011632F"/>
    <w:rsid w:val="001165D9"/>
    <w:rsid w:val="00116EE6"/>
    <w:rsid w:val="001170B6"/>
    <w:rsid w:val="001173DA"/>
    <w:rsid w:val="001177D3"/>
    <w:rsid w:val="00117F31"/>
    <w:rsid w:val="00120360"/>
    <w:rsid w:val="0012064B"/>
    <w:rsid w:val="00120CF4"/>
    <w:rsid w:val="00121236"/>
    <w:rsid w:val="0012159F"/>
    <w:rsid w:val="00121895"/>
    <w:rsid w:val="00121CEF"/>
    <w:rsid w:val="00121DF2"/>
    <w:rsid w:val="00121E98"/>
    <w:rsid w:val="0012245D"/>
    <w:rsid w:val="00122FDB"/>
    <w:rsid w:val="001232C6"/>
    <w:rsid w:val="001238A1"/>
    <w:rsid w:val="001238EF"/>
    <w:rsid w:val="00123924"/>
    <w:rsid w:val="00123D1C"/>
    <w:rsid w:val="00123FF3"/>
    <w:rsid w:val="00124010"/>
    <w:rsid w:val="0012493D"/>
    <w:rsid w:val="00125229"/>
    <w:rsid w:val="0012542B"/>
    <w:rsid w:val="0012613D"/>
    <w:rsid w:val="001263E1"/>
    <w:rsid w:val="00126623"/>
    <w:rsid w:val="00126996"/>
    <w:rsid w:val="00127621"/>
    <w:rsid w:val="0012799D"/>
    <w:rsid w:val="001300C5"/>
    <w:rsid w:val="001300C6"/>
    <w:rsid w:val="001304AD"/>
    <w:rsid w:val="0013099B"/>
    <w:rsid w:val="00130D76"/>
    <w:rsid w:val="00131CBD"/>
    <w:rsid w:val="00132940"/>
    <w:rsid w:val="00132B34"/>
    <w:rsid w:val="00132D50"/>
    <w:rsid w:val="00132DDA"/>
    <w:rsid w:val="00132E2C"/>
    <w:rsid w:val="00132EF8"/>
    <w:rsid w:val="00133202"/>
    <w:rsid w:val="001334D0"/>
    <w:rsid w:val="0013384D"/>
    <w:rsid w:val="001338E8"/>
    <w:rsid w:val="001340E1"/>
    <w:rsid w:val="0013425D"/>
    <w:rsid w:val="00134819"/>
    <w:rsid w:val="00134E0D"/>
    <w:rsid w:val="00134E12"/>
    <w:rsid w:val="00134FBA"/>
    <w:rsid w:val="00135942"/>
    <w:rsid w:val="001359C2"/>
    <w:rsid w:val="001359EF"/>
    <w:rsid w:val="0013672A"/>
    <w:rsid w:val="00137233"/>
    <w:rsid w:val="0014065C"/>
    <w:rsid w:val="001410B5"/>
    <w:rsid w:val="00141511"/>
    <w:rsid w:val="001419CF"/>
    <w:rsid w:val="00141B31"/>
    <w:rsid w:val="00141C81"/>
    <w:rsid w:val="00141C8A"/>
    <w:rsid w:val="00141D56"/>
    <w:rsid w:val="00141E71"/>
    <w:rsid w:val="00142078"/>
    <w:rsid w:val="001423AB"/>
    <w:rsid w:val="00142FAE"/>
    <w:rsid w:val="0014319B"/>
    <w:rsid w:val="00143719"/>
    <w:rsid w:val="00143C87"/>
    <w:rsid w:val="00143F52"/>
    <w:rsid w:val="00144A0F"/>
    <w:rsid w:val="00145582"/>
    <w:rsid w:val="001459B0"/>
    <w:rsid w:val="00145C3A"/>
    <w:rsid w:val="00145F0C"/>
    <w:rsid w:val="00145F4D"/>
    <w:rsid w:val="00146527"/>
    <w:rsid w:val="001467AC"/>
    <w:rsid w:val="001467E7"/>
    <w:rsid w:val="00146881"/>
    <w:rsid w:val="00146885"/>
    <w:rsid w:val="0014694E"/>
    <w:rsid w:val="00147283"/>
    <w:rsid w:val="00147878"/>
    <w:rsid w:val="0014796E"/>
    <w:rsid w:val="00147D2D"/>
    <w:rsid w:val="00147EBF"/>
    <w:rsid w:val="001503FF"/>
    <w:rsid w:val="00150663"/>
    <w:rsid w:val="00150A3A"/>
    <w:rsid w:val="00150FA7"/>
    <w:rsid w:val="0015135A"/>
    <w:rsid w:val="0015137C"/>
    <w:rsid w:val="00151A03"/>
    <w:rsid w:val="00152217"/>
    <w:rsid w:val="00152331"/>
    <w:rsid w:val="001524D2"/>
    <w:rsid w:val="0015292B"/>
    <w:rsid w:val="00152AAF"/>
    <w:rsid w:val="00152DD9"/>
    <w:rsid w:val="00153040"/>
    <w:rsid w:val="00155180"/>
    <w:rsid w:val="00155361"/>
    <w:rsid w:val="00155B54"/>
    <w:rsid w:val="00155B68"/>
    <w:rsid w:val="00155DEB"/>
    <w:rsid w:val="00155FF0"/>
    <w:rsid w:val="00156452"/>
    <w:rsid w:val="00156935"/>
    <w:rsid w:val="00157227"/>
    <w:rsid w:val="001574A1"/>
    <w:rsid w:val="00157EBF"/>
    <w:rsid w:val="0016068E"/>
    <w:rsid w:val="00160A0F"/>
    <w:rsid w:val="00161325"/>
    <w:rsid w:val="00161676"/>
    <w:rsid w:val="001616AE"/>
    <w:rsid w:val="00161E71"/>
    <w:rsid w:val="0016202E"/>
    <w:rsid w:val="00162F86"/>
    <w:rsid w:val="001637C2"/>
    <w:rsid w:val="00164D44"/>
    <w:rsid w:val="00164F09"/>
    <w:rsid w:val="001650A3"/>
    <w:rsid w:val="001651F8"/>
    <w:rsid w:val="001657CA"/>
    <w:rsid w:val="00166023"/>
    <w:rsid w:val="0016614F"/>
    <w:rsid w:val="00166789"/>
    <w:rsid w:val="00166BE1"/>
    <w:rsid w:val="00167109"/>
    <w:rsid w:val="001672DA"/>
    <w:rsid w:val="0016798A"/>
    <w:rsid w:val="00167C8C"/>
    <w:rsid w:val="00167E1E"/>
    <w:rsid w:val="00170207"/>
    <w:rsid w:val="00170236"/>
    <w:rsid w:val="001711E5"/>
    <w:rsid w:val="001712B2"/>
    <w:rsid w:val="0017140F"/>
    <w:rsid w:val="00171ACB"/>
    <w:rsid w:val="00172401"/>
    <w:rsid w:val="001729EE"/>
    <w:rsid w:val="00172B58"/>
    <w:rsid w:val="00172D57"/>
    <w:rsid w:val="001730AF"/>
    <w:rsid w:val="001731F9"/>
    <w:rsid w:val="00173291"/>
    <w:rsid w:val="001733EC"/>
    <w:rsid w:val="001734BE"/>
    <w:rsid w:val="001734E5"/>
    <w:rsid w:val="0017376C"/>
    <w:rsid w:val="00173BA3"/>
    <w:rsid w:val="0017414C"/>
    <w:rsid w:val="0017427B"/>
    <w:rsid w:val="001748A9"/>
    <w:rsid w:val="0017563D"/>
    <w:rsid w:val="001759A7"/>
    <w:rsid w:val="0017614A"/>
    <w:rsid w:val="0017618D"/>
    <w:rsid w:val="00176776"/>
    <w:rsid w:val="00176D32"/>
    <w:rsid w:val="001772E3"/>
    <w:rsid w:val="001775BA"/>
    <w:rsid w:val="00177971"/>
    <w:rsid w:val="00177EE3"/>
    <w:rsid w:val="00180871"/>
    <w:rsid w:val="00180E63"/>
    <w:rsid w:val="00180F45"/>
    <w:rsid w:val="00181331"/>
    <w:rsid w:val="00181679"/>
    <w:rsid w:val="00181DF2"/>
    <w:rsid w:val="00182739"/>
    <w:rsid w:val="00182E76"/>
    <w:rsid w:val="001832AB"/>
    <w:rsid w:val="00183365"/>
    <w:rsid w:val="00183583"/>
    <w:rsid w:val="001836A5"/>
    <w:rsid w:val="00183837"/>
    <w:rsid w:val="00184CCC"/>
    <w:rsid w:val="00184DBD"/>
    <w:rsid w:val="00184DBF"/>
    <w:rsid w:val="00185174"/>
    <w:rsid w:val="001851A3"/>
    <w:rsid w:val="00185D98"/>
    <w:rsid w:val="00185DC1"/>
    <w:rsid w:val="00185EA7"/>
    <w:rsid w:val="0018660C"/>
    <w:rsid w:val="00187126"/>
    <w:rsid w:val="00187C1F"/>
    <w:rsid w:val="00190043"/>
    <w:rsid w:val="00190D82"/>
    <w:rsid w:val="001915DC"/>
    <w:rsid w:val="0019167B"/>
    <w:rsid w:val="00191B07"/>
    <w:rsid w:val="00191B09"/>
    <w:rsid w:val="00191C31"/>
    <w:rsid w:val="00192384"/>
    <w:rsid w:val="00192427"/>
    <w:rsid w:val="001925C8"/>
    <w:rsid w:val="00192B55"/>
    <w:rsid w:val="00192FB6"/>
    <w:rsid w:val="00193849"/>
    <w:rsid w:val="001938AD"/>
    <w:rsid w:val="0019410F"/>
    <w:rsid w:val="00194505"/>
    <w:rsid w:val="00194D2D"/>
    <w:rsid w:val="001958A4"/>
    <w:rsid w:val="001958CC"/>
    <w:rsid w:val="00195CA0"/>
    <w:rsid w:val="00196B9C"/>
    <w:rsid w:val="00196FFC"/>
    <w:rsid w:val="001971E7"/>
    <w:rsid w:val="001972DB"/>
    <w:rsid w:val="00197302"/>
    <w:rsid w:val="00197613"/>
    <w:rsid w:val="001979FD"/>
    <w:rsid w:val="00197E14"/>
    <w:rsid w:val="001A032F"/>
    <w:rsid w:val="001A05E3"/>
    <w:rsid w:val="001A06FB"/>
    <w:rsid w:val="001A0934"/>
    <w:rsid w:val="001A114B"/>
    <w:rsid w:val="001A125C"/>
    <w:rsid w:val="001A16B6"/>
    <w:rsid w:val="001A16E8"/>
    <w:rsid w:val="001A1BCD"/>
    <w:rsid w:val="001A1E4A"/>
    <w:rsid w:val="001A2FCB"/>
    <w:rsid w:val="001A31A6"/>
    <w:rsid w:val="001A35DF"/>
    <w:rsid w:val="001A36FD"/>
    <w:rsid w:val="001A381F"/>
    <w:rsid w:val="001A406F"/>
    <w:rsid w:val="001A4356"/>
    <w:rsid w:val="001A44ED"/>
    <w:rsid w:val="001A45FD"/>
    <w:rsid w:val="001A4854"/>
    <w:rsid w:val="001A4A1F"/>
    <w:rsid w:val="001A4A9E"/>
    <w:rsid w:val="001A4B55"/>
    <w:rsid w:val="001A4DEC"/>
    <w:rsid w:val="001A5304"/>
    <w:rsid w:val="001A58AE"/>
    <w:rsid w:val="001A61E8"/>
    <w:rsid w:val="001A6327"/>
    <w:rsid w:val="001A6558"/>
    <w:rsid w:val="001A6B92"/>
    <w:rsid w:val="001A7768"/>
    <w:rsid w:val="001A79FC"/>
    <w:rsid w:val="001A7B62"/>
    <w:rsid w:val="001A7BFD"/>
    <w:rsid w:val="001A7CBE"/>
    <w:rsid w:val="001B0334"/>
    <w:rsid w:val="001B050A"/>
    <w:rsid w:val="001B0CE2"/>
    <w:rsid w:val="001B1C1C"/>
    <w:rsid w:val="001B22DD"/>
    <w:rsid w:val="001B2923"/>
    <w:rsid w:val="001B2FBE"/>
    <w:rsid w:val="001B3717"/>
    <w:rsid w:val="001B376E"/>
    <w:rsid w:val="001B3F53"/>
    <w:rsid w:val="001B47E9"/>
    <w:rsid w:val="001B5777"/>
    <w:rsid w:val="001B66FB"/>
    <w:rsid w:val="001B674C"/>
    <w:rsid w:val="001B6D1B"/>
    <w:rsid w:val="001B73FE"/>
    <w:rsid w:val="001B77E7"/>
    <w:rsid w:val="001B78D5"/>
    <w:rsid w:val="001B7A32"/>
    <w:rsid w:val="001B7B29"/>
    <w:rsid w:val="001C0309"/>
    <w:rsid w:val="001C1005"/>
    <w:rsid w:val="001C1140"/>
    <w:rsid w:val="001C16A1"/>
    <w:rsid w:val="001C200C"/>
    <w:rsid w:val="001C2A6C"/>
    <w:rsid w:val="001C30D5"/>
    <w:rsid w:val="001C4679"/>
    <w:rsid w:val="001C4BF6"/>
    <w:rsid w:val="001C4E1C"/>
    <w:rsid w:val="001C55FF"/>
    <w:rsid w:val="001C5B8F"/>
    <w:rsid w:val="001C624E"/>
    <w:rsid w:val="001C6524"/>
    <w:rsid w:val="001C6987"/>
    <w:rsid w:val="001C6BF0"/>
    <w:rsid w:val="001C6E07"/>
    <w:rsid w:val="001C703E"/>
    <w:rsid w:val="001C7704"/>
    <w:rsid w:val="001C7B39"/>
    <w:rsid w:val="001C7D7E"/>
    <w:rsid w:val="001D0309"/>
    <w:rsid w:val="001D0569"/>
    <w:rsid w:val="001D0B54"/>
    <w:rsid w:val="001D162A"/>
    <w:rsid w:val="001D1925"/>
    <w:rsid w:val="001D1E30"/>
    <w:rsid w:val="001D20D2"/>
    <w:rsid w:val="001D2374"/>
    <w:rsid w:val="001D2510"/>
    <w:rsid w:val="001D26F5"/>
    <w:rsid w:val="001D2911"/>
    <w:rsid w:val="001D2939"/>
    <w:rsid w:val="001D3041"/>
    <w:rsid w:val="001D318C"/>
    <w:rsid w:val="001D371E"/>
    <w:rsid w:val="001D3B26"/>
    <w:rsid w:val="001D5377"/>
    <w:rsid w:val="001D58B8"/>
    <w:rsid w:val="001D5C87"/>
    <w:rsid w:val="001D5EA5"/>
    <w:rsid w:val="001D5ED7"/>
    <w:rsid w:val="001D5F81"/>
    <w:rsid w:val="001D5FD4"/>
    <w:rsid w:val="001D60E0"/>
    <w:rsid w:val="001D6393"/>
    <w:rsid w:val="001D65CB"/>
    <w:rsid w:val="001D6891"/>
    <w:rsid w:val="001D69D4"/>
    <w:rsid w:val="001D6EF3"/>
    <w:rsid w:val="001D7165"/>
    <w:rsid w:val="001E0032"/>
    <w:rsid w:val="001E0481"/>
    <w:rsid w:val="001E06C2"/>
    <w:rsid w:val="001E09CA"/>
    <w:rsid w:val="001E0D44"/>
    <w:rsid w:val="001E1719"/>
    <w:rsid w:val="001E1920"/>
    <w:rsid w:val="001E1F6C"/>
    <w:rsid w:val="001E248F"/>
    <w:rsid w:val="001E2637"/>
    <w:rsid w:val="001E29DA"/>
    <w:rsid w:val="001E2CD1"/>
    <w:rsid w:val="001E2DC9"/>
    <w:rsid w:val="001E2DE8"/>
    <w:rsid w:val="001E346A"/>
    <w:rsid w:val="001E34C3"/>
    <w:rsid w:val="001E3891"/>
    <w:rsid w:val="001E3A04"/>
    <w:rsid w:val="001E3C05"/>
    <w:rsid w:val="001E3CBA"/>
    <w:rsid w:val="001E3EAD"/>
    <w:rsid w:val="001E4110"/>
    <w:rsid w:val="001E44A6"/>
    <w:rsid w:val="001E44BB"/>
    <w:rsid w:val="001E483F"/>
    <w:rsid w:val="001E48A2"/>
    <w:rsid w:val="001E4BA7"/>
    <w:rsid w:val="001E5AED"/>
    <w:rsid w:val="001E66BA"/>
    <w:rsid w:val="001E692A"/>
    <w:rsid w:val="001F010F"/>
    <w:rsid w:val="001F05A7"/>
    <w:rsid w:val="001F06AA"/>
    <w:rsid w:val="001F164E"/>
    <w:rsid w:val="001F1958"/>
    <w:rsid w:val="001F1C70"/>
    <w:rsid w:val="001F1E2E"/>
    <w:rsid w:val="001F21A2"/>
    <w:rsid w:val="001F2500"/>
    <w:rsid w:val="001F2618"/>
    <w:rsid w:val="001F2DB3"/>
    <w:rsid w:val="001F3E19"/>
    <w:rsid w:val="001F3F6F"/>
    <w:rsid w:val="001F4163"/>
    <w:rsid w:val="001F45ED"/>
    <w:rsid w:val="001F4DC7"/>
    <w:rsid w:val="001F508B"/>
    <w:rsid w:val="001F53B5"/>
    <w:rsid w:val="001F5482"/>
    <w:rsid w:val="001F5A18"/>
    <w:rsid w:val="001F5B8F"/>
    <w:rsid w:val="001F5F59"/>
    <w:rsid w:val="001F642B"/>
    <w:rsid w:val="001F6893"/>
    <w:rsid w:val="001F73BA"/>
    <w:rsid w:val="001F73DE"/>
    <w:rsid w:val="001F7CFF"/>
    <w:rsid w:val="001F7F32"/>
    <w:rsid w:val="00200165"/>
    <w:rsid w:val="0020028F"/>
    <w:rsid w:val="00200523"/>
    <w:rsid w:val="00200937"/>
    <w:rsid w:val="00200F8E"/>
    <w:rsid w:val="00201311"/>
    <w:rsid w:val="00201BCB"/>
    <w:rsid w:val="00201D95"/>
    <w:rsid w:val="00201DB6"/>
    <w:rsid w:val="00202404"/>
    <w:rsid w:val="00202A3B"/>
    <w:rsid w:val="00202ACC"/>
    <w:rsid w:val="00202C23"/>
    <w:rsid w:val="00202CB8"/>
    <w:rsid w:val="002034DE"/>
    <w:rsid w:val="0020358D"/>
    <w:rsid w:val="00203E21"/>
    <w:rsid w:val="002040CC"/>
    <w:rsid w:val="00204249"/>
    <w:rsid w:val="00204D81"/>
    <w:rsid w:val="00205391"/>
    <w:rsid w:val="00205984"/>
    <w:rsid w:val="002059F7"/>
    <w:rsid w:val="00205D14"/>
    <w:rsid w:val="0020627B"/>
    <w:rsid w:val="00206281"/>
    <w:rsid w:val="00206537"/>
    <w:rsid w:val="00206E52"/>
    <w:rsid w:val="00207229"/>
    <w:rsid w:val="00207D68"/>
    <w:rsid w:val="00210891"/>
    <w:rsid w:val="00211CDE"/>
    <w:rsid w:val="0021298B"/>
    <w:rsid w:val="00212CE9"/>
    <w:rsid w:val="00212D51"/>
    <w:rsid w:val="00212EA0"/>
    <w:rsid w:val="002140A7"/>
    <w:rsid w:val="0021549C"/>
    <w:rsid w:val="00215773"/>
    <w:rsid w:val="00215A7A"/>
    <w:rsid w:val="00215E2F"/>
    <w:rsid w:val="0021614D"/>
    <w:rsid w:val="00216573"/>
    <w:rsid w:val="002168C3"/>
    <w:rsid w:val="00216A26"/>
    <w:rsid w:val="00216CC4"/>
    <w:rsid w:val="002178E4"/>
    <w:rsid w:val="00217B70"/>
    <w:rsid w:val="002205EB"/>
    <w:rsid w:val="002205FB"/>
    <w:rsid w:val="00220F9B"/>
    <w:rsid w:val="0022163F"/>
    <w:rsid w:val="0022187F"/>
    <w:rsid w:val="00222E52"/>
    <w:rsid w:val="002233B5"/>
    <w:rsid w:val="0022343D"/>
    <w:rsid w:val="00223F02"/>
    <w:rsid w:val="0022412C"/>
    <w:rsid w:val="0022437F"/>
    <w:rsid w:val="00224613"/>
    <w:rsid w:val="0022489D"/>
    <w:rsid w:val="002249CB"/>
    <w:rsid w:val="00224A1C"/>
    <w:rsid w:val="00224CEA"/>
    <w:rsid w:val="00224DD0"/>
    <w:rsid w:val="002254EC"/>
    <w:rsid w:val="00226011"/>
    <w:rsid w:val="00226A93"/>
    <w:rsid w:val="00226C19"/>
    <w:rsid w:val="00226EEB"/>
    <w:rsid w:val="00227913"/>
    <w:rsid w:val="00230B7B"/>
    <w:rsid w:val="00231056"/>
    <w:rsid w:val="00231295"/>
    <w:rsid w:val="0023134C"/>
    <w:rsid w:val="00231E4F"/>
    <w:rsid w:val="002322B2"/>
    <w:rsid w:val="002329BF"/>
    <w:rsid w:val="00232D80"/>
    <w:rsid w:val="00232DF7"/>
    <w:rsid w:val="0023346D"/>
    <w:rsid w:val="0023376E"/>
    <w:rsid w:val="0023382A"/>
    <w:rsid w:val="00233DB1"/>
    <w:rsid w:val="00233DC7"/>
    <w:rsid w:val="00233F42"/>
    <w:rsid w:val="00233FFE"/>
    <w:rsid w:val="00234099"/>
    <w:rsid w:val="00235E2E"/>
    <w:rsid w:val="002360E6"/>
    <w:rsid w:val="0023640A"/>
    <w:rsid w:val="0023696A"/>
    <w:rsid w:val="0023707B"/>
    <w:rsid w:val="00237413"/>
    <w:rsid w:val="002376E1"/>
    <w:rsid w:val="00237761"/>
    <w:rsid w:val="00237E44"/>
    <w:rsid w:val="00237EB2"/>
    <w:rsid w:val="002405F9"/>
    <w:rsid w:val="0024087D"/>
    <w:rsid w:val="002417D0"/>
    <w:rsid w:val="002426B7"/>
    <w:rsid w:val="00242AC4"/>
    <w:rsid w:val="00243074"/>
    <w:rsid w:val="002436B8"/>
    <w:rsid w:val="00243B2B"/>
    <w:rsid w:val="002444AC"/>
    <w:rsid w:val="002445E0"/>
    <w:rsid w:val="00245579"/>
    <w:rsid w:val="00245C1D"/>
    <w:rsid w:val="00245EE5"/>
    <w:rsid w:val="00245FE6"/>
    <w:rsid w:val="00246568"/>
    <w:rsid w:val="00246D0A"/>
    <w:rsid w:val="002475E4"/>
    <w:rsid w:val="00247779"/>
    <w:rsid w:val="002509E3"/>
    <w:rsid w:val="00250C88"/>
    <w:rsid w:val="00250DB7"/>
    <w:rsid w:val="002511BE"/>
    <w:rsid w:val="002512DB"/>
    <w:rsid w:val="00251CB7"/>
    <w:rsid w:val="00251E25"/>
    <w:rsid w:val="00251FB5"/>
    <w:rsid w:val="00252512"/>
    <w:rsid w:val="00252C7C"/>
    <w:rsid w:val="00252F12"/>
    <w:rsid w:val="00253CA8"/>
    <w:rsid w:val="00253DE0"/>
    <w:rsid w:val="00254401"/>
    <w:rsid w:val="00254DC2"/>
    <w:rsid w:val="002553FD"/>
    <w:rsid w:val="002555DC"/>
    <w:rsid w:val="00255BCF"/>
    <w:rsid w:val="00255E58"/>
    <w:rsid w:val="00255E71"/>
    <w:rsid w:val="00255F17"/>
    <w:rsid w:val="002563D4"/>
    <w:rsid w:val="00256911"/>
    <w:rsid w:val="0025696B"/>
    <w:rsid w:val="00257AE7"/>
    <w:rsid w:val="00257D7E"/>
    <w:rsid w:val="00260455"/>
    <w:rsid w:val="0026130C"/>
    <w:rsid w:val="0026148F"/>
    <w:rsid w:val="00262195"/>
    <w:rsid w:val="0026265A"/>
    <w:rsid w:val="00262667"/>
    <w:rsid w:val="00262FDF"/>
    <w:rsid w:val="00262FF8"/>
    <w:rsid w:val="00263AAF"/>
    <w:rsid w:val="00263B0F"/>
    <w:rsid w:val="002644CD"/>
    <w:rsid w:val="0026453C"/>
    <w:rsid w:val="00264901"/>
    <w:rsid w:val="00264B9D"/>
    <w:rsid w:val="00264E66"/>
    <w:rsid w:val="00265612"/>
    <w:rsid w:val="00265EEB"/>
    <w:rsid w:val="002664AA"/>
    <w:rsid w:val="00266522"/>
    <w:rsid w:val="002666D4"/>
    <w:rsid w:val="002669B8"/>
    <w:rsid w:val="00267265"/>
    <w:rsid w:val="002675B7"/>
    <w:rsid w:val="0026799F"/>
    <w:rsid w:val="002679D8"/>
    <w:rsid w:val="00267A37"/>
    <w:rsid w:val="00270147"/>
    <w:rsid w:val="00270B2A"/>
    <w:rsid w:val="0027131D"/>
    <w:rsid w:val="00271ADB"/>
    <w:rsid w:val="00271EFD"/>
    <w:rsid w:val="00272491"/>
    <w:rsid w:val="002724EA"/>
    <w:rsid w:val="00272DA2"/>
    <w:rsid w:val="0027323B"/>
    <w:rsid w:val="00274506"/>
    <w:rsid w:val="00274C71"/>
    <w:rsid w:val="0027512E"/>
    <w:rsid w:val="00275323"/>
    <w:rsid w:val="00275AFA"/>
    <w:rsid w:val="00275FD1"/>
    <w:rsid w:val="00276238"/>
    <w:rsid w:val="002766E8"/>
    <w:rsid w:val="00276A06"/>
    <w:rsid w:val="00276AD8"/>
    <w:rsid w:val="00276D2B"/>
    <w:rsid w:val="00277437"/>
    <w:rsid w:val="0027785F"/>
    <w:rsid w:val="00277B92"/>
    <w:rsid w:val="00277CB6"/>
    <w:rsid w:val="00277CD9"/>
    <w:rsid w:val="00277F10"/>
    <w:rsid w:val="00277F63"/>
    <w:rsid w:val="00280082"/>
    <w:rsid w:val="0028016C"/>
    <w:rsid w:val="002801A6"/>
    <w:rsid w:val="0028070B"/>
    <w:rsid w:val="00280876"/>
    <w:rsid w:val="002812AD"/>
    <w:rsid w:val="002813AB"/>
    <w:rsid w:val="00281532"/>
    <w:rsid w:val="0028165B"/>
    <w:rsid w:val="00281864"/>
    <w:rsid w:val="00281B4A"/>
    <w:rsid w:val="00281D36"/>
    <w:rsid w:val="00281E83"/>
    <w:rsid w:val="00281EC1"/>
    <w:rsid w:val="00281EEC"/>
    <w:rsid w:val="00282486"/>
    <w:rsid w:val="00282487"/>
    <w:rsid w:val="00282C77"/>
    <w:rsid w:val="00283207"/>
    <w:rsid w:val="002837D0"/>
    <w:rsid w:val="00283D01"/>
    <w:rsid w:val="002842D2"/>
    <w:rsid w:val="00284765"/>
    <w:rsid w:val="00285BEE"/>
    <w:rsid w:val="002862EA"/>
    <w:rsid w:val="00286579"/>
    <w:rsid w:val="00286B5A"/>
    <w:rsid w:val="00286DD4"/>
    <w:rsid w:val="00286E6F"/>
    <w:rsid w:val="002870C2"/>
    <w:rsid w:val="002871BA"/>
    <w:rsid w:val="0028798C"/>
    <w:rsid w:val="00287B13"/>
    <w:rsid w:val="00287D50"/>
    <w:rsid w:val="00287FED"/>
    <w:rsid w:val="0029006C"/>
    <w:rsid w:val="0029065A"/>
    <w:rsid w:val="00290D7C"/>
    <w:rsid w:val="00290E92"/>
    <w:rsid w:val="002910B2"/>
    <w:rsid w:val="002910CD"/>
    <w:rsid w:val="00291332"/>
    <w:rsid w:val="00291ACB"/>
    <w:rsid w:val="00291C1E"/>
    <w:rsid w:val="00292189"/>
    <w:rsid w:val="00292453"/>
    <w:rsid w:val="0029368C"/>
    <w:rsid w:val="00294345"/>
    <w:rsid w:val="00294828"/>
    <w:rsid w:val="00294829"/>
    <w:rsid w:val="00294E00"/>
    <w:rsid w:val="0029533F"/>
    <w:rsid w:val="00295CE1"/>
    <w:rsid w:val="00295DAA"/>
    <w:rsid w:val="00295DF6"/>
    <w:rsid w:val="002969FA"/>
    <w:rsid w:val="002974F0"/>
    <w:rsid w:val="00297CB2"/>
    <w:rsid w:val="002A00EB"/>
    <w:rsid w:val="002A02EB"/>
    <w:rsid w:val="002A047E"/>
    <w:rsid w:val="002A0621"/>
    <w:rsid w:val="002A1001"/>
    <w:rsid w:val="002A108C"/>
    <w:rsid w:val="002A2137"/>
    <w:rsid w:val="002A255F"/>
    <w:rsid w:val="002A3B75"/>
    <w:rsid w:val="002A3BA4"/>
    <w:rsid w:val="002A4847"/>
    <w:rsid w:val="002A4E95"/>
    <w:rsid w:val="002A4F4F"/>
    <w:rsid w:val="002A5068"/>
    <w:rsid w:val="002A6836"/>
    <w:rsid w:val="002A6B04"/>
    <w:rsid w:val="002A6FAB"/>
    <w:rsid w:val="002A7DDF"/>
    <w:rsid w:val="002A7EBD"/>
    <w:rsid w:val="002B023F"/>
    <w:rsid w:val="002B0CEB"/>
    <w:rsid w:val="002B125B"/>
    <w:rsid w:val="002B1289"/>
    <w:rsid w:val="002B1378"/>
    <w:rsid w:val="002B145C"/>
    <w:rsid w:val="002B1890"/>
    <w:rsid w:val="002B191D"/>
    <w:rsid w:val="002B1BE1"/>
    <w:rsid w:val="002B2778"/>
    <w:rsid w:val="002B2E17"/>
    <w:rsid w:val="002B2EF8"/>
    <w:rsid w:val="002B30AF"/>
    <w:rsid w:val="002B37EB"/>
    <w:rsid w:val="002B39B8"/>
    <w:rsid w:val="002B3ACA"/>
    <w:rsid w:val="002B3E63"/>
    <w:rsid w:val="002B4002"/>
    <w:rsid w:val="002B40DF"/>
    <w:rsid w:val="002B49CF"/>
    <w:rsid w:val="002B4DCA"/>
    <w:rsid w:val="002B5B5F"/>
    <w:rsid w:val="002B5EB8"/>
    <w:rsid w:val="002B6504"/>
    <w:rsid w:val="002B6932"/>
    <w:rsid w:val="002B6F25"/>
    <w:rsid w:val="002B7640"/>
    <w:rsid w:val="002B7AB4"/>
    <w:rsid w:val="002C0666"/>
    <w:rsid w:val="002C085D"/>
    <w:rsid w:val="002C14CF"/>
    <w:rsid w:val="002C1AC7"/>
    <w:rsid w:val="002C1D3C"/>
    <w:rsid w:val="002C24C4"/>
    <w:rsid w:val="002C2C7C"/>
    <w:rsid w:val="002C310B"/>
    <w:rsid w:val="002C3835"/>
    <w:rsid w:val="002C3BA6"/>
    <w:rsid w:val="002C3E12"/>
    <w:rsid w:val="002C3F5C"/>
    <w:rsid w:val="002C3FD5"/>
    <w:rsid w:val="002C4207"/>
    <w:rsid w:val="002C4220"/>
    <w:rsid w:val="002C4521"/>
    <w:rsid w:val="002C4B2C"/>
    <w:rsid w:val="002C5544"/>
    <w:rsid w:val="002C55DC"/>
    <w:rsid w:val="002C6174"/>
    <w:rsid w:val="002C625D"/>
    <w:rsid w:val="002C6915"/>
    <w:rsid w:val="002C691C"/>
    <w:rsid w:val="002C6C45"/>
    <w:rsid w:val="002C6F46"/>
    <w:rsid w:val="002C712D"/>
    <w:rsid w:val="002C732E"/>
    <w:rsid w:val="002C770B"/>
    <w:rsid w:val="002C7801"/>
    <w:rsid w:val="002C79D7"/>
    <w:rsid w:val="002C7CDC"/>
    <w:rsid w:val="002C7D53"/>
    <w:rsid w:val="002C7D65"/>
    <w:rsid w:val="002D042F"/>
    <w:rsid w:val="002D05A6"/>
    <w:rsid w:val="002D0DAC"/>
    <w:rsid w:val="002D157C"/>
    <w:rsid w:val="002D180A"/>
    <w:rsid w:val="002D2598"/>
    <w:rsid w:val="002D29FA"/>
    <w:rsid w:val="002D3A1F"/>
    <w:rsid w:val="002D3C41"/>
    <w:rsid w:val="002D3DEA"/>
    <w:rsid w:val="002D4482"/>
    <w:rsid w:val="002D5794"/>
    <w:rsid w:val="002D593D"/>
    <w:rsid w:val="002D639E"/>
    <w:rsid w:val="002D6686"/>
    <w:rsid w:val="002D66E1"/>
    <w:rsid w:val="002D68A3"/>
    <w:rsid w:val="002D696B"/>
    <w:rsid w:val="002D6CA9"/>
    <w:rsid w:val="002D6D65"/>
    <w:rsid w:val="002D6E2A"/>
    <w:rsid w:val="002D7314"/>
    <w:rsid w:val="002D7473"/>
    <w:rsid w:val="002D7B4F"/>
    <w:rsid w:val="002E00C3"/>
    <w:rsid w:val="002E0123"/>
    <w:rsid w:val="002E086A"/>
    <w:rsid w:val="002E1A7A"/>
    <w:rsid w:val="002E2354"/>
    <w:rsid w:val="002E237B"/>
    <w:rsid w:val="002E2388"/>
    <w:rsid w:val="002E3D7B"/>
    <w:rsid w:val="002E3E8C"/>
    <w:rsid w:val="002E3EEA"/>
    <w:rsid w:val="002E436E"/>
    <w:rsid w:val="002E463A"/>
    <w:rsid w:val="002E506F"/>
    <w:rsid w:val="002E51D9"/>
    <w:rsid w:val="002E6531"/>
    <w:rsid w:val="002E6A17"/>
    <w:rsid w:val="002E6C30"/>
    <w:rsid w:val="002E74D3"/>
    <w:rsid w:val="002E7AFE"/>
    <w:rsid w:val="002F026E"/>
    <w:rsid w:val="002F1148"/>
    <w:rsid w:val="002F1278"/>
    <w:rsid w:val="002F2E08"/>
    <w:rsid w:val="002F3084"/>
    <w:rsid w:val="002F33D7"/>
    <w:rsid w:val="002F3964"/>
    <w:rsid w:val="002F3C90"/>
    <w:rsid w:val="002F3E62"/>
    <w:rsid w:val="002F4043"/>
    <w:rsid w:val="002F40AD"/>
    <w:rsid w:val="002F42DF"/>
    <w:rsid w:val="002F436A"/>
    <w:rsid w:val="002F45BF"/>
    <w:rsid w:val="002F4753"/>
    <w:rsid w:val="002F487D"/>
    <w:rsid w:val="002F51FA"/>
    <w:rsid w:val="002F540A"/>
    <w:rsid w:val="002F6102"/>
    <w:rsid w:val="002F653D"/>
    <w:rsid w:val="002F6741"/>
    <w:rsid w:val="002F7043"/>
    <w:rsid w:val="002F7426"/>
    <w:rsid w:val="002F77CB"/>
    <w:rsid w:val="002F77D9"/>
    <w:rsid w:val="002F7A25"/>
    <w:rsid w:val="00300020"/>
    <w:rsid w:val="003002D1"/>
    <w:rsid w:val="0030089C"/>
    <w:rsid w:val="00300AF4"/>
    <w:rsid w:val="00300EBD"/>
    <w:rsid w:val="0030160E"/>
    <w:rsid w:val="0030161A"/>
    <w:rsid w:val="00301CE4"/>
    <w:rsid w:val="0030324F"/>
    <w:rsid w:val="0030381B"/>
    <w:rsid w:val="00303E12"/>
    <w:rsid w:val="00303F46"/>
    <w:rsid w:val="003041F3"/>
    <w:rsid w:val="003042BE"/>
    <w:rsid w:val="00304818"/>
    <w:rsid w:val="003056A5"/>
    <w:rsid w:val="003056AA"/>
    <w:rsid w:val="0030583F"/>
    <w:rsid w:val="00305F49"/>
    <w:rsid w:val="0030678E"/>
    <w:rsid w:val="0030693E"/>
    <w:rsid w:val="00306DFD"/>
    <w:rsid w:val="00306F66"/>
    <w:rsid w:val="00306FAE"/>
    <w:rsid w:val="003072F4"/>
    <w:rsid w:val="0030797E"/>
    <w:rsid w:val="00307BEE"/>
    <w:rsid w:val="003104C5"/>
    <w:rsid w:val="00310B23"/>
    <w:rsid w:val="00310F3B"/>
    <w:rsid w:val="003110D8"/>
    <w:rsid w:val="00311128"/>
    <w:rsid w:val="00311AB4"/>
    <w:rsid w:val="00311C2F"/>
    <w:rsid w:val="00312068"/>
    <w:rsid w:val="003124ED"/>
    <w:rsid w:val="0031263B"/>
    <w:rsid w:val="00312E8F"/>
    <w:rsid w:val="00313459"/>
    <w:rsid w:val="003140BD"/>
    <w:rsid w:val="00314C5F"/>
    <w:rsid w:val="003153C6"/>
    <w:rsid w:val="00315F38"/>
    <w:rsid w:val="00316391"/>
    <w:rsid w:val="00316C9E"/>
    <w:rsid w:val="00316E93"/>
    <w:rsid w:val="00316FB7"/>
    <w:rsid w:val="003172CD"/>
    <w:rsid w:val="00320ACD"/>
    <w:rsid w:val="00320B4A"/>
    <w:rsid w:val="003215AF"/>
    <w:rsid w:val="00321E4B"/>
    <w:rsid w:val="003222D1"/>
    <w:rsid w:val="003228B4"/>
    <w:rsid w:val="003237A2"/>
    <w:rsid w:val="00323EBA"/>
    <w:rsid w:val="0032428F"/>
    <w:rsid w:val="00324790"/>
    <w:rsid w:val="00324977"/>
    <w:rsid w:val="00324C95"/>
    <w:rsid w:val="00325174"/>
    <w:rsid w:val="0032538F"/>
    <w:rsid w:val="00325D0D"/>
    <w:rsid w:val="00327609"/>
    <w:rsid w:val="0032777B"/>
    <w:rsid w:val="003307AD"/>
    <w:rsid w:val="00331D1D"/>
    <w:rsid w:val="00331DBC"/>
    <w:rsid w:val="00331DC6"/>
    <w:rsid w:val="00332509"/>
    <w:rsid w:val="00332737"/>
    <w:rsid w:val="0033284F"/>
    <w:rsid w:val="003333B3"/>
    <w:rsid w:val="0033344A"/>
    <w:rsid w:val="003336EE"/>
    <w:rsid w:val="00333CC5"/>
    <w:rsid w:val="003345EA"/>
    <w:rsid w:val="00334658"/>
    <w:rsid w:val="003348FB"/>
    <w:rsid w:val="00334B77"/>
    <w:rsid w:val="00334FA7"/>
    <w:rsid w:val="00335961"/>
    <w:rsid w:val="00337000"/>
    <w:rsid w:val="00337503"/>
    <w:rsid w:val="003400AE"/>
    <w:rsid w:val="00340242"/>
    <w:rsid w:val="00340618"/>
    <w:rsid w:val="00340741"/>
    <w:rsid w:val="003409E4"/>
    <w:rsid w:val="00341125"/>
    <w:rsid w:val="0034113A"/>
    <w:rsid w:val="00341633"/>
    <w:rsid w:val="003424D6"/>
    <w:rsid w:val="00342AAD"/>
    <w:rsid w:val="00342E02"/>
    <w:rsid w:val="00342F24"/>
    <w:rsid w:val="0034397E"/>
    <w:rsid w:val="00343F01"/>
    <w:rsid w:val="0034497D"/>
    <w:rsid w:val="00344F95"/>
    <w:rsid w:val="0034557F"/>
    <w:rsid w:val="00345626"/>
    <w:rsid w:val="003458FB"/>
    <w:rsid w:val="00345A25"/>
    <w:rsid w:val="00345A51"/>
    <w:rsid w:val="00345D14"/>
    <w:rsid w:val="003460B0"/>
    <w:rsid w:val="003464F6"/>
    <w:rsid w:val="00346B03"/>
    <w:rsid w:val="00346B5C"/>
    <w:rsid w:val="00346E7C"/>
    <w:rsid w:val="00346FD2"/>
    <w:rsid w:val="003470B9"/>
    <w:rsid w:val="00347C86"/>
    <w:rsid w:val="00350179"/>
    <w:rsid w:val="00350538"/>
    <w:rsid w:val="0035091F"/>
    <w:rsid w:val="00351206"/>
    <w:rsid w:val="00351745"/>
    <w:rsid w:val="0035249E"/>
    <w:rsid w:val="00352BFC"/>
    <w:rsid w:val="00352DD0"/>
    <w:rsid w:val="00352F17"/>
    <w:rsid w:val="00353281"/>
    <w:rsid w:val="00353432"/>
    <w:rsid w:val="00353B0A"/>
    <w:rsid w:val="00353D7A"/>
    <w:rsid w:val="00354190"/>
    <w:rsid w:val="0035458B"/>
    <w:rsid w:val="003547BD"/>
    <w:rsid w:val="003549C6"/>
    <w:rsid w:val="00354A58"/>
    <w:rsid w:val="003556CE"/>
    <w:rsid w:val="003558C5"/>
    <w:rsid w:val="003559B5"/>
    <w:rsid w:val="0035642A"/>
    <w:rsid w:val="00356496"/>
    <w:rsid w:val="003565AD"/>
    <w:rsid w:val="00356600"/>
    <w:rsid w:val="00356E94"/>
    <w:rsid w:val="00357655"/>
    <w:rsid w:val="0035784E"/>
    <w:rsid w:val="0035792E"/>
    <w:rsid w:val="00357980"/>
    <w:rsid w:val="00357F5F"/>
    <w:rsid w:val="00360A9C"/>
    <w:rsid w:val="00360B52"/>
    <w:rsid w:val="00360D60"/>
    <w:rsid w:val="00361122"/>
    <w:rsid w:val="003618C8"/>
    <w:rsid w:val="00361B78"/>
    <w:rsid w:val="00361C44"/>
    <w:rsid w:val="00361CA6"/>
    <w:rsid w:val="00361EAB"/>
    <w:rsid w:val="00362061"/>
    <w:rsid w:val="0036212B"/>
    <w:rsid w:val="00362295"/>
    <w:rsid w:val="0036266C"/>
    <w:rsid w:val="00362B38"/>
    <w:rsid w:val="003636EA"/>
    <w:rsid w:val="00363CE6"/>
    <w:rsid w:val="00363DCA"/>
    <w:rsid w:val="00364456"/>
    <w:rsid w:val="0036445E"/>
    <w:rsid w:val="003644BD"/>
    <w:rsid w:val="00364998"/>
    <w:rsid w:val="00365FDC"/>
    <w:rsid w:val="003665D0"/>
    <w:rsid w:val="00366C0B"/>
    <w:rsid w:val="00367012"/>
    <w:rsid w:val="0036770A"/>
    <w:rsid w:val="00367A00"/>
    <w:rsid w:val="00367A53"/>
    <w:rsid w:val="00367DC0"/>
    <w:rsid w:val="0037019E"/>
    <w:rsid w:val="00370792"/>
    <w:rsid w:val="003708EC"/>
    <w:rsid w:val="00370AF1"/>
    <w:rsid w:val="00370B92"/>
    <w:rsid w:val="00370EA2"/>
    <w:rsid w:val="00370F5B"/>
    <w:rsid w:val="00371560"/>
    <w:rsid w:val="00371626"/>
    <w:rsid w:val="003717F6"/>
    <w:rsid w:val="00371839"/>
    <w:rsid w:val="00371D1E"/>
    <w:rsid w:val="00372C12"/>
    <w:rsid w:val="00372EDA"/>
    <w:rsid w:val="00373041"/>
    <w:rsid w:val="0037335F"/>
    <w:rsid w:val="0037349F"/>
    <w:rsid w:val="003736F6"/>
    <w:rsid w:val="003738FF"/>
    <w:rsid w:val="003746F9"/>
    <w:rsid w:val="00374AF7"/>
    <w:rsid w:val="00374C2F"/>
    <w:rsid w:val="003759F0"/>
    <w:rsid w:val="003760A9"/>
    <w:rsid w:val="003760E5"/>
    <w:rsid w:val="003761D9"/>
    <w:rsid w:val="00376548"/>
    <w:rsid w:val="00376C70"/>
    <w:rsid w:val="00377195"/>
    <w:rsid w:val="003777C3"/>
    <w:rsid w:val="00377B37"/>
    <w:rsid w:val="003803BF"/>
    <w:rsid w:val="00380411"/>
    <w:rsid w:val="00380503"/>
    <w:rsid w:val="0038068A"/>
    <w:rsid w:val="00381111"/>
    <w:rsid w:val="003814D7"/>
    <w:rsid w:val="0038189F"/>
    <w:rsid w:val="00381B21"/>
    <w:rsid w:val="0038316E"/>
    <w:rsid w:val="0038335A"/>
    <w:rsid w:val="003842A0"/>
    <w:rsid w:val="00384403"/>
    <w:rsid w:val="00384935"/>
    <w:rsid w:val="00385B69"/>
    <w:rsid w:val="0038685C"/>
    <w:rsid w:val="00386ACA"/>
    <w:rsid w:val="00386B9F"/>
    <w:rsid w:val="00387781"/>
    <w:rsid w:val="003879F6"/>
    <w:rsid w:val="00387DC0"/>
    <w:rsid w:val="00387DE4"/>
    <w:rsid w:val="003901E8"/>
    <w:rsid w:val="00390267"/>
    <w:rsid w:val="00390489"/>
    <w:rsid w:val="003907B9"/>
    <w:rsid w:val="003909A7"/>
    <w:rsid w:val="003909EA"/>
    <w:rsid w:val="00390A24"/>
    <w:rsid w:val="00390C22"/>
    <w:rsid w:val="00391C70"/>
    <w:rsid w:val="00391FC8"/>
    <w:rsid w:val="003927F3"/>
    <w:rsid w:val="00393066"/>
    <w:rsid w:val="00394B0B"/>
    <w:rsid w:val="003951B6"/>
    <w:rsid w:val="00395FB2"/>
    <w:rsid w:val="0039611D"/>
    <w:rsid w:val="00396CAB"/>
    <w:rsid w:val="003978B0"/>
    <w:rsid w:val="00397948"/>
    <w:rsid w:val="00397A7A"/>
    <w:rsid w:val="00397F6A"/>
    <w:rsid w:val="003A04DC"/>
    <w:rsid w:val="003A0F65"/>
    <w:rsid w:val="003A11E7"/>
    <w:rsid w:val="003A1924"/>
    <w:rsid w:val="003A1D61"/>
    <w:rsid w:val="003A2335"/>
    <w:rsid w:val="003A28F6"/>
    <w:rsid w:val="003A38E7"/>
    <w:rsid w:val="003A391E"/>
    <w:rsid w:val="003A39B9"/>
    <w:rsid w:val="003A39D0"/>
    <w:rsid w:val="003A3AE3"/>
    <w:rsid w:val="003A5C85"/>
    <w:rsid w:val="003A5FFC"/>
    <w:rsid w:val="003A606D"/>
    <w:rsid w:val="003A6082"/>
    <w:rsid w:val="003A7D19"/>
    <w:rsid w:val="003B0853"/>
    <w:rsid w:val="003B0892"/>
    <w:rsid w:val="003B0BDE"/>
    <w:rsid w:val="003B10D4"/>
    <w:rsid w:val="003B19C0"/>
    <w:rsid w:val="003B1C62"/>
    <w:rsid w:val="003B273C"/>
    <w:rsid w:val="003B2D67"/>
    <w:rsid w:val="003B39A8"/>
    <w:rsid w:val="003B3A9D"/>
    <w:rsid w:val="003B3C6E"/>
    <w:rsid w:val="003B40E3"/>
    <w:rsid w:val="003B41E0"/>
    <w:rsid w:val="003B42B3"/>
    <w:rsid w:val="003B47D5"/>
    <w:rsid w:val="003B4A69"/>
    <w:rsid w:val="003B4D4A"/>
    <w:rsid w:val="003B4E23"/>
    <w:rsid w:val="003B4F42"/>
    <w:rsid w:val="003B54AD"/>
    <w:rsid w:val="003B571D"/>
    <w:rsid w:val="003B5897"/>
    <w:rsid w:val="003B621F"/>
    <w:rsid w:val="003B6888"/>
    <w:rsid w:val="003B6B4E"/>
    <w:rsid w:val="003B6FDC"/>
    <w:rsid w:val="003B7301"/>
    <w:rsid w:val="003B7E43"/>
    <w:rsid w:val="003C0070"/>
    <w:rsid w:val="003C053A"/>
    <w:rsid w:val="003C0600"/>
    <w:rsid w:val="003C0618"/>
    <w:rsid w:val="003C07B0"/>
    <w:rsid w:val="003C13D7"/>
    <w:rsid w:val="003C185F"/>
    <w:rsid w:val="003C1DA7"/>
    <w:rsid w:val="003C21A9"/>
    <w:rsid w:val="003C236C"/>
    <w:rsid w:val="003C25A4"/>
    <w:rsid w:val="003C37FD"/>
    <w:rsid w:val="003C3F72"/>
    <w:rsid w:val="003C41B4"/>
    <w:rsid w:val="003C4503"/>
    <w:rsid w:val="003C4D35"/>
    <w:rsid w:val="003C4D56"/>
    <w:rsid w:val="003C5034"/>
    <w:rsid w:val="003C60E6"/>
    <w:rsid w:val="003C616B"/>
    <w:rsid w:val="003C64ED"/>
    <w:rsid w:val="003C68A5"/>
    <w:rsid w:val="003C6A43"/>
    <w:rsid w:val="003C6EFE"/>
    <w:rsid w:val="003C7216"/>
    <w:rsid w:val="003C7F53"/>
    <w:rsid w:val="003D0AA6"/>
    <w:rsid w:val="003D1240"/>
    <w:rsid w:val="003D200E"/>
    <w:rsid w:val="003D221C"/>
    <w:rsid w:val="003D2FBC"/>
    <w:rsid w:val="003D2FD3"/>
    <w:rsid w:val="003D35AE"/>
    <w:rsid w:val="003D4144"/>
    <w:rsid w:val="003D4286"/>
    <w:rsid w:val="003D44A6"/>
    <w:rsid w:val="003D4E5B"/>
    <w:rsid w:val="003D55D4"/>
    <w:rsid w:val="003D5904"/>
    <w:rsid w:val="003D60D3"/>
    <w:rsid w:val="003D6CF6"/>
    <w:rsid w:val="003D6FDC"/>
    <w:rsid w:val="003D702C"/>
    <w:rsid w:val="003D716D"/>
    <w:rsid w:val="003D7378"/>
    <w:rsid w:val="003D77C6"/>
    <w:rsid w:val="003D7B69"/>
    <w:rsid w:val="003D7C9B"/>
    <w:rsid w:val="003D7CF0"/>
    <w:rsid w:val="003D7D64"/>
    <w:rsid w:val="003D7F20"/>
    <w:rsid w:val="003E04C7"/>
    <w:rsid w:val="003E087B"/>
    <w:rsid w:val="003E17A5"/>
    <w:rsid w:val="003E17D2"/>
    <w:rsid w:val="003E1947"/>
    <w:rsid w:val="003E1C8C"/>
    <w:rsid w:val="003E22B6"/>
    <w:rsid w:val="003E2480"/>
    <w:rsid w:val="003E25BC"/>
    <w:rsid w:val="003E266E"/>
    <w:rsid w:val="003E28C4"/>
    <w:rsid w:val="003E2F8F"/>
    <w:rsid w:val="003E317C"/>
    <w:rsid w:val="003E3397"/>
    <w:rsid w:val="003E3717"/>
    <w:rsid w:val="003E3DBC"/>
    <w:rsid w:val="003E47F4"/>
    <w:rsid w:val="003E4F66"/>
    <w:rsid w:val="003E5318"/>
    <w:rsid w:val="003E573E"/>
    <w:rsid w:val="003E58CF"/>
    <w:rsid w:val="003E5CB8"/>
    <w:rsid w:val="003E5F83"/>
    <w:rsid w:val="003E6958"/>
    <w:rsid w:val="003E6A07"/>
    <w:rsid w:val="003E6B71"/>
    <w:rsid w:val="003E6C09"/>
    <w:rsid w:val="003E7337"/>
    <w:rsid w:val="003E7633"/>
    <w:rsid w:val="003E7D9B"/>
    <w:rsid w:val="003E7DE7"/>
    <w:rsid w:val="003E7F31"/>
    <w:rsid w:val="003F0007"/>
    <w:rsid w:val="003F06BE"/>
    <w:rsid w:val="003F14FE"/>
    <w:rsid w:val="003F1553"/>
    <w:rsid w:val="003F15F8"/>
    <w:rsid w:val="003F2638"/>
    <w:rsid w:val="003F3028"/>
    <w:rsid w:val="003F35C1"/>
    <w:rsid w:val="003F3666"/>
    <w:rsid w:val="003F3743"/>
    <w:rsid w:val="003F3A0D"/>
    <w:rsid w:val="003F3B85"/>
    <w:rsid w:val="003F4212"/>
    <w:rsid w:val="003F43FB"/>
    <w:rsid w:val="003F44A1"/>
    <w:rsid w:val="003F48A6"/>
    <w:rsid w:val="003F4AC9"/>
    <w:rsid w:val="003F4B4E"/>
    <w:rsid w:val="003F4BDD"/>
    <w:rsid w:val="003F4D14"/>
    <w:rsid w:val="003F5C17"/>
    <w:rsid w:val="003F6061"/>
    <w:rsid w:val="003F6268"/>
    <w:rsid w:val="003F65B9"/>
    <w:rsid w:val="003F6864"/>
    <w:rsid w:val="003F69B8"/>
    <w:rsid w:val="003F6B4E"/>
    <w:rsid w:val="003F6E4D"/>
    <w:rsid w:val="003F7265"/>
    <w:rsid w:val="003F7717"/>
    <w:rsid w:val="003F7876"/>
    <w:rsid w:val="003F791C"/>
    <w:rsid w:val="003F7A77"/>
    <w:rsid w:val="003F7F45"/>
    <w:rsid w:val="004003FE"/>
    <w:rsid w:val="004006F0"/>
    <w:rsid w:val="00400B72"/>
    <w:rsid w:val="00401338"/>
    <w:rsid w:val="00401422"/>
    <w:rsid w:val="00401E9D"/>
    <w:rsid w:val="00402190"/>
    <w:rsid w:val="004024D5"/>
    <w:rsid w:val="0040288B"/>
    <w:rsid w:val="00402CCE"/>
    <w:rsid w:val="004034A8"/>
    <w:rsid w:val="004035BD"/>
    <w:rsid w:val="00403819"/>
    <w:rsid w:val="00403C86"/>
    <w:rsid w:val="00403E2F"/>
    <w:rsid w:val="0040410D"/>
    <w:rsid w:val="00404170"/>
    <w:rsid w:val="00404997"/>
    <w:rsid w:val="00406068"/>
    <w:rsid w:val="0040649E"/>
    <w:rsid w:val="00406DCD"/>
    <w:rsid w:val="00406F38"/>
    <w:rsid w:val="0040734D"/>
    <w:rsid w:val="0040774B"/>
    <w:rsid w:val="0040779E"/>
    <w:rsid w:val="00407839"/>
    <w:rsid w:val="004079A3"/>
    <w:rsid w:val="004079E1"/>
    <w:rsid w:val="00407A8D"/>
    <w:rsid w:val="004116FC"/>
    <w:rsid w:val="004118AA"/>
    <w:rsid w:val="00411F23"/>
    <w:rsid w:val="004122BB"/>
    <w:rsid w:val="004124FD"/>
    <w:rsid w:val="00412D15"/>
    <w:rsid w:val="0041300D"/>
    <w:rsid w:val="004133A7"/>
    <w:rsid w:val="004137D0"/>
    <w:rsid w:val="0041452E"/>
    <w:rsid w:val="00414549"/>
    <w:rsid w:val="00414C04"/>
    <w:rsid w:val="00415076"/>
    <w:rsid w:val="004152FB"/>
    <w:rsid w:val="004157D7"/>
    <w:rsid w:val="004157F2"/>
    <w:rsid w:val="004158DB"/>
    <w:rsid w:val="00416014"/>
    <w:rsid w:val="004160A5"/>
    <w:rsid w:val="004164D1"/>
    <w:rsid w:val="00416945"/>
    <w:rsid w:val="0041707B"/>
    <w:rsid w:val="004175C7"/>
    <w:rsid w:val="00417876"/>
    <w:rsid w:val="004179F0"/>
    <w:rsid w:val="00417EF8"/>
    <w:rsid w:val="00420437"/>
    <w:rsid w:val="004207F2"/>
    <w:rsid w:val="00420991"/>
    <w:rsid w:val="00420B24"/>
    <w:rsid w:val="00420D1E"/>
    <w:rsid w:val="00420F23"/>
    <w:rsid w:val="004213F4"/>
    <w:rsid w:val="00421562"/>
    <w:rsid w:val="004215D7"/>
    <w:rsid w:val="00421C6D"/>
    <w:rsid w:val="00421D92"/>
    <w:rsid w:val="00422329"/>
    <w:rsid w:val="00422A34"/>
    <w:rsid w:val="00422AD6"/>
    <w:rsid w:val="00422D77"/>
    <w:rsid w:val="00423178"/>
    <w:rsid w:val="004239D3"/>
    <w:rsid w:val="00423A06"/>
    <w:rsid w:val="00423DCB"/>
    <w:rsid w:val="00424718"/>
    <w:rsid w:val="00424F57"/>
    <w:rsid w:val="00425206"/>
    <w:rsid w:val="004255E3"/>
    <w:rsid w:val="00425624"/>
    <w:rsid w:val="00425885"/>
    <w:rsid w:val="00425A09"/>
    <w:rsid w:val="00425F61"/>
    <w:rsid w:val="00426040"/>
    <w:rsid w:val="0042615B"/>
    <w:rsid w:val="0042648E"/>
    <w:rsid w:val="00426871"/>
    <w:rsid w:val="0042694E"/>
    <w:rsid w:val="0043087E"/>
    <w:rsid w:val="00430ED2"/>
    <w:rsid w:val="00431402"/>
    <w:rsid w:val="0043211B"/>
    <w:rsid w:val="0043245D"/>
    <w:rsid w:val="004330B8"/>
    <w:rsid w:val="0043345B"/>
    <w:rsid w:val="004335FA"/>
    <w:rsid w:val="00433C77"/>
    <w:rsid w:val="00433EB8"/>
    <w:rsid w:val="0043403C"/>
    <w:rsid w:val="00434291"/>
    <w:rsid w:val="004342EB"/>
    <w:rsid w:val="00434327"/>
    <w:rsid w:val="00434FAD"/>
    <w:rsid w:val="00435515"/>
    <w:rsid w:val="004359E6"/>
    <w:rsid w:val="00436B59"/>
    <w:rsid w:val="004374CA"/>
    <w:rsid w:val="00437C40"/>
    <w:rsid w:val="00437CD4"/>
    <w:rsid w:val="00437EB7"/>
    <w:rsid w:val="00440124"/>
    <w:rsid w:val="00440518"/>
    <w:rsid w:val="004409D3"/>
    <w:rsid w:val="004413E0"/>
    <w:rsid w:val="00441B9F"/>
    <w:rsid w:val="0044201F"/>
    <w:rsid w:val="0044283E"/>
    <w:rsid w:val="00442900"/>
    <w:rsid w:val="00442E5A"/>
    <w:rsid w:val="004436B7"/>
    <w:rsid w:val="004437E8"/>
    <w:rsid w:val="00443A35"/>
    <w:rsid w:val="004445D6"/>
    <w:rsid w:val="00444BE8"/>
    <w:rsid w:val="00444C40"/>
    <w:rsid w:val="00444D4E"/>
    <w:rsid w:val="00445D81"/>
    <w:rsid w:val="004460A0"/>
    <w:rsid w:val="004465AC"/>
    <w:rsid w:val="004465C7"/>
    <w:rsid w:val="004465F8"/>
    <w:rsid w:val="00446910"/>
    <w:rsid w:val="00446A43"/>
    <w:rsid w:val="00446D9C"/>
    <w:rsid w:val="00446E0D"/>
    <w:rsid w:val="00447CCC"/>
    <w:rsid w:val="00450766"/>
    <w:rsid w:val="00450A84"/>
    <w:rsid w:val="00450EFB"/>
    <w:rsid w:val="0045173C"/>
    <w:rsid w:val="00451936"/>
    <w:rsid w:val="004519F3"/>
    <w:rsid w:val="00451EBF"/>
    <w:rsid w:val="00452620"/>
    <w:rsid w:val="00453006"/>
    <w:rsid w:val="00453BA7"/>
    <w:rsid w:val="0045423A"/>
    <w:rsid w:val="00454939"/>
    <w:rsid w:val="00454D71"/>
    <w:rsid w:val="00454F6E"/>
    <w:rsid w:val="00455C3E"/>
    <w:rsid w:val="00455C48"/>
    <w:rsid w:val="00455C9B"/>
    <w:rsid w:val="004560EB"/>
    <w:rsid w:val="0045644C"/>
    <w:rsid w:val="0045661B"/>
    <w:rsid w:val="00456965"/>
    <w:rsid w:val="004569A5"/>
    <w:rsid w:val="00456ADE"/>
    <w:rsid w:val="00456FD2"/>
    <w:rsid w:val="004571F8"/>
    <w:rsid w:val="0045794C"/>
    <w:rsid w:val="00457A65"/>
    <w:rsid w:val="00457E04"/>
    <w:rsid w:val="00460762"/>
    <w:rsid w:val="00460B12"/>
    <w:rsid w:val="00460D8D"/>
    <w:rsid w:val="00461C93"/>
    <w:rsid w:val="00462680"/>
    <w:rsid w:val="00462F25"/>
    <w:rsid w:val="0046369B"/>
    <w:rsid w:val="0046373D"/>
    <w:rsid w:val="004641CC"/>
    <w:rsid w:val="004644C5"/>
    <w:rsid w:val="00464772"/>
    <w:rsid w:val="00464994"/>
    <w:rsid w:val="00464E51"/>
    <w:rsid w:val="004653FA"/>
    <w:rsid w:val="00465590"/>
    <w:rsid w:val="0046586C"/>
    <w:rsid w:val="0046671B"/>
    <w:rsid w:val="00466943"/>
    <w:rsid w:val="00466A94"/>
    <w:rsid w:val="00466B0A"/>
    <w:rsid w:val="00466C26"/>
    <w:rsid w:val="00467045"/>
    <w:rsid w:val="00467050"/>
    <w:rsid w:val="004673F7"/>
    <w:rsid w:val="004676E3"/>
    <w:rsid w:val="004677EA"/>
    <w:rsid w:val="0046785F"/>
    <w:rsid w:val="004678EB"/>
    <w:rsid w:val="00467AD1"/>
    <w:rsid w:val="00467DAE"/>
    <w:rsid w:val="00467DF5"/>
    <w:rsid w:val="004701E4"/>
    <w:rsid w:val="00470852"/>
    <w:rsid w:val="00470ABC"/>
    <w:rsid w:val="00471720"/>
    <w:rsid w:val="0047184A"/>
    <w:rsid w:val="004718E1"/>
    <w:rsid w:val="00471DF5"/>
    <w:rsid w:val="00472624"/>
    <w:rsid w:val="00472925"/>
    <w:rsid w:val="00472942"/>
    <w:rsid w:val="00473005"/>
    <w:rsid w:val="004730D8"/>
    <w:rsid w:val="0047343F"/>
    <w:rsid w:val="00473584"/>
    <w:rsid w:val="00473B73"/>
    <w:rsid w:val="004744D6"/>
    <w:rsid w:val="004751D6"/>
    <w:rsid w:val="00475893"/>
    <w:rsid w:val="00475BB2"/>
    <w:rsid w:val="0047613C"/>
    <w:rsid w:val="00476FED"/>
    <w:rsid w:val="00477FBA"/>
    <w:rsid w:val="00480078"/>
    <w:rsid w:val="00480421"/>
    <w:rsid w:val="00480489"/>
    <w:rsid w:val="00480503"/>
    <w:rsid w:val="00480C64"/>
    <w:rsid w:val="004813FE"/>
    <w:rsid w:val="0048173F"/>
    <w:rsid w:val="004818A3"/>
    <w:rsid w:val="0048196D"/>
    <w:rsid w:val="00481C8A"/>
    <w:rsid w:val="00481D4D"/>
    <w:rsid w:val="00484356"/>
    <w:rsid w:val="00484741"/>
    <w:rsid w:val="00484922"/>
    <w:rsid w:val="004853DA"/>
    <w:rsid w:val="00485715"/>
    <w:rsid w:val="004861B6"/>
    <w:rsid w:val="00486D22"/>
    <w:rsid w:val="00487146"/>
    <w:rsid w:val="00487207"/>
    <w:rsid w:val="004874A8"/>
    <w:rsid w:val="004875FD"/>
    <w:rsid w:val="00487D88"/>
    <w:rsid w:val="00487EF7"/>
    <w:rsid w:val="004903EE"/>
    <w:rsid w:val="004918BF"/>
    <w:rsid w:val="0049221B"/>
    <w:rsid w:val="00492AEE"/>
    <w:rsid w:val="00492E71"/>
    <w:rsid w:val="004935B8"/>
    <w:rsid w:val="004935CE"/>
    <w:rsid w:val="004936D2"/>
    <w:rsid w:val="00493A67"/>
    <w:rsid w:val="00493BC2"/>
    <w:rsid w:val="00494662"/>
    <w:rsid w:val="004948A0"/>
    <w:rsid w:val="00494928"/>
    <w:rsid w:val="00494A67"/>
    <w:rsid w:val="00494C0B"/>
    <w:rsid w:val="00494CF0"/>
    <w:rsid w:val="00495890"/>
    <w:rsid w:val="00495B39"/>
    <w:rsid w:val="004963B8"/>
    <w:rsid w:val="004964C9"/>
    <w:rsid w:val="00497030"/>
    <w:rsid w:val="00497627"/>
    <w:rsid w:val="0049764E"/>
    <w:rsid w:val="004A0F73"/>
    <w:rsid w:val="004A10FE"/>
    <w:rsid w:val="004A1286"/>
    <w:rsid w:val="004A1802"/>
    <w:rsid w:val="004A1BF1"/>
    <w:rsid w:val="004A1ED9"/>
    <w:rsid w:val="004A230A"/>
    <w:rsid w:val="004A2945"/>
    <w:rsid w:val="004A3226"/>
    <w:rsid w:val="004A388B"/>
    <w:rsid w:val="004A4601"/>
    <w:rsid w:val="004A5046"/>
    <w:rsid w:val="004A50E2"/>
    <w:rsid w:val="004A5655"/>
    <w:rsid w:val="004A597E"/>
    <w:rsid w:val="004A5C3B"/>
    <w:rsid w:val="004A602D"/>
    <w:rsid w:val="004A60BD"/>
    <w:rsid w:val="004A73AB"/>
    <w:rsid w:val="004A746A"/>
    <w:rsid w:val="004A78B1"/>
    <w:rsid w:val="004A7C46"/>
    <w:rsid w:val="004B24C6"/>
    <w:rsid w:val="004B2F00"/>
    <w:rsid w:val="004B2FB0"/>
    <w:rsid w:val="004B35EA"/>
    <w:rsid w:val="004B3739"/>
    <w:rsid w:val="004B38AC"/>
    <w:rsid w:val="004B3D21"/>
    <w:rsid w:val="004B3FB9"/>
    <w:rsid w:val="004B4C75"/>
    <w:rsid w:val="004B4D35"/>
    <w:rsid w:val="004B577B"/>
    <w:rsid w:val="004B5CDB"/>
    <w:rsid w:val="004B634E"/>
    <w:rsid w:val="004B668A"/>
    <w:rsid w:val="004B6937"/>
    <w:rsid w:val="004B6A8A"/>
    <w:rsid w:val="004B6FC1"/>
    <w:rsid w:val="004B758A"/>
    <w:rsid w:val="004C00BD"/>
    <w:rsid w:val="004C024B"/>
    <w:rsid w:val="004C05F3"/>
    <w:rsid w:val="004C10C6"/>
    <w:rsid w:val="004C229A"/>
    <w:rsid w:val="004C29F7"/>
    <w:rsid w:val="004C2FD4"/>
    <w:rsid w:val="004C33EC"/>
    <w:rsid w:val="004C378F"/>
    <w:rsid w:val="004C3A9A"/>
    <w:rsid w:val="004C45D3"/>
    <w:rsid w:val="004C4622"/>
    <w:rsid w:val="004C4B89"/>
    <w:rsid w:val="004C4CDC"/>
    <w:rsid w:val="004C53D8"/>
    <w:rsid w:val="004C5444"/>
    <w:rsid w:val="004C5C1D"/>
    <w:rsid w:val="004C5D64"/>
    <w:rsid w:val="004C5DF8"/>
    <w:rsid w:val="004C606F"/>
    <w:rsid w:val="004C6553"/>
    <w:rsid w:val="004C6D2A"/>
    <w:rsid w:val="004C72A7"/>
    <w:rsid w:val="004C72EE"/>
    <w:rsid w:val="004C75E9"/>
    <w:rsid w:val="004C7872"/>
    <w:rsid w:val="004C79B4"/>
    <w:rsid w:val="004C7A7B"/>
    <w:rsid w:val="004C7E64"/>
    <w:rsid w:val="004D046A"/>
    <w:rsid w:val="004D07E8"/>
    <w:rsid w:val="004D0EEF"/>
    <w:rsid w:val="004D144D"/>
    <w:rsid w:val="004D16C5"/>
    <w:rsid w:val="004D1D64"/>
    <w:rsid w:val="004D2017"/>
    <w:rsid w:val="004D24C0"/>
    <w:rsid w:val="004D2658"/>
    <w:rsid w:val="004D2964"/>
    <w:rsid w:val="004D30D3"/>
    <w:rsid w:val="004D365B"/>
    <w:rsid w:val="004D370D"/>
    <w:rsid w:val="004D3C6D"/>
    <w:rsid w:val="004D427C"/>
    <w:rsid w:val="004D5E44"/>
    <w:rsid w:val="004D5E5F"/>
    <w:rsid w:val="004D6179"/>
    <w:rsid w:val="004D6250"/>
    <w:rsid w:val="004D66C1"/>
    <w:rsid w:val="004D7081"/>
    <w:rsid w:val="004E1538"/>
    <w:rsid w:val="004E215C"/>
    <w:rsid w:val="004E2324"/>
    <w:rsid w:val="004E2583"/>
    <w:rsid w:val="004E28A0"/>
    <w:rsid w:val="004E2E8D"/>
    <w:rsid w:val="004E2E9F"/>
    <w:rsid w:val="004E34B5"/>
    <w:rsid w:val="004E3700"/>
    <w:rsid w:val="004E37A5"/>
    <w:rsid w:val="004E3B18"/>
    <w:rsid w:val="004E3E87"/>
    <w:rsid w:val="004E4501"/>
    <w:rsid w:val="004E468A"/>
    <w:rsid w:val="004E5126"/>
    <w:rsid w:val="004E53FE"/>
    <w:rsid w:val="004E5665"/>
    <w:rsid w:val="004E592A"/>
    <w:rsid w:val="004E5AD0"/>
    <w:rsid w:val="004E5B99"/>
    <w:rsid w:val="004E5FBF"/>
    <w:rsid w:val="004E6702"/>
    <w:rsid w:val="004E6792"/>
    <w:rsid w:val="004E6FE8"/>
    <w:rsid w:val="004E7020"/>
    <w:rsid w:val="004E74FC"/>
    <w:rsid w:val="004E7583"/>
    <w:rsid w:val="004E7722"/>
    <w:rsid w:val="004F09CE"/>
    <w:rsid w:val="004F0F25"/>
    <w:rsid w:val="004F1FF3"/>
    <w:rsid w:val="004F276B"/>
    <w:rsid w:val="004F3218"/>
    <w:rsid w:val="004F3D52"/>
    <w:rsid w:val="004F40D7"/>
    <w:rsid w:val="004F4140"/>
    <w:rsid w:val="004F4B89"/>
    <w:rsid w:val="004F4C8F"/>
    <w:rsid w:val="004F51F6"/>
    <w:rsid w:val="004F55B7"/>
    <w:rsid w:val="004F6318"/>
    <w:rsid w:val="004F7636"/>
    <w:rsid w:val="004F7AC1"/>
    <w:rsid w:val="004F7C09"/>
    <w:rsid w:val="00500553"/>
    <w:rsid w:val="005008A2"/>
    <w:rsid w:val="005009BC"/>
    <w:rsid w:val="00500FEE"/>
    <w:rsid w:val="00501891"/>
    <w:rsid w:val="00501D79"/>
    <w:rsid w:val="005026D6"/>
    <w:rsid w:val="00502704"/>
    <w:rsid w:val="00502917"/>
    <w:rsid w:val="00503A10"/>
    <w:rsid w:val="00503BE6"/>
    <w:rsid w:val="00503E43"/>
    <w:rsid w:val="005040C2"/>
    <w:rsid w:val="005040CB"/>
    <w:rsid w:val="005042E4"/>
    <w:rsid w:val="0050440D"/>
    <w:rsid w:val="00504791"/>
    <w:rsid w:val="00504879"/>
    <w:rsid w:val="00504CE6"/>
    <w:rsid w:val="0050513E"/>
    <w:rsid w:val="00505179"/>
    <w:rsid w:val="00505411"/>
    <w:rsid w:val="00505806"/>
    <w:rsid w:val="0050589C"/>
    <w:rsid w:val="00506593"/>
    <w:rsid w:val="00506DA4"/>
    <w:rsid w:val="00506E90"/>
    <w:rsid w:val="00507259"/>
    <w:rsid w:val="005072B7"/>
    <w:rsid w:val="0050734D"/>
    <w:rsid w:val="0050767D"/>
    <w:rsid w:val="00507C53"/>
    <w:rsid w:val="00510033"/>
    <w:rsid w:val="005109E5"/>
    <w:rsid w:val="00510F4D"/>
    <w:rsid w:val="00511880"/>
    <w:rsid w:val="00511B1C"/>
    <w:rsid w:val="00511D93"/>
    <w:rsid w:val="00511F97"/>
    <w:rsid w:val="00512961"/>
    <w:rsid w:val="00513C95"/>
    <w:rsid w:val="00513CFE"/>
    <w:rsid w:val="00513D7C"/>
    <w:rsid w:val="00514146"/>
    <w:rsid w:val="00514235"/>
    <w:rsid w:val="005144EA"/>
    <w:rsid w:val="0051481B"/>
    <w:rsid w:val="00514C7D"/>
    <w:rsid w:val="00514E43"/>
    <w:rsid w:val="00515021"/>
    <w:rsid w:val="005153F9"/>
    <w:rsid w:val="0051552F"/>
    <w:rsid w:val="0051591F"/>
    <w:rsid w:val="00515ACC"/>
    <w:rsid w:val="0051657E"/>
    <w:rsid w:val="005166C6"/>
    <w:rsid w:val="00516924"/>
    <w:rsid w:val="00516A2F"/>
    <w:rsid w:val="00516DE9"/>
    <w:rsid w:val="00516E86"/>
    <w:rsid w:val="00517043"/>
    <w:rsid w:val="005202A7"/>
    <w:rsid w:val="0052033C"/>
    <w:rsid w:val="00520590"/>
    <w:rsid w:val="00520EB1"/>
    <w:rsid w:val="00521183"/>
    <w:rsid w:val="00521574"/>
    <w:rsid w:val="00522D20"/>
    <w:rsid w:val="0052342F"/>
    <w:rsid w:val="00523971"/>
    <w:rsid w:val="00523EE4"/>
    <w:rsid w:val="005241F9"/>
    <w:rsid w:val="0052434C"/>
    <w:rsid w:val="00524F43"/>
    <w:rsid w:val="005250BC"/>
    <w:rsid w:val="0052536D"/>
    <w:rsid w:val="0052551C"/>
    <w:rsid w:val="00525A00"/>
    <w:rsid w:val="00525C2C"/>
    <w:rsid w:val="00525E0B"/>
    <w:rsid w:val="00525EBB"/>
    <w:rsid w:val="005261B0"/>
    <w:rsid w:val="005264C1"/>
    <w:rsid w:val="00526560"/>
    <w:rsid w:val="00526E92"/>
    <w:rsid w:val="00526FC9"/>
    <w:rsid w:val="00527160"/>
    <w:rsid w:val="0052762F"/>
    <w:rsid w:val="00527A8F"/>
    <w:rsid w:val="0053004F"/>
    <w:rsid w:val="00530161"/>
    <w:rsid w:val="005305C0"/>
    <w:rsid w:val="005308B5"/>
    <w:rsid w:val="0053094C"/>
    <w:rsid w:val="005316BB"/>
    <w:rsid w:val="00531931"/>
    <w:rsid w:val="00531B97"/>
    <w:rsid w:val="00532287"/>
    <w:rsid w:val="005324B1"/>
    <w:rsid w:val="00532848"/>
    <w:rsid w:val="00532E0C"/>
    <w:rsid w:val="00533213"/>
    <w:rsid w:val="00533466"/>
    <w:rsid w:val="0053385D"/>
    <w:rsid w:val="00533946"/>
    <w:rsid w:val="00533C94"/>
    <w:rsid w:val="0053402F"/>
    <w:rsid w:val="005341D7"/>
    <w:rsid w:val="00534931"/>
    <w:rsid w:val="005353D2"/>
    <w:rsid w:val="0053584E"/>
    <w:rsid w:val="00535C79"/>
    <w:rsid w:val="00535C7E"/>
    <w:rsid w:val="00535E75"/>
    <w:rsid w:val="005362E7"/>
    <w:rsid w:val="00536453"/>
    <w:rsid w:val="00536D4A"/>
    <w:rsid w:val="005375EE"/>
    <w:rsid w:val="00540094"/>
    <w:rsid w:val="0054041D"/>
    <w:rsid w:val="00540690"/>
    <w:rsid w:val="005409CB"/>
    <w:rsid w:val="00540CDF"/>
    <w:rsid w:val="005411CB"/>
    <w:rsid w:val="0054153F"/>
    <w:rsid w:val="005417E1"/>
    <w:rsid w:val="005417ED"/>
    <w:rsid w:val="00541807"/>
    <w:rsid w:val="00541AF3"/>
    <w:rsid w:val="00541F1E"/>
    <w:rsid w:val="00542002"/>
    <w:rsid w:val="00542359"/>
    <w:rsid w:val="0054240F"/>
    <w:rsid w:val="005424A5"/>
    <w:rsid w:val="00542A3C"/>
    <w:rsid w:val="00542E0E"/>
    <w:rsid w:val="00543C39"/>
    <w:rsid w:val="00543CB2"/>
    <w:rsid w:val="00543EB0"/>
    <w:rsid w:val="00544261"/>
    <w:rsid w:val="005449C4"/>
    <w:rsid w:val="00544D1A"/>
    <w:rsid w:val="00544ECB"/>
    <w:rsid w:val="00544FAE"/>
    <w:rsid w:val="00545579"/>
    <w:rsid w:val="0054563C"/>
    <w:rsid w:val="00545AD4"/>
    <w:rsid w:val="00545B46"/>
    <w:rsid w:val="0054658C"/>
    <w:rsid w:val="00546801"/>
    <w:rsid w:val="0054681B"/>
    <w:rsid w:val="00546A70"/>
    <w:rsid w:val="00546B4C"/>
    <w:rsid w:val="00546E52"/>
    <w:rsid w:val="00547045"/>
    <w:rsid w:val="00547C03"/>
    <w:rsid w:val="00547CFA"/>
    <w:rsid w:val="00550CA9"/>
    <w:rsid w:val="00550E30"/>
    <w:rsid w:val="00550FB8"/>
    <w:rsid w:val="0055105E"/>
    <w:rsid w:val="0055113E"/>
    <w:rsid w:val="0055296A"/>
    <w:rsid w:val="00552A66"/>
    <w:rsid w:val="00552C42"/>
    <w:rsid w:val="00552DBD"/>
    <w:rsid w:val="00552E1E"/>
    <w:rsid w:val="00552FB3"/>
    <w:rsid w:val="00553535"/>
    <w:rsid w:val="005541D1"/>
    <w:rsid w:val="0055429C"/>
    <w:rsid w:val="00554406"/>
    <w:rsid w:val="0055510E"/>
    <w:rsid w:val="005553BA"/>
    <w:rsid w:val="00555AF4"/>
    <w:rsid w:val="00556144"/>
    <w:rsid w:val="00556329"/>
    <w:rsid w:val="0055658F"/>
    <w:rsid w:val="005567BC"/>
    <w:rsid w:val="00556CD9"/>
    <w:rsid w:val="00557278"/>
    <w:rsid w:val="005578C3"/>
    <w:rsid w:val="00557A11"/>
    <w:rsid w:val="00557ADA"/>
    <w:rsid w:val="005601F2"/>
    <w:rsid w:val="005602B9"/>
    <w:rsid w:val="0056075F"/>
    <w:rsid w:val="00560A2F"/>
    <w:rsid w:val="00562157"/>
    <w:rsid w:val="00562FDC"/>
    <w:rsid w:val="00563130"/>
    <w:rsid w:val="005633CC"/>
    <w:rsid w:val="00563A0C"/>
    <w:rsid w:val="00563D3E"/>
    <w:rsid w:val="005641AC"/>
    <w:rsid w:val="0056438C"/>
    <w:rsid w:val="00564828"/>
    <w:rsid w:val="00564941"/>
    <w:rsid w:val="00564A64"/>
    <w:rsid w:val="00564B1D"/>
    <w:rsid w:val="0056502F"/>
    <w:rsid w:val="005657BC"/>
    <w:rsid w:val="00565A08"/>
    <w:rsid w:val="00565AF4"/>
    <w:rsid w:val="00566059"/>
    <w:rsid w:val="005669A7"/>
    <w:rsid w:val="00566BE7"/>
    <w:rsid w:val="00566D4C"/>
    <w:rsid w:val="00566D54"/>
    <w:rsid w:val="00566FFC"/>
    <w:rsid w:val="00567B76"/>
    <w:rsid w:val="00567C1D"/>
    <w:rsid w:val="0057006F"/>
    <w:rsid w:val="005709A6"/>
    <w:rsid w:val="00571159"/>
    <w:rsid w:val="005726B5"/>
    <w:rsid w:val="00572ED1"/>
    <w:rsid w:val="00572F74"/>
    <w:rsid w:val="00572FF8"/>
    <w:rsid w:val="00573190"/>
    <w:rsid w:val="00573436"/>
    <w:rsid w:val="00573866"/>
    <w:rsid w:val="00573D58"/>
    <w:rsid w:val="0057428D"/>
    <w:rsid w:val="005742A9"/>
    <w:rsid w:val="00575A76"/>
    <w:rsid w:val="00576031"/>
    <w:rsid w:val="00576CA2"/>
    <w:rsid w:val="00576E6C"/>
    <w:rsid w:val="00576F81"/>
    <w:rsid w:val="00577172"/>
    <w:rsid w:val="005774EC"/>
    <w:rsid w:val="0057756A"/>
    <w:rsid w:val="00577CD7"/>
    <w:rsid w:val="005808B6"/>
    <w:rsid w:val="00580B5C"/>
    <w:rsid w:val="00580B8A"/>
    <w:rsid w:val="00580F68"/>
    <w:rsid w:val="005810B1"/>
    <w:rsid w:val="00581182"/>
    <w:rsid w:val="005815BC"/>
    <w:rsid w:val="005816E6"/>
    <w:rsid w:val="0058181E"/>
    <w:rsid w:val="0058197A"/>
    <w:rsid w:val="00581A9C"/>
    <w:rsid w:val="005824D1"/>
    <w:rsid w:val="00582BF1"/>
    <w:rsid w:val="0058362E"/>
    <w:rsid w:val="00583969"/>
    <w:rsid w:val="00583B98"/>
    <w:rsid w:val="00583BCF"/>
    <w:rsid w:val="00583D44"/>
    <w:rsid w:val="00583EEC"/>
    <w:rsid w:val="005841E5"/>
    <w:rsid w:val="005852E3"/>
    <w:rsid w:val="00585353"/>
    <w:rsid w:val="005858D5"/>
    <w:rsid w:val="00585A91"/>
    <w:rsid w:val="00585AF3"/>
    <w:rsid w:val="0058615A"/>
    <w:rsid w:val="0058666C"/>
    <w:rsid w:val="0058678D"/>
    <w:rsid w:val="00586CDD"/>
    <w:rsid w:val="00586DD3"/>
    <w:rsid w:val="00586E51"/>
    <w:rsid w:val="00586E90"/>
    <w:rsid w:val="00587177"/>
    <w:rsid w:val="00590815"/>
    <w:rsid w:val="00590C23"/>
    <w:rsid w:val="00590EE9"/>
    <w:rsid w:val="00591170"/>
    <w:rsid w:val="00591203"/>
    <w:rsid w:val="00591D75"/>
    <w:rsid w:val="00591DF7"/>
    <w:rsid w:val="0059218E"/>
    <w:rsid w:val="00592B5A"/>
    <w:rsid w:val="00592B97"/>
    <w:rsid w:val="00592C5D"/>
    <w:rsid w:val="005931E3"/>
    <w:rsid w:val="00593583"/>
    <w:rsid w:val="0059359E"/>
    <w:rsid w:val="00593A19"/>
    <w:rsid w:val="00593E59"/>
    <w:rsid w:val="005948D3"/>
    <w:rsid w:val="0059526D"/>
    <w:rsid w:val="00595343"/>
    <w:rsid w:val="00595415"/>
    <w:rsid w:val="00595CAB"/>
    <w:rsid w:val="00595EA8"/>
    <w:rsid w:val="00596948"/>
    <w:rsid w:val="00596965"/>
    <w:rsid w:val="00597E38"/>
    <w:rsid w:val="005A06C1"/>
    <w:rsid w:val="005A10B4"/>
    <w:rsid w:val="005A1858"/>
    <w:rsid w:val="005A1D98"/>
    <w:rsid w:val="005A1F58"/>
    <w:rsid w:val="005A27BE"/>
    <w:rsid w:val="005A2B4C"/>
    <w:rsid w:val="005A33CA"/>
    <w:rsid w:val="005A4139"/>
    <w:rsid w:val="005A4882"/>
    <w:rsid w:val="005A51C7"/>
    <w:rsid w:val="005A5E92"/>
    <w:rsid w:val="005A7561"/>
    <w:rsid w:val="005A77E8"/>
    <w:rsid w:val="005A78CB"/>
    <w:rsid w:val="005A7B54"/>
    <w:rsid w:val="005B008C"/>
    <w:rsid w:val="005B0263"/>
    <w:rsid w:val="005B0521"/>
    <w:rsid w:val="005B08CD"/>
    <w:rsid w:val="005B09B0"/>
    <w:rsid w:val="005B0B21"/>
    <w:rsid w:val="005B1613"/>
    <w:rsid w:val="005B1C7D"/>
    <w:rsid w:val="005B1C81"/>
    <w:rsid w:val="005B1EB6"/>
    <w:rsid w:val="005B207F"/>
    <w:rsid w:val="005B211F"/>
    <w:rsid w:val="005B2227"/>
    <w:rsid w:val="005B2777"/>
    <w:rsid w:val="005B30F9"/>
    <w:rsid w:val="005B36E0"/>
    <w:rsid w:val="005B3975"/>
    <w:rsid w:val="005B3DDA"/>
    <w:rsid w:val="005B473B"/>
    <w:rsid w:val="005B51B9"/>
    <w:rsid w:val="005B51BE"/>
    <w:rsid w:val="005B5809"/>
    <w:rsid w:val="005B6652"/>
    <w:rsid w:val="005B668C"/>
    <w:rsid w:val="005B685E"/>
    <w:rsid w:val="005B7837"/>
    <w:rsid w:val="005C0016"/>
    <w:rsid w:val="005C00CC"/>
    <w:rsid w:val="005C0D58"/>
    <w:rsid w:val="005C0F16"/>
    <w:rsid w:val="005C0F5F"/>
    <w:rsid w:val="005C1076"/>
    <w:rsid w:val="005C1FFD"/>
    <w:rsid w:val="005C2187"/>
    <w:rsid w:val="005C2431"/>
    <w:rsid w:val="005C26C0"/>
    <w:rsid w:val="005C33E6"/>
    <w:rsid w:val="005C345E"/>
    <w:rsid w:val="005C38E1"/>
    <w:rsid w:val="005C3A6E"/>
    <w:rsid w:val="005C3E71"/>
    <w:rsid w:val="005C431D"/>
    <w:rsid w:val="005C452C"/>
    <w:rsid w:val="005C5784"/>
    <w:rsid w:val="005C62C3"/>
    <w:rsid w:val="005C6B07"/>
    <w:rsid w:val="005C73B0"/>
    <w:rsid w:val="005C7782"/>
    <w:rsid w:val="005C7F7F"/>
    <w:rsid w:val="005D00E3"/>
    <w:rsid w:val="005D0140"/>
    <w:rsid w:val="005D034D"/>
    <w:rsid w:val="005D080B"/>
    <w:rsid w:val="005D105F"/>
    <w:rsid w:val="005D127D"/>
    <w:rsid w:val="005D1439"/>
    <w:rsid w:val="005D1A2D"/>
    <w:rsid w:val="005D1A5C"/>
    <w:rsid w:val="005D2135"/>
    <w:rsid w:val="005D27E3"/>
    <w:rsid w:val="005D356C"/>
    <w:rsid w:val="005D402D"/>
    <w:rsid w:val="005D4BCB"/>
    <w:rsid w:val="005D5152"/>
    <w:rsid w:val="005D54F9"/>
    <w:rsid w:val="005D615B"/>
    <w:rsid w:val="005D62F0"/>
    <w:rsid w:val="005D6455"/>
    <w:rsid w:val="005D6D36"/>
    <w:rsid w:val="005D7D7B"/>
    <w:rsid w:val="005D7DFB"/>
    <w:rsid w:val="005E071B"/>
    <w:rsid w:val="005E075B"/>
    <w:rsid w:val="005E1A9D"/>
    <w:rsid w:val="005E1BE9"/>
    <w:rsid w:val="005E1E55"/>
    <w:rsid w:val="005E218F"/>
    <w:rsid w:val="005E240D"/>
    <w:rsid w:val="005E29CB"/>
    <w:rsid w:val="005E2ED2"/>
    <w:rsid w:val="005E3ECF"/>
    <w:rsid w:val="005E4026"/>
    <w:rsid w:val="005E40F6"/>
    <w:rsid w:val="005E447C"/>
    <w:rsid w:val="005E464B"/>
    <w:rsid w:val="005E47AA"/>
    <w:rsid w:val="005E4844"/>
    <w:rsid w:val="005E49AB"/>
    <w:rsid w:val="005E4B92"/>
    <w:rsid w:val="005E5129"/>
    <w:rsid w:val="005E5204"/>
    <w:rsid w:val="005E520F"/>
    <w:rsid w:val="005E58F8"/>
    <w:rsid w:val="005E5AAA"/>
    <w:rsid w:val="005E63E9"/>
    <w:rsid w:val="005E682D"/>
    <w:rsid w:val="005E6F9A"/>
    <w:rsid w:val="005E7435"/>
    <w:rsid w:val="005E7CF3"/>
    <w:rsid w:val="005F08DF"/>
    <w:rsid w:val="005F0A55"/>
    <w:rsid w:val="005F0D42"/>
    <w:rsid w:val="005F1625"/>
    <w:rsid w:val="005F1649"/>
    <w:rsid w:val="005F165F"/>
    <w:rsid w:val="005F1792"/>
    <w:rsid w:val="005F219A"/>
    <w:rsid w:val="005F23E0"/>
    <w:rsid w:val="005F2564"/>
    <w:rsid w:val="005F29B7"/>
    <w:rsid w:val="005F2B8C"/>
    <w:rsid w:val="005F3259"/>
    <w:rsid w:val="005F364E"/>
    <w:rsid w:val="005F3959"/>
    <w:rsid w:val="005F3B48"/>
    <w:rsid w:val="005F488D"/>
    <w:rsid w:val="005F54DC"/>
    <w:rsid w:val="005F572C"/>
    <w:rsid w:val="005F5B69"/>
    <w:rsid w:val="005F5E8F"/>
    <w:rsid w:val="005F6068"/>
    <w:rsid w:val="005F69AA"/>
    <w:rsid w:val="005F6C25"/>
    <w:rsid w:val="005F7146"/>
    <w:rsid w:val="005F7648"/>
    <w:rsid w:val="005F7A42"/>
    <w:rsid w:val="0060005D"/>
    <w:rsid w:val="006001E2"/>
    <w:rsid w:val="00600A90"/>
    <w:rsid w:val="00600BA4"/>
    <w:rsid w:val="00600C37"/>
    <w:rsid w:val="00600E62"/>
    <w:rsid w:val="00600F95"/>
    <w:rsid w:val="00601006"/>
    <w:rsid w:val="0060131F"/>
    <w:rsid w:val="00601667"/>
    <w:rsid w:val="006018A7"/>
    <w:rsid w:val="006018D3"/>
    <w:rsid w:val="00602B4C"/>
    <w:rsid w:val="006030D8"/>
    <w:rsid w:val="00603950"/>
    <w:rsid w:val="00603AF1"/>
    <w:rsid w:val="00603F24"/>
    <w:rsid w:val="006047CC"/>
    <w:rsid w:val="00604A53"/>
    <w:rsid w:val="00604AC1"/>
    <w:rsid w:val="006051DB"/>
    <w:rsid w:val="00605387"/>
    <w:rsid w:val="0060590F"/>
    <w:rsid w:val="00605A13"/>
    <w:rsid w:val="00605B4D"/>
    <w:rsid w:val="00605E96"/>
    <w:rsid w:val="006062F1"/>
    <w:rsid w:val="00606943"/>
    <w:rsid w:val="00606B6B"/>
    <w:rsid w:val="00606C24"/>
    <w:rsid w:val="0060701C"/>
    <w:rsid w:val="00607B82"/>
    <w:rsid w:val="00607C93"/>
    <w:rsid w:val="00610316"/>
    <w:rsid w:val="00610A6B"/>
    <w:rsid w:val="00610C3F"/>
    <w:rsid w:val="006118D6"/>
    <w:rsid w:val="00611DD8"/>
    <w:rsid w:val="006125BB"/>
    <w:rsid w:val="0061269C"/>
    <w:rsid w:val="00612841"/>
    <w:rsid w:val="006128C5"/>
    <w:rsid w:val="006129EF"/>
    <w:rsid w:val="00612D1D"/>
    <w:rsid w:val="0061374C"/>
    <w:rsid w:val="00613CA8"/>
    <w:rsid w:val="00613EA3"/>
    <w:rsid w:val="00613F43"/>
    <w:rsid w:val="00614614"/>
    <w:rsid w:val="00614FD1"/>
    <w:rsid w:val="00615097"/>
    <w:rsid w:val="0061522D"/>
    <w:rsid w:val="00615246"/>
    <w:rsid w:val="00615BDA"/>
    <w:rsid w:val="006162E7"/>
    <w:rsid w:val="00616426"/>
    <w:rsid w:val="00616CB3"/>
    <w:rsid w:val="006176C8"/>
    <w:rsid w:val="00620246"/>
    <w:rsid w:val="00620AC7"/>
    <w:rsid w:val="00620DC2"/>
    <w:rsid w:val="00621422"/>
    <w:rsid w:val="0062168A"/>
    <w:rsid w:val="00621905"/>
    <w:rsid w:val="00622959"/>
    <w:rsid w:val="00622A95"/>
    <w:rsid w:val="00622D93"/>
    <w:rsid w:val="00623B05"/>
    <w:rsid w:val="00623C17"/>
    <w:rsid w:val="00624467"/>
    <w:rsid w:val="00624742"/>
    <w:rsid w:val="00624F0A"/>
    <w:rsid w:val="006258D5"/>
    <w:rsid w:val="006261A5"/>
    <w:rsid w:val="006263D2"/>
    <w:rsid w:val="0062640E"/>
    <w:rsid w:val="006264B9"/>
    <w:rsid w:val="00626C6B"/>
    <w:rsid w:val="00626C87"/>
    <w:rsid w:val="00627607"/>
    <w:rsid w:val="00627714"/>
    <w:rsid w:val="00627864"/>
    <w:rsid w:val="0062787B"/>
    <w:rsid w:val="00627C18"/>
    <w:rsid w:val="00627C54"/>
    <w:rsid w:val="0063042C"/>
    <w:rsid w:val="0063082C"/>
    <w:rsid w:val="00630C07"/>
    <w:rsid w:val="00630C7E"/>
    <w:rsid w:val="0063167F"/>
    <w:rsid w:val="006318B4"/>
    <w:rsid w:val="006318C6"/>
    <w:rsid w:val="00631A54"/>
    <w:rsid w:val="00632198"/>
    <w:rsid w:val="006328D1"/>
    <w:rsid w:val="00632BF8"/>
    <w:rsid w:val="00632D3B"/>
    <w:rsid w:val="00632E7D"/>
    <w:rsid w:val="006330DC"/>
    <w:rsid w:val="00633920"/>
    <w:rsid w:val="00633C10"/>
    <w:rsid w:val="00633F9B"/>
    <w:rsid w:val="00634110"/>
    <w:rsid w:val="006344CC"/>
    <w:rsid w:val="0063492A"/>
    <w:rsid w:val="006353B8"/>
    <w:rsid w:val="006357B3"/>
    <w:rsid w:val="00635B68"/>
    <w:rsid w:val="00635E80"/>
    <w:rsid w:val="00635F4C"/>
    <w:rsid w:val="00635FD9"/>
    <w:rsid w:val="00636163"/>
    <w:rsid w:val="00636400"/>
    <w:rsid w:val="00636685"/>
    <w:rsid w:val="00636A09"/>
    <w:rsid w:val="00636B93"/>
    <w:rsid w:val="00636BCB"/>
    <w:rsid w:val="00636D04"/>
    <w:rsid w:val="0063705D"/>
    <w:rsid w:val="00637098"/>
    <w:rsid w:val="0063743F"/>
    <w:rsid w:val="006375E9"/>
    <w:rsid w:val="006378D4"/>
    <w:rsid w:val="00640034"/>
    <w:rsid w:val="00640652"/>
    <w:rsid w:val="00641DB8"/>
    <w:rsid w:val="00642131"/>
    <w:rsid w:val="006427FB"/>
    <w:rsid w:val="00642A32"/>
    <w:rsid w:val="00642C92"/>
    <w:rsid w:val="00643405"/>
    <w:rsid w:val="00643433"/>
    <w:rsid w:val="0064352A"/>
    <w:rsid w:val="00643D1E"/>
    <w:rsid w:val="00643E2C"/>
    <w:rsid w:val="006445DE"/>
    <w:rsid w:val="00645309"/>
    <w:rsid w:val="00645315"/>
    <w:rsid w:val="006458C0"/>
    <w:rsid w:val="00645B98"/>
    <w:rsid w:val="00645C8E"/>
    <w:rsid w:val="00646084"/>
    <w:rsid w:val="00646201"/>
    <w:rsid w:val="00646A89"/>
    <w:rsid w:val="00646B56"/>
    <w:rsid w:val="00646BE5"/>
    <w:rsid w:val="00646BE7"/>
    <w:rsid w:val="00646D48"/>
    <w:rsid w:val="0064700C"/>
    <w:rsid w:val="00647015"/>
    <w:rsid w:val="00647598"/>
    <w:rsid w:val="00647B2B"/>
    <w:rsid w:val="006510A1"/>
    <w:rsid w:val="00651550"/>
    <w:rsid w:val="0065164C"/>
    <w:rsid w:val="0065187F"/>
    <w:rsid w:val="00651CED"/>
    <w:rsid w:val="00651F86"/>
    <w:rsid w:val="0065203D"/>
    <w:rsid w:val="00652A39"/>
    <w:rsid w:val="006538A8"/>
    <w:rsid w:val="00653F29"/>
    <w:rsid w:val="00654012"/>
    <w:rsid w:val="00654355"/>
    <w:rsid w:val="0065499D"/>
    <w:rsid w:val="0065525C"/>
    <w:rsid w:val="00655CA3"/>
    <w:rsid w:val="00655E06"/>
    <w:rsid w:val="006565C6"/>
    <w:rsid w:val="00656986"/>
    <w:rsid w:val="00656EB7"/>
    <w:rsid w:val="0065716F"/>
    <w:rsid w:val="00657278"/>
    <w:rsid w:val="006572B3"/>
    <w:rsid w:val="0065742E"/>
    <w:rsid w:val="0065745A"/>
    <w:rsid w:val="00657B1B"/>
    <w:rsid w:val="00657C59"/>
    <w:rsid w:val="00657FB4"/>
    <w:rsid w:val="0066024A"/>
    <w:rsid w:val="00660334"/>
    <w:rsid w:val="00660356"/>
    <w:rsid w:val="00660873"/>
    <w:rsid w:val="00660E9F"/>
    <w:rsid w:val="00661374"/>
    <w:rsid w:val="006618D2"/>
    <w:rsid w:val="00661949"/>
    <w:rsid w:val="006620E2"/>
    <w:rsid w:val="006625D9"/>
    <w:rsid w:val="00662FF0"/>
    <w:rsid w:val="0066343F"/>
    <w:rsid w:val="00663627"/>
    <w:rsid w:val="00663D26"/>
    <w:rsid w:val="006640DE"/>
    <w:rsid w:val="0066458A"/>
    <w:rsid w:val="00664955"/>
    <w:rsid w:val="00665119"/>
    <w:rsid w:val="0066572F"/>
    <w:rsid w:val="00666400"/>
    <w:rsid w:val="006664C5"/>
    <w:rsid w:val="00666649"/>
    <w:rsid w:val="00666BA7"/>
    <w:rsid w:val="00667286"/>
    <w:rsid w:val="00667850"/>
    <w:rsid w:val="00667F03"/>
    <w:rsid w:val="00667F1F"/>
    <w:rsid w:val="006707B2"/>
    <w:rsid w:val="006707B6"/>
    <w:rsid w:val="00670FB7"/>
    <w:rsid w:val="006711A6"/>
    <w:rsid w:val="006712D2"/>
    <w:rsid w:val="0067138D"/>
    <w:rsid w:val="00671407"/>
    <w:rsid w:val="006714D4"/>
    <w:rsid w:val="00671985"/>
    <w:rsid w:val="00671B6B"/>
    <w:rsid w:val="00671C72"/>
    <w:rsid w:val="006723D0"/>
    <w:rsid w:val="0067299A"/>
    <w:rsid w:val="00672BA5"/>
    <w:rsid w:val="006730EA"/>
    <w:rsid w:val="006736F2"/>
    <w:rsid w:val="00673FDF"/>
    <w:rsid w:val="006740D3"/>
    <w:rsid w:val="006740D4"/>
    <w:rsid w:val="00674292"/>
    <w:rsid w:val="006744B2"/>
    <w:rsid w:val="00674986"/>
    <w:rsid w:val="00674A16"/>
    <w:rsid w:val="00674C08"/>
    <w:rsid w:val="00674C6D"/>
    <w:rsid w:val="00674F12"/>
    <w:rsid w:val="0067567C"/>
    <w:rsid w:val="006756F3"/>
    <w:rsid w:val="006757E8"/>
    <w:rsid w:val="00675B0C"/>
    <w:rsid w:val="00677378"/>
    <w:rsid w:val="00677842"/>
    <w:rsid w:val="00677EB6"/>
    <w:rsid w:val="00677EE7"/>
    <w:rsid w:val="00677EE8"/>
    <w:rsid w:val="00680361"/>
    <w:rsid w:val="00680AAE"/>
    <w:rsid w:val="00681671"/>
    <w:rsid w:val="00681B68"/>
    <w:rsid w:val="00681C0B"/>
    <w:rsid w:val="00681E6D"/>
    <w:rsid w:val="006822CC"/>
    <w:rsid w:val="00682576"/>
    <w:rsid w:val="006825E3"/>
    <w:rsid w:val="006832AB"/>
    <w:rsid w:val="006834E2"/>
    <w:rsid w:val="00683AD9"/>
    <w:rsid w:val="00683B92"/>
    <w:rsid w:val="00684205"/>
    <w:rsid w:val="00684514"/>
    <w:rsid w:val="00684BAD"/>
    <w:rsid w:val="00684BD9"/>
    <w:rsid w:val="00684D9B"/>
    <w:rsid w:val="006854CA"/>
    <w:rsid w:val="0068671A"/>
    <w:rsid w:val="006867F0"/>
    <w:rsid w:val="00686979"/>
    <w:rsid w:val="0068713C"/>
    <w:rsid w:val="006879CB"/>
    <w:rsid w:val="00687D67"/>
    <w:rsid w:val="0069023C"/>
    <w:rsid w:val="00690B9D"/>
    <w:rsid w:val="00690BA0"/>
    <w:rsid w:val="00690C92"/>
    <w:rsid w:val="0069147A"/>
    <w:rsid w:val="006917D5"/>
    <w:rsid w:val="00691A81"/>
    <w:rsid w:val="00691CAB"/>
    <w:rsid w:val="00691DCA"/>
    <w:rsid w:val="0069282E"/>
    <w:rsid w:val="00693199"/>
    <w:rsid w:val="0069384F"/>
    <w:rsid w:val="00693964"/>
    <w:rsid w:val="00693C72"/>
    <w:rsid w:val="00693D47"/>
    <w:rsid w:val="00693DF4"/>
    <w:rsid w:val="0069403E"/>
    <w:rsid w:val="006941B7"/>
    <w:rsid w:val="006942CF"/>
    <w:rsid w:val="0069468D"/>
    <w:rsid w:val="00694B14"/>
    <w:rsid w:val="00694B85"/>
    <w:rsid w:val="0069518E"/>
    <w:rsid w:val="006959B9"/>
    <w:rsid w:val="00695A48"/>
    <w:rsid w:val="00695FC4"/>
    <w:rsid w:val="00696680"/>
    <w:rsid w:val="00696C82"/>
    <w:rsid w:val="00696E5D"/>
    <w:rsid w:val="0069748D"/>
    <w:rsid w:val="00697551"/>
    <w:rsid w:val="006976B2"/>
    <w:rsid w:val="00697B2E"/>
    <w:rsid w:val="00697C76"/>
    <w:rsid w:val="00697CEE"/>
    <w:rsid w:val="00697F3E"/>
    <w:rsid w:val="006A0679"/>
    <w:rsid w:val="006A0F40"/>
    <w:rsid w:val="006A0F84"/>
    <w:rsid w:val="006A104D"/>
    <w:rsid w:val="006A1413"/>
    <w:rsid w:val="006A15E1"/>
    <w:rsid w:val="006A1EE1"/>
    <w:rsid w:val="006A2518"/>
    <w:rsid w:val="006A2605"/>
    <w:rsid w:val="006A2951"/>
    <w:rsid w:val="006A2C5D"/>
    <w:rsid w:val="006A3782"/>
    <w:rsid w:val="006A3D6B"/>
    <w:rsid w:val="006A448F"/>
    <w:rsid w:val="006A587B"/>
    <w:rsid w:val="006A5C1C"/>
    <w:rsid w:val="006A5C9C"/>
    <w:rsid w:val="006A6038"/>
    <w:rsid w:val="006A65BB"/>
    <w:rsid w:val="006A6B3B"/>
    <w:rsid w:val="006B00C6"/>
    <w:rsid w:val="006B00DF"/>
    <w:rsid w:val="006B0530"/>
    <w:rsid w:val="006B0BD0"/>
    <w:rsid w:val="006B14B9"/>
    <w:rsid w:val="006B14D4"/>
    <w:rsid w:val="006B1DBC"/>
    <w:rsid w:val="006B2350"/>
    <w:rsid w:val="006B2858"/>
    <w:rsid w:val="006B2953"/>
    <w:rsid w:val="006B2F04"/>
    <w:rsid w:val="006B2F91"/>
    <w:rsid w:val="006B338C"/>
    <w:rsid w:val="006B3552"/>
    <w:rsid w:val="006B3776"/>
    <w:rsid w:val="006B3911"/>
    <w:rsid w:val="006B3B93"/>
    <w:rsid w:val="006B3C7A"/>
    <w:rsid w:val="006B42F9"/>
    <w:rsid w:val="006B4B58"/>
    <w:rsid w:val="006B4F40"/>
    <w:rsid w:val="006B543E"/>
    <w:rsid w:val="006B571E"/>
    <w:rsid w:val="006B6049"/>
    <w:rsid w:val="006B6455"/>
    <w:rsid w:val="006B669E"/>
    <w:rsid w:val="006B69C3"/>
    <w:rsid w:val="006B7006"/>
    <w:rsid w:val="006B77A0"/>
    <w:rsid w:val="006B7A4E"/>
    <w:rsid w:val="006B7CFC"/>
    <w:rsid w:val="006C00BF"/>
    <w:rsid w:val="006C011D"/>
    <w:rsid w:val="006C05B4"/>
    <w:rsid w:val="006C0747"/>
    <w:rsid w:val="006C0DD4"/>
    <w:rsid w:val="006C24B8"/>
    <w:rsid w:val="006C2C5A"/>
    <w:rsid w:val="006C3038"/>
    <w:rsid w:val="006C310A"/>
    <w:rsid w:val="006C341E"/>
    <w:rsid w:val="006C467C"/>
    <w:rsid w:val="006C4791"/>
    <w:rsid w:val="006C4AA5"/>
    <w:rsid w:val="006C4B0D"/>
    <w:rsid w:val="006C53C7"/>
    <w:rsid w:val="006C544A"/>
    <w:rsid w:val="006C5489"/>
    <w:rsid w:val="006C5672"/>
    <w:rsid w:val="006C577B"/>
    <w:rsid w:val="006C5A4F"/>
    <w:rsid w:val="006C61B3"/>
    <w:rsid w:val="006C6876"/>
    <w:rsid w:val="006C6FF0"/>
    <w:rsid w:val="006C7164"/>
    <w:rsid w:val="006D044E"/>
    <w:rsid w:val="006D05BE"/>
    <w:rsid w:val="006D0F1D"/>
    <w:rsid w:val="006D1DB6"/>
    <w:rsid w:val="006D24D0"/>
    <w:rsid w:val="006D2600"/>
    <w:rsid w:val="006D275E"/>
    <w:rsid w:val="006D2C8E"/>
    <w:rsid w:val="006D2CE9"/>
    <w:rsid w:val="006D31FD"/>
    <w:rsid w:val="006D329B"/>
    <w:rsid w:val="006D3467"/>
    <w:rsid w:val="006D3B21"/>
    <w:rsid w:val="006D3B2D"/>
    <w:rsid w:val="006D4418"/>
    <w:rsid w:val="006D45B7"/>
    <w:rsid w:val="006D46A5"/>
    <w:rsid w:val="006D59E9"/>
    <w:rsid w:val="006D5B16"/>
    <w:rsid w:val="006D5B87"/>
    <w:rsid w:val="006D5F8D"/>
    <w:rsid w:val="006D60E3"/>
    <w:rsid w:val="006D632D"/>
    <w:rsid w:val="006D7334"/>
    <w:rsid w:val="006E00AB"/>
    <w:rsid w:val="006E0702"/>
    <w:rsid w:val="006E0787"/>
    <w:rsid w:val="006E0DE9"/>
    <w:rsid w:val="006E113C"/>
    <w:rsid w:val="006E1EB2"/>
    <w:rsid w:val="006E213A"/>
    <w:rsid w:val="006E29D8"/>
    <w:rsid w:val="006E3418"/>
    <w:rsid w:val="006E341E"/>
    <w:rsid w:val="006E3740"/>
    <w:rsid w:val="006E3792"/>
    <w:rsid w:val="006E3C4F"/>
    <w:rsid w:val="006E3FB1"/>
    <w:rsid w:val="006E4AF8"/>
    <w:rsid w:val="006E4B6B"/>
    <w:rsid w:val="006E5498"/>
    <w:rsid w:val="006E6001"/>
    <w:rsid w:val="006E6C1C"/>
    <w:rsid w:val="006E6FB4"/>
    <w:rsid w:val="006E74DF"/>
    <w:rsid w:val="006F0069"/>
    <w:rsid w:val="006F0381"/>
    <w:rsid w:val="006F03DF"/>
    <w:rsid w:val="006F0454"/>
    <w:rsid w:val="006F07F2"/>
    <w:rsid w:val="006F080D"/>
    <w:rsid w:val="006F09D4"/>
    <w:rsid w:val="006F10FC"/>
    <w:rsid w:val="006F25E3"/>
    <w:rsid w:val="006F26B2"/>
    <w:rsid w:val="006F28AB"/>
    <w:rsid w:val="006F3192"/>
    <w:rsid w:val="006F42B0"/>
    <w:rsid w:val="006F4363"/>
    <w:rsid w:val="006F44D9"/>
    <w:rsid w:val="006F4CCF"/>
    <w:rsid w:val="006F539B"/>
    <w:rsid w:val="006F571F"/>
    <w:rsid w:val="006F586F"/>
    <w:rsid w:val="006F5C29"/>
    <w:rsid w:val="006F6761"/>
    <w:rsid w:val="006F69A2"/>
    <w:rsid w:val="006F70FD"/>
    <w:rsid w:val="006F734B"/>
    <w:rsid w:val="006F7A94"/>
    <w:rsid w:val="006F7CDB"/>
    <w:rsid w:val="006F7D47"/>
    <w:rsid w:val="006F7DCA"/>
    <w:rsid w:val="007005FD"/>
    <w:rsid w:val="00700879"/>
    <w:rsid w:val="00700DA6"/>
    <w:rsid w:val="00700E46"/>
    <w:rsid w:val="0070105F"/>
    <w:rsid w:val="0070133B"/>
    <w:rsid w:val="00701737"/>
    <w:rsid w:val="00701767"/>
    <w:rsid w:val="0070212F"/>
    <w:rsid w:val="00702178"/>
    <w:rsid w:val="00702269"/>
    <w:rsid w:val="007028E5"/>
    <w:rsid w:val="00702A7F"/>
    <w:rsid w:val="0070311F"/>
    <w:rsid w:val="007033E4"/>
    <w:rsid w:val="007035D1"/>
    <w:rsid w:val="00704826"/>
    <w:rsid w:val="007048FC"/>
    <w:rsid w:val="00704C6F"/>
    <w:rsid w:val="00704EDC"/>
    <w:rsid w:val="00705E8F"/>
    <w:rsid w:val="00705F56"/>
    <w:rsid w:val="00706808"/>
    <w:rsid w:val="00706F47"/>
    <w:rsid w:val="00710B24"/>
    <w:rsid w:val="00711537"/>
    <w:rsid w:val="007118AB"/>
    <w:rsid w:val="00711B70"/>
    <w:rsid w:val="0071200E"/>
    <w:rsid w:val="00712207"/>
    <w:rsid w:val="007123EE"/>
    <w:rsid w:val="007125B8"/>
    <w:rsid w:val="007131F6"/>
    <w:rsid w:val="00713222"/>
    <w:rsid w:val="00713DA9"/>
    <w:rsid w:val="00714001"/>
    <w:rsid w:val="00714092"/>
    <w:rsid w:val="00714178"/>
    <w:rsid w:val="00714340"/>
    <w:rsid w:val="00714853"/>
    <w:rsid w:val="007149DB"/>
    <w:rsid w:val="00714E0E"/>
    <w:rsid w:val="00715694"/>
    <w:rsid w:val="007156F8"/>
    <w:rsid w:val="007169B7"/>
    <w:rsid w:val="00716B69"/>
    <w:rsid w:val="0071755B"/>
    <w:rsid w:val="00717B36"/>
    <w:rsid w:val="00717BD7"/>
    <w:rsid w:val="0072054F"/>
    <w:rsid w:val="00720B24"/>
    <w:rsid w:val="007217FA"/>
    <w:rsid w:val="00721881"/>
    <w:rsid w:val="00721D99"/>
    <w:rsid w:val="00721EA1"/>
    <w:rsid w:val="0072205D"/>
    <w:rsid w:val="00722AE3"/>
    <w:rsid w:val="00722BB1"/>
    <w:rsid w:val="00722C04"/>
    <w:rsid w:val="00722FAE"/>
    <w:rsid w:val="007231A0"/>
    <w:rsid w:val="00723584"/>
    <w:rsid w:val="00723772"/>
    <w:rsid w:val="007239C4"/>
    <w:rsid w:val="0072406E"/>
    <w:rsid w:val="0072538C"/>
    <w:rsid w:val="007253BC"/>
    <w:rsid w:val="00725920"/>
    <w:rsid w:val="00726319"/>
    <w:rsid w:val="00726C76"/>
    <w:rsid w:val="00727B2C"/>
    <w:rsid w:val="00727D2F"/>
    <w:rsid w:val="00727E41"/>
    <w:rsid w:val="007303A6"/>
    <w:rsid w:val="00730AED"/>
    <w:rsid w:val="00730DE8"/>
    <w:rsid w:val="00730EA1"/>
    <w:rsid w:val="00731442"/>
    <w:rsid w:val="0073151C"/>
    <w:rsid w:val="00731E20"/>
    <w:rsid w:val="007321C8"/>
    <w:rsid w:val="00732850"/>
    <w:rsid w:val="007331D0"/>
    <w:rsid w:val="00733279"/>
    <w:rsid w:val="00733722"/>
    <w:rsid w:val="00733F3A"/>
    <w:rsid w:val="00734908"/>
    <w:rsid w:val="00734A4B"/>
    <w:rsid w:val="00734D2B"/>
    <w:rsid w:val="00735A5B"/>
    <w:rsid w:val="00735CA9"/>
    <w:rsid w:val="00736415"/>
    <w:rsid w:val="007369E9"/>
    <w:rsid w:val="00736FEF"/>
    <w:rsid w:val="007373FC"/>
    <w:rsid w:val="00737524"/>
    <w:rsid w:val="0074032B"/>
    <w:rsid w:val="00740AF6"/>
    <w:rsid w:val="00740B4C"/>
    <w:rsid w:val="00740D2C"/>
    <w:rsid w:val="00740DCD"/>
    <w:rsid w:val="00741543"/>
    <w:rsid w:val="00741689"/>
    <w:rsid w:val="00741D62"/>
    <w:rsid w:val="0074277A"/>
    <w:rsid w:val="007428AE"/>
    <w:rsid w:val="00743180"/>
    <w:rsid w:val="00743624"/>
    <w:rsid w:val="00743B88"/>
    <w:rsid w:val="00743C47"/>
    <w:rsid w:val="00743DE9"/>
    <w:rsid w:val="00744558"/>
    <w:rsid w:val="007445D5"/>
    <w:rsid w:val="007449F5"/>
    <w:rsid w:val="007458EE"/>
    <w:rsid w:val="007461B2"/>
    <w:rsid w:val="00746276"/>
    <w:rsid w:val="00746355"/>
    <w:rsid w:val="00746C2C"/>
    <w:rsid w:val="00746E77"/>
    <w:rsid w:val="00746FC7"/>
    <w:rsid w:val="007470D0"/>
    <w:rsid w:val="00747105"/>
    <w:rsid w:val="007474BD"/>
    <w:rsid w:val="007475B4"/>
    <w:rsid w:val="0074784E"/>
    <w:rsid w:val="00747C2C"/>
    <w:rsid w:val="0075020D"/>
    <w:rsid w:val="007507A5"/>
    <w:rsid w:val="00750AC2"/>
    <w:rsid w:val="0075134F"/>
    <w:rsid w:val="007515D9"/>
    <w:rsid w:val="007518E7"/>
    <w:rsid w:val="00751B73"/>
    <w:rsid w:val="00752148"/>
    <w:rsid w:val="007529A5"/>
    <w:rsid w:val="00752BEB"/>
    <w:rsid w:val="00752C6A"/>
    <w:rsid w:val="007534ED"/>
    <w:rsid w:val="007536A4"/>
    <w:rsid w:val="00754303"/>
    <w:rsid w:val="00754564"/>
    <w:rsid w:val="0075458F"/>
    <w:rsid w:val="007547D0"/>
    <w:rsid w:val="00754C81"/>
    <w:rsid w:val="00755445"/>
    <w:rsid w:val="0075557E"/>
    <w:rsid w:val="00755DF7"/>
    <w:rsid w:val="0075653F"/>
    <w:rsid w:val="007605C1"/>
    <w:rsid w:val="007610D7"/>
    <w:rsid w:val="007618FF"/>
    <w:rsid w:val="00761C36"/>
    <w:rsid w:val="0076220A"/>
    <w:rsid w:val="007622C6"/>
    <w:rsid w:val="00762570"/>
    <w:rsid w:val="007627B2"/>
    <w:rsid w:val="00762C5A"/>
    <w:rsid w:val="00762D8E"/>
    <w:rsid w:val="007630F4"/>
    <w:rsid w:val="00763511"/>
    <w:rsid w:val="00763C19"/>
    <w:rsid w:val="007643CF"/>
    <w:rsid w:val="00764752"/>
    <w:rsid w:val="00764924"/>
    <w:rsid w:val="007649EC"/>
    <w:rsid w:val="007655AA"/>
    <w:rsid w:val="007656D6"/>
    <w:rsid w:val="0076598B"/>
    <w:rsid w:val="00765A3E"/>
    <w:rsid w:val="00766213"/>
    <w:rsid w:val="007668C4"/>
    <w:rsid w:val="00766CC8"/>
    <w:rsid w:val="00766FF2"/>
    <w:rsid w:val="007673B4"/>
    <w:rsid w:val="00767C83"/>
    <w:rsid w:val="00770611"/>
    <w:rsid w:val="00770795"/>
    <w:rsid w:val="007712BC"/>
    <w:rsid w:val="00771311"/>
    <w:rsid w:val="007713F4"/>
    <w:rsid w:val="0077158F"/>
    <w:rsid w:val="00771D33"/>
    <w:rsid w:val="00771E45"/>
    <w:rsid w:val="00772902"/>
    <w:rsid w:val="00772BFB"/>
    <w:rsid w:val="00773331"/>
    <w:rsid w:val="007734C9"/>
    <w:rsid w:val="0077375C"/>
    <w:rsid w:val="007739A6"/>
    <w:rsid w:val="00773C15"/>
    <w:rsid w:val="00774790"/>
    <w:rsid w:val="007749BD"/>
    <w:rsid w:val="00775758"/>
    <w:rsid w:val="00775EB4"/>
    <w:rsid w:val="007774CC"/>
    <w:rsid w:val="0077799B"/>
    <w:rsid w:val="00777F6B"/>
    <w:rsid w:val="00780977"/>
    <w:rsid w:val="00780D86"/>
    <w:rsid w:val="00781549"/>
    <w:rsid w:val="00781682"/>
    <w:rsid w:val="00781AAD"/>
    <w:rsid w:val="00781EC5"/>
    <w:rsid w:val="00782456"/>
    <w:rsid w:val="007826B8"/>
    <w:rsid w:val="007828CE"/>
    <w:rsid w:val="00782A37"/>
    <w:rsid w:val="007831C9"/>
    <w:rsid w:val="00783A39"/>
    <w:rsid w:val="007843A4"/>
    <w:rsid w:val="007843C7"/>
    <w:rsid w:val="007844EB"/>
    <w:rsid w:val="0078504E"/>
    <w:rsid w:val="007856DD"/>
    <w:rsid w:val="00785AF4"/>
    <w:rsid w:val="00786255"/>
    <w:rsid w:val="00786514"/>
    <w:rsid w:val="00786833"/>
    <w:rsid w:val="00786C1C"/>
    <w:rsid w:val="00786DE9"/>
    <w:rsid w:val="00787427"/>
    <w:rsid w:val="007875A1"/>
    <w:rsid w:val="007876D7"/>
    <w:rsid w:val="00787744"/>
    <w:rsid w:val="007878ED"/>
    <w:rsid w:val="00787AE5"/>
    <w:rsid w:val="00787B3F"/>
    <w:rsid w:val="0079005C"/>
    <w:rsid w:val="007901F9"/>
    <w:rsid w:val="00790288"/>
    <w:rsid w:val="0079054A"/>
    <w:rsid w:val="007916E8"/>
    <w:rsid w:val="007919FB"/>
    <w:rsid w:val="00791C9F"/>
    <w:rsid w:val="00792F3C"/>
    <w:rsid w:val="007932EF"/>
    <w:rsid w:val="007938FA"/>
    <w:rsid w:val="00793AA7"/>
    <w:rsid w:val="00794198"/>
    <w:rsid w:val="007941F3"/>
    <w:rsid w:val="007943E4"/>
    <w:rsid w:val="00794AB9"/>
    <w:rsid w:val="00794C36"/>
    <w:rsid w:val="00794D59"/>
    <w:rsid w:val="00794E43"/>
    <w:rsid w:val="00795155"/>
    <w:rsid w:val="00795386"/>
    <w:rsid w:val="00795E5F"/>
    <w:rsid w:val="00795FF6"/>
    <w:rsid w:val="00796661"/>
    <w:rsid w:val="00796E0A"/>
    <w:rsid w:val="00796F20"/>
    <w:rsid w:val="007973B1"/>
    <w:rsid w:val="00797AB9"/>
    <w:rsid w:val="00797ED8"/>
    <w:rsid w:val="00797F0D"/>
    <w:rsid w:val="007A001D"/>
    <w:rsid w:val="007A010B"/>
    <w:rsid w:val="007A0E5E"/>
    <w:rsid w:val="007A1241"/>
    <w:rsid w:val="007A2DC1"/>
    <w:rsid w:val="007A3A4D"/>
    <w:rsid w:val="007A3BE9"/>
    <w:rsid w:val="007A3D4C"/>
    <w:rsid w:val="007A5254"/>
    <w:rsid w:val="007A53FA"/>
    <w:rsid w:val="007A5692"/>
    <w:rsid w:val="007A5959"/>
    <w:rsid w:val="007A5AA9"/>
    <w:rsid w:val="007A61EA"/>
    <w:rsid w:val="007A6435"/>
    <w:rsid w:val="007A6B78"/>
    <w:rsid w:val="007A6D95"/>
    <w:rsid w:val="007A7B69"/>
    <w:rsid w:val="007A7F89"/>
    <w:rsid w:val="007B0168"/>
    <w:rsid w:val="007B0C06"/>
    <w:rsid w:val="007B2706"/>
    <w:rsid w:val="007B33C3"/>
    <w:rsid w:val="007B33CE"/>
    <w:rsid w:val="007B37AB"/>
    <w:rsid w:val="007B3A9B"/>
    <w:rsid w:val="007B46D6"/>
    <w:rsid w:val="007B4D41"/>
    <w:rsid w:val="007B53FC"/>
    <w:rsid w:val="007B5A2D"/>
    <w:rsid w:val="007B5E6C"/>
    <w:rsid w:val="007B61E1"/>
    <w:rsid w:val="007B6A89"/>
    <w:rsid w:val="007B6DBB"/>
    <w:rsid w:val="007B7DF7"/>
    <w:rsid w:val="007C03D8"/>
    <w:rsid w:val="007C05F4"/>
    <w:rsid w:val="007C0A7D"/>
    <w:rsid w:val="007C1418"/>
    <w:rsid w:val="007C167F"/>
    <w:rsid w:val="007C17DC"/>
    <w:rsid w:val="007C1BFD"/>
    <w:rsid w:val="007C22E1"/>
    <w:rsid w:val="007C2719"/>
    <w:rsid w:val="007C2C2A"/>
    <w:rsid w:val="007C2E32"/>
    <w:rsid w:val="007C2F9B"/>
    <w:rsid w:val="007C313B"/>
    <w:rsid w:val="007C368B"/>
    <w:rsid w:val="007C378E"/>
    <w:rsid w:val="007C3D26"/>
    <w:rsid w:val="007C3E17"/>
    <w:rsid w:val="007C3F8A"/>
    <w:rsid w:val="007C417E"/>
    <w:rsid w:val="007C41BF"/>
    <w:rsid w:val="007C4217"/>
    <w:rsid w:val="007C4F95"/>
    <w:rsid w:val="007C5B11"/>
    <w:rsid w:val="007C5F14"/>
    <w:rsid w:val="007C619C"/>
    <w:rsid w:val="007C67BE"/>
    <w:rsid w:val="007C6A96"/>
    <w:rsid w:val="007C6B77"/>
    <w:rsid w:val="007C6E27"/>
    <w:rsid w:val="007C6E6D"/>
    <w:rsid w:val="007C71E7"/>
    <w:rsid w:val="007C726F"/>
    <w:rsid w:val="007C741A"/>
    <w:rsid w:val="007C7A79"/>
    <w:rsid w:val="007D044D"/>
    <w:rsid w:val="007D1128"/>
    <w:rsid w:val="007D1634"/>
    <w:rsid w:val="007D1682"/>
    <w:rsid w:val="007D2E0A"/>
    <w:rsid w:val="007D330A"/>
    <w:rsid w:val="007D34B3"/>
    <w:rsid w:val="007D38CA"/>
    <w:rsid w:val="007D3D18"/>
    <w:rsid w:val="007D3D9D"/>
    <w:rsid w:val="007D41B4"/>
    <w:rsid w:val="007D45D2"/>
    <w:rsid w:val="007D4916"/>
    <w:rsid w:val="007D4AC7"/>
    <w:rsid w:val="007D4DF3"/>
    <w:rsid w:val="007D5280"/>
    <w:rsid w:val="007D56F6"/>
    <w:rsid w:val="007D5998"/>
    <w:rsid w:val="007D5A24"/>
    <w:rsid w:val="007D5B39"/>
    <w:rsid w:val="007D5B40"/>
    <w:rsid w:val="007D5C0C"/>
    <w:rsid w:val="007D5DB8"/>
    <w:rsid w:val="007D65FB"/>
    <w:rsid w:val="007D66AF"/>
    <w:rsid w:val="007D6768"/>
    <w:rsid w:val="007D734B"/>
    <w:rsid w:val="007D7580"/>
    <w:rsid w:val="007D75CD"/>
    <w:rsid w:val="007D7871"/>
    <w:rsid w:val="007D78D7"/>
    <w:rsid w:val="007D7E9C"/>
    <w:rsid w:val="007E0170"/>
    <w:rsid w:val="007E05B0"/>
    <w:rsid w:val="007E0F2B"/>
    <w:rsid w:val="007E1EF7"/>
    <w:rsid w:val="007E2F11"/>
    <w:rsid w:val="007E3281"/>
    <w:rsid w:val="007E3721"/>
    <w:rsid w:val="007E37CE"/>
    <w:rsid w:val="007E48B2"/>
    <w:rsid w:val="007E4DCD"/>
    <w:rsid w:val="007E52A2"/>
    <w:rsid w:val="007E5952"/>
    <w:rsid w:val="007E59E6"/>
    <w:rsid w:val="007E6628"/>
    <w:rsid w:val="007E690C"/>
    <w:rsid w:val="007E76D0"/>
    <w:rsid w:val="007E7D59"/>
    <w:rsid w:val="007F029D"/>
    <w:rsid w:val="007F0406"/>
    <w:rsid w:val="007F0C7A"/>
    <w:rsid w:val="007F0C7C"/>
    <w:rsid w:val="007F0F64"/>
    <w:rsid w:val="007F14BA"/>
    <w:rsid w:val="007F1714"/>
    <w:rsid w:val="007F1897"/>
    <w:rsid w:val="007F1E4C"/>
    <w:rsid w:val="007F1EC6"/>
    <w:rsid w:val="007F2116"/>
    <w:rsid w:val="007F248E"/>
    <w:rsid w:val="007F2855"/>
    <w:rsid w:val="007F2872"/>
    <w:rsid w:val="007F2B3E"/>
    <w:rsid w:val="007F2D67"/>
    <w:rsid w:val="007F30FA"/>
    <w:rsid w:val="007F32D4"/>
    <w:rsid w:val="007F33EA"/>
    <w:rsid w:val="007F348B"/>
    <w:rsid w:val="007F34FC"/>
    <w:rsid w:val="007F36E0"/>
    <w:rsid w:val="007F4975"/>
    <w:rsid w:val="007F595C"/>
    <w:rsid w:val="007F5FE8"/>
    <w:rsid w:val="007F60FD"/>
    <w:rsid w:val="007F6231"/>
    <w:rsid w:val="007F6351"/>
    <w:rsid w:val="007F6360"/>
    <w:rsid w:val="007F64B8"/>
    <w:rsid w:val="007F6E21"/>
    <w:rsid w:val="007F6E60"/>
    <w:rsid w:val="007F6F53"/>
    <w:rsid w:val="007F76FF"/>
    <w:rsid w:val="007F77D9"/>
    <w:rsid w:val="007F797B"/>
    <w:rsid w:val="007F7FD4"/>
    <w:rsid w:val="008003A6"/>
    <w:rsid w:val="008008D7"/>
    <w:rsid w:val="0080143F"/>
    <w:rsid w:val="00801758"/>
    <w:rsid w:val="00801878"/>
    <w:rsid w:val="00801915"/>
    <w:rsid w:val="00801941"/>
    <w:rsid w:val="0080205E"/>
    <w:rsid w:val="008033E9"/>
    <w:rsid w:val="00804222"/>
    <w:rsid w:val="008049FC"/>
    <w:rsid w:val="00804EF3"/>
    <w:rsid w:val="00804F93"/>
    <w:rsid w:val="008051CC"/>
    <w:rsid w:val="00805E4B"/>
    <w:rsid w:val="00806522"/>
    <w:rsid w:val="008066C4"/>
    <w:rsid w:val="00806EFC"/>
    <w:rsid w:val="00810B35"/>
    <w:rsid w:val="008115DC"/>
    <w:rsid w:val="008116C2"/>
    <w:rsid w:val="008119C4"/>
    <w:rsid w:val="008124BC"/>
    <w:rsid w:val="00812C7D"/>
    <w:rsid w:val="00812D54"/>
    <w:rsid w:val="008136CF"/>
    <w:rsid w:val="008137D6"/>
    <w:rsid w:val="00813BAB"/>
    <w:rsid w:val="00813C6C"/>
    <w:rsid w:val="00814347"/>
    <w:rsid w:val="00814D01"/>
    <w:rsid w:val="00815341"/>
    <w:rsid w:val="0081541E"/>
    <w:rsid w:val="00815752"/>
    <w:rsid w:val="008158C0"/>
    <w:rsid w:val="00815B58"/>
    <w:rsid w:val="00816779"/>
    <w:rsid w:val="00816BA8"/>
    <w:rsid w:val="00816E3C"/>
    <w:rsid w:val="00816F1D"/>
    <w:rsid w:val="00821208"/>
    <w:rsid w:val="008217F0"/>
    <w:rsid w:val="0082185E"/>
    <w:rsid w:val="0082196D"/>
    <w:rsid w:val="00821B81"/>
    <w:rsid w:val="00821DF2"/>
    <w:rsid w:val="00822140"/>
    <w:rsid w:val="0082260F"/>
    <w:rsid w:val="00823077"/>
    <w:rsid w:val="0082387D"/>
    <w:rsid w:val="00823E58"/>
    <w:rsid w:val="0082418E"/>
    <w:rsid w:val="00824918"/>
    <w:rsid w:val="00824C80"/>
    <w:rsid w:val="008256BD"/>
    <w:rsid w:val="0082652D"/>
    <w:rsid w:val="00826604"/>
    <w:rsid w:val="0082678D"/>
    <w:rsid w:val="008268C4"/>
    <w:rsid w:val="00826ED5"/>
    <w:rsid w:val="00826FC5"/>
    <w:rsid w:val="00827442"/>
    <w:rsid w:val="00827803"/>
    <w:rsid w:val="008279D7"/>
    <w:rsid w:val="00827B64"/>
    <w:rsid w:val="00827F41"/>
    <w:rsid w:val="00830342"/>
    <w:rsid w:val="0083077A"/>
    <w:rsid w:val="00830DC2"/>
    <w:rsid w:val="00830E71"/>
    <w:rsid w:val="008314CB"/>
    <w:rsid w:val="00831E36"/>
    <w:rsid w:val="00831F32"/>
    <w:rsid w:val="0083278F"/>
    <w:rsid w:val="008328C6"/>
    <w:rsid w:val="00833020"/>
    <w:rsid w:val="00833530"/>
    <w:rsid w:val="00833F37"/>
    <w:rsid w:val="00834461"/>
    <w:rsid w:val="00834C69"/>
    <w:rsid w:val="00834D02"/>
    <w:rsid w:val="008355F8"/>
    <w:rsid w:val="00835F17"/>
    <w:rsid w:val="00836210"/>
    <w:rsid w:val="008379EA"/>
    <w:rsid w:val="00837C74"/>
    <w:rsid w:val="00840A80"/>
    <w:rsid w:val="00841508"/>
    <w:rsid w:val="008416F0"/>
    <w:rsid w:val="00841744"/>
    <w:rsid w:val="008424D9"/>
    <w:rsid w:val="0084251B"/>
    <w:rsid w:val="008425FF"/>
    <w:rsid w:val="008427C5"/>
    <w:rsid w:val="00842832"/>
    <w:rsid w:val="0084367A"/>
    <w:rsid w:val="00843FCA"/>
    <w:rsid w:val="008443BF"/>
    <w:rsid w:val="00844903"/>
    <w:rsid w:val="00845087"/>
    <w:rsid w:val="0084509B"/>
    <w:rsid w:val="00845173"/>
    <w:rsid w:val="00845742"/>
    <w:rsid w:val="00845DC0"/>
    <w:rsid w:val="00845FDC"/>
    <w:rsid w:val="0084610C"/>
    <w:rsid w:val="008465CE"/>
    <w:rsid w:val="00846784"/>
    <w:rsid w:val="008474CD"/>
    <w:rsid w:val="00847730"/>
    <w:rsid w:val="00847F9F"/>
    <w:rsid w:val="00850C01"/>
    <w:rsid w:val="00850D62"/>
    <w:rsid w:val="00851258"/>
    <w:rsid w:val="008516D1"/>
    <w:rsid w:val="00851E39"/>
    <w:rsid w:val="00851FF4"/>
    <w:rsid w:val="00852231"/>
    <w:rsid w:val="00852600"/>
    <w:rsid w:val="00852BB3"/>
    <w:rsid w:val="00852F91"/>
    <w:rsid w:val="00853FCA"/>
    <w:rsid w:val="008544D4"/>
    <w:rsid w:val="00855508"/>
    <w:rsid w:val="00855B4F"/>
    <w:rsid w:val="00856100"/>
    <w:rsid w:val="008564B6"/>
    <w:rsid w:val="00856594"/>
    <w:rsid w:val="008568BA"/>
    <w:rsid w:val="008576C7"/>
    <w:rsid w:val="00857770"/>
    <w:rsid w:val="008579BC"/>
    <w:rsid w:val="00857BA2"/>
    <w:rsid w:val="00857CC0"/>
    <w:rsid w:val="00857D63"/>
    <w:rsid w:val="00857D9B"/>
    <w:rsid w:val="00860AA2"/>
    <w:rsid w:val="00860B32"/>
    <w:rsid w:val="00860C66"/>
    <w:rsid w:val="00860DE2"/>
    <w:rsid w:val="00860E01"/>
    <w:rsid w:val="00860F0F"/>
    <w:rsid w:val="008618BF"/>
    <w:rsid w:val="00861AC9"/>
    <w:rsid w:val="00861BAE"/>
    <w:rsid w:val="0086204E"/>
    <w:rsid w:val="00862AFB"/>
    <w:rsid w:val="00862C7A"/>
    <w:rsid w:val="0086314D"/>
    <w:rsid w:val="00863389"/>
    <w:rsid w:val="008638DA"/>
    <w:rsid w:val="00863A97"/>
    <w:rsid w:val="008640E6"/>
    <w:rsid w:val="00864518"/>
    <w:rsid w:val="008645F9"/>
    <w:rsid w:val="0086488B"/>
    <w:rsid w:val="00864ADC"/>
    <w:rsid w:val="00864D59"/>
    <w:rsid w:val="00864FB5"/>
    <w:rsid w:val="00865772"/>
    <w:rsid w:val="008658A6"/>
    <w:rsid w:val="00865D3E"/>
    <w:rsid w:val="00865DE8"/>
    <w:rsid w:val="00865FED"/>
    <w:rsid w:val="00866E98"/>
    <w:rsid w:val="00866FE7"/>
    <w:rsid w:val="00867DF1"/>
    <w:rsid w:val="00867E22"/>
    <w:rsid w:val="00872447"/>
    <w:rsid w:val="00872966"/>
    <w:rsid w:val="008729DE"/>
    <w:rsid w:val="00872AE4"/>
    <w:rsid w:val="00872C22"/>
    <w:rsid w:val="008735D6"/>
    <w:rsid w:val="00873F91"/>
    <w:rsid w:val="00873FFE"/>
    <w:rsid w:val="0087406F"/>
    <w:rsid w:val="00874CEB"/>
    <w:rsid w:val="00874D22"/>
    <w:rsid w:val="008752C4"/>
    <w:rsid w:val="00875681"/>
    <w:rsid w:val="00875742"/>
    <w:rsid w:val="00875F6D"/>
    <w:rsid w:val="008763CF"/>
    <w:rsid w:val="008764C8"/>
    <w:rsid w:val="00876574"/>
    <w:rsid w:val="008776D9"/>
    <w:rsid w:val="00877AE6"/>
    <w:rsid w:val="00877E74"/>
    <w:rsid w:val="00877F9C"/>
    <w:rsid w:val="008805DD"/>
    <w:rsid w:val="0088188A"/>
    <w:rsid w:val="0088191B"/>
    <w:rsid w:val="00882B8E"/>
    <w:rsid w:val="00882CED"/>
    <w:rsid w:val="00882F6F"/>
    <w:rsid w:val="00883D1C"/>
    <w:rsid w:val="00884291"/>
    <w:rsid w:val="008849A9"/>
    <w:rsid w:val="00884EC7"/>
    <w:rsid w:val="00884FF9"/>
    <w:rsid w:val="0088505C"/>
    <w:rsid w:val="00885D81"/>
    <w:rsid w:val="008860BB"/>
    <w:rsid w:val="00887EDE"/>
    <w:rsid w:val="008900D3"/>
    <w:rsid w:val="00890188"/>
    <w:rsid w:val="008902C9"/>
    <w:rsid w:val="00890792"/>
    <w:rsid w:val="0089082C"/>
    <w:rsid w:val="00890CF5"/>
    <w:rsid w:val="00890E46"/>
    <w:rsid w:val="00891672"/>
    <w:rsid w:val="0089174F"/>
    <w:rsid w:val="00891A08"/>
    <w:rsid w:val="00891CD8"/>
    <w:rsid w:val="00892436"/>
    <w:rsid w:val="00892AA1"/>
    <w:rsid w:val="00894399"/>
    <w:rsid w:val="00894677"/>
    <w:rsid w:val="0089496F"/>
    <w:rsid w:val="00894ADC"/>
    <w:rsid w:val="00894CD9"/>
    <w:rsid w:val="00894D8D"/>
    <w:rsid w:val="00895280"/>
    <w:rsid w:val="008952AB"/>
    <w:rsid w:val="00895D6C"/>
    <w:rsid w:val="00896748"/>
    <w:rsid w:val="0089688B"/>
    <w:rsid w:val="008970DF"/>
    <w:rsid w:val="00897F2B"/>
    <w:rsid w:val="008A0500"/>
    <w:rsid w:val="008A09F3"/>
    <w:rsid w:val="008A17E6"/>
    <w:rsid w:val="008A1E28"/>
    <w:rsid w:val="008A1EC5"/>
    <w:rsid w:val="008A22DD"/>
    <w:rsid w:val="008A2463"/>
    <w:rsid w:val="008A24F1"/>
    <w:rsid w:val="008A2699"/>
    <w:rsid w:val="008A2914"/>
    <w:rsid w:val="008A2959"/>
    <w:rsid w:val="008A30E4"/>
    <w:rsid w:val="008A400A"/>
    <w:rsid w:val="008A468C"/>
    <w:rsid w:val="008A52CB"/>
    <w:rsid w:val="008A54DE"/>
    <w:rsid w:val="008A5C4B"/>
    <w:rsid w:val="008A6438"/>
    <w:rsid w:val="008A6EDD"/>
    <w:rsid w:val="008A7F78"/>
    <w:rsid w:val="008B0468"/>
    <w:rsid w:val="008B0986"/>
    <w:rsid w:val="008B0AA1"/>
    <w:rsid w:val="008B0B4B"/>
    <w:rsid w:val="008B0F35"/>
    <w:rsid w:val="008B12C6"/>
    <w:rsid w:val="008B1B94"/>
    <w:rsid w:val="008B1ED3"/>
    <w:rsid w:val="008B23E0"/>
    <w:rsid w:val="008B2520"/>
    <w:rsid w:val="008B2A77"/>
    <w:rsid w:val="008B2FBF"/>
    <w:rsid w:val="008B305A"/>
    <w:rsid w:val="008B325E"/>
    <w:rsid w:val="008B3AAF"/>
    <w:rsid w:val="008B3E55"/>
    <w:rsid w:val="008B4A0D"/>
    <w:rsid w:val="008B4CF4"/>
    <w:rsid w:val="008B4F56"/>
    <w:rsid w:val="008B5056"/>
    <w:rsid w:val="008B5AC5"/>
    <w:rsid w:val="008B5C10"/>
    <w:rsid w:val="008B6021"/>
    <w:rsid w:val="008B6C59"/>
    <w:rsid w:val="008B6D0C"/>
    <w:rsid w:val="008B7042"/>
    <w:rsid w:val="008B7B10"/>
    <w:rsid w:val="008B7E46"/>
    <w:rsid w:val="008C0473"/>
    <w:rsid w:val="008C0703"/>
    <w:rsid w:val="008C0B88"/>
    <w:rsid w:val="008C0FDE"/>
    <w:rsid w:val="008C1C31"/>
    <w:rsid w:val="008C1EA6"/>
    <w:rsid w:val="008C2C31"/>
    <w:rsid w:val="008C328F"/>
    <w:rsid w:val="008C32A4"/>
    <w:rsid w:val="008C3443"/>
    <w:rsid w:val="008C36FE"/>
    <w:rsid w:val="008C3866"/>
    <w:rsid w:val="008C43BC"/>
    <w:rsid w:val="008C4875"/>
    <w:rsid w:val="008C4ABD"/>
    <w:rsid w:val="008C4F56"/>
    <w:rsid w:val="008C5957"/>
    <w:rsid w:val="008C5D4C"/>
    <w:rsid w:val="008C6799"/>
    <w:rsid w:val="008C69EA"/>
    <w:rsid w:val="008C7938"/>
    <w:rsid w:val="008C7B0D"/>
    <w:rsid w:val="008C7E8C"/>
    <w:rsid w:val="008C7EE6"/>
    <w:rsid w:val="008D014F"/>
    <w:rsid w:val="008D0330"/>
    <w:rsid w:val="008D0965"/>
    <w:rsid w:val="008D0ADF"/>
    <w:rsid w:val="008D0CA1"/>
    <w:rsid w:val="008D1962"/>
    <w:rsid w:val="008D19E0"/>
    <w:rsid w:val="008D1D77"/>
    <w:rsid w:val="008D21A5"/>
    <w:rsid w:val="008D22E4"/>
    <w:rsid w:val="008D33B3"/>
    <w:rsid w:val="008D345E"/>
    <w:rsid w:val="008D3A51"/>
    <w:rsid w:val="008D3C12"/>
    <w:rsid w:val="008D3DD3"/>
    <w:rsid w:val="008D3DEC"/>
    <w:rsid w:val="008D3E36"/>
    <w:rsid w:val="008D423B"/>
    <w:rsid w:val="008D4557"/>
    <w:rsid w:val="008D5099"/>
    <w:rsid w:val="008D5275"/>
    <w:rsid w:val="008D55C4"/>
    <w:rsid w:val="008D5DF1"/>
    <w:rsid w:val="008D60D6"/>
    <w:rsid w:val="008D62E3"/>
    <w:rsid w:val="008D6C06"/>
    <w:rsid w:val="008D6F78"/>
    <w:rsid w:val="008D722C"/>
    <w:rsid w:val="008D759B"/>
    <w:rsid w:val="008D75B4"/>
    <w:rsid w:val="008D7FC7"/>
    <w:rsid w:val="008E0161"/>
    <w:rsid w:val="008E0969"/>
    <w:rsid w:val="008E179A"/>
    <w:rsid w:val="008E203E"/>
    <w:rsid w:val="008E21EA"/>
    <w:rsid w:val="008E26B4"/>
    <w:rsid w:val="008E26CF"/>
    <w:rsid w:val="008E27D5"/>
    <w:rsid w:val="008E2E1C"/>
    <w:rsid w:val="008E3024"/>
    <w:rsid w:val="008E31E2"/>
    <w:rsid w:val="008E39E9"/>
    <w:rsid w:val="008E3CC8"/>
    <w:rsid w:val="008E4225"/>
    <w:rsid w:val="008E436C"/>
    <w:rsid w:val="008E478D"/>
    <w:rsid w:val="008E4D8E"/>
    <w:rsid w:val="008E5F08"/>
    <w:rsid w:val="008E5F38"/>
    <w:rsid w:val="008E6F57"/>
    <w:rsid w:val="008E7437"/>
    <w:rsid w:val="008E74FD"/>
    <w:rsid w:val="008E7634"/>
    <w:rsid w:val="008E76B4"/>
    <w:rsid w:val="008E76D3"/>
    <w:rsid w:val="008E772B"/>
    <w:rsid w:val="008E77A3"/>
    <w:rsid w:val="008E7808"/>
    <w:rsid w:val="008E79B2"/>
    <w:rsid w:val="008F004A"/>
    <w:rsid w:val="008F0096"/>
    <w:rsid w:val="008F00DB"/>
    <w:rsid w:val="008F0CAE"/>
    <w:rsid w:val="008F0D28"/>
    <w:rsid w:val="008F1B3C"/>
    <w:rsid w:val="008F1C88"/>
    <w:rsid w:val="008F1CB9"/>
    <w:rsid w:val="008F1DFC"/>
    <w:rsid w:val="008F20FB"/>
    <w:rsid w:val="008F2352"/>
    <w:rsid w:val="008F3345"/>
    <w:rsid w:val="008F3B73"/>
    <w:rsid w:val="008F3C08"/>
    <w:rsid w:val="008F438B"/>
    <w:rsid w:val="008F46A8"/>
    <w:rsid w:val="008F4E7E"/>
    <w:rsid w:val="008F4EE4"/>
    <w:rsid w:val="008F4FB9"/>
    <w:rsid w:val="008F53BF"/>
    <w:rsid w:val="008F5811"/>
    <w:rsid w:val="008F5A62"/>
    <w:rsid w:val="008F5D8B"/>
    <w:rsid w:val="008F6413"/>
    <w:rsid w:val="008F78D1"/>
    <w:rsid w:val="008F7C03"/>
    <w:rsid w:val="009001CB"/>
    <w:rsid w:val="00900E6A"/>
    <w:rsid w:val="009011C2"/>
    <w:rsid w:val="009019D8"/>
    <w:rsid w:val="00901A57"/>
    <w:rsid w:val="00901DB2"/>
    <w:rsid w:val="009024C4"/>
    <w:rsid w:val="00902D83"/>
    <w:rsid w:val="009033F5"/>
    <w:rsid w:val="00903508"/>
    <w:rsid w:val="0090356A"/>
    <w:rsid w:val="00903B9E"/>
    <w:rsid w:val="00903D1B"/>
    <w:rsid w:val="00903FF5"/>
    <w:rsid w:val="00904E59"/>
    <w:rsid w:val="00904F9C"/>
    <w:rsid w:val="00904FD7"/>
    <w:rsid w:val="009054C6"/>
    <w:rsid w:val="00905A90"/>
    <w:rsid w:val="00906315"/>
    <w:rsid w:val="0090672F"/>
    <w:rsid w:val="00907EE7"/>
    <w:rsid w:val="00911286"/>
    <w:rsid w:val="009113FB"/>
    <w:rsid w:val="00911A0C"/>
    <w:rsid w:val="00911B57"/>
    <w:rsid w:val="00912214"/>
    <w:rsid w:val="00912482"/>
    <w:rsid w:val="00912527"/>
    <w:rsid w:val="00912B37"/>
    <w:rsid w:val="00912C88"/>
    <w:rsid w:val="00912F39"/>
    <w:rsid w:val="00913F88"/>
    <w:rsid w:val="009141D5"/>
    <w:rsid w:val="00914559"/>
    <w:rsid w:val="009148CF"/>
    <w:rsid w:val="00914F4E"/>
    <w:rsid w:val="0091508A"/>
    <w:rsid w:val="00915B8D"/>
    <w:rsid w:val="0091636E"/>
    <w:rsid w:val="00917202"/>
    <w:rsid w:val="0091737B"/>
    <w:rsid w:val="00917649"/>
    <w:rsid w:val="00917AEB"/>
    <w:rsid w:val="00917C1B"/>
    <w:rsid w:val="00917F9F"/>
    <w:rsid w:val="0092059B"/>
    <w:rsid w:val="00920601"/>
    <w:rsid w:val="009207A2"/>
    <w:rsid w:val="009211BF"/>
    <w:rsid w:val="00921F7F"/>
    <w:rsid w:val="009226EA"/>
    <w:rsid w:val="0092364C"/>
    <w:rsid w:val="00923A07"/>
    <w:rsid w:val="00923B96"/>
    <w:rsid w:val="00924038"/>
    <w:rsid w:val="009242AD"/>
    <w:rsid w:val="0092446B"/>
    <w:rsid w:val="009249CE"/>
    <w:rsid w:val="0092539F"/>
    <w:rsid w:val="00925C13"/>
    <w:rsid w:val="00925F6B"/>
    <w:rsid w:val="0092637D"/>
    <w:rsid w:val="009265D3"/>
    <w:rsid w:val="00926CFA"/>
    <w:rsid w:val="00927504"/>
    <w:rsid w:val="0092792D"/>
    <w:rsid w:val="00927997"/>
    <w:rsid w:val="00927E66"/>
    <w:rsid w:val="00927E6C"/>
    <w:rsid w:val="009304E3"/>
    <w:rsid w:val="00931221"/>
    <w:rsid w:val="0093193E"/>
    <w:rsid w:val="00931A18"/>
    <w:rsid w:val="00931E89"/>
    <w:rsid w:val="009321D8"/>
    <w:rsid w:val="009329DF"/>
    <w:rsid w:val="00932BA0"/>
    <w:rsid w:val="00932E1D"/>
    <w:rsid w:val="009336B2"/>
    <w:rsid w:val="00933DE7"/>
    <w:rsid w:val="00933F08"/>
    <w:rsid w:val="0093519C"/>
    <w:rsid w:val="009354CF"/>
    <w:rsid w:val="009358AF"/>
    <w:rsid w:val="00935C50"/>
    <w:rsid w:val="009361BD"/>
    <w:rsid w:val="0093626C"/>
    <w:rsid w:val="009362E4"/>
    <w:rsid w:val="0093656B"/>
    <w:rsid w:val="00936CD1"/>
    <w:rsid w:val="00937289"/>
    <w:rsid w:val="009374E1"/>
    <w:rsid w:val="00937C65"/>
    <w:rsid w:val="00940213"/>
    <w:rsid w:val="009404E0"/>
    <w:rsid w:val="0094053A"/>
    <w:rsid w:val="00942A67"/>
    <w:rsid w:val="009438B8"/>
    <w:rsid w:val="0094415E"/>
    <w:rsid w:val="0094425D"/>
    <w:rsid w:val="0094470B"/>
    <w:rsid w:val="00944CA1"/>
    <w:rsid w:val="00945FF3"/>
    <w:rsid w:val="00946998"/>
    <w:rsid w:val="00946BAA"/>
    <w:rsid w:val="00946CC1"/>
    <w:rsid w:val="0094704A"/>
    <w:rsid w:val="009471BE"/>
    <w:rsid w:val="009475C8"/>
    <w:rsid w:val="00947BA7"/>
    <w:rsid w:val="00947E6A"/>
    <w:rsid w:val="00950EAB"/>
    <w:rsid w:val="00950FA4"/>
    <w:rsid w:val="00952BAD"/>
    <w:rsid w:val="00952FAF"/>
    <w:rsid w:val="0095315C"/>
    <w:rsid w:val="00953282"/>
    <w:rsid w:val="009534C4"/>
    <w:rsid w:val="0095351C"/>
    <w:rsid w:val="009539F4"/>
    <w:rsid w:val="00953F96"/>
    <w:rsid w:val="00954892"/>
    <w:rsid w:val="009549BC"/>
    <w:rsid w:val="00954DD9"/>
    <w:rsid w:val="00954FA0"/>
    <w:rsid w:val="00955AF4"/>
    <w:rsid w:val="00955B4E"/>
    <w:rsid w:val="00955F6D"/>
    <w:rsid w:val="0095628B"/>
    <w:rsid w:val="009567EE"/>
    <w:rsid w:val="00957048"/>
    <w:rsid w:val="0095753E"/>
    <w:rsid w:val="00957816"/>
    <w:rsid w:val="00960A3F"/>
    <w:rsid w:val="009612F0"/>
    <w:rsid w:val="009624AD"/>
    <w:rsid w:val="00962C8B"/>
    <w:rsid w:val="0096374D"/>
    <w:rsid w:val="00963A0A"/>
    <w:rsid w:val="00963B9C"/>
    <w:rsid w:val="009643D7"/>
    <w:rsid w:val="00964C65"/>
    <w:rsid w:val="009651A8"/>
    <w:rsid w:val="0096530B"/>
    <w:rsid w:val="00965513"/>
    <w:rsid w:val="0096553B"/>
    <w:rsid w:val="00965CF2"/>
    <w:rsid w:val="00965E93"/>
    <w:rsid w:val="00965F25"/>
    <w:rsid w:val="009678D2"/>
    <w:rsid w:val="00970B18"/>
    <w:rsid w:val="00970B4D"/>
    <w:rsid w:val="00970CD8"/>
    <w:rsid w:val="00970D7E"/>
    <w:rsid w:val="00970EB9"/>
    <w:rsid w:val="00970FCB"/>
    <w:rsid w:val="00971271"/>
    <w:rsid w:val="009715BE"/>
    <w:rsid w:val="009715DB"/>
    <w:rsid w:val="00971632"/>
    <w:rsid w:val="00971A7F"/>
    <w:rsid w:val="00971C6F"/>
    <w:rsid w:val="009721CC"/>
    <w:rsid w:val="00972763"/>
    <w:rsid w:val="009727AC"/>
    <w:rsid w:val="00972E16"/>
    <w:rsid w:val="00973402"/>
    <w:rsid w:val="00973D58"/>
    <w:rsid w:val="009744BE"/>
    <w:rsid w:val="009746B0"/>
    <w:rsid w:val="0097484C"/>
    <w:rsid w:val="00974990"/>
    <w:rsid w:val="0097499C"/>
    <w:rsid w:val="00974A08"/>
    <w:rsid w:val="00974AD3"/>
    <w:rsid w:val="00974B58"/>
    <w:rsid w:val="00974F01"/>
    <w:rsid w:val="00975157"/>
    <w:rsid w:val="00975963"/>
    <w:rsid w:val="00975B78"/>
    <w:rsid w:val="00976216"/>
    <w:rsid w:val="00976430"/>
    <w:rsid w:val="00976F05"/>
    <w:rsid w:val="009772C2"/>
    <w:rsid w:val="0097766D"/>
    <w:rsid w:val="0097789C"/>
    <w:rsid w:val="00977AB7"/>
    <w:rsid w:val="0098039B"/>
    <w:rsid w:val="00980514"/>
    <w:rsid w:val="00980862"/>
    <w:rsid w:val="0098102B"/>
    <w:rsid w:val="00981A91"/>
    <w:rsid w:val="00982A9F"/>
    <w:rsid w:val="00982DF2"/>
    <w:rsid w:val="009833A2"/>
    <w:rsid w:val="009838A7"/>
    <w:rsid w:val="009839A1"/>
    <w:rsid w:val="00983E8E"/>
    <w:rsid w:val="00984925"/>
    <w:rsid w:val="009849E0"/>
    <w:rsid w:val="00984C4F"/>
    <w:rsid w:val="00984D34"/>
    <w:rsid w:val="00984E5F"/>
    <w:rsid w:val="009853DE"/>
    <w:rsid w:val="00985A0D"/>
    <w:rsid w:val="00985B25"/>
    <w:rsid w:val="00985B29"/>
    <w:rsid w:val="00986044"/>
    <w:rsid w:val="00986253"/>
    <w:rsid w:val="00986A4A"/>
    <w:rsid w:val="00986FF3"/>
    <w:rsid w:val="00987A8D"/>
    <w:rsid w:val="00987B76"/>
    <w:rsid w:val="00990438"/>
    <w:rsid w:val="00990548"/>
    <w:rsid w:val="00990865"/>
    <w:rsid w:val="00990B29"/>
    <w:rsid w:val="00991070"/>
    <w:rsid w:val="009910CE"/>
    <w:rsid w:val="00991486"/>
    <w:rsid w:val="00991943"/>
    <w:rsid w:val="00991C21"/>
    <w:rsid w:val="00991E9C"/>
    <w:rsid w:val="00991F37"/>
    <w:rsid w:val="009925D0"/>
    <w:rsid w:val="00992903"/>
    <w:rsid w:val="009932C1"/>
    <w:rsid w:val="009936F2"/>
    <w:rsid w:val="00993BB1"/>
    <w:rsid w:val="00994546"/>
    <w:rsid w:val="00994822"/>
    <w:rsid w:val="00994835"/>
    <w:rsid w:val="00994982"/>
    <w:rsid w:val="00995501"/>
    <w:rsid w:val="00995A25"/>
    <w:rsid w:val="00996051"/>
    <w:rsid w:val="0099618F"/>
    <w:rsid w:val="00996571"/>
    <w:rsid w:val="009968E6"/>
    <w:rsid w:val="00997800"/>
    <w:rsid w:val="00997FE3"/>
    <w:rsid w:val="009A0925"/>
    <w:rsid w:val="009A09BE"/>
    <w:rsid w:val="009A0E12"/>
    <w:rsid w:val="009A1489"/>
    <w:rsid w:val="009A204F"/>
    <w:rsid w:val="009A2437"/>
    <w:rsid w:val="009A29C8"/>
    <w:rsid w:val="009A3394"/>
    <w:rsid w:val="009A35FE"/>
    <w:rsid w:val="009A4819"/>
    <w:rsid w:val="009A556F"/>
    <w:rsid w:val="009A569A"/>
    <w:rsid w:val="009A585E"/>
    <w:rsid w:val="009A5971"/>
    <w:rsid w:val="009A5AE8"/>
    <w:rsid w:val="009A6297"/>
    <w:rsid w:val="009A6DFD"/>
    <w:rsid w:val="009A74D6"/>
    <w:rsid w:val="009A7586"/>
    <w:rsid w:val="009A7983"/>
    <w:rsid w:val="009A7BA6"/>
    <w:rsid w:val="009B0110"/>
    <w:rsid w:val="009B0549"/>
    <w:rsid w:val="009B0D0A"/>
    <w:rsid w:val="009B1090"/>
    <w:rsid w:val="009B147E"/>
    <w:rsid w:val="009B161E"/>
    <w:rsid w:val="009B176B"/>
    <w:rsid w:val="009B1934"/>
    <w:rsid w:val="009B1C50"/>
    <w:rsid w:val="009B23B6"/>
    <w:rsid w:val="009B242A"/>
    <w:rsid w:val="009B26D9"/>
    <w:rsid w:val="009B3891"/>
    <w:rsid w:val="009B3D6D"/>
    <w:rsid w:val="009B3EDA"/>
    <w:rsid w:val="009B4DA2"/>
    <w:rsid w:val="009B561B"/>
    <w:rsid w:val="009B6168"/>
    <w:rsid w:val="009B61F6"/>
    <w:rsid w:val="009B6576"/>
    <w:rsid w:val="009B6621"/>
    <w:rsid w:val="009B68F7"/>
    <w:rsid w:val="009B6A3B"/>
    <w:rsid w:val="009B6A9A"/>
    <w:rsid w:val="009B7157"/>
    <w:rsid w:val="009B753D"/>
    <w:rsid w:val="009B7695"/>
    <w:rsid w:val="009B7799"/>
    <w:rsid w:val="009B78E7"/>
    <w:rsid w:val="009B7DF2"/>
    <w:rsid w:val="009C028C"/>
    <w:rsid w:val="009C0958"/>
    <w:rsid w:val="009C109C"/>
    <w:rsid w:val="009C10C3"/>
    <w:rsid w:val="009C1565"/>
    <w:rsid w:val="009C244F"/>
    <w:rsid w:val="009C2A4F"/>
    <w:rsid w:val="009C2C6E"/>
    <w:rsid w:val="009C2EBB"/>
    <w:rsid w:val="009C35CF"/>
    <w:rsid w:val="009C3876"/>
    <w:rsid w:val="009C3A83"/>
    <w:rsid w:val="009C4018"/>
    <w:rsid w:val="009C4A77"/>
    <w:rsid w:val="009C4AE4"/>
    <w:rsid w:val="009C4B7F"/>
    <w:rsid w:val="009C5DC4"/>
    <w:rsid w:val="009C5F21"/>
    <w:rsid w:val="009C62F1"/>
    <w:rsid w:val="009C6522"/>
    <w:rsid w:val="009C66DA"/>
    <w:rsid w:val="009C7227"/>
    <w:rsid w:val="009D04D5"/>
    <w:rsid w:val="009D072A"/>
    <w:rsid w:val="009D0A6E"/>
    <w:rsid w:val="009D0C3F"/>
    <w:rsid w:val="009D0FE5"/>
    <w:rsid w:val="009D10CF"/>
    <w:rsid w:val="009D12F2"/>
    <w:rsid w:val="009D1A1E"/>
    <w:rsid w:val="009D1B64"/>
    <w:rsid w:val="009D1DC8"/>
    <w:rsid w:val="009D2189"/>
    <w:rsid w:val="009D22DB"/>
    <w:rsid w:val="009D2B07"/>
    <w:rsid w:val="009D2E02"/>
    <w:rsid w:val="009D382D"/>
    <w:rsid w:val="009D3CAF"/>
    <w:rsid w:val="009D47B2"/>
    <w:rsid w:val="009D4898"/>
    <w:rsid w:val="009D4EA1"/>
    <w:rsid w:val="009D50B3"/>
    <w:rsid w:val="009D5355"/>
    <w:rsid w:val="009D57C8"/>
    <w:rsid w:val="009D6221"/>
    <w:rsid w:val="009D638E"/>
    <w:rsid w:val="009D6391"/>
    <w:rsid w:val="009D63C2"/>
    <w:rsid w:val="009D69B7"/>
    <w:rsid w:val="009D705F"/>
    <w:rsid w:val="009D7505"/>
    <w:rsid w:val="009D7A08"/>
    <w:rsid w:val="009D7C98"/>
    <w:rsid w:val="009D7F53"/>
    <w:rsid w:val="009E03E8"/>
    <w:rsid w:val="009E06FA"/>
    <w:rsid w:val="009E0C72"/>
    <w:rsid w:val="009E0CD4"/>
    <w:rsid w:val="009E0CED"/>
    <w:rsid w:val="009E0DA2"/>
    <w:rsid w:val="009E0F81"/>
    <w:rsid w:val="009E1094"/>
    <w:rsid w:val="009E195C"/>
    <w:rsid w:val="009E1D43"/>
    <w:rsid w:val="009E256A"/>
    <w:rsid w:val="009E3271"/>
    <w:rsid w:val="009E3746"/>
    <w:rsid w:val="009E3AEF"/>
    <w:rsid w:val="009E3C47"/>
    <w:rsid w:val="009E40AB"/>
    <w:rsid w:val="009E42A9"/>
    <w:rsid w:val="009E4423"/>
    <w:rsid w:val="009E478F"/>
    <w:rsid w:val="009E49DF"/>
    <w:rsid w:val="009E4A0A"/>
    <w:rsid w:val="009E4A9D"/>
    <w:rsid w:val="009E515C"/>
    <w:rsid w:val="009E5AA9"/>
    <w:rsid w:val="009E5B2A"/>
    <w:rsid w:val="009E5CF8"/>
    <w:rsid w:val="009E5E45"/>
    <w:rsid w:val="009E657C"/>
    <w:rsid w:val="009E6584"/>
    <w:rsid w:val="009E6D93"/>
    <w:rsid w:val="009E7307"/>
    <w:rsid w:val="009E730D"/>
    <w:rsid w:val="009E74D7"/>
    <w:rsid w:val="009E75A4"/>
    <w:rsid w:val="009E7728"/>
    <w:rsid w:val="009E7916"/>
    <w:rsid w:val="009E7B86"/>
    <w:rsid w:val="009E7F01"/>
    <w:rsid w:val="009F02C2"/>
    <w:rsid w:val="009F11E2"/>
    <w:rsid w:val="009F232E"/>
    <w:rsid w:val="009F23EF"/>
    <w:rsid w:val="009F23F3"/>
    <w:rsid w:val="009F274E"/>
    <w:rsid w:val="009F2A90"/>
    <w:rsid w:val="009F2E21"/>
    <w:rsid w:val="009F2F62"/>
    <w:rsid w:val="009F3B11"/>
    <w:rsid w:val="009F3EA9"/>
    <w:rsid w:val="009F4164"/>
    <w:rsid w:val="009F447C"/>
    <w:rsid w:val="009F4FF3"/>
    <w:rsid w:val="009F5129"/>
    <w:rsid w:val="009F5574"/>
    <w:rsid w:val="009F56E8"/>
    <w:rsid w:val="009F5EDD"/>
    <w:rsid w:val="009F6146"/>
    <w:rsid w:val="009F637F"/>
    <w:rsid w:val="009F645B"/>
    <w:rsid w:val="009F6ADE"/>
    <w:rsid w:val="009F6BFE"/>
    <w:rsid w:val="009F6D37"/>
    <w:rsid w:val="009F7029"/>
    <w:rsid w:val="009F7211"/>
    <w:rsid w:val="009F7BE3"/>
    <w:rsid w:val="00A00FBC"/>
    <w:rsid w:val="00A01881"/>
    <w:rsid w:val="00A01C35"/>
    <w:rsid w:val="00A01C68"/>
    <w:rsid w:val="00A01D64"/>
    <w:rsid w:val="00A021C2"/>
    <w:rsid w:val="00A024FC"/>
    <w:rsid w:val="00A027F4"/>
    <w:rsid w:val="00A02AC4"/>
    <w:rsid w:val="00A02BCF"/>
    <w:rsid w:val="00A02CC4"/>
    <w:rsid w:val="00A02EF4"/>
    <w:rsid w:val="00A02F9B"/>
    <w:rsid w:val="00A0325B"/>
    <w:rsid w:val="00A03E28"/>
    <w:rsid w:val="00A0425E"/>
    <w:rsid w:val="00A04373"/>
    <w:rsid w:val="00A04BE0"/>
    <w:rsid w:val="00A04C55"/>
    <w:rsid w:val="00A04CF8"/>
    <w:rsid w:val="00A04ED2"/>
    <w:rsid w:val="00A04ED7"/>
    <w:rsid w:val="00A04F52"/>
    <w:rsid w:val="00A0605F"/>
    <w:rsid w:val="00A06756"/>
    <w:rsid w:val="00A068D0"/>
    <w:rsid w:val="00A068FE"/>
    <w:rsid w:val="00A06904"/>
    <w:rsid w:val="00A06916"/>
    <w:rsid w:val="00A06B1A"/>
    <w:rsid w:val="00A07411"/>
    <w:rsid w:val="00A07456"/>
    <w:rsid w:val="00A07617"/>
    <w:rsid w:val="00A07944"/>
    <w:rsid w:val="00A07BA6"/>
    <w:rsid w:val="00A07BC4"/>
    <w:rsid w:val="00A07D94"/>
    <w:rsid w:val="00A1053B"/>
    <w:rsid w:val="00A10685"/>
    <w:rsid w:val="00A10737"/>
    <w:rsid w:val="00A107FB"/>
    <w:rsid w:val="00A1113D"/>
    <w:rsid w:val="00A11743"/>
    <w:rsid w:val="00A11B1B"/>
    <w:rsid w:val="00A12320"/>
    <w:rsid w:val="00A1243B"/>
    <w:rsid w:val="00A12449"/>
    <w:rsid w:val="00A12887"/>
    <w:rsid w:val="00A12F55"/>
    <w:rsid w:val="00A131D3"/>
    <w:rsid w:val="00A133F9"/>
    <w:rsid w:val="00A14352"/>
    <w:rsid w:val="00A14A08"/>
    <w:rsid w:val="00A14DE7"/>
    <w:rsid w:val="00A15240"/>
    <w:rsid w:val="00A152EA"/>
    <w:rsid w:val="00A15AE1"/>
    <w:rsid w:val="00A15B0A"/>
    <w:rsid w:val="00A15BF5"/>
    <w:rsid w:val="00A15D7C"/>
    <w:rsid w:val="00A15F84"/>
    <w:rsid w:val="00A160E2"/>
    <w:rsid w:val="00A161AC"/>
    <w:rsid w:val="00A16865"/>
    <w:rsid w:val="00A16B41"/>
    <w:rsid w:val="00A16DA5"/>
    <w:rsid w:val="00A173B1"/>
    <w:rsid w:val="00A173C1"/>
    <w:rsid w:val="00A176BC"/>
    <w:rsid w:val="00A17A85"/>
    <w:rsid w:val="00A17B1C"/>
    <w:rsid w:val="00A2009C"/>
    <w:rsid w:val="00A200A7"/>
    <w:rsid w:val="00A2021B"/>
    <w:rsid w:val="00A20797"/>
    <w:rsid w:val="00A2096A"/>
    <w:rsid w:val="00A20BDD"/>
    <w:rsid w:val="00A20F2F"/>
    <w:rsid w:val="00A20FE8"/>
    <w:rsid w:val="00A2158A"/>
    <w:rsid w:val="00A21794"/>
    <w:rsid w:val="00A21BEC"/>
    <w:rsid w:val="00A2243D"/>
    <w:rsid w:val="00A2244F"/>
    <w:rsid w:val="00A2293D"/>
    <w:rsid w:val="00A22D65"/>
    <w:rsid w:val="00A22E82"/>
    <w:rsid w:val="00A23BC3"/>
    <w:rsid w:val="00A24305"/>
    <w:rsid w:val="00A24318"/>
    <w:rsid w:val="00A24B04"/>
    <w:rsid w:val="00A24EFF"/>
    <w:rsid w:val="00A2523F"/>
    <w:rsid w:val="00A263B2"/>
    <w:rsid w:val="00A26F5D"/>
    <w:rsid w:val="00A27708"/>
    <w:rsid w:val="00A27813"/>
    <w:rsid w:val="00A27B5C"/>
    <w:rsid w:val="00A27C79"/>
    <w:rsid w:val="00A30423"/>
    <w:rsid w:val="00A30F71"/>
    <w:rsid w:val="00A31388"/>
    <w:rsid w:val="00A315A5"/>
    <w:rsid w:val="00A31B45"/>
    <w:rsid w:val="00A31DEC"/>
    <w:rsid w:val="00A32692"/>
    <w:rsid w:val="00A32827"/>
    <w:rsid w:val="00A333FB"/>
    <w:rsid w:val="00A33883"/>
    <w:rsid w:val="00A33CA3"/>
    <w:rsid w:val="00A33D49"/>
    <w:rsid w:val="00A33E13"/>
    <w:rsid w:val="00A34005"/>
    <w:rsid w:val="00A34170"/>
    <w:rsid w:val="00A342A3"/>
    <w:rsid w:val="00A34975"/>
    <w:rsid w:val="00A34B92"/>
    <w:rsid w:val="00A34DF0"/>
    <w:rsid w:val="00A35039"/>
    <w:rsid w:val="00A3576B"/>
    <w:rsid w:val="00A3598E"/>
    <w:rsid w:val="00A35A54"/>
    <w:rsid w:val="00A35AC8"/>
    <w:rsid w:val="00A36133"/>
    <w:rsid w:val="00A361CD"/>
    <w:rsid w:val="00A36499"/>
    <w:rsid w:val="00A36544"/>
    <w:rsid w:val="00A36917"/>
    <w:rsid w:val="00A36F72"/>
    <w:rsid w:val="00A370DD"/>
    <w:rsid w:val="00A37360"/>
    <w:rsid w:val="00A37760"/>
    <w:rsid w:val="00A3780A"/>
    <w:rsid w:val="00A37A75"/>
    <w:rsid w:val="00A404C6"/>
    <w:rsid w:val="00A411A5"/>
    <w:rsid w:val="00A411CA"/>
    <w:rsid w:val="00A4160E"/>
    <w:rsid w:val="00A41A14"/>
    <w:rsid w:val="00A41A21"/>
    <w:rsid w:val="00A41A2F"/>
    <w:rsid w:val="00A41E0E"/>
    <w:rsid w:val="00A42617"/>
    <w:rsid w:val="00A43111"/>
    <w:rsid w:val="00A438FB"/>
    <w:rsid w:val="00A43A60"/>
    <w:rsid w:val="00A43AB3"/>
    <w:rsid w:val="00A43AF0"/>
    <w:rsid w:val="00A43CF4"/>
    <w:rsid w:val="00A43F67"/>
    <w:rsid w:val="00A4434D"/>
    <w:rsid w:val="00A446DE"/>
    <w:rsid w:val="00A448E6"/>
    <w:rsid w:val="00A44912"/>
    <w:rsid w:val="00A44A5B"/>
    <w:rsid w:val="00A45C6C"/>
    <w:rsid w:val="00A45CAC"/>
    <w:rsid w:val="00A461B0"/>
    <w:rsid w:val="00A46E48"/>
    <w:rsid w:val="00A46EB3"/>
    <w:rsid w:val="00A47457"/>
    <w:rsid w:val="00A4755A"/>
    <w:rsid w:val="00A47ED2"/>
    <w:rsid w:val="00A47FF1"/>
    <w:rsid w:val="00A50CBF"/>
    <w:rsid w:val="00A518CC"/>
    <w:rsid w:val="00A52097"/>
    <w:rsid w:val="00A52F42"/>
    <w:rsid w:val="00A53151"/>
    <w:rsid w:val="00A53917"/>
    <w:rsid w:val="00A5393E"/>
    <w:rsid w:val="00A53AA1"/>
    <w:rsid w:val="00A53D0D"/>
    <w:rsid w:val="00A54136"/>
    <w:rsid w:val="00A54B01"/>
    <w:rsid w:val="00A54CB0"/>
    <w:rsid w:val="00A54E02"/>
    <w:rsid w:val="00A55390"/>
    <w:rsid w:val="00A55510"/>
    <w:rsid w:val="00A55B18"/>
    <w:rsid w:val="00A55B7A"/>
    <w:rsid w:val="00A55DEB"/>
    <w:rsid w:val="00A562B1"/>
    <w:rsid w:val="00A5631C"/>
    <w:rsid w:val="00A567F2"/>
    <w:rsid w:val="00A56849"/>
    <w:rsid w:val="00A56A24"/>
    <w:rsid w:val="00A6068C"/>
    <w:rsid w:val="00A60788"/>
    <w:rsid w:val="00A60968"/>
    <w:rsid w:val="00A60981"/>
    <w:rsid w:val="00A60B54"/>
    <w:rsid w:val="00A60E39"/>
    <w:rsid w:val="00A611D0"/>
    <w:rsid w:val="00A61C05"/>
    <w:rsid w:val="00A620AA"/>
    <w:rsid w:val="00A628BD"/>
    <w:rsid w:val="00A62936"/>
    <w:rsid w:val="00A62B4D"/>
    <w:rsid w:val="00A62C1A"/>
    <w:rsid w:val="00A62FB4"/>
    <w:rsid w:val="00A63320"/>
    <w:rsid w:val="00A63AC7"/>
    <w:rsid w:val="00A64A11"/>
    <w:rsid w:val="00A65246"/>
    <w:rsid w:val="00A655F5"/>
    <w:rsid w:val="00A659F5"/>
    <w:rsid w:val="00A65C6E"/>
    <w:rsid w:val="00A65E43"/>
    <w:rsid w:val="00A6613E"/>
    <w:rsid w:val="00A66E93"/>
    <w:rsid w:val="00A66FCD"/>
    <w:rsid w:val="00A67DF4"/>
    <w:rsid w:val="00A71A58"/>
    <w:rsid w:val="00A72346"/>
    <w:rsid w:val="00A726DE"/>
    <w:rsid w:val="00A72714"/>
    <w:rsid w:val="00A731A3"/>
    <w:rsid w:val="00A734E7"/>
    <w:rsid w:val="00A74430"/>
    <w:rsid w:val="00A7526C"/>
    <w:rsid w:val="00A75990"/>
    <w:rsid w:val="00A75CA6"/>
    <w:rsid w:val="00A75E75"/>
    <w:rsid w:val="00A763BA"/>
    <w:rsid w:val="00A76693"/>
    <w:rsid w:val="00A76C4A"/>
    <w:rsid w:val="00A7736F"/>
    <w:rsid w:val="00A77395"/>
    <w:rsid w:val="00A7767F"/>
    <w:rsid w:val="00A77DBC"/>
    <w:rsid w:val="00A801E9"/>
    <w:rsid w:val="00A8066D"/>
    <w:rsid w:val="00A80852"/>
    <w:rsid w:val="00A810CF"/>
    <w:rsid w:val="00A81279"/>
    <w:rsid w:val="00A81966"/>
    <w:rsid w:val="00A8208E"/>
    <w:rsid w:val="00A823B8"/>
    <w:rsid w:val="00A82AEC"/>
    <w:rsid w:val="00A82C80"/>
    <w:rsid w:val="00A83021"/>
    <w:rsid w:val="00A83747"/>
    <w:rsid w:val="00A83E79"/>
    <w:rsid w:val="00A84704"/>
    <w:rsid w:val="00A848B9"/>
    <w:rsid w:val="00A84D1C"/>
    <w:rsid w:val="00A8518D"/>
    <w:rsid w:val="00A85E72"/>
    <w:rsid w:val="00A85E7C"/>
    <w:rsid w:val="00A862DC"/>
    <w:rsid w:val="00A86780"/>
    <w:rsid w:val="00A87033"/>
    <w:rsid w:val="00A871EB"/>
    <w:rsid w:val="00A87E87"/>
    <w:rsid w:val="00A901D4"/>
    <w:rsid w:val="00A90900"/>
    <w:rsid w:val="00A90C85"/>
    <w:rsid w:val="00A90DA5"/>
    <w:rsid w:val="00A92BD1"/>
    <w:rsid w:val="00A92E2A"/>
    <w:rsid w:val="00A92E69"/>
    <w:rsid w:val="00A93470"/>
    <w:rsid w:val="00A93819"/>
    <w:rsid w:val="00A93B90"/>
    <w:rsid w:val="00A9466A"/>
    <w:rsid w:val="00A94EEF"/>
    <w:rsid w:val="00A9528A"/>
    <w:rsid w:val="00A957BF"/>
    <w:rsid w:val="00A95D35"/>
    <w:rsid w:val="00A963A5"/>
    <w:rsid w:val="00A967D4"/>
    <w:rsid w:val="00A96B8C"/>
    <w:rsid w:val="00A96C8D"/>
    <w:rsid w:val="00A96EA8"/>
    <w:rsid w:val="00A97CFD"/>
    <w:rsid w:val="00A97F9C"/>
    <w:rsid w:val="00AA01EF"/>
    <w:rsid w:val="00AA038E"/>
    <w:rsid w:val="00AA03BD"/>
    <w:rsid w:val="00AA0A2A"/>
    <w:rsid w:val="00AA0E1C"/>
    <w:rsid w:val="00AA1634"/>
    <w:rsid w:val="00AA18AF"/>
    <w:rsid w:val="00AA2738"/>
    <w:rsid w:val="00AA345C"/>
    <w:rsid w:val="00AA427B"/>
    <w:rsid w:val="00AA46BC"/>
    <w:rsid w:val="00AA4935"/>
    <w:rsid w:val="00AA4B1A"/>
    <w:rsid w:val="00AA572D"/>
    <w:rsid w:val="00AA5FC2"/>
    <w:rsid w:val="00AA671D"/>
    <w:rsid w:val="00AA6A22"/>
    <w:rsid w:val="00AA7524"/>
    <w:rsid w:val="00AA79B7"/>
    <w:rsid w:val="00AA7D51"/>
    <w:rsid w:val="00AB0D8E"/>
    <w:rsid w:val="00AB0E6B"/>
    <w:rsid w:val="00AB19DD"/>
    <w:rsid w:val="00AB2044"/>
    <w:rsid w:val="00AB229A"/>
    <w:rsid w:val="00AB2426"/>
    <w:rsid w:val="00AB2BD9"/>
    <w:rsid w:val="00AB2DDD"/>
    <w:rsid w:val="00AB3049"/>
    <w:rsid w:val="00AB362B"/>
    <w:rsid w:val="00AB48D8"/>
    <w:rsid w:val="00AB5137"/>
    <w:rsid w:val="00AB5506"/>
    <w:rsid w:val="00AB59B1"/>
    <w:rsid w:val="00AB5C27"/>
    <w:rsid w:val="00AB6086"/>
    <w:rsid w:val="00AB6243"/>
    <w:rsid w:val="00AB6C00"/>
    <w:rsid w:val="00AB7025"/>
    <w:rsid w:val="00AB709F"/>
    <w:rsid w:val="00AB70FC"/>
    <w:rsid w:val="00AB743C"/>
    <w:rsid w:val="00AB7717"/>
    <w:rsid w:val="00AC0387"/>
    <w:rsid w:val="00AC0877"/>
    <w:rsid w:val="00AC094B"/>
    <w:rsid w:val="00AC18A1"/>
    <w:rsid w:val="00AC1AD0"/>
    <w:rsid w:val="00AC1B21"/>
    <w:rsid w:val="00AC210A"/>
    <w:rsid w:val="00AC23F0"/>
    <w:rsid w:val="00AC2B75"/>
    <w:rsid w:val="00AC3235"/>
    <w:rsid w:val="00AC397A"/>
    <w:rsid w:val="00AC3F58"/>
    <w:rsid w:val="00AC4198"/>
    <w:rsid w:val="00AC427F"/>
    <w:rsid w:val="00AC45C7"/>
    <w:rsid w:val="00AC4D59"/>
    <w:rsid w:val="00AC4F7E"/>
    <w:rsid w:val="00AC5546"/>
    <w:rsid w:val="00AC563C"/>
    <w:rsid w:val="00AC64EE"/>
    <w:rsid w:val="00AC6C0C"/>
    <w:rsid w:val="00AC7033"/>
    <w:rsid w:val="00AC7348"/>
    <w:rsid w:val="00AC7A87"/>
    <w:rsid w:val="00AC7B64"/>
    <w:rsid w:val="00AC7E4A"/>
    <w:rsid w:val="00AD0243"/>
    <w:rsid w:val="00AD09B0"/>
    <w:rsid w:val="00AD1C58"/>
    <w:rsid w:val="00AD2026"/>
    <w:rsid w:val="00AD2158"/>
    <w:rsid w:val="00AD2473"/>
    <w:rsid w:val="00AD28C7"/>
    <w:rsid w:val="00AD2A36"/>
    <w:rsid w:val="00AD2A64"/>
    <w:rsid w:val="00AD2C2D"/>
    <w:rsid w:val="00AD2CD3"/>
    <w:rsid w:val="00AD3194"/>
    <w:rsid w:val="00AD3861"/>
    <w:rsid w:val="00AD38DD"/>
    <w:rsid w:val="00AD395D"/>
    <w:rsid w:val="00AD3CAE"/>
    <w:rsid w:val="00AD4C16"/>
    <w:rsid w:val="00AD50E9"/>
    <w:rsid w:val="00AD52C6"/>
    <w:rsid w:val="00AD5A31"/>
    <w:rsid w:val="00AD5ACB"/>
    <w:rsid w:val="00AD6838"/>
    <w:rsid w:val="00AD71A6"/>
    <w:rsid w:val="00AD751F"/>
    <w:rsid w:val="00AD75D8"/>
    <w:rsid w:val="00AD7843"/>
    <w:rsid w:val="00AD7A42"/>
    <w:rsid w:val="00AD7DF3"/>
    <w:rsid w:val="00AE0BB1"/>
    <w:rsid w:val="00AE0D8B"/>
    <w:rsid w:val="00AE135E"/>
    <w:rsid w:val="00AE13DC"/>
    <w:rsid w:val="00AE14F7"/>
    <w:rsid w:val="00AE15C0"/>
    <w:rsid w:val="00AE17EE"/>
    <w:rsid w:val="00AE24C3"/>
    <w:rsid w:val="00AE2668"/>
    <w:rsid w:val="00AE2C1D"/>
    <w:rsid w:val="00AE306B"/>
    <w:rsid w:val="00AE3548"/>
    <w:rsid w:val="00AE3682"/>
    <w:rsid w:val="00AE3A7F"/>
    <w:rsid w:val="00AE3AB4"/>
    <w:rsid w:val="00AE41A0"/>
    <w:rsid w:val="00AE4759"/>
    <w:rsid w:val="00AE48C4"/>
    <w:rsid w:val="00AE5646"/>
    <w:rsid w:val="00AE59A6"/>
    <w:rsid w:val="00AE5BE4"/>
    <w:rsid w:val="00AE61D6"/>
    <w:rsid w:val="00AE634F"/>
    <w:rsid w:val="00AE6A88"/>
    <w:rsid w:val="00AE74FA"/>
    <w:rsid w:val="00AE7BDD"/>
    <w:rsid w:val="00AF031D"/>
    <w:rsid w:val="00AF1000"/>
    <w:rsid w:val="00AF17A3"/>
    <w:rsid w:val="00AF1838"/>
    <w:rsid w:val="00AF2508"/>
    <w:rsid w:val="00AF32BA"/>
    <w:rsid w:val="00AF35D9"/>
    <w:rsid w:val="00AF412A"/>
    <w:rsid w:val="00AF48E7"/>
    <w:rsid w:val="00AF5027"/>
    <w:rsid w:val="00AF5295"/>
    <w:rsid w:val="00AF540D"/>
    <w:rsid w:val="00AF58AE"/>
    <w:rsid w:val="00AF5FB6"/>
    <w:rsid w:val="00AF6819"/>
    <w:rsid w:val="00AF6CB9"/>
    <w:rsid w:val="00AF6FAE"/>
    <w:rsid w:val="00AF7342"/>
    <w:rsid w:val="00AF74DB"/>
    <w:rsid w:val="00AF7AA0"/>
    <w:rsid w:val="00B00099"/>
    <w:rsid w:val="00B00537"/>
    <w:rsid w:val="00B00583"/>
    <w:rsid w:val="00B009FE"/>
    <w:rsid w:val="00B0179E"/>
    <w:rsid w:val="00B02BFB"/>
    <w:rsid w:val="00B03171"/>
    <w:rsid w:val="00B03C7F"/>
    <w:rsid w:val="00B03D4F"/>
    <w:rsid w:val="00B03E34"/>
    <w:rsid w:val="00B03FB8"/>
    <w:rsid w:val="00B04793"/>
    <w:rsid w:val="00B04DF6"/>
    <w:rsid w:val="00B04F47"/>
    <w:rsid w:val="00B04FF9"/>
    <w:rsid w:val="00B050EC"/>
    <w:rsid w:val="00B057D9"/>
    <w:rsid w:val="00B06655"/>
    <w:rsid w:val="00B06E22"/>
    <w:rsid w:val="00B07259"/>
    <w:rsid w:val="00B07823"/>
    <w:rsid w:val="00B07E65"/>
    <w:rsid w:val="00B10209"/>
    <w:rsid w:val="00B104AD"/>
    <w:rsid w:val="00B10535"/>
    <w:rsid w:val="00B10B8F"/>
    <w:rsid w:val="00B11395"/>
    <w:rsid w:val="00B114C7"/>
    <w:rsid w:val="00B12060"/>
    <w:rsid w:val="00B1207F"/>
    <w:rsid w:val="00B120AE"/>
    <w:rsid w:val="00B1220C"/>
    <w:rsid w:val="00B12B2C"/>
    <w:rsid w:val="00B12B3D"/>
    <w:rsid w:val="00B12C7A"/>
    <w:rsid w:val="00B13EAE"/>
    <w:rsid w:val="00B14783"/>
    <w:rsid w:val="00B14CC6"/>
    <w:rsid w:val="00B16C30"/>
    <w:rsid w:val="00B16DBF"/>
    <w:rsid w:val="00B17035"/>
    <w:rsid w:val="00B17CAF"/>
    <w:rsid w:val="00B20659"/>
    <w:rsid w:val="00B20F8E"/>
    <w:rsid w:val="00B21074"/>
    <w:rsid w:val="00B21246"/>
    <w:rsid w:val="00B221BC"/>
    <w:rsid w:val="00B22408"/>
    <w:rsid w:val="00B22C41"/>
    <w:rsid w:val="00B22FF0"/>
    <w:rsid w:val="00B2300B"/>
    <w:rsid w:val="00B238A5"/>
    <w:rsid w:val="00B2393A"/>
    <w:rsid w:val="00B23EDA"/>
    <w:rsid w:val="00B242CE"/>
    <w:rsid w:val="00B246A9"/>
    <w:rsid w:val="00B24B0F"/>
    <w:rsid w:val="00B250A4"/>
    <w:rsid w:val="00B2572F"/>
    <w:rsid w:val="00B26168"/>
    <w:rsid w:val="00B26259"/>
    <w:rsid w:val="00B26369"/>
    <w:rsid w:val="00B26388"/>
    <w:rsid w:val="00B266DF"/>
    <w:rsid w:val="00B26900"/>
    <w:rsid w:val="00B26E31"/>
    <w:rsid w:val="00B279C4"/>
    <w:rsid w:val="00B27F56"/>
    <w:rsid w:val="00B308C3"/>
    <w:rsid w:val="00B314EE"/>
    <w:rsid w:val="00B3153C"/>
    <w:rsid w:val="00B31718"/>
    <w:rsid w:val="00B31B2B"/>
    <w:rsid w:val="00B31BD3"/>
    <w:rsid w:val="00B32635"/>
    <w:rsid w:val="00B329B2"/>
    <w:rsid w:val="00B32A04"/>
    <w:rsid w:val="00B32A0B"/>
    <w:rsid w:val="00B32BD1"/>
    <w:rsid w:val="00B32CFD"/>
    <w:rsid w:val="00B335FA"/>
    <w:rsid w:val="00B33D8D"/>
    <w:rsid w:val="00B33E01"/>
    <w:rsid w:val="00B33F94"/>
    <w:rsid w:val="00B34079"/>
    <w:rsid w:val="00B3411E"/>
    <w:rsid w:val="00B34121"/>
    <w:rsid w:val="00B34A49"/>
    <w:rsid w:val="00B34DD2"/>
    <w:rsid w:val="00B3549E"/>
    <w:rsid w:val="00B361C3"/>
    <w:rsid w:val="00B368C1"/>
    <w:rsid w:val="00B36FE7"/>
    <w:rsid w:val="00B371B1"/>
    <w:rsid w:val="00B3738E"/>
    <w:rsid w:val="00B37E99"/>
    <w:rsid w:val="00B402E7"/>
    <w:rsid w:val="00B407F2"/>
    <w:rsid w:val="00B40D2B"/>
    <w:rsid w:val="00B41379"/>
    <w:rsid w:val="00B416BE"/>
    <w:rsid w:val="00B416F5"/>
    <w:rsid w:val="00B4205B"/>
    <w:rsid w:val="00B42262"/>
    <w:rsid w:val="00B422E4"/>
    <w:rsid w:val="00B424DA"/>
    <w:rsid w:val="00B42733"/>
    <w:rsid w:val="00B438FC"/>
    <w:rsid w:val="00B43FCA"/>
    <w:rsid w:val="00B442D4"/>
    <w:rsid w:val="00B442DA"/>
    <w:rsid w:val="00B44314"/>
    <w:rsid w:val="00B445FB"/>
    <w:rsid w:val="00B4471A"/>
    <w:rsid w:val="00B44813"/>
    <w:rsid w:val="00B44C91"/>
    <w:rsid w:val="00B44D1B"/>
    <w:rsid w:val="00B45129"/>
    <w:rsid w:val="00B45A81"/>
    <w:rsid w:val="00B46179"/>
    <w:rsid w:val="00B465BC"/>
    <w:rsid w:val="00B46820"/>
    <w:rsid w:val="00B471FC"/>
    <w:rsid w:val="00B4748A"/>
    <w:rsid w:val="00B47984"/>
    <w:rsid w:val="00B47A42"/>
    <w:rsid w:val="00B47C61"/>
    <w:rsid w:val="00B503C8"/>
    <w:rsid w:val="00B50558"/>
    <w:rsid w:val="00B50586"/>
    <w:rsid w:val="00B51269"/>
    <w:rsid w:val="00B516BF"/>
    <w:rsid w:val="00B516C9"/>
    <w:rsid w:val="00B5190A"/>
    <w:rsid w:val="00B51AAC"/>
    <w:rsid w:val="00B51CED"/>
    <w:rsid w:val="00B529D0"/>
    <w:rsid w:val="00B52B1B"/>
    <w:rsid w:val="00B52FAF"/>
    <w:rsid w:val="00B53835"/>
    <w:rsid w:val="00B54706"/>
    <w:rsid w:val="00B550A9"/>
    <w:rsid w:val="00B5552A"/>
    <w:rsid w:val="00B56262"/>
    <w:rsid w:val="00B5633E"/>
    <w:rsid w:val="00B56472"/>
    <w:rsid w:val="00B5658E"/>
    <w:rsid w:val="00B577A1"/>
    <w:rsid w:val="00B57AE3"/>
    <w:rsid w:val="00B57C47"/>
    <w:rsid w:val="00B57F79"/>
    <w:rsid w:val="00B6003F"/>
    <w:rsid w:val="00B60746"/>
    <w:rsid w:val="00B60E49"/>
    <w:rsid w:val="00B61389"/>
    <w:rsid w:val="00B61EBA"/>
    <w:rsid w:val="00B62417"/>
    <w:rsid w:val="00B6245D"/>
    <w:rsid w:val="00B6247B"/>
    <w:rsid w:val="00B628B0"/>
    <w:rsid w:val="00B62C04"/>
    <w:rsid w:val="00B6381F"/>
    <w:rsid w:val="00B63AAA"/>
    <w:rsid w:val="00B63CFA"/>
    <w:rsid w:val="00B646E5"/>
    <w:rsid w:val="00B665C6"/>
    <w:rsid w:val="00B66A2D"/>
    <w:rsid w:val="00B66C1F"/>
    <w:rsid w:val="00B67172"/>
    <w:rsid w:val="00B67187"/>
    <w:rsid w:val="00B67214"/>
    <w:rsid w:val="00B67AC1"/>
    <w:rsid w:val="00B67D4B"/>
    <w:rsid w:val="00B7003A"/>
    <w:rsid w:val="00B70568"/>
    <w:rsid w:val="00B70BB1"/>
    <w:rsid w:val="00B70C94"/>
    <w:rsid w:val="00B716D0"/>
    <w:rsid w:val="00B71793"/>
    <w:rsid w:val="00B71889"/>
    <w:rsid w:val="00B723D6"/>
    <w:rsid w:val="00B72505"/>
    <w:rsid w:val="00B72A77"/>
    <w:rsid w:val="00B72D33"/>
    <w:rsid w:val="00B72D7A"/>
    <w:rsid w:val="00B73723"/>
    <w:rsid w:val="00B740CD"/>
    <w:rsid w:val="00B74A68"/>
    <w:rsid w:val="00B752A5"/>
    <w:rsid w:val="00B75F32"/>
    <w:rsid w:val="00B761AB"/>
    <w:rsid w:val="00B764A7"/>
    <w:rsid w:val="00B77460"/>
    <w:rsid w:val="00B77CAB"/>
    <w:rsid w:val="00B77D05"/>
    <w:rsid w:val="00B77DB9"/>
    <w:rsid w:val="00B8023A"/>
    <w:rsid w:val="00B806B3"/>
    <w:rsid w:val="00B80B39"/>
    <w:rsid w:val="00B8109A"/>
    <w:rsid w:val="00B82B34"/>
    <w:rsid w:val="00B831DA"/>
    <w:rsid w:val="00B834B9"/>
    <w:rsid w:val="00B83BC0"/>
    <w:rsid w:val="00B83CF3"/>
    <w:rsid w:val="00B84806"/>
    <w:rsid w:val="00B85223"/>
    <w:rsid w:val="00B86162"/>
    <w:rsid w:val="00B864A0"/>
    <w:rsid w:val="00B86DAC"/>
    <w:rsid w:val="00B87319"/>
    <w:rsid w:val="00B87944"/>
    <w:rsid w:val="00B90218"/>
    <w:rsid w:val="00B90AA9"/>
    <w:rsid w:val="00B90C0C"/>
    <w:rsid w:val="00B910E1"/>
    <w:rsid w:val="00B9150E"/>
    <w:rsid w:val="00B91534"/>
    <w:rsid w:val="00B9192F"/>
    <w:rsid w:val="00B91AAC"/>
    <w:rsid w:val="00B91C09"/>
    <w:rsid w:val="00B91C89"/>
    <w:rsid w:val="00B92047"/>
    <w:rsid w:val="00B922E5"/>
    <w:rsid w:val="00B92964"/>
    <w:rsid w:val="00B929F3"/>
    <w:rsid w:val="00B92E3D"/>
    <w:rsid w:val="00B92EFB"/>
    <w:rsid w:val="00B931BB"/>
    <w:rsid w:val="00B93396"/>
    <w:rsid w:val="00B939BF"/>
    <w:rsid w:val="00B93D06"/>
    <w:rsid w:val="00B94486"/>
    <w:rsid w:val="00B94614"/>
    <w:rsid w:val="00B948D3"/>
    <w:rsid w:val="00B95113"/>
    <w:rsid w:val="00B95817"/>
    <w:rsid w:val="00B95DE4"/>
    <w:rsid w:val="00B95FE9"/>
    <w:rsid w:val="00B96109"/>
    <w:rsid w:val="00B96134"/>
    <w:rsid w:val="00B9637E"/>
    <w:rsid w:val="00B967D0"/>
    <w:rsid w:val="00B9736F"/>
    <w:rsid w:val="00BA0138"/>
    <w:rsid w:val="00BA03ED"/>
    <w:rsid w:val="00BA077F"/>
    <w:rsid w:val="00BA0907"/>
    <w:rsid w:val="00BA103C"/>
    <w:rsid w:val="00BA128D"/>
    <w:rsid w:val="00BA1CCF"/>
    <w:rsid w:val="00BA348C"/>
    <w:rsid w:val="00BA3544"/>
    <w:rsid w:val="00BA3984"/>
    <w:rsid w:val="00BA3AC1"/>
    <w:rsid w:val="00BA4324"/>
    <w:rsid w:val="00BA4C26"/>
    <w:rsid w:val="00BA4D61"/>
    <w:rsid w:val="00BA4F16"/>
    <w:rsid w:val="00BA4FB5"/>
    <w:rsid w:val="00BA5DFE"/>
    <w:rsid w:val="00BA6AE0"/>
    <w:rsid w:val="00BA6B12"/>
    <w:rsid w:val="00BA6FC9"/>
    <w:rsid w:val="00BA78D2"/>
    <w:rsid w:val="00BB023A"/>
    <w:rsid w:val="00BB05BA"/>
    <w:rsid w:val="00BB067C"/>
    <w:rsid w:val="00BB0F0B"/>
    <w:rsid w:val="00BB1226"/>
    <w:rsid w:val="00BB1574"/>
    <w:rsid w:val="00BB1B1D"/>
    <w:rsid w:val="00BB20C1"/>
    <w:rsid w:val="00BB3394"/>
    <w:rsid w:val="00BB33BA"/>
    <w:rsid w:val="00BB3934"/>
    <w:rsid w:val="00BB3EC3"/>
    <w:rsid w:val="00BB469E"/>
    <w:rsid w:val="00BB4727"/>
    <w:rsid w:val="00BB5122"/>
    <w:rsid w:val="00BB51FF"/>
    <w:rsid w:val="00BB5DE6"/>
    <w:rsid w:val="00BB5F1A"/>
    <w:rsid w:val="00BB670D"/>
    <w:rsid w:val="00BB6796"/>
    <w:rsid w:val="00BB67E7"/>
    <w:rsid w:val="00BB6BE6"/>
    <w:rsid w:val="00BB7416"/>
    <w:rsid w:val="00BB7FDA"/>
    <w:rsid w:val="00BC0BE3"/>
    <w:rsid w:val="00BC0D3D"/>
    <w:rsid w:val="00BC106C"/>
    <w:rsid w:val="00BC1136"/>
    <w:rsid w:val="00BC1316"/>
    <w:rsid w:val="00BC24E8"/>
    <w:rsid w:val="00BC2ADD"/>
    <w:rsid w:val="00BC2CA2"/>
    <w:rsid w:val="00BC3158"/>
    <w:rsid w:val="00BC3188"/>
    <w:rsid w:val="00BC45A3"/>
    <w:rsid w:val="00BC4FF5"/>
    <w:rsid w:val="00BC50A1"/>
    <w:rsid w:val="00BC5923"/>
    <w:rsid w:val="00BC5D0D"/>
    <w:rsid w:val="00BC6870"/>
    <w:rsid w:val="00BC69D1"/>
    <w:rsid w:val="00BC6D9A"/>
    <w:rsid w:val="00BC7102"/>
    <w:rsid w:val="00BC7740"/>
    <w:rsid w:val="00BC7B57"/>
    <w:rsid w:val="00BD0054"/>
    <w:rsid w:val="00BD05DA"/>
    <w:rsid w:val="00BD0671"/>
    <w:rsid w:val="00BD0825"/>
    <w:rsid w:val="00BD0950"/>
    <w:rsid w:val="00BD151B"/>
    <w:rsid w:val="00BD1B3B"/>
    <w:rsid w:val="00BD22EF"/>
    <w:rsid w:val="00BD25F3"/>
    <w:rsid w:val="00BD269F"/>
    <w:rsid w:val="00BD279A"/>
    <w:rsid w:val="00BD2FB9"/>
    <w:rsid w:val="00BD389F"/>
    <w:rsid w:val="00BD3A10"/>
    <w:rsid w:val="00BD3D99"/>
    <w:rsid w:val="00BD4346"/>
    <w:rsid w:val="00BD439D"/>
    <w:rsid w:val="00BD4D43"/>
    <w:rsid w:val="00BD4D77"/>
    <w:rsid w:val="00BD5760"/>
    <w:rsid w:val="00BD5809"/>
    <w:rsid w:val="00BD676D"/>
    <w:rsid w:val="00BD6C45"/>
    <w:rsid w:val="00BD6CF8"/>
    <w:rsid w:val="00BD7464"/>
    <w:rsid w:val="00BD75B5"/>
    <w:rsid w:val="00BD7955"/>
    <w:rsid w:val="00BD79FB"/>
    <w:rsid w:val="00BD7B9B"/>
    <w:rsid w:val="00BD7CF8"/>
    <w:rsid w:val="00BD7D6B"/>
    <w:rsid w:val="00BE0198"/>
    <w:rsid w:val="00BE033A"/>
    <w:rsid w:val="00BE0650"/>
    <w:rsid w:val="00BE0B09"/>
    <w:rsid w:val="00BE0C26"/>
    <w:rsid w:val="00BE0F0F"/>
    <w:rsid w:val="00BE1A34"/>
    <w:rsid w:val="00BE1A41"/>
    <w:rsid w:val="00BE1E60"/>
    <w:rsid w:val="00BE2FD0"/>
    <w:rsid w:val="00BE3252"/>
    <w:rsid w:val="00BE3550"/>
    <w:rsid w:val="00BE3900"/>
    <w:rsid w:val="00BE3B75"/>
    <w:rsid w:val="00BE3BD2"/>
    <w:rsid w:val="00BE3C8E"/>
    <w:rsid w:val="00BE3E28"/>
    <w:rsid w:val="00BE442A"/>
    <w:rsid w:val="00BE44BB"/>
    <w:rsid w:val="00BE4949"/>
    <w:rsid w:val="00BE5217"/>
    <w:rsid w:val="00BE5515"/>
    <w:rsid w:val="00BE5CE9"/>
    <w:rsid w:val="00BE6226"/>
    <w:rsid w:val="00BE641B"/>
    <w:rsid w:val="00BE65C2"/>
    <w:rsid w:val="00BE6870"/>
    <w:rsid w:val="00BE68C2"/>
    <w:rsid w:val="00BE6903"/>
    <w:rsid w:val="00BE69D5"/>
    <w:rsid w:val="00BE6BED"/>
    <w:rsid w:val="00BE7313"/>
    <w:rsid w:val="00BE7688"/>
    <w:rsid w:val="00BF0DDB"/>
    <w:rsid w:val="00BF0E3B"/>
    <w:rsid w:val="00BF0F59"/>
    <w:rsid w:val="00BF151A"/>
    <w:rsid w:val="00BF157C"/>
    <w:rsid w:val="00BF17B9"/>
    <w:rsid w:val="00BF1F8C"/>
    <w:rsid w:val="00BF2090"/>
    <w:rsid w:val="00BF232F"/>
    <w:rsid w:val="00BF25EF"/>
    <w:rsid w:val="00BF2A88"/>
    <w:rsid w:val="00BF38F4"/>
    <w:rsid w:val="00BF3A22"/>
    <w:rsid w:val="00BF4421"/>
    <w:rsid w:val="00BF4593"/>
    <w:rsid w:val="00BF4B47"/>
    <w:rsid w:val="00BF5338"/>
    <w:rsid w:val="00BF5B3A"/>
    <w:rsid w:val="00BF6242"/>
    <w:rsid w:val="00BF67AE"/>
    <w:rsid w:val="00BF6E0B"/>
    <w:rsid w:val="00BF79FF"/>
    <w:rsid w:val="00BF7BD7"/>
    <w:rsid w:val="00C003EA"/>
    <w:rsid w:val="00C00B99"/>
    <w:rsid w:val="00C00DFD"/>
    <w:rsid w:val="00C013F0"/>
    <w:rsid w:val="00C01C26"/>
    <w:rsid w:val="00C02638"/>
    <w:rsid w:val="00C03057"/>
    <w:rsid w:val="00C030D0"/>
    <w:rsid w:val="00C037CB"/>
    <w:rsid w:val="00C03B61"/>
    <w:rsid w:val="00C03CFC"/>
    <w:rsid w:val="00C03D78"/>
    <w:rsid w:val="00C04033"/>
    <w:rsid w:val="00C045C4"/>
    <w:rsid w:val="00C0489E"/>
    <w:rsid w:val="00C048D1"/>
    <w:rsid w:val="00C04D54"/>
    <w:rsid w:val="00C05500"/>
    <w:rsid w:val="00C06224"/>
    <w:rsid w:val="00C06574"/>
    <w:rsid w:val="00C06DE4"/>
    <w:rsid w:val="00C06F05"/>
    <w:rsid w:val="00C0764B"/>
    <w:rsid w:val="00C07C6B"/>
    <w:rsid w:val="00C104AA"/>
    <w:rsid w:val="00C10717"/>
    <w:rsid w:val="00C107C0"/>
    <w:rsid w:val="00C10C1C"/>
    <w:rsid w:val="00C10C75"/>
    <w:rsid w:val="00C11387"/>
    <w:rsid w:val="00C1159F"/>
    <w:rsid w:val="00C11FBF"/>
    <w:rsid w:val="00C12301"/>
    <w:rsid w:val="00C12BA7"/>
    <w:rsid w:val="00C13834"/>
    <w:rsid w:val="00C13A54"/>
    <w:rsid w:val="00C14640"/>
    <w:rsid w:val="00C14856"/>
    <w:rsid w:val="00C148BA"/>
    <w:rsid w:val="00C14999"/>
    <w:rsid w:val="00C14B79"/>
    <w:rsid w:val="00C150A4"/>
    <w:rsid w:val="00C1520B"/>
    <w:rsid w:val="00C15BA8"/>
    <w:rsid w:val="00C160AA"/>
    <w:rsid w:val="00C16295"/>
    <w:rsid w:val="00C162E5"/>
    <w:rsid w:val="00C16BDB"/>
    <w:rsid w:val="00C16D31"/>
    <w:rsid w:val="00C171AD"/>
    <w:rsid w:val="00C176A7"/>
    <w:rsid w:val="00C1772D"/>
    <w:rsid w:val="00C17AA6"/>
    <w:rsid w:val="00C202DD"/>
    <w:rsid w:val="00C203E0"/>
    <w:rsid w:val="00C20CD9"/>
    <w:rsid w:val="00C20E43"/>
    <w:rsid w:val="00C211F5"/>
    <w:rsid w:val="00C21552"/>
    <w:rsid w:val="00C21D19"/>
    <w:rsid w:val="00C21D8D"/>
    <w:rsid w:val="00C2269F"/>
    <w:rsid w:val="00C24252"/>
    <w:rsid w:val="00C250E1"/>
    <w:rsid w:val="00C2516B"/>
    <w:rsid w:val="00C254F3"/>
    <w:rsid w:val="00C258D3"/>
    <w:rsid w:val="00C25A6B"/>
    <w:rsid w:val="00C26AE0"/>
    <w:rsid w:val="00C26B9D"/>
    <w:rsid w:val="00C275A5"/>
    <w:rsid w:val="00C300BB"/>
    <w:rsid w:val="00C30267"/>
    <w:rsid w:val="00C30651"/>
    <w:rsid w:val="00C30DB3"/>
    <w:rsid w:val="00C30F4F"/>
    <w:rsid w:val="00C31EEE"/>
    <w:rsid w:val="00C320B6"/>
    <w:rsid w:val="00C32920"/>
    <w:rsid w:val="00C33477"/>
    <w:rsid w:val="00C33621"/>
    <w:rsid w:val="00C33686"/>
    <w:rsid w:val="00C34031"/>
    <w:rsid w:val="00C341EC"/>
    <w:rsid w:val="00C34744"/>
    <w:rsid w:val="00C34A05"/>
    <w:rsid w:val="00C34A6F"/>
    <w:rsid w:val="00C34D59"/>
    <w:rsid w:val="00C351CA"/>
    <w:rsid w:val="00C35564"/>
    <w:rsid w:val="00C35AF6"/>
    <w:rsid w:val="00C35DBA"/>
    <w:rsid w:val="00C35F79"/>
    <w:rsid w:val="00C365F3"/>
    <w:rsid w:val="00C36854"/>
    <w:rsid w:val="00C36A96"/>
    <w:rsid w:val="00C375B7"/>
    <w:rsid w:val="00C4022B"/>
    <w:rsid w:val="00C40371"/>
    <w:rsid w:val="00C40375"/>
    <w:rsid w:val="00C41031"/>
    <w:rsid w:val="00C419ED"/>
    <w:rsid w:val="00C41E19"/>
    <w:rsid w:val="00C42145"/>
    <w:rsid w:val="00C424A4"/>
    <w:rsid w:val="00C42763"/>
    <w:rsid w:val="00C42C98"/>
    <w:rsid w:val="00C42DC4"/>
    <w:rsid w:val="00C430B6"/>
    <w:rsid w:val="00C4365F"/>
    <w:rsid w:val="00C4366D"/>
    <w:rsid w:val="00C43B6E"/>
    <w:rsid w:val="00C444C3"/>
    <w:rsid w:val="00C44850"/>
    <w:rsid w:val="00C44916"/>
    <w:rsid w:val="00C45AC4"/>
    <w:rsid w:val="00C45C8F"/>
    <w:rsid w:val="00C4609E"/>
    <w:rsid w:val="00C461F1"/>
    <w:rsid w:val="00C46378"/>
    <w:rsid w:val="00C470CA"/>
    <w:rsid w:val="00C47330"/>
    <w:rsid w:val="00C47380"/>
    <w:rsid w:val="00C4743C"/>
    <w:rsid w:val="00C4749B"/>
    <w:rsid w:val="00C475B9"/>
    <w:rsid w:val="00C47C94"/>
    <w:rsid w:val="00C47E7D"/>
    <w:rsid w:val="00C47EB7"/>
    <w:rsid w:val="00C50420"/>
    <w:rsid w:val="00C50447"/>
    <w:rsid w:val="00C506E1"/>
    <w:rsid w:val="00C50AAF"/>
    <w:rsid w:val="00C50BC6"/>
    <w:rsid w:val="00C50C70"/>
    <w:rsid w:val="00C5193B"/>
    <w:rsid w:val="00C5277F"/>
    <w:rsid w:val="00C52B03"/>
    <w:rsid w:val="00C52E99"/>
    <w:rsid w:val="00C53210"/>
    <w:rsid w:val="00C5361B"/>
    <w:rsid w:val="00C53963"/>
    <w:rsid w:val="00C54366"/>
    <w:rsid w:val="00C5472F"/>
    <w:rsid w:val="00C550F1"/>
    <w:rsid w:val="00C55607"/>
    <w:rsid w:val="00C55787"/>
    <w:rsid w:val="00C55ADB"/>
    <w:rsid w:val="00C55E4F"/>
    <w:rsid w:val="00C5648E"/>
    <w:rsid w:val="00C56907"/>
    <w:rsid w:val="00C56B86"/>
    <w:rsid w:val="00C56D9C"/>
    <w:rsid w:val="00C5765C"/>
    <w:rsid w:val="00C57972"/>
    <w:rsid w:val="00C579A4"/>
    <w:rsid w:val="00C57E5C"/>
    <w:rsid w:val="00C60791"/>
    <w:rsid w:val="00C60BB1"/>
    <w:rsid w:val="00C61116"/>
    <w:rsid w:val="00C6132C"/>
    <w:rsid w:val="00C620FA"/>
    <w:rsid w:val="00C62302"/>
    <w:rsid w:val="00C6248E"/>
    <w:rsid w:val="00C625BC"/>
    <w:rsid w:val="00C62AE9"/>
    <w:rsid w:val="00C637D5"/>
    <w:rsid w:val="00C63959"/>
    <w:rsid w:val="00C63A4F"/>
    <w:rsid w:val="00C63C18"/>
    <w:rsid w:val="00C645ED"/>
    <w:rsid w:val="00C64AC5"/>
    <w:rsid w:val="00C6591F"/>
    <w:rsid w:val="00C65C61"/>
    <w:rsid w:val="00C65F85"/>
    <w:rsid w:val="00C662B7"/>
    <w:rsid w:val="00C662D4"/>
    <w:rsid w:val="00C66C16"/>
    <w:rsid w:val="00C66F6C"/>
    <w:rsid w:val="00C670C7"/>
    <w:rsid w:val="00C67593"/>
    <w:rsid w:val="00C704A0"/>
    <w:rsid w:val="00C70BEB"/>
    <w:rsid w:val="00C70FEA"/>
    <w:rsid w:val="00C719D4"/>
    <w:rsid w:val="00C72202"/>
    <w:rsid w:val="00C72252"/>
    <w:rsid w:val="00C72A51"/>
    <w:rsid w:val="00C73D62"/>
    <w:rsid w:val="00C73D98"/>
    <w:rsid w:val="00C745E6"/>
    <w:rsid w:val="00C74A62"/>
    <w:rsid w:val="00C7519A"/>
    <w:rsid w:val="00C75B09"/>
    <w:rsid w:val="00C75C46"/>
    <w:rsid w:val="00C7673B"/>
    <w:rsid w:val="00C76FAB"/>
    <w:rsid w:val="00C773E0"/>
    <w:rsid w:val="00C80641"/>
    <w:rsid w:val="00C80665"/>
    <w:rsid w:val="00C80F72"/>
    <w:rsid w:val="00C81347"/>
    <w:rsid w:val="00C814A6"/>
    <w:rsid w:val="00C817F1"/>
    <w:rsid w:val="00C81A27"/>
    <w:rsid w:val="00C81B86"/>
    <w:rsid w:val="00C81B89"/>
    <w:rsid w:val="00C81F34"/>
    <w:rsid w:val="00C82177"/>
    <w:rsid w:val="00C82232"/>
    <w:rsid w:val="00C822D4"/>
    <w:rsid w:val="00C827F5"/>
    <w:rsid w:val="00C82D7F"/>
    <w:rsid w:val="00C830E6"/>
    <w:rsid w:val="00C8409F"/>
    <w:rsid w:val="00C8421B"/>
    <w:rsid w:val="00C84FF5"/>
    <w:rsid w:val="00C8518E"/>
    <w:rsid w:val="00C85728"/>
    <w:rsid w:val="00C8583D"/>
    <w:rsid w:val="00C859D7"/>
    <w:rsid w:val="00C85FA1"/>
    <w:rsid w:val="00C86142"/>
    <w:rsid w:val="00C86439"/>
    <w:rsid w:val="00C86549"/>
    <w:rsid w:val="00C86611"/>
    <w:rsid w:val="00C8683B"/>
    <w:rsid w:val="00C86DE8"/>
    <w:rsid w:val="00C86F53"/>
    <w:rsid w:val="00C87945"/>
    <w:rsid w:val="00C87D73"/>
    <w:rsid w:val="00C901F5"/>
    <w:rsid w:val="00C90207"/>
    <w:rsid w:val="00C90577"/>
    <w:rsid w:val="00C905DE"/>
    <w:rsid w:val="00C90C3A"/>
    <w:rsid w:val="00C91043"/>
    <w:rsid w:val="00C91173"/>
    <w:rsid w:val="00C91884"/>
    <w:rsid w:val="00C91C04"/>
    <w:rsid w:val="00C91C50"/>
    <w:rsid w:val="00C91E98"/>
    <w:rsid w:val="00C921B2"/>
    <w:rsid w:val="00C925A2"/>
    <w:rsid w:val="00C92669"/>
    <w:rsid w:val="00C92F4D"/>
    <w:rsid w:val="00C92FC0"/>
    <w:rsid w:val="00C936FA"/>
    <w:rsid w:val="00C93772"/>
    <w:rsid w:val="00C940BF"/>
    <w:rsid w:val="00C94CDC"/>
    <w:rsid w:val="00C95AA8"/>
    <w:rsid w:val="00C95AED"/>
    <w:rsid w:val="00C95B09"/>
    <w:rsid w:val="00C96667"/>
    <w:rsid w:val="00C97052"/>
    <w:rsid w:val="00C97463"/>
    <w:rsid w:val="00C977DA"/>
    <w:rsid w:val="00CA0F2F"/>
    <w:rsid w:val="00CA102E"/>
    <w:rsid w:val="00CA2580"/>
    <w:rsid w:val="00CA2681"/>
    <w:rsid w:val="00CA2CD8"/>
    <w:rsid w:val="00CA2DAC"/>
    <w:rsid w:val="00CA306E"/>
    <w:rsid w:val="00CA30AE"/>
    <w:rsid w:val="00CA3E91"/>
    <w:rsid w:val="00CA4288"/>
    <w:rsid w:val="00CA4413"/>
    <w:rsid w:val="00CA4721"/>
    <w:rsid w:val="00CA4E48"/>
    <w:rsid w:val="00CA4EA3"/>
    <w:rsid w:val="00CA5C34"/>
    <w:rsid w:val="00CA5CFC"/>
    <w:rsid w:val="00CA5DCA"/>
    <w:rsid w:val="00CA61BE"/>
    <w:rsid w:val="00CA65DE"/>
    <w:rsid w:val="00CA6F4D"/>
    <w:rsid w:val="00CA6FC3"/>
    <w:rsid w:val="00CA760A"/>
    <w:rsid w:val="00CB0041"/>
    <w:rsid w:val="00CB0BB7"/>
    <w:rsid w:val="00CB21B6"/>
    <w:rsid w:val="00CB25E2"/>
    <w:rsid w:val="00CB297A"/>
    <w:rsid w:val="00CB2CC9"/>
    <w:rsid w:val="00CB3A9E"/>
    <w:rsid w:val="00CB3BCA"/>
    <w:rsid w:val="00CB4330"/>
    <w:rsid w:val="00CB4FC8"/>
    <w:rsid w:val="00CB5525"/>
    <w:rsid w:val="00CB5A55"/>
    <w:rsid w:val="00CB5EF4"/>
    <w:rsid w:val="00CB623B"/>
    <w:rsid w:val="00CB679C"/>
    <w:rsid w:val="00CB6B58"/>
    <w:rsid w:val="00CB6C41"/>
    <w:rsid w:val="00CB710F"/>
    <w:rsid w:val="00CB7D3D"/>
    <w:rsid w:val="00CB7D7B"/>
    <w:rsid w:val="00CB7E30"/>
    <w:rsid w:val="00CC0052"/>
    <w:rsid w:val="00CC0440"/>
    <w:rsid w:val="00CC04DE"/>
    <w:rsid w:val="00CC0698"/>
    <w:rsid w:val="00CC0DC5"/>
    <w:rsid w:val="00CC0F29"/>
    <w:rsid w:val="00CC1735"/>
    <w:rsid w:val="00CC17D0"/>
    <w:rsid w:val="00CC2432"/>
    <w:rsid w:val="00CC2659"/>
    <w:rsid w:val="00CC2A80"/>
    <w:rsid w:val="00CC2ABA"/>
    <w:rsid w:val="00CC2B5F"/>
    <w:rsid w:val="00CC3B34"/>
    <w:rsid w:val="00CC400E"/>
    <w:rsid w:val="00CC46B0"/>
    <w:rsid w:val="00CC49E3"/>
    <w:rsid w:val="00CC5531"/>
    <w:rsid w:val="00CC6016"/>
    <w:rsid w:val="00CC6418"/>
    <w:rsid w:val="00CC6A8D"/>
    <w:rsid w:val="00CC7062"/>
    <w:rsid w:val="00CC76C6"/>
    <w:rsid w:val="00CC77A4"/>
    <w:rsid w:val="00CD00A8"/>
    <w:rsid w:val="00CD06BF"/>
    <w:rsid w:val="00CD1647"/>
    <w:rsid w:val="00CD1864"/>
    <w:rsid w:val="00CD1B1D"/>
    <w:rsid w:val="00CD1F98"/>
    <w:rsid w:val="00CD2332"/>
    <w:rsid w:val="00CD28B1"/>
    <w:rsid w:val="00CD2A98"/>
    <w:rsid w:val="00CD2B5E"/>
    <w:rsid w:val="00CD2BB6"/>
    <w:rsid w:val="00CD2F2E"/>
    <w:rsid w:val="00CD306C"/>
    <w:rsid w:val="00CD3343"/>
    <w:rsid w:val="00CD359D"/>
    <w:rsid w:val="00CD39AE"/>
    <w:rsid w:val="00CD3BE9"/>
    <w:rsid w:val="00CD48CE"/>
    <w:rsid w:val="00CD4CD6"/>
    <w:rsid w:val="00CD4DB3"/>
    <w:rsid w:val="00CD4E38"/>
    <w:rsid w:val="00CD4F9C"/>
    <w:rsid w:val="00CD5181"/>
    <w:rsid w:val="00CD5623"/>
    <w:rsid w:val="00CD5F11"/>
    <w:rsid w:val="00CD637E"/>
    <w:rsid w:val="00CD6446"/>
    <w:rsid w:val="00CD6916"/>
    <w:rsid w:val="00CD6AAA"/>
    <w:rsid w:val="00CD6AFF"/>
    <w:rsid w:val="00CD6E3C"/>
    <w:rsid w:val="00CD739C"/>
    <w:rsid w:val="00CD7479"/>
    <w:rsid w:val="00CD757D"/>
    <w:rsid w:val="00CD75DD"/>
    <w:rsid w:val="00CD7912"/>
    <w:rsid w:val="00CD7D4D"/>
    <w:rsid w:val="00CE0169"/>
    <w:rsid w:val="00CE031B"/>
    <w:rsid w:val="00CE0BAA"/>
    <w:rsid w:val="00CE0C55"/>
    <w:rsid w:val="00CE132B"/>
    <w:rsid w:val="00CE13F3"/>
    <w:rsid w:val="00CE21DD"/>
    <w:rsid w:val="00CE2457"/>
    <w:rsid w:val="00CE25BF"/>
    <w:rsid w:val="00CE2ABF"/>
    <w:rsid w:val="00CE482E"/>
    <w:rsid w:val="00CE4F71"/>
    <w:rsid w:val="00CE56AF"/>
    <w:rsid w:val="00CE5861"/>
    <w:rsid w:val="00CE58DC"/>
    <w:rsid w:val="00CE5A34"/>
    <w:rsid w:val="00CE5CDB"/>
    <w:rsid w:val="00CE7209"/>
    <w:rsid w:val="00CE7A8F"/>
    <w:rsid w:val="00CE7AF3"/>
    <w:rsid w:val="00CF0809"/>
    <w:rsid w:val="00CF08E1"/>
    <w:rsid w:val="00CF0B12"/>
    <w:rsid w:val="00CF15CE"/>
    <w:rsid w:val="00CF1791"/>
    <w:rsid w:val="00CF1C43"/>
    <w:rsid w:val="00CF235E"/>
    <w:rsid w:val="00CF24F5"/>
    <w:rsid w:val="00CF2793"/>
    <w:rsid w:val="00CF2DA9"/>
    <w:rsid w:val="00CF397A"/>
    <w:rsid w:val="00CF399E"/>
    <w:rsid w:val="00CF4639"/>
    <w:rsid w:val="00CF4BA0"/>
    <w:rsid w:val="00CF4C2C"/>
    <w:rsid w:val="00CF5C54"/>
    <w:rsid w:val="00CF5FE1"/>
    <w:rsid w:val="00CF64B8"/>
    <w:rsid w:val="00CF69D9"/>
    <w:rsid w:val="00CF6C56"/>
    <w:rsid w:val="00CF6E2A"/>
    <w:rsid w:val="00CF6E5E"/>
    <w:rsid w:val="00CF6EA2"/>
    <w:rsid w:val="00CF778A"/>
    <w:rsid w:val="00CF7D9A"/>
    <w:rsid w:val="00D00065"/>
    <w:rsid w:val="00D003BE"/>
    <w:rsid w:val="00D003D1"/>
    <w:rsid w:val="00D0047C"/>
    <w:rsid w:val="00D00B16"/>
    <w:rsid w:val="00D00EB1"/>
    <w:rsid w:val="00D016C5"/>
    <w:rsid w:val="00D01865"/>
    <w:rsid w:val="00D01A0D"/>
    <w:rsid w:val="00D01F30"/>
    <w:rsid w:val="00D01FE4"/>
    <w:rsid w:val="00D021F9"/>
    <w:rsid w:val="00D02498"/>
    <w:rsid w:val="00D029D5"/>
    <w:rsid w:val="00D02ECD"/>
    <w:rsid w:val="00D03D2D"/>
    <w:rsid w:val="00D045D3"/>
    <w:rsid w:val="00D047BD"/>
    <w:rsid w:val="00D05311"/>
    <w:rsid w:val="00D059B2"/>
    <w:rsid w:val="00D05CA9"/>
    <w:rsid w:val="00D05D05"/>
    <w:rsid w:val="00D05DB1"/>
    <w:rsid w:val="00D070D7"/>
    <w:rsid w:val="00D0737A"/>
    <w:rsid w:val="00D07552"/>
    <w:rsid w:val="00D077E1"/>
    <w:rsid w:val="00D078EE"/>
    <w:rsid w:val="00D07EE5"/>
    <w:rsid w:val="00D07F16"/>
    <w:rsid w:val="00D10628"/>
    <w:rsid w:val="00D10DA4"/>
    <w:rsid w:val="00D10EE6"/>
    <w:rsid w:val="00D10FA0"/>
    <w:rsid w:val="00D11006"/>
    <w:rsid w:val="00D1132D"/>
    <w:rsid w:val="00D1134B"/>
    <w:rsid w:val="00D1156E"/>
    <w:rsid w:val="00D1159C"/>
    <w:rsid w:val="00D11CDD"/>
    <w:rsid w:val="00D11E3D"/>
    <w:rsid w:val="00D1273E"/>
    <w:rsid w:val="00D1389B"/>
    <w:rsid w:val="00D140C0"/>
    <w:rsid w:val="00D1423B"/>
    <w:rsid w:val="00D14EFF"/>
    <w:rsid w:val="00D150C1"/>
    <w:rsid w:val="00D154C6"/>
    <w:rsid w:val="00D156CA"/>
    <w:rsid w:val="00D158B3"/>
    <w:rsid w:val="00D15C0E"/>
    <w:rsid w:val="00D15DA6"/>
    <w:rsid w:val="00D1616C"/>
    <w:rsid w:val="00D163F8"/>
    <w:rsid w:val="00D16735"/>
    <w:rsid w:val="00D1757C"/>
    <w:rsid w:val="00D1789F"/>
    <w:rsid w:val="00D17F2F"/>
    <w:rsid w:val="00D2020D"/>
    <w:rsid w:val="00D2024F"/>
    <w:rsid w:val="00D20381"/>
    <w:rsid w:val="00D205F5"/>
    <w:rsid w:val="00D20B7E"/>
    <w:rsid w:val="00D20C3D"/>
    <w:rsid w:val="00D21ABF"/>
    <w:rsid w:val="00D22295"/>
    <w:rsid w:val="00D228E1"/>
    <w:rsid w:val="00D22A63"/>
    <w:rsid w:val="00D22F4C"/>
    <w:rsid w:val="00D231F8"/>
    <w:rsid w:val="00D23893"/>
    <w:rsid w:val="00D23BB5"/>
    <w:rsid w:val="00D2417A"/>
    <w:rsid w:val="00D24738"/>
    <w:rsid w:val="00D24D84"/>
    <w:rsid w:val="00D25302"/>
    <w:rsid w:val="00D2531D"/>
    <w:rsid w:val="00D25341"/>
    <w:rsid w:val="00D25456"/>
    <w:rsid w:val="00D254CE"/>
    <w:rsid w:val="00D2552B"/>
    <w:rsid w:val="00D255CC"/>
    <w:rsid w:val="00D25C15"/>
    <w:rsid w:val="00D25EE8"/>
    <w:rsid w:val="00D25FFA"/>
    <w:rsid w:val="00D2618D"/>
    <w:rsid w:val="00D274FE"/>
    <w:rsid w:val="00D27F0E"/>
    <w:rsid w:val="00D310B6"/>
    <w:rsid w:val="00D312ED"/>
    <w:rsid w:val="00D31BE2"/>
    <w:rsid w:val="00D31C4D"/>
    <w:rsid w:val="00D31CDB"/>
    <w:rsid w:val="00D31E81"/>
    <w:rsid w:val="00D32288"/>
    <w:rsid w:val="00D340DD"/>
    <w:rsid w:val="00D344CC"/>
    <w:rsid w:val="00D345E2"/>
    <w:rsid w:val="00D34726"/>
    <w:rsid w:val="00D34C62"/>
    <w:rsid w:val="00D35088"/>
    <w:rsid w:val="00D353D7"/>
    <w:rsid w:val="00D35BC0"/>
    <w:rsid w:val="00D35CA2"/>
    <w:rsid w:val="00D36748"/>
    <w:rsid w:val="00D367AC"/>
    <w:rsid w:val="00D368D0"/>
    <w:rsid w:val="00D36C63"/>
    <w:rsid w:val="00D36DE0"/>
    <w:rsid w:val="00D371CC"/>
    <w:rsid w:val="00D373F8"/>
    <w:rsid w:val="00D37580"/>
    <w:rsid w:val="00D38137"/>
    <w:rsid w:val="00D402C4"/>
    <w:rsid w:val="00D40816"/>
    <w:rsid w:val="00D408B4"/>
    <w:rsid w:val="00D40C57"/>
    <w:rsid w:val="00D41664"/>
    <w:rsid w:val="00D41B32"/>
    <w:rsid w:val="00D41B67"/>
    <w:rsid w:val="00D424E3"/>
    <w:rsid w:val="00D42C81"/>
    <w:rsid w:val="00D42D37"/>
    <w:rsid w:val="00D435F9"/>
    <w:rsid w:val="00D44126"/>
    <w:rsid w:val="00D4488C"/>
    <w:rsid w:val="00D44B5A"/>
    <w:rsid w:val="00D45007"/>
    <w:rsid w:val="00D452C1"/>
    <w:rsid w:val="00D4548B"/>
    <w:rsid w:val="00D45D4B"/>
    <w:rsid w:val="00D460ED"/>
    <w:rsid w:val="00D469CC"/>
    <w:rsid w:val="00D46EFF"/>
    <w:rsid w:val="00D472A1"/>
    <w:rsid w:val="00D47805"/>
    <w:rsid w:val="00D47998"/>
    <w:rsid w:val="00D47F47"/>
    <w:rsid w:val="00D47F8E"/>
    <w:rsid w:val="00D50460"/>
    <w:rsid w:val="00D5064F"/>
    <w:rsid w:val="00D5092F"/>
    <w:rsid w:val="00D50A6B"/>
    <w:rsid w:val="00D51248"/>
    <w:rsid w:val="00D518A7"/>
    <w:rsid w:val="00D518B0"/>
    <w:rsid w:val="00D51AAB"/>
    <w:rsid w:val="00D51F3C"/>
    <w:rsid w:val="00D52ACD"/>
    <w:rsid w:val="00D52CD9"/>
    <w:rsid w:val="00D52F78"/>
    <w:rsid w:val="00D545E6"/>
    <w:rsid w:val="00D5559F"/>
    <w:rsid w:val="00D56139"/>
    <w:rsid w:val="00D5643F"/>
    <w:rsid w:val="00D56745"/>
    <w:rsid w:val="00D56D9A"/>
    <w:rsid w:val="00D57B2E"/>
    <w:rsid w:val="00D57B69"/>
    <w:rsid w:val="00D57D6A"/>
    <w:rsid w:val="00D57FE8"/>
    <w:rsid w:val="00D60249"/>
    <w:rsid w:val="00D602A0"/>
    <w:rsid w:val="00D60389"/>
    <w:rsid w:val="00D60A94"/>
    <w:rsid w:val="00D60D40"/>
    <w:rsid w:val="00D60E0E"/>
    <w:rsid w:val="00D60E76"/>
    <w:rsid w:val="00D61039"/>
    <w:rsid w:val="00D61A1E"/>
    <w:rsid w:val="00D61B79"/>
    <w:rsid w:val="00D61C50"/>
    <w:rsid w:val="00D61CCA"/>
    <w:rsid w:val="00D62535"/>
    <w:rsid w:val="00D62627"/>
    <w:rsid w:val="00D63264"/>
    <w:rsid w:val="00D635E1"/>
    <w:rsid w:val="00D63C1B"/>
    <w:rsid w:val="00D6435B"/>
    <w:rsid w:val="00D64701"/>
    <w:rsid w:val="00D64B95"/>
    <w:rsid w:val="00D64C58"/>
    <w:rsid w:val="00D65267"/>
    <w:rsid w:val="00D659D4"/>
    <w:rsid w:val="00D65E06"/>
    <w:rsid w:val="00D66CEB"/>
    <w:rsid w:val="00D673C7"/>
    <w:rsid w:val="00D67420"/>
    <w:rsid w:val="00D70308"/>
    <w:rsid w:val="00D70634"/>
    <w:rsid w:val="00D707F1"/>
    <w:rsid w:val="00D7098B"/>
    <w:rsid w:val="00D709E0"/>
    <w:rsid w:val="00D71088"/>
    <w:rsid w:val="00D7133C"/>
    <w:rsid w:val="00D72934"/>
    <w:rsid w:val="00D72BF7"/>
    <w:rsid w:val="00D72ED4"/>
    <w:rsid w:val="00D73FE8"/>
    <w:rsid w:val="00D746E3"/>
    <w:rsid w:val="00D74B42"/>
    <w:rsid w:val="00D74C9A"/>
    <w:rsid w:val="00D755E3"/>
    <w:rsid w:val="00D756F2"/>
    <w:rsid w:val="00D760BC"/>
    <w:rsid w:val="00D7662C"/>
    <w:rsid w:val="00D76847"/>
    <w:rsid w:val="00D76C2F"/>
    <w:rsid w:val="00D777B6"/>
    <w:rsid w:val="00D77D7F"/>
    <w:rsid w:val="00D80585"/>
    <w:rsid w:val="00D806F1"/>
    <w:rsid w:val="00D809B8"/>
    <w:rsid w:val="00D80C3E"/>
    <w:rsid w:val="00D80DB3"/>
    <w:rsid w:val="00D81444"/>
    <w:rsid w:val="00D81BCD"/>
    <w:rsid w:val="00D82607"/>
    <w:rsid w:val="00D82828"/>
    <w:rsid w:val="00D83977"/>
    <w:rsid w:val="00D83C3C"/>
    <w:rsid w:val="00D8408E"/>
    <w:rsid w:val="00D84936"/>
    <w:rsid w:val="00D85129"/>
    <w:rsid w:val="00D853AB"/>
    <w:rsid w:val="00D85772"/>
    <w:rsid w:val="00D85930"/>
    <w:rsid w:val="00D85BB9"/>
    <w:rsid w:val="00D85BD6"/>
    <w:rsid w:val="00D8620C"/>
    <w:rsid w:val="00D867B6"/>
    <w:rsid w:val="00D86C05"/>
    <w:rsid w:val="00D86E31"/>
    <w:rsid w:val="00D877D8"/>
    <w:rsid w:val="00D877E0"/>
    <w:rsid w:val="00D87BED"/>
    <w:rsid w:val="00D87D20"/>
    <w:rsid w:val="00D902AB"/>
    <w:rsid w:val="00D904A1"/>
    <w:rsid w:val="00D9054E"/>
    <w:rsid w:val="00D90CAD"/>
    <w:rsid w:val="00D91047"/>
    <w:rsid w:val="00D91132"/>
    <w:rsid w:val="00D91414"/>
    <w:rsid w:val="00D919F2"/>
    <w:rsid w:val="00D91B38"/>
    <w:rsid w:val="00D91C13"/>
    <w:rsid w:val="00D933AE"/>
    <w:rsid w:val="00D9345B"/>
    <w:rsid w:val="00D9379B"/>
    <w:rsid w:val="00D93E70"/>
    <w:rsid w:val="00D94085"/>
    <w:rsid w:val="00D946DC"/>
    <w:rsid w:val="00D94B3C"/>
    <w:rsid w:val="00D94B7E"/>
    <w:rsid w:val="00D94DAC"/>
    <w:rsid w:val="00D94F5E"/>
    <w:rsid w:val="00D95112"/>
    <w:rsid w:val="00D95313"/>
    <w:rsid w:val="00D95692"/>
    <w:rsid w:val="00D95AB3"/>
    <w:rsid w:val="00D95BC4"/>
    <w:rsid w:val="00D95F11"/>
    <w:rsid w:val="00D96AD1"/>
    <w:rsid w:val="00D96AF0"/>
    <w:rsid w:val="00D96E29"/>
    <w:rsid w:val="00D96F4B"/>
    <w:rsid w:val="00D97359"/>
    <w:rsid w:val="00D97A1B"/>
    <w:rsid w:val="00DA041D"/>
    <w:rsid w:val="00DA060C"/>
    <w:rsid w:val="00DA1D74"/>
    <w:rsid w:val="00DA2295"/>
    <w:rsid w:val="00DA2919"/>
    <w:rsid w:val="00DA2EE9"/>
    <w:rsid w:val="00DA3B13"/>
    <w:rsid w:val="00DA408D"/>
    <w:rsid w:val="00DA4D38"/>
    <w:rsid w:val="00DA4EFA"/>
    <w:rsid w:val="00DA561A"/>
    <w:rsid w:val="00DA61B2"/>
    <w:rsid w:val="00DA6463"/>
    <w:rsid w:val="00DA64EC"/>
    <w:rsid w:val="00DA6527"/>
    <w:rsid w:val="00DA68E2"/>
    <w:rsid w:val="00DA6EC7"/>
    <w:rsid w:val="00DB052E"/>
    <w:rsid w:val="00DB0DA1"/>
    <w:rsid w:val="00DB1548"/>
    <w:rsid w:val="00DB1787"/>
    <w:rsid w:val="00DB1CF3"/>
    <w:rsid w:val="00DB2392"/>
    <w:rsid w:val="00DB27F5"/>
    <w:rsid w:val="00DB2F7A"/>
    <w:rsid w:val="00DB31C3"/>
    <w:rsid w:val="00DB3777"/>
    <w:rsid w:val="00DB383F"/>
    <w:rsid w:val="00DB3EED"/>
    <w:rsid w:val="00DB3F20"/>
    <w:rsid w:val="00DB4305"/>
    <w:rsid w:val="00DB4395"/>
    <w:rsid w:val="00DB4A6C"/>
    <w:rsid w:val="00DB5002"/>
    <w:rsid w:val="00DB5648"/>
    <w:rsid w:val="00DB6079"/>
    <w:rsid w:val="00DB69C1"/>
    <w:rsid w:val="00DB6F3A"/>
    <w:rsid w:val="00DB765E"/>
    <w:rsid w:val="00DB79BE"/>
    <w:rsid w:val="00DC0D4D"/>
    <w:rsid w:val="00DC19EF"/>
    <w:rsid w:val="00DC1B85"/>
    <w:rsid w:val="00DC1CA5"/>
    <w:rsid w:val="00DC204C"/>
    <w:rsid w:val="00DC2324"/>
    <w:rsid w:val="00DC2335"/>
    <w:rsid w:val="00DC2544"/>
    <w:rsid w:val="00DC2715"/>
    <w:rsid w:val="00DC2A73"/>
    <w:rsid w:val="00DC33E0"/>
    <w:rsid w:val="00DC3D14"/>
    <w:rsid w:val="00DC4118"/>
    <w:rsid w:val="00DC448B"/>
    <w:rsid w:val="00DC4897"/>
    <w:rsid w:val="00DC493C"/>
    <w:rsid w:val="00DC4DAE"/>
    <w:rsid w:val="00DC4E11"/>
    <w:rsid w:val="00DC5022"/>
    <w:rsid w:val="00DC5396"/>
    <w:rsid w:val="00DC58B1"/>
    <w:rsid w:val="00DC59BB"/>
    <w:rsid w:val="00DC5A22"/>
    <w:rsid w:val="00DC5DC8"/>
    <w:rsid w:val="00DC6233"/>
    <w:rsid w:val="00DC6324"/>
    <w:rsid w:val="00DC6D9D"/>
    <w:rsid w:val="00DC6F9F"/>
    <w:rsid w:val="00DC7B92"/>
    <w:rsid w:val="00DC7CAC"/>
    <w:rsid w:val="00DC7F97"/>
    <w:rsid w:val="00DD009B"/>
    <w:rsid w:val="00DD00F4"/>
    <w:rsid w:val="00DD07D1"/>
    <w:rsid w:val="00DD0B3E"/>
    <w:rsid w:val="00DD1B4B"/>
    <w:rsid w:val="00DD221C"/>
    <w:rsid w:val="00DD23DC"/>
    <w:rsid w:val="00DD27DD"/>
    <w:rsid w:val="00DD3119"/>
    <w:rsid w:val="00DD3FB3"/>
    <w:rsid w:val="00DD4442"/>
    <w:rsid w:val="00DD4482"/>
    <w:rsid w:val="00DD46E0"/>
    <w:rsid w:val="00DD4875"/>
    <w:rsid w:val="00DD4AC9"/>
    <w:rsid w:val="00DD4B2A"/>
    <w:rsid w:val="00DD5756"/>
    <w:rsid w:val="00DD5DDF"/>
    <w:rsid w:val="00DD632D"/>
    <w:rsid w:val="00DD6454"/>
    <w:rsid w:val="00DD6550"/>
    <w:rsid w:val="00DD6ACA"/>
    <w:rsid w:val="00DD7095"/>
    <w:rsid w:val="00DD778C"/>
    <w:rsid w:val="00DD7CA9"/>
    <w:rsid w:val="00DE02A0"/>
    <w:rsid w:val="00DE0433"/>
    <w:rsid w:val="00DE0D59"/>
    <w:rsid w:val="00DE1283"/>
    <w:rsid w:val="00DE1785"/>
    <w:rsid w:val="00DE187E"/>
    <w:rsid w:val="00DE1A4E"/>
    <w:rsid w:val="00DE1EAC"/>
    <w:rsid w:val="00DE254E"/>
    <w:rsid w:val="00DE2633"/>
    <w:rsid w:val="00DE2C04"/>
    <w:rsid w:val="00DE2E2E"/>
    <w:rsid w:val="00DE32C7"/>
    <w:rsid w:val="00DE33DD"/>
    <w:rsid w:val="00DE34A5"/>
    <w:rsid w:val="00DE3DE3"/>
    <w:rsid w:val="00DE4080"/>
    <w:rsid w:val="00DE4360"/>
    <w:rsid w:val="00DE43C7"/>
    <w:rsid w:val="00DE4B27"/>
    <w:rsid w:val="00DE4DE7"/>
    <w:rsid w:val="00DE5770"/>
    <w:rsid w:val="00DE605F"/>
    <w:rsid w:val="00DE6C9F"/>
    <w:rsid w:val="00DE6DC9"/>
    <w:rsid w:val="00DE71BE"/>
    <w:rsid w:val="00DF0381"/>
    <w:rsid w:val="00DF056A"/>
    <w:rsid w:val="00DF0B35"/>
    <w:rsid w:val="00DF0B74"/>
    <w:rsid w:val="00DF0D78"/>
    <w:rsid w:val="00DF1128"/>
    <w:rsid w:val="00DF1EB6"/>
    <w:rsid w:val="00DF22D7"/>
    <w:rsid w:val="00DF22E1"/>
    <w:rsid w:val="00DF2B2F"/>
    <w:rsid w:val="00DF2FBA"/>
    <w:rsid w:val="00DF31B3"/>
    <w:rsid w:val="00DF34CF"/>
    <w:rsid w:val="00DF35B0"/>
    <w:rsid w:val="00DF37D6"/>
    <w:rsid w:val="00DF445C"/>
    <w:rsid w:val="00DF44C9"/>
    <w:rsid w:val="00DF4F3F"/>
    <w:rsid w:val="00DF52DD"/>
    <w:rsid w:val="00DF5C3B"/>
    <w:rsid w:val="00DF5FB5"/>
    <w:rsid w:val="00DF658B"/>
    <w:rsid w:val="00DF695B"/>
    <w:rsid w:val="00DF6A1D"/>
    <w:rsid w:val="00DF6BA0"/>
    <w:rsid w:val="00DF70B1"/>
    <w:rsid w:val="00DF7402"/>
    <w:rsid w:val="00DF75F0"/>
    <w:rsid w:val="00DF764A"/>
    <w:rsid w:val="00E02771"/>
    <w:rsid w:val="00E0316D"/>
    <w:rsid w:val="00E03382"/>
    <w:rsid w:val="00E033AC"/>
    <w:rsid w:val="00E034C1"/>
    <w:rsid w:val="00E037E8"/>
    <w:rsid w:val="00E03CDF"/>
    <w:rsid w:val="00E041A3"/>
    <w:rsid w:val="00E049CB"/>
    <w:rsid w:val="00E04ECD"/>
    <w:rsid w:val="00E04EDE"/>
    <w:rsid w:val="00E055F0"/>
    <w:rsid w:val="00E057B0"/>
    <w:rsid w:val="00E05DBA"/>
    <w:rsid w:val="00E06216"/>
    <w:rsid w:val="00E06669"/>
    <w:rsid w:val="00E066B2"/>
    <w:rsid w:val="00E06F57"/>
    <w:rsid w:val="00E07545"/>
    <w:rsid w:val="00E07766"/>
    <w:rsid w:val="00E07B2D"/>
    <w:rsid w:val="00E07FFD"/>
    <w:rsid w:val="00E1015D"/>
    <w:rsid w:val="00E10A85"/>
    <w:rsid w:val="00E10F23"/>
    <w:rsid w:val="00E121EB"/>
    <w:rsid w:val="00E127C2"/>
    <w:rsid w:val="00E12EE7"/>
    <w:rsid w:val="00E12F49"/>
    <w:rsid w:val="00E132E1"/>
    <w:rsid w:val="00E13527"/>
    <w:rsid w:val="00E13B25"/>
    <w:rsid w:val="00E13EEC"/>
    <w:rsid w:val="00E14B00"/>
    <w:rsid w:val="00E15912"/>
    <w:rsid w:val="00E15BCE"/>
    <w:rsid w:val="00E161FF"/>
    <w:rsid w:val="00E1625E"/>
    <w:rsid w:val="00E16407"/>
    <w:rsid w:val="00E1649E"/>
    <w:rsid w:val="00E164B6"/>
    <w:rsid w:val="00E166EB"/>
    <w:rsid w:val="00E1683D"/>
    <w:rsid w:val="00E16BCA"/>
    <w:rsid w:val="00E200D0"/>
    <w:rsid w:val="00E203AB"/>
    <w:rsid w:val="00E20658"/>
    <w:rsid w:val="00E210B5"/>
    <w:rsid w:val="00E22719"/>
    <w:rsid w:val="00E242B9"/>
    <w:rsid w:val="00E247B7"/>
    <w:rsid w:val="00E24AAB"/>
    <w:rsid w:val="00E25265"/>
    <w:rsid w:val="00E25669"/>
    <w:rsid w:val="00E2570A"/>
    <w:rsid w:val="00E25B63"/>
    <w:rsid w:val="00E25CD5"/>
    <w:rsid w:val="00E25F9F"/>
    <w:rsid w:val="00E2628A"/>
    <w:rsid w:val="00E26560"/>
    <w:rsid w:val="00E26663"/>
    <w:rsid w:val="00E266F0"/>
    <w:rsid w:val="00E2683C"/>
    <w:rsid w:val="00E26CD5"/>
    <w:rsid w:val="00E26DAF"/>
    <w:rsid w:val="00E276C4"/>
    <w:rsid w:val="00E27ED2"/>
    <w:rsid w:val="00E3031F"/>
    <w:rsid w:val="00E3085D"/>
    <w:rsid w:val="00E31B86"/>
    <w:rsid w:val="00E32C06"/>
    <w:rsid w:val="00E33567"/>
    <w:rsid w:val="00E33DFD"/>
    <w:rsid w:val="00E33EAA"/>
    <w:rsid w:val="00E346A1"/>
    <w:rsid w:val="00E34784"/>
    <w:rsid w:val="00E3478E"/>
    <w:rsid w:val="00E34D24"/>
    <w:rsid w:val="00E359F6"/>
    <w:rsid w:val="00E35C72"/>
    <w:rsid w:val="00E35F76"/>
    <w:rsid w:val="00E36745"/>
    <w:rsid w:val="00E3680D"/>
    <w:rsid w:val="00E36C59"/>
    <w:rsid w:val="00E36F58"/>
    <w:rsid w:val="00E3719E"/>
    <w:rsid w:val="00E371B2"/>
    <w:rsid w:val="00E379AE"/>
    <w:rsid w:val="00E4019F"/>
    <w:rsid w:val="00E4057A"/>
    <w:rsid w:val="00E40EC0"/>
    <w:rsid w:val="00E41488"/>
    <w:rsid w:val="00E4174E"/>
    <w:rsid w:val="00E419BC"/>
    <w:rsid w:val="00E41E6A"/>
    <w:rsid w:val="00E420C4"/>
    <w:rsid w:val="00E42263"/>
    <w:rsid w:val="00E425C8"/>
    <w:rsid w:val="00E42FD8"/>
    <w:rsid w:val="00E43185"/>
    <w:rsid w:val="00E43675"/>
    <w:rsid w:val="00E43D88"/>
    <w:rsid w:val="00E43F57"/>
    <w:rsid w:val="00E441AA"/>
    <w:rsid w:val="00E441B5"/>
    <w:rsid w:val="00E44349"/>
    <w:rsid w:val="00E44892"/>
    <w:rsid w:val="00E44AFD"/>
    <w:rsid w:val="00E450BE"/>
    <w:rsid w:val="00E45144"/>
    <w:rsid w:val="00E4530B"/>
    <w:rsid w:val="00E453D9"/>
    <w:rsid w:val="00E45848"/>
    <w:rsid w:val="00E45D55"/>
    <w:rsid w:val="00E45ECA"/>
    <w:rsid w:val="00E4671F"/>
    <w:rsid w:val="00E46DF3"/>
    <w:rsid w:val="00E4777B"/>
    <w:rsid w:val="00E47C6A"/>
    <w:rsid w:val="00E50078"/>
    <w:rsid w:val="00E5009A"/>
    <w:rsid w:val="00E5033F"/>
    <w:rsid w:val="00E50DCF"/>
    <w:rsid w:val="00E50E11"/>
    <w:rsid w:val="00E50F89"/>
    <w:rsid w:val="00E5111C"/>
    <w:rsid w:val="00E514DA"/>
    <w:rsid w:val="00E51BD6"/>
    <w:rsid w:val="00E52472"/>
    <w:rsid w:val="00E524AF"/>
    <w:rsid w:val="00E526FC"/>
    <w:rsid w:val="00E52988"/>
    <w:rsid w:val="00E5399D"/>
    <w:rsid w:val="00E54966"/>
    <w:rsid w:val="00E5497A"/>
    <w:rsid w:val="00E54A12"/>
    <w:rsid w:val="00E54C3B"/>
    <w:rsid w:val="00E5559D"/>
    <w:rsid w:val="00E55ACC"/>
    <w:rsid w:val="00E56041"/>
    <w:rsid w:val="00E56107"/>
    <w:rsid w:val="00E56154"/>
    <w:rsid w:val="00E56192"/>
    <w:rsid w:val="00E566F5"/>
    <w:rsid w:val="00E56842"/>
    <w:rsid w:val="00E56A6A"/>
    <w:rsid w:val="00E5709B"/>
    <w:rsid w:val="00E570A1"/>
    <w:rsid w:val="00E57EB3"/>
    <w:rsid w:val="00E60377"/>
    <w:rsid w:val="00E60D38"/>
    <w:rsid w:val="00E61ED7"/>
    <w:rsid w:val="00E62515"/>
    <w:rsid w:val="00E6252A"/>
    <w:rsid w:val="00E629E1"/>
    <w:rsid w:val="00E62FD3"/>
    <w:rsid w:val="00E6334D"/>
    <w:rsid w:val="00E6373D"/>
    <w:rsid w:val="00E639E2"/>
    <w:rsid w:val="00E643A7"/>
    <w:rsid w:val="00E644C9"/>
    <w:rsid w:val="00E64D20"/>
    <w:rsid w:val="00E64F91"/>
    <w:rsid w:val="00E65180"/>
    <w:rsid w:val="00E652F0"/>
    <w:rsid w:val="00E65553"/>
    <w:rsid w:val="00E65B10"/>
    <w:rsid w:val="00E65F13"/>
    <w:rsid w:val="00E66FAA"/>
    <w:rsid w:val="00E670F1"/>
    <w:rsid w:val="00E671AE"/>
    <w:rsid w:val="00E67676"/>
    <w:rsid w:val="00E67B42"/>
    <w:rsid w:val="00E67C9D"/>
    <w:rsid w:val="00E70467"/>
    <w:rsid w:val="00E70E46"/>
    <w:rsid w:val="00E71190"/>
    <w:rsid w:val="00E7152C"/>
    <w:rsid w:val="00E717D1"/>
    <w:rsid w:val="00E7185A"/>
    <w:rsid w:val="00E71AE9"/>
    <w:rsid w:val="00E71D40"/>
    <w:rsid w:val="00E71E68"/>
    <w:rsid w:val="00E71FF5"/>
    <w:rsid w:val="00E722A7"/>
    <w:rsid w:val="00E72624"/>
    <w:rsid w:val="00E72667"/>
    <w:rsid w:val="00E72F99"/>
    <w:rsid w:val="00E73A17"/>
    <w:rsid w:val="00E7418B"/>
    <w:rsid w:val="00E746C9"/>
    <w:rsid w:val="00E747CD"/>
    <w:rsid w:val="00E7510C"/>
    <w:rsid w:val="00E75B47"/>
    <w:rsid w:val="00E765DF"/>
    <w:rsid w:val="00E7669B"/>
    <w:rsid w:val="00E76C91"/>
    <w:rsid w:val="00E76D9C"/>
    <w:rsid w:val="00E76FDC"/>
    <w:rsid w:val="00E773D1"/>
    <w:rsid w:val="00E774D5"/>
    <w:rsid w:val="00E77AA3"/>
    <w:rsid w:val="00E8085B"/>
    <w:rsid w:val="00E80893"/>
    <w:rsid w:val="00E817A1"/>
    <w:rsid w:val="00E817F1"/>
    <w:rsid w:val="00E8197B"/>
    <w:rsid w:val="00E81B4B"/>
    <w:rsid w:val="00E82459"/>
    <w:rsid w:val="00E82C85"/>
    <w:rsid w:val="00E835C0"/>
    <w:rsid w:val="00E83944"/>
    <w:rsid w:val="00E83B41"/>
    <w:rsid w:val="00E83BBB"/>
    <w:rsid w:val="00E852C3"/>
    <w:rsid w:val="00E857E9"/>
    <w:rsid w:val="00E85D0B"/>
    <w:rsid w:val="00E85F69"/>
    <w:rsid w:val="00E86021"/>
    <w:rsid w:val="00E860C7"/>
    <w:rsid w:val="00E866F6"/>
    <w:rsid w:val="00E8671C"/>
    <w:rsid w:val="00E867B2"/>
    <w:rsid w:val="00E869F0"/>
    <w:rsid w:val="00E87142"/>
    <w:rsid w:val="00E87A64"/>
    <w:rsid w:val="00E87AF9"/>
    <w:rsid w:val="00E90875"/>
    <w:rsid w:val="00E90A45"/>
    <w:rsid w:val="00E92C07"/>
    <w:rsid w:val="00E9412D"/>
    <w:rsid w:val="00E942E8"/>
    <w:rsid w:val="00E94469"/>
    <w:rsid w:val="00E94594"/>
    <w:rsid w:val="00E94F78"/>
    <w:rsid w:val="00E9565C"/>
    <w:rsid w:val="00E95E52"/>
    <w:rsid w:val="00E9647D"/>
    <w:rsid w:val="00E964F5"/>
    <w:rsid w:val="00E96575"/>
    <w:rsid w:val="00E96AAC"/>
    <w:rsid w:val="00E97312"/>
    <w:rsid w:val="00E97C54"/>
    <w:rsid w:val="00EA0013"/>
    <w:rsid w:val="00EA0B87"/>
    <w:rsid w:val="00EA16F3"/>
    <w:rsid w:val="00EA1766"/>
    <w:rsid w:val="00EA2126"/>
    <w:rsid w:val="00EA23C0"/>
    <w:rsid w:val="00EA2608"/>
    <w:rsid w:val="00EA265E"/>
    <w:rsid w:val="00EA274A"/>
    <w:rsid w:val="00EA3076"/>
    <w:rsid w:val="00EA31FD"/>
    <w:rsid w:val="00EA3356"/>
    <w:rsid w:val="00EA34AE"/>
    <w:rsid w:val="00EA394A"/>
    <w:rsid w:val="00EA3AEA"/>
    <w:rsid w:val="00EA3CD9"/>
    <w:rsid w:val="00EA404A"/>
    <w:rsid w:val="00EA50A9"/>
    <w:rsid w:val="00EA50B8"/>
    <w:rsid w:val="00EA515E"/>
    <w:rsid w:val="00EA54EE"/>
    <w:rsid w:val="00EA5C17"/>
    <w:rsid w:val="00EA5CB7"/>
    <w:rsid w:val="00EA5EF8"/>
    <w:rsid w:val="00EA6270"/>
    <w:rsid w:val="00EA64EA"/>
    <w:rsid w:val="00EA6C28"/>
    <w:rsid w:val="00EA6D0C"/>
    <w:rsid w:val="00EA6E37"/>
    <w:rsid w:val="00EA6F61"/>
    <w:rsid w:val="00EA75C1"/>
    <w:rsid w:val="00EA7B7B"/>
    <w:rsid w:val="00EA7F3F"/>
    <w:rsid w:val="00EA7FD5"/>
    <w:rsid w:val="00EB0067"/>
    <w:rsid w:val="00EB03B6"/>
    <w:rsid w:val="00EB06A2"/>
    <w:rsid w:val="00EB0C30"/>
    <w:rsid w:val="00EB10C3"/>
    <w:rsid w:val="00EB160E"/>
    <w:rsid w:val="00EB182C"/>
    <w:rsid w:val="00EB1BB2"/>
    <w:rsid w:val="00EB1BCA"/>
    <w:rsid w:val="00EB1C89"/>
    <w:rsid w:val="00EB1CEF"/>
    <w:rsid w:val="00EB24AA"/>
    <w:rsid w:val="00EB2AE1"/>
    <w:rsid w:val="00EB4375"/>
    <w:rsid w:val="00EB4695"/>
    <w:rsid w:val="00EB483E"/>
    <w:rsid w:val="00EB512F"/>
    <w:rsid w:val="00EB51C3"/>
    <w:rsid w:val="00EB51F9"/>
    <w:rsid w:val="00EB57C2"/>
    <w:rsid w:val="00EB58A3"/>
    <w:rsid w:val="00EB5C01"/>
    <w:rsid w:val="00EB5CD5"/>
    <w:rsid w:val="00EB66D4"/>
    <w:rsid w:val="00EB673B"/>
    <w:rsid w:val="00EB70E2"/>
    <w:rsid w:val="00EB71DC"/>
    <w:rsid w:val="00EB7799"/>
    <w:rsid w:val="00EB7826"/>
    <w:rsid w:val="00EB794F"/>
    <w:rsid w:val="00EB7AF4"/>
    <w:rsid w:val="00EC0BA9"/>
    <w:rsid w:val="00EC0BBA"/>
    <w:rsid w:val="00EC0D60"/>
    <w:rsid w:val="00EC0E1D"/>
    <w:rsid w:val="00EC0E3A"/>
    <w:rsid w:val="00EC11EA"/>
    <w:rsid w:val="00EC1E2C"/>
    <w:rsid w:val="00EC1F85"/>
    <w:rsid w:val="00EC2368"/>
    <w:rsid w:val="00EC2A9F"/>
    <w:rsid w:val="00EC3347"/>
    <w:rsid w:val="00EC38E3"/>
    <w:rsid w:val="00EC3EF4"/>
    <w:rsid w:val="00EC473D"/>
    <w:rsid w:val="00EC4809"/>
    <w:rsid w:val="00EC487D"/>
    <w:rsid w:val="00EC4C88"/>
    <w:rsid w:val="00EC4DC8"/>
    <w:rsid w:val="00EC4DD4"/>
    <w:rsid w:val="00EC4E39"/>
    <w:rsid w:val="00EC5056"/>
    <w:rsid w:val="00EC59B8"/>
    <w:rsid w:val="00EC6721"/>
    <w:rsid w:val="00EC7369"/>
    <w:rsid w:val="00EC7501"/>
    <w:rsid w:val="00ED017B"/>
    <w:rsid w:val="00ED042C"/>
    <w:rsid w:val="00ED0DEA"/>
    <w:rsid w:val="00ED1196"/>
    <w:rsid w:val="00ED1270"/>
    <w:rsid w:val="00ED17A9"/>
    <w:rsid w:val="00ED20B9"/>
    <w:rsid w:val="00ED2294"/>
    <w:rsid w:val="00ED22BE"/>
    <w:rsid w:val="00ED2C67"/>
    <w:rsid w:val="00ED2CFA"/>
    <w:rsid w:val="00ED2DB5"/>
    <w:rsid w:val="00ED370C"/>
    <w:rsid w:val="00ED3746"/>
    <w:rsid w:val="00ED40E7"/>
    <w:rsid w:val="00ED4782"/>
    <w:rsid w:val="00ED4CD2"/>
    <w:rsid w:val="00ED4CD3"/>
    <w:rsid w:val="00ED4ED6"/>
    <w:rsid w:val="00ED5944"/>
    <w:rsid w:val="00ED5CB6"/>
    <w:rsid w:val="00ED5DC2"/>
    <w:rsid w:val="00ED6170"/>
    <w:rsid w:val="00ED6B81"/>
    <w:rsid w:val="00ED6E26"/>
    <w:rsid w:val="00ED77BE"/>
    <w:rsid w:val="00ED797F"/>
    <w:rsid w:val="00ED79EC"/>
    <w:rsid w:val="00EE025B"/>
    <w:rsid w:val="00EE05ED"/>
    <w:rsid w:val="00EE0878"/>
    <w:rsid w:val="00EE0919"/>
    <w:rsid w:val="00EE0968"/>
    <w:rsid w:val="00EE1450"/>
    <w:rsid w:val="00EE1827"/>
    <w:rsid w:val="00EE18AD"/>
    <w:rsid w:val="00EE1D8F"/>
    <w:rsid w:val="00EE25FC"/>
    <w:rsid w:val="00EE2623"/>
    <w:rsid w:val="00EE3230"/>
    <w:rsid w:val="00EE35F7"/>
    <w:rsid w:val="00EE3B81"/>
    <w:rsid w:val="00EE3E56"/>
    <w:rsid w:val="00EE41C5"/>
    <w:rsid w:val="00EE4AA6"/>
    <w:rsid w:val="00EE4AE7"/>
    <w:rsid w:val="00EE55FA"/>
    <w:rsid w:val="00EE5EA0"/>
    <w:rsid w:val="00EE5F2E"/>
    <w:rsid w:val="00EE6DD8"/>
    <w:rsid w:val="00EE6F8F"/>
    <w:rsid w:val="00EE70E6"/>
    <w:rsid w:val="00EE721B"/>
    <w:rsid w:val="00EE765E"/>
    <w:rsid w:val="00EE77C1"/>
    <w:rsid w:val="00EF0175"/>
    <w:rsid w:val="00EF06E4"/>
    <w:rsid w:val="00EF0B75"/>
    <w:rsid w:val="00EF0E5B"/>
    <w:rsid w:val="00EF1245"/>
    <w:rsid w:val="00EF1303"/>
    <w:rsid w:val="00EF13E4"/>
    <w:rsid w:val="00EF1CEA"/>
    <w:rsid w:val="00EF22D2"/>
    <w:rsid w:val="00EF2649"/>
    <w:rsid w:val="00EF28CC"/>
    <w:rsid w:val="00EF2D8F"/>
    <w:rsid w:val="00EF3219"/>
    <w:rsid w:val="00EF3639"/>
    <w:rsid w:val="00EF37A8"/>
    <w:rsid w:val="00EF45C2"/>
    <w:rsid w:val="00EF478D"/>
    <w:rsid w:val="00EF4B49"/>
    <w:rsid w:val="00EF4B55"/>
    <w:rsid w:val="00EF5671"/>
    <w:rsid w:val="00EF5B10"/>
    <w:rsid w:val="00EF606C"/>
    <w:rsid w:val="00EF61A4"/>
    <w:rsid w:val="00EF631D"/>
    <w:rsid w:val="00EF6333"/>
    <w:rsid w:val="00EF7213"/>
    <w:rsid w:val="00EF7902"/>
    <w:rsid w:val="00EF7A1F"/>
    <w:rsid w:val="00F002D7"/>
    <w:rsid w:val="00F003EA"/>
    <w:rsid w:val="00F00736"/>
    <w:rsid w:val="00F01382"/>
    <w:rsid w:val="00F019AB"/>
    <w:rsid w:val="00F0329D"/>
    <w:rsid w:val="00F03318"/>
    <w:rsid w:val="00F034C6"/>
    <w:rsid w:val="00F037E5"/>
    <w:rsid w:val="00F0382D"/>
    <w:rsid w:val="00F03885"/>
    <w:rsid w:val="00F03B8F"/>
    <w:rsid w:val="00F040DA"/>
    <w:rsid w:val="00F044F9"/>
    <w:rsid w:val="00F04588"/>
    <w:rsid w:val="00F045D0"/>
    <w:rsid w:val="00F04690"/>
    <w:rsid w:val="00F049C7"/>
    <w:rsid w:val="00F04F14"/>
    <w:rsid w:val="00F0565B"/>
    <w:rsid w:val="00F05B9D"/>
    <w:rsid w:val="00F071BD"/>
    <w:rsid w:val="00F079E4"/>
    <w:rsid w:val="00F07B4E"/>
    <w:rsid w:val="00F07C38"/>
    <w:rsid w:val="00F07E96"/>
    <w:rsid w:val="00F103B3"/>
    <w:rsid w:val="00F1142A"/>
    <w:rsid w:val="00F11573"/>
    <w:rsid w:val="00F11C3F"/>
    <w:rsid w:val="00F12035"/>
    <w:rsid w:val="00F1229F"/>
    <w:rsid w:val="00F12465"/>
    <w:rsid w:val="00F1251F"/>
    <w:rsid w:val="00F12830"/>
    <w:rsid w:val="00F12B1C"/>
    <w:rsid w:val="00F130F8"/>
    <w:rsid w:val="00F1339D"/>
    <w:rsid w:val="00F13658"/>
    <w:rsid w:val="00F13BB1"/>
    <w:rsid w:val="00F13C14"/>
    <w:rsid w:val="00F13CBE"/>
    <w:rsid w:val="00F14371"/>
    <w:rsid w:val="00F15060"/>
    <w:rsid w:val="00F153F2"/>
    <w:rsid w:val="00F1599C"/>
    <w:rsid w:val="00F1629A"/>
    <w:rsid w:val="00F16516"/>
    <w:rsid w:val="00F16932"/>
    <w:rsid w:val="00F16B83"/>
    <w:rsid w:val="00F16CB6"/>
    <w:rsid w:val="00F173A8"/>
    <w:rsid w:val="00F175D0"/>
    <w:rsid w:val="00F176C8"/>
    <w:rsid w:val="00F1770A"/>
    <w:rsid w:val="00F1775B"/>
    <w:rsid w:val="00F200C4"/>
    <w:rsid w:val="00F209D7"/>
    <w:rsid w:val="00F20C37"/>
    <w:rsid w:val="00F214A2"/>
    <w:rsid w:val="00F2207D"/>
    <w:rsid w:val="00F22A75"/>
    <w:rsid w:val="00F22CBC"/>
    <w:rsid w:val="00F22E24"/>
    <w:rsid w:val="00F23578"/>
    <w:rsid w:val="00F23BDE"/>
    <w:rsid w:val="00F24054"/>
    <w:rsid w:val="00F246FB"/>
    <w:rsid w:val="00F2488B"/>
    <w:rsid w:val="00F24AE0"/>
    <w:rsid w:val="00F24D21"/>
    <w:rsid w:val="00F25C80"/>
    <w:rsid w:val="00F2642F"/>
    <w:rsid w:val="00F26491"/>
    <w:rsid w:val="00F26F0A"/>
    <w:rsid w:val="00F27059"/>
    <w:rsid w:val="00F27159"/>
    <w:rsid w:val="00F272B5"/>
    <w:rsid w:val="00F27BD4"/>
    <w:rsid w:val="00F304D3"/>
    <w:rsid w:val="00F308AB"/>
    <w:rsid w:val="00F30C41"/>
    <w:rsid w:val="00F30DB0"/>
    <w:rsid w:val="00F31195"/>
    <w:rsid w:val="00F315DB"/>
    <w:rsid w:val="00F31B01"/>
    <w:rsid w:val="00F31CB8"/>
    <w:rsid w:val="00F31FD7"/>
    <w:rsid w:val="00F32003"/>
    <w:rsid w:val="00F32BEF"/>
    <w:rsid w:val="00F32F53"/>
    <w:rsid w:val="00F33157"/>
    <w:rsid w:val="00F333B0"/>
    <w:rsid w:val="00F33612"/>
    <w:rsid w:val="00F33744"/>
    <w:rsid w:val="00F33B71"/>
    <w:rsid w:val="00F33BDF"/>
    <w:rsid w:val="00F33FA7"/>
    <w:rsid w:val="00F34C81"/>
    <w:rsid w:val="00F352AE"/>
    <w:rsid w:val="00F3538A"/>
    <w:rsid w:val="00F35990"/>
    <w:rsid w:val="00F35A6F"/>
    <w:rsid w:val="00F3607C"/>
    <w:rsid w:val="00F361FE"/>
    <w:rsid w:val="00F363C0"/>
    <w:rsid w:val="00F364DC"/>
    <w:rsid w:val="00F367B4"/>
    <w:rsid w:val="00F36C69"/>
    <w:rsid w:val="00F37769"/>
    <w:rsid w:val="00F37A4C"/>
    <w:rsid w:val="00F37B53"/>
    <w:rsid w:val="00F37E3E"/>
    <w:rsid w:val="00F37EB7"/>
    <w:rsid w:val="00F41899"/>
    <w:rsid w:val="00F4204A"/>
    <w:rsid w:val="00F42EC2"/>
    <w:rsid w:val="00F4340D"/>
    <w:rsid w:val="00F4358B"/>
    <w:rsid w:val="00F436B7"/>
    <w:rsid w:val="00F4381E"/>
    <w:rsid w:val="00F439FC"/>
    <w:rsid w:val="00F43DF6"/>
    <w:rsid w:val="00F43FCC"/>
    <w:rsid w:val="00F448D7"/>
    <w:rsid w:val="00F44929"/>
    <w:rsid w:val="00F44A35"/>
    <w:rsid w:val="00F44B85"/>
    <w:rsid w:val="00F44DE2"/>
    <w:rsid w:val="00F44E86"/>
    <w:rsid w:val="00F45173"/>
    <w:rsid w:val="00F45275"/>
    <w:rsid w:val="00F452E6"/>
    <w:rsid w:val="00F453CA"/>
    <w:rsid w:val="00F45C4E"/>
    <w:rsid w:val="00F47169"/>
    <w:rsid w:val="00F47549"/>
    <w:rsid w:val="00F47699"/>
    <w:rsid w:val="00F47920"/>
    <w:rsid w:val="00F47F7E"/>
    <w:rsid w:val="00F50523"/>
    <w:rsid w:val="00F50909"/>
    <w:rsid w:val="00F50C56"/>
    <w:rsid w:val="00F51410"/>
    <w:rsid w:val="00F51945"/>
    <w:rsid w:val="00F51B04"/>
    <w:rsid w:val="00F51BE9"/>
    <w:rsid w:val="00F52379"/>
    <w:rsid w:val="00F525F2"/>
    <w:rsid w:val="00F52A19"/>
    <w:rsid w:val="00F52D8C"/>
    <w:rsid w:val="00F533F3"/>
    <w:rsid w:val="00F53FCC"/>
    <w:rsid w:val="00F5418F"/>
    <w:rsid w:val="00F5420A"/>
    <w:rsid w:val="00F542A9"/>
    <w:rsid w:val="00F5439A"/>
    <w:rsid w:val="00F54CC8"/>
    <w:rsid w:val="00F54E1B"/>
    <w:rsid w:val="00F552C9"/>
    <w:rsid w:val="00F55AEB"/>
    <w:rsid w:val="00F562D3"/>
    <w:rsid w:val="00F5655C"/>
    <w:rsid w:val="00F5674E"/>
    <w:rsid w:val="00F56ACE"/>
    <w:rsid w:val="00F56B1E"/>
    <w:rsid w:val="00F56F3E"/>
    <w:rsid w:val="00F57018"/>
    <w:rsid w:val="00F5754A"/>
    <w:rsid w:val="00F57870"/>
    <w:rsid w:val="00F579ED"/>
    <w:rsid w:val="00F605F1"/>
    <w:rsid w:val="00F60997"/>
    <w:rsid w:val="00F60BE3"/>
    <w:rsid w:val="00F60DFD"/>
    <w:rsid w:val="00F61277"/>
    <w:rsid w:val="00F612C1"/>
    <w:rsid w:val="00F6197D"/>
    <w:rsid w:val="00F61FC4"/>
    <w:rsid w:val="00F625DB"/>
    <w:rsid w:val="00F625F1"/>
    <w:rsid w:val="00F62BB7"/>
    <w:rsid w:val="00F62CEB"/>
    <w:rsid w:val="00F63446"/>
    <w:rsid w:val="00F63525"/>
    <w:rsid w:val="00F638B7"/>
    <w:rsid w:val="00F64343"/>
    <w:rsid w:val="00F64846"/>
    <w:rsid w:val="00F656D8"/>
    <w:rsid w:val="00F65D0B"/>
    <w:rsid w:val="00F661A3"/>
    <w:rsid w:val="00F661D4"/>
    <w:rsid w:val="00F66548"/>
    <w:rsid w:val="00F667F7"/>
    <w:rsid w:val="00F67076"/>
    <w:rsid w:val="00F6774A"/>
    <w:rsid w:val="00F70DE9"/>
    <w:rsid w:val="00F7243A"/>
    <w:rsid w:val="00F72781"/>
    <w:rsid w:val="00F72DD1"/>
    <w:rsid w:val="00F7333C"/>
    <w:rsid w:val="00F73779"/>
    <w:rsid w:val="00F74289"/>
    <w:rsid w:val="00F74680"/>
    <w:rsid w:val="00F747DB"/>
    <w:rsid w:val="00F74D05"/>
    <w:rsid w:val="00F7524C"/>
    <w:rsid w:val="00F752BC"/>
    <w:rsid w:val="00F75657"/>
    <w:rsid w:val="00F758A7"/>
    <w:rsid w:val="00F75A40"/>
    <w:rsid w:val="00F7663F"/>
    <w:rsid w:val="00F766E9"/>
    <w:rsid w:val="00F76777"/>
    <w:rsid w:val="00F767DB"/>
    <w:rsid w:val="00F76E91"/>
    <w:rsid w:val="00F7754B"/>
    <w:rsid w:val="00F77974"/>
    <w:rsid w:val="00F77A47"/>
    <w:rsid w:val="00F77F12"/>
    <w:rsid w:val="00F80347"/>
    <w:rsid w:val="00F8051D"/>
    <w:rsid w:val="00F80D22"/>
    <w:rsid w:val="00F816EA"/>
    <w:rsid w:val="00F81A50"/>
    <w:rsid w:val="00F81A58"/>
    <w:rsid w:val="00F81B28"/>
    <w:rsid w:val="00F81B8B"/>
    <w:rsid w:val="00F81E05"/>
    <w:rsid w:val="00F821EE"/>
    <w:rsid w:val="00F8279A"/>
    <w:rsid w:val="00F82A87"/>
    <w:rsid w:val="00F82C7B"/>
    <w:rsid w:val="00F83069"/>
    <w:rsid w:val="00F84DC5"/>
    <w:rsid w:val="00F84E0A"/>
    <w:rsid w:val="00F85645"/>
    <w:rsid w:val="00F85F15"/>
    <w:rsid w:val="00F86D89"/>
    <w:rsid w:val="00F879D5"/>
    <w:rsid w:val="00F87FCB"/>
    <w:rsid w:val="00F905A1"/>
    <w:rsid w:val="00F90857"/>
    <w:rsid w:val="00F9097F"/>
    <w:rsid w:val="00F91055"/>
    <w:rsid w:val="00F910C1"/>
    <w:rsid w:val="00F912E1"/>
    <w:rsid w:val="00F91AB1"/>
    <w:rsid w:val="00F91F7A"/>
    <w:rsid w:val="00F920B3"/>
    <w:rsid w:val="00F92711"/>
    <w:rsid w:val="00F93F46"/>
    <w:rsid w:val="00F940F4"/>
    <w:rsid w:val="00F94502"/>
    <w:rsid w:val="00F94BBA"/>
    <w:rsid w:val="00F94D08"/>
    <w:rsid w:val="00F95248"/>
    <w:rsid w:val="00F95F5F"/>
    <w:rsid w:val="00F96588"/>
    <w:rsid w:val="00F9718E"/>
    <w:rsid w:val="00F97B27"/>
    <w:rsid w:val="00F97CD8"/>
    <w:rsid w:val="00F97DC4"/>
    <w:rsid w:val="00FA00D4"/>
    <w:rsid w:val="00FA130B"/>
    <w:rsid w:val="00FA1944"/>
    <w:rsid w:val="00FA19ED"/>
    <w:rsid w:val="00FA1AE6"/>
    <w:rsid w:val="00FA239E"/>
    <w:rsid w:val="00FA2C43"/>
    <w:rsid w:val="00FA2F12"/>
    <w:rsid w:val="00FA324B"/>
    <w:rsid w:val="00FA35A7"/>
    <w:rsid w:val="00FA379A"/>
    <w:rsid w:val="00FA3B62"/>
    <w:rsid w:val="00FA5543"/>
    <w:rsid w:val="00FA585E"/>
    <w:rsid w:val="00FA5B11"/>
    <w:rsid w:val="00FA5D5D"/>
    <w:rsid w:val="00FA5FF5"/>
    <w:rsid w:val="00FA6631"/>
    <w:rsid w:val="00FA747A"/>
    <w:rsid w:val="00FA7CD1"/>
    <w:rsid w:val="00FB00B6"/>
    <w:rsid w:val="00FB0110"/>
    <w:rsid w:val="00FB0351"/>
    <w:rsid w:val="00FB0438"/>
    <w:rsid w:val="00FB0F64"/>
    <w:rsid w:val="00FB17D9"/>
    <w:rsid w:val="00FB1D4E"/>
    <w:rsid w:val="00FB22F5"/>
    <w:rsid w:val="00FB2A74"/>
    <w:rsid w:val="00FB2CF2"/>
    <w:rsid w:val="00FB32B3"/>
    <w:rsid w:val="00FB3B2B"/>
    <w:rsid w:val="00FB4163"/>
    <w:rsid w:val="00FB428A"/>
    <w:rsid w:val="00FB4A7F"/>
    <w:rsid w:val="00FB5363"/>
    <w:rsid w:val="00FB5BB1"/>
    <w:rsid w:val="00FB626B"/>
    <w:rsid w:val="00FB6543"/>
    <w:rsid w:val="00FB66BB"/>
    <w:rsid w:val="00FB739A"/>
    <w:rsid w:val="00FC03E4"/>
    <w:rsid w:val="00FC04B5"/>
    <w:rsid w:val="00FC1489"/>
    <w:rsid w:val="00FC14C4"/>
    <w:rsid w:val="00FC1650"/>
    <w:rsid w:val="00FC193A"/>
    <w:rsid w:val="00FC1EB8"/>
    <w:rsid w:val="00FC2257"/>
    <w:rsid w:val="00FC2501"/>
    <w:rsid w:val="00FC2D9E"/>
    <w:rsid w:val="00FC2F30"/>
    <w:rsid w:val="00FC2FD4"/>
    <w:rsid w:val="00FC2FE4"/>
    <w:rsid w:val="00FC38F8"/>
    <w:rsid w:val="00FC39AB"/>
    <w:rsid w:val="00FC4068"/>
    <w:rsid w:val="00FC428A"/>
    <w:rsid w:val="00FC4770"/>
    <w:rsid w:val="00FC48CB"/>
    <w:rsid w:val="00FC4913"/>
    <w:rsid w:val="00FC4EC7"/>
    <w:rsid w:val="00FC5048"/>
    <w:rsid w:val="00FC5313"/>
    <w:rsid w:val="00FC58FE"/>
    <w:rsid w:val="00FC5BD5"/>
    <w:rsid w:val="00FC5F4C"/>
    <w:rsid w:val="00FC6737"/>
    <w:rsid w:val="00FC6AF5"/>
    <w:rsid w:val="00FC7852"/>
    <w:rsid w:val="00FC7D8B"/>
    <w:rsid w:val="00FC7ECC"/>
    <w:rsid w:val="00FC7FAE"/>
    <w:rsid w:val="00FD050F"/>
    <w:rsid w:val="00FD052E"/>
    <w:rsid w:val="00FD07F6"/>
    <w:rsid w:val="00FD0E25"/>
    <w:rsid w:val="00FD199F"/>
    <w:rsid w:val="00FD26A7"/>
    <w:rsid w:val="00FD2775"/>
    <w:rsid w:val="00FD2921"/>
    <w:rsid w:val="00FD329C"/>
    <w:rsid w:val="00FD3DA2"/>
    <w:rsid w:val="00FD3F83"/>
    <w:rsid w:val="00FD4387"/>
    <w:rsid w:val="00FD46BD"/>
    <w:rsid w:val="00FD4B86"/>
    <w:rsid w:val="00FD4CAD"/>
    <w:rsid w:val="00FD4FE4"/>
    <w:rsid w:val="00FD51C1"/>
    <w:rsid w:val="00FD5381"/>
    <w:rsid w:val="00FD56BD"/>
    <w:rsid w:val="00FD58FA"/>
    <w:rsid w:val="00FD5B9D"/>
    <w:rsid w:val="00FD5DB0"/>
    <w:rsid w:val="00FD61D0"/>
    <w:rsid w:val="00FD6511"/>
    <w:rsid w:val="00FD6928"/>
    <w:rsid w:val="00FD6D1B"/>
    <w:rsid w:val="00FD799A"/>
    <w:rsid w:val="00FD7A5F"/>
    <w:rsid w:val="00FE03E3"/>
    <w:rsid w:val="00FE04CD"/>
    <w:rsid w:val="00FE0A25"/>
    <w:rsid w:val="00FE0B82"/>
    <w:rsid w:val="00FE130C"/>
    <w:rsid w:val="00FE1577"/>
    <w:rsid w:val="00FE1805"/>
    <w:rsid w:val="00FE1838"/>
    <w:rsid w:val="00FE1BD7"/>
    <w:rsid w:val="00FE2AEF"/>
    <w:rsid w:val="00FE30EF"/>
    <w:rsid w:val="00FE31C7"/>
    <w:rsid w:val="00FE32A0"/>
    <w:rsid w:val="00FE365D"/>
    <w:rsid w:val="00FE3732"/>
    <w:rsid w:val="00FE3898"/>
    <w:rsid w:val="00FE3C53"/>
    <w:rsid w:val="00FE3D9C"/>
    <w:rsid w:val="00FE3EEF"/>
    <w:rsid w:val="00FE437E"/>
    <w:rsid w:val="00FE49DC"/>
    <w:rsid w:val="00FE4AFD"/>
    <w:rsid w:val="00FE4D14"/>
    <w:rsid w:val="00FE4DB3"/>
    <w:rsid w:val="00FE4EC7"/>
    <w:rsid w:val="00FE50B3"/>
    <w:rsid w:val="00FE5593"/>
    <w:rsid w:val="00FE604E"/>
    <w:rsid w:val="00FE65A4"/>
    <w:rsid w:val="00FE6854"/>
    <w:rsid w:val="00FE6937"/>
    <w:rsid w:val="00FE6F4F"/>
    <w:rsid w:val="00FE70FE"/>
    <w:rsid w:val="00FE7549"/>
    <w:rsid w:val="00FF0355"/>
    <w:rsid w:val="00FF08C2"/>
    <w:rsid w:val="00FF0B6B"/>
    <w:rsid w:val="00FF0E5B"/>
    <w:rsid w:val="00FF0ECD"/>
    <w:rsid w:val="00FF1E3B"/>
    <w:rsid w:val="00FF208A"/>
    <w:rsid w:val="00FF2114"/>
    <w:rsid w:val="00FF238F"/>
    <w:rsid w:val="00FF260F"/>
    <w:rsid w:val="00FF2638"/>
    <w:rsid w:val="00FF2648"/>
    <w:rsid w:val="00FF2AAA"/>
    <w:rsid w:val="00FF2B2D"/>
    <w:rsid w:val="00FF36BE"/>
    <w:rsid w:val="00FF3AEA"/>
    <w:rsid w:val="00FF3BC3"/>
    <w:rsid w:val="00FF3F96"/>
    <w:rsid w:val="00FF42A5"/>
    <w:rsid w:val="00FF4F19"/>
    <w:rsid w:val="00FF4F8E"/>
    <w:rsid w:val="00FF56DE"/>
    <w:rsid w:val="00FF5DA8"/>
    <w:rsid w:val="00FF61DD"/>
    <w:rsid w:val="00FF643F"/>
    <w:rsid w:val="00FF6580"/>
    <w:rsid w:val="00FF7C1D"/>
    <w:rsid w:val="00FF7E57"/>
    <w:rsid w:val="013BFD7E"/>
    <w:rsid w:val="013F565C"/>
    <w:rsid w:val="0169FFCF"/>
    <w:rsid w:val="0189CF84"/>
    <w:rsid w:val="0197B42B"/>
    <w:rsid w:val="01C129A8"/>
    <w:rsid w:val="01E3F7CF"/>
    <w:rsid w:val="01F78B6D"/>
    <w:rsid w:val="0203C40B"/>
    <w:rsid w:val="021DB2B6"/>
    <w:rsid w:val="0294695B"/>
    <w:rsid w:val="029A2D9C"/>
    <w:rsid w:val="02BD3830"/>
    <w:rsid w:val="02C43BC7"/>
    <w:rsid w:val="02ED9B49"/>
    <w:rsid w:val="0305EE9A"/>
    <w:rsid w:val="03A769C3"/>
    <w:rsid w:val="03B7ADA2"/>
    <w:rsid w:val="046B4564"/>
    <w:rsid w:val="04B1FD97"/>
    <w:rsid w:val="04D4FE00"/>
    <w:rsid w:val="050C9E36"/>
    <w:rsid w:val="050ECA15"/>
    <w:rsid w:val="0532A5AF"/>
    <w:rsid w:val="0544A3DA"/>
    <w:rsid w:val="054E5D99"/>
    <w:rsid w:val="05879469"/>
    <w:rsid w:val="0590B844"/>
    <w:rsid w:val="05978C1D"/>
    <w:rsid w:val="05B9C537"/>
    <w:rsid w:val="05BEA04B"/>
    <w:rsid w:val="05D7FBDC"/>
    <w:rsid w:val="05F35812"/>
    <w:rsid w:val="0614C8AB"/>
    <w:rsid w:val="061D52B7"/>
    <w:rsid w:val="06479F38"/>
    <w:rsid w:val="064940EE"/>
    <w:rsid w:val="06545C49"/>
    <w:rsid w:val="065A4FF6"/>
    <w:rsid w:val="06873963"/>
    <w:rsid w:val="06A2DADF"/>
    <w:rsid w:val="06D21176"/>
    <w:rsid w:val="06E39A5E"/>
    <w:rsid w:val="0791A15B"/>
    <w:rsid w:val="07B66898"/>
    <w:rsid w:val="07BD7A5F"/>
    <w:rsid w:val="07D93345"/>
    <w:rsid w:val="07DAFD2D"/>
    <w:rsid w:val="07E1E394"/>
    <w:rsid w:val="07E6CAEC"/>
    <w:rsid w:val="0865DEA9"/>
    <w:rsid w:val="095603B0"/>
    <w:rsid w:val="096AD447"/>
    <w:rsid w:val="098BD3D4"/>
    <w:rsid w:val="0997B1B8"/>
    <w:rsid w:val="0A479EED"/>
    <w:rsid w:val="0A89CFEF"/>
    <w:rsid w:val="0AEB5E06"/>
    <w:rsid w:val="0AFA722D"/>
    <w:rsid w:val="0B016A66"/>
    <w:rsid w:val="0B6DF730"/>
    <w:rsid w:val="0B8209FD"/>
    <w:rsid w:val="0BADF0FF"/>
    <w:rsid w:val="0BC23A3D"/>
    <w:rsid w:val="0BC5E65C"/>
    <w:rsid w:val="0BF5A3CA"/>
    <w:rsid w:val="0C1439CB"/>
    <w:rsid w:val="0C39897A"/>
    <w:rsid w:val="0C6538A9"/>
    <w:rsid w:val="0C753010"/>
    <w:rsid w:val="0CB5CC57"/>
    <w:rsid w:val="0CE96FE8"/>
    <w:rsid w:val="0D4D5A32"/>
    <w:rsid w:val="0D67A36F"/>
    <w:rsid w:val="0D7C2BE6"/>
    <w:rsid w:val="0E228C58"/>
    <w:rsid w:val="0E7D3ABD"/>
    <w:rsid w:val="0E7FC57B"/>
    <w:rsid w:val="0E8304A1"/>
    <w:rsid w:val="0E8DBE14"/>
    <w:rsid w:val="0E9F634F"/>
    <w:rsid w:val="0ECEAE25"/>
    <w:rsid w:val="0ED72F8E"/>
    <w:rsid w:val="0F3FCE02"/>
    <w:rsid w:val="0F6DF140"/>
    <w:rsid w:val="0F82BEA5"/>
    <w:rsid w:val="0F997D9E"/>
    <w:rsid w:val="0FA565DC"/>
    <w:rsid w:val="0FE4DE26"/>
    <w:rsid w:val="106B692B"/>
    <w:rsid w:val="109411B1"/>
    <w:rsid w:val="10B2DC16"/>
    <w:rsid w:val="10D44433"/>
    <w:rsid w:val="11014210"/>
    <w:rsid w:val="1129CCC7"/>
    <w:rsid w:val="116480B5"/>
    <w:rsid w:val="117FABA2"/>
    <w:rsid w:val="11AB2AD1"/>
    <w:rsid w:val="11B4E6CF"/>
    <w:rsid w:val="11BFF20C"/>
    <w:rsid w:val="1210F6A1"/>
    <w:rsid w:val="121D6D8F"/>
    <w:rsid w:val="1262A593"/>
    <w:rsid w:val="12838D4F"/>
    <w:rsid w:val="12B35717"/>
    <w:rsid w:val="12C23B9B"/>
    <w:rsid w:val="12D4F3E6"/>
    <w:rsid w:val="12FD7774"/>
    <w:rsid w:val="131AFCED"/>
    <w:rsid w:val="1326D0DE"/>
    <w:rsid w:val="13329DF1"/>
    <w:rsid w:val="135F53EA"/>
    <w:rsid w:val="13824B1A"/>
    <w:rsid w:val="13876D7D"/>
    <w:rsid w:val="13885343"/>
    <w:rsid w:val="139DF8FE"/>
    <w:rsid w:val="140E2038"/>
    <w:rsid w:val="141814AC"/>
    <w:rsid w:val="14443DBF"/>
    <w:rsid w:val="1444E3D8"/>
    <w:rsid w:val="144D2F7A"/>
    <w:rsid w:val="14B2965C"/>
    <w:rsid w:val="14C51A7A"/>
    <w:rsid w:val="14C8CC03"/>
    <w:rsid w:val="14FE9AA5"/>
    <w:rsid w:val="15279BA5"/>
    <w:rsid w:val="1568A7E5"/>
    <w:rsid w:val="15ACC463"/>
    <w:rsid w:val="15C42B30"/>
    <w:rsid w:val="15F254F8"/>
    <w:rsid w:val="16D2EEC1"/>
    <w:rsid w:val="16ED6C79"/>
    <w:rsid w:val="17127446"/>
    <w:rsid w:val="172A718D"/>
    <w:rsid w:val="174A861D"/>
    <w:rsid w:val="176718FE"/>
    <w:rsid w:val="179D761E"/>
    <w:rsid w:val="181AB059"/>
    <w:rsid w:val="181E229F"/>
    <w:rsid w:val="1846098F"/>
    <w:rsid w:val="1870FBE1"/>
    <w:rsid w:val="187B2401"/>
    <w:rsid w:val="189FFEE2"/>
    <w:rsid w:val="18D199DF"/>
    <w:rsid w:val="1925E4A6"/>
    <w:rsid w:val="196BCE94"/>
    <w:rsid w:val="1971CB5D"/>
    <w:rsid w:val="198B3329"/>
    <w:rsid w:val="19A5F56B"/>
    <w:rsid w:val="19E9A19A"/>
    <w:rsid w:val="19EE3E30"/>
    <w:rsid w:val="19F5483F"/>
    <w:rsid w:val="1A448872"/>
    <w:rsid w:val="1A63F72B"/>
    <w:rsid w:val="1AA9507E"/>
    <w:rsid w:val="1AAFA153"/>
    <w:rsid w:val="1AD49E6C"/>
    <w:rsid w:val="1B11002C"/>
    <w:rsid w:val="1BCFEDFC"/>
    <w:rsid w:val="1BE71B05"/>
    <w:rsid w:val="1C0E561C"/>
    <w:rsid w:val="1C6E021C"/>
    <w:rsid w:val="1C78CAF5"/>
    <w:rsid w:val="1CE226E1"/>
    <w:rsid w:val="1D6540FD"/>
    <w:rsid w:val="1D8F2594"/>
    <w:rsid w:val="1DB705BA"/>
    <w:rsid w:val="1DDABC3F"/>
    <w:rsid w:val="1DE187DD"/>
    <w:rsid w:val="1DEA2741"/>
    <w:rsid w:val="1DF26445"/>
    <w:rsid w:val="1E0CFC7B"/>
    <w:rsid w:val="1E607E6A"/>
    <w:rsid w:val="1E9466DB"/>
    <w:rsid w:val="1E9C21A5"/>
    <w:rsid w:val="1EC0C96F"/>
    <w:rsid w:val="1ED19929"/>
    <w:rsid w:val="1F338FDB"/>
    <w:rsid w:val="1F344DF5"/>
    <w:rsid w:val="1F45F9E6"/>
    <w:rsid w:val="1F967087"/>
    <w:rsid w:val="1F9D7B66"/>
    <w:rsid w:val="1FA85282"/>
    <w:rsid w:val="1FBBBB15"/>
    <w:rsid w:val="1FC86AF2"/>
    <w:rsid w:val="1FF57628"/>
    <w:rsid w:val="1FFA43B7"/>
    <w:rsid w:val="20003530"/>
    <w:rsid w:val="20421817"/>
    <w:rsid w:val="2155C0AC"/>
    <w:rsid w:val="2162504B"/>
    <w:rsid w:val="219E90E1"/>
    <w:rsid w:val="21D11A87"/>
    <w:rsid w:val="21D7CF6A"/>
    <w:rsid w:val="21D9EFD8"/>
    <w:rsid w:val="21E0469D"/>
    <w:rsid w:val="21E1AE0B"/>
    <w:rsid w:val="21EA58F3"/>
    <w:rsid w:val="21F31B35"/>
    <w:rsid w:val="2220C059"/>
    <w:rsid w:val="2297CAF3"/>
    <w:rsid w:val="22CE24B7"/>
    <w:rsid w:val="230A1725"/>
    <w:rsid w:val="234542EB"/>
    <w:rsid w:val="2369E733"/>
    <w:rsid w:val="2390497A"/>
    <w:rsid w:val="23B691CD"/>
    <w:rsid w:val="23C32656"/>
    <w:rsid w:val="23C61DF3"/>
    <w:rsid w:val="23DECA40"/>
    <w:rsid w:val="24107EED"/>
    <w:rsid w:val="243A5D48"/>
    <w:rsid w:val="24436C2A"/>
    <w:rsid w:val="2443B699"/>
    <w:rsid w:val="2484A1E1"/>
    <w:rsid w:val="250E4545"/>
    <w:rsid w:val="25161725"/>
    <w:rsid w:val="2533782A"/>
    <w:rsid w:val="253AAD27"/>
    <w:rsid w:val="255A4C31"/>
    <w:rsid w:val="2568B8BA"/>
    <w:rsid w:val="2593EB97"/>
    <w:rsid w:val="25DEAFE6"/>
    <w:rsid w:val="26350AE8"/>
    <w:rsid w:val="26366910"/>
    <w:rsid w:val="2654592C"/>
    <w:rsid w:val="266C784F"/>
    <w:rsid w:val="2670D4F3"/>
    <w:rsid w:val="26B5E3D3"/>
    <w:rsid w:val="26E01246"/>
    <w:rsid w:val="26F95F59"/>
    <w:rsid w:val="2718C82C"/>
    <w:rsid w:val="274BD2D4"/>
    <w:rsid w:val="27A588BF"/>
    <w:rsid w:val="27F37B52"/>
    <w:rsid w:val="280DD63D"/>
    <w:rsid w:val="284E1829"/>
    <w:rsid w:val="291E7CB1"/>
    <w:rsid w:val="2A2B3AF1"/>
    <w:rsid w:val="2A4FDA48"/>
    <w:rsid w:val="2A6DDF58"/>
    <w:rsid w:val="2A80FB61"/>
    <w:rsid w:val="2A8C1738"/>
    <w:rsid w:val="2AD2ABB2"/>
    <w:rsid w:val="2B8955F8"/>
    <w:rsid w:val="2BBF747E"/>
    <w:rsid w:val="2BCC49C7"/>
    <w:rsid w:val="2BDCA58F"/>
    <w:rsid w:val="2C03F563"/>
    <w:rsid w:val="2C1502A2"/>
    <w:rsid w:val="2C216FA7"/>
    <w:rsid w:val="2C44ED86"/>
    <w:rsid w:val="2C53B788"/>
    <w:rsid w:val="2CC0F8A7"/>
    <w:rsid w:val="2CFD132B"/>
    <w:rsid w:val="2D13A3AF"/>
    <w:rsid w:val="2D1B4B10"/>
    <w:rsid w:val="2D22FF3A"/>
    <w:rsid w:val="2D3149A7"/>
    <w:rsid w:val="2D6DF122"/>
    <w:rsid w:val="2DE450DC"/>
    <w:rsid w:val="2DF454E3"/>
    <w:rsid w:val="2E0C44A1"/>
    <w:rsid w:val="2E2B6830"/>
    <w:rsid w:val="2E36C29D"/>
    <w:rsid w:val="2E512A66"/>
    <w:rsid w:val="2E550A7D"/>
    <w:rsid w:val="2E815E19"/>
    <w:rsid w:val="2EF7C849"/>
    <w:rsid w:val="2F374B0A"/>
    <w:rsid w:val="2FA4691F"/>
    <w:rsid w:val="2FB5F5CD"/>
    <w:rsid w:val="2FC1C5EA"/>
    <w:rsid w:val="2FC99411"/>
    <w:rsid w:val="2FCB2E32"/>
    <w:rsid w:val="30B1BA42"/>
    <w:rsid w:val="30BA9F27"/>
    <w:rsid w:val="30C405B8"/>
    <w:rsid w:val="30E0884F"/>
    <w:rsid w:val="311CD044"/>
    <w:rsid w:val="31547103"/>
    <w:rsid w:val="315634DD"/>
    <w:rsid w:val="31A07933"/>
    <w:rsid w:val="31A8C6F8"/>
    <w:rsid w:val="3207603D"/>
    <w:rsid w:val="322899D5"/>
    <w:rsid w:val="32417087"/>
    <w:rsid w:val="3291F52D"/>
    <w:rsid w:val="32ABF7D9"/>
    <w:rsid w:val="3309FD72"/>
    <w:rsid w:val="330F08B6"/>
    <w:rsid w:val="3364A7B4"/>
    <w:rsid w:val="33C1F5F6"/>
    <w:rsid w:val="33E0B663"/>
    <w:rsid w:val="34303E0D"/>
    <w:rsid w:val="34336779"/>
    <w:rsid w:val="34556EED"/>
    <w:rsid w:val="34589D8D"/>
    <w:rsid w:val="34E55AEE"/>
    <w:rsid w:val="34EE833F"/>
    <w:rsid w:val="350DF559"/>
    <w:rsid w:val="3534056B"/>
    <w:rsid w:val="358E5805"/>
    <w:rsid w:val="35E3DC30"/>
    <w:rsid w:val="36DEC607"/>
    <w:rsid w:val="37636E7F"/>
    <w:rsid w:val="37D94FD4"/>
    <w:rsid w:val="37F7AF97"/>
    <w:rsid w:val="37F9FA91"/>
    <w:rsid w:val="3818B7E4"/>
    <w:rsid w:val="3832A89E"/>
    <w:rsid w:val="384B2771"/>
    <w:rsid w:val="385783A1"/>
    <w:rsid w:val="388BABB3"/>
    <w:rsid w:val="38B6D29A"/>
    <w:rsid w:val="38B93D3D"/>
    <w:rsid w:val="38C8D1E0"/>
    <w:rsid w:val="390E8924"/>
    <w:rsid w:val="3967553F"/>
    <w:rsid w:val="39810A35"/>
    <w:rsid w:val="39B8EF6F"/>
    <w:rsid w:val="39BBB1F1"/>
    <w:rsid w:val="39C0F4DE"/>
    <w:rsid w:val="3A0A0A9B"/>
    <w:rsid w:val="3AA062DF"/>
    <w:rsid w:val="3AD1B7D0"/>
    <w:rsid w:val="3AD34D8F"/>
    <w:rsid w:val="3B60DD20"/>
    <w:rsid w:val="3B6311B2"/>
    <w:rsid w:val="3BAFE9AC"/>
    <w:rsid w:val="3BB86C77"/>
    <w:rsid w:val="3C05A456"/>
    <w:rsid w:val="3CA5F7AA"/>
    <w:rsid w:val="3CBF2225"/>
    <w:rsid w:val="3CC65596"/>
    <w:rsid w:val="3CFFB0F2"/>
    <w:rsid w:val="3D58BE58"/>
    <w:rsid w:val="3DBADD30"/>
    <w:rsid w:val="3DCAE248"/>
    <w:rsid w:val="3DD509D3"/>
    <w:rsid w:val="3E10E35A"/>
    <w:rsid w:val="3E32C93C"/>
    <w:rsid w:val="3E32F797"/>
    <w:rsid w:val="3E779AEE"/>
    <w:rsid w:val="3EB93DDA"/>
    <w:rsid w:val="3EF6497B"/>
    <w:rsid w:val="3F4B96B8"/>
    <w:rsid w:val="3F78FC5C"/>
    <w:rsid w:val="402E0161"/>
    <w:rsid w:val="40A6B884"/>
    <w:rsid w:val="40BC9099"/>
    <w:rsid w:val="40BDDF74"/>
    <w:rsid w:val="40F8BE76"/>
    <w:rsid w:val="412CD9FC"/>
    <w:rsid w:val="413E8623"/>
    <w:rsid w:val="414C26F8"/>
    <w:rsid w:val="418D1FD4"/>
    <w:rsid w:val="41CE3102"/>
    <w:rsid w:val="41D1ED32"/>
    <w:rsid w:val="420C8320"/>
    <w:rsid w:val="4218F549"/>
    <w:rsid w:val="425530BF"/>
    <w:rsid w:val="42A0B497"/>
    <w:rsid w:val="42AB3663"/>
    <w:rsid w:val="42BAEE41"/>
    <w:rsid w:val="43117931"/>
    <w:rsid w:val="432C5A12"/>
    <w:rsid w:val="43317705"/>
    <w:rsid w:val="433FDFAC"/>
    <w:rsid w:val="4343D1FA"/>
    <w:rsid w:val="434FEAFF"/>
    <w:rsid w:val="4394B605"/>
    <w:rsid w:val="44531B91"/>
    <w:rsid w:val="445C2D07"/>
    <w:rsid w:val="4468F384"/>
    <w:rsid w:val="448120ED"/>
    <w:rsid w:val="44B684D5"/>
    <w:rsid w:val="44BA9CD8"/>
    <w:rsid w:val="44D0AF78"/>
    <w:rsid w:val="44FF562A"/>
    <w:rsid w:val="4580D096"/>
    <w:rsid w:val="45957E10"/>
    <w:rsid w:val="459A401A"/>
    <w:rsid w:val="45A493E4"/>
    <w:rsid w:val="45C2281D"/>
    <w:rsid w:val="45CB5CD4"/>
    <w:rsid w:val="45CFDB6C"/>
    <w:rsid w:val="45E14258"/>
    <w:rsid w:val="45F65EE8"/>
    <w:rsid w:val="45F80492"/>
    <w:rsid w:val="46296C71"/>
    <w:rsid w:val="467F6190"/>
    <w:rsid w:val="467FA877"/>
    <w:rsid w:val="46C45AC3"/>
    <w:rsid w:val="46D27D96"/>
    <w:rsid w:val="470C0AED"/>
    <w:rsid w:val="4713E2E6"/>
    <w:rsid w:val="47158A8F"/>
    <w:rsid w:val="471F7598"/>
    <w:rsid w:val="478D5067"/>
    <w:rsid w:val="478FD8E1"/>
    <w:rsid w:val="47916470"/>
    <w:rsid w:val="47B95AAA"/>
    <w:rsid w:val="47C24A61"/>
    <w:rsid w:val="47E09C96"/>
    <w:rsid w:val="47EA35D6"/>
    <w:rsid w:val="47FCC2A5"/>
    <w:rsid w:val="4829395C"/>
    <w:rsid w:val="4834B476"/>
    <w:rsid w:val="48405970"/>
    <w:rsid w:val="485AA531"/>
    <w:rsid w:val="48748D56"/>
    <w:rsid w:val="489191AD"/>
    <w:rsid w:val="491965B4"/>
    <w:rsid w:val="491AE47C"/>
    <w:rsid w:val="49612E0D"/>
    <w:rsid w:val="4975440D"/>
    <w:rsid w:val="4977800D"/>
    <w:rsid w:val="49928158"/>
    <w:rsid w:val="49B8EBFF"/>
    <w:rsid w:val="4A1ECBDC"/>
    <w:rsid w:val="4A1FEF5C"/>
    <w:rsid w:val="4A425147"/>
    <w:rsid w:val="4A43FBFD"/>
    <w:rsid w:val="4A45F4FC"/>
    <w:rsid w:val="4A60B761"/>
    <w:rsid w:val="4A63214D"/>
    <w:rsid w:val="4A63DCBE"/>
    <w:rsid w:val="4A92F189"/>
    <w:rsid w:val="4ADB2A69"/>
    <w:rsid w:val="4AF793D2"/>
    <w:rsid w:val="4AFDDE30"/>
    <w:rsid w:val="4B244C10"/>
    <w:rsid w:val="4B58EFAF"/>
    <w:rsid w:val="4B7106DF"/>
    <w:rsid w:val="4B87B545"/>
    <w:rsid w:val="4BA1ECB1"/>
    <w:rsid w:val="4BE8A34E"/>
    <w:rsid w:val="4BE8A981"/>
    <w:rsid w:val="4C01978C"/>
    <w:rsid w:val="4C15DBCA"/>
    <w:rsid w:val="4C4DD5F1"/>
    <w:rsid w:val="4C6D370F"/>
    <w:rsid w:val="4C7210FE"/>
    <w:rsid w:val="4CFC7382"/>
    <w:rsid w:val="4D0EB05B"/>
    <w:rsid w:val="4D1C0C45"/>
    <w:rsid w:val="4D1DC1C9"/>
    <w:rsid w:val="4D4E6645"/>
    <w:rsid w:val="4D4F3F3B"/>
    <w:rsid w:val="4D884DB2"/>
    <w:rsid w:val="4D97A6F2"/>
    <w:rsid w:val="4DF438B3"/>
    <w:rsid w:val="4DFC34B7"/>
    <w:rsid w:val="4E0522C1"/>
    <w:rsid w:val="4E1AB3E5"/>
    <w:rsid w:val="4E4F6A89"/>
    <w:rsid w:val="4E58667D"/>
    <w:rsid w:val="4E6ECF0C"/>
    <w:rsid w:val="4E833F6B"/>
    <w:rsid w:val="4EA9566C"/>
    <w:rsid w:val="4EB357E6"/>
    <w:rsid w:val="4ED7A598"/>
    <w:rsid w:val="4F2E1709"/>
    <w:rsid w:val="4FD83E0B"/>
    <w:rsid w:val="505D9B02"/>
    <w:rsid w:val="50BC23EA"/>
    <w:rsid w:val="50CF3CAD"/>
    <w:rsid w:val="50DA66E6"/>
    <w:rsid w:val="517F9B1D"/>
    <w:rsid w:val="5188788B"/>
    <w:rsid w:val="519407CA"/>
    <w:rsid w:val="51998188"/>
    <w:rsid w:val="51B1120E"/>
    <w:rsid w:val="51C50F7F"/>
    <w:rsid w:val="51D5D8F6"/>
    <w:rsid w:val="51F2A7AB"/>
    <w:rsid w:val="52BE2A8C"/>
    <w:rsid w:val="52FE6B88"/>
    <w:rsid w:val="534C471D"/>
    <w:rsid w:val="53638AC1"/>
    <w:rsid w:val="53844B4D"/>
    <w:rsid w:val="53865653"/>
    <w:rsid w:val="53C42A8B"/>
    <w:rsid w:val="53CD3108"/>
    <w:rsid w:val="53CF9B55"/>
    <w:rsid w:val="53D95148"/>
    <w:rsid w:val="540B61AC"/>
    <w:rsid w:val="54327A40"/>
    <w:rsid w:val="54B70EF6"/>
    <w:rsid w:val="54E6BF09"/>
    <w:rsid w:val="553257CA"/>
    <w:rsid w:val="55423877"/>
    <w:rsid w:val="558C7F5A"/>
    <w:rsid w:val="55C27D78"/>
    <w:rsid w:val="5600A8C7"/>
    <w:rsid w:val="5678B960"/>
    <w:rsid w:val="569077E9"/>
    <w:rsid w:val="56B37A57"/>
    <w:rsid w:val="56C10208"/>
    <w:rsid w:val="56F1BF95"/>
    <w:rsid w:val="57047B4C"/>
    <w:rsid w:val="5791BFD5"/>
    <w:rsid w:val="57A1005B"/>
    <w:rsid w:val="57A67E78"/>
    <w:rsid w:val="57D19201"/>
    <w:rsid w:val="5828B718"/>
    <w:rsid w:val="588FC117"/>
    <w:rsid w:val="58FD30F9"/>
    <w:rsid w:val="590065AC"/>
    <w:rsid w:val="59335D27"/>
    <w:rsid w:val="5936B338"/>
    <w:rsid w:val="59380FEF"/>
    <w:rsid w:val="594558F9"/>
    <w:rsid w:val="5954F59C"/>
    <w:rsid w:val="59B34425"/>
    <w:rsid w:val="59B817B3"/>
    <w:rsid w:val="59E3B12E"/>
    <w:rsid w:val="59F993FB"/>
    <w:rsid w:val="5A3C8582"/>
    <w:rsid w:val="5A806B40"/>
    <w:rsid w:val="5ACDF90D"/>
    <w:rsid w:val="5B1C812C"/>
    <w:rsid w:val="5B1E9AB0"/>
    <w:rsid w:val="5B2233F8"/>
    <w:rsid w:val="5B25DC54"/>
    <w:rsid w:val="5B577EF7"/>
    <w:rsid w:val="5B7BA4B2"/>
    <w:rsid w:val="5B9E5140"/>
    <w:rsid w:val="5C2022AE"/>
    <w:rsid w:val="5C44D568"/>
    <w:rsid w:val="5C748FF1"/>
    <w:rsid w:val="5C91D12D"/>
    <w:rsid w:val="5C9FAAD4"/>
    <w:rsid w:val="5CC95889"/>
    <w:rsid w:val="5CD5467C"/>
    <w:rsid w:val="5CF719A8"/>
    <w:rsid w:val="5D0EE8D0"/>
    <w:rsid w:val="5D35635A"/>
    <w:rsid w:val="5D55FE92"/>
    <w:rsid w:val="5D606F45"/>
    <w:rsid w:val="5D83A01D"/>
    <w:rsid w:val="5DBA1AC9"/>
    <w:rsid w:val="5DC29BDA"/>
    <w:rsid w:val="5DCC6684"/>
    <w:rsid w:val="5DD21380"/>
    <w:rsid w:val="5DF6C418"/>
    <w:rsid w:val="5E2376C3"/>
    <w:rsid w:val="5E2664E7"/>
    <w:rsid w:val="5E3227FA"/>
    <w:rsid w:val="5E3B7BFF"/>
    <w:rsid w:val="5E417102"/>
    <w:rsid w:val="5E42E414"/>
    <w:rsid w:val="5E714C43"/>
    <w:rsid w:val="5E77EBE0"/>
    <w:rsid w:val="5E7C960A"/>
    <w:rsid w:val="5EC9359A"/>
    <w:rsid w:val="5EEFF180"/>
    <w:rsid w:val="5F2E1441"/>
    <w:rsid w:val="5F38D6BE"/>
    <w:rsid w:val="5F4D98CE"/>
    <w:rsid w:val="5F5CB126"/>
    <w:rsid w:val="5F7DBE1F"/>
    <w:rsid w:val="5F9E6712"/>
    <w:rsid w:val="5FA80C0B"/>
    <w:rsid w:val="5FD1E192"/>
    <w:rsid w:val="5FEA055A"/>
    <w:rsid w:val="600A029A"/>
    <w:rsid w:val="60174C10"/>
    <w:rsid w:val="604F9413"/>
    <w:rsid w:val="60B5DE3E"/>
    <w:rsid w:val="60D565DF"/>
    <w:rsid w:val="60F7F74D"/>
    <w:rsid w:val="616489AE"/>
    <w:rsid w:val="617D659A"/>
    <w:rsid w:val="61885B83"/>
    <w:rsid w:val="6212DC17"/>
    <w:rsid w:val="62254D92"/>
    <w:rsid w:val="623F7C40"/>
    <w:rsid w:val="626296FB"/>
    <w:rsid w:val="626473B2"/>
    <w:rsid w:val="629278EA"/>
    <w:rsid w:val="62C4A805"/>
    <w:rsid w:val="62C97AB2"/>
    <w:rsid w:val="634A44FB"/>
    <w:rsid w:val="6386BFA3"/>
    <w:rsid w:val="63A03B37"/>
    <w:rsid w:val="63A36C64"/>
    <w:rsid w:val="63CF370D"/>
    <w:rsid w:val="6403C631"/>
    <w:rsid w:val="642B58CD"/>
    <w:rsid w:val="64B61DFD"/>
    <w:rsid w:val="64D6CE5D"/>
    <w:rsid w:val="64E07DE3"/>
    <w:rsid w:val="655BC89C"/>
    <w:rsid w:val="655E3C32"/>
    <w:rsid w:val="65679482"/>
    <w:rsid w:val="656AB507"/>
    <w:rsid w:val="65A0933E"/>
    <w:rsid w:val="65B1536D"/>
    <w:rsid w:val="661B792C"/>
    <w:rsid w:val="6629B9C0"/>
    <w:rsid w:val="66575E26"/>
    <w:rsid w:val="665B40E5"/>
    <w:rsid w:val="666BDBD0"/>
    <w:rsid w:val="667E0BBF"/>
    <w:rsid w:val="66F0C6A9"/>
    <w:rsid w:val="673BD2B3"/>
    <w:rsid w:val="676322BA"/>
    <w:rsid w:val="6775A683"/>
    <w:rsid w:val="677CF33B"/>
    <w:rsid w:val="67AE47FC"/>
    <w:rsid w:val="6800DBC4"/>
    <w:rsid w:val="685EEB1C"/>
    <w:rsid w:val="68ABFB2C"/>
    <w:rsid w:val="68E6FDAF"/>
    <w:rsid w:val="692AC0B0"/>
    <w:rsid w:val="693F99E8"/>
    <w:rsid w:val="69647989"/>
    <w:rsid w:val="698DFB63"/>
    <w:rsid w:val="69F08C69"/>
    <w:rsid w:val="69F3AE27"/>
    <w:rsid w:val="6A229C68"/>
    <w:rsid w:val="6A501879"/>
    <w:rsid w:val="6ACADF37"/>
    <w:rsid w:val="6AD34BFB"/>
    <w:rsid w:val="6B19E484"/>
    <w:rsid w:val="6BB38813"/>
    <w:rsid w:val="6C0B6138"/>
    <w:rsid w:val="6C203B01"/>
    <w:rsid w:val="6C2980B8"/>
    <w:rsid w:val="6C3AF1E0"/>
    <w:rsid w:val="6C916CD6"/>
    <w:rsid w:val="6CA41BD7"/>
    <w:rsid w:val="6D26DAF9"/>
    <w:rsid w:val="6D6A3BB4"/>
    <w:rsid w:val="6DE770D5"/>
    <w:rsid w:val="6E258D31"/>
    <w:rsid w:val="6E3C82D5"/>
    <w:rsid w:val="6E6749E4"/>
    <w:rsid w:val="6E697351"/>
    <w:rsid w:val="6E82E19C"/>
    <w:rsid w:val="6EE5E2AD"/>
    <w:rsid w:val="6F162641"/>
    <w:rsid w:val="6F1AA5C7"/>
    <w:rsid w:val="6F2594AF"/>
    <w:rsid w:val="6F8C2BBA"/>
    <w:rsid w:val="6F9EF2EE"/>
    <w:rsid w:val="6FC6E1C3"/>
    <w:rsid w:val="6FCA5980"/>
    <w:rsid w:val="6FCAD306"/>
    <w:rsid w:val="700FEF41"/>
    <w:rsid w:val="70131E1A"/>
    <w:rsid w:val="707FA910"/>
    <w:rsid w:val="7097BD13"/>
    <w:rsid w:val="70A05B4E"/>
    <w:rsid w:val="70B4C6C0"/>
    <w:rsid w:val="70B6BEFA"/>
    <w:rsid w:val="70D88571"/>
    <w:rsid w:val="7114092C"/>
    <w:rsid w:val="7174F7DC"/>
    <w:rsid w:val="71E0F966"/>
    <w:rsid w:val="71F4228E"/>
    <w:rsid w:val="7207BD99"/>
    <w:rsid w:val="7236AB86"/>
    <w:rsid w:val="724D368A"/>
    <w:rsid w:val="729A9E8D"/>
    <w:rsid w:val="72E76EA0"/>
    <w:rsid w:val="72F341B4"/>
    <w:rsid w:val="7348EF32"/>
    <w:rsid w:val="73ADBC70"/>
    <w:rsid w:val="73C67E41"/>
    <w:rsid w:val="7433F688"/>
    <w:rsid w:val="7435F929"/>
    <w:rsid w:val="745A3E91"/>
    <w:rsid w:val="747EEED4"/>
    <w:rsid w:val="748332BC"/>
    <w:rsid w:val="74CBF55D"/>
    <w:rsid w:val="75407962"/>
    <w:rsid w:val="75413DC9"/>
    <w:rsid w:val="755326A8"/>
    <w:rsid w:val="755D8915"/>
    <w:rsid w:val="756824D4"/>
    <w:rsid w:val="756DFB21"/>
    <w:rsid w:val="75BB0A3E"/>
    <w:rsid w:val="763A6B7D"/>
    <w:rsid w:val="764E0C7D"/>
    <w:rsid w:val="7670F3A7"/>
    <w:rsid w:val="76A9195B"/>
    <w:rsid w:val="76BB38F4"/>
    <w:rsid w:val="76DF3467"/>
    <w:rsid w:val="76DF4A66"/>
    <w:rsid w:val="770DA2D1"/>
    <w:rsid w:val="779536C0"/>
    <w:rsid w:val="77F5B15C"/>
    <w:rsid w:val="78423795"/>
    <w:rsid w:val="7851B31B"/>
    <w:rsid w:val="786C5C4A"/>
    <w:rsid w:val="788252D9"/>
    <w:rsid w:val="789D0B9D"/>
    <w:rsid w:val="78E3BE09"/>
    <w:rsid w:val="78EC040F"/>
    <w:rsid w:val="78F23BC6"/>
    <w:rsid w:val="78F6DEF2"/>
    <w:rsid w:val="7903490B"/>
    <w:rsid w:val="796F8AD6"/>
    <w:rsid w:val="7977DA1A"/>
    <w:rsid w:val="797C5676"/>
    <w:rsid w:val="79E3898A"/>
    <w:rsid w:val="79FC1A81"/>
    <w:rsid w:val="7A5055B0"/>
    <w:rsid w:val="7A62145B"/>
    <w:rsid w:val="7A64CEC8"/>
    <w:rsid w:val="7A65C892"/>
    <w:rsid w:val="7A6C50F8"/>
    <w:rsid w:val="7A72F46F"/>
    <w:rsid w:val="7AD09EA0"/>
    <w:rsid w:val="7AD217FE"/>
    <w:rsid w:val="7AE6D807"/>
    <w:rsid w:val="7AFE7B1D"/>
    <w:rsid w:val="7B143F3A"/>
    <w:rsid w:val="7B167BC2"/>
    <w:rsid w:val="7B389368"/>
    <w:rsid w:val="7B512CFC"/>
    <w:rsid w:val="7BC8EA38"/>
    <w:rsid w:val="7C2734DB"/>
    <w:rsid w:val="7C480741"/>
    <w:rsid w:val="7C5D827C"/>
    <w:rsid w:val="7C866C60"/>
    <w:rsid w:val="7C99A14F"/>
    <w:rsid w:val="7CA7B315"/>
    <w:rsid w:val="7D19230B"/>
    <w:rsid w:val="7D3F46C2"/>
    <w:rsid w:val="7D53ABA0"/>
    <w:rsid w:val="7D7C14ED"/>
    <w:rsid w:val="7DA54848"/>
    <w:rsid w:val="7E39895C"/>
    <w:rsid w:val="7E8075C8"/>
    <w:rsid w:val="7E9609BD"/>
    <w:rsid w:val="7E9A0B93"/>
    <w:rsid w:val="7F24ECE1"/>
    <w:rsid w:val="7F259003"/>
    <w:rsid w:val="7F354121"/>
    <w:rsid w:val="7F54DDA3"/>
    <w:rsid w:val="7F9985F2"/>
    <w:rsid w:val="7FF42A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261FABD"/>
  <w15:docId w15:val="{58ACC00B-F1E7-4654-8FB7-1CD0232C5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cs-CZ"/>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1"/>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1"/>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1"/>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4">
    <w:name w:val="List Bullet 4"/>
    <w:basedOn w:val="Normal"/>
    <w:rsid w:val="00FA5543"/>
    <w:pPr>
      <w:numPr>
        <w:numId w:val="9"/>
      </w:numPr>
      <w:tabs>
        <w:tab w:val="num" w:pos="360"/>
      </w:tabs>
      <w:ind w:left="0" w:firstLine="0"/>
    </w:pPr>
    <w:rPr>
      <w:rFonts w:eastAsia="Times New Roman"/>
      <w:lang w:eastAsia="de-DE"/>
    </w:rPr>
  </w:style>
  <w:style w:type="paragraph" w:styleId="ListNumber">
    <w:name w:val="List Number"/>
    <w:basedOn w:val="Normal"/>
    <w:rsid w:val="00FA5543"/>
    <w:pPr>
      <w:numPr>
        <w:numId w:val="13"/>
      </w:numPr>
    </w:pPr>
    <w:rPr>
      <w:rFonts w:eastAsia="Times New Roman"/>
      <w:lang w:eastAsia="de-DE"/>
    </w:rPr>
  </w:style>
  <w:style w:type="paragraph" w:customStyle="1" w:styleId="ListBullet1">
    <w:name w:val="List Bullet 1"/>
    <w:basedOn w:val="Normal"/>
    <w:rsid w:val="00FA5543"/>
    <w:pPr>
      <w:numPr>
        <w:numId w:val="8"/>
      </w:numPr>
    </w:pPr>
    <w:rPr>
      <w:rFonts w:eastAsia="Times New Roman"/>
      <w:lang w:eastAsia="de-DE"/>
    </w:rPr>
  </w:style>
  <w:style w:type="paragraph" w:customStyle="1" w:styleId="ListDash">
    <w:name w:val="List Dash"/>
    <w:basedOn w:val="Normal"/>
    <w:rsid w:val="00FA5543"/>
    <w:pPr>
      <w:numPr>
        <w:numId w:val="10"/>
      </w:numPr>
    </w:pPr>
    <w:rPr>
      <w:rFonts w:eastAsia="Times New Roman"/>
      <w:lang w:eastAsia="de-DE"/>
    </w:rPr>
  </w:style>
  <w:style w:type="paragraph" w:customStyle="1" w:styleId="ListDash1">
    <w:name w:val="List Dash 1"/>
    <w:basedOn w:val="Normal"/>
    <w:rsid w:val="00FA5543"/>
    <w:pPr>
      <w:numPr>
        <w:numId w:val="11"/>
      </w:numPr>
    </w:pPr>
    <w:rPr>
      <w:rFonts w:eastAsia="Times New Roman"/>
      <w:lang w:eastAsia="de-DE"/>
    </w:rPr>
  </w:style>
  <w:style w:type="paragraph" w:customStyle="1" w:styleId="ListDash2">
    <w:name w:val="List Dash 2"/>
    <w:basedOn w:val="Normal"/>
    <w:rsid w:val="00FA5543"/>
    <w:pPr>
      <w:numPr>
        <w:numId w:val="12"/>
      </w:numPr>
    </w:pPr>
    <w:rPr>
      <w:rFonts w:eastAsia="Times New Roman"/>
      <w:lang w:eastAsia="de-DE"/>
    </w:rPr>
  </w:style>
  <w:style w:type="paragraph" w:customStyle="1" w:styleId="ListNumberLevel2">
    <w:name w:val="List Number (Level 2)"/>
    <w:basedOn w:val="Normal"/>
    <w:rsid w:val="00FA5543"/>
    <w:pPr>
      <w:numPr>
        <w:ilvl w:val="1"/>
        <w:numId w:val="13"/>
      </w:numPr>
    </w:pPr>
    <w:rPr>
      <w:rFonts w:eastAsia="Times New Roman"/>
      <w:lang w:eastAsia="de-DE"/>
    </w:rPr>
  </w:style>
  <w:style w:type="paragraph" w:customStyle="1" w:styleId="ListNumberLevel3">
    <w:name w:val="List Number (Level 3)"/>
    <w:basedOn w:val="Normal"/>
    <w:rsid w:val="00FA5543"/>
    <w:pPr>
      <w:numPr>
        <w:ilvl w:val="2"/>
        <w:numId w:val="13"/>
      </w:numPr>
    </w:pPr>
    <w:rPr>
      <w:rFonts w:eastAsia="Times New Roman"/>
      <w:lang w:eastAsia="de-DE"/>
    </w:rPr>
  </w:style>
  <w:style w:type="paragraph" w:customStyle="1" w:styleId="ListNumberLevel4">
    <w:name w:val="List Number (Level 4)"/>
    <w:basedOn w:val="Normal"/>
    <w:rsid w:val="00FA5543"/>
    <w:pPr>
      <w:numPr>
        <w:ilvl w:val="3"/>
        <w:numId w:val="13"/>
      </w:numPr>
    </w:pPr>
    <w:rPr>
      <w:rFonts w:eastAsia="Times New Roman"/>
      <w:lang w:eastAsia="de-DE"/>
    </w:rPr>
  </w:style>
  <w:style w:type="table" w:styleId="TableGrid">
    <w:name w:val="Table Grid"/>
    <w:basedOn w:val="TableNormal"/>
    <w:rsid w:val="00FA5543"/>
    <w:pPr>
      <w:spacing w:before="120" w:after="120" w:line="240" w:lineRule="auto"/>
      <w:jc w:val="both"/>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FA5543"/>
    <w:rPr>
      <w:color w:val="0000FF"/>
      <w:u w:val="single"/>
    </w:rPr>
  </w:style>
  <w:style w:type="paragraph" w:styleId="ListBullet">
    <w:name w:val="List Bullet"/>
    <w:basedOn w:val="Normal"/>
    <w:rsid w:val="00FA5543"/>
    <w:pPr>
      <w:numPr>
        <w:numId w:val="14"/>
      </w:numPr>
    </w:pPr>
    <w:rPr>
      <w:rFonts w:eastAsia="Times New Roman"/>
      <w:lang w:eastAsia="en-GB"/>
    </w:rPr>
  </w:style>
  <w:style w:type="paragraph" w:styleId="ListBullet2">
    <w:name w:val="List Bullet 2"/>
    <w:basedOn w:val="Normal"/>
    <w:rsid w:val="00FA5543"/>
    <w:pPr>
      <w:numPr>
        <w:numId w:val="15"/>
      </w:numPr>
    </w:pPr>
    <w:rPr>
      <w:rFonts w:eastAsia="Times New Roman"/>
      <w:lang w:eastAsia="en-GB"/>
    </w:rPr>
  </w:style>
  <w:style w:type="paragraph" w:styleId="ListBullet3">
    <w:name w:val="List Bullet 3"/>
    <w:basedOn w:val="Normal"/>
    <w:rsid w:val="00FA5543"/>
    <w:pPr>
      <w:numPr>
        <w:numId w:val="16"/>
      </w:numPr>
    </w:pPr>
    <w:rPr>
      <w:rFonts w:eastAsia="Times New Roman"/>
      <w:lang w:eastAsia="en-GB"/>
    </w:rPr>
  </w:style>
  <w:style w:type="paragraph" w:styleId="ListNumber2">
    <w:name w:val="List Number 2"/>
    <w:basedOn w:val="Normal"/>
    <w:rsid w:val="00FA5543"/>
    <w:pPr>
      <w:numPr>
        <w:numId w:val="20"/>
      </w:numPr>
    </w:pPr>
    <w:rPr>
      <w:rFonts w:eastAsia="Times New Roman"/>
      <w:lang w:eastAsia="en-GB"/>
    </w:rPr>
  </w:style>
  <w:style w:type="paragraph" w:styleId="ListNumber3">
    <w:name w:val="List Number 3"/>
    <w:basedOn w:val="Normal"/>
    <w:rsid w:val="00FA5543"/>
    <w:pPr>
      <w:numPr>
        <w:numId w:val="21"/>
      </w:numPr>
    </w:pPr>
    <w:rPr>
      <w:rFonts w:eastAsia="Times New Roman"/>
      <w:lang w:eastAsia="en-GB"/>
    </w:rPr>
  </w:style>
  <w:style w:type="paragraph" w:styleId="ListNumber4">
    <w:name w:val="List Number 4"/>
    <w:basedOn w:val="Normal"/>
    <w:rsid w:val="00FA5543"/>
    <w:pPr>
      <w:numPr>
        <w:numId w:val="22"/>
      </w:numPr>
    </w:pPr>
    <w:rPr>
      <w:rFonts w:eastAsia="Times New Roman"/>
      <w:lang w:eastAsia="en-GB"/>
    </w:rPr>
  </w:style>
  <w:style w:type="paragraph" w:customStyle="1" w:styleId="ListDash3">
    <w:name w:val="List Dash 3"/>
    <w:basedOn w:val="Normal"/>
    <w:rsid w:val="00FA5543"/>
    <w:pPr>
      <w:numPr>
        <w:numId w:val="17"/>
      </w:numPr>
    </w:pPr>
    <w:rPr>
      <w:rFonts w:eastAsia="Times New Roman"/>
      <w:lang w:eastAsia="en-GB"/>
    </w:rPr>
  </w:style>
  <w:style w:type="paragraph" w:customStyle="1" w:styleId="ListDash4">
    <w:name w:val="List Dash 4"/>
    <w:basedOn w:val="Normal"/>
    <w:rsid w:val="00FA5543"/>
    <w:pPr>
      <w:numPr>
        <w:numId w:val="18"/>
      </w:numPr>
    </w:pPr>
    <w:rPr>
      <w:rFonts w:eastAsia="Times New Roman"/>
      <w:lang w:eastAsia="en-GB"/>
    </w:rPr>
  </w:style>
  <w:style w:type="paragraph" w:customStyle="1" w:styleId="ListNumber1">
    <w:name w:val="List Number 1"/>
    <w:basedOn w:val="Text1"/>
    <w:rsid w:val="00FA5543"/>
    <w:pPr>
      <w:numPr>
        <w:numId w:val="19"/>
      </w:numPr>
    </w:pPr>
    <w:rPr>
      <w:rFonts w:eastAsia="Times New Roman"/>
      <w:lang w:eastAsia="en-GB"/>
    </w:rPr>
  </w:style>
  <w:style w:type="paragraph" w:customStyle="1" w:styleId="ListNumber1Level2">
    <w:name w:val="List Number 1 (Level 2)"/>
    <w:basedOn w:val="Text1"/>
    <w:rsid w:val="00FA5543"/>
    <w:pPr>
      <w:numPr>
        <w:ilvl w:val="1"/>
        <w:numId w:val="19"/>
      </w:numPr>
    </w:pPr>
    <w:rPr>
      <w:rFonts w:eastAsia="Times New Roman"/>
      <w:lang w:eastAsia="en-GB"/>
    </w:rPr>
  </w:style>
  <w:style w:type="paragraph" w:customStyle="1" w:styleId="ListNumber2Level2">
    <w:name w:val="List Number 2 (Level 2)"/>
    <w:basedOn w:val="Text2"/>
    <w:rsid w:val="00FA5543"/>
    <w:pPr>
      <w:numPr>
        <w:ilvl w:val="1"/>
        <w:numId w:val="20"/>
      </w:numPr>
    </w:pPr>
    <w:rPr>
      <w:rFonts w:eastAsia="Times New Roman"/>
      <w:lang w:eastAsia="en-GB"/>
    </w:rPr>
  </w:style>
  <w:style w:type="paragraph" w:customStyle="1" w:styleId="ListNumber3Level2">
    <w:name w:val="List Number 3 (Level 2)"/>
    <w:basedOn w:val="Text3"/>
    <w:rsid w:val="00FA5543"/>
    <w:pPr>
      <w:numPr>
        <w:ilvl w:val="1"/>
        <w:numId w:val="21"/>
      </w:numPr>
    </w:pPr>
    <w:rPr>
      <w:rFonts w:eastAsia="Times New Roman"/>
      <w:lang w:eastAsia="en-GB"/>
    </w:rPr>
  </w:style>
  <w:style w:type="paragraph" w:customStyle="1" w:styleId="ListNumber4Level2">
    <w:name w:val="List Number 4 (Level 2)"/>
    <w:basedOn w:val="Text4"/>
    <w:rsid w:val="00FA5543"/>
    <w:pPr>
      <w:numPr>
        <w:ilvl w:val="1"/>
        <w:numId w:val="22"/>
      </w:numPr>
    </w:pPr>
    <w:rPr>
      <w:rFonts w:eastAsia="Times New Roman"/>
      <w:lang w:eastAsia="en-GB"/>
    </w:rPr>
  </w:style>
  <w:style w:type="paragraph" w:customStyle="1" w:styleId="ListNumber1Level3">
    <w:name w:val="List Number 1 (Level 3)"/>
    <w:basedOn w:val="Text1"/>
    <w:rsid w:val="00FA5543"/>
    <w:pPr>
      <w:numPr>
        <w:ilvl w:val="2"/>
        <w:numId w:val="19"/>
      </w:numPr>
    </w:pPr>
    <w:rPr>
      <w:rFonts w:eastAsia="Times New Roman"/>
      <w:lang w:eastAsia="en-GB"/>
    </w:rPr>
  </w:style>
  <w:style w:type="paragraph" w:customStyle="1" w:styleId="ListNumber2Level3">
    <w:name w:val="List Number 2 (Level 3)"/>
    <w:basedOn w:val="Text2"/>
    <w:rsid w:val="00FA5543"/>
    <w:pPr>
      <w:numPr>
        <w:ilvl w:val="2"/>
        <w:numId w:val="20"/>
      </w:numPr>
    </w:pPr>
    <w:rPr>
      <w:rFonts w:eastAsia="Times New Roman"/>
      <w:lang w:eastAsia="en-GB"/>
    </w:rPr>
  </w:style>
  <w:style w:type="paragraph" w:customStyle="1" w:styleId="ListNumber3Level3">
    <w:name w:val="List Number 3 (Level 3)"/>
    <w:basedOn w:val="Text3"/>
    <w:rsid w:val="00FA5543"/>
    <w:pPr>
      <w:numPr>
        <w:ilvl w:val="2"/>
        <w:numId w:val="21"/>
      </w:numPr>
    </w:pPr>
    <w:rPr>
      <w:rFonts w:eastAsia="Times New Roman"/>
      <w:lang w:eastAsia="en-GB"/>
    </w:rPr>
  </w:style>
  <w:style w:type="paragraph" w:customStyle="1" w:styleId="ListNumber4Level3">
    <w:name w:val="List Number 4 (Level 3)"/>
    <w:basedOn w:val="Text4"/>
    <w:rsid w:val="00FA5543"/>
    <w:pPr>
      <w:numPr>
        <w:ilvl w:val="2"/>
        <w:numId w:val="22"/>
      </w:numPr>
    </w:pPr>
    <w:rPr>
      <w:rFonts w:eastAsia="Times New Roman"/>
      <w:lang w:eastAsia="en-GB"/>
    </w:rPr>
  </w:style>
  <w:style w:type="paragraph" w:customStyle="1" w:styleId="ListNumber1Level4">
    <w:name w:val="List Number 1 (Level 4)"/>
    <w:basedOn w:val="Text1"/>
    <w:rsid w:val="00FA5543"/>
    <w:pPr>
      <w:numPr>
        <w:ilvl w:val="3"/>
        <w:numId w:val="19"/>
      </w:numPr>
    </w:pPr>
    <w:rPr>
      <w:rFonts w:eastAsia="Times New Roman"/>
      <w:lang w:eastAsia="en-GB"/>
    </w:rPr>
  </w:style>
  <w:style w:type="paragraph" w:customStyle="1" w:styleId="ListNumber2Level4">
    <w:name w:val="List Number 2 (Level 4)"/>
    <w:basedOn w:val="Text2"/>
    <w:rsid w:val="00FA5543"/>
    <w:pPr>
      <w:numPr>
        <w:ilvl w:val="3"/>
        <w:numId w:val="20"/>
      </w:numPr>
    </w:pPr>
    <w:rPr>
      <w:rFonts w:eastAsia="Times New Roman"/>
      <w:lang w:eastAsia="en-GB"/>
    </w:rPr>
  </w:style>
  <w:style w:type="paragraph" w:customStyle="1" w:styleId="ListNumber3Level4">
    <w:name w:val="List Number 3 (Level 4)"/>
    <w:basedOn w:val="Text3"/>
    <w:rsid w:val="00FA5543"/>
    <w:pPr>
      <w:numPr>
        <w:ilvl w:val="3"/>
        <w:numId w:val="21"/>
      </w:numPr>
    </w:pPr>
    <w:rPr>
      <w:rFonts w:eastAsia="Times New Roman"/>
      <w:lang w:eastAsia="en-GB"/>
    </w:rPr>
  </w:style>
  <w:style w:type="paragraph" w:customStyle="1" w:styleId="ListNumber4Level4">
    <w:name w:val="List Number 4 (Level 4)"/>
    <w:basedOn w:val="Text4"/>
    <w:rsid w:val="00FA5543"/>
    <w:pPr>
      <w:numPr>
        <w:ilvl w:val="3"/>
        <w:numId w:val="22"/>
      </w:numPr>
    </w:pPr>
    <w:rPr>
      <w:rFonts w:eastAsia="Times New Roman"/>
      <w:lang w:eastAsia="en-GB"/>
    </w:rPr>
  </w:style>
  <w:style w:type="paragraph" w:customStyle="1" w:styleId="Annexetitreacte">
    <w:name w:val="Annexe titre (acte)"/>
    <w:basedOn w:val="Normal"/>
    <w:next w:val="Normal"/>
    <w:rsid w:val="00FA5543"/>
    <w:pPr>
      <w:jc w:val="center"/>
    </w:pPr>
    <w:rPr>
      <w:rFonts w:eastAsia="Times New Roman"/>
      <w:b/>
      <w:u w:val="single"/>
      <w:lang w:eastAsia="en-GB"/>
    </w:rPr>
  </w:style>
  <w:style w:type="paragraph" w:customStyle="1" w:styleId="Annexetitreexposglobal">
    <w:name w:val="Annexe titre (exposé global)"/>
    <w:basedOn w:val="Normal"/>
    <w:next w:val="Normal"/>
    <w:rsid w:val="00FA5543"/>
    <w:pPr>
      <w:jc w:val="center"/>
    </w:pPr>
    <w:rPr>
      <w:rFonts w:eastAsia="Times New Roman"/>
      <w:b/>
      <w:u w:val="single"/>
      <w:lang w:eastAsia="en-GB"/>
    </w:rPr>
  </w:style>
  <w:style w:type="paragraph" w:customStyle="1" w:styleId="Annexetitrefichefinacte">
    <w:name w:val="Annexe titre (fiche fin. acte)"/>
    <w:basedOn w:val="Normal"/>
    <w:next w:val="Normal"/>
    <w:rsid w:val="00FA5543"/>
    <w:pPr>
      <w:jc w:val="center"/>
    </w:pPr>
    <w:rPr>
      <w:rFonts w:eastAsia="Times New Roman"/>
      <w:b/>
      <w:u w:val="single"/>
      <w:lang w:eastAsia="en-GB"/>
    </w:rPr>
  </w:style>
  <w:style w:type="paragraph" w:customStyle="1" w:styleId="Annexetitrefichefinglobale">
    <w:name w:val="Annexe titre (fiche fin. globale)"/>
    <w:basedOn w:val="Normal"/>
    <w:next w:val="Normal"/>
    <w:rsid w:val="00FA5543"/>
    <w:pPr>
      <w:jc w:val="center"/>
    </w:pPr>
    <w:rPr>
      <w:rFonts w:eastAsia="Times New Roman"/>
      <w:b/>
      <w:u w:val="single"/>
      <w:lang w:eastAsia="en-GB"/>
    </w:rPr>
  </w:style>
  <w:style w:type="paragraph" w:customStyle="1" w:styleId="Annexetitreglobale">
    <w:name w:val="Annexe titre (globale)"/>
    <w:basedOn w:val="Normal"/>
    <w:next w:val="Normal"/>
    <w:rsid w:val="00FA5543"/>
    <w:pPr>
      <w:jc w:val="center"/>
    </w:pPr>
    <w:rPr>
      <w:rFonts w:eastAsia="Times New Roman"/>
      <w:b/>
      <w:u w:val="single"/>
      <w:lang w:eastAsia="en-GB"/>
    </w:rPr>
  </w:style>
  <w:style w:type="paragraph" w:customStyle="1" w:styleId="Exposdesmotifstitreglobal">
    <w:name w:val="Exposé des motifs titre (global)"/>
    <w:basedOn w:val="Normal"/>
    <w:next w:val="Normal"/>
    <w:rsid w:val="00FA5543"/>
    <w:pPr>
      <w:jc w:val="center"/>
    </w:pPr>
    <w:rPr>
      <w:rFonts w:eastAsia="Times New Roman"/>
      <w:b/>
      <w:u w:val="single"/>
      <w:lang w:eastAsia="en-GB"/>
    </w:rPr>
  </w:style>
  <w:style w:type="paragraph" w:customStyle="1" w:styleId="Langueoriginale">
    <w:name w:val="Langue originale"/>
    <w:basedOn w:val="Normal"/>
    <w:rsid w:val="00FA5543"/>
    <w:pPr>
      <w:spacing w:before="360"/>
      <w:jc w:val="center"/>
    </w:pPr>
    <w:rPr>
      <w:rFonts w:eastAsia="Times New Roman"/>
      <w:caps/>
      <w:lang w:eastAsia="en-GB"/>
    </w:rPr>
  </w:style>
  <w:style w:type="paragraph" w:customStyle="1" w:styleId="Phrasefinale">
    <w:name w:val="Phrase finale"/>
    <w:basedOn w:val="Normal"/>
    <w:next w:val="Normal"/>
    <w:rsid w:val="00FA5543"/>
    <w:pPr>
      <w:spacing w:before="360" w:after="0"/>
      <w:jc w:val="center"/>
    </w:pPr>
    <w:rPr>
      <w:rFonts w:eastAsia="Times New Roman"/>
      <w:lang w:eastAsia="en-GB"/>
    </w:rPr>
  </w:style>
  <w:style w:type="paragraph" w:customStyle="1" w:styleId="Prliminairetitre">
    <w:name w:val="Préliminaire titre"/>
    <w:basedOn w:val="Normal"/>
    <w:next w:val="Normal"/>
    <w:rsid w:val="00FA5543"/>
    <w:pPr>
      <w:spacing w:before="360" w:after="360"/>
      <w:jc w:val="center"/>
    </w:pPr>
    <w:rPr>
      <w:rFonts w:eastAsia="Times New Roman"/>
      <w:b/>
      <w:lang w:eastAsia="en-GB"/>
    </w:rPr>
  </w:style>
  <w:style w:type="paragraph" w:customStyle="1" w:styleId="Prliminairetype">
    <w:name w:val="Préliminaire type"/>
    <w:basedOn w:val="Normal"/>
    <w:next w:val="Normal"/>
    <w:rsid w:val="00FA5543"/>
    <w:pPr>
      <w:spacing w:before="360" w:after="0"/>
      <w:jc w:val="center"/>
    </w:pPr>
    <w:rPr>
      <w:rFonts w:eastAsia="Times New Roman"/>
      <w:b/>
      <w:lang w:eastAsia="en-GB"/>
    </w:rPr>
  </w:style>
  <w:style w:type="paragraph" w:customStyle="1" w:styleId="Rfrenceinstitutionelle">
    <w:name w:val="Référence institutionelle"/>
    <w:basedOn w:val="Normal"/>
    <w:next w:val="Statut"/>
    <w:rsid w:val="00FA5543"/>
    <w:pPr>
      <w:spacing w:before="0" w:after="240"/>
      <w:ind w:left="5103"/>
      <w:jc w:val="left"/>
    </w:pPr>
    <w:rPr>
      <w:rFonts w:eastAsia="Times New Roman"/>
      <w:lang w:eastAsia="en-GB"/>
    </w:rPr>
  </w:style>
  <w:style w:type="paragraph" w:customStyle="1" w:styleId="Rfrenceinterinstitutionelle">
    <w:name w:val="Référence interinstitutionelle"/>
    <w:basedOn w:val="Normal"/>
    <w:next w:val="Statut"/>
    <w:rsid w:val="00FA5543"/>
    <w:pPr>
      <w:spacing w:before="0" w:after="0"/>
      <w:ind w:left="5103"/>
      <w:jc w:val="left"/>
    </w:pPr>
    <w:rPr>
      <w:rFonts w:eastAsia="Times New Roman"/>
      <w:lang w:eastAsia="en-GB"/>
    </w:rPr>
  </w:style>
  <w:style w:type="paragraph" w:customStyle="1" w:styleId="Rfrenceinterinstitutionelleprliminaire">
    <w:name w:val="Référence interinstitutionelle (préliminaire)"/>
    <w:basedOn w:val="Normal"/>
    <w:next w:val="Normal"/>
    <w:rsid w:val="00FA5543"/>
    <w:pPr>
      <w:spacing w:before="0" w:after="0"/>
      <w:ind w:left="5103"/>
      <w:jc w:val="left"/>
    </w:pPr>
    <w:rPr>
      <w:rFonts w:eastAsia="Times New Roman"/>
      <w:lang w:eastAsia="en-GB"/>
    </w:rPr>
  </w:style>
  <w:style w:type="paragraph" w:customStyle="1" w:styleId="Sous-titreobjetprliminaire">
    <w:name w:val="Sous-titre objet (préliminaire)"/>
    <w:basedOn w:val="Normal"/>
    <w:rsid w:val="00FA5543"/>
    <w:pPr>
      <w:spacing w:before="0" w:after="0"/>
      <w:jc w:val="center"/>
    </w:pPr>
    <w:rPr>
      <w:rFonts w:eastAsia="Times New Roman"/>
      <w:b/>
      <w:lang w:eastAsia="en-GB"/>
    </w:rPr>
  </w:style>
  <w:style w:type="paragraph" w:customStyle="1" w:styleId="Statutprliminaire">
    <w:name w:val="Statut (préliminaire)"/>
    <w:basedOn w:val="Normal"/>
    <w:next w:val="Normal"/>
    <w:rsid w:val="00FA5543"/>
    <w:pPr>
      <w:spacing w:before="360" w:after="0"/>
      <w:jc w:val="center"/>
    </w:pPr>
    <w:rPr>
      <w:rFonts w:eastAsia="Times New Roman"/>
      <w:lang w:eastAsia="en-GB"/>
    </w:rPr>
  </w:style>
  <w:style w:type="paragraph" w:customStyle="1" w:styleId="Titreobjetprliminaire">
    <w:name w:val="Titre objet (préliminaire)"/>
    <w:basedOn w:val="Normal"/>
    <w:next w:val="Normal"/>
    <w:rsid w:val="00FA5543"/>
    <w:pPr>
      <w:spacing w:before="360" w:after="360"/>
      <w:jc w:val="center"/>
    </w:pPr>
    <w:rPr>
      <w:rFonts w:eastAsia="Times New Roman"/>
      <w:b/>
      <w:lang w:eastAsia="en-GB"/>
    </w:rPr>
  </w:style>
  <w:style w:type="paragraph" w:customStyle="1" w:styleId="Typedudocumentprliminaire">
    <w:name w:val="Type du document (préliminaire)"/>
    <w:basedOn w:val="Normal"/>
    <w:next w:val="Normal"/>
    <w:rsid w:val="00FA5543"/>
    <w:pPr>
      <w:spacing w:before="360" w:after="0"/>
      <w:jc w:val="center"/>
    </w:pPr>
    <w:rPr>
      <w:rFonts w:eastAsia="Times New Roman"/>
      <w:b/>
      <w:lang w:eastAsia="en-GB"/>
    </w:rPr>
  </w:style>
  <w:style w:type="paragraph" w:customStyle="1" w:styleId="Fichefinancirestandardtitre">
    <w:name w:val="Fiche financière (standard) titre"/>
    <w:basedOn w:val="Normal"/>
    <w:next w:val="Normal"/>
    <w:rsid w:val="00FA5543"/>
    <w:pPr>
      <w:jc w:val="center"/>
    </w:pPr>
    <w:rPr>
      <w:rFonts w:eastAsia="Times New Roman"/>
      <w:b/>
      <w:u w:val="single"/>
      <w:lang w:eastAsia="en-GB"/>
    </w:rPr>
  </w:style>
  <w:style w:type="paragraph" w:customStyle="1" w:styleId="Fichefinancirestandardtitreacte">
    <w:name w:val="Fiche financière (standard) titre (acte)"/>
    <w:basedOn w:val="Normal"/>
    <w:next w:val="Normal"/>
    <w:rsid w:val="00FA5543"/>
    <w:pPr>
      <w:jc w:val="center"/>
    </w:pPr>
    <w:rPr>
      <w:rFonts w:eastAsia="Times New Roman"/>
      <w:b/>
      <w:u w:val="single"/>
      <w:lang w:eastAsia="en-GB"/>
    </w:rPr>
  </w:style>
  <w:style w:type="paragraph" w:customStyle="1" w:styleId="Fichefinanciretravailtitre">
    <w:name w:val="Fiche financière (travail) titre"/>
    <w:basedOn w:val="Normal"/>
    <w:next w:val="Normal"/>
    <w:rsid w:val="00FA5543"/>
    <w:pPr>
      <w:jc w:val="center"/>
    </w:pPr>
    <w:rPr>
      <w:rFonts w:eastAsia="Times New Roman"/>
      <w:b/>
      <w:u w:val="single"/>
      <w:lang w:eastAsia="en-GB"/>
    </w:rPr>
  </w:style>
  <w:style w:type="paragraph" w:customStyle="1" w:styleId="Fichefinanciretravailtitreacte">
    <w:name w:val="Fiche financière (travail) titre (acte)"/>
    <w:basedOn w:val="Normal"/>
    <w:next w:val="Normal"/>
    <w:rsid w:val="00FA5543"/>
    <w:pPr>
      <w:jc w:val="center"/>
    </w:pPr>
    <w:rPr>
      <w:rFonts w:eastAsia="Times New Roman"/>
      <w:b/>
      <w:u w:val="single"/>
      <w:lang w:eastAsia="en-GB"/>
    </w:rPr>
  </w:style>
  <w:style w:type="paragraph" w:customStyle="1" w:styleId="Fichefinancireattributiontitre">
    <w:name w:val="Fiche financière (attribution) titre"/>
    <w:basedOn w:val="Normal"/>
    <w:next w:val="Normal"/>
    <w:rsid w:val="00FA5543"/>
    <w:pPr>
      <w:jc w:val="center"/>
    </w:pPr>
    <w:rPr>
      <w:rFonts w:eastAsia="Times New Roman"/>
      <w:b/>
      <w:u w:val="single"/>
      <w:lang w:eastAsia="en-GB"/>
    </w:rPr>
  </w:style>
  <w:style w:type="paragraph" w:customStyle="1" w:styleId="Fichefinancireattributiontitreacte">
    <w:name w:val="Fiche financière (attribution) titre (acte)"/>
    <w:basedOn w:val="Normal"/>
    <w:next w:val="Normal"/>
    <w:rsid w:val="00FA5543"/>
    <w:pPr>
      <w:jc w:val="center"/>
    </w:pPr>
    <w:rPr>
      <w:rFonts w:eastAsia="Times New Roman"/>
      <w:b/>
      <w:u w:val="single"/>
      <w:lang w:eastAsia="en-GB"/>
    </w:rPr>
  </w:style>
  <w:style w:type="character" w:styleId="CommentReference">
    <w:name w:val="annotation reference"/>
    <w:uiPriority w:val="99"/>
    <w:rsid w:val="00FA5543"/>
    <w:rPr>
      <w:rFonts w:cs="Times New Roman"/>
      <w:sz w:val="16"/>
      <w:szCs w:val="16"/>
    </w:rPr>
  </w:style>
  <w:style w:type="paragraph" w:styleId="CommentText">
    <w:name w:val="annotation text"/>
    <w:basedOn w:val="Normal"/>
    <w:link w:val="CommentTextChar"/>
    <w:uiPriority w:val="99"/>
    <w:rsid w:val="00FA5543"/>
    <w:rPr>
      <w:rFonts w:eastAsia="Times New Roman"/>
      <w:sz w:val="20"/>
      <w:szCs w:val="20"/>
      <w:lang w:eastAsia="en-GB"/>
    </w:rPr>
  </w:style>
  <w:style w:type="character" w:customStyle="1" w:styleId="CommentTextChar">
    <w:name w:val="Comment Text Char"/>
    <w:basedOn w:val="DefaultParagraphFont"/>
    <w:link w:val="CommentText"/>
    <w:uiPriority w:val="99"/>
    <w:rsid w:val="00FA5543"/>
    <w:rPr>
      <w:rFonts w:ascii="Times New Roman" w:eastAsia="Times New Roman" w:hAnsi="Times New Roman" w:cs="Times New Roman"/>
      <w:sz w:val="20"/>
      <w:szCs w:val="20"/>
      <w:lang w:val="cs-CZ" w:eastAsia="en-GB"/>
    </w:rPr>
  </w:style>
  <w:style w:type="paragraph" w:styleId="CommentSubject">
    <w:name w:val="annotation subject"/>
    <w:basedOn w:val="CommentText"/>
    <w:next w:val="CommentText"/>
    <w:link w:val="CommentSubjectChar"/>
    <w:rsid w:val="00FA5543"/>
    <w:rPr>
      <w:b/>
      <w:bCs/>
    </w:rPr>
  </w:style>
  <w:style w:type="character" w:customStyle="1" w:styleId="CommentSubjectChar">
    <w:name w:val="Comment Subject Char"/>
    <w:basedOn w:val="CommentTextChar"/>
    <w:link w:val="CommentSubject"/>
    <w:rsid w:val="00FA5543"/>
    <w:rPr>
      <w:rFonts w:ascii="Times New Roman" w:eastAsia="Times New Roman" w:hAnsi="Times New Roman" w:cs="Times New Roman"/>
      <w:b/>
      <w:bCs/>
      <w:sz w:val="20"/>
      <w:szCs w:val="20"/>
      <w:lang w:val="cs-CZ" w:eastAsia="en-GB"/>
    </w:rPr>
  </w:style>
  <w:style w:type="paragraph" w:styleId="BalloonText">
    <w:name w:val="Balloon Text"/>
    <w:basedOn w:val="Normal"/>
    <w:link w:val="BalloonTextChar"/>
    <w:rsid w:val="00FA5543"/>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FA5543"/>
    <w:rPr>
      <w:rFonts w:ascii="Tahoma" w:eastAsia="Times New Roman" w:hAnsi="Tahoma" w:cs="Tahoma"/>
      <w:sz w:val="16"/>
      <w:szCs w:val="16"/>
      <w:lang w:val="cs-CZ" w:eastAsia="en-GB"/>
    </w:rPr>
  </w:style>
  <w:style w:type="paragraph" w:styleId="Caption">
    <w:name w:val="caption"/>
    <w:basedOn w:val="Normal"/>
    <w:next w:val="Normal"/>
    <w:uiPriority w:val="35"/>
    <w:qFormat/>
    <w:rsid w:val="00FA5543"/>
    <w:rPr>
      <w:rFonts w:eastAsia="Times New Roman"/>
      <w:b/>
      <w:bCs/>
      <w:sz w:val="20"/>
      <w:szCs w:val="20"/>
      <w:lang w:eastAsia="en-GB"/>
    </w:rPr>
  </w:style>
  <w:style w:type="paragraph" w:styleId="TableofFigures">
    <w:name w:val="table of figures"/>
    <w:basedOn w:val="Normal"/>
    <w:next w:val="Normal"/>
    <w:rsid w:val="00FA5543"/>
    <w:rPr>
      <w:rFonts w:eastAsia="Times New Roman"/>
      <w:lang w:eastAsia="en-GB"/>
    </w:rPr>
  </w:style>
  <w:style w:type="character" w:styleId="PageNumber">
    <w:name w:val="page number"/>
    <w:rsid w:val="00FA5543"/>
  </w:style>
  <w:style w:type="character" w:customStyle="1" w:styleId="tw4winMark">
    <w:name w:val="tw4winMark"/>
    <w:rsid w:val="00FA5543"/>
    <w:rPr>
      <w:vanish/>
      <w:color w:val="800080"/>
      <w:vertAlign w:val="subscript"/>
    </w:rPr>
  </w:style>
  <w:style w:type="character" w:styleId="FollowedHyperlink">
    <w:name w:val="FollowedHyperlink"/>
    <w:rsid w:val="00FA5543"/>
    <w:rPr>
      <w:color w:val="800080"/>
      <w:u w:val="single"/>
    </w:rPr>
  </w:style>
  <w:style w:type="paragraph" w:customStyle="1" w:styleId="Sous-titreobjet">
    <w:name w:val="Sous-titre objet"/>
    <w:basedOn w:val="Normal"/>
    <w:rsid w:val="00FA5543"/>
    <w:pPr>
      <w:spacing w:before="0" w:after="0"/>
      <w:jc w:val="center"/>
    </w:pPr>
    <w:rPr>
      <w:rFonts w:eastAsia="Times New Roman"/>
      <w:b/>
      <w:lang w:eastAsia="en-GB"/>
    </w:rPr>
  </w:style>
  <w:style w:type="paragraph" w:customStyle="1" w:styleId="Sous-titreobjetPagedecouverture">
    <w:name w:val="Sous-titre objet (Page de couverture)"/>
    <w:basedOn w:val="Sous-titreobjet"/>
    <w:rsid w:val="00FA5543"/>
  </w:style>
  <w:style w:type="paragraph" w:styleId="Revision">
    <w:name w:val="Revision"/>
    <w:hidden/>
    <w:uiPriority w:val="99"/>
    <w:semiHidden/>
    <w:rsid w:val="00FA5543"/>
    <w:rPr>
      <w:rFonts w:ascii="Calibri" w:eastAsia="Calibri" w:hAnsi="Calibri" w:cs="Times New Roman"/>
      <w:sz w:val="24"/>
      <w:lang w:eastAsia="en-GB"/>
    </w:rPr>
  </w:style>
  <w:style w:type="paragraph" w:customStyle="1" w:styleId="FooterCoverPage">
    <w:name w:val="Footer Cover Page"/>
    <w:basedOn w:val="Normal"/>
    <w:link w:val="FooterCoverPageChar"/>
    <w:rsid w:val="00FA5543"/>
    <w:pPr>
      <w:tabs>
        <w:tab w:val="center" w:pos="4535"/>
        <w:tab w:val="right" w:pos="9071"/>
        <w:tab w:val="right" w:pos="9921"/>
      </w:tabs>
      <w:spacing w:before="360" w:after="0"/>
      <w:ind w:left="-850" w:right="-850"/>
      <w:jc w:val="left"/>
    </w:pPr>
    <w:rPr>
      <w:rFonts w:eastAsia="Calibri"/>
      <w:lang w:eastAsia="en-GB"/>
    </w:rPr>
  </w:style>
  <w:style w:type="character" w:customStyle="1" w:styleId="TOCHeadingChar">
    <w:name w:val="TOC Heading Char"/>
    <w:uiPriority w:val="39"/>
    <w:rsid w:val="00FA5543"/>
    <w:rPr>
      <w:rFonts w:ascii="Times New Roman" w:hAnsi="Times New Roman" w:cs="Times New Roman"/>
      <w:b/>
      <w:sz w:val="28"/>
      <w:lang w:val="cs-CZ"/>
    </w:rPr>
  </w:style>
  <w:style w:type="character" w:customStyle="1" w:styleId="FooterCoverPageChar">
    <w:name w:val="Footer Cover Page Char"/>
    <w:link w:val="FooterCoverPage"/>
    <w:rsid w:val="00FA5543"/>
    <w:rPr>
      <w:rFonts w:ascii="Times New Roman" w:eastAsia="Calibri" w:hAnsi="Times New Roman" w:cs="Times New Roman"/>
      <w:sz w:val="24"/>
      <w:lang w:val="cs-CZ" w:eastAsia="en-GB"/>
    </w:rPr>
  </w:style>
  <w:style w:type="paragraph" w:customStyle="1" w:styleId="HeaderCoverPage">
    <w:name w:val="Header Cover Page"/>
    <w:basedOn w:val="Normal"/>
    <w:link w:val="HeaderCoverPageChar"/>
    <w:rsid w:val="00FA5543"/>
    <w:pPr>
      <w:tabs>
        <w:tab w:val="center" w:pos="4535"/>
        <w:tab w:val="right" w:pos="9071"/>
      </w:tabs>
      <w:spacing w:before="0"/>
    </w:pPr>
    <w:rPr>
      <w:rFonts w:eastAsia="Calibri"/>
      <w:lang w:eastAsia="en-GB"/>
    </w:rPr>
  </w:style>
  <w:style w:type="character" w:customStyle="1" w:styleId="HeaderCoverPageChar">
    <w:name w:val="Header Cover Page Char"/>
    <w:link w:val="HeaderCoverPage"/>
    <w:rsid w:val="00FA5543"/>
    <w:rPr>
      <w:rFonts w:ascii="Times New Roman" w:eastAsia="Calibri" w:hAnsi="Times New Roman" w:cs="Times New Roman"/>
      <w:sz w:val="24"/>
      <w:lang w:val="cs-CZ" w:eastAsia="en-GB"/>
    </w:rPr>
  </w:style>
  <w:style w:type="character" w:customStyle="1" w:styleId="FooterSensitivityChar">
    <w:name w:val="Footer Sensitivity Char"/>
    <w:rsid w:val="00FA5543"/>
    <w:rPr>
      <w:rFonts w:ascii="Times New Roman" w:hAnsi="Times New Roman" w:cs="Times New Roman"/>
      <w:b/>
      <w:sz w:val="32"/>
      <w:lang w:val="cs-CZ"/>
    </w:rPr>
  </w:style>
  <w:style w:type="character" w:customStyle="1" w:styleId="HeaderSensitivityChar">
    <w:name w:val="Header Sensitivity Char"/>
    <w:rsid w:val="00FA5543"/>
    <w:rPr>
      <w:rFonts w:ascii="Times New Roman" w:hAnsi="Times New Roman" w:cs="Times New Roman"/>
      <w:b/>
      <w:sz w:val="32"/>
      <w:lang w:val="cs-CZ"/>
    </w:rPr>
  </w:style>
  <w:style w:type="character" w:customStyle="1" w:styleId="HeaderSensitivityRightChar">
    <w:name w:val="Header Sensitivity Right Char"/>
    <w:rsid w:val="00FA5543"/>
    <w:rPr>
      <w:rFonts w:ascii="Times New Roman" w:hAnsi="Times New Roman" w:cs="Times New Roman"/>
      <w:sz w:val="28"/>
      <w:lang w:val="cs-CZ"/>
    </w:rPr>
  </w:style>
  <w:style w:type="paragraph" w:customStyle="1" w:styleId="LegalNumPar">
    <w:name w:val="LegalNumPar"/>
    <w:basedOn w:val="Normal"/>
    <w:rsid w:val="00FA5543"/>
    <w:pPr>
      <w:numPr>
        <w:numId w:val="23"/>
      </w:numPr>
      <w:spacing w:line="360" w:lineRule="auto"/>
    </w:pPr>
    <w:rPr>
      <w:rFonts w:eastAsia="Times New Roman"/>
      <w:lang w:eastAsia="en-GB"/>
    </w:rPr>
  </w:style>
  <w:style w:type="paragraph" w:customStyle="1" w:styleId="LegalNumPar2">
    <w:name w:val="LegalNumPar2"/>
    <w:basedOn w:val="Normal"/>
    <w:rsid w:val="00FA5543"/>
    <w:pPr>
      <w:numPr>
        <w:ilvl w:val="1"/>
        <w:numId w:val="23"/>
      </w:numPr>
      <w:spacing w:line="360" w:lineRule="auto"/>
    </w:pPr>
    <w:rPr>
      <w:rFonts w:eastAsia="Times New Roman"/>
      <w:lang w:eastAsia="en-GB"/>
    </w:rPr>
  </w:style>
  <w:style w:type="paragraph" w:customStyle="1" w:styleId="LegalNumPar3">
    <w:name w:val="LegalNumPar3"/>
    <w:basedOn w:val="Normal"/>
    <w:rsid w:val="00FA5543"/>
    <w:pPr>
      <w:numPr>
        <w:ilvl w:val="2"/>
        <w:numId w:val="23"/>
      </w:numPr>
      <w:spacing w:line="360" w:lineRule="auto"/>
    </w:pPr>
    <w:rPr>
      <w:rFonts w:eastAsia="Times New Roman"/>
      <w:lang w:eastAsia="en-GB"/>
    </w:rPr>
  </w:style>
  <w:style w:type="paragraph" w:styleId="ListParagraph">
    <w:name w:val="List Paragraph"/>
    <w:basedOn w:val="Normal"/>
    <w:uiPriority w:val="34"/>
    <w:qFormat/>
    <w:rsid w:val="00FA5543"/>
    <w:pPr>
      <w:ind w:left="720"/>
      <w:contextualSpacing/>
    </w:pPr>
    <w:rPr>
      <w:rFonts w:eastAsia="Times New Roman"/>
      <w:lang w:eastAsia="en-GB"/>
    </w:rPr>
  </w:style>
  <w:style w:type="character" w:customStyle="1" w:styleId="UnresolvedMention1">
    <w:name w:val="Unresolved Mention1"/>
    <w:basedOn w:val="DefaultParagraphFont"/>
    <w:uiPriority w:val="99"/>
    <w:semiHidden/>
    <w:unhideWhenUsed/>
    <w:rsid w:val="00FA5543"/>
    <w:rPr>
      <w:color w:val="605E5C"/>
      <w:shd w:val="clear" w:color="auto" w:fill="E1DFDD"/>
    </w:rPr>
  </w:style>
  <w:style w:type="character" w:styleId="Strong">
    <w:name w:val="Strong"/>
    <w:basedOn w:val="DefaultParagraphFont"/>
    <w:qFormat/>
    <w:rsid w:val="00FA5543"/>
    <w:rPr>
      <w:b/>
      <w:bCs/>
    </w:rPr>
  </w:style>
  <w:style w:type="character" w:styleId="Emphasis">
    <w:name w:val="Emphasis"/>
    <w:basedOn w:val="DefaultParagraphFont"/>
    <w:qFormat/>
    <w:rsid w:val="00FA5543"/>
    <w:rPr>
      <w:i/>
      <w:iCs/>
    </w:rPr>
  </w:style>
  <w:style w:type="character" w:customStyle="1" w:styleId="Mention1">
    <w:name w:val="Mention1"/>
    <w:basedOn w:val="DefaultParagraphFont"/>
    <w:uiPriority w:val="99"/>
    <w:unhideWhenUsed/>
    <w:rsid w:val="00FA5543"/>
    <w:rPr>
      <w:color w:val="2B579A"/>
      <w:shd w:val="clear" w:color="auto" w:fill="E1DFDD"/>
    </w:rPr>
  </w:style>
  <w:style w:type="character" w:customStyle="1" w:styleId="normaltextrun">
    <w:name w:val="normaltextrun"/>
    <w:basedOn w:val="DefaultParagraphFont"/>
    <w:rsid w:val="00FA5543"/>
  </w:style>
  <w:style w:type="character" w:customStyle="1" w:styleId="eop">
    <w:name w:val="eop"/>
    <w:basedOn w:val="DefaultParagraphFont"/>
    <w:rsid w:val="00FA5543"/>
  </w:style>
  <w:style w:type="paragraph" w:customStyle="1" w:styleId="CharCharChar1">
    <w:name w:val="Char Char Char1"/>
    <w:basedOn w:val="Normal"/>
    <w:link w:val="FootnoteReference"/>
    <w:uiPriority w:val="99"/>
    <w:rsid w:val="00FA5D5D"/>
    <w:pPr>
      <w:spacing w:before="0" w:line="240" w:lineRule="exact"/>
    </w:pPr>
    <w:rPr>
      <w:rFonts w:asciiTheme="minorHAnsi" w:hAnsiTheme="minorHAnsi" w:cstheme="minorBidi"/>
      <w:sz w:val="22"/>
      <w:vertAlign w:val="superscript"/>
    </w:rPr>
  </w:style>
  <w:style w:type="paragraph" w:styleId="NoSpacing">
    <w:name w:val="No Spacing"/>
    <w:basedOn w:val="Normal"/>
    <w:uiPriority w:val="1"/>
    <w:qFormat/>
    <w:rsid w:val="00FA5D5D"/>
    <w:pPr>
      <w:spacing w:before="0"/>
    </w:pPr>
    <w:rPr>
      <w:szCs w:val="24"/>
    </w:rPr>
  </w:style>
  <w:style w:type="paragraph" w:customStyle="1" w:styleId="An">
    <w:name w:val="An"/>
    <w:basedOn w:val="Annexetitre"/>
    <w:rsid w:val="00B07259"/>
  </w:style>
  <w:style w:type="character" w:customStyle="1" w:styleId="italic1">
    <w:name w:val="italic1"/>
    <w:rsid w:val="00F22CBC"/>
    <w:rPr>
      <w:i/>
      <w:iCs/>
    </w:rPr>
  </w:style>
  <w:style w:type="paragraph" w:styleId="EndnoteText">
    <w:name w:val="endnote text"/>
    <w:basedOn w:val="Normal"/>
    <w:link w:val="EndnoteTextChar"/>
    <w:uiPriority w:val="99"/>
    <w:semiHidden/>
    <w:unhideWhenUsed/>
    <w:rsid w:val="007F348B"/>
    <w:pPr>
      <w:spacing w:after="0"/>
    </w:pPr>
    <w:rPr>
      <w:sz w:val="20"/>
      <w:szCs w:val="20"/>
    </w:rPr>
  </w:style>
  <w:style w:type="character" w:customStyle="1" w:styleId="EndnoteTextChar">
    <w:name w:val="Endnote Text Char"/>
    <w:basedOn w:val="DefaultParagraphFont"/>
    <w:link w:val="EndnoteText"/>
    <w:uiPriority w:val="99"/>
    <w:semiHidden/>
    <w:rsid w:val="007F348B"/>
    <w:rPr>
      <w:rFonts w:ascii="Times New Roman" w:hAnsi="Times New Roman" w:cs="Times New Roman"/>
      <w:sz w:val="20"/>
      <w:szCs w:val="20"/>
      <w:lang w:val="cs-CZ"/>
    </w:rPr>
  </w:style>
  <w:style w:type="character" w:styleId="EndnoteReference">
    <w:name w:val="endnote reference"/>
    <w:basedOn w:val="DefaultParagraphFont"/>
    <w:uiPriority w:val="99"/>
    <w:semiHidden/>
    <w:unhideWhenUsed/>
    <w:rsid w:val="007F348B"/>
    <w:rPr>
      <w:vertAlign w:val="superscript"/>
    </w:rPr>
  </w:style>
  <w:style w:type="character" w:customStyle="1" w:styleId="HeaderChar">
    <w:name w:val="Header Char"/>
    <w:basedOn w:val="DefaultParagraphFont"/>
    <w:link w:val="Header"/>
    <w:uiPriority w:val="99"/>
    <w:rsid w:val="00516924"/>
    <w:rPr>
      <w:rFonts w:ascii="Times New Roman" w:hAnsi="Times New Roman" w:cs="Times New Roman"/>
      <w:sz w:val="24"/>
      <w:lang w:val="cs-CZ"/>
    </w:rPr>
  </w:style>
  <w:style w:type="character" w:customStyle="1" w:styleId="FooterChar">
    <w:name w:val="Footer Char"/>
    <w:basedOn w:val="DefaultParagraphFont"/>
    <w:link w:val="Footer"/>
    <w:uiPriority w:val="99"/>
    <w:rsid w:val="00516924"/>
    <w:rPr>
      <w:rFonts w:ascii="Times New Roman" w:hAnsi="Times New Roman" w:cs="Times New Roman"/>
      <w:sz w:val="24"/>
      <w:lang w:val="cs-CZ"/>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cs-CZ"/>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cs-CZ"/>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cs-CZ"/>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cs-CZ"/>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cs-CZ"/>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cs-CZ"/>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cs-CZ"/>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link w:val="CharCharChar1"/>
    <w:uiPriority w:val="99"/>
    <w:semiHidden/>
    <w:unhideWhenUsed/>
    <w:rPr>
      <w:shd w:val="clear" w:color="auto" w:fill="auto"/>
      <w:vertAlign w:val="superscript"/>
    </w:rPr>
  </w:style>
  <w:style w:type="paragraph" w:customStyle="1" w:styleId="HeaderSensitivity">
    <w:name w:val="Header Sensitivity"/>
    <w:basedOn w:val="Normal"/>
    <w:rsid w:val="00516924"/>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516924"/>
    <w:pPr>
      <w:spacing w:before="0"/>
      <w:jc w:val="right"/>
    </w:pPr>
    <w:rPr>
      <w:sz w:val="28"/>
    </w:rPr>
  </w:style>
  <w:style w:type="paragraph" w:customStyle="1" w:styleId="FooterSensitivity">
    <w:name w:val="Footer Sensitivity"/>
    <w:basedOn w:val="Normal"/>
    <w:rsid w:val="00516924"/>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Tiret5">
    <w:name w:val="Tiret 5"/>
    <w:basedOn w:val="Point5"/>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NumPar5">
    <w:name w:val="NumPar 5"/>
    <w:basedOn w:val="Normal"/>
    <w:next w:val="Text2"/>
    <w:pPr>
      <w:numPr>
        <w:ilvl w:val="4"/>
        <w:numId w:val="30"/>
      </w:numPr>
    </w:pPr>
  </w:style>
  <w:style w:type="paragraph" w:customStyle="1" w:styleId="NumPar6">
    <w:name w:val="NumPar 6"/>
    <w:basedOn w:val="Normal"/>
    <w:next w:val="Text2"/>
    <w:pPr>
      <w:numPr>
        <w:ilvl w:val="5"/>
        <w:numId w:val="30"/>
      </w:numPr>
    </w:pPr>
  </w:style>
  <w:style w:type="paragraph" w:customStyle="1" w:styleId="NumPar7">
    <w:name w:val="NumPar 7"/>
    <w:basedOn w:val="Normal"/>
    <w:next w:val="Text2"/>
    <w:pPr>
      <w:numPr>
        <w:ilvl w:val="6"/>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516924"/>
    <w:pPr>
      <w:tabs>
        <w:tab w:val="center" w:pos="4535"/>
        <w:tab w:val="right" w:pos="9071"/>
      </w:tabs>
      <w:spacing w:before="0"/>
    </w:pPr>
  </w:style>
  <w:style w:type="paragraph" w:customStyle="1" w:styleId="HeaderLandscape">
    <w:name w:val="HeaderLandscape"/>
    <w:basedOn w:val="Normal"/>
    <w:rsid w:val="00516924"/>
    <w:pPr>
      <w:tabs>
        <w:tab w:val="center" w:pos="7285"/>
        <w:tab w:val="right" w:pos="14003"/>
      </w:tabs>
      <w:spacing w:before="0"/>
    </w:pPr>
  </w:style>
  <w:style w:type="paragraph" w:styleId="Footer">
    <w:name w:val="footer"/>
    <w:basedOn w:val="Normal"/>
    <w:link w:val="FooterChar"/>
    <w:uiPriority w:val="99"/>
    <w:unhideWhenUsed/>
    <w:rsid w:val="00516924"/>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516924"/>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55970">
      <w:bodyDiv w:val="1"/>
      <w:marLeft w:val="0"/>
      <w:marRight w:val="0"/>
      <w:marTop w:val="0"/>
      <w:marBottom w:val="0"/>
      <w:divBdr>
        <w:top w:val="none" w:sz="0" w:space="0" w:color="auto"/>
        <w:left w:val="none" w:sz="0" w:space="0" w:color="auto"/>
        <w:bottom w:val="none" w:sz="0" w:space="0" w:color="auto"/>
        <w:right w:val="none" w:sz="0" w:space="0" w:color="auto"/>
      </w:divBdr>
      <w:divsChild>
        <w:div w:id="821652778">
          <w:marLeft w:val="0"/>
          <w:marRight w:val="0"/>
          <w:marTop w:val="0"/>
          <w:marBottom w:val="0"/>
          <w:divBdr>
            <w:top w:val="none" w:sz="0" w:space="0" w:color="auto"/>
            <w:left w:val="none" w:sz="0" w:space="0" w:color="auto"/>
            <w:bottom w:val="none" w:sz="0" w:space="0" w:color="auto"/>
            <w:right w:val="none" w:sz="0" w:space="0" w:color="auto"/>
          </w:divBdr>
        </w:div>
        <w:div w:id="1011762379">
          <w:marLeft w:val="0"/>
          <w:marRight w:val="0"/>
          <w:marTop w:val="0"/>
          <w:marBottom w:val="0"/>
          <w:divBdr>
            <w:top w:val="none" w:sz="0" w:space="0" w:color="auto"/>
            <w:left w:val="none" w:sz="0" w:space="0" w:color="auto"/>
            <w:bottom w:val="none" w:sz="0" w:space="0" w:color="auto"/>
            <w:right w:val="none" w:sz="0" w:space="0" w:color="auto"/>
          </w:divBdr>
        </w:div>
      </w:divsChild>
    </w:div>
    <w:div w:id="264003363">
      <w:bodyDiv w:val="1"/>
      <w:marLeft w:val="0"/>
      <w:marRight w:val="0"/>
      <w:marTop w:val="0"/>
      <w:marBottom w:val="0"/>
      <w:divBdr>
        <w:top w:val="none" w:sz="0" w:space="0" w:color="auto"/>
        <w:left w:val="none" w:sz="0" w:space="0" w:color="auto"/>
        <w:bottom w:val="none" w:sz="0" w:space="0" w:color="auto"/>
        <w:right w:val="none" w:sz="0" w:space="0" w:color="auto"/>
      </w:divBdr>
      <w:divsChild>
        <w:div w:id="190189139">
          <w:marLeft w:val="0"/>
          <w:marRight w:val="0"/>
          <w:marTop w:val="0"/>
          <w:marBottom w:val="0"/>
          <w:divBdr>
            <w:top w:val="none" w:sz="0" w:space="0" w:color="auto"/>
            <w:left w:val="none" w:sz="0" w:space="0" w:color="auto"/>
            <w:bottom w:val="none" w:sz="0" w:space="0" w:color="auto"/>
            <w:right w:val="none" w:sz="0" w:space="0" w:color="auto"/>
          </w:divBdr>
        </w:div>
        <w:div w:id="427239093">
          <w:marLeft w:val="0"/>
          <w:marRight w:val="0"/>
          <w:marTop w:val="0"/>
          <w:marBottom w:val="0"/>
          <w:divBdr>
            <w:top w:val="none" w:sz="0" w:space="0" w:color="auto"/>
            <w:left w:val="none" w:sz="0" w:space="0" w:color="auto"/>
            <w:bottom w:val="none" w:sz="0" w:space="0" w:color="auto"/>
            <w:right w:val="none" w:sz="0" w:space="0" w:color="auto"/>
          </w:divBdr>
        </w:div>
      </w:divsChild>
    </w:div>
    <w:div w:id="930578113">
      <w:bodyDiv w:val="1"/>
      <w:marLeft w:val="0"/>
      <w:marRight w:val="0"/>
      <w:marTop w:val="0"/>
      <w:marBottom w:val="0"/>
      <w:divBdr>
        <w:top w:val="none" w:sz="0" w:space="0" w:color="auto"/>
        <w:left w:val="none" w:sz="0" w:space="0" w:color="auto"/>
        <w:bottom w:val="none" w:sz="0" w:space="0" w:color="auto"/>
        <w:right w:val="none" w:sz="0" w:space="0" w:color="auto"/>
      </w:divBdr>
      <w:divsChild>
        <w:div w:id="605505723">
          <w:marLeft w:val="0"/>
          <w:marRight w:val="0"/>
          <w:marTop w:val="0"/>
          <w:marBottom w:val="0"/>
          <w:divBdr>
            <w:top w:val="none" w:sz="0" w:space="0" w:color="auto"/>
            <w:left w:val="none" w:sz="0" w:space="0" w:color="auto"/>
            <w:bottom w:val="none" w:sz="0" w:space="0" w:color="auto"/>
            <w:right w:val="none" w:sz="0" w:space="0" w:color="auto"/>
          </w:divBdr>
        </w:div>
        <w:div w:id="1566332855">
          <w:marLeft w:val="0"/>
          <w:marRight w:val="0"/>
          <w:marTop w:val="0"/>
          <w:marBottom w:val="0"/>
          <w:divBdr>
            <w:top w:val="none" w:sz="0" w:space="0" w:color="auto"/>
            <w:left w:val="none" w:sz="0" w:space="0" w:color="auto"/>
            <w:bottom w:val="none" w:sz="0" w:space="0" w:color="auto"/>
            <w:right w:val="none" w:sz="0" w:space="0" w:color="auto"/>
          </w:divBdr>
        </w:div>
      </w:divsChild>
    </w:div>
    <w:div w:id="1482430406">
      <w:bodyDiv w:val="1"/>
      <w:marLeft w:val="0"/>
      <w:marRight w:val="0"/>
      <w:marTop w:val="0"/>
      <w:marBottom w:val="0"/>
      <w:divBdr>
        <w:top w:val="none" w:sz="0" w:space="0" w:color="auto"/>
        <w:left w:val="none" w:sz="0" w:space="0" w:color="auto"/>
        <w:bottom w:val="none" w:sz="0" w:space="0" w:color="auto"/>
        <w:right w:val="none" w:sz="0" w:space="0" w:color="auto"/>
      </w:divBdr>
      <w:divsChild>
        <w:div w:id="1376079570">
          <w:marLeft w:val="0"/>
          <w:marRight w:val="0"/>
          <w:marTop w:val="0"/>
          <w:marBottom w:val="0"/>
          <w:divBdr>
            <w:top w:val="none" w:sz="0" w:space="0" w:color="auto"/>
            <w:left w:val="none" w:sz="0" w:space="0" w:color="auto"/>
            <w:bottom w:val="none" w:sz="0" w:space="0" w:color="auto"/>
            <w:right w:val="none" w:sz="0" w:space="0" w:color="auto"/>
          </w:divBdr>
        </w:div>
        <w:div w:id="1854803921">
          <w:marLeft w:val="0"/>
          <w:marRight w:val="0"/>
          <w:marTop w:val="0"/>
          <w:marBottom w:val="0"/>
          <w:divBdr>
            <w:top w:val="none" w:sz="0" w:space="0" w:color="auto"/>
            <w:left w:val="none" w:sz="0" w:space="0" w:color="auto"/>
            <w:bottom w:val="none" w:sz="0" w:space="0" w:color="auto"/>
            <w:right w:val="none" w:sz="0" w:space="0" w:color="auto"/>
          </w:divBdr>
        </w:div>
      </w:divsChild>
    </w:div>
    <w:div w:id="1802453581">
      <w:bodyDiv w:val="1"/>
      <w:marLeft w:val="0"/>
      <w:marRight w:val="0"/>
      <w:marTop w:val="0"/>
      <w:marBottom w:val="0"/>
      <w:divBdr>
        <w:top w:val="none" w:sz="0" w:space="0" w:color="auto"/>
        <w:left w:val="none" w:sz="0" w:space="0" w:color="auto"/>
        <w:bottom w:val="none" w:sz="0" w:space="0" w:color="auto"/>
        <w:right w:val="none" w:sz="0" w:space="0" w:color="auto"/>
      </w:divBdr>
      <w:divsChild>
        <w:div w:id="930158560">
          <w:marLeft w:val="0"/>
          <w:marRight w:val="0"/>
          <w:marTop w:val="0"/>
          <w:marBottom w:val="0"/>
          <w:divBdr>
            <w:top w:val="none" w:sz="0" w:space="0" w:color="auto"/>
            <w:left w:val="none" w:sz="0" w:space="0" w:color="auto"/>
            <w:bottom w:val="none" w:sz="0" w:space="0" w:color="auto"/>
            <w:right w:val="none" w:sz="0" w:space="0" w:color="auto"/>
          </w:divBdr>
        </w:div>
        <w:div w:id="15248990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hyperlink" Target="https://euc-word-edit.officeapps.live.com/we/wordeditorframe.aspx?ui=de-de&amp;rs=en-ie&amp;wopisrc=https%3A%2F%2Feceuropaeu.sharepoint.com%2Fteams%2FGRP-TaxudC2-CBAMsector%2F_vti_bin%2Fwopi.ashx%2Ffiles%2F725f17964230496492026997a3a8d020&amp;wdenableroaming=1&amp;mscc=1&amp;hid=2869fe45-7101-443f-b627-698cf01b9a2d.0&amp;uih=teams&amp;uiembed=1&amp;wdlcid=de-de&amp;jsapi=1&amp;jsapiver=v2&amp;corrid=73b6f13c-adf6-4e5a-bc3b-c9546a6325ba&amp;usid=73b6f13c-adf6-4e5a-bc3b-c9546a6325ba&amp;newsession=1&amp;sftc=1&amp;uihit=TeamsModern&amp;muv=v1&amp;accloop=1&amp;sdr=6&amp;scnd=1&amp;sat=1&amp;rat=1&amp;sams=1&amp;mtf=1&amp;sfp=1&amp;halh=1&amp;hch=1&amp;hmh=1&amp;hwfh=1&amp;hsth=1&amp;sih=1&amp;unh=1&amp;onw=1&amp;dchat=1&amp;sc=%7B%22pmo%22%3A%22https%3A%2F%2Fwww.microsoft365.com%22%2C%22pmshare%22%3Atrue%7D&amp;ctp=LeastProtected&amp;rct=Normal&amp;wdhostclicktime=1740161394880&amp;instantedit=1&amp;wopicomplete=1&amp;wdredirectionreason=Unified_SingleFlush" TargetMode="External"/><Relationship Id="rId3" Type="http://schemas.openxmlformats.org/officeDocument/2006/relationships/customXml" Target="../customXml/item3.xml"/><Relationship Id="rId21" Type="http://schemas.openxmlformats.org/officeDocument/2006/relationships/hyperlink" Target="http://data.europa.eu/eli/reg_del/2023/2830/oj"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5" Type="http://schemas.openxmlformats.org/officeDocument/2006/relationships/hyperlink" Target="https://euc-word-edit.officeapps.live.com/we/wordeditorframe.aspx?ui=de-de&amp;rs=en-ie&amp;wopisrc=https%3A%2F%2Feceuropaeu.sharepoint.com%2Fteams%2FGRP-TaxudC2-CBAMsector%2F_vti_bin%2Fwopi.ashx%2Ffiles%2F725f17964230496492026997a3a8d020&amp;wdenableroaming=1&amp;mscc=1&amp;hid=2869fe45-7101-443f-b627-698cf01b9a2d.0&amp;uih=teams&amp;uiembed=1&amp;wdlcid=de-de&amp;jsapi=1&amp;jsapiver=v2&amp;corrid=73b6f13c-adf6-4e5a-bc3b-c9546a6325ba&amp;usid=73b6f13c-adf6-4e5a-bc3b-c9546a6325ba&amp;newsession=1&amp;sftc=1&amp;uihit=TeamsModern&amp;muv=v1&amp;accloop=1&amp;sdr=6&amp;scnd=1&amp;sat=1&amp;rat=1&amp;sams=1&amp;mtf=1&amp;sfp=1&amp;halh=1&amp;hch=1&amp;hmh=1&amp;hwfh=1&amp;hsth=1&amp;sih=1&amp;unh=1&amp;onw=1&amp;dchat=1&amp;sc=%7B%22pmo%22%3A%22https%3A%2F%2Fwww.microsoft365.com%22%2C%22pmshare%22%3Atrue%7D&amp;ctp=LeastProtected&amp;rct=Normal&amp;wdhostclicktime=1740161394880&amp;instantedit=1&amp;wopicomplete=1&amp;wdredirectionreason=Unified_SingleFlush"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data.europa.eu/eli/reg_del/2015/2446/oj"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oter" Target="footer6.xml"/><Relationship Id="rId32"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http://data.europa.eu/eli/agree_interinstit/2016/512/oj" TargetMode="Externa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2.png"/><Relationship Id="rId27" Type="http://schemas.openxmlformats.org/officeDocument/2006/relationships/image" Target="media/image3.png"/><Relationship Id="rId30" Type="http://schemas.openxmlformats.org/officeDocument/2006/relationships/image" Target="media/image6.png"/></Relationships>
</file>

<file path=word/_rels/footnotes.xml.rels><?xml version='1.0' encoding='UTF-8' standalone='yes'?>
<Relationships xmlns="http://schemas.openxmlformats.org/package/2006/relationships"><Relationship Id="rId8" Type="http://schemas.openxmlformats.org/officeDocument/2006/relationships/hyperlink" Target="https://myintracomm.ec.europa.eu/corp/budget/financial-rules/budget-implementation/Pages/implementation-methods.aspx" TargetMode="External"/><Relationship Id="rId3" Type="http://schemas.openxmlformats.org/officeDocument/2006/relationships/hyperlink" Target="http://data.europa.eu/eli/reg_impl/2024/3210/oj" TargetMode="External"/><Relationship Id="rId7" Type="http://schemas.openxmlformats.org/officeDocument/2006/relationships/hyperlink" Target="http://data.europa.eu/eli/dir/2003/87/oj" TargetMode="External"/><Relationship Id="rId2" Type="http://schemas.openxmlformats.org/officeDocument/2006/relationships/hyperlink" Target="http://data.europa.eu/eli/reg_impl/2023/1773/oj" TargetMode="External"/><Relationship Id="rId1" Type="http://schemas.openxmlformats.org/officeDocument/2006/relationships/hyperlink" Target="http://data.europa.eu/eli/reg/2023/956/oj" TargetMode="External"/><Relationship Id="rId6" Type="http://schemas.openxmlformats.org/officeDocument/2006/relationships/hyperlink" Target="http://data.europa.eu/eli/reg_del/2015/2446/oj" TargetMode="External"/><Relationship Id="rId5" Type="http://schemas.openxmlformats.org/officeDocument/2006/relationships/hyperlink" Target="http://data.europa.eu/eli/reg/2023/956/oj" TargetMode="External"/><Relationship Id="rId4" Type="http://schemas.openxmlformats.org/officeDocument/2006/relationships/hyperlink" Target="https://ec.europa.eu/transparency/expert-groups-register/screen/expert-groups/consult?lang=en&amp;groupID=392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eed462f-0461-4f02-be76-4e1d6e5d36ec">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27972FBE2B78140A8B74152F3EC4732" ma:contentTypeVersion="15" ma:contentTypeDescription="Create a new document." ma:contentTypeScope="" ma:versionID="af7a863f7073fb167331695af394eac9">
  <xsd:schema xmlns:xsd="http://www.w3.org/2001/XMLSchema" xmlns:xs="http://www.w3.org/2001/XMLSchema" xmlns:p="http://schemas.microsoft.com/office/2006/metadata/properties" xmlns:ns1="http://schemas.microsoft.com/sharepoint/v3" xmlns:ns2="4eed462f-0461-4f02-be76-4e1d6e5d36ec" xmlns:ns3="a8bf077c-d324-414d-ba2a-c55b711af6f9" targetNamespace="http://schemas.microsoft.com/office/2006/metadata/properties" ma:root="true" ma:fieldsID="eaeb33d5a7c02d423ed1c6ffffb3063a" ns1:_="" ns2:_="" ns3:_="">
    <xsd:import namespace="http://schemas.microsoft.com/sharepoint/v3"/>
    <xsd:import namespace="4eed462f-0461-4f02-be76-4e1d6e5d36ec"/>
    <xsd:import namespace="a8bf077c-d324-414d-ba2a-c55b711af6f9"/>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3:SharedWithUsers" minOccurs="0"/>
                <xsd:element ref="ns3:SharedWithDetails" minOccurs="0"/>
                <xsd:element ref="ns2:lcf76f155ced4ddcb4097134ff3c332f"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ed462f-0461-4f02-be76-4e1d6e5d36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bf077c-d324-414d-ba2a-c55b711af6f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A4E7C-CF44-4957-A0C8-BD75C3FB5DE2}">
  <ds:schemaRefs>
    <ds:schemaRef ds:uri="http://schemas.microsoft.com/office/2006/metadata/properties"/>
    <ds:schemaRef ds:uri="http://schemas.microsoft.com/office/infopath/2007/PartnerControls"/>
    <ds:schemaRef ds:uri="4eed462f-0461-4f02-be76-4e1d6e5d36ec"/>
    <ds:schemaRef ds:uri="http://schemas.microsoft.com/sharepoint/v3"/>
  </ds:schemaRefs>
</ds:datastoreItem>
</file>

<file path=customXml/itemProps2.xml><?xml version="1.0" encoding="utf-8"?>
<ds:datastoreItem xmlns:ds="http://schemas.openxmlformats.org/officeDocument/2006/customXml" ds:itemID="{F10F7499-8E52-4AAE-84A6-00C35F48540B}">
  <ds:schemaRefs>
    <ds:schemaRef ds:uri="http://schemas.microsoft.com/sharepoint/v3/contenttype/forms"/>
  </ds:schemaRefs>
</ds:datastoreItem>
</file>

<file path=customXml/itemProps3.xml><?xml version="1.0" encoding="utf-8"?>
<ds:datastoreItem xmlns:ds="http://schemas.openxmlformats.org/officeDocument/2006/customXml" ds:itemID="{3A7A499C-2E78-4A3F-BCC2-90F07B0489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eed462f-0461-4f02-be76-4e1d6e5d36ec"/>
    <ds:schemaRef ds:uri="a8bf077c-d324-414d-ba2a-c55b711af6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623871-9F3B-4418-BD15-439CFEB00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49</TotalTime>
  <Pages>13</Pages>
  <Words>20870</Words>
  <Characters>118963</Characters>
  <Application>Microsoft Office Word</Application>
  <DocSecurity>0</DocSecurity>
  <Lines>991</Lines>
  <Paragraphs>279</Paragraphs>
  <ScaleCrop>false</ScaleCrop>
  <Manager/>
  <Company/>
  <LinksUpToDate>false</LinksUpToDate>
  <CharactersWithSpaces>139554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46</cp:revision>
  <cp:lastPrinted>2025-02-22T16:30:00Z</cp:lastPrinted>
  <dcterms:created xsi:type="dcterms:W3CDTF">2025-02-25T12:31:00Z</dcterms:created>
  <dcterms:modified xsi:type="dcterms:W3CDTF">2025-03-28T12:52:00Z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Created using">
    <vt:lpwstr>LW 9.1, Build 20240808</vt:lpwstr>
  </property>
  <property fmtid="{D5CDD505-2E9C-101B-9397-08002B2CF9AE}" pid="5" name="Part">
    <vt:lpwstr>1</vt:lpwstr>
  </property>
  <property fmtid="{D5CDD505-2E9C-101B-9397-08002B2CF9AE}" pid="6" name="Total parts">
    <vt:lpwstr>1</vt:lpwstr>
  </property>
  <property fmtid="{D5CDD505-2E9C-101B-9397-08002B2CF9AE}" pid="7" name="Level of sensitivity">
    <vt:lpwstr>Standard treatment</vt:lpwstr>
  </property>
  <property fmtid="{D5CDD505-2E9C-101B-9397-08002B2CF9AE}" pid="8" name="LWTemplateID">
    <vt:lpwstr>SJ-023</vt:lpwstr>
  </property>
  <property fmtid="{D5CDD505-2E9C-101B-9397-08002B2CF9AE}" pid="9" name="MSIP_Label_6bd9ddd1-4d20-43f6-abfa-fc3c07406f94_Enabled">
    <vt:lpwstr>true</vt:lpwstr>
  </property>
  <property fmtid="{D5CDD505-2E9C-101B-9397-08002B2CF9AE}" pid="10" name="MSIP_Label_6bd9ddd1-4d20-43f6-abfa-fc3c07406f94_SetDate">
    <vt:lpwstr>2025-02-13T16:21:34Z</vt:lpwstr>
  </property>
  <property fmtid="{D5CDD505-2E9C-101B-9397-08002B2CF9AE}" pid="11" name="MSIP_Label_6bd9ddd1-4d20-43f6-abfa-fc3c07406f94_Method">
    <vt:lpwstr>Standard</vt:lpwstr>
  </property>
  <property fmtid="{D5CDD505-2E9C-101B-9397-08002B2CF9AE}" pid="12" name="MSIP_Label_6bd9ddd1-4d20-43f6-abfa-fc3c07406f94_Name">
    <vt:lpwstr>Commission Use</vt:lpwstr>
  </property>
  <property fmtid="{D5CDD505-2E9C-101B-9397-08002B2CF9AE}" pid="13" name="MSIP_Label_6bd9ddd1-4d20-43f6-abfa-fc3c07406f94_SiteId">
    <vt:lpwstr>b24c8b06-522c-46fe-9080-70926f8dddb1</vt:lpwstr>
  </property>
  <property fmtid="{D5CDD505-2E9C-101B-9397-08002B2CF9AE}" pid="14" name="MSIP_Label_6bd9ddd1-4d20-43f6-abfa-fc3c07406f94_ActionId">
    <vt:lpwstr>eff21227-7ac9-46d4-8cc6-f2578865dd3f</vt:lpwstr>
  </property>
  <property fmtid="{D5CDD505-2E9C-101B-9397-08002B2CF9AE}" pid="15" name="MSIP_Label_6bd9ddd1-4d20-43f6-abfa-fc3c07406f94_ContentBits">
    <vt:lpwstr>0</vt:lpwstr>
  </property>
  <property fmtid="{D5CDD505-2E9C-101B-9397-08002B2CF9AE}" pid="16" name="ContentTypeId">
    <vt:lpwstr>0x010100927972FBE2B78140A8B74152F3EC4732</vt:lpwstr>
  </property>
  <property fmtid="{D5CDD505-2E9C-101B-9397-08002B2CF9AE}" pid="17" name="MediaServiceImageTags">
    <vt:lpwstr/>
  </property>
  <property fmtid="{D5CDD505-2E9C-101B-9397-08002B2CF9AE}" pid="18" name="Last edited using">
    <vt:lpwstr>LW 9.1, Build 20240808</vt:lpwstr>
  </property>
  <property fmtid="{D5CDD505-2E9C-101B-9397-08002B2CF9AE}" pid="19" name="DQCStatus">
    <vt:lpwstr>Green (DQC version 03)</vt:lpwstr>
  </property>
  <property name="OP_sanitized" fmtid="{D5CDD505-2E9C-101B-9397-08002B2CF9AE}" pid="20">
    <vt:lpwstr>True</vt:lpwstr>
  </property>
</Properties>
</file>