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documenttasks/documenttasks1.xml" ContentType="application/vnd.ms-office.documenttasks+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intelligence.xml" ContentType="application/vnd.ms-office.intelligenc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AB6C7B" w14:textId="2ACB86EF" w:rsidR="00480F1C" w:rsidRDefault="00325E32" w:rsidP="00325E32">
      <w:pPr>
        <w:pStyle w:val="Pagedecouverture"/>
        <w:rPr>
          <w:noProof/>
        </w:rPr>
      </w:pPr>
      <w:bookmarkStart w:id="0" w:name="LW_BM_COVERPAGE"/>
      <w:r>
        <w:rPr>
          <w:noProof/>
        </w:rPr>
        <w:pict w14:anchorId="49F89B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alt="A741E4B5-D232-430E-BA60-8B00DBAE7D81" style="width:455.25pt;height:410.25pt">
            <v:imagedata r:id="rId12" o:title=""/>
          </v:shape>
        </w:pict>
      </w:r>
    </w:p>
    <w:bookmarkEnd w:id="0"/>
    <w:p w14:paraId="7435B9A1" w14:textId="77777777" w:rsidR="00480F1C" w:rsidRDefault="00480F1C">
      <w:pPr>
        <w:rPr>
          <w:noProof/>
        </w:rPr>
        <w:sectPr w:rsidR="00480F1C" w:rsidSect="00325E32">
          <w:headerReference w:type="even" r:id="rId13"/>
          <w:headerReference w:type="default" r:id="rId14"/>
          <w:footerReference w:type="even" r:id="rId15"/>
          <w:footerReference w:type="default" r:id="rId16"/>
          <w:headerReference w:type="first" r:id="rId17"/>
          <w:footerReference w:type="first" r:id="rId18"/>
          <w:pgSz w:w="11907" w:h="16839"/>
          <w:pgMar w:top="1134" w:right="1417" w:bottom="1134" w:left="1417" w:header="709" w:footer="709" w:gutter="0"/>
          <w:pgNumType w:start="1"/>
          <w:cols w:space="720"/>
          <w:docGrid w:linePitch="299"/>
        </w:sectPr>
      </w:pPr>
    </w:p>
    <w:p w14:paraId="5C6677AA" w14:textId="2677285B" w:rsidR="00480F1C" w:rsidRDefault="00A201F6">
      <w:pPr>
        <w:pStyle w:val="P68B1DB1-Normal1"/>
        <w:jc w:val="center"/>
        <w:rPr>
          <w:rFonts w:eastAsia="Times New Roman" w:cs="Times New Roman"/>
          <w:noProof/>
        </w:rPr>
      </w:pPr>
      <w:bookmarkStart w:id="1" w:name="_GoBack"/>
      <w:bookmarkEnd w:id="1"/>
      <w:r>
        <w:rPr>
          <w:noProof/>
        </w:rPr>
        <w:lastRenderedPageBreak/>
        <w:t>BIJLAGE</w:t>
      </w:r>
    </w:p>
    <w:p w14:paraId="21F95161" w14:textId="6F6A4F05" w:rsidR="00480F1C" w:rsidRDefault="00A201F6">
      <w:pPr>
        <w:pStyle w:val="P68B1DB1-Normal1"/>
        <w:rPr>
          <w:rFonts w:eastAsia="Times New Roman" w:cs="Times New Roman"/>
          <w:noProof/>
        </w:rPr>
      </w:pPr>
      <w:r>
        <w:rPr>
          <w:noProof/>
        </w:rPr>
        <w:t>DEEL 1: HERVORMINGEN EN INVESTERINGEN IN HET KADER VAN HET HERSTEL- EN VEERKRACHTPLAN</w:t>
      </w:r>
    </w:p>
    <w:p w14:paraId="02EB378F" w14:textId="77777777" w:rsidR="00480F1C" w:rsidRDefault="00480F1C">
      <w:pPr>
        <w:rPr>
          <w:rFonts w:ascii="Times New Roman" w:eastAsia="Times New Roman" w:hAnsi="Times New Roman" w:cs="Times New Roman"/>
          <w:noProof/>
          <w:color w:val="000000"/>
          <w:sz w:val="24"/>
        </w:rPr>
      </w:pPr>
    </w:p>
    <w:p w14:paraId="7965D8B9" w14:textId="4B4A7C9A" w:rsidR="00480F1C" w:rsidRDefault="00A201F6">
      <w:pPr>
        <w:rPr>
          <w:rFonts w:ascii="Times New Roman" w:eastAsia="Times New Roman" w:hAnsi="Times New Roman" w:cs="Times New Roman"/>
          <w:b/>
          <w:noProof/>
          <w:color w:val="000000"/>
          <w:sz w:val="24"/>
        </w:rPr>
      </w:pPr>
      <w:r>
        <w:rPr>
          <w:rFonts w:ascii="Times New Roman" w:hAnsi="Times New Roman"/>
          <w:b/>
          <w:noProof/>
          <w:color w:val="000000"/>
          <w:sz w:val="24"/>
        </w:rPr>
        <w:t>1.</w:t>
      </w:r>
      <w:r>
        <w:rPr>
          <w:noProof/>
        </w:rPr>
        <w:tab/>
      </w:r>
      <w:r>
        <w:rPr>
          <w:rFonts w:ascii="Times New Roman" w:hAnsi="Times New Roman"/>
          <w:b/>
          <w:noProof/>
          <w:color w:val="000000"/>
          <w:sz w:val="24"/>
        </w:rPr>
        <w:t xml:space="preserve">Beschrijving van hervormingen en investeringen </w:t>
      </w:r>
    </w:p>
    <w:p w14:paraId="1E885770" w14:textId="77777777" w:rsidR="00480F1C" w:rsidRDefault="00A201F6">
      <w:pPr>
        <w:pStyle w:val="P68B1DB1-Text12"/>
        <w:ind w:left="0"/>
        <w:rPr>
          <w:rFonts w:eastAsia="Times New Roman"/>
          <w:noProof/>
        </w:rPr>
      </w:pPr>
      <w:r>
        <w:rPr>
          <w:noProof/>
        </w:rPr>
        <w:t>A. COMPONENT A: „VEERKRACHT EN CONCURRENTIEVERMOGEN VAN DE ECONOMIE”</w:t>
      </w:r>
    </w:p>
    <w:p w14:paraId="619839D3" w14:textId="6D729AE1" w:rsidR="00480F1C" w:rsidRDefault="00A201F6">
      <w:pPr>
        <w:pStyle w:val="Text1"/>
        <w:ind w:left="0"/>
        <w:rPr>
          <w:noProof/>
          <w:color w:val="000000"/>
        </w:rPr>
      </w:pPr>
      <w:bookmarkStart w:id="2" w:name="_heading=h.30j0zll"/>
      <w:bookmarkEnd w:id="2"/>
      <w:r>
        <w:rPr>
          <w:noProof/>
        </w:rPr>
        <w:t>Dit onderdeel van het Poolse herstel- en veerkrachtplan draagt bij tot het aanpakken van verschillende uitdagingen in verband met de veerkracht en het concurrentievermogen van de Poolse economie. De eerste overkoepelende uitdaging houdt verband met het investeringsklimaat en het ondernemingsklimaat, die de afgelopen jaren zijn belemmerd door tekortkomingen in de regelgeving, omslachtige administratieve vereisten en procedures en frequente wijzigingen van belangrijke wetten. Ten tweede moet Polen zijn innovatiecapaciteit nog vergroten om zijn groeimodel te verbeteren van kostenconcurrentievermogen naar duurzaamheid en activiteiten met een hogere toegevoegde waarde. De totale uitgaven voor onderzoek en ontwikkeling (O &amp;O; O &amp; O) blijven laag: 1,4 % van het bbp tegenover 2,3 % in de EU in 2020. Hoewel de bedrijfsuitgaven voor O &amp; O de afgelopen tien jaar meer dan verviervoudigd zijn, blijven zij onder het EU-gemiddelde. Ten derde vereisen de digitale transformatie en andere economische transities inspanningen om de relevantie van vaardigheden voor de arbeidsmarkt en de modernisering van beroepsonderwijs en -opleiding te verbeteren. Ten vierde nemen vrouwen, ouderen, personen met een handicap en laaggeschoolden veel minder deel aan de arbeidsmarkt dan in veel andere EU-landen. Dit is het gevolg van verschillende factoren, waaronder een beperkte toegang tot kinderopvang en langdurige zorg en een lage wettelijke en effectieve pensioenleeftijd. Bovendien wordt de flexibiliteit van de arbeidsmarkt beperkt door speciale pensioenstelsels en een gebrek aan flexibiliteit in werktijdregelingen. Ten slotte blijft het aandeel tijdelijke arbeidsovereenkomsten hoog, ook al is het gestaag gedaald.</w:t>
      </w:r>
    </w:p>
    <w:p w14:paraId="17F46405" w14:textId="1BE4CF72" w:rsidR="00480F1C" w:rsidRDefault="00A201F6">
      <w:pPr>
        <w:pStyle w:val="P68B1DB1-Text13"/>
        <w:ind w:left="0"/>
        <w:rPr>
          <w:rFonts w:eastAsia="Times New Roman"/>
          <w:noProof/>
        </w:rPr>
      </w:pPr>
      <w:r>
        <w:rPr>
          <w:noProof/>
        </w:rPr>
        <w:t>De belangrijkste doelstelling van de component is het stimuleren van investeringen, het verhogen van de productiviteit en het versterken van het concurrentievermogen en de veerkracht van de Poolse economie. Daartoe is het onderdeel gericht op het volgende: I) de houdbaarheid en toereikendheid van het begrotingskader versterken; de regelgevings- en administratieve lasten voor bedrijven en ondernemers verminderen; de digitale en groene transitie en de veerkracht van belangrijke sectoren van de economie, waaronder de agrovoedingssector, te ondersteunen; het innovatie-ecosysteem verbeteren; de relevantie van vaardigheden voor de arbeidsmarkt te bevorderen en een leven lang leren te verbeteren; de arbeidsmarktparticipatie te verhogen en de effectieve pensioenleeftijd te verhogen; de toegang tot en de kwaliteit van kinderopvang voor kinderen jonger dan 3 jaar verbeteren en viii) de doeltreffendheid van de openbare diensten voor arbeidsvoorziening vergroten.</w:t>
      </w:r>
    </w:p>
    <w:p w14:paraId="575CBA66" w14:textId="1174A5E7" w:rsidR="00480F1C" w:rsidRDefault="00A201F6">
      <w:pPr>
        <w:pStyle w:val="P68B1DB1-Text13"/>
        <w:ind w:left="0"/>
        <w:rPr>
          <w:rFonts w:eastAsia="Times New Roman"/>
          <w:noProof/>
        </w:rPr>
      </w:pPr>
      <w:r>
        <w:rPr>
          <w:noProof/>
        </w:rPr>
        <w:t>De component heeft betrekking op de volgende landspecifieke aanbevelingen die in 2020 en 2019 in het kader van het Europees semester voor Polen zijn gedaan, met name: Landspecifieke aanbevelingen 3, 2019 en 4 en 2020 met betrekking tot de verbetering van het investeringsklimaat en het regelgevingskader, met name door de rol van openbare raadplegingen in het wetgevingsproces te versterken. In het onderdeel komen verder de volgende onderwerpen aan bod: Landspecifieke aanbevelingen 1, 2019 en 1 en 2020 met betrekking tot het verbeteren van de efficiëntie van de overheidsuitgaven en het begrotingsproces en het ondersteunen van het economisch herstel door middel van overheidsmaatregelen; Landspecifieke aanbeveling 2, 2019 met betrekking tot de toereikendheid van toekomstige pensioenuitkeringen en de houdbaarheid van het pensioenstelsel, met name door maatregelen te nemen om de effectieve pensioenleeftijd te verhogen en stappen te ondernemen om de arbeidsmarktparticipatie te vergroten, onder meer door de toegang tot kinderopvang en langdurige zorg te verbeteren, en door de resterende belemmeringen voor meer permanente vormen van werkgelegenheid weg te nemen, en tot slot door maatregelen om de relevantie van vaardigheden voor de arbeidsmarkt te vergroten en een leven lang leren te verbeteren; Landspecifieke aanbeveling 3, 2019 door de innovatiecapaciteit van de economie te versterken, onder meer door onderzoeksinstellingen en hun nauwere samenwerking met het bedrijfsleven te ondersteunen.</w:t>
      </w:r>
    </w:p>
    <w:p w14:paraId="6D7D8B72" w14:textId="3D18C9FF" w:rsidR="00480F1C" w:rsidRDefault="00A201F6">
      <w:pPr>
        <w:pStyle w:val="P68B1DB1-Text13"/>
        <w:ind w:left="0"/>
        <w:rPr>
          <w:rFonts w:eastAsia="Times New Roman"/>
          <w:noProof/>
          <w:color w:val="000000"/>
        </w:rPr>
      </w:pPr>
      <w:r>
        <w:rPr>
          <w:noProof/>
        </w:rPr>
        <w:t xml:space="preserve">Verwacht wordt dat geen enkele maatregel in deze component ernstige afbreuk doet aan milieudoelstellingen in de zin van artikel 17 van Verordening (EU) 2020/852, rekening houdend met de beschrijving van de maatregelen en de risicobeperkende stappen in het herstel- en veerkrachtplan overeenkomstig de technische richtsnoeren inzake „geen ernstige afbreuk doen” (2021/C 58/01). </w:t>
      </w:r>
    </w:p>
    <w:p w14:paraId="6A05A809"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047A2FE4" w14:textId="77777777" w:rsidR="00480F1C" w:rsidRDefault="00A201F6">
      <w:pPr>
        <w:pStyle w:val="Text1"/>
        <w:ind w:left="0"/>
        <w:rPr>
          <w:rFonts w:eastAsia="Times New Roman"/>
          <w:b/>
          <w:noProof/>
          <w:color w:val="000000"/>
        </w:rPr>
      </w:pPr>
      <w:r>
        <w:rPr>
          <w:b/>
          <w:noProof/>
          <w:color w:val="000000"/>
        </w:rPr>
        <w:t xml:space="preserve">A.1. </w:t>
      </w:r>
      <w:r>
        <w:rPr>
          <w:noProof/>
        </w:rPr>
        <w:tab/>
      </w:r>
      <w:r>
        <w:rPr>
          <w:b/>
          <w:noProof/>
          <w:color w:val="000000"/>
        </w:rPr>
        <w:t>Beschrijving van de hervormingen en investeringen voor niet-terugbetaalbare financiële steun</w:t>
      </w:r>
    </w:p>
    <w:p w14:paraId="6FFA00B4"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sz w:val="24"/>
        </w:rPr>
      </w:pPr>
    </w:p>
    <w:p w14:paraId="0384F559" w14:textId="623CFB91" w:rsidR="00480F1C" w:rsidRDefault="00A201F6">
      <w:pPr>
        <w:pStyle w:val="Text1"/>
        <w:ind w:left="0"/>
        <w:rPr>
          <w:rFonts w:eastAsia="Times New Roman"/>
          <w:b/>
          <w:noProof/>
          <w:color w:val="000000"/>
        </w:rPr>
      </w:pPr>
      <w:r>
        <w:rPr>
          <w:noProof/>
        </w:rPr>
        <w:t>Subcomponent</w:t>
      </w:r>
      <w:r>
        <w:rPr>
          <w:b/>
          <w:noProof/>
          <w:color w:val="000000"/>
        </w:rPr>
        <w:t>A1 — Het effect van COVID-19 op bedrijven</w:t>
      </w:r>
      <w:r>
        <w:rPr>
          <w:noProof/>
        </w:rPr>
        <w:t>verminderen</w:t>
      </w:r>
    </w:p>
    <w:p w14:paraId="588BD50C"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7BEBEF5D" w14:textId="77777777" w:rsidR="00480F1C" w:rsidRDefault="00A201F6">
      <w:pPr>
        <w:pStyle w:val="P68B1DB1-Text14"/>
        <w:ind w:left="0"/>
        <w:rPr>
          <w:rFonts w:eastAsia="Times New Roman"/>
          <w:noProof/>
        </w:rPr>
      </w:pPr>
      <w:r>
        <w:rPr>
          <w:noProof/>
        </w:rPr>
        <w:t>A1.1 Hervorming van het begrotingskader</w:t>
      </w:r>
    </w:p>
    <w:p w14:paraId="57B92EAC" w14:textId="06E9162B" w:rsidR="00480F1C" w:rsidRDefault="00A201F6">
      <w:pPr>
        <w:pStyle w:val="P68B1DB1-Text13"/>
        <w:ind w:left="0"/>
        <w:rPr>
          <w:rFonts w:eastAsia="Times New Roman"/>
          <w:noProof/>
          <w:color w:val="000000"/>
        </w:rPr>
      </w:pPr>
      <w:r>
        <w:rPr>
          <w:noProof/>
        </w:rPr>
        <w:t>De overkoepelende doelstelling van de hervorming is de transparantie en efficiëntie van de overheidsuitgaven te vergroten. Daartoe beoogt de hervorming: I) een efficiënter beheer van overheidsmiddelen mogelijk te maken; II) het versterken van de verantwoordingsplicht bij het beheer van overheidsmiddelen; III) het verhogen van de houdbaarheid van de overheidsfinanciën en het voorkomen van een onhoudbare stijging van de uitgaven.</w:t>
      </w:r>
    </w:p>
    <w:p w14:paraId="28775C3C" w14:textId="6ECC99FA" w:rsidR="00480F1C" w:rsidRDefault="00A201F6">
      <w:pPr>
        <w:pStyle w:val="P68B1DB1-Text13"/>
        <w:ind w:left="0"/>
        <w:rPr>
          <w:rFonts w:eastAsia="Times New Roman"/>
          <w:noProof/>
          <w:color w:val="000000"/>
        </w:rPr>
      </w:pPr>
      <w:r>
        <w:rPr>
          <w:noProof/>
        </w:rPr>
        <w:t xml:space="preserve">De hervorming bestaat uit de uitvoering van twee wetgevende maatregelen. Ten eerste wordt de wet op de overheidsfinanciën gewijzigd door er een nieuw classificatiesysteem, een nieuw model voor begrotingsbeheer en een geherdefinieerd begrotingskader voor de middellange termijn in op te nemen. Als gevolg van de wijziging wordt een nieuw begrotingssysteem ingesteld. Ten tweede zal de Wet op de overheidsfinanciën worden gewijzigd door de werkingssfeer van de uitgavenstabiliseringsregel uit te breiden tot meer eenheden van de overheid, met name tot doelfondsen. </w:t>
      </w:r>
    </w:p>
    <w:p w14:paraId="715073A6" w14:textId="77777777" w:rsidR="00480F1C" w:rsidRDefault="00A201F6">
      <w:pPr>
        <w:pStyle w:val="P68B1DB1-Text13"/>
        <w:ind w:left="0"/>
        <w:rPr>
          <w:rFonts w:eastAsia="Times New Roman"/>
          <w:noProof/>
          <w:color w:val="000000"/>
        </w:rPr>
      </w:pPr>
      <w:r>
        <w:rPr>
          <w:noProof/>
        </w:rPr>
        <w:t xml:space="preserve">De uitvoering van de hervorming wordt uiterlijk op 31 maart 2025 voltooid. </w:t>
      </w:r>
    </w:p>
    <w:p w14:paraId="5A39BBE3"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u w:val="single"/>
        </w:rPr>
      </w:pPr>
    </w:p>
    <w:p w14:paraId="0F455941" w14:textId="31A948B6" w:rsidR="00480F1C" w:rsidRDefault="00A201F6">
      <w:pPr>
        <w:pStyle w:val="P68B1DB1-Text14"/>
        <w:ind w:left="0"/>
        <w:rPr>
          <w:rFonts w:eastAsia="Times New Roman"/>
          <w:noProof/>
        </w:rPr>
      </w:pPr>
      <w:r>
        <w:rPr>
          <w:noProof/>
        </w:rPr>
        <w:t>A1.2 Verdere vermindering van de regelgevings- en administratieve lasten</w:t>
      </w:r>
    </w:p>
    <w:p w14:paraId="49365BFF" w14:textId="10954A76" w:rsidR="00480F1C" w:rsidRDefault="00A201F6">
      <w:pPr>
        <w:pStyle w:val="P68B1DB1-Text13"/>
        <w:ind w:left="0"/>
        <w:rPr>
          <w:rFonts w:eastAsia="Times New Roman"/>
          <w:noProof/>
          <w:color w:val="000000"/>
        </w:rPr>
      </w:pPr>
      <w:r>
        <w:rPr>
          <w:noProof/>
        </w:rPr>
        <w:t xml:space="preserve">De overkoepelende doelstelling van de hervorming is de administratieve en regeldruk voor bedrijven in Polen te verminderen en particuliere investeringen, met name in kmo’s, te bevorderen. Daartoe beoogt de hervorming i) de administratieve en juridische procedures te vereenvoudigen, ii) de wettelijke vereisten voor bedrijven en ondernemers tot een minimum te beperken, en iii) de besluitvorming te versnellen. </w:t>
      </w:r>
    </w:p>
    <w:p w14:paraId="7523E4AF" w14:textId="38EB7365" w:rsidR="00480F1C" w:rsidRDefault="00A201F6">
      <w:pPr>
        <w:pStyle w:val="P68B1DB1-Text13"/>
        <w:ind w:left="0"/>
        <w:rPr>
          <w:rFonts w:eastAsia="Times New Roman"/>
          <w:noProof/>
          <w:color w:val="000000"/>
        </w:rPr>
      </w:pPr>
      <w:r>
        <w:rPr>
          <w:noProof/>
        </w:rPr>
        <w:t>De hervorming bestaat uit één wetgevingspakket. Het „wettelijke schild” (</w:t>
      </w:r>
      <w:r>
        <w:rPr>
          <w:i/>
          <w:noProof/>
        </w:rPr>
        <w:t>Tarcza prawna</w:t>
      </w:r>
      <w:r>
        <w:rPr>
          <w:noProof/>
        </w:rPr>
        <w:t xml:space="preserve">) voert de volgende wettelijke bepalingen in: I) elektronische procedures het belangrijkste kanaal maken voor de afhandeling van ten minste acht administratieve en juridische procedures, met inbegrip van de indiening van verklaringen van toeristische exploitanten en ondernemers bij het verzekeringsgarantiefonds; II) de administratieve procedures te vereenvoudigen, met name met betrekking tot de beroepen van zeevarenden en de handel in alcoholhoudende dranken; III) vermindering van het gebruik van de tweesporenprocedure in ten minste tien procedures die met name betrekking hebben op geologische hulpbronnen; IV) het aantal documenten en formaliteiten beperken dat vereist is in administratieve procedures, bijvoorbeeld in het kader van ruimtelijke ordening en bouwprocessen; en v) de termijnen voor bepaalde administratieve procedures te verlengen, bijvoorbeeld voor de registratie van een in een andere lidstaat gekochte auto. </w:t>
      </w:r>
    </w:p>
    <w:p w14:paraId="1EE72829" w14:textId="7AA085D5" w:rsidR="00480F1C" w:rsidRDefault="00A201F6">
      <w:pPr>
        <w:pStyle w:val="P68B1DB1-Text13"/>
        <w:ind w:left="0"/>
        <w:rPr>
          <w:rFonts w:eastAsia="Times New Roman"/>
          <w:noProof/>
          <w:color w:val="000000"/>
        </w:rPr>
      </w:pPr>
      <w:r>
        <w:rPr>
          <w:noProof/>
        </w:rPr>
        <w:t>De uitvoering van de hervorming wordt uiterlijk op 30 juni 2023 voltooid.</w:t>
      </w:r>
    </w:p>
    <w:p w14:paraId="5CBFD537"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u w:val="single"/>
        </w:rPr>
      </w:pPr>
    </w:p>
    <w:p w14:paraId="4F865CFD" w14:textId="77777777" w:rsidR="00480F1C" w:rsidRDefault="00A201F6">
      <w:pPr>
        <w:pStyle w:val="P68B1DB1-Text14"/>
        <w:keepNext/>
        <w:ind w:left="0"/>
        <w:rPr>
          <w:rFonts w:eastAsia="Times New Roman"/>
          <w:noProof/>
        </w:rPr>
      </w:pPr>
      <w:r>
        <w:rPr>
          <w:noProof/>
        </w:rPr>
        <w:t xml:space="preserve">A1.2.1 Investeringen voor ondernemingen in producten, diensten en competenties van werknemers en personeel in verband met de diversificatie van activiteiten </w:t>
      </w:r>
    </w:p>
    <w:p w14:paraId="76CDE40A" w14:textId="72A33D6A" w:rsidR="00480F1C" w:rsidRDefault="00A201F6">
      <w:pPr>
        <w:pStyle w:val="P68B1DB1-Text13"/>
        <w:ind w:left="0"/>
        <w:rPr>
          <w:rFonts w:eastAsia="Times New Roman"/>
          <w:noProof/>
          <w:color w:val="000000"/>
        </w:rPr>
      </w:pPr>
      <w:r>
        <w:rPr>
          <w:noProof/>
        </w:rPr>
        <w:t xml:space="preserve">De overkoepelende doelstelling van deze investering is het ondersteunen van de veerkracht van kmo’s en micro-ondernemingen in de sectoren die het zwaarst zijn getroffen door de COVID-19-pandemie in Polen, met name in de sectoren HoReCa, toerisme en cultuur. Daartoe hebben de investeringen tot doel de opschaling en diversificatie van de activiteiten van kmo’s en micro-ondernemingen in deze sectoren aan te moedigen. </w:t>
      </w:r>
    </w:p>
    <w:p w14:paraId="6E1087DA" w14:textId="67B98341" w:rsidR="00480F1C" w:rsidRDefault="00A201F6">
      <w:pPr>
        <w:pStyle w:val="P68B1DB1-Text13"/>
        <w:ind w:left="0"/>
        <w:rPr>
          <w:rFonts w:eastAsia="Times New Roman"/>
          <w:noProof/>
          <w:color w:val="000000"/>
        </w:rPr>
      </w:pPr>
      <w:r>
        <w:rPr>
          <w:noProof/>
        </w:rPr>
        <w:t>De investering bestaat uit de uitvoering van de volgende drie soorten activiteiten:</w:t>
      </w:r>
    </w:p>
    <w:p w14:paraId="13AEBF05" w14:textId="2597CBE3" w:rsidR="00480F1C" w:rsidRDefault="00A201F6">
      <w:pPr>
        <w:pStyle w:val="P68B1DB1-Normal05"/>
        <w:numPr>
          <w:ilvl w:val="0"/>
          <w:numId w:val="12"/>
        </w:numPr>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Investeringen in het ontwerp en de productie van hun goederen en diensten, zoals: I) aankoop van machines en uitrusting die nodig zijn voor het lanceren van nieuwe producten/diensten; II) bouwwerkzaamheden, met inbegrip van de bouw van nieuwe productielijnen; III) investeringen in verband met de groene transitie, met name om afvalpreventie door ontwerp, recycling/hergebruik van afval aan te moedigen en oplossingen op het gebied van hernieuwbare energie toe te passen; </w:t>
      </w:r>
    </w:p>
    <w:p w14:paraId="759FE377" w14:textId="77777777" w:rsidR="00480F1C" w:rsidRDefault="00A201F6">
      <w:pPr>
        <w:pStyle w:val="P68B1DB1-Normal05"/>
        <w:numPr>
          <w:ilvl w:val="0"/>
          <w:numId w:val="11"/>
        </w:numPr>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Adviesdiensten voor de uitvoering van projecten; </w:t>
      </w:r>
    </w:p>
    <w:p w14:paraId="3E6CC8F5" w14:textId="77777777" w:rsidR="00480F1C" w:rsidRDefault="00A201F6">
      <w:pPr>
        <w:pStyle w:val="P68B1DB1-Normal05"/>
        <w:numPr>
          <w:ilvl w:val="0"/>
          <w:numId w:val="10"/>
        </w:numPr>
        <w:pBdr>
          <w:top w:val="nil"/>
          <w:left w:val="nil"/>
          <w:bottom w:val="nil"/>
          <w:right w:val="nil"/>
          <w:between w:val="nil"/>
        </w:pBdr>
        <w:spacing w:before="120" w:after="120" w:line="240" w:lineRule="auto"/>
        <w:jc w:val="both"/>
        <w:rPr>
          <w:rFonts w:eastAsia="Times New Roman" w:cs="Times New Roman"/>
          <w:noProof/>
          <w:color w:val="000000"/>
        </w:rPr>
      </w:pPr>
      <w:r>
        <w:rPr>
          <w:noProof/>
        </w:rPr>
        <w:t>Bij- en omscholing van werknemers door het aanbieden van opleidingen op het gebied van nieuwe IT-oplossingen, nieuwe technologieën, analyse van de behoeften van klanten, informatie-/gegevensbeheer en risicobeheer.</w:t>
      </w:r>
    </w:p>
    <w:p w14:paraId="357D57F6" w14:textId="39EF5AD9" w:rsidR="00480F1C" w:rsidRDefault="00A201F6">
      <w:pPr>
        <w:pStyle w:val="P68B1DB1-Text13"/>
        <w:ind w:left="0"/>
        <w:rPr>
          <w:rFonts w:eastAsia="Times New Roman"/>
          <w:noProof/>
        </w:rPr>
      </w:pPr>
      <w:r>
        <w:rPr>
          <w:noProof/>
        </w:rPr>
        <w:t>De maatregel zorgt voor een evenwichtige uitvoering van alle beschreven soorten projecten, rekening houdend met zowel de specifieke behoeften van de begunstigden als de doelstellingen van de RRF-verordening.</w:t>
      </w:r>
    </w:p>
    <w:p w14:paraId="6971A52E" w14:textId="73018872" w:rsidR="00480F1C" w:rsidRDefault="00A201F6">
      <w:pPr>
        <w:pStyle w:val="P68B1DB1-Text13"/>
        <w:ind w:left="0"/>
        <w:rPr>
          <w:rFonts w:eastAsia="Times New Roman"/>
          <w:noProof/>
          <w:color w:val="000000"/>
        </w:rPr>
      </w:pPr>
      <w:r>
        <w:rPr>
          <w:noProof/>
        </w:rPr>
        <w:t xml:space="preserve">De uitvoering van de investering moet uiterlijk op 30 juni 2026 zijn voltooid. </w:t>
      </w:r>
    </w:p>
    <w:p w14:paraId="0D0B940D" w14:textId="39082CD7" w:rsidR="00480F1C" w:rsidRDefault="00480F1C">
      <w:pPr>
        <w:pStyle w:val="Text1"/>
        <w:ind w:left="0"/>
        <w:rPr>
          <w:rFonts w:eastAsia="Times New Roman"/>
          <w:b/>
          <w:noProof/>
          <w:color w:val="000000"/>
          <w:u w:val="single"/>
        </w:rPr>
      </w:pPr>
    </w:p>
    <w:p w14:paraId="0F261F2B" w14:textId="77777777" w:rsidR="00480F1C" w:rsidRDefault="00A201F6">
      <w:pPr>
        <w:pStyle w:val="P68B1DB1-Text14"/>
        <w:ind w:left="0"/>
        <w:rPr>
          <w:rFonts w:eastAsia="Times New Roman"/>
          <w:noProof/>
        </w:rPr>
      </w:pPr>
      <w:r>
        <w:rPr>
          <w:noProof/>
        </w:rPr>
        <w:t>A1.3 Hervorming van de ruimtelijke ordening</w:t>
      </w:r>
    </w:p>
    <w:p w14:paraId="44B8E70C" w14:textId="19E76F89" w:rsidR="00480F1C" w:rsidRDefault="00A201F6">
      <w:pPr>
        <w:pStyle w:val="P68B1DB1-Text13"/>
        <w:ind w:left="0"/>
        <w:rPr>
          <w:rFonts w:eastAsia="Times New Roman"/>
          <w:noProof/>
          <w:color w:val="000000"/>
        </w:rPr>
      </w:pPr>
      <w:r>
        <w:rPr>
          <w:noProof/>
        </w:rPr>
        <w:t>De overkoepelende doelstelling van de hervorming is het creëren van een stabiel en voorspelbaar investeringsklimaat voor de bouwsector en het bestrijden van de ongecontroleerde verspreiding van gebouwen naar peri-urbane gebieden, met name in de grootste steden. Daartoe is het doel van de hervorming i) de bestaande wetgeving te stroomlijnen en het rechtskader voor ruimtelijke ordening op gemeentelijk niveau te verbeteren; II) transparante en duidelijke regels voor ruimtelijke ordening op gemeentelijk niveau te creëren, met name door toegang te bieden tot duidelijke, digitale en betrouwbare informatie over de ontwikkeling van grond in gemeenten; III) de betrokkenheid van belanghebbenden en sociale partners bij het opstellen van gemeentelijke algemene plannen te vergroten.</w:t>
      </w:r>
    </w:p>
    <w:p w14:paraId="74E6925F" w14:textId="112B02C6" w:rsidR="00480F1C" w:rsidRDefault="00A201F6">
      <w:pPr>
        <w:pStyle w:val="P68B1DB1-Text13"/>
        <w:ind w:left="0"/>
        <w:rPr>
          <w:rFonts w:eastAsia="Times New Roman"/>
          <w:noProof/>
          <w:color w:val="000000"/>
        </w:rPr>
      </w:pPr>
      <w:r>
        <w:rPr>
          <w:noProof/>
        </w:rPr>
        <w:t>De hervorming bestaat uit de goedkeuring van een nieuwe wet inzake ruimtelijke ordening. De wet:  I) een verplichting in te voeren voor alle gemeenten om algemene ruimtelijkeordeningsplannen op te stellen en vast te stellen, die moeten worden omgezet in lokale wetgeving, waarin de algemene regels voor de bouw in het gemeentelijk gebied worden vastgelegd; II) een vereiste in te voeren dat investeerders ertoe verplicht aanvullende projecten ten behoeve van de gemeente uit te voeren bij de bouw van nieuwe ontwikkelingsprojecten, onder meer om de woningontwikkeling te verminderen zonder toereikende dienstverlening; III) het proces bepalen waarin belanghebbenden kunnen deelnemen aan het opstellen van strategieën en algemene plannen in gemeenten.</w:t>
      </w:r>
    </w:p>
    <w:p w14:paraId="2D2050E6" w14:textId="77777777" w:rsidR="00480F1C" w:rsidRDefault="00A201F6">
      <w:pPr>
        <w:pStyle w:val="P68B1DB1-Text13"/>
        <w:ind w:left="0"/>
        <w:rPr>
          <w:rFonts w:eastAsia="Times New Roman"/>
          <w:noProof/>
        </w:rPr>
      </w:pPr>
      <w:r>
        <w:rPr>
          <w:noProof/>
        </w:rPr>
        <w:t>De uitvoering van de hervorming wordt uiterlijk op 31 maart 2023 voltooid.</w:t>
      </w:r>
    </w:p>
    <w:p w14:paraId="0E27B00A"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16BB8E30" w14:textId="77777777" w:rsidR="00480F1C" w:rsidRDefault="00A201F6">
      <w:pPr>
        <w:pStyle w:val="P68B1DB1-Text14"/>
        <w:ind w:left="0"/>
        <w:rPr>
          <w:rFonts w:eastAsia="Times New Roman"/>
          <w:noProof/>
        </w:rPr>
      </w:pPr>
      <w:r>
        <w:rPr>
          <w:noProof/>
        </w:rPr>
        <w:t>A1.3.1 Uitvoering van de hervorming van de ruimtelijke ordening</w:t>
      </w:r>
    </w:p>
    <w:p w14:paraId="34C0C2E3" w14:textId="7163A1BA" w:rsidR="00480F1C" w:rsidRDefault="00A201F6">
      <w:pPr>
        <w:pStyle w:val="P68B1DB1-Text13"/>
        <w:ind w:left="0"/>
        <w:rPr>
          <w:rFonts w:eastAsia="Times New Roman"/>
          <w:noProof/>
          <w:color w:val="000000"/>
        </w:rPr>
      </w:pPr>
      <w:r>
        <w:rPr>
          <w:noProof/>
        </w:rPr>
        <w:t xml:space="preserve">De investering is bedoeld ter ondersteuning van de uitvoering van de nieuwe hervorming van de ruimtelijke ordening als bedoeld in hervorming A.1.3 van afdeling A. De investering is bedoeld om gemeenten te ondersteunen bij het opstellen van algemene ruimtelijkeordeningsplannen, met als doel dat 80 % van de gemeenten in Polen nieuwe algemene ruimtelijkeordeningsplannen goedkeurt. De investering bestaat uit drie soorten acties: het verlenen van technische ondersteuning bij het opstellen van algemene ruimtelijkeordeningsplannen; II) verstrekking van educatief materiaal aan gemeenten (zoals webinars en handboeken); III) het aanbieden van gerichte opleidingen voor planners die betrokken zijn bij de ontwikkeling van algemene plannen in gemeenten, met het oog op de opleiding van ten minste 1700 personeelsleden. </w:t>
      </w:r>
    </w:p>
    <w:p w14:paraId="7AE89B59" w14:textId="2AD08AC3" w:rsidR="00480F1C" w:rsidRDefault="00A201F6">
      <w:pPr>
        <w:pStyle w:val="P68B1DB1-Text13"/>
        <w:ind w:left="0"/>
        <w:rPr>
          <w:rFonts w:eastAsia="Times New Roman"/>
          <w:noProof/>
          <w:color w:val="000000"/>
        </w:rPr>
      </w:pPr>
      <w:r>
        <w:rPr>
          <w:noProof/>
        </w:rPr>
        <w:t>De uitvoering van de investering moet uiterlijk op 30 juni 2026 zijn voltooid.</w:t>
      </w:r>
    </w:p>
    <w:p w14:paraId="60061E4C"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6F7E985D" w14:textId="77777777" w:rsidR="00480F1C" w:rsidRDefault="00A201F6">
      <w:pPr>
        <w:pStyle w:val="P68B1DB1-Text16"/>
        <w:ind w:left="0"/>
        <w:rPr>
          <w:rFonts w:eastAsia="Times New Roman"/>
          <w:noProof/>
          <w:u w:val="single"/>
        </w:rPr>
      </w:pPr>
      <w:r>
        <w:rPr>
          <w:noProof/>
          <w:u w:val="single"/>
        </w:rPr>
        <w:t>A1.4 Hervorming ter verbetering van het concurrentievermogen en de bescherming van producenten/consumenten in de landbouwsector</w:t>
      </w:r>
      <w:r>
        <w:rPr>
          <w:noProof/>
        </w:rPr>
        <w:t xml:space="preserve"> </w:t>
      </w:r>
    </w:p>
    <w:p w14:paraId="596AE543" w14:textId="77777777" w:rsidR="00480F1C" w:rsidRDefault="00A201F6">
      <w:pPr>
        <w:pStyle w:val="P68B1DB1-Text13"/>
        <w:ind w:left="0"/>
        <w:rPr>
          <w:rFonts w:eastAsia="Times New Roman"/>
          <w:noProof/>
          <w:color w:val="000000"/>
        </w:rPr>
      </w:pPr>
      <w:r>
        <w:rPr>
          <w:noProof/>
        </w:rPr>
        <w:t>De overkoepelende doelstelling van de hervorming is de positie van consumenten en producenten in de agrovoedingsketen te versterken teneinde de investeringen en veerkracht van alle actoren in de agrovoedingssector, met name kmo’s en kleine producenten, te vergroten. Daartoe beoogt de hervorming: I) het opstellen van een reeks beginselen en goede praktijken op het gebied van verticale relaties in de toeleveringsketen van agrovoedingsmiddelen; II) verbetering van het systeem voor de handhaving van contracten in de agrovoedingssector om de exploitatie van contractuele voordelen te voorkomen; en iii) het vergroten van de markttransparantie.</w:t>
      </w:r>
    </w:p>
    <w:p w14:paraId="13D07B45" w14:textId="77777777" w:rsidR="00480F1C" w:rsidRDefault="00A201F6">
      <w:pPr>
        <w:pStyle w:val="P68B1DB1-Text13"/>
        <w:ind w:left="0"/>
        <w:rPr>
          <w:rFonts w:eastAsia="Times New Roman"/>
          <w:noProof/>
        </w:rPr>
      </w:pPr>
      <w:r>
        <w:rPr>
          <w:noProof/>
        </w:rPr>
        <w:t xml:space="preserve">De hervorming bestaat uit een nieuwe wet ter bestrijding van het oneerlijke gebruik van contractuele voordelen in de agrovoedingssector, die verder gaat dan Richtlijn 2019/633 inzake oneerlijke handelspraktijken. De hervorming bestaat uit: </w:t>
      </w:r>
    </w:p>
    <w:p w14:paraId="0D41D984" w14:textId="068DFB56" w:rsidR="00480F1C" w:rsidRDefault="00A201F6">
      <w:pPr>
        <w:pStyle w:val="P68B1DB1-Normal05"/>
        <w:numPr>
          <w:ilvl w:val="0"/>
          <w:numId w:val="18"/>
        </w:numPr>
        <w:pBdr>
          <w:top w:val="nil"/>
          <w:left w:val="nil"/>
          <w:bottom w:val="nil"/>
          <w:right w:val="nil"/>
          <w:between w:val="nil"/>
        </w:pBdr>
        <w:spacing w:before="120" w:after="120" w:line="240" w:lineRule="auto"/>
        <w:jc w:val="both"/>
        <w:rPr>
          <w:rFonts w:eastAsia="Times New Roman" w:cs="Times New Roman"/>
          <w:noProof/>
        </w:rPr>
      </w:pPr>
      <w:r>
        <w:rPr>
          <w:noProof/>
        </w:rPr>
        <w:t xml:space="preserve">Naast de lijst van oneerlijke handelspraktijken in Richtlijn 2019/633 wordt bij de hervorming een open definitie van oneerlijke handelspraktijken ingevoerd. Dergelijke aanvullende handelspraktijken worden met name door het Bureau voor Mededinging en Consumentenbescherming (UOKiK) als oneerlijk aangemerkt indien i) zij in strijd zijn met de vereisten van goed commercieel gedrag; zij de belangen van de andere contractpartijen wezenlijk verstoren of dreigen te verstoren. </w:t>
      </w:r>
    </w:p>
    <w:p w14:paraId="0D24AE66" w14:textId="77777777" w:rsidR="00480F1C" w:rsidRDefault="00A201F6">
      <w:pPr>
        <w:pStyle w:val="P68B1DB1-Normal05"/>
        <w:numPr>
          <w:ilvl w:val="0"/>
          <w:numId w:val="18"/>
        </w:numPr>
        <w:pBdr>
          <w:top w:val="nil"/>
          <w:left w:val="nil"/>
          <w:bottom w:val="nil"/>
          <w:right w:val="nil"/>
          <w:between w:val="nil"/>
        </w:pBdr>
        <w:spacing w:before="120" w:after="120" w:line="240" w:lineRule="auto"/>
        <w:jc w:val="both"/>
        <w:rPr>
          <w:rFonts w:cs="Times New Roman"/>
          <w:noProof/>
          <w:color w:val="000000"/>
        </w:rPr>
      </w:pPr>
      <w:r>
        <w:rPr>
          <w:noProof/>
        </w:rPr>
        <w:t xml:space="preserve">De hervorming beschermt alle marktdeelnemers, met inbegrip van kopers van landbouw- en voedingsproducten. </w:t>
      </w:r>
    </w:p>
    <w:p w14:paraId="5330F3D7" w14:textId="28176FC7" w:rsidR="00480F1C" w:rsidRDefault="00A201F6">
      <w:pPr>
        <w:pStyle w:val="P68B1DB1-Text13"/>
        <w:ind w:left="0"/>
        <w:rPr>
          <w:rFonts w:eastAsia="Times New Roman"/>
          <w:noProof/>
        </w:rPr>
      </w:pPr>
      <w:r>
        <w:rPr>
          <w:noProof/>
        </w:rPr>
        <w:t xml:space="preserve">De hervorming omvat ook de opstelling van een tussentijdse evaluatie van de nieuwe wet, die een beoordeling omvat van de vraag of de doelstellingen zijn bereikt en manieren voor actie om mogelijke problemen bij de uitvoering aan te pakken. </w:t>
      </w:r>
    </w:p>
    <w:p w14:paraId="438DC910" w14:textId="77777777" w:rsidR="00480F1C" w:rsidRDefault="00A201F6">
      <w:pPr>
        <w:pStyle w:val="P68B1DB1-Text13"/>
        <w:ind w:left="0"/>
        <w:rPr>
          <w:rFonts w:eastAsia="Times New Roman"/>
          <w:noProof/>
          <w:color w:val="000000"/>
        </w:rPr>
      </w:pPr>
      <w:r>
        <w:rPr>
          <w:noProof/>
        </w:rPr>
        <w:t>De uitvoering van de hervorming wordt uiterlijk op 30 juni 2025 voltooid.</w:t>
      </w:r>
    </w:p>
    <w:p w14:paraId="7002D965"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1950385F" w14:textId="4ACF92EE" w:rsidR="00480F1C" w:rsidRDefault="00A201F6">
      <w:pPr>
        <w:pStyle w:val="P68B1DB1-Text14"/>
        <w:ind w:left="0"/>
        <w:rPr>
          <w:rFonts w:eastAsia="Times New Roman"/>
          <w:noProof/>
        </w:rPr>
      </w:pPr>
      <w:r>
        <w:rPr>
          <w:noProof/>
        </w:rPr>
        <w:t>A1.4.1 Investeringen om de toeleveringsketen van landbouw- en voedingsproducten te diversifiëren en te verkorten en de veerkracht van entiteiten in de keten op te bouwen</w:t>
      </w:r>
    </w:p>
    <w:p w14:paraId="634BF464" w14:textId="78D4D71D" w:rsidR="00480F1C" w:rsidRDefault="00A201F6">
      <w:pPr>
        <w:pStyle w:val="P68B1DB1-Text13"/>
        <w:ind w:left="0"/>
        <w:rPr>
          <w:rFonts w:eastAsia="Times New Roman"/>
          <w:noProof/>
          <w:color w:val="000000"/>
        </w:rPr>
      </w:pPr>
      <w:r>
        <w:rPr>
          <w:noProof/>
        </w:rPr>
        <w:t>De overkoepelende doelstelling van deze investering is het versterken van het concurrentievermogen en de veerkracht van de agrovoedingssector en de visserijsector in Polen. Daartoe heeft de investering tot doel i) de groene en digitale transitie in de agrovoedingssector en de visserijsector te ondersteunen; II) de toeleveringsketen van agrovoeding, visserij en aquacultuur te verkorten en weerbaarder te maken, met name door lokale kmo’s, kleine producenten en vissers te ondersteunen; voorkomen van voedselverspilling en aanpakken van witte plekken en technische belemmeringen in verband met de herverdeling van voedsel.</w:t>
      </w:r>
    </w:p>
    <w:p w14:paraId="0DB136C5" w14:textId="77777777" w:rsidR="00480F1C" w:rsidRDefault="00A201F6">
      <w:pPr>
        <w:pStyle w:val="P68B1DB1-Text13"/>
        <w:ind w:left="0"/>
        <w:rPr>
          <w:rFonts w:eastAsia="Times New Roman"/>
          <w:noProof/>
          <w:color w:val="000000"/>
          <w:u w:val="single"/>
        </w:rPr>
      </w:pPr>
      <w:r>
        <w:rPr>
          <w:noProof/>
        </w:rPr>
        <w:t>De investering bestaat uit de volgende initiatieven:</w:t>
      </w:r>
    </w:p>
    <w:p w14:paraId="7A1C7060" w14:textId="022A97B0" w:rsidR="00480F1C" w:rsidRDefault="00A201F6">
      <w:pPr>
        <w:pStyle w:val="P68B1DB1-Normal05"/>
        <w:numPr>
          <w:ilvl w:val="0"/>
          <w:numId w:val="6"/>
        </w:numPr>
        <w:pBdr>
          <w:top w:val="nil"/>
          <w:left w:val="nil"/>
          <w:bottom w:val="nil"/>
          <w:right w:val="nil"/>
          <w:between w:val="nil"/>
        </w:pBdr>
        <w:spacing w:before="120" w:after="120" w:line="240" w:lineRule="auto"/>
        <w:jc w:val="both"/>
        <w:rPr>
          <w:rFonts w:eastAsia="Times New Roman" w:cs="Times New Roman"/>
          <w:noProof/>
          <w:color w:val="000000"/>
        </w:rPr>
      </w:pPr>
      <w:r>
        <w:rPr>
          <w:noProof/>
        </w:rPr>
        <w:t>Bouw en modernisering van lokale opslag- en distributiecentra, groothandelsmarkten, lokale voedselmarkten en coöperaties, met inbegrip van de modernisering van logistiek en ICT-infrastructuur.</w:t>
      </w:r>
    </w:p>
    <w:p w14:paraId="59E7583C" w14:textId="76E355E6" w:rsidR="00480F1C" w:rsidRDefault="00A201F6">
      <w:pPr>
        <w:pStyle w:val="P68B1DB1-Normal05"/>
        <w:numPr>
          <w:ilvl w:val="0"/>
          <w:numId w:val="6"/>
        </w:numPr>
        <w:pBdr>
          <w:top w:val="nil"/>
          <w:left w:val="nil"/>
          <w:bottom w:val="nil"/>
          <w:right w:val="nil"/>
          <w:between w:val="nil"/>
        </w:pBdr>
        <w:spacing w:before="120" w:after="120" w:line="240" w:lineRule="auto"/>
        <w:jc w:val="both"/>
        <w:rPr>
          <w:rFonts w:eastAsia="Times New Roman" w:cs="Times New Roman"/>
          <w:noProof/>
          <w:color w:val="000000"/>
        </w:rPr>
      </w:pPr>
      <w:r>
        <w:rPr>
          <w:noProof/>
        </w:rPr>
        <w:t>Steun aan kmo’s en micro-ondernemingen in de verwerking van agrovoedingsmiddelen, met inbegrip van de visserij- en aquacultuursector, die de aankoop van machines en uitrusting, met inbegrip van transportmiddelen, en de uitbreiding en modernisering van de infrastructuur van installaties omvat.</w:t>
      </w:r>
    </w:p>
    <w:p w14:paraId="7C1D8078" w14:textId="726AE2B2" w:rsidR="00480F1C" w:rsidRDefault="00A201F6">
      <w:pPr>
        <w:pStyle w:val="Normal0"/>
        <w:numPr>
          <w:ilvl w:val="0"/>
          <w:numId w:val="6"/>
        </w:numPr>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themeColor="text1"/>
          <w:sz w:val="24"/>
        </w:rPr>
      </w:pPr>
      <w:r>
        <w:rPr>
          <w:rFonts w:ascii="Times New Roman" w:hAnsi="Times New Roman"/>
          <w:noProof/>
          <w:sz w:val="24"/>
        </w:rPr>
        <w:t>Steun aan landbouwers en vissers voor de verwerking en afzet van landbouw- en voedingsproducten, met inbegrip van de bouw en modernisering van infrastructuur, en de aankoop van nieuwe machines en apparatuur voor de verwerking, het vervoer en de opslag van producten. De steun omvat ook de organisatie van de verkoop van agrovoedingsproducten via internet en de organisatie van leveringen.</w:t>
      </w:r>
      <w:r>
        <w:rPr>
          <w:noProof/>
        </w:rPr>
        <w:t xml:space="preserve"> </w:t>
      </w:r>
    </w:p>
    <w:p w14:paraId="506769C6" w14:textId="726AE2B2" w:rsidR="00480F1C" w:rsidRDefault="00A201F6">
      <w:pPr>
        <w:pStyle w:val="P68B1DB1-Normal05"/>
        <w:numPr>
          <w:ilvl w:val="0"/>
          <w:numId w:val="6"/>
        </w:numPr>
        <w:pBdr>
          <w:top w:val="nil"/>
          <w:left w:val="nil"/>
          <w:bottom w:val="nil"/>
          <w:right w:val="nil"/>
          <w:between w:val="nil"/>
        </w:pBdr>
        <w:spacing w:before="120" w:after="120" w:line="240" w:lineRule="auto"/>
        <w:jc w:val="both"/>
        <w:rPr>
          <w:rFonts w:eastAsia="Times New Roman" w:cs="Times New Roman"/>
          <w:noProof/>
          <w:color w:val="000000"/>
        </w:rPr>
      </w:pPr>
      <w:r>
        <w:rPr>
          <w:noProof/>
        </w:rPr>
        <w:t>Steun aan liefdadigheidsorganisaties in de agrovoedingssector voor de modernisering van gebouwen, infrastructuur en uitrusting, met inbegrip van transportmiddelen. De steun omvat de ontwikkeling van IT-systemen en digitale toepassingen.</w:t>
      </w:r>
    </w:p>
    <w:p w14:paraId="0E8DE975" w14:textId="77777777" w:rsidR="00480F1C" w:rsidRDefault="00A201F6">
      <w:pPr>
        <w:pStyle w:val="P68B1DB1-Normal05"/>
        <w:numPr>
          <w:ilvl w:val="0"/>
          <w:numId w:val="6"/>
        </w:numPr>
        <w:pBdr>
          <w:top w:val="nil"/>
          <w:left w:val="nil"/>
          <w:bottom w:val="nil"/>
          <w:right w:val="nil"/>
          <w:between w:val="nil"/>
        </w:pBdr>
        <w:spacing w:before="120" w:after="120" w:line="240" w:lineRule="auto"/>
        <w:jc w:val="both"/>
        <w:rPr>
          <w:rFonts w:eastAsia="Times New Roman" w:cs="Times New Roman"/>
          <w:noProof/>
          <w:color w:val="000000"/>
        </w:rPr>
      </w:pPr>
      <w:r>
        <w:rPr>
          <w:noProof/>
        </w:rPr>
        <w:t>Steun voor landbouwproducenten bij de uitvoering van „Agriculture 4.0” -oplossingen. Dit omvat de aankoop van sensoren, tafels en digitale apparatuur, alsook de aankoop en het onderhoud van digitale oplossingen, zoals toepassingen en software.</w:t>
      </w:r>
    </w:p>
    <w:p w14:paraId="38D3DC9E" w14:textId="0A63595C" w:rsidR="00480F1C" w:rsidRDefault="00A201F6">
      <w:pPr>
        <w:pStyle w:val="P68B1DB1-Normal05"/>
        <w:numPr>
          <w:ilvl w:val="0"/>
          <w:numId w:val="6"/>
        </w:numPr>
        <w:pBdr>
          <w:top w:val="nil"/>
          <w:left w:val="nil"/>
          <w:bottom w:val="nil"/>
          <w:right w:val="nil"/>
          <w:between w:val="nil"/>
        </w:pBdr>
        <w:spacing w:before="120" w:after="120" w:line="240" w:lineRule="auto"/>
        <w:jc w:val="both"/>
        <w:rPr>
          <w:rFonts w:eastAsia="Times New Roman" w:cs="Times New Roman"/>
          <w:noProof/>
          <w:color w:val="000000"/>
        </w:rPr>
      </w:pPr>
      <w:r>
        <w:rPr>
          <w:noProof/>
        </w:rPr>
        <w:t>Steun voor landbouw-, visserij- en aquacultuurproducenten in verband met de groene transitie. Dit omvat de renovatie van de infrastructuur van producenten, met inbegrip van de vervanging van daken die materialen bevatten die schadelijk zijn voor de gezondheid of het milieu, de thermische modernisering van gebouwen, de vervanging van elektrische en ventilatiesystemen door energie-efficiënte systemen, alsook de vervanging van met creosoot geïmpregneerde pooldragers in hopplantages.</w:t>
      </w:r>
    </w:p>
    <w:p w14:paraId="0DBE6088" w14:textId="77777777" w:rsidR="00480F1C" w:rsidRDefault="00A201F6">
      <w:pPr>
        <w:pStyle w:val="P68B1DB1-Text13"/>
        <w:ind w:left="0"/>
        <w:rPr>
          <w:rFonts w:eastAsia="Times New Roman"/>
          <w:noProof/>
        </w:rPr>
      </w:pPr>
      <w:r>
        <w:rPr>
          <w:noProof/>
        </w:rPr>
        <w:t xml:space="preserve">Verwacht wordt dat deze maatregel geen ernstige afbreuk doet aan milieudoelstellingen in de zin van artikel 17 van Verordening (EU) 2020/852, rekening houdend met de beschrijving van de maatregel en de risicobeperkende stappen in het herstel- en veerkrachtplan overeenkomstig de technische richtsnoeren inzake het beginsel „geen ernstige afbreuk doen aan” (2021/C 58/01). </w:t>
      </w:r>
    </w:p>
    <w:p w14:paraId="0FF964B5" w14:textId="78C08BC1" w:rsidR="00480F1C" w:rsidRDefault="00A201F6">
      <w:pPr>
        <w:pStyle w:val="P68B1DB1-Text13"/>
        <w:ind w:left="0"/>
        <w:rPr>
          <w:rFonts w:eastAsia="Times New Roman"/>
          <w:noProof/>
        </w:rPr>
      </w:pPr>
      <w:r>
        <w:rPr>
          <w:noProof/>
        </w:rPr>
        <w:t>Dit omvat het volgende:</w:t>
      </w:r>
    </w:p>
    <w:p w14:paraId="07D3218A" w14:textId="4612E87B" w:rsidR="00480F1C" w:rsidRDefault="00A201F6">
      <w:pPr>
        <w:pStyle w:val="Normal0"/>
        <w:numPr>
          <w:ilvl w:val="0"/>
          <w:numId w:val="6"/>
        </w:numPr>
        <w:pBdr>
          <w:top w:val="nil"/>
          <w:left w:val="nil"/>
          <w:bottom w:val="nil"/>
          <w:right w:val="nil"/>
          <w:between w:val="nil"/>
        </w:pBdr>
        <w:spacing w:before="120" w:after="120" w:line="257" w:lineRule="auto"/>
        <w:jc w:val="both"/>
        <w:rPr>
          <w:rFonts w:ascii="Times New Roman" w:eastAsia="Times New Roman" w:hAnsi="Times New Roman" w:cs="Times New Roman"/>
          <w:noProof/>
          <w:color w:val="000000" w:themeColor="text1"/>
          <w:sz w:val="24"/>
        </w:rPr>
      </w:pPr>
      <w:r>
        <w:rPr>
          <w:rFonts w:ascii="Times New Roman" w:hAnsi="Times New Roman"/>
          <w:noProof/>
          <w:color w:val="000000" w:themeColor="text1"/>
          <w:sz w:val="24"/>
        </w:rPr>
        <w:t>Vrachtwagens en andere zware bedrijfsvoertuigen die op biogas/biomethaan rijden</w:t>
      </w:r>
      <w:r>
        <w:rPr>
          <w:rStyle w:val="FootnoteReference"/>
          <w:rFonts w:ascii="Times New Roman" w:eastAsia="Times New Roman" w:hAnsi="Times New Roman" w:cs="Times New Roman"/>
          <w:noProof/>
          <w:color w:val="000000" w:themeColor="text1"/>
          <w:sz w:val="24"/>
        </w:rPr>
        <w:footnoteReference w:id="2"/>
      </w:r>
      <w:r>
        <w:rPr>
          <w:rFonts w:ascii="Times New Roman" w:hAnsi="Times New Roman"/>
          <w:noProof/>
          <w:color w:val="000000" w:themeColor="text1"/>
          <w:sz w:val="24"/>
        </w:rPr>
        <w:t>, zijn uitsluitend emissievrije,</w:t>
      </w:r>
      <w:r>
        <w:rPr>
          <w:rStyle w:val="FootnoteReference"/>
          <w:rFonts w:ascii="Times New Roman" w:eastAsia="Times New Roman" w:hAnsi="Times New Roman" w:cs="Times New Roman"/>
          <w:noProof/>
          <w:color w:val="000000" w:themeColor="text1"/>
          <w:sz w:val="24"/>
        </w:rPr>
        <w:footnoteReference w:id="3"/>
      </w:r>
      <w:r>
        <w:rPr>
          <w:rFonts w:ascii="Times New Roman" w:hAnsi="Times New Roman"/>
          <w:noProof/>
          <w:color w:val="000000" w:themeColor="text1"/>
          <w:sz w:val="24"/>
        </w:rPr>
        <w:t>emissiearme of LNG/CNG-vrachtwagens. Special purpose vehicles voldoen aan dezelfde voorschriften als hierboven beschreven. Voor voertuigen die biobrandstoffen, vloeibare biomassa en biomassabrandstoffen gebruiken, moet aan de volgende voorwaarden worden voldaan: I) voldoet aan de duurzaamheids- en broeikasgasemissiereductiecriteria van de artikelen 29 tot en met 31 en de regels inzake biobrandstoffen op basis van levensmiddelen en diervoeders die zijn vastgesteld in artikel 26 van de richtlijn hernieuwbare</w:t>
      </w:r>
      <w:r>
        <w:rPr>
          <w:rFonts w:ascii="Times New Roman" w:hAnsi="Times New Roman"/>
          <w:i/>
          <w:noProof/>
          <w:color w:val="000000" w:themeColor="text1"/>
          <w:sz w:val="24"/>
        </w:rPr>
        <w:t>energie (Richtlijn (EU) 2018/2001 (REDII)</w:t>
      </w:r>
      <w:r>
        <w:rPr>
          <w:rFonts w:ascii="Times New Roman" w:hAnsi="Times New Roman"/>
          <w:noProof/>
          <w:color w:val="000000" w:themeColor="text1"/>
          <w:sz w:val="24"/>
        </w:rPr>
        <w:t>) en de daarmee verband houdende uitvoeringshandelingen en gedelegeerde handelingen; en ii) zekerheid biedt dat uitsluitend REDII-conforme biobrandstoffen, vloeibare biomassa en biomassabrandstoffen worden gebruikt door voertuigen die worden aangekocht in het kader van een regeling die door de RRF wordt ondersteund; en iii) wordt aangevuld met „flankerende maatregelen” die aantonen dat het aandeel biobrandstoffen, vloeibare biomassa en biomassabrandstoffen in de nationale mix mettertijd toeneemt.</w:t>
      </w:r>
    </w:p>
    <w:p w14:paraId="1A5E92A6" w14:textId="1F94AE3A" w:rsidR="00480F1C" w:rsidRDefault="00A201F6">
      <w:pPr>
        <w:pStyle w:val="P68B1DB1-Normal05"/>
        <w:numPr>
          <w:ilvl w:val="0"/>
          <w:numId w:val="6"/>
        </w:numPr>
        <w:pBdr>
          <w:top w:val="nil"/>
          <w:left w:val="nil"/>
          <w:bottom w:val="nil"/>
          <w:right w:val="nil"/>
          <w:between w:val="nil"/>
        </w:pBdr>
        <w:spacing w:before="120" w:after="120" w:line="257" w:lineRule="auto"/>
        <w:jc w:val="both"/>
        <w:rPr>
          <w:rFonts w:cs="Times New Roman"/>
          <w:noProof/>
        </w:rPr>
      </w:pPr>
      <w:r>
        <w:rPr>
          <w:noProof/>
        </w:rPr>
        <w:t>Alle renovaties van gebouwen moeten worden uitgevoerd in overeenstemming met de richtlijn energieprestatie van gebouwen</w:t>
      </w:r>
      <w:r>
        <w:rPr>
          <w:i/>
          <w:noProof/>
        </w:rPr>
        <w:t>(Richtlijn (EU) 2018/844)</w:t>
      </w:r>
      <w:r>
        <w:rPr>
          <w:noProof/>
        </w:rPr>
        <w:t>.</w:t>
      </w:r>
    </w:p>
    <w:p w14:paraId="6F4671D3" w14:textId="045C815F" w:rsidR="00480F1C" w:rsidRDefault="00A201F6">
      <w:pPr>
        <w:pStyle w:val="P68B1DB1-Normal05"/>
        <w:numPr>
          <w:ilvl w:val="0"/>
          <w:numId w:val="6"/>
        </w:numPr>
        <w:pBdr>
          <w:top w:val="nil"/>
          <w:left w:val="nil"/>
          <w:bottom w:val="nil"/>
          <w:right w:val="nil"/>
          <w:between w:val="nil"/>
        </w:pBdr>
        <w:spacing w:before="120" w:after="120" w:line="257" w:lineRule="auto"/>
        <w:jc w:val="both"/>
        <w:rPr>
          <w:rFonts w:cs="Times New Roman"/>
          <w:noProof/>
        </w:rPr>
      </w:pPr>
      <w:r>
        <w:rPr>
          <w:noProof/>
        </w:rPr>
        <w:t>Installaties voor de productie van biogasenergie voldoen aan de duurzaamheids- en broeikasgasemissiereductiecriteria van de artikelen 29 tot en met 31 en aan de regels inzake biobrandstoffen op basis van levensmiddelen en diervoeders die zijn vastgesteld in artikel 26 van de richtlijn hernieuwbare</w:t>
      </w:r>
      <w:r>
        <w:rPr>
          <w:i/>
          <w:noProof/>
        </w:rPr>
        <w:t>energie (Richtlijn (EU) 2018/2001 (RED II)</w:t>
      </w:r>
      <w:r>
        <w:rPr>
          <w:noProof/>
        </w:rPr>
        <w:t>), alsook aan de daarmee verband houdende uitvoeringshandelingen en gedelegeerde handelingen.</w:t>
      </w:r>
    </w:p>
    <w:p w14:paraId="31D496BC" w14:textId="77777777" w:rsidR="00480F1C" w:rsidRDefault="00A201F6">
      <w:pPr>
        <w:pStyle w:val="P68B1DB1-Text13"/>
        <w:ind w:left="0"/>
        <w:rPr>
          <w:rFonts w:eastAsia="Times New Roman"/>
          <w:noProof/>
        </w:rPr>
      </w:pPr>
      <w:r>
        <w:rPr>
          <w:noProof/>
        </w:rPr>
        <w:t xml:space="preserve">De uitvoering van de investering moet uiterlijk op 31 december 2025 zijn voltooid. </w:t>
      </w:r>
    </w:p>
    <w:p w14:paraId="0AF336A8" w14:textId="133979FF" w:rsidR="00480F1C" w:rsidRDefault="00A201F6">
      <w:pPr>
        <w:pStyle w:val="P68B1DB1-Text16"/>
        <w:ind w:left="0"/>
        <w:rPr>
          <w:rFonts w:eastAsia="Times New Roman"/>
          <w:noProof/>
          <w:color w:val="000000" w:themeColor="text1"/>
        </w:rPr>
      </w:pPr>
      <w:r>
        <w:rPr>
          <w:noProof/>
        </w:rPr>
        <w:t>Subcomponent A2 — Ontwikkeling van het nationale innovatiesysteem: versterking van de coördinatie, stimulering van innovatiecapaciteit en samenwerking tussen bedrijven en onderzoeksorganisaties, onder meer op het gebied van milieutechnologieën</w:t>
      </w:r>
    </w:p>
    <w:p w14:paraId="1F09EAF4"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sz w:val="24"/>
        </w:rPr>
      </w:pPr>
    </w:p>
    <w:p w14:paraId="61169AC1" w14:textId="77777777" w:rsidR="00480F1C" w:rsidRDefault="00A201F6">
      <w:pPr>
        <w:pStyle w:val="P68B1DB1-Text14"/>
        <w:ind w:left="0"/>
        <w:rPr>
          <w:rFonts w:eastAsia="Times New Roman"/>
          <w:noProof/>
        </w:rPr>
      </w:pPr>
      <w:r>
        <w:rPr>
          <w:noProof/>
        </w:rPr>
        <w:t>A2.1 Versnellen van robotisering en digitalisering en innovatieprocessen</w:t>
      </w:r>
    </w:p>
    <w:p w14:paraId="6E9B63D8" w14:textId="77777777" w:rsidR="00480F1C" w:rsidRDefault="00A201F6">
      <w:pPr>
        <w:pStyle w:val="P68B1DB1-Text13"/>
        <w:ind w:left="0"/>
        <w:rPr>
          <w:rFonts w:eastAsia="Times New Roman"/>
          <w:noProof/>
          <w:color w:val="000000"/>
        </w:rPr>
      </w:pPr>
      <w:r>
        <w:rPr>
          <w:noProof/>
        </w:rPr>
        <w:t xml:space="preserve">De hervorming heeft tot doel de vraag naar kennis en innovatie en de doeltreffende toepassing ervan in bedrijven in de digitale economie te versterken. </w:t>
      </w:r>
    </w:p>
    <w:p w14:paraId="3F058D9F" w14:textId="14E44F48" w:rsidR="00480F1C" w:rsidRDefault="00A201F6">
      <w:pPr>
        <w:pStyle w:val="P68B1DB1-Text13"/>
        <w:ind w:left="0"/>
        <w:rPr>
          <w:noProof/>
        </w:rPr>
      </w:pPr>
      <w:r>
        <w:rPr>
          <w:noProof/>
        </w:rPr>
        <w:t xml:space="preserve">De hervorming omvat de invoering van belastingvoorkeuren voor bedrijven die het digitaliseringsproces uitvoeren door middel van investeringen in robotisering en digitalisering. De belastingvermindering neemt de vorm aan van een aftrek van extra fiscale kosten ter ondersteuning van de aankoop van robots. </w:t>
      </w:r>
    </w:p>
    <w:p w14:paraId="2C641F87" w14:textId="77777777" w:rsidR="00480F1C" w:rsidRDefault="00A201F6">
      <w:pPr>
        <w:pStyle w:val="P68B1DB1-Text13"/>
        <w:ind w:left="0"/>
        <w:rPr>
          <w:rFonts w:eastAsia="Times New Roman"/>
          <w:noProof/>
          <w:color w:val="000000"/>
        </w:rPr>
      </w:pPr>
      <w:r>
        <w:rPr>
          <w:noProof/>
        </w:rPr>
        <w:t>De uitvoering van de hervorming wordt uiterlijk op 30 juni 2022 voltooid.</w:t>
      </w:r>
    </w:p>
    <w:p w14:paraId="3656B9AB"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7F7F5F82" w14:textId="14F29FE0" w:rsidR="00480F1C" w:rsidRDefault="00A201F6">
      <w:pPr>
        <w:pStyle w:val="P68B1DB1-Text16"/>
        <w:ind w:left="0"/>
        <w:rPr>
          <w:rFonts w:eastAsia="Times New Roman"/>
          <w:noProof/>
          <w:u w:val="single"/>
        </w:rPr>
      </w:pPr>
      <w:r>
        <w:rPr>
          <w:noProof/>
          <w:u w:val="single"/>
        </w:rPr>
        <w:t>A2.1.1 Investeringen ter ondersteuning van robotisering en digitalisering in ondernemingen</w:t>
      </w:r>
      <w:r>
        <w:rPr>
          <w:noProof/>
        </w:rPr>
        <w:t xml:space="preserve"> </w:t>
      </w:r>
    </w:p>
    <w:p w14:paraId="752F31DE" w14:textId="77777777" w:rsidR="00480F1C" w:rsidRDefault="00A201F6">
      <w:pPr>
        <w:pStyle w:val="P68B1DB1-Text13"/>
        <w:ind w:left="0"/>
        <w:rPr>
          <w:rFonts w:eastAsia="Times New Roman"/>
          <w:noProof/>
          <w:color w:val="000000"/>
        </w:rPr>
      </w:pPr>
      <w:r>
        <w:rPr>
          <w:noProof/>
        </w:rPr>
        <w:t>Het doel van deze investering is steun te verlenen aan projecten waarbij innovatieve oplossingen worden ingevoerd die gericht zijn op de digitale transformatie.</w:t>
      </w:r>
    </w:p>
    <w:p w14:paraId="622D9F0F" w14:textId="2ABE4F3C" w:rsidR="00480F1C" w:rsidRDefault="00A201F6">
      <w:pPr>
        <w:pStyle w:val="P68B1DB1-Text13"/>
        <w:ind w:left="0"/>
        <w:rPr>
          <w:rFonts w:eastAsia="Times New Roman"/>
          <w:noProof/>
          <w:color w:val="000000"/>
        </w:rPr>
      </w:pPr>
      <w:r>
        <w:rPr>
          <w:noProof/>
        </w:rPr>
        <w:t>De investering bestaat uit de digitalisering van bedrijfsprocessen, ter ondersteuning van de transitie naar industrie 4.0, met bijzondere aandacht voor robotisering en operationele technologieën. De investering ondersteunt het gebruik van cloudtechnologieën en artificiële intelligentie bij de integratie en het beheer van productie- en bedrijfsprocessen; invoering van slimme productielijnen, bouw van slimme fabrieken; de uitrol van moderne digitale technologieën ter ondersteuning van de transitie naar vermindering van de uitstoot van het milieu (met name broeikasgassen) en vermindering van het gebruik van natuurlijke hulpbronnen en de milieueffecten van productie- en bedrijfsprocessen.</w:t>
      </w:r>
    </w:p>
    <w:p w14:paraId="5AFC7AC4" w14:textId="77777777" w:rsidR="00480F1C" w:rsidRDefault="00A201F6">
      <w:pPr>
        <w:pStyle w:val="P68B1DB1-Text13"/>
        <w:ind w:left="0"/>
        <w:rPr>
          <w:rFonts w:eastAsia="Times New Roman"/>
          <w:noProof/>
          <w:color w:val="000000"/>
        </w:rPr>
      </w:pPr>
      <w:r>
        <w:rPr>
          <w:noProof/>
        </w:rPr>
        <w:t>De uitvoering van de investering moet uiterlijk op 30 juni 2026 zijn voltooid.</w:t>
      </w:r>
    </w:p>
    <w:p w14:paraId="3E62BDBC" w14:textId="2C7BF8A0"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sz w:val="24"/>
          <w:u w:val="single"/>
        </w:rPr>
      </w:pPr>
    </w:p>
    <w:p w14:paraId="2AFDDB7B"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sz w:val="24"/>
          <w:u w:val="single"/>
        </w:rPr>
      </w:pPr>
    </w:p>
    <w:p w14:paraId="07445389" w14:textId="755E5152" w:rsidR="00480F1C" w:rsidRDefault="00A201F6">
      <w:pPr>
        <w:pStyle w:val="P68B1DB1-Text14"/>
        <w:ind w:left="0"/>
        <w:rPr>
          <w:rFonts w:eastAsia="Times New Roman"/>
          <w:noProof/>
        </w:rPr>
      </w:pPr>
      <w:r>
        <w:rPr>
          <w:noProof/>
        </w:rPr>
        <w:t>A2.2 De voorwaarden scheppen voor de overgang naar een circulaire economie</w:t>
      </w:r>
    </w:p>
    <w:p w14:paraId="2E41BD47" w14:textId="6EA118DB" w:rsidR="00480F1C" w:rsidRDefault="00A201F6">
      <w:pPr>
        <w:pStyle w:val="P68B1DB1-Text13"/>
        <w:ind w:left="0"/>
        <w:rPr>
          <w:rFonts w:eastAsia="Times New Roman"/>
          <w:noProof/>
          <w:color w:val="000000"/>
        </w:rPr>
      </w:pPr>
      <w:r>
        <w:rPr>
          <w:noProof/>
        </w:rPr>
        <w:t xml:space="preserve">Het doel van de hervorming is een passend rechtskader tot stand te brengen voor de werking van de handel in secundaire grondstoffen. Bij de hervorming worden voorschriften voor de einde-afvalfase ingevoerd voor belangrijke industriële afvalstoffen (met het grootste economische potentieel) en de uitvoering van een definitie van secundaire grondstoffen, die de circulatie en het gebruik van afval als secundaire grondstoffen zou vergemakkelijken. </w:t>
      </w:r>
    </w:p>
    <w:p w14:paraId="4B9F17DB" w14:textId="77777777" w:rsidR="00480F1C" w:rsidRDefault="00A201F6">
      <w:pPr>
        <w:pStyle w:val="P68B1DB1-Text13"/>
        <w:ind w:left="0"/>
        <w:rPr>
          <w:rFonts w:eastAsia="Times New Roman"/>
          <w:noProof/>
          <w:color w:val="000000"/>
        </w:rPr>
      </w:pPr>
      <w:r>
        <w:rPr>
          <w:noProof/>
        </w:rPr>
        <w:t>De hervorming bestaat uit een kader voor de ontwikkeling van de markt voor secundaire grondstoffen om het beheer van deze grondstoffen te vergemakkelijken, hetgeen zal leiden tot een vermindering van de exploitatie van natuurlijke hulpbronnen en de vervanging van natuurlijke materialen en producten. De hervorming zal leiden tot een vermindering van de opslag van afval op afvalbergen.</w:t>
      </w:r>
    </w:p>
    <w:p w14:paraId="462D9EF0" w14:textId="77777777" w:rsidR="00480F1C" w:rsidRDefault="00A201F6">
      <w:pPr>
        <w:pStyle w:val="P68B1DB1-Text13"/>
        <w:ind w:left="0"/>
        <w:rPr>
          <w:rFonts w:eastAsia="Times New Roman"/>
          <w:noProof/>
          <w:color w:val="000000"/>
        </w:rPr>
      </w:pPr>
      <w:r>
        <w:rPr>
          <w:noProof/>
        </w:rPr>
        <w:t>De uitvoering van de hervorming wordt uiterlijk op 30 juni 2024 voltooid.</w:t>
      </w:r>
    </w:p>
    <w:p w14:paraId="049F31CB"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073D571A" w14:textId="3AEC15B7" w:rsidR="00480F1C" w:rsidRDefault="00A201F6">
      <w:pPr>
        <w:pStyle w:val="P68B1DB1-Text17"/>
        <w:ind w:left="0"/>
        <w:rPr>
          <w:rFonts w:eastAsia="Times New Roman"/>
          <w:b/>
          <w:noProof/>
        </w:rPr>
      </w:pPr>
      <w:r>
        <w:rPr>
          <w:b/>
          <w:noProof/>
        </w:rPr>
        <w:t>A2.2.1 Investeringen in de uitrol van milieutechnologieën en innovatie, met inbegrip</w:t>
      </w:r>
      <w:r>
        <w:rPr>
          <w:noProof/>
        </w:rPr>
        <w:t xml:space="preserve"> van investeringen </w:t>
      </w:r>
      <w:r>
        <w:rPr>
          <w:b/>
          <w:noProof/>
        </w:rPr>
        <w:t>in verband met de circulaire economie</w:t>
      </w:r>
    </w:p>
    <w:p w14:paraId="1020E616" w14:textId="75B8DE3B" w:rsidR="00480F1C" w:rsidRDefault="00A201F6">
      <w:pPr>
        <w:pStyle w:val="P68B1DB1-Text13"/>
        <w:ind w:left="0"/>
        <w:rPr>
          <w:rFonts w:eastAsia="Times New Roman"/>
          <w:noProof/>
          <w:color w:val="000000"/>
        </w:rPr>
      </w:pPr>
      <w:r>
        <w:rPr>
          <w:noProof/>
        </w:rPr>
        <w:t>Het doel van deze investering is het gebruik van secundaire grondstoffen te ondersteunen, onder meer door de financiering van infrastructuur voor onderzoek &amp; -ontwikkeling (O &amp; D) voor de ontwikkeling van technologieën voor het gebruik van afval als secundaire grondstoffen, met als doel een efficiëntere economie tot stand te brengen.</w:t>
      </w:r>
    </w:p>
    <w:p w14:paraId="2A25D3EB" w14:textId="130A767B" w:rsidR="00480F1C" w:rsidRDefault="00A201F6">
      <w:pPr>
        <w:pStyle w:val="P68B1DB1-Text13"/>
        <w:ind w:left="0"/>
        <w:rPr>
          <w:rFonts w:eastAsia="Times New Roman"/>
          <w:noProof/>
        </w:rPr>
      </w:pPr>
      <w:r>
        <w:rPr>
          <w:noProof/>
        </w:rPr>
        <w:t xml:space="preserve">De investering bestaat uit twee acties. De eerste actie ondersteunt projecten die worden toegekend aan kmo’s voor de ontwikkeling en toepassing van groene technologieën die verband houden met de circulaire economie, wat leidt tot beter materiaalbeheer, meer energie-efficiëntie en een verschuiving in de filosofie van bedrijven naar afvalvrij afval. </w:t>
      </w:r>
    </w:p>
    <w:p w14:paraId="4C80D150" w14:textId="230F5ABB" w:rsidR="00480F1C" w:rsidRDefault="00A201F6">
      <w:pPr>
        <w:pStyle w:val="P68B1DB1-Text13"/>
        <w:ind w:left="0"/>
        <w:rPr>
          <w:rFonts w:eastAsia="Times New Roman"/>
          <w:noProof/>
          <w:color w:val="000000"/>
        </w:rPr>
      </w:pPr>
      <w:r>
        <w:rPr>
          <w:noProof/>
        </w:rPr>
        <w:t>De uitvoering van de actie wordt uiterlijk op 31 maart 2025 voltooid.</w:t>
      </w:r>
    </w:p>
    <w:p w14:paraId="17A13EDE" w14:textId="1C905C78" w:rsidR="00480F1C" w:rsidRDefault="00A201F6">
      <w:pPr>
        <w:pStyle w:val="P68B1DB1-Text13"/>
        <w:ind w:left="0"/>
        <w:rPr>
          <w:rFonts w:eastAsia="Times New Roman"/>
          <w:noProof/>
        </w:rPr>
      </w:pPr>
      <w:r>
        <w:rPr>
          <w:noProof/>
        </w:rPr>
        <w:t xml:space="preserve">In het kader van de tweede actie worden projecten gefinancierd ter ondersteuning van de ontwikkeling van technologieën die bijdragen tot de totstandbrenging van een markt voor secundaire grondstoffen. </w:t>
      </w:r>
    </w:p>
    <w:p w14:paraId="78110455" w14:textId="0BB17536" w:rsidR="00480F1C" w:rsidRDefault="00A201F6">
      <w:pPr>
        <w:pStyle w:val="P68B1DB1-Text13"/>
        <w:ind w:left="0"/>
        <w:rPr>
          <w:rFonts w:eastAsia="Times New Roman"/>
          <w:noProof/>
          <w:color w:val="000000"/>
        </w:rPr>
      </w:pPr>
      <w:r>
        <w:rPr>
          <w:noProof/>
        </w:rPr>
        <w:t>De uitvoering van de actie wordt uiterlijk op 30 september 2025 voltooid.</w:t>
      </w:r>
    </w:p>
    <w:p w14:paraId="6C05423B" w14:textId="20C108A8" w:rsidR="00480F1C" w:rsidRDefault="00A201F6">
      <w:pPr>
        <w:pStyle w:val="Text1"/>
        <w:ind w:left="0"/>
        <w:rPr>
          <w:rFonts w:eastAsia="Times New Roman"/>
          <w:noProof/>
          <w:color w:val="000000"/>
        </w:rPr>
      </w:pPr>
      <w:r>
        <w:rPr>
          <w:noProof/>
          <w:color w:val="000000"/>
        </w:rPr>
        <w:t>De begunstigden worden geselecteerd aan de hand van gespecificeerde selectiecriteria volgens de beginselen van non-discriminatie en transparantie. De projecten hebben betrekking op de ontwikkeling en uitvoering of toepassing van groene industriële oplossingen die gericht zijn op een verhoging van de energie-efficiëntie in productie- en operationele processen of vermindering van afval afkomstig van productie- en operationele processen of hergebruik of recycling van afval of vermindering van de broeikasgasemissies van productie- en operationele processen. Om ervoor te zorgen dat de maatregel voldoet aan de technische richtsnoeren „geen ernstige afbreuk doen” (2021/C 58/01), worden de volgende activiteiten uitgesloten van de subsidiabiliteitscriteria in de taakomschrijving voor toekomstige oproepen tot het indienen van projecten: I) activiteiten in verband met fossiele brandstoffen, met inbegrip van downstreamgebruik</w:t>
      </w:r>
      <w:r>
        <w:rPr>
          <w:noProof/>
          <w:color w:val="000000"/>
        </w:rPr>
        <w:footnoteReference w:id="4"/>
      </w:r>
      <w:r>
        <w:rPr>
          <w:noProof/>
          <w:color w:val="000000"/>
        </w:rPr>
        <w:t>; II) activiteiten in het kader van het EU-emissiehandelssysteem (ETS) waarmee de verwachte broeikasgasemissies niet lager zijn dan de relevante benchmarks</w:t>
      </w:r>
      <w:r>
        <w:rPr>
          <w:noProof/>
          <w:color w:val="000000"/>
        </w:rPr>
        <w:footnoteReference w:id="5"/>
      </w:r>
      <w:r>
        <w:rPr>
          <w:noProof/>
          <w:color w:val="000000"/>
        </w:rPr>
        <w:t>; III) activiteiten in verband met stortplaatsen voor afval, verbrandingsinstallaties</w:t>
      </w:r>
      <w:r>
        <w:rPr>
          <w:noProof/>
          <w:color w:val="000000"/>
        </w:rPr>
        <w:footnoteReference w:id="6"/>
      </w:r>
      <w:r>
        <w:rPr>
          <w:noProof/>
          <w:color w:val="000000"/>
        </w:rPr>
        <w:t xml:space="preserve"> en installaties voor mechanische biologische behandeling</w:t>
      </w:r>
      <w:r>
        <w:rPr>
          <w:noProof/>
          <w:color w:val="000000"/>
        </w:rPr>
        <w:footnoteReference w:id="7"/>
      </w:r>
      <w:r>
        <w:rPr>
          <w:noProof/>
          <w:color w:val="000000"/>
        </w:rPr>
        <w:t xml:space="preserve">; en iv) activiteiten waarbij de langdurige verwijdering van afval schade kan toebrengen aan het milieu. </w:t>
      </w:r>
    </w:p>
    <w:p w14:paraId="53128261"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0CD85426" w14:textId="77777777" w:rsidR="00480F1C" w:rsidRDefault="00A201F6">
      <w:pPr>
        <w:pStyle w:val="P68B1DB1-Text14"/>
        <w:ind w:left="0"/>
        <w:rPr>
          <w:rFonts w:eastAsia="Times New Roman"/>
          <w:noProof/>
        </w:rPr>
      </w:pPr>
      <w:r>
        <w:rPr>
          <w:noProof/>
        </w:rPr>
        <w:t xml:space="preserve">A2.3 Het verschaffen van de institutionele en juridische basis voor de ontwikkeling van onbemande luchtvaartuigen (UAV’s)  </w:t>
      </w:r>
    </w:p>
    <w:p w14:paraId="0FE7ABA8" w14:textId="77777777" w:rsidR="00480F1C" w:rsidRDefault="00A201F6">
      <w:pPr>
        <w:pStyle w:val="P68B1DB1-Text13"/>
        <w:ind w:left="0"/>
        <w:rPr>
          <w:rFonts w:eastAsia="Times New Roman"/>
          <w:noProof/>
          <w:color w:val="000000"/>
        </w:rPr>
      </w:pPr>
      <w:r>
        <w:rPr>
          <w:noProof/>
        </w:rPr>
        <w:t>Het doel van de hervorming is de oprichting van een entiteit ter ondersteuning van het testen en uitvoeren van nieuwe op UAV’s gebaseerde oplossingen, met name in verstedelijkte gebieden.</w:t>
      </w:r>
    </w:p>
    <w:p w14:paraId="6C2A1E4A" w14:textId="7244FF16" w:rsidR="00480F1C" w:rsidRDefault="00A201F6">
      <w:pPr>
        <w:pStyle w:val="P68B1DB1-Text13"/>
        <w:ind w:left="0"/>
        <w:rPr>
          <w:rFonts w:eastAsia="Times New Roman"/>
          <w:noProof/>
        </w:rPr>
      </w:pPr>
      <w:r>
        <w:rPr>
          <w:noProof/>
        </w:rPr>
        <w:t>De hervorming verleent het Poolse agentschap voor luchtvaartnavigatiediensten het recht om eigen vermogen in commerciële ondernemingen te bezitten en machtigt het of zijn dochterondernemingen om proefprojecten uit te voeren ter ondersteuning van de tenuitvoerlegging van bedrijfsmodellen en diensten op basis van onbemande luchtvaartuigen. Het Poolse agentschap voor luchtvaartnavigatiediensten treedt ook op als verlener van gespecialiseerde diensten voor onbemande luchtvaartuigen binnen het geplande netwerk van kenniscentra.</w:t>
      </w:r>
    </w:p>
    <w:p w14:paraId="154D2A37" w14:textId="322BF0EA" w:rsidR="00480F1C" w:rsidRDefault="00A201F6">
      <w:pPr>
        <w:pStyle w:val="P68B1DB1-Text13"/>
        <w:ind w:left="0"/>
        <w:rPr>
          <w:rFonts w:eastAsia="Times New Roman"/>
          <w:noProof/>
          <w:color w:val="000000"/>
        </w:rPr>
      </w:pPr>
      <w:r>
        <w:rPr>
          <w:noProof/>
        </w:rPr>
        <w:t>De uitvoering van deze hervorming wordt uiterlijk op 30 juni 2023 voltooid.</w:t>
      </w:r>
    </w:p>
    <w:p w14:paraId="62486C05" w14:textId="77777777" w:rsidR="00480F1C" w:rsidRDefault="00480F1C">
      <w:pPr>
        <w:pStyle w:val="Normal0"/>
        <w:spacing w:before="120" w:after="120" w:line="240" w:lineRule="auto"/>
        <w:jc w:val="both"/>
        <w:rPr>
          <w:rFonts w:ascii="Times New Roman" w:eastAsia="Times New Roman" w:hAnsi="Times New Roman" w:cs="Times New Roman"/>
          <w:b/>
          <w:noProof/>
          <w:color w:val="000000" w:themeColor="text1"/>
          <w:sz w:val="24"/>
          <w:u w:val="single"/>
        </w:rPr>
      </w:pPr>
    </w:p>
    <w:p w14:paraId="6E889D12" w14:textId="42E2AEFE" w:rsidR="00480F1C" w:rsidRDefault="00A201F6">
      <w:pPr>
        <w:pStyle w:val="P68B1DB1-Text14"/>
        <w:ind w:left="0"/>
        <w:rPr>
          <w:rFonts w:eastAsia="Times New Roman"/>
          <w:noProof/>
        </w:rPr>
      </w:pPr>
      <w:r>
        <w:rPr>
          <w:noProof/>
        </w:rPr>
        <w:t>A2.3.1 Ontwikkeling en uitrusting van kenniscentra (gespecialiseerde opleidingscentra, centra voor uitvoeringsondersteuning, waarnemingsposten) en infrastructuur voor het beheer van de onbemande voertuigenindustrie, als ecosysteem van innovatie</w:t>
      </w:r>
    </w:p>
    <w:p w14:paraId="02823E03" w14:textId="6A12ED76" w:rsidR="00480F1C" w:rsidRDefault="00A201F6">
      <w:pPr>
        <w:pStyle w:val="P68B1DB1-Text13"/>
        <w:ind w:left="0"/>
        <w:rPr>
          <w:rFonts w:eastAsia="Times New Roman"/>
          <w:noProof/>
          <w:color w:val="000000"/>
        </w:rPr>
      </w:pPr>
      <w:r>
        <w:rPr>
          <w:noProof/>
        </w:rPr>
        <w:t>Het doel van deze investering is de totstandbrenging van een geïntegreerd systeem van kenniscentra en infrastructuur voor onbemande voertuigen.</w:t>
      </w:r>
    </w:p>
    <w:p w14:paraId="15460300" w14:textId="0C8AB1FC" w:rsidR="00480F1C" w:rsidRDefault="00A201F6">
      <w:pPr>
        <w:pStyle w:val="P68B1DB1-Text13"/>
        <w:ind w:left="0"/>
        <w:rPr>
          <w:rFonts w:eastAsia="Times New Roman"/>
          <w:noProof/>
        </w:rPr>
      </w:pPr>
      <w:r>
        <w:rPr>
          <w:noProof/>
        </w:rPr>
        <w:t xml:space="preserve">De investering bestaat uit de oprichting van lokale centra die zijn uitgerust met infrastructuur voor onbemande voertuigen. Lokale centra en/of infrastructuur worden op tien locaties geïmplementeerd. De in het eerste kenniscentrum ontwikkelde dienst (mijlpaal A36G) vormt de basis voor de taken die in de resterende negen kenniscentra worden uitgevoerd, in het kader van de mijlpalen A34G en A35G. De belangrijkste elementen van het gesteunde project zijn terrestrische infrastructuur, lokale gegevens- en verkeersbeheercentra, digitale diensten en producenten die worden uitgevoerd. </w:t>
      </w:r>
    </w:p>
    <w:p w14:paraId="4A33597F" w14:textId="6AA5588B" w:rsidR="00480F1C" w:rsidRDefault="00A201F6">
      <w:pPr>
        <w:pStyle w:val="P68B1DB1-Text13"/>
        <w:ind w:left="0"/>
        <w:rPr>
          <w:rFonts w:eastAsia="Times New Roman"/>
          <w:noProof/>
          <w:color w:val="000000"/>
        </w:rPr>
      </w:pPr>
      <w:r>
        <w:rPr>
          <w:noProof/>
        </w:rPr>
        <w:t>Het tweede element van de investering bestaat uit de uitvoering van diensten voor onbemande voertuigen die erop gericht zijn geavanceerde vluchten van onbemande luchtvaartuigen op grote schaal mogelijk te maken in het aan elk kenniscentrum toegewezen gebied.</w:t>
      </w:r>
    </w:p>
    <w:p w14:paraId="609773F7" w14:textId="78D0368C" w:rsidR="00480F1C" w:rsidRDefault="00A201F6">
      <w:pPr>
        <w:pStyle w:val="P68B1DB1-Text13"/>
        <w:ind w:left="0"/>
        <w:rPr>
          <w:rFonts w:eastAsia="Times New Roman"/>
          <w:noProof/>
          <w:color w:val="000000"/>
        </w:rPr>
      </w:pPr>
      <w:r>
        <w:rPr>
          <w:noProof/>
        </w:rPr>
        <w:t>De uitvoering van de investering moet uiterlijk op 30 juni 2026 zijn voltooid.</w:t>
      </w:r>
    </w:p>
    <w:p w14:paraId="66C992EA" w14:textId="77777777" w:rsidR="00480F1C" w:rsidRDefault="00480F1C">
      <w:pPr>
        <w:pStyle w:val="Text1"/>
        <w:ind w:left="0"/>
        <w:rPr>
          <w:rFonts w:eastAsia="Times New Roman"/>
          <w:noProof/>
          <w:color w:val="000000"/>
        </w:rPr>
      </w:pPr>
    </w:p>
    <w:p w14:paraId="00998E28" w14:textId="77777777" w:rsidR="00480F1C" w:rsidRDefault="00A201F6">
      <w:pPr>
        <w:pStyle w:val="P68B1DB1-Text14"/>
        <w:ind w:left="0"/>
        <w:rPr>
          <w:rFonts w:eastAsia="Times New Roman"/>
          <w:noProof/>
        </w:rPr>
      </w:pPr>
      <w:r>
        <w:rPr>
          <w:noProof/>
        </w:rPr>
        <w:t>A2.4 Versterking van de samenwerkingsmechanismen tussen wetenschap en industrie</w:t>
      </w:r>
    </w:p>
    <w:p w14:paraId="0D368E6F" w14:textId="42A1F43E" w:rsidR="00480F1C" w:rsidRDefault="00A201F6">
      <w:pPr>
        <w:pStyle w:val="P68B1DB1-Text13"/>
        <w:ind w:left="0"/>
        <w:rPr>
          <w:rFonts w:eastAsia="Times New Roman"/>
          <w:noProof/>
          <w:color w:val="000000"/>
        </w:rPr>
      </w:pPr>
      <w:r>
        <w:rPr>
          <w:noProof/>
        </w:rPr>
        <w:t xml:space="preserve">De hervorming bestaat uit twee acties. Het doel van de eerste actie is universiteiten en onderzoeksinstellingen in staat te stellen aandeelhouder van ondernemingen te worden. Dit moet leiden tot meer interdisciplinaire en flexibele technologieoverdracht. </w:t>
      </w:r>
    </w:p>
    <w:p w14:paraId="5A09F544" w14:textId="040AEF90" w:rsidR="00480F1C" w:rsidRDefault="00A201F6">
      <w:pPr>
        <w:pStyle w:val="P68B1DB1-Text13"/>
        <w:ind w:left="0"/>
        <w:rPr>
          <w:rFonts w:eastAsia="Times New Roman"/>
          <w:noProof/>
          <w:color w:val="000000"/>
        </w:rPr>
      </w:pPr>
      <w:r>
        <w:rPr>
          <w:noProof/>
        </w:rPr>
        <w:t>De eerste actie in het kader van deze hervorming bestaat uit de uitbreiding van de categorieën van entiteiten waarmee universiteiten special purpose vehicles kunnen oprichten. Dit zijn onderzoeksinstellingen, instituten van de Poolse Academie van Wetenschappen en instituten van het onderzoeksnetwerk Łukasiewicz. De hervorming maakt de oprichting mogelijk van special purpose vehicles die specifiek zijn ontworpen voor de commercialisering van O &amp; O-resultaten.</w:t>
      </w:r>
    </w:p>
    <w:p w14:paraId="20127AE4" w14:textId="02675FA9" w:rsidR="00480F1C" w:rsidRDefault="00A201F6">
      <w:pPr>
        <w:pStyle w:val="P68B1DB1-Text13"/>
        <w:ind w:left="0"/>
        <w:rPr>
          <w:rFonts w:eastAsia="Times New Roman"/>
          <w:noProof/>
          <w:color w:val="000000"/>
        </w:rPr>
      </w:pPr>
      <w:r>
        <w:rPr>
          <w:noProof/>
        </w:rPr>
        <w:t>De uitvoering van deze hervorming moest uiterlijk op 31 maart 2022 zijn voltooid.</w:t>
      </w:r>
    </w:p>
    <w:p w14:paraId="5C185861" w14:textId="25ECB081" w:rsidR="00480F1C" w:rsidRDefault="00A201F6">
      <w:pPr>
        <w:pStyle w:val="P68B1DB1-Text13"/>
        <w:ind w:left="0"/>
        <w:rPr>
          <w:rFonts w:eastAsia="Times New Roman"/>
          <w:noProof/>
          <w:color w:val="000000"/>
        </w:rPr>
      </w:pPr>
      <w:r>
        <w:rPr>
          <w:noProof/>
        </w:rPr>
        <w:t>Bij de tweede actie in het kader van deze hervorming worden voor de onderzoeksinstellingen en ondergeschikte eenheden onder toezicht van het ministerie van Landbouw en Plattelandsontwikkeling regels vastgesteld voor het gebruik van laboratoria, onderzoeksinfrastructuur en kennisoverdracht in het kader van de samenwerking tussen wetenschap en wetenschap en bedrijfsleven. De regels voor de toekenning van de steun zijn in overeenstemming met de beginselen van non-discriminatie en transparantie.</w:t>
      </w:r>
    </w:p>
    <w:p w14:paraId="229874DD" w14:textId="52CD7DCE" w:rsidR="00480F1C" w:rsidRDefault="00A201F6">
      <w:pPr>
        <w:pStyle w:val="P68B1DB1-Text13"/>
        <w:ind w:left="0"/>
        <w:rPr>
          <w:rFonts w:eastAsia="Times New Roman"/>
          <w:noProof/>
          <w:color w:val="000000"/>
        </w:rPr>
      </w:pPr>
      <w:r>
        <w:rPr>
          <w:noProof/>
        </w:rPr>
        <w:t>De uitvoering van deze hervorming moest uiterlijk op 31 maart 2022 zijn voltooid.</w:t>
      </w:r>
    </w:p>
    <w:p w14:paraId="4B99056E"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u w:val="single"/>
        </w:rPr>
      </w:pPr>
    </w:p>
    <w:p w14:paraId="3D0BAB01" w14:textId="77777777" w:rsidR="00480F1C" w:rsidRDefault="00A201F6">
      <w:pPr>
        <w:pStyle w:val="P68B1DB1-Text14"/>
        <w:ind w:left="0"/>
        <w:rPr>
          <w:rFonts w:eastAsia="Times New Roman"/>
          <w:noProof/>
        </w:rPr>
      </w:pPr>
      <w:r>
        <w:rPr>
          <w:noProof/>
        </w:rPr>
        <w:t>A2.4.1 Investeringen in de ontwikkeling van onderzoekscapaciteiten</w:t>
      </w:r>
    </w:p>
    <w:p w14:paraId="60EB99DB" w14:textId="3D968B51" w:rsidR="00480F1C" w:rsidRDefault="00A201F6">
      <w:pPr>
        <w:pStyle w:val="P68B1DB1-Text13"/>
        <w:ind w:left="0"/>
        <w:rPr>
          <w:rFonts w:eastAsia="Times New Roman"/>
          <w:noProof/>
          <w:color w:val="000000"/>
        </w:rPr>
      </w:pPr>
      <w:r>
        <w:rPr>
          <w:noProof/>
        </w:rPr>
        <w:t>Het doel van deze investering is te zorgen voor nauwere samenwerking tussen onderzoeks- en innovatie-instellingen en tussen wetenschappelijke instellingen en het bedrijfsleven. Het draagt bij tot het verhogen van hoogwaardige O &amp; O-resultaten met een groot commercialiseringspotentieel.</w:t>
      </w:r>
    </w:p>
    <w:p w14:paraId="6D6FDD9E" w14:textId="19A793B7" w:rsidR="00480F1C" w:rsidRDefault="00A201F6">
      <w:pPr>
        <w:pStyle w:val="P68B1DB1-Text13"/>
        <w:ind w:left="0"/>
        <w:rPr>
          <w:rFonts w:eastAsia="Times New Roman"/>
          <w:noProof/>
        </w:rPr>
      </w:pPr>
      <w:r>
        <w:rPr>
          <w:noProof/>
        </w:rPr>
        <w:t xml:space="preserve">Deze investering bestaat uit de financiering van onderzoeksinfrastructuur binnen het onderzoeksnetwerk Łukasiewicz, de Poolse routekaart voor onderzoeksinfrastructuur en binnen de agrovoedingsinstituten en ondergeschikte eenheden onder toezicht van het ministerie van Landbouw en Plattelandsontwikkeling. </w:t>
      </w:r>
    </w:p>
    <w:p w14:paraId="0839BA2B" w14:textId="3BAEEC1C" w:rsidR="00480F1C" w:rsidRDefault="00A201F6">
      <w:pPr>
        <w:pStyle w:val="Text1"/>
        <w:ind w:left="0"/>
        <w:rPr>
          <w:rFonts w:eastAsia="Times New Roman"/>
          <w:noProof/>
          <w:color w:val="000000" w:themeColor="text1"/>
        </w:rPr>
      </w:pPr>
      <w:r>
        <w:rPr>
          <w:noProof/>
          <w:color w:val="000000"/>
        </w:rPr>
        <w:t>Om ervoor te zorgen dat de maatregel voldoet aan de technische richtsnoeren „geen ernstige afbreuk doen” (2021/C 58/01), worden de volgende activiteiten uitgesloten van de subsidiabiliteitscriteria in de taakomschrijving voor toekomstige oproepen tot het indienen van projecten: I) activiteiten in verband met fossiele brandstoffen, met inbegrip van downstreamgebruik</w:t>
      </w:r>
      <w:r>
        <w:rPr>
          <w:rStyle w:val="FootnoteReference"/>
          <w:rFonts w:eastAsia="Times New Roman"/>
          <w:noProof/>
          <w:color w:val="000000" w:themeColor="text1"/>
        </w:rPr>
        <w:footnoteReference w:id="8"/>
      </w:r>
      <w:r>
        <w:rPr>
          <w:noProof/>
          <w:color w:val="000000"/>
        </w:rPr>
        <w:t>; II) activiteiten in het kader van het EU-emissiehandelssysteem (ETS) waarmee de verwachte broeikasgasemissies niet lager zijn dan de relevante benchmarks</w:t>
      </w:r>
      <w:r>
        <w:rPr>
          <w:rStyle w:val="FootnoteReference"/>
          <w:rFonts w:eastAsia="Times New Roman"/>
          <w:noProof/>
          <w:color w:val="000000" w:themeColor="text1"/>
        </w:rPr>
        <w:footnoteReference w:id="9"/>
      </w:r>
      <w:r>
        <w:rPr>
          <w:noProof/>
          <w:color w:val="000000"/>
        </w:rPr>
        <w:t>; III) activiteiten in verband met stortplaatsen voor afval, verbrandingsinstallaties</w:t>
      </w:r>
      <w:r>
        <w:rPr>
          <w:rStyle w:val="FootnoteReference"/>
          <w:rFonts w:eastAsia="Times New Roman"/>
          <w:noProof/>
          <w:color w:val="000000" w:themeColor="text1"/>
        </w:rPr>
        <w:footnoteReference w:id="10"/>
      </w:r>
      <w:r>
        <w:rPr>
          <w:noProof/>
          <w:color w:val="000000"/>
        </w:rPr>
        <w:t xml:space="preserve"> en installaties voor mechanische biologische behandeling</w:t>
      </w:r>
      <w:r>
        <w:rPr>
          <w:rStyle w:val="FootnoteReference"/>
          <w:rFonts w:eastAsia="Times New Roman"/>
          <w:noProof/>
          <w:color w:val="000000" w:themeColor="text1"/>
        </w:rPr>
        <w:footnoteReference w:id="11"/>
      </w:r>
      <w:r>
        <w:rPr>
          <w:noProof/>
          <w:color w:val="000000"/>
        </w:rPr>
        <w:t xml:space="preserve">; en iv) activiteiten waarbij de langdurige verwijdering van afval schade kan toebrengen aan het milieu. </w:t>
      </w:r>
    </w:p>
    <w:p w14:paraId="201AAA4B" w14:textId="29A7C69C" w:rsidR="00480F1C" w:rsidRDefault="00A201F6">
      <w:pPr>
        <w:pStyle w:val="P68B1DB1-Text13"/>
        <w:ind w:left="0"/>
        <w:rPr>
          <w:rFonts w:eastAsia="Times New Roman"/>
          <w:noProof/>
        </w:rPr>
      </w:pPr>
      <w:r>
        <w:rPr>
          <w:noProof/>
        </w:rPr>
        <w:t>De volgende O &amp; O &amp; I-acties in het kader van deze investering worden geacht in overeenstemming te zijn met de technische richtsnoeren „geen ernstige afbreuk doen” (2021/C 58/01): I) die O &amp; O &amp; I-acties in het kader van deze investering die leiden tot technologisch neutrale resultaten op het niveau van de toepassing ervan; II) de O &amp; O &amp; I-acties in het kader van deze investering ter ondersteuning van alternatieven met lage milieueffecten waarvoor deze bestaan; of iii) de O &amp;I-acties in het kader van deze investering die in de eerste plaats gericht zijn op de ontwikkeling van alternatieven met de laagst mogelijke milieueffecten in de sector voor activiteiten waarvoor geen technologisch en economisch haalbaar alternatief met een laag effect bestaat.</w:t>
      </w:r>
    </w:p>
    <w:p w14:paraId="69F816B6" w14:textId="59BDCE8C" w:rsidR="00480F1C" w:rsidRDefault="00A201F6">
      <w:pPr>
        <w:pStyle w:val="P68B1DB1-Text13"/>
        <w:ind w:left="0"/>
        <w:rPr>
          <w:rFonts w:eastAsia="Times New Roman"/>
          <w:noProof/>
          <w:color w:val="000000"/>
        </w:rPr>
      </w:pPr>
      <w:r>
        <w:rPr>
          <w:noProof/>
        </w:rPr>
        <w:t>De uitvoering van de investering moet uiterlijk op 31 december 2025 zijn voltooid.</w:t>
      </w:r>
    </w:p>
    <w:p w14:paraId="7D6BE619" w14:textId="77777777" w:rsidR="00480F1C" w:rsidRDefault="00480F1C">
      <w:pPr>
        <w:pStyle w:val="Normal0"/>
        <w:spacing w:before="120" w:after="120" w:line="240" w:lineRule="auto"/>
        <w:jc w:val="both"/>
        <w:rPr>
          <w:rFonts w:ascii="Times New Roman" w:eastAsia="Times New Roman" w:hAnsi="Times New Roman" w:cs="Times New Roman"/>
          <w:noProof/>
          <w:color w:val="000000" w:themeColor="text1"/>
          <w:sz w:val="24"/>
        </w:rPr>
      </w:pPr>
    </w:p>
    <w:p w14:paraId="5CCFB21C" w14:textId="318E4154" w:rsidR="00480F1C" w:rsidRDefault="00A201F6">
      <w:pPr>
        <w:pStyle w:val="P68B1DB1-Text16"/>
        <w:ind w:left="0"/>
        <w:rPr>
          <w:rFonts w:eastAsia="Times New Roman"/>
          <w:noProof/>
          <w:color w:val="000000" w:themeColor="text1"/>
        </w:rPr>
      </w:pPr>
      <w:r>
        <w:rPr>
          <w:noProof/>
        </w:rPr>
        <w:t>Subcomponent A3 — Onderwijs voor de moderne economie</w:t>
      </w:r>
    </w:p>
    <w:p w14:paraId="396CF71A"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4D56A643" w14:textId="55E78B5B" w:rsidR="00480F1C" w:rsidRDefault="00A201F6">
      <w:pPr>
        <w:pStyle w:val="P68B1DB1-Text14"/>
        <w:ind w:left="0"/>
        <w:rPr>
          <w:noProof/>
        </w:rPr>
      </w:pPr>
      <w:r>
        <w:rPr>
          <w:noProof/>
        </w:rPr>
        <w:t>A3.1 Werknemers voor de moderne economie: betere afstemming van vaardigheden en kwalificaties op de behoeften van de arbeidsmarkt dankzij de invoering van nieuwe technologieën in de economie en de groene en digitale transformatie</w:t>
      </w:r>
    </w:p>
    <w:p w14:paraId="6ED81CE6" w14:textId="450EFBC2" w:rsidR="00480F1C" w:rsidRDefault="00A201F6">
      <w:pPr>
        <w:pStyle w:val="P68B1DB1-Text13"/>
        <w:ind w:left="0"/>
        <w:rPr>
          <w:rFonts w:eastAsia="Times New Roman"/>
          <w:noProof/>
          <w:color w:val="000000"/>
        </w:rPr>
      </w:pPr>
      <w:r>
        <w:rPr>
          <w:noProof/>
        </w:rPr>
        <w:t xml:space="preserve">Het hoofddoel van de hervorming is de beroepsbevolking voor te bereiden op de moderne economie en vaardigheden en kwalificaties beter af te stemmen op de behoeften van de arbeidsmarkt, gekoppeld aan de invoering van nieuwe technologieën in de economie en de groene en digitale transformatie. </w:t>
      </w:r>
    </w:p>
    <w:p w14:paraId="0357DF2E" w14:textId="3B84D661" w:rsidR="00480F1C" w:rsidRDefault="00A201F6">
      <w:pPr>
        <w:pStyle w:val="P68B1DB1-Text13"/>
        <w:ind w:left="0"/>
        <w:rPr>
          <w:rFonts w:eastAsia="Times New Roman"/>
          <w:noProof/>
          <w:color w:val="000000"/>
        </w:rPr>
      </w:pPr>
      <w:r>
        <w:rPr>
          <w:noProof/>
        </w:rPr>
        <w:t>Deze hervorming heeft tot doel centra voor sectorale vaardigheden op te richten en de desbetreffende wetgeving te wijzigen om gerichte bij- en omscholingsdiensten te verlenen. De hervorming heeft onder meer tot doel de samenwerking tussen werkgevers en aanbieders van beroepsonderwijs te ondersteunen, bij te dragen tot de verspreiding van innovatieve oplossingen en innovatie in de beroepsopleiding te ondersteunen. Er moet ook aandacht worden besteed aan de inclusie van personen met een handicap. Als zodanig vormen de vaardighedencentra een aanvulling op het bestaande aanbod van secundair en hoger beroepsonderwijs en -opleiding en een leven lang leren.</w:t>
      </w:r>
    </w:p>
    <w:p w14:paraId="139CAF24" w14:textId="2B60AA78" w:rsidR="00480F1C" w:rsidRDefault="00A201F6">
      <w:pPr>
        <w:pStyle w:val="P68B1DB1-Text13"/>
        <w:ind w:left="0"/>
        <w:rPr>
          <w:rFonts w:eastAsia="Times New Roman"/>
          <w:noProof/>
          <w:color w:val="000000"/>
        </w:rPr>
      </w:pPr>
      <w:r>
        <w:rPr>
          <w:noProof/>
        </w:rPr>
        <w:t>De hervorming omvat een wijziging van de onderwijswet en het handvest voor leerkrachten. Dit volgt op een evaluatieproces in nauwe samenwerking met de sociale partners, regionale autoriteiten, sectoren en andere belanghebbenden. De wijziging van de onderwijswet voorziet in een ontwikkelingsplan voor het netwerk van vaardighedencentra, bepaalt de plaats en rol van de centra voor vaardigheden in het onderwijs- en opleidingsstelsel, bepaalt de voorwaarden voor de indienstneming van personeel in de centra voor vaardigheden, stelt bepalingen vast voor cyclische evaluaties om het toezicht op het beheer en de duurzaamheid na 2026 te waarborgen, en past een bestaand governancesysteem aan met op maat gesneden bepalingen inzake het bestuur van vaardighedencentra, met inbegrip van werkgevers (met inbegrip van vertegenwoordigers van kmo’s), sociale partners en andere relevante belanghebbenden, waaronder regionale en lokale autoriteiten. Het omvat ook de vaststelling van financieringsregelingen (ook na beëindiging van de EU-steun), opleidingsvoorwaarden, voorzieningen voor loopbaanbegeleiding en curricula, en bevat een beschrijving van de aangeboden soorten opleidingen, de doelgroepen, de soorten kwalificaties en normen, kwaliteitsborgings- en verificatiemechanismen en de wijze waarop de sectoren aan de centra voor vaardigheden worden gekoppeld. De wijziging van het handvest voor leerkrachten maakt het mogelijk dat de centra voor vaardigheden permanente beroepsopleiding aanbieden aan huidige leerkrachten in het beroepsonderwijs.</w:t>
      </w:r>
    </w:p>
    <w:p w14:paraId="2892FC7F" w14:textId="0413F7C5" w:rsidR="00480F1C" w:rsidRDefault="00A201F6">
      <w:pPr>
        <w:pStyle w:val="P68B1DB1-Text13"/>
        <w:ind w:left="0"/>
        <w:rPr>
          <w:rFonts w:eastAsia="Times New Roman"/>
          <w:noProof/>
          <w:color w:val="000000"/>
        </w:rPr>
      </w:pPr>
      <w:r>
        <w:rPr>
          <w:noProof/>
        </w:rPr>
        <w:t xml:space="preserve">De hervorming heeft ook tot doel de coördinatie van beroepsonderwijs en -opleiding, hoger onderwijs en een leven lang leren in de regio’s aan te passen, met het oog op de totstandbrenging van duurzame en doeltreffende methoden voor samenwerking en interactie tussen de verschillende belanghebbenden op het gebied van de ontwikkeling van vaardigheden die deel uitmaken van de verschillende bestuursstructuren (zoals onderwijsinstellingen, arbeidsmarktinstellingen, ondernemingen en werkgeversorganisaties, en lokale overheden). </w:t>
      </w:r>
    </w:p>
    <w:p w14:paraId="29ED6463" w14:textId="13FEED0E" w:rsidR="00480F1C" w:rsidRDefault="00A201F6">
      <w:pPr>
        <w:pStyle w:val="P68B1DB1-Text13"/>
        <w:ind w:left="0"/>
        <w:rPr>
          <w:rFonts w:eastAsia="Times New Roman"/>
          <w:noProof/>
          <w:color w:val="000000"/>
        </w:rPr>
      </w:pPr>
      <w:r>
        <w:rPr>
          <w:noProof/>
        </w:rPr>
        <w:t>Dit wordt bereikt door de inwerkingtreding van wijzigingen van verschillende wetgevingshandelingen, na een herziening van de bestaande coördinatiemechanismen en in nauwe samenwerking met de lokale en regionale overheden. Bij de hervorming worden de rechten en verantwoordelijkheden van de regio’s bij de coördinatie van het vaardighedenbeleid in kaart gebracht en wordt het bijscholingsaanbod van instellingen voor een leven lang leren beïnvloed op basis van operationele uitvoeringsprogramma’s voor de (nationale) geïntegreerde vaardighedenstrategie 2030 op regionaal niveau. Deze wijzigingen omvatten de wettelijke oprichting van regionale coördinatieteams (één in elk van de Poolse provincies) die het beleid inzake beroepsonderwijs en -opleiding, hoger onderwijs en een leven lang leren coördineren; een governancestructuur waarin de verantwoordelijkheden van de regio’s en de sociale partners zijn opgenomen; de verplichting om op regionaal niveau operationele uitvoeringsprogramma’s voor de nationale geïntegreerde vaardighedenstrategie 2030 vast te stellen (één in elk „woiwodschap”) en om de vijf jaar een programma bij te werken, en ervoor te zorgen dat het leeraanbod wordt aangepast aan de gediagnosticeerde vaardigheidsbehoeften. De wijzigingen omvatten bepalingen voor de werking van het coördinatiebureau (dat diensten verleent aan de regionale coördinatieteams) en een uitvoeringsplan voor monitoring en evaluatie.</w:t>
      </w:r>
    </w:p>
    <w:p w14:paraId="1330F20D" w14:textId="08D94D04" w:rsidR="00480F1C" w:rsidRDefault="00A201F6">
      <w:pPr>
        <w:pStyle w:val="P68B1DB1-Text13"/>
        <w:ind w:left="0"/>
        <w:rPr>
          <w:rFonts w:eastAsia="Times New Roman"/>
          <w:noProof/>
        </w:rPr>
      </w:pPr>
      <w:r>
        <w:rPr>
          <w:noProof/>
        </w:rPr>
        <w:t xml:space="preserve">De uitvoering van de hervorming wordt uiterlijk op 31 maart 2025 voltooid. </w:t>
      </w:r>
    </w:p>
    <w:p w14:paraId="136C4316"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3F8F7F17" w14:textId="38D6C5C1" w:rsidR="00480F1C" w:rsidRDefault="00A201F6">
      <w:pPr>
        <w:pStyle w:val="P68B1DB1-Text14"/>
        <w:ind w:left="0"/>
        <w:rPr>
          <w:rFonts w:eastAsia="Times New Roman"/>
          <w:noProof/>
        </w:rPr>
      </w:pPr>
      <w:r>
        <w:rPr>
          <w:noProof/>
        </w:rPr>
        <w:t>A3.1.1 Investeringen in moderne beroepsopleiding, hoger onderwijs en een leven lang leren</w:t>
      </w:r>
    </w:p>
    <w:p w14:paraId="370C55E9" w14:textId="614BCC5B" w:rsidR="00480F1C" w:rsidRDefault="00A201F6">
      <w:pPr>
        <w:pStyle w:val="P68B1DB1-Text13"/>
        <w:ind w:left="0"/>
        <w:rPr>
          <w:rFonts w:eastAsia="Times New Roman"/>
          <w:noProof/>
          <w:color w:val="000000"/>
        </w:rPr>
      </w:pPr>
      <w:r>
        <w:rPr>
          <w:noProof/>
        </w:rPr>
        <w:t xml:space="preserve">De investering, die verband houdt met hervorming A3.1, is gericht op de daadwerkelijke oprichting en volledige werking van het netwerk van centra voor sectorale vaardigheden ter ondersteuning van de ontwikkeling van moderne beroepsopleiding, hoger onderwijs en een leven lang leren. Dit omvat de oprichting van centra voor vaardigheden en het aanbieden van beroepsopleidingscursussen en -curricula, onder meer voor volwassenen, studenten, jongeren, leerkrachten in beroepsonderwijs en -opleiding en werknemers. De investering omvat niet de aankoop van grond. </w:t>
      </w:r>
    </w:p>
    <w:p w14:paraId="310025BF" w14:textId="33EBA663" w:rsidR="00480F1C" w:rsidRDefault="00A201F6">
      <w:pPr>
        <w:pStyle w:val="P68B1DB1-Text13"/>
        <w:ind w:left="0"/>
        <w:rPr>
          <w:rFonts w:eastAsia="Times New Roman"/>
          <w:noProof/>
        </w:rPr>
      </w:pPr>
      <w:r>
        <w:rPr>
          <w:noProof/>
        </w:rPr>
        <w:t xml:space="preserve">Voor het aanbieden van bij- en omscholings- en opleidingscurricula in de vaardighedencentra, met inbegrip van de certificering van leerresultaten, krijgen 24 000 lerenden een opleiding in alle centra. Ten minste 60 % van deze lerenden moet volwassenen zijn (ten minste 25 jaar oud, met uitzondering van leerkrachten in het beroepsonderwijs en de beroepsopleiding); ten minste 20 % van de lerenden moet jongeren zijn (tussen 14 en 24 jaar oud); ten minste 10 % van de lerenden zijn huidige leerkrachten in het beroepsonderwijs en de beroepsopleiding, die deelnemen aan de opleiding in de eerste twee jaar waarin de centra voor vaardigheden operationeel zijn (na de hervorming van de wet op de lerarenopleiding). Ten slotte omvat elk bijscholingsprogramma ten minste een digitale en een groene dimensie, op basis van de beste beschikbare kennis en wetenschap. Ten minste 90 sectorale organisaties worden opgenomen in de vaardighedencentra (voor wie opleiding wordt gegeven). </w:t>
      </w:r>
    </w:p>
    <w:p w14:paraId="0191D6C5" w14:textId="5FE7E4BE" w:rsidR="00480F1C" w:rsidRDefault="00A201F6">
      <w:pPr>
        <w:pStyle w:val="P68B1DB1-Text13"/>
        <w:ind w:left="0"/>
        <w:rPr>
          <w:rFonts w:eastAsia="Times New Roman"/>
          <w:noProof/>
          <w:color w:val="000000"/>
        </w:rPr>
      </w:pPr>
      <w:r>
        <w:rPr>
          <w:noProof/>
        </w:rPr>
        <w:t xml:space="preserve">Bij de investering worden ook ten minste 14 functionerende regionale coördinatieteams opgezet, met als algemeen doel 16 regionale coördinatieteams te bereiken (één voor elk „woiwodschap”). Deze teams coördineren het beleid op het gebied van beroepsonderwijs en -opleiding en een leven lang leren. De investering omvat steun en ontwikkeling van coördinatiemechanismen op centraal en regionaal niveau, alsmede steun voor activiteiten van de regionale teams om hun taken uit te voeren. </w:t>
      </w:r>
    </w:p>
    <w:p w14:paraId="52E8EA61" w14:textId="7617EE91" w:rsidR="00480F1C" w:rsidRDefault="00A201F6">
      <w:pPr>
        <w:pStyle w:val="P68B1DB1-Text13"/>
        <w:ind w:left="0"/>
        <w:rPr>
          <w:rFonts w:eastAsia="Times New Roman"/>
          <w:noProof/>
          <w:color w:val="000000"/>
        </w:rPr>
      </w:pPr>
      <w:r>
        <w:rPr>
          <w:noProof/>
        </w:rPr>
        <w:t>Daarnaast worden, met als algemene doelstelling 16 geoperationaliseerde uitvoeringsprogramma’s op regionaal niveau te ontwikkelen (één voor elk „woiwodschap”), ten minste 14 geoperationaliseerde uitvoeringsprogramma’s op regionaal niveau ontwikkeld door de opgerichte regionale coördinatieteams voor beroepsonderwijs en -opleiding en een leven lang leren. Dit zijn uitvoeringsprogramma’s voor de nationale geïntegreerde vaardighedenstrategie 2030 op regionaal niveau.</w:t>
      </w:r>
    </w:p>
    <w:p w14:paraId="2298B8EB" w14:textId="11F38318" w:rsidR="00480F1C" w:rsidRDefault="00A201F6">
      <w:pPr>
        <w:pStyle w:val="P68B1DB1-Text13"/>
        <w:ind w:left="0"/>
        <w:rPr>
          <w:rFonts w:eastAsia="Times New Roman"/>
          <w:noProof/>
        </w:rPr>
      </w:pPr>
      <w:r>
        <w:rPr>
          <w:noProof/>
        </w:rPr>
        <w:t>De uitvoering van de investering moet uiterlijk op 30 juni 2026 zijn voltooid.</w:t>
      </w:r>
    </w:p>
    <w:p w14:paraId="0FB78278" w14:textId="2F476A18"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sz w:val="24"/>
          <w:u w:val="single"/>
        </w:rPr>
      </w:pPr>
    </w:p>
    <w:p w14:paraId="2A062E5F" w14:textId="147032B0" w:rsidR="00480F1C" w:rsidRDefault="00A201F6">
      <w:pPr>
        <w:pStyle w:val="P68B1DB1-Text16"/>
        <w:ind w:left="0"/>
        <w:rPr>
          <w:rFonts w:eastAsia="Times New Roman"/>
          <w:noProof/>
        </w:rPr>
      </w:pPr>
      <w:r>
        <w:rPr>
          <w:noProof/>
        </w:rPr>
        <w:t>Subcomponent A4 — Verbetering van de structurele afstemming van vraag en aanbod, efficiëntie en crisisbestendigheid van de arbeidsmarkt</w:t>
      </w:r>
    </w:p>
    <w:p w14:paraId="3A544A3F" w14:textId="77777777" w:rsidR="00480F1C" w:rsidRDefault="00480F1C">
      <w:pPr>
        <w:spacing w:after="0"/>
        <w:rPr>
          <w:rFonts w:ascii="Times New Roman" w:eastAsia="Times New Roman" w:hAnsi="Times New Roman" w:cs="Times New Roman"/>
          <w:b/>
          <w:noProof/>
          <w:color w:val="000000"/>
          <w:sz w:val="24"/>
        </w:rPr>
      </w:pPr>
    </w:p>
    <w:p w14:paraId="12D0269F" w14:textId="77777777" w:rsidR="00480F1C" w:rsidRDefault="00A201F6">
      <w:pPr>
        <w:pStyle w:val="P68B1DB1-Text16"/>
        <w:ind w:left="0"/>
        <w:rPr>
          <w:rFonts w:eastAsia="Times New Roman"/>
          <w:noProof/>
          <w:u w:val="single"/>
        </w:rPr>
      </w:pPr>
      <w:r>
        <w:rPr>
          <w:noProof/>
          <w:u w:val="single"/>
        </w:rPr>
        <w:t>A4.1 Effectieve instellingen voor de arbeidsmarkt</w:t>
      </w:r>
      <w:r>
        <w:rPr>
          <w:noProof/>
        </w:rPr>
        <w:t xml:space="preserve"> </w:t>
      </w:r>
    </w:p>
    <w:p w14:paraId="3FF900EA" w14:textId="5A975F13" w:rsidR="00480F1C" w:rsidRDefault="00A201F6">
      <w:pPr>
        <w:pStyle w:val="P68B1DB1-Text13"/>
        <w:ind w:left="0"/>
        <w:rPr>
          <w:rFonts w:eastAsia="Times New Roman"/>
          <w:noProof/>
          <w:color w:val="000000"/>
        </w:rPr>
      </w:pPr>
      <w:r>
        <w:rPr>
          <w:noProof/>
        </w:rPr>
        <w:t>De overkoepelende doelstelling van de hervorming is de arbeidsmarktparticipatie te verhogen om bij te dragen tot een hogere productiviteit, crisisbestendigheid en mondiaal concurrentievermogen van de Poolse economie. Een andere doelstelling is het scheppen van nieuwe flexibiliteit en zekerheid op de Poolse arbeidsmarkt. Daartoe beoogt de hervorming: I) de werking van de openbare diensten voor arbeidsvoorziening opnieuw vorm te geven en een actief arbeidsmarktbeleid te versterken; II) het aanwerven van buitenlandse werknemers te vergemakkelijken; III) de aanwervingsprocedures te versoepelen door nieuwe bepalingen inzake elektronische contracten in te voeren; en iv) na te gaan hoe het gebruik van collectieve arbeidsovereenkomsten en van één arbeidsovereenkomst kan worden verbeterd.</w:t>
      </w:r>
    </w:p>
    <w:p w14:paraId="51E05130" w14:textId="043C8B34" w:rsidR="00480F1C" w:rsidRDefault="00A201F6">
      <w:pPr>
        <w:pStyle w:val="P68B1DB1-Text13"/>
        <w:ind w:left="0"/>
        <w:rPr>
          <w:rFonts w:eastAsia="Times New Roman"/>
          <w:noProof/>
          <w:color w:val="000000"/>
        </w:rPr>
      </w:pPr>
      <w:r>
        <w:rPr>
          <w:noProof/>
        </w:rPr>
        <w:t>De hervorming bestaat uit nieuwe wetgeving inzake openbare diensten voor arbeidsvoorziening, de tewerkstelling van onderdanen van derde landen en de elektronische sluiting van bepaalde arbeidsovereenkomsten. Bovendien omvat de hervorming de vaststelling van een nieuw normen en een nieuw prestatiekader voor de werking en coördinatie van de openbare diensten voor arbeidsvoorziening. Er wordt een raadplegingsproces met de sociale partners uitgevoerd over de mogelijkheden voor collectieve overeenkomsten en een uitgebreide studie naar de mogelijke rol van één arbeidsovereenkomst. Relevante wetswijzigingen, zoals vastgesteld in de raadpleging en in de studie, worden uitgevoerd.</w:t>
      </w:r>
    </w:p>
    <w:p w14:paraId="230F3499" w14:textId="77777777" w:rsidR="00480F1C" w:rsidRDefault="00A201F6">
      <w:pPr>
        <w:pStyle w:val="P68B1DB1-Text13"/>
        <w:ind w:left="0"/>
        <w:rPr>
          <w:rFonts w:eastAsia="Times New Roman"/>
          <w:noProof/>
          <w:color w:val="000000"/>
        </w:rPr>
      </w:pPr>
      <w:r>
        <w:rPr>
          <w:noProof/>
        </w:rPr>
        <w:t>De uitvoering van de hervorming wordt uiterlijk op 30 september 2024 voltooid.</w:t>
      </w:r>
    </w:p>
    <w:p w14:paraId="1FC39945" w14:textId="77777777" w:rsidR="00480F1C" w:rsidRDefault="00480F1C">
      <w:pPr>
        <w:pStyle w:val="Normal0"/>
        <w:spacing w:before="120" w:after="120" w:line="240" w:lineRule="auto"/>
        <w:jc w:val="both"/>
        <w:rPr>
          <w:rFonts w:ascii="Times New Roman" w:eastAsia="Times New Roman" w:hAnsi="Times New Roman" w:cs="Times New Roman"/>
          <w:noProof/>
          <w:color w:val="000000" w:themeColor="text1"/>
          <w:sz w:val="24"/>
        </w:rPr>
      </w:pPr>
    </w:p>
    <w:p w14:paraId="2FDB5F36" w14:textId="77777777" w:rsidR="00480F1C" w:rsidRDefault="00A201F6">
      <w:pPr>
        <w:pStyle w:val="P68B1DB1-Text14"/>
        <w:ind w:left="0"/>
        <w:rPr>
          <w:rFonts w:eastAsia="Times New Roman"/>
          <w:noProof/>
        </w:rPr>
      </w:pPr>
      <w:r>
        <w:rPr>
          <w:noProof/>
        </w:rPr>
        <w:t xml:space="preserve">A4.1.1 Investeringen ter ondersteuning van de hervorming van de arbeidsmarktinstellingen </w:t>
      </w:r>
    </w:p>
    <w:p w14:paraId="3D3584B1" w14:textId="77777777" w:rsidR="00480F1C" w:rsidRDefault="00A201F6">
      <w:pPr>
        <w:pStyle w:val="P68B1DB1-Text13"/>
        <w:ind w:left="0"/>
        <w:rPr>
          <w:rFonts w:eastAsia="Times New Roman"/>
          <w:noProof/>
          <w:color w:val="000000"/>
        </w:rPr>
      </w:pPr>
      <w:r>
        <w:rPr>
          <w:noProof/>
        </w:rPr>
        <w:t>De overkoepelende doelstelling van deze investering is het vergroten van de capaciteit van de openbare diensten voor arbeidsvoorziening om de werking van de arbeidsmarkt te ondersteunen. Daartoe heeft de investering tot doel de diensten en instrumenten die door de openbare diensten voor arbeidsvoorziening worden gebruikt, te digitaliseren, het personeel van de openbare diensten voor arbeidsvoorziening op te leiden en een voorlichtingscampagne te voeren over de nieuwe diensten die door de openbare diensten voor arbeidsvoorziening worden aangeboden, ook voor hun eerste toekomstige gebruikers.</w:t>
      </w:r>
    </w:p>
    <w:p w14:paraId="0883A34B" w14:textId="0BAAE27B" w:rsidR="00480F1C" w:rsidRDefault="00A201F6">
      <w:pPr>
        <w:pStyle w:val="P68B1DB1-Text13"/>
        <w:ind w:left="0"/>
        <w:rPr>
          <w:rFonts w:eastAsia="Times New Roman"/>
          <w:noProof/>
          <w:color w:val="000000"/>
        </w:rPr>
      </w:pPr>
      <w:r>
        <w:rPr>
          <w:noProof/>
        </w:rPr>
        <w:t xml:space="preserve">De investeringen bestaan uit i) digitalisering van de processen van openbare diensten voor arbeidsvoorziening en ii) opleidingscursussen voor het personeel van de openbare diensten voor arbeidsvoorziening, iii) de ontwikkeling van nieuwe normen. </w:t>
      </w:r>
    </w:p>
    <w:p w14:paraId="2C9D0204" w14:textId="77777777" w:rsidR="00480F1C" w:rsidRDefault="00A201F6">
      <w:pPr>
        <w:pStyle w:val="P68B1DB1-Text13"/>
        <w:ind w:left="0"/>
        <w:rPr>
          <w:rFonts w:eastAsia="Times New Roman"/>
          <w:noProof/>
          <w:color w:val="000000"/>
        </w:rPr>
      </w:pPr>
      <w:r>
        <w:rPr>
          <w:noProof/>
        </w:rPr>
        <w:t>De uitvoering van de investering moet uiterlijk op 30 juni 2025 zijn voltooid.</w:t>
      </w:r>
    </w:p>
    <w:p w14:paraId="0562CB0E"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u w:val="single"/>
        </w:rPr>
      </w:pPr>
    </w:p>
    <w:p w14:paraId="6C61DB17" w14:textId="179960B8" w:rsidR="00480F1C" w:rsidRDefault="00A201F6">
      <w:pPr>
        <w:pStyle w:val="P68B1DB1-Text14"/>
        <w:ind w:left="0"/>
        <w:rPr>
          <w:rFonts w:eastAsia="Times New Roman"/>
          <w:noProof/>
        </w:rPr>
      </w:pPr>
      <w:r>
        <w:rPr>
          <w:noProof/>
        </w:rPr>
        <w:t>A4.2 Hervorming om de arbeidsmarktsituatie van ouders te verbeteren door de toegang tot hoogwaardige kinderopvang voor kinderen tot drie jaar te verbeteren</w:t>
      </w:r>
    </w:p>
    <w:p w14:paraId="1FB01AB7" w14:textId="14AC0A5A" w:rsidR="00480F1C" w:rsidRDefault="00A201F6">
      <w:pPr>
        <w:pStyle w:val="P68B1DB1-Text13"/>
        <w:ind w:left="0"/>
        <w:rPr>
          <w:rFonts w:eastAsia="Times New Roman"/>
          <w:noProof/>
          <w:color w:val="000000"/>
        </w:rPr>
      </w:pPr>
      <w:r>
        <w:rPr>
          <w:noProof/>
        </w:rPr>
        <w:t>De overkoepelende doelstelling van de hervorming is het vergemakkelijken van de toegang tot kinderopvangfaciliteiten voor kinderen tot drie jaar en het waarborgen van hoge onderwijs- en kwaliteitsnormen voor kinderopvang. Daartoe is het doel van de hervorming i) het beheer van de binnenlandse en externe middelen voor de oprichting en werking van kinderopvangfaciliteiten te stroomlijnen; II) zorgen voor stabiele binnenlandse langetermijnfinanciering van de kinderopvang voor kinderen tot drie jaar; en iii) een reeks bindende minimumonderwijs- en kwaliteitsnormen voor kinderopvangfaciliteiten toe te passen.</w:t>
      </w:r>
    </w:p>
    <w:p w14:paraId="354B5C47" w14:textId="521079D3" w:rsidR="00480F1C" w:rsidRDefault="00A201F6">
      <w:pPr>
        <w:pStyle w:val="P68B1DB1-Text13"/>
        <w:ind w:left="0"/>
        <w:rPr>
          <w:rFonts w:eastAsia="Times New Roman"/>
          <w:noProof/>
          <w:color w:val="000000"/>
        </w:rPr>
      </w:pPr>
      <w:r>
        <w:rPr>
          <w:noProof/>
        </w:rPr>
        <w:t xml:space="preserve">De hervorming bestaat uit de goedkeuring van een wijziging van de wet inzake de zorg voor kinderen tot drie jaar en het opzetten van een specifiek meerjarenprogramma voor de oprichting en werking van de kinderopvangfaciliteiten. In het amendement wordt onder meer het beheer van drie verschillende financieringsbronnen voor de oprichting en werking van kinderopvangfaciliteiten samengebracht: binnenlandse financiering, Europees Sociaal Fonds + en de herstel- en veerkrachtfaciliteit. De hervorming omvat ook het opzetten van een relevante regeling en het waarborgen van voldoende middelen om een stabiele binnenlandse langetermijnfinanciering van kinderopvang voor kinderen tot drie jaar tot stand te brengen. Tot slot zal de hervorming bestaan uit het uitvoeren van een strategische evaluatie van de bestaande zorg- en onderwijsnormen voor kinderen jonger dan drie jaar, het ontwikkelen van relevante onderwijsbegeleiding en -ondersteuning voor kinderopvangfaciliteiten, en het doorvoeren van relevante wetswijzigingen op basis van deze evaluatie met het oog op de vaststelling van een reeks bindende minimumonderwijs- en kwaliteitsnormen voor kinderopvangfaciliteiten om de hoge kwaliteit van onderwijs en zorg vanaf jonge leeftijd te waarborgen. </w:t>
      </w:r>
    </w:p>
    <w:p w14:paraId="39C8C92C" w14:textId="77777777" w:rsidR="00480F1C" w:rsidRDefault="00A201F6">
      <w:pPr>
        <w:pStyle w:val="P68B1DB1-Text13"/>
        <w:ind w:left="0"/>
        <w:rPr>
          <w:rFonts w:eastAsia="Times New Roman"/>
          <w:noProof/>
          <w:color w:val="000000"/>
        </w:rPr>
      </w:pPr>
      <w:r>
        <w:rPr>
          <w:noProof/>
        </w:rPr>
        <w:t>De uitvoering van de hervorming wordt uiterlijk op 30 juni 2024 voltooid.</w:t>
      </w:r>
    </w:p>
    <w:p w14:paraId="34CE0A41"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41985E9C" w14:textId="77777777" w:rsidR="00480F1C" w:rsidRDefault="00A201F6">
      <w:pPr>
        <w:pStyle w:val="P68B1DB1-Text14"/>
        <w:ind w:left="0"/>
        <w:rPr>
          <w:rFonts w:eastAsia="Times New Roman"/>
          <w:noProof/>
        </w:rPr>
      </w:pPr>
      <w:r>
        <w:rPr>
          <w:noProof/>
        </w:rPr>
        <w:t>A4.2.1 Steun voor kinderopvangfaciliteiten voor kinderen tot drie jaar (kinderdagverblijven, kinderclubs) onder Maluch +</w:t>
      </w:r>
    </w:p>
    <w:p w14:paraId="1BDCB003" w14:textId="469A4908" w:rsidR="00480F1C" w:rsidRDefault="00A201F6">
      <w:pPr>
        <w:pStyle w:val="P68B1DB1-Text13"/>
        <w:ind w:left="0"/>
        <w:rPr>
          <w:rFonts w:eastAsia="Times New Roman"/>
          <w:noProof/>
          <w:color w:val="000000"/>
        </w:rPr>
      </w:pPr>
      <w:r>
        <w:rPr>
          <w:noProof/>
        </w:rPr>
        <w:t>De overkoepelende doelstelling van deze investering is de beschikbaarheid van kinderopvangfaciliteiten tot drie jaar te vergroten door de kosten van de bouw van kinderopvangfaciliteiten te subsidiëren en een systeem voor het beheer van de financiering van kinderopvangfaciliteiten voor kinderen tot drie jaar op te zetten. Daartoe is de investering gericht op i) de invoering van een IT-systeem voor het beheer van de financiering en de totstandbrenging van kinderopvangfaciliteiten voor kinderen tot drie jaar, en ii) het creëren van nieuwe plaatsen in kinderopvangfaciliteiten (kinderdagverblijven, kinderclubs) voor kinderen tot drie jaar.</w:t>
      </w:r>
    </w:p>
    <w:p w14:paraId="39BEFB42" w14:textId="77777777" w:rsidR="00480F1C" w:rsidRDefault="00A201F6">
      <w:pPr>
        <w:pStyle w:val="P68B1DB1-Text13"/>
        <w:ind w:left="0"/>
        <w:rPr>
          <w:rFonts w:eastAsia="Times New Roman"/>
          <w:noProof/>
          <w:color w:val="000000"/>
        </w:rPr>
      </w:pPr>
      <w:r>
        <w:rPr>
          <w:noProof/>
        </w:rPr>
        <w:t>De investering bestaat uit de ontwikkeling en uitrol van een IT-systeem voor het beheer van de financiering en de totstandbrenging van kinderopvangfaciliteiten voor kinderen tot drie jaar. Het systeem combineert verschillende financieringsbronnen voor kinderopvang (Europese fondsen, nationale financiering uit de centrale begroting, financiering van lokale overheden).</w:t>
      </w:r>
    </w:p>
    <w:p w14:paraId="5AF032E9" w14:textId="758F4204" w:rsidR="00480F1C" w:rsidRDefault="00A201F6">
      <w:pPr>
        <w:pStyle w:val="P68B1DB1-Text13"/>
        <w:ind w:left="0"/>
        <w:rPr>
          <w:rFonts w:eastAsia="Times New Roman"/>
          <w:noProof/>
          <w:color w:val="000000"/>
        </w:rPr>
      </w:pPr>
      <w:r>
        <w:rPr>
          <w:noProof/>
        </w:rPr>
        <w:t>De investering bestaat ook uit de creatie van 47500 nieuwe plaatsen in kinderdagverblijven en kinderclubs door de bouw van nieuwe faciliteiten en de renovatie (renovatie en aanpassing) van bestaande voorzieningen. Bij wijze van uitzondering kan dit, indien nodig, de aankoop van onroerend goed en infrastructuur (de aankoop van grond of panden) omvatten.</w:t>
      </w:r>
    </w:p>
    <w:p w14:paraId="5E048EFC" w14:textId="77777777" w:rsidR="00480F1C" w:rsidRDefault="00A201F6">
      <w:pPr>
        <w:pStyle w:val="P68B1DB1-Text13"/>
        <w:ind w:left="0"/>
        <w:rPr>
          <w:rFonts w:eastAsia="Times New Roman"/>
          <w:noProof/>
          <w:color w:val="000000"/>
        </w:rPr>
      </w:pPr>
      <w:r>
        <w:rPr>
          <w:noProof/>
        </w:rPr>
        <w:t xml:space="preserve">Er wordt een duidelijke afbakening tussen de financiering uit de faciliteit voor herstel en veerkracht en andere Europese financiering in acht genomen. </w:t>
      </w:r>
    </w:p>
    <w:p w14:paraId="78DFE28D" w14:textId="77777777" w:rsidR="00480F1C" w:rsidRDefault="00A201F6">
      <w:pPr>
        <w:pStyle w:val="P68B1DB1-Text13"/>
        <w:ind w:left="0"/>
        <w:rPr>
          <w:rFonts w:eastAsia="Times New Roman"/>
          <w:noProof/>
          <w:color w:val="000000"/>
        </w:rPr>
      </w:pPr>
      <w:r>
        <w:rPr>
          <w:noProof/>
        </w:rPr>
        <w:t>De uitvoering van de investering moet uiterlijk op 30 juni 2026 zijn voltooid.</w:t>
      </w:r>
    </w:p>
    <w:p w14:paraId="62EBF3C5"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0C45E4FB" w14:textId="77777777" w:rsidR="00480F1C" w:rsidRDefault="00A201F6">
      <w:pPr>
        <w:pStyle w:val="P68B1DB1-Text14"/>
        <w:pageBreakBefore/>
        <w:ind w:left="0"/>
        <w:rPr>
          <w:rFonts w:eastAsia="Times New Roman"/>
          <w:noProof/>
        </w:rPr>
      </w:pPr>
      <w:r>
        <w:rPr>
          <w:noProof/>
        </w:rPr>
        <w:t>A4.3 Tenuitvoerlegging van het rechtskader voor de ontwikkeling van de sociale economie</w:t>
      </w:r>
    </w:p>
    <w:p w14:paraId="2C58F83D" w14:textId="77777777" w:rsidR="00480F1C" w:rsidRDefault="00A201F6">
      <w:pPr>
        <w:pStyle w:val="P68B1DB1-Text13"/>
        <w:ind w:left="0"/>
        <w:rPr>
          <w:rFonts w:eastAsia="Times New Roman"/>
          <w:noProof/>
          <w:color w:val="000000"/>
        </w:rPr>
      </w:pPr>
      <w:r>
        <w:rPr>
          <w:noProof/>
        </w:rPr>
        <w:t>De overkoepelende doelstelling van de hervorming is het verhogen van de beroepsparticipatiegraad van mensen die het risico lopen op sociale uitsluiting en het ondersteunen van de de-institutionalisering van sociale diensten. Daartoe is het doel van de hervorming om in de wetgeving een kader vast te stellen voor de werking van de actoren van de sociale economie.</w:t>
      </w:r>
    </w:p>
    <w:p w14:paraId="2FA6F748" w14:textId="77777777" w:rsidR="00480F1C" w:rsidRDefault="00A201F6">
      <w:pPr>
        <w:pStyle w:val="P68B1DB1-Text13"/>
        <w:ind w:left="0"/>
        <w:rPr>
          <w:rFonts w:eastAsia="Times New Roman"/>
          <w:noProof/>
          <w:color w:val="000000"/>
        </w:rPr>
      </w:pPr>
      <w:r>
        <w:rPr>
          <w:noProof/>
        </w:rPr>
        <w:t>De hervorming bestaat uit de goedkeuring van een wet inzake de sociale economie. In de wet worden de basisregels voor deze sector vastgesteld, waaronder met name de beginselen van functioneren en ondersteuning van sociale ondernemingen, nieuwe vormen van samenwerking tussen entiteiten van de sociale economie en de lokale overheid bij de uitvoering van sociale diensten, alsmede de beginselen van beleidscoördinatie op het gebied van de ontwikkeling van de sociale economie.</w:t>
      </w:r>
    </w:p>
    <w:p w14:paraId="5036C115" w14:textId="1BB27759" w:rsidR="00480F1C" w:rsidRDefault="00A201F6">
      <w:pPr>
        <w:pStyle w:val="P68B1DB1-Text13"/>
        <w:ind w:left="0"/>
        <w:rPr>
          <w:rFonts w:eastAsia="Times New Roman"/>
          <w:noProof/>
        </w:rPr>
      </w:pPr>
      <w:r>
        <w:rPr>
          <w:noProof/>
        </w:rPr>
        <w:t>De uitvoering van de hervorming wordt uiterlijk op 30 juni 2022 voltooid.</w:t>
      </w:r>
    </w:p>
    <w:p w14:paraId="28993FCA" w14:textId="77777777" w:rsidR="00480F1C" w:rsidRDefault="00480F1C">
      <w:pPr>
        <w:pStyle w:val="Text1"/>
        <w:ind w:left="0"/>
        <w:rPr>
          <w:rFonts w:eastAsia="Times New Roman"/>
          <w:noProof/>
          <w:color w:val="000000" w:themeColor="text1"/>
        </w:rPr>
      </w:pPr>
    </w:p>
    <w:p w14:paraId="1AC4645D" w14:textId="77777777" w:rsidR="00480F1C" w:rsidRDefault="00A201F6">
      <w:pPr>
        <w:pStyle w:val="P68B1DB1-Text14"/>
        <w:ind w:left="0"/>
        <w:rPr>
          <w:rFonts w:eastAsia="Times New Roman"/>
          <w:noProof/>
        </w:rPr>
      </w:pPr>
      <w:r>
        <w:rPr>
          <w:noProof/>
        </w:rPr>
        <w:t>A4.3.1 Investeringssteunprogramma’s die het met name mogelijk maken activiteiten te ontwikkelen, de deelname aan de verlening van sociale diensten te vergroten en de kwaliteit van de re-integratie in entiteiten van de sociale economie te verbeteren</w:t>
      </w:r>
    </w:p>
    <w:p w14:paraId="78CC3A06" w14:textId="3E9FA8D1" w:rsidR="00480F1C" w:rsidRDefault="00A201F6">
      <w:pPr>
        <w:pStyle w:val="P68B1DB1-Text13"/>
        <w:ind w:left="0"/>
        <w:rPr>
          <w:rFonts w:eastAsia="Times New Roman"/>
          <w:noProof/>
          <w:color w:val="000000"/>
        </w:rPr>
      </w:pPr>
      <w:r>
        <w:rPr>
          <w:noProof/>
        </w:rPr>
        <w:t>De overkoepelende doelstelling van deze investering is het maximaliseren van het effect van entiteiten van de sociale economie op de sociale en professionele re-integratie van mensen die met sociale uitsluiting worden bedreigd, en het ondersteunen van de de-institutionalisering van sociale diensten. Daartoe heeft de investering tot doel entiteiten te helpen bij het verkrijgen van de status van sociale onderneming en het behoud van banen in entiteiten van de sociale economie.</w:t>
      </w:r>
    </w:p>
    <w:p w14:paraId="51B53191" w14:textId="0E1C4108" w:rsidR="00480F1C" w:rsidRDefault="00A201F6">
      <w:pPr>
        <w:pStyle w:val="P68B1DB1-Text13"/>
        <w:ind w:left="0"/>
        <w:rPr>
          <w:rFonts w:eastAsia="Times New Roman"/>
          <w:noProof/>
          <w:color w:val="000000"/>
        </w:rPr>
      </w:pPr>
      <w:r>
        <w:rPr>
          <w:noProof/>
        </w:rPr>
        <w:t>De investering bestaat uit de voorbereiding en uitvoering van programma’s waarbij subsidies worden verstrekt aan in aanmerking komende entiteiten. De doelstellingen voor het meten van de verwezenlijking van de investering zijn i) de toekenning van de status van sociale onderneming aan 1400 entiteiten en ii) het verlenen van financiële steun aan ten minste 1000 sociale entiteiten.</w:t>
      </w:r>
    </w:p>
    <w:p w14:paraId="38B298FD" w14:textId="44407BB6" w:rsidR="00480F1C" w:rsidRDefault="00A201F6">
      <w:pPr>
        <w:pStyle w:val="P68B1DB1-Text13"/>
        <w:ind w:left="0"/>
        <w:rPr>
          <w:rFonts w:eastAsia="Times New Roman"/>
          <w:noProof/>
          <w:color w:val="000000"/>
        </w:rPr>
      </w:pPr>
      <w:r>
        <w:rPr>
          <w:noProof/>
        </w:rPr>
        <w:t>De begunstigden worden geselecteerd aan de hand van gespecificeerde selectiecriteria, waarbij de beginselen van non-discriminatie en transparantie in acht worden genomen.</w:t>
      </w:r>
    </w:p>
    <w:p w14:paraId="1A28289F" w14:textId="767D8E62" w:rsidR="00480F1C" w:rsidRDefault="00A201F6">
      <w:pPr>
        <w:pStyle w:val="P68B1DB1-Text13"/>
        <w:ind w:left="0"/>
        <w:rPr>
          <w:rFonts w:eastAsia="Times New Roman"/>
          <w:noProof/>
        </w:rPr>
      </w:pPr>
      <w:r>
        <w:rPr>
          <w:noProof/>
        </w:rPr>
        <w:t>De uitvoering van de investering moet uiterlijk op 31 december 2025 zijn voltooid.</w:t>
      </w:r>
    </w:p>
    <w:p w14:paraId="2946DB82"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066CBF28" w14:textId="77777777" w:rsidR="00480F1C" w:rsidRDefault="00A201F6">
      <w:pPr>
        <w:pStyle w:val="P68B1DB1-Text14"/>
        <w:ind w:left="0"/>
        <w:rPr>
          <w:rFonts w:eastAsia="Times New Roman"/>
          <w:noProof/>
        </w:rPr>
      </w:pPr>
      <w:r>
        <w:rPr>
          <w:noProof/>
        </w:rPr>
        <w:t>A4.4 Werkvormen flexibeler maken en werken op afstand invoeren</w:t>
      </w:r>
    </w:p>
    <w:p w14:paraId="3E653869" w14:textId="77777777" w:rsidR="00480F1C" w:rsidRDefault="00A201F6">
      <w:pPr>
        <w:pStyle w:val="P68B1DB1-Text13"/>
        <w:ind w:left="0"/>
        <w:rPr>
          <w:rFonts w:eastAsia="Times New Roman"/>
          <w:noProof/>
          <w:color w:val="000000"/>
        </w:rPr>
      </w:pPr>
      <w:r>
        <w:rPr>
          <w:noProof/>
        </w:rPr>
        <w:t>De overkoepelende doelstelling van de hervorming is het gemakkelijker te maken gezins- en beroepsverantwoordelijkheden te combineren en mensen uit groepen met een lagere arbeidsparticipatie te helpen bij het vinden van een reguliere baan. Daartoe worden telewerk en flexibele vormen van organisatie van de arbeidstijd vastgelegd in het arbeidswetboek.</w:t>
      </w:r>
    </w:p>
    <w:p w14:paraId="0C2422C3" w14:textId="77777777" w:rsidR="00480F1C" w:rsidRDefault="00A201F6">
      <w:pPr>
        <w:pStyle w:val="P68B1DB1-Text13"/>
        <w:ind w:left="0"/>
        <w:rPr>
          <w:rFonts w:eastAsia="Times New Roman"/>
          <w:noProof/>
          <w:color w:val="000000"/>
        </w:rPr>
      </w:pPr>
      <w:r>
        <w:rPr>
          <w:noProof/>
        </w:rPr>
        <w:t>De hervorming bestaat uit de goedkeuring van een wijziging van het arbeidswetboek. De wijziging maakt telewerken mogelijk, niet alleen in buitengewone omstandigheden, en voert flexibele vormen van arbeidstijdregelingen in. In de wijziging worden ook verschillende operationele regelingen voor werk op afstand en flexibel werk gedefinieerd, waaronder: I) de mogelijkheid om buiten de standplaats op afstand te werken, op basis van afspraken tussen de werknemer en de werkgever, ii) een definitie van de regels voor de door de werkgever te verstrekken arbeidsinstrumenten, en iii) de totstandbrenging van een kader voor gezondheids- en veiligheidsbeginselen die van toepassing zijn op werken op afstand.</w:t>
      </w:r>
    </w:p>
    <w:p w14:paraId="3AE0ECCD" w14:textId="3B48969A" w:rsidR="00480F1C" w:rsidRPr="00E01639" w:rsidRDefault="00A201F6" w:rsidP="00E01639">
      <w:pPr>
        <w:pStyle w:val="P68B1DB1-Text13"/>
        <w:ind w:left="0"/>
        <w:rPr>
          <w:rFonts w:eastAsia="Times New Roman"/>
          <w:noProof/>
        </w:rPr>
      </w:pPr>
      <w:r>
        <w:rPr>
          <w:noProof/>
        </w:rPr>
        <w:t>De uitvoering van de hervorming wordt uiterlijk op 30 september 2022 voltooid.</w:t>
      </w:r>
    </w:p>
    <w:p w14:paraId="25AD9223" w14:textId="77777777" w:rsidR="00480F1C" w:rsidRDefault="00A201F6">
      <w:pPr>
        <w:pStyle w:val="P68B1DB1-Text14"/>
        <w:pageBreakBefore/>
        <w:ind w:left="0"/>
        <w:rPr>
          <w:rFonts w:eastAsia="Times New Roman"/>
          <w:noProof/>
        </w:rPr>
      </w:pPr>
      <w:r>
        <w:rPr>
          <w:noProof/>
        </w:rPr>
        <w:t>A4.5 loopbanen uitbreiden en werken na de wettelijke pensioenleeftijd bevorderen</w:t>
      </w:r>
    </w:p>
    <w:p w14:paraId="279728C5" w14:textId="77777777" w:rsidR="00480F1C" w:rsidRDefault="00A201F6">
      <w:pPr>
        <w:pStyle w:val="P68B1DB1-Text13"/>
        <w:ind w:left="0"/>
        <w:rPr>
          <w:rFonts w:eastAsia="Times New Roman"/>
          <w:noProof/>
          <w:color w:val="000000"/>
        </w:rPr>
      </w:pPr>
      <w:r>
        <w:rPr>
          <w:noProof/>
        </w:rPr>
        <w:t xml:space="preserve">De overkoepelende doelstelling van de hervorming is het vergroten van het vermogen en de motivatie van werknemers om na de pensioenleeftijd op de arbeidsmarkt te blijven. Daartoe wordt een fiscale stimulans ingevoerd voor degenen die de wettelijke pensioenleeftijd hebben bereikt, maar er de voorkeur aan geven niet met pensioen te gaan en te blijven werken. Binnen twee jaar na de invoering van de fiscale stimulans wordt een verslag gepubliceerd om het effect ervan op de effectieve pensioenleeftijd te evalueren. </w:t>
      </w:r>
    </w:p>
    <w:p w14:paraId="5BAAF82F" w14:textId="442BB4EA" w:rsidR="00480F1C" w:rsidRDefault="00A201F6">
      <w:pPr>
        <w:pStyle w:val="P68B1DB1-Text13"/>
        <w:ind w:left="0"/>
        <w:rPr>
          <w:rFonts w:eastAsia="Times New Roman"/>
          <w:noProof/>
          <w:color w:val="000000"/>
        </w:rPr>
      </w:pPr>
      <w:r>
        <w:rPr>
          <w:noProof/>
        </w:rPr>
        <w:t>De hervorming bestaat uit de vaststelling van een wijziging van de wet inzake de inkomstenbelasting en een evaluatie van deze maatregel. De wijziging verlaagt met ingang van 2023 de inkomstenbelasting voor personen die de wettelijke pensioenleeftijd hebben bereikt, maar niet met pensioen willen gaan en blijven werken. Werknemers die in de eerste inkomstenbelastingschijf vallen (85 528 PLN in 2021) en die niet meer verdienen dan het gemiddelde brutoloon in de nationale economie in Polen, worden vrijgesteld van inkomstenbelasting. Het tarief van de personenbelasting wordt verlaagd voor andere werknemers met een hoger inkomen die de wettelijke pensioenleeftijd hebben bereikt, maar niet met pensioen gaan en blijven werken. Dankzij deze fiscale prikkel verdienen belastingplichtigen extra bedragen die overeenkomen met het bedrag van de niet-betaalde inkomstenbelasting, dat tot doel heeft hen ertoe aan te zetten hun loopbaan uit te breiden. Binnen twee jaar na de invoering van bovengenoemde maatregel wordt een verslag opgesteld waarin het effect van de wijzigingen in de inkomstenbelasting op de effectieve pensioenleeftijd wordt geëvalueerd. Hierin wordt het effect op de arbeidsmarktparticipatie, de houdbaarheid van het pensioenstelsel, de overheidsfinanciën en de gelijkheid van mannen en vrouwen geanalyseerd.</w:t>
      </w:r>
    </w:p>
    <w:p w14:paraId="39416CA2" w14:textId="578A4C11" w:rsidR="00480F1C" w:rsidRDefault="00A201F6">
      <w:pPr>
        <w:pStyle w:val="P68B1DB1-Text13"/>
        <w:ind w:left="0"/>
        <w:rPr>
          <w:rFonts w:eastAsia="Times New Roman"/>
          <w:noProof/>
          <w:color w:val="000000"/>
        </w:rPr>
      </w:pPr>
      <w:r>
        <w:rPr>
          <w:noProof/>
        </w:rPr>
        <w:t>De uitvoering van de hervorming wordt uiterlijk op 31 december 2024 voltooid.</w:t>
      </w:r>
    </w:p>
    <w:p w14:paraId="6F9501DD"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3077CAAA" w14:textId="77777777" w:rsidR="00480F1C" w:rsidRDefault="00A201F6">
      <w:pPr>
        <w:pStyle w:val="P68B1DB1-Text14"/>
        <w:ind w:left="0"/>
        <w:rPr>
          <w:rFonts w:eastAsia="Times New Roman"/>
          <w:noProof/>
        </w:rPr>
      </w:pPr>
      <w:r>
        <w:rPr>
          <w:noProof/>
        </w:rPr>
        <w:t>A4.6 Verhoging van de arbeidsmarktparticipatie van bepaalde groepen door de ontwikkeling van langdurige zorg</w:t>
      </w:r>
    </w:p>
    <w:p w14:paraId="53289D32" w14:textId="77777777" w:rsidR="00480F1C" w:rsidRDefault="00A201F6">
      <w:pPr>
        <w:pStyle w:val="P68B1DB1-Text13"/>
        <w:ind w:left="0"/>
        <w:rPr>
          <w:rFonts w:eastAsia="Times New Roman"/>
          <w:noProof/>
          <w:color w:val="000000"/>
        </w:rPr>
      </w:pPr>
      <w:r>
        <w:rPr>
          <w:noProof/>
        </w:rPr>
        <w:t xml:space="preserve">De overkoepelende doelstelling van de hervorming is de arbeidsmarktparticipatie van bepaalde groepen, met name vrouwen, te verhogen door het systeem voor langdurige zorg in Polen te ontwikkelen. Daartoe wordt een strategische evaluatie van het stelsel voor langdurige zorg uitgevoerd, gevolgd door relevante wetswijzigingen. </w:t>
      </w:r>
    </w:p>
    <w:p w14:paraId="0422B214" w14:textId="5E398189" w:rsidR="00480F1C" w:rsidRDefault="00A201F6">
      <w:pPr>
        <w:pStyle w:val="P68B1DB1-Text13"/>
        <w:ind w:left="0"/>
        <w:rPr>
          <w:rFonts w:eastAsia="Times New Roman"/>
          <w:noProof/>
          <w:color w:val="000000"/>
        </w:rPr>
      </w:pPr>
      <w:r>
        <w:rPr>
          <w:noProof/>
        </w:rPr>
        <w:t>De hervorming bestaat uit de publicatie van een analyse van het stelsel voor langdurige zorg in Polen, gevolgd door een wijziging van de relevante wetten om de in deze analyse vastgestelde hervormingsprioriteiten uit te voeren. In de analyse worden met name de mogelijkheden onderzocht om sociale en langdurige gezondheidszorg te integreren, de de-institutionalisering van deze diensten te versnellen, ze onder één autoriteit te plaatsen, de versnippering van de zorgverlening te verminderen, een stabiel systeem van adequate financiering van de langdurige zorg te creëren, met name gemeenschaps- en thuiszorg, en een kwaliteitskader voor langdurige zorg in te voeren (vereisten voor personeel, uitrusting, toelating van verleners van langdurige zorg tot de markt). In de analyse wordt ook nagegaan hoe de zorggerelateerde uitkeringen kunnen worden herzien om de voortzetting van het werk mogelijk te maken. De analyse wordt uitgevoerd in overleg met relevante belanghebbenden, met inbegrip van de sociale partners die zich bezighouden met langdurige zorg, en lokale autoriteiten. De in de analyse vastgestelde hervormingsprioriteiten worden uitgevoerd door middel van een wijziging van de desbetreffende wetgeving als onderdeel van de hervorming.</w:t>
      </w:r>
    </w:p>
    <w:p w14:paraId="0F874AFA" w14:textId="77777777" w:rsidR="00480F1C" w:rsidRDefault="00A201F6">
      <w:pPr>
        <w:pStyle w:val="P68B1DB1-Text13"/>
        <w:ind w:left="0"/>
        <w:rPr>
          <w:rFonts w:eastAsia="Times New Roman"/>
          <w:noProof/>
          <w:color w:val="000000"/>
        </w:rPr>
      </w:pPr>
      <w:r>
        <w:rPr>
          <w:noProof/>
        </w:rPr>
        <w:t>De uitvoering van de hervorming wordt uiterlijk op 31 december 2024 voltooid.</w:t>
      </w:r>
    </w:p>
    <w:p w14:paraId="42300483" w14:textId="65212474"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2B42C771" w14:textId="77777777" w:rsidR="00480F1C" w:rsidRDefault="00A201F6">
      <w:pPr>
        <w:pStyle w:val="P68B1DB1-Text14"/>
        <w:ind w:left="0"/>
        <w:rPr>
          <w:rFonts w:eastAsia="Times New Roman"/>
          <w:noProof/>
        </w:rPr>
      </w:pPr>
      <w:r>
        <w:rPr>
          <w:noProof/>
        </w:rPr>
        <w:t>A4.7 De segmentering van de arbeidsmarkt beperken</w:t>
      </w:r>
    </w:p>
    <w:p w14:paraId="4065AE86" w14:textId="77777777" w:rsidR="00480F1C" w:rsidRDefault="00A201F6">
      <w:pPr>
        <w:pStyle w:val="P68B1DB1-Text13"/>
        <w:ind w:left="0"/>
        <w:rPr>
          <w:rFonts w:eastAsia="Times New Roman"/>
          <w:noProof/>
          <w:color w:val="000000"/>
        </w:rPr>
      </w:pPr>
      <w:r>
        <w:rPr>
          <w:noProof/>
        </w:rPr>
        <w:t xml:space="preserve">De overkoepelende doelstelling van de hervorming is de segmentering van de arbeidsmarkt te beperken en de sociale zekerheid van bepaalde werknemers te vergroten. Daartoe worden alle civielrechtelijke arbeidscontracten onderworpen aan socialezekerheidsbijdragen, met uitzondering van mandaatovereenkomsten met middelbare scholieren en scholieren tot de leeftijd van 26 jaar. </w:t>
      </w:r>
    </w:p>
    <w:p w14:paraId="25F3A1F5" w14:textId="429DFECE" w:rsidR="00480F1C" w:rsidRDefault="00A201F6">
      <w:pPr>
        <w:pStyle w:val="P68B1DB1-Text13"/>
        <w:ind w:left="0"/>
        <w:rPr>
          <w:rFonts w:eastAsia="Times New Roman"/>
          <w:noProof/>
          <w:color w:val="000000"/>
        </w:rPr>
      </w:pPr>
      <w:r>
        <w:rPr>
          <w:noProof/>
        </w:rPr>
        <w:t>De hervorming wordt ten uitvoer gelegd door middel van een rechtshandeling die ervoor zorgt dat werkgelegenheid op basis van civielrechtelijke overeenkomsten onderworpen is aan socialezekerheidsbijdragen: pensioenen, invaliditeit, ongevallen en beroepsziekten en, met uitzondering van contracten voor specifieke taken waarvoor het vrijwillig is, prestaties bij ziekte. Bovendien wordt de regel dat de socialezekerheidsbijdragen worden betaald op basis van het minimumloon voor civielrechtelijke overeenkomsten, afgeschaft.</w:t>
      </w:r>
    </w:p>
    <w:p w14:paraId="02E9806A" w14:textId="3CC16E7D" w:rsidR="00480F1C" w:rsidRDefault="00A201F6">
      <w:pPr>
        <w:pStyle w:val="P68B1DB1-Text13"/>
        <w:ind w:left="0"/>
        <w:rPr>
          <w:rFonts w:eastAsia="Times New Roman"/>
          <w:noProof/>
        </w:rPr>
        <w:sectPr w:rsidR="00480F1C" w:rsidSect="00234C48">
          <w:headerReference w:type="even" r:id="rId19"/>
          <w:headerReference w:type="default" r:id="rId20"/>
          <w:footerReference w:type="even" r:id="rId21"/>
          <w:footerReference w:type="default" r:id="rId22"/>
          <w:headerReference w:type="first" r:id="rId23"/>
          <w:footerReference w:type="first" r:id="rId24"/>
          <w:pgSz w:w="11907" w:h="16839"/>
          <w:pgMar w:top="1134" w:right="1418" w:bottom="709" w:left="1418" w:header="709" w:footer="0" w:gutter="0"/>
          <w:pgNumType w:start="1"/>
          <w:cols w:space="720"/>
        </w:sectPr>
      </w:pPr>
      <w:r>
        <w:rPr>
          <w:noProof/>
        </w:rPr>
        <w:t>De uitvoering van de hervorming wordt uiterlijk op 31 december 2023 voltooid.</w:t>
      </w:r>
    </w:p>
    <w:p w14:paraId="28FC8010" w14:textId="77777777" w:rsidR="00480F1C" w:rsidRDefault="00A201F6">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sz w:val="24"/>
        </w:rPr>
      </w:pPr>
      <w:r>
        <w:rPr>
          <w:rFonts w:ascii="Times New Roman" w:hAnsi="Times New Roman"/>
          <w:b/>
          <w:noProof/>
          <w:color w:val="000000"/>
          <w:sz w:val="24"/>
        </w:rPr>
        <w:t xml:space="preserve">A.2. </w:t>
      </w:r>
      <w:r>
        <w:rPr>
          <w:noProof/>
        </w:rPr>
        <w:tab/>
      </w:r>
      <w:r>
        <w:rPr>
          <w:rFonts w:ascii="Times New Roman" w:hAnsi="Times New Roman"/>
          <w:b/>
          <w:noProof/>
          <w:color w:val="000000"/>
          <w:sz w:val="24"/>
        </w:rPr>
        <w:t>Mijlpalen, streefdoelen, indicatoren en tijdschema voor de monitoring en uitvoering voor niet-terugbetaalbare financiële steun</w:t>
      </w:r>
    </w:p>
    <w:p w14:paraId="08CE6F91" w14:textId="527E0B0F" w:rsidR="00480F1C" w:rsidRDefault="00A201F6">
      <w:pPr>
        <w:pStyle w:val="P68B1DB1-Normal08"/>
        <w:pBdr>
          <w:top w:val="nil"/>
          <w:left w:val="nil"/>
          <w:bottom w:val="nil"/>
          <w:right w:val="nil"/>
          <w:between w:val="nil"/>
        </w:pBdr>
        <w:spacing w:before="120" w:after="120" w:line="240" w:lineRule="auto"/>
        <w:jc w:val="both"/>
        <w:rPr>
          <w:rFonts w:eastAsia="Times New Roman" w:cs="Times New Roman"/>
          <w:noProof/>
        </w:rPr>
      </w:pPr>
      <w:r>
        <w:rPr>
          <w:noProof/>
        </w:rPr>
        <w:t>A1 — BEDRIJFSLEVEN</w:t>
      </w:r>
    </w:p>
    <w:tbl>
      <w:tblPr>
        <w:tblStyle w:val="NormalTable0"/>
        <w:tblW w:w="15309"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707"/>
        <w:gridCol w:w="2130"/>
        <w:gridCol w:w="1133"/>
        <w:gridCol w:w="1979"/>
        <w:gridCol w:w="1559"/>
        <w:gridCol w:w="1139"/>
        <w:gridCol w:w="992"/>
        <w:gridCol w:w="846"/>
        <w:gridCol w:w="855"/>
        <w:gridCol w:w="704"/>
        <w:gridCol w:w="3265"/>
      </w:tblGrid>
      <w:tr w:rsidR="00480F1C" w14:paraId="726EA917" w14:textId="77777777">
        <w:trPr>
          <w:trHeight w:val="807"/>
          <w:tblHeader/>
          <w:jc w:val="center"/>
        </w:trPr>
        <w:tc>
          <w:tcPr>
            <w:tcW w:w="70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5334FB1B" w14:textId="00D35492"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Volgende NR.</w:t>
            </w:r>
          </w:p>
        </w:tc>
        <w:tc>
          <w:tcPr>
            <w:tcW w:w="213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34695AC7"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Gerelateerde maatregel (hervorming of investering)</w:t>
            </w:r>
          </w:p>
        </w:tc>
        <w:tc>
          <w:tcPr>
            <w:tcW w:w="113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58221195"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Mijlpaal/Doelstelling</w:t>
            </w:r>
          </w:p>
        </w:tc>
        <w:tc>
          <w:tcPr>
            <w:tcW w:w="197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0D909AED"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Naam</w:t>
            </w:r>
          </w:p>
        </w:tc>
        <w:tc>
          <w:tcPr>
            <w:tcW w:w="15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22B1FE9B"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sz w:val="18"/>
              </w:rPr>
              <w:t>Kwalitatieve indicatoren</w:t>
            </w:r>
            <w:r>
              <w:rPr>
                <w:noProof/>
              </w:rPr>
              <w:t xml:space="preserve"> </w:t>
            </w:r>
            <w:r>
              <w:rPr>
                <w:noProof/>
              </w:rPr>
              <w:br/>
            </w:r>
            <w:r>
              <w:rPr>
                <w:rFonts w:ascii="Times New Roman" w:hAnsi="Times New Roman"/>
                <w:b/>
                <w:noProof/>
                <w:color w:val="000000"/>
                <w:sz w:val="18"/>
              </w:rPr>
              <w:t>(voor mijlpalen)</w:t>
            </w:r>
          </w:p>
        </w:tc>
        <w:tc>
          <w:tcPr>
            <w:tcW w:w="297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095D8EA5"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sz w:val="18"/>
              </w:rPr>
              <w:t>Kwantitatieve indicatoren</w:t>
            </w:r>
            <w:r>
              <w:rPr>
                <w:noProof/>
              </w:rPr>
              <w:t xml:space="preserve"> </w:t>
            </w:r>
            <w:r>
              <w:rPr>
                <w:noProof/>
              </w:rPr>
              <w:br/>
            </w:r>
            <w:r>
              <w:rPr>
                <w:rFonts w:ascii="Times New Roman" w:hAnsi="Times New Roman"/>
                <w:b/>
                <w:noProof/>
                <w:color w:val="000000"/>
                <w:sz w:val="18"/>
              </w:rPr>
              <w:t>(voor streefcijfers)</w:t>
            </w:r>
          </w:p>
        </w:tc>
        <w:tc>
          <w:tcPr>
            <w:tcW w:w="1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167540E1"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Indicatieve termijn voor voltooiing </w:t>
            </w:r>
          </w:p>
        </w:tc>
        <w:tc>
          <w:tcPr>
            <w:tcW w:w="326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46B83F06"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Beschrijving van elke mijlpaal en doelstelling</w:t>
            </w:r>
          </w:p>
        </w:tc>
      </w:tr>
      <w:tr w:rsidR="00480F1C" w14:paraId="119887F0" w14:textId="77777777">
        <w:trPr>
          <w:trHeight w:val="692"/>
          <w:jc w:val="center"/>
        </w:trPr>
        <w:tc>
          <w:tcPr>
            <w:tcW w:w="707" w:type="dxa"/>
            <w:vMerge/>
            <w:vAlign w:val="center"/>
          </w:tcPr>
          <w:p w14:paraId="61CDCEAD"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2130" w:type="dxa"/>
            <w:vMerge/>
            <w:vAlign w:val="center"/>
          </w:tcPr>
          <w:p w14:paraId="6BB9E253"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133" w:type="dxa"/>
            <w:vMerge/>
            <w:vAlign w:val="center"/>
          </w:tcPr>
          <w:p w14:paraId="23DE523C"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979" w:type="dxa"/>
            <w:vMerge/>
            <w:vAlign w:val="center"/>
          </w:tcPr>
          <w:p w14:paraId="52E56223"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559" w:type="dxa"/>
            <w:vMerge/>
            <w:vAlign w:val="center"/>
          </w:tcPr>
          <w:p w14:paraId="07547A01"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65145CAE"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Eenheid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14E149BB"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Basislijn </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7996A6EA"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Doelstelling</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14400C56"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Kwartaal</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3C72651D"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Jaar</w:t>
            </w:r>
          </w:p>
        </w:tc>
        <w:tc>
          <w:tcPr>
            <w:tcW w:w="3265" w:type="dxa"/>
            <w:vMerge/>
            <w:vAlign w:val="center"/>
          </w:tcPr>
          <w:p w14:paraId="5043CB0F"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r>
      <w:tr w:rsidR="00480F1C" w14:paraId="62BC400A" w14:textId="77777777">
        <w:trPr>
          <w:trHeight w:val="1247"/>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49841BE" w14:textId="1F5BE900"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A1G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319D8E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A1.1 Hervorming van het begrotingskader</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4421DF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897582B" w14:textId="39CAA0DA" w:rsidR="00480F1C" w:rsidRDefault="00A201F6">
            <w:pPr>
              <w:pStyle w:val="P68B1DB1-Normal011"/>
              <w:spacing w:after="0" w:line="240" w:lineRule="auto"/>
              <w:rPr>
                <w:rFonts w:eastAsia="Times New Roman" w:cs="Times New Roman"/>
                <w:noProof/>
                <w:color w:val="000000" w:themeColor="text1"/>
              </w:rPr>
            </w:pPr>
            <w:r>
              <w:rPr>
                <w:noProof/>
              </w:rPr>
              <w:t>Ontwikkeling van een conceptnota over het gestandaardiseerde rekeningstelsel dat is geïntegreerd met de begrotingsclassificatie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EFFFBC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Publicatie op de website van het ministerie van Financiën</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E7BEAA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3E4A9C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F6584B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4B5F07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1</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FBE425F"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C53015B" w14:textId="3AFFF06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Publicatie van de conceptnota op de Biuletyn Informacji Publicznej (openbare informatiewebsite) van het ministerie van Financiën. De conceptnota bevat de beschrijving en opzet van het nieuwe classificatiesysteem.</w:t>
            </w:r>
          </w:p>
        </w:tc>
      </w:tr>
      <w:tr w:rsidR="00480F1C" w14:paraId="5C49D920" w14:textId="77777777">
        <w:trPr>
          <w:trHeight w:val="313"/>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8F999B5" w14:textId="24065C99"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A2G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ABDB44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A1.1 Hervorming van het begrotingskader</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48E22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5D3F861" w14:textId="7002994D"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wijziging van de wet op de overheidsfinanciën, opgesteld door het ministerie van Financiën ter uitvoering van het nieuwe begrotingssysteem, met inbegrip van het nieuwe classificatiesysteem, het nieuwe model voor begrotingsbeheer en het opnieuw gedefinieerde begrotingskader voor de middellange termijn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4365D80" w14:textId="507B81EA"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wijziging van de Wet op de openbare financiën met vermelding van de inwerkingtreding ervan</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9AF38F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5AA318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1512BE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F103B7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1</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C32F1D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37F395B" w14:textId="29BB7442" w:rsidR="00480F1C" w:rsidRDefault="00A201F6">
            <w:pPr>
              <w:pStyle w:val="P68B1DB1-Normal010"/>
              <w:pBdr>
                <w:top w:val="nil"/>
                <w:left w:val="nil"/>
                <w:bottom w:val="nil"/>
                <w:right w:val="nil"/>
                <w:between w:val="nil"/>
              </w:pBdr>
              <w:spacing w:after="0" w:line="240" w:lineRule="auto"/>
              <w:rPr>
                <w:rFonts w:eastAsia="Times New Roman" w:cs="Times New Roman"/>
                <w:noProof/>
                <w:color w:val="000000"/>
              </w:rPr>
            </w:pPr>
            <w:r>
              <w:rPr>
                <w:noProof/>
                <w:color w:val="000000" w:themeColor="text1"/>
              </w:rPr>
              <w:t>Inwerkingtreding van een wijziging van de wet op de overheidsfinanciën met het oog op de implementatie van het nieuwe begrotingssysteem, met inbegrip van het nieuwe classificatiesysteem, het nieuwe model voor begrotingsbeheer en het opnieuw</w:t>
            </w:r>
            <w:r>
              <w:rPr>
                <w:noProof/>
              </w:rPr>
              <w:t>vastgestelde begrotingskader voor de</w:t>
            </w:r>
            <w:r>
              <w:rPr>
                <w:noProof/>
                <w:color w:val="000000" w:themeColor="text1"/>
              </w:rPr>
              <w:t xml:space="preserve"> middellange termijn. Het nieuwe classificatiesysteem omvat de bestaande begrotingsclassificatie en prestatieclassificatie en koppelt deze aan het standaardrekeningstelsel. Transacties worden op dezelfde basis geregistreerd, hetgeen naar verwachting de kwaliteit van de gegevens in de budgettaire, financiële en statistische verslaglegging zal verbeteren. Het nieuwe systeem omvat een aantal afzonderlijke segmenten, samen met gegevenscoderingsstructuren in deze segmenten, die tegemoetkomen aan de informatiebehoeften van de verschillende gebruikers van het systeem.</w:t>
            </w:r>
          </w:p>
        </w:tc>
      </w:tr>
      <w:tr w:rsidR="00480F1C" w14:paraId="5D1E5DAD" w14:textId="77777777">
        <w:trPr>
          <w:trHeight w:val="313"/>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CD5EC4" w14:textId="231B2AE2"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A3G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5D8F93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A1.1 Hervorming van het begrotingskader</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C37E2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D534BC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wijziging van de wet op de openbare financiën waarbij het toepassingsgebied van de stabiliserende uitgavenregel (SER) wordt uitgebreid tot staatsfondsen voor speciale doeleinden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0C29F82" w14:textId="7F639C11"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wijziging van de Wet op de openbare financiën met vermelding van de inwerkingtreding ervan</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196589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p w14:paraId="5A4B2E9D" w14:textId="77777777" w:rsidR="00480F1C" w:rsidRDefault="00480F1C">
            <w:pPr>
              <w:rPr>
                <w:noProof/>
              </w:rPr>
            </w:pPr>
          </w:p>
          <w:p w14:paraId="18851FD0" w14:textId="77777777" w:rsidR="00480F1C" w:rsidRDefault="00480F1C">
            <w:pPr>
              <w:rPr>
                <w:noProof/>
              </w:rPr>
            </w:pPr>
          </w:p>
          <w:p w14:paraId="28B13216" w14:textId="77777777" w:rsidR="00480F1C" w:rsidRDefault="00480F1C">
            <w:pPr>
              <w:rPr>
                <w:noProof/>
              </w:rPr>
            </w:pPr>
          </w:p>
          <w:p w14:paraId="0DA70637" w14:textId="77777777" w:rsidR="00480F1C" w:rsidRDefault="00480F1C">
            <w:pPr>
              <w:rPr>
                <w:noProof/>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662417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B8484D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356CC74"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3</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B281B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2021</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70EE1EC" w14:textId="4BE0AC3E"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sz w:val="18"/>
              </w:rPr>
              <w:t>Inwerkingtreding van een wijziging van de Wet Overheidsfinanciën om het toepassingsgebied van de stabiliserende uitgavenregel (SER) uit te breiden.</w:t>
            </w:r>
            <w:r>
              <w:rPr>
                <w:noProof/>
              </w:rPr>
              <w:t xml:space="preserve"> </w:t>
            </w:r>
            <w:r>
              <w:rPr>
                <w:noProof/>
              </w:rPr>
              <w:br/>
            </w:r>
            <w:r>
              <w:rPr>
                <w:rFonts w:ascii="Times New Roman" w:hAnsi="Times New Roman"/>
                <w:noProof/>
                <w:color w:val="000000"/>
                <w:sz w:val="18"/>
              </w:rPr>
              <w:t>De veronderstelde effecten van de wijzigingen omvatten een groter aantal eenheden van de overheid (speciale staatsfondsen) die onder het toepassingsgebied van de SER vallen, waardoor de transparantie en efficiëntie van het beheer van de overheidsfinanciën kunnen worden vergroot. Het ministerie van Financiën is verantwoordelijk voor de voorbereiding van de wijziging.</w:t>
            </w:r>
          </w:p>
        </w:tc>
      </w:tr>
      <w:tr w:rsidR="00480F1C" w14:paraId="1D5532F1" w14:textId="77777777">
        <w:trPr>
          <w:trHeight w:val="313"/>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598DEE6" w14:textId="6448D6A6"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A4G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BB2B68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A1.1 Hervorming van het begrotingskader</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DE33F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40E99C2" w14:textId="77777777"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sz w:val="18"/>
              </w:rPr>
              <w:t>Evaluatie van de werking van de uitgavenstabiliserende regel in de jaren 2019-2023, met het oog op:</w:t>
            </w:r>
            <w:r>
              <w:rPr>
                <w:noProof/>
              </w:rPr>
              <w:t xml:space="preserve"> </w:t>
            </w:r>
            <w:r>
              <w:rPr>
                <w:noProof/>
              </w:rPr>
              <w:br/>
            </w:r>
            <w:r>
              <w:rPr>
                <w:rFonts w:ascii="Times New Roman" w:hAnsi="Times New Roman"/>
                <w:noProof/>
                <w:color w:val="000000"/>
                <w:sz w:val="18"/>
              </w:rPr>
              <w:t>— beoordeling van de doeltreffendheid van de regel, met inbegrip van de toepassing van de uitstapclausule en de terugkeerclausule</w:t>
            </w:r>
            <w:r>
              <w:rPr>
                <w:noProof/>
              </w:rPr>
              <w:t xml:space="preserve"> </w:t>
            </w:r>
            <w:r>
              <w:rPr>
                <w:noProof/>
              </w:rPr>
              <w:br/>
              <w:t xml:space="preserve"> </w:t>
            </w:r>
            <w:r>
              <w:rPr>
                <w:rFonts w:ascii="Times New Roman" w:hAnsi="Times New Roman"/>
                <w:noProof/>
                <w:color w:val="000000"/>
                <w:sz w:val="18"/>
              </w:rPr>
              <w:t>analyse van het effect van wijzigingen in de EU-regels op de formule voor de stabiliserende uitgavenregel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31CD7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Publicatie in de Biuletyn Informacji Publicznej van de website van het ministerie van Financiën</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F8F56C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49CC1F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0EF996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13C948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1</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9F96DD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ECCBA0C" w14:textId="6ECDBCBF"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Publicatie van een evaluatie van de werking van de uitgavenstabiliserende regel (SER), met een speciale verwijzing naar de reikwijdte ervan, na vijf jaar werking (evaluatie 2019-2023). De evaluatie wordt gepubliceerd op de website van het ministerie van Financiën.</w:t>
            </w:r>
            <w:r>
              <w:rPr>
                <w:noProof/>
              </w:rPr>
              <w:t xml:space="preserve"> </w:t>
            </w:r>
            <w:r>
              <w:rPr>
                <w:noProof/>
              </w:rPr>
              <w:br/>
            </w:r>
            <w:r>
              <w:rPr>
                <w:rFonts w:ascii="Times New Roman" w:hAnsi="Times New Roman"/>
                <w:noProof/>
                <w:color w:val="000000" w:themeColor="text1"/>
                <w:sz w:val="18"/>
              </w:rPr>
              <w:t>De SER werd in 2013 ingevoerd als instrument ter ondersteuning van het begrotingsbeleid. In 2018 werd de werking van de SER voor de eerste vijf jaar geëvalueerd. De volgende evaluatie heeft betrekking op de jaren 2019-2023. De analyse van de werking van de SER maakt het mogelijk aanbevelingen op te stellen, onder meer om te voldoen aan de doelstellingen en parameters van de SER-formule en het toepassingsgebied ervan.</w:t>
            </w:r>
          </w:p>
        </w:tc>
      </w:tr>
      <w:tr w:rsidR="00480F1C" w14:paraId="1BA92451" w14:textId="77777777">
        <w:trPr>
          <w:trHeight w:val="313"/>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8941E47" w14:textId="595F8122"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A5G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E45A6DB" w14:textId="55CA6E55"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A1.2 Verdere vermindering van de regelgevings- en administratieve lasten</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631EBCB" w14:textId="77187AD4"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539183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wetgevingspakket ter vermindering van de administratieve lasten voor bedrijven en burgers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212D3D6" w14:textId="5A97714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Bepalingen in het wetgevingspakket met vermelding van de inwerkingtreding ervan</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E3886A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ECEB11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D8BF34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9434170" w14:textId="41F59760"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897C7B7" w14:textId="05BD1060"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449E3BC" w14:textId="783812A8"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wetgevingspakket dat gericht is op het wegnemen van juridische belemmeringen die van invloed zijn op het investeringsklimaat, met name door:</w:t>
            </w:r>
          </w:p>
          <w:p w14:paraId="7B05B523" w14:textId="59F3C508"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1) vereenvoudiging van administratieve en stilzwijgende procedures in ten minste 12 procedures, met name met betrekking tot de beroepen van zeevarenden en de handel in alcoholhoudende dranken;</w:t>
            </w:r>
          </w:p>
          <w:p w14:paraId="2998C8A3" w14:textId="2A3EE43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2) vermindering van het gebruik van de tweesporenprocedure in ten minste 10 procedures, met name in verband met geologische hulpbronnen;  </w:t>
            </w:r>
          </w:p>
          <w:p w14:paraId="2CBE7EFE" w14:textId="53790AA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3) digitalisering van de manier waarop verzoeken in ten minste acht administratieve procedures worden behandeld, bijvoorbeeld in verband met de indiening van verklaringen door toeristische exploitanten en ondernemers bij het verzekeringsgarantiefonds en de indiening van aanvragen voor sociale uitkeringen door studenten, alsook met betrekking tot de geodetische procedures; </w:t>
            </w:r>
          </w:p>
          <w:p w14:paraId="2E2196DF" w14:textId="6C17770C"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4) andere rationalisering van administratieve procedures in te voeren (zoals de beperking van het aantal documenten of minder formaliteiten), met name in verband met de invoering van een aantal verbeteringen in het ruimtelijkeordeningsproces, het bouwproces en het ruilproces van ruilverkaveling;</w:t>
            </w:r>
          </w:p>
          <w:p w14:paraId="086BE4BA" w14:textId="26D4F252"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5) verlenging van de termijn voor het nakomen van de verplichtingen van ondernemers en natuurlijke personen jegens de overheid in sommige gevallen van administratieve procedures, bijvoorbeeld verlenging van de termijn voor de registratie van een in andere lidstaten gekochte auto van 30 tot 60 dagen of verlenging van de termijn voor het gebruik van de reisvoucher van 31 maart 2022 tot 30 september 2022. </w:t>
            </w:r>
          </w:p>
        </w:tc>
      </w:tr>
      <w:tr w:rsidR="00480F1C" w14:paraId="72551064" w14:textId="77777777">
        <w:trPr>
          <w:trHeight w:val="313"/>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5697EEC" w14:textId="2B213C30"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A7G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FEF58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A1.2.1 Investeringen voor ondernemingen in producten, diensten en competenties van werknemers en personeel in verband met de diversificatie van activiteiten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61A4C5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AD6B863" w14:textId="65784988"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T1 — Aantal kmo’s en micro-ondernemingen in de HoReCa-sector, cultuur en toerisme die contracten hebben ondertekend voor projecten die gericht zijn op de modernisering van hun bedrijfsactiviteiten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DF8BA6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5F94F2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B584315"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3A0141" w14:textId="747C8F3D"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1214</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DF9947D" w14:textId="17DADD6F"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C623E38" w14:textId="7F62BD45"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2024</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9C365D5" w14:textId="3BEF71FB"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Ten minste 1214 kmo’s en micro-ondernemingen in de hoReCa-sector, cultuur en toerisme hebben contracten gesloten voor projecten die gericht zijn op de modernisering van hun bedrijfsactiviteiten. De projecten omvatten de volgende drie soorten activiteiten:</w:t>
            </w:r>
            <w:r>
              <w:rPr>
                <w:noProof/>
              </w:rPr>
              <w:t xml:space="preserve"> </w:t>
            </w:r>
            <w:r>
              <w:rPr>
                <w:noProof/>
              </w:rPr>
              <w:br/>
            </w:r>
            <w:r>
              <w:rPr>
                <w:rFonts w:ascii="Times New Roman" w:hAnsi="Times New Roman"/>
                <w:noProof/>
                <w:color w:val="000000" w:themeColor="text1"/>
                <w:sz w:val="18"/>
              </w:rPr>
              <w:t>1) investeringen in het ontwerp en de productie van hun goederen en diensten, zoals: I) aankoop van machines en uitrusting die nodig zijn voor het lanceren van nieuwe producten/diensten; II) bouwwerkzaamheden, met inbegrip van de bouw van nieuwe productielijnen; III) investeringen in verband met de groene transitie, met name om afvalpreventie, recycling/hergebruik van afval aan te moedigen en oplossingen op het gebied van hernieuwbare energie toe te passen;</w:t>
            </w:r>
            <w:r>
              <w:rPr>
                <w:noProof/>
              </w:rPr>
              <w:t xml:space="preserve"> </w:t>
            </w:r>
            <w:r>
              <w:rPr>
                <w:noProof/>
              </w:rPr>
              <w:br/>
            </w:r>
            <w:r>
              <w:rPr>
                <w:rFonts w:ascii="Times New Roman" w:hAnsi="Times New Roman"/>
                <w:noProof/>
                <w:color w:val="000000" w:themeColor="text1"/>
                <w:sz w:val="18"/>
              </w:rPr>
              <w:t>2) adviesdiensten voor de uitvoering van projecten;</w:t>
            </w:r>
            <w:r>
              <w:rPr>
                <w:noProof/>
              </w:rPr>
              <w:t xml:space="preserve"> </w:t>
            </w:r>
            <w:r>
              <w:rPr>
                <w:noProof/>
              </w:rPr>
              <w:br/>
            </w:r>
            <w:r>
              <w:rPr>
                <w:rFonts w:ascii="Times New Roman" w:hAnsi="Times New Roman"/>
                <w:noProof/>
                <w:color w:val="000000" w:themeColor="text1"/>
                <w:sz w:val="18"/>
              </w:rPr>
              <w:t>3) bij- en omscholing van werknemers door het aanbieden van opleidingen op het gebied van nieuwe IT-oplossingen, nieuwe technologieën, analyse van de behoeften van klanten, informatie-/gegevensbeheer en risicobeheer.</w:t>
            </w:r>
          </w:p>
          <w:p w14:paraId="78844966" w14:textId="4186A18E"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highlight w:val="yellow"/>
              </w:rPr>
            </w:pPr>
          </w:p>
          <w:p w14:paraId="310E4922" w14:textId="4186A18E"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De investering zorgt voor een evenwichtige uitvoering van alle soorten projecten die in het streefdoel worden beschreven, rekening houdend met zowel de specifieke behoeften van de begunstigden als de doelstellingen van de RRF-verordening.</w:t>
            </w:r>
          </w:p>
          <w:p w14:paraId="07459315" w14:textId="38868175"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p w14:paraId="5ED379B7" w14:textId="40DA71B4"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De investeringen in het kader van deze maatregel moeten volledig in overeenstemming zijn met de technische richtsnoeren inzake het beginsel „geen ernstige afbreuk doen aan” (2021/C 58/01).</w:t>
            </w:r>
          </w:p>
        </w:tc>
      </w:tr>
      <w:tr w:rsidR="00480F1C" w14:paraId="1F30A922" w14:textId="77777777">
        <w:trPr>
          <w:trHeight w:val="313"/>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4B0A208" w14:textId="350EB81B"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A8G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15EA44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A1.2.1 Investeringen voor ondernemingen in producten, diensten en competenties van werknemers en personeel in verband met de diversificatie van activiteiten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59A125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61CBE57" w14:textId="564A4859"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T2 — Aantal kmo’s en micro-ondernemingen in de HoReCa-sector, cultuur en toerisme die hun bedrijfsactiviteiten hebben gemoderniseerd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65DB19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407ED7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CE56103" w14:textId="79F41F82"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B40225E" w14:textId="7DB8FB63"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2510</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A7EA1C0" w14:textId="0A03F64F"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FE49A7A" w14:textId="550CDA16"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1205B39" w14:textId="19E23DA3"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Fonts w:ascii="Times New Roman" w:hAnsi="Times New Roman"/>
                <w:noProof/>
                <w:color w:val="000000" w:themeColor="text1"/>
                <w:sz w:val="18"/>
              </w:rPr>
              <w:t>Ten minste 2510 kmo’s en micro-ondernemingen in de hoReCa-sector, cultuur en toerisme hebben projecten afgerond die gericht zijn op de modernisering van hun bedrijfsactiviteiten. De projecten omvatten de volgende drie soorten activiteiten:</w:t>
            </w:r>
            <w:r>
              <w:rPr>
                <w:noProof/>
              </w:rPr>
              <w:t xml:space="preserve"> </w:t>
            </w:r>
            <w:r>
              <w:rPr>
                <w:noProof/>
              </w:rPr>
              <w:br/>
            </w:r>
            <w:r>
              <w:rPr>
                <w:rFonts w:ascii="Times New Roman" w:hAnsi="Times New Roman"/>
                <w:noProof/>
                <w:color w:val="000000" w:themeColor="text1"/>
                <w:sz w:val="18"/>
              </w:rPr>
              <w:t>1) investeringen in het ontwerp en de productie van hun goederen en diensten, zoals: I) aankoop van machines en uitrusting die nodig zijn voor het lanceren van nieuwe producten/diensten; II) bouwwerkzaamheden, met inbegrip van de bouw van nieuwe productielijnen; III) investeringen in verband met de groene transitie, met name om afvalpreventie, recycling/hergebruik van afval aan te moedigen en oplossingen op het gebied van hernieuwbare energie toe te passen;</w:t>
            </w:r>
            <w:r>
              <w:rPr>
                <w:noProof/>
              </w:rPr>
              <w:t xml:space="preserve"> </w:t>
            </w:r>
            <w:r>
              <w:rPr>
                <w:noProof/>
              </w:rPr>
              <w:br/>
            </w:r>
            <w:r>
              <w:rPr>
                <w:rFonts w:ascii="Times New Roman" w:hAnsi="Times New Roman"/>
                <w:noProof/>
                <w:color w:val="000000" w:themeColor="text1"/>
                <w:sz w:val="18"/>
              </w:rPr>
              <w:t>2) adviesdiensten voor de uitvoering van projecten;</w:t>
            </w:r>
            <w:r>
              <w:rPr>
                <w:noProof/>
              </w:rPr>
              <w:t xml:space="preserve"> </w:t>
            </w:r>
            <w:r>
              <w:rPr>
                <w:noProof/>
              </w:rPr>
              <w:br/>
            </w:r>
            <w:r>
              <w:rPr>
                <w:rFonts w:ascii="Times New Roman" w:hAnsi="Times New Roman"/>
                <w:noProof/>
                <w:color w:val="000000" w:themeColor="text1"/>
                <w:sz w:val="18"/>
              </w:rPr>
              <w:t>3) bij- en omscholing van werknemers door het aanbieden van opleidingen op het gebied van nieuwe IT-oplossingen, nieuwe technologieën, analyse van de behoeften van klanten, informatie-/gegevensbeheer en risicobeheer.</w:t>
            </w:r>
          </w:p>
          <w:p w14:paraId="6F52FCD5" w14:textId="4186A18E"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p w14:paraId="00972B48" w14:textId="4186A18E" w:rsidR="00480F1C" w:rsidRDefault="00A201F6">
            <w:pPr>
              <w:pStyle w:val="P68B1DB1-Normal011"/>
              <w:spacing w:after="0" w:line="240" w:lineRule="auto"/>
              <w:rPr>
                <w:rFonts w:eastAsia="Times New Roman" w:cs="Times New Roman"/>
                <w:noProof/>
                <w:color w:val="000000" w:themeColor="text1"/>
              </w:rPr>
            </w:pPr>
            <w:r>
              <w:rPr>
                <w:noProof/>
              </w:rPr>
              <w:t>De investering zorgt voor een evenwichtige uitvoering van alle soorten projecten die in het streefdoel worden beschreven, rekening houdend met zowel de specifieke behoeften van de begunstigden als de doelstellingen van de RRF-verordening.</w:t>
            </w:r>
          </w:p>
          <w:p w14:paraId="2EF56932" w14:textId="3E4C9E8C" w:rsidR="00480F1C" w:rsidRDefault="00480F1C">
            <w:pPr>
              <w:pStyle w:val="Normal0"/>
              <w:spacing w:after="0" w:line="240" w:lineRule="auto"/>
              <w:rPr>
                <w:rFonts w:ascii="Times New Roman" w:eastAsia="Times New Roman" w:hAnsi="Times New Roman" w:cs="Times New Roman"/>
                <w:noProof/>
                <w:color w:val="000000" w:themeColor="text1"/>
                <w:sz w:val="18"/>
              </w:rPr>
            </w:pPr>
          </w:p>
          <w:p w14:paraId="7A3F6E35" w14:textId="1183808E"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De investeringen in het kader van deze maatregel moeten volledig in overeenstemming zijn met de technische richtsnoeren inzake het beginsel „geen ernstige afbreuk doen aan” (2021/C 58/01).</w:t>
            </w:r>
          </w:p>
        </w:tc>
      </w:tr>
      <w:tr w:rsidR="00480F1C" w14:paraId="475E0527" w14:textId="77777777">
        <w:trPr>
          <w:trHeight w:val="313"/>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B73E586" w14:textId="5911A729"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A12G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5DADD4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A1.3 Hervorming van de ruimtelijke ordening</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EFA45C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E041D6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nieuwe wet inzake ruimtelijke ordening</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4A1DC63" w14:textId="4971ECB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wet inzake ruimtelijke ordening die de inwerkingtreding ervan aangeeft</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53EF7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D6473E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96D69F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DE3591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1</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99A566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2023</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D6BC3F8" w14:textId="328F46E5"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 xml:space="preserve">Na een openbare raadpleging, de inwerkingtreding van een nieuwe handeling inzake ruimtelijke ordening die: </w:t>
            </w:r>
            <w:r>
              <w:rPr>
                <w:noProof/>
              </w:rPr>
              <w:t xml:space="preserve"> </w:t>
            </w:r>
            <w:r>
              <w:rPr>
                <w:noProof/>
              </w:rPr>
              <w:br/>
              <w:t xml:space="preserve"> </w:t>
            </w:r>
            <w:r>
              <w:rPr>
                <w:noProof/>
              </w:rPr>
              <w:br/>
              <w:t>1</w:t>
            </w:r>
            <w:r>
              <w:rPr>
                <w:rFonts w:ascii="Times New Roman" w:hAnsi="Times New Roman"/>
                <w:noProof/>
                <w:color w:val="000000" w:themeColor="text1"/>
                <w:sz w:val="18"/>
              </w:rPr>
              <w:t xml:space="preserve">) een verplichting in te voeren voor alle gemeenten om algemene ruimtelijkeordeningsplannen op te stellen en goed te keuren, die moeten worden omgezet in lokale wetgeving, waarin de algemene regels voor de bouw in het gemeentelijk gebied worden vastgelegd; </w:t>
            </w:r>
            <w:r>
              <w:rPr>
                <w:noProof/>
              </w:rPr>
              <w:t xml:space="preserve"> </w:t>
            </w:r>
            <w:r>
              <w:rPr>
                <w:noProof/>
              </w:rPr>
              <w:br/>
              <w:t>2</w:t>
            </w:r>
            <w:r>
              <w:rPr>
                <w:rFonts w:ascii="Times New Roman" w:hAnsi="Times New Roman"/>
                <w:noProof/>
                <w:color w:val="000000" w:themeColor="text1"/>
                <w:sz w:val="18"/>
              </w:rPr>
              <w:t>) een vereiste in te voeren dat investeerders ertoe verplicht aanvullende projecten ten behoeve van de gemeente uit te voeren bij de bouw van nieuwe ontwikkelingsprojecten, onder meer om de woningontwikkeling te verminderen zonder dat er voldoende diensten worden verleend;</w:t>
            </w:r>
            <w:r>
              <w:rPr>
                <w:noProof/>
              </w:rPr>
              <w:t xml:space="preserve"> </w:t>
            </w:r>
            <w:r>
              <w:rPr>
                <w:noProof/>
              </w:rPr>
              <w:br/>
              <w:t>3</w:t>
            </w:r>
            <w:r>
              <w:rPr>
                <w:rFonts w:ascii="Times New Roman" w:hAnsi="Times New Roman"/>
                <w:noProof/>
                <w:color w:val="000000" w:themeColor="text1"/>
                <w:sz w:val="18"/>
              </w:rPr>
              <w:t xml:space="preserve">) het proces bepalen waarin belanghebbenden kunnen deelnemen aan het opstellen van strategieën en algemene plannen in gemeenten. </w:t>
            </w:r>
          </w:p>
        </w:tc>
      </w:tr>
      <w:tr w:rsidR="00480F1C" w14:paraId="797495AD" w14:textId="77777777">
        <w:trPr>
          <w:trHeight w:val="313"/>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0DF9E56" w14:textId="54B0AE75" w:rsidR="00480F1C" w:rsidRDefault="00A201F6">
            <w:pPr>
              <w:pStyle w:val="P68B1DB1-Normal010"/>
              <w:spacing w:line="240" w:lineRule="auto"/>
              <w:jc w:val="center"/>
              <w:rPr>
                <w:rFonts w:cs="Times New Roman"/>
                <w:noProof/>
              </w:rPr>
            </w:pPr>
            <w:r>
              <w:rPr>
                <w:noProof/>
              </w:rPr>
              <w:t>A13G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F036239" w14:textId="77777777" w:rsidR="00480F1C" w:rsidRDefault="00A201F6">
            <w:pPr>
              <w:pStyle w:val="P68B1DB1-Normal011"/>
              <w:spacing w:line="240" w:lineRule="auto"/>
              <w:rPr>
                <w:rFonts w:eastAsia="Times New Roman" w:cs="Times New Roman"/>
                <w:noProof/>
                <w:color w:val="000000" w:themeColor="text1"/>
              </w:rPr>
            </w:pPr>
            <w:r>
              <w:rPr>
                <w:noProof/>
              </w:rPr>
              <w:t>A1.3.1 Uitvoering van de hervorming van de ruimtelijke ordening</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EE611D7" w14:textId="77777777" w:rsidR="00480F1C" w:rsidRDefault="00A201F6">
            <w:pPr>
              <w:pStyle w:val="P68B1DB1-Normal011"/>
              <w:spacing w:line="240" w:lineRule="auto"/>
              <w:rPr>
                <w:rFonts w:eastAsia="Times New Roman" w:cs="Times New Roman"/>
                <w:noProof/>
                <w:color w:val="000000" w:themeColor="text1"/>
              </w:rPr>
            </w:pPr>
            <w:r>
              <w:rPr>
                <w:noProof/>
              </w:rPr>
              <w:t>Mijlpaal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65A0B35" w14:textId="617F2307" w:rsidR="00480F1C" w:rsidRDefault="00A201F6">
            <w:pPr>
              <w:pStyle w:val="P68B1DB1-Normal011"/>
              <w:spacing w:line="240" w:lineRule="auto"/>
              <w:rPr>
                <w:rFonts w:eastAsia="Times New Roman" w:cs="Times New Roman"/>
                <w:noProof/>
                <w:color w:val="000000" w:themeColor="text1"/>
              </w:rPr>
            </w:pPr>
            <w:r>
              <w:rPr>
                <w:noProof/>
              </w:rPr>
              <w:t>Publicatie van een document waarin het toewijzingsmechanisme en het indicatieve bedrag van de aan elke gemeente in Polen te verlenen steun voor de uitvoering van de hervorming van de ruimtelijke ordening worden vastgesteld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4E871BC" w14:textId="5D72187D" w:rsidR="00480F1C" w:rsidRDefault="00A201F6">
            <w:pPr>
              <w:pStyle w:val="P68B1DB1-Normal011"/>
              <w:spacing w:line="240" w:lineRule="auto"/>
              <w:rPr>
                <w:rFonts w:eastAsia="Times New Roman" w:cs="Times New Roman"/>
                <w:noProof/>
                <w:color w:val="000000" w:themeColor="text1"/>
              </w:rPr>
            </w:pPr>
            <w:r>
              <w:rPr>
                <w:noProof/>
              </w:rPr>
              <w:t>Publicatie op de website van het ministerie van Economische Ontwikkeling en Technologie</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44A5D23" w14:textId="77777777"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38610EB" w14:textId="77777777"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37805D2" w14:textId="77777777"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A8B0D65" w14:textId="56A20685" w:rsidR="00480F1C" w:rsidRDefault="00A201F6">
            <w:pPr>
              <w:pStyle w:val="P68B1DB1-Normal011"/>
              <w:spacing w:line="240" w:lineRule="auto"/>
              <w:jc w:val="center"/>
              <w:rPr>
                <w:rFonts w:eastAsia="Times New Roman" w:cs="Times New Roman"/>
                <w:noProof/>
                <w:color w:val="000000" w:themeColor="text1"/>
              </w:rPr>
            </w:pPr>
            <w:r>
              <w:rPr>
                <w:noProof/>
              </w:rPr>
              <w:t>KWARTAAL 3</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CA538D7" w14:textId="20E103F2" w:rsidR="00480F1C" w:rsidRDefault="00A201F6">
            <w:pPr>
              <w:pStyle w:val="P68B1DB1-Normal011"/>
              <w:spacing w:line="240" w:lineRule="auto"/>
              <w:jc w:val="center"/>
              <w:rPr>
                <w:rFonts w:eastAsia="Times New Roman" w:cs="Times New Roman"/>
                <w:noProof/>
                <w:color w:val="000000" w:themeColor="text1"/>
              </w:rPr>
            </w:pPr>
            <w:r>
              <w:rPr>
                <w:noProof/>
              </w:rPr>
              <w:t>2022</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270B6C4" w14:textId="64724F23" w:rsidR="00480F1C" w:rsidRDefault="00A201F6">
            <w:pPr>
              <w:pStyle w:val="P68B1DB1-Normal011"/>
              <w:spacing w:after="0" w:line="240" w:lineRule="auto"/>
              <w:rPr>
                <w:rFonts w:eastAsia="Times New Roman" w:cs="Times New Roman"/>
                <w:noProof/>
                <w:color w:val="000000" w:themeColor="text1"/>
              </w:rPr>
            </w:pPr>
            <w:r>
              <w:rPr>
                <w:noProof/>
              </w:rPr>
              <w:t>Na een openbare raadpleging, publicatie van een document waarin het toewijzingsmechanisme en het indicatieve bedrag van de steun die elke gemeente zal ontvangen voor de uitvoering van de hervorming van de ruimtelijke ordening zoals uiteengezet in mijlpaal A12G, wordt vastgesteld. In het document wordt met name het bedrag van de aan elke gemeente te verlenen steun vermeld en wordt uitgelegd voor welk soort activiteiten de steun zal worden gebruikt.</w:t>
            </w:r>
          </w:p>
          <w:p w14:paraId="3B7B4B86" w14:textId="0D0E92D5" w:rsidR="00480F1C" w:rsidRDefault="00A201F6">
            <w:pPr>
              <w:pStyle w:val="P68B1DB1-Normal011"/>
              <w:spacing w:after="0" w:line="240" w:lineRule="auto"/>
              <w:rPr>
                <w:rFonts w:eastAsia="Times New Roman" w:cs="Times New Roman"/>
                <w:noProof/>
                <w:color w:val="000000" w:themeColor="text1"/>
              </w:rPr>
            </w:pPr>
            <w:r>
              <w:rPr>
                <w:noProof/>
              </w:rPr>
              <w:t>Alle gemeenten in Polen ontvangen steun voor de uitvoering van deze maatregel. Het steunbedrag dat aan elke gemeente wordt toegewezen, houdt rekening met de bevolking en de omvang van het gebied van de gemeente (meer bevolkte/uitgestrekte gemeenten krijgen meer steun) en houdt ook rekening met de specifieke behoeften van gemeenten.</w:t>
            </w:r>
          </w:p>
        </w:tc>
      </w:tr>
      <w:tr w:rsidR="00480F1C" w14:paraId="22527DB0" w14:textId="77777777">
        <w:trPr>
          <w:trHeight w:val="313"/>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9F18D26" w14:textId="1546ACA9"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A14G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D433D61" w14:textId="47D199F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A1.3.1 Uitvoering van de hervorming van de ruimtelijke ordening</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78566D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5A82841" w14:textId="535A7DED"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Personeel van lokale overheden en ruimtelijke planners dat een cursus over de nieuwe wet inzake ruimtelijke ordening heeft afgerond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302A5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C24BC9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322F001"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A9DDCF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850</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35CD07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C04FD3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2024</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8B29A20" w14:textId="5D85481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Ten minste 850 personeelsleden van lokale overheden en ruimtelijke planners hebben een cursus en/of postdoctorale studie over de nieuwe wet inzake ruimtelijke ordening, zoals uiteengezet in mijlpaal A12G, afgerond.</w:t>
            </w:r>
          </w:p>
        </w:tc>
      </w:tr>
      <w:tr w:rsidR="00480F1C" w14:paraId="233E0710" w14:textId="77777777">
        <w:trPr>
          <w:trHeight w:val="313"/>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E1E336A" w14:textId="519DBF38"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A15G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AE62CE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A1.3.1 Uitvoering van de hervorming van de ruimtelijke ordening</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A873CF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8178283" w14:textId="3749CD11"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Personeel van lokale overheden en ruimtelijke planners dat een cursus over de nieuwe wet inzake ruimtelijke ordening heeft afgerond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1CBAF0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E2BBB6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E600D04"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850</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0C896E8" w14:textId="13E5D419"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1 700</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A86818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B169B8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9A57601" w14:textId="634F741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Ten minste 1 700 personeelsleden van lokale overheden en ruimtelijke planners die een cursus en/of postdoctorale studie hebben afgerond over de nieuwe wet inzake ruimtelijke ordening zoals uiteengezet in mijlpaal A12G.</w:t>
            </w:r>
          </w:p>
        </w:tc>
      </w:tr>
      <w:tr w:rsidR="00480F1C" w14:paraId="07B6E8D5" w14:textId="77777777">
        <w:trPr>
          <w:trHeight w:val="786"/>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F502F61" w14:textId="7828E305"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A16G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36861D" w14:textId="1965F409"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A1.3.1 Uitvoering van de hervorming van de ruimtelijke ordening</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0C3D356" w14:textId="4F288A6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38F6B0D" w14:textId="73611668"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Percentage gemeenten dat algemene ruimtelijkeordeningsplannen heeft vastgesteld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00A9F47"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8D1A31" w14:textId="6EA57629"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(percentage)</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A32BADF" w14:textId="2CC93140"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737B428" w14:textId="17222EB8"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10</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0756C0" w14:textId="3759D595"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4</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797ACAA" w14:textId="57C23510"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2024</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0C7AFFB" w14:textId="7B449B9A"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Ten minste 10 % van de gemeenten heeft een algemeen ruimtelijkeordeningsplan opgesteld en goedgekeurd, zoals vereist door de nieuwe wet in mijlpaal A12G.</w:t>
            </w:r>
          </w:p>
        </w:tc>
      </w:tr>
      <w:tr w:rsidR="00480F1C" w14:paraId="710E0C51" w14:textId="77777777">
        <w:trPr>
          <w:trHeight w:val="313"/>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9B77162" w14:textId="2A15C7B4"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A17G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D857EC3" w14:textId="4C3E2881"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A1.3.1 Uitvoering van de hervorming van de ruimtelijke ordening</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5CF317" w14:textId="7BBA7553"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9E69F42" w14:textId="715E9894"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Percentage gemeenten dat algemene ruimtelijkeordeningsplannen heeft vastgesteld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788203"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D20A188" w14:textId="551068AA"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(percentage)</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7E19C39" w14:textId="3AB740B8"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10</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5330AEE" w14:textId="4661FF7E"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80</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237063C" w14:textId="40977AD9"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2</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3F6E0FE" w14:textId="22B4B2F4"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2026</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1226F21" w14:textId="6F53E49E"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80 % van de gemeenten heeft een algemeen ruimtelijkeordeningsplan opgesteld en goedgekeurd, zoals vereist door de nieuwe wet in mijlpaal A12G.</w:t>
            </w:r>
          </w:p>
        </w:tc>
      </w:tr>
      <w:tr w:rsidR="00480F1C" w14:paraId="35E6BF2C" w14:textId="77777777">
        <w:trPr>
          <w:trHeight w:val="313"/>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11B77A1" w14:textId="2BBDA42E"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A18G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64D0D7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A1.4 Hervorming ter verbetering van het concurrentievermogen en de bescherming van producenten/consumenten in de landbouwsector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12F925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07788BB" w14:textId="57FA6DAE"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nieuwe wet ter bestrijding van het oneerlijke gebruik van contractuele voordelen in de landbouw- en voedingsmiddelensector</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08527F" w14:textId="020DE8C1"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nieuwe wet ter bestrijding van het oneerlijke gebruik van contractuele voordelen in de landbouw- en levensmiddelensector, met vermelding van de inwerkingtreding ervan</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A7717C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19A23A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4536B0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ED34D64"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1</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9D6423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13FCC4E" w14:textId="77777777" w:rsidR="00480F1C" w:rsidRDefault="00A201F6">
            <w:pPr>
              <w:pStyle w:val="Normal0"/>
              <w:spacing w:after="0" w:line="240" w:lineRule="auto"/>
              <w:rPr>
                <w:rFonts w:ascii="Times New Roman" w:eastAsia="Times New Roman" w:hAnsi="Times New Roman" w:cs="Times New Roman"/>
                <w:noProof/>
                <w:sz w:val="18"/>
              </w:rPr>
            </w:pPr>
            <w:r>
              <w:rPr>
                <w:rFonts w:ascii="Times New Roman" w:hAnsi="Times New Roman"/>
                <w:noProof/>
                <w:sz w:val="18"/>
              </w:rPr>
              <w:t xml:space="preserve">Na een openbare raadpleging, de inwerkingtreding van een nieuwe wet ter bestrijding van het oneerlijke gebruik van contractuele voordelen in de landbouw- en voedingsmiddelensector, die:  </w:t>
            </w:r>
            <w:r>
              <w:rPr>
                <w:noProof/>
              </w:rPr>
              <w:t xml:space="preserve"> </w:t>
            </w:r>
            <w:r>
              <w:rPr>
                <w:noProof/>
              </w:rPr>
              <w:br/>
            </w:r>
            <w:r>
              <w:rPr>
                <w:rFonts w:ascii="Times New Roman" w:hAnsi="Times New Roman"/>
                <w:noProof/>
                <w:sz w:val="18"/>
              </w:rPr>
              <w:t xml:space="preserve"> 1) de basis te leggen voor een betere werking van de voedselvoorzieningsketen en een reeks beginselen inzake goede praktijken in verticale relaties in de voedselvoorzieningsketen goed te keuren, en te zorgen voor een minimale harmonisatie van normen, zoals bepaald in Richtlijn (EU) 2019/633; </w:t>
            </w:r>
            <w:r>
              <w:rPr>
                <w:noProof/>
              </w:rPr>
              <w:t xml:space="preserve"> </w:t>
            </w:r>
            <w:r>
              <w:rPr>
                <w:noProof/>
              </w:rPr>
              <w:br/>
            </w:r>
            <w:r>
              <w:rPr>
                <w:rFonts w:ascii="Times New Roman" w:hAnsi="Times New Roman"/>
                <w:noProof/>
                <w:sz w:val="18"/>
              </w:rPr>
              <w:t xml:space="preserve"> 2) alle handelstransacties van landbouw- en voedingsproducten te beschermen tegen oneerlijke handelspraktijken; </w:t>
            </w:r>
            <w:r>
              <w:rPr>
                <w:noProof/>
              </w:rPr>
              <w:t xml:space="preserve"> </w:t>
            </w:r>
            <w:r>
              <w:rPr>
                <w:noProof/>
              </w:rPr>
              <w:br/>
            </w:r>
            <w:r>
              <w:rPr>
                <w:rFonts w:ascii="Times New Roman" w:hAnsi="Times New Roman"/>
                <w:noProof/>
                <w:sz w:val="18"/>
              </w:rPr>
              <w:t xml:space="preserve"> 3) verder gaan dan Richtlijn (EU) 2019/633 van het Europees Parlement en de Raad van 17 april 2019 inzake oneerlijke handelspraktijken in de relaties tussen ondernemingen in de landbouw- en voedselvoorzieningsketen. </w:t>
            </w:r>
            <w:r>
              <w:rPr>
                <w:noProof/>
              </w:rPr>
              <w:t xml:space="preserve"> </w:t>
            </w:r>
            <w:r>
              <w:rPr>
                <w:noProof/>
              </w:rPr>
              <w:br/>
            </w:r>
            <w:r>
              <w:rPr>
                <w:rFonts w:ascii="Times New Roman" w:hAnsi="Times New Roman"/>
                <w:noProof/>
                <w:sz w:val="18"/>
              </w:rPr>
              <w:t xml:space="preserve">Deze wet gaat als volgt verder dan de richtlijn oneerlijke handelspraktijken: </w:t>
            </w:r>
            <w:r>
              <w:rPr>
                <w:noProof/>
              </w:rPr>
              <w:t xml:space="preserve"> </w:t>
            </w:r>
            <w:r>
              <w:rPr>
                <w:noProof/>
              </w:rPr>
              <w:br/>
            </w:r>
            <w:r>
              <w:rPr>
                <w:rFonts w:ascii="Times New Roman" w:hAnsi="Times New Roman"/>
                <w:noProof/>
                <w:sz w:val="18"/>
              </w:rPr>
              <w:t xml:space="preserve">a) Hoewel de richtlijn een gesloten lijst van oneerlijke handelspraktijken bevat, wordt in de nieuwe wet naast deze lijst ook een open definitie van oneerlijke handelspraktijken opgenomen. Dergelijke aanvullende handelspraktijken worden met name door het Bureau voor Mededinging en Consumentenbescherming (UOKiK) als oneerlijk aangemerkt indien i) zij in strijd zijn met de vereisten van goed commercieel gedrag; II) en het belang van de andere contractpartij wezenlijk verstoren of waarschijnlijk zullen verstoren; </w:t>
            </w:r>
          </w:p>
          <w:p w14:paraId="766BBF65" w14:textId="77777777" w:rsidR="00480F1C" w:rsidRDefault="00A201F6">
            <w:pPr>
              <w:pStyle w:val="P68B1DB1-Normal010"/>
              <w:spacing w:after="0" w:line="240" w:lineRule="auto"/>
              <w:rPr>
                <w:rFonts w:eastAsia="Times New Roman" w:cs="Times New Roman"/>
                <w:noProof/>
              </w:rPr>
            </w:pPr>
            <w:r>
              <w:rPr>
                <w:noProof/>
              </w:rPr>
              <w:t xml:space="preserve">b) Hoewel de richtlijn alleen leveranciers van landbouw- en voedingsproducten beschermt, beschermt de nieuwe wet alle marktdeelnemers, met inbegrip van afnemers van landbouw- en voedingsproducten. </w:t>
            </w:r>
          </w:p>
          <w:p w14:paraId="7B5ABDAF" w14:textId="62C85601"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De hervorming stelt het Bureau voor Mededinging en Consumentenbescherming in staat om niet alleen de door marktdeelnemers ingediende zaken te onderzoeken, maar ook eigen onderzoeken te verrichten. </w:t>
            </w:r>
          </w:p>
        </w:tc>
      </w:tr>
      <w:tr w:rsidR="00480F1C" w14:paraId="376BE365" w14:textId="77777777">
        <w:trPr>
          <w:trHeight w:val="313"/>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6D80A2" w14:textId="25505493"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A19G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6F0C8C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A1.4 Hervorming ter verbetering van het concurrentievermogen en de bescherming van producenten/consumenten in de landbouwsector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A5670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C1A4DB0" w14:textId="199C2202"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Goedkeuring van een tussentijdse evaluatie van de nieuwe wet ter bestrijding van het oneerlijke gebruik van contractuele voordelen in de landbouw- en voedingsmiddelensector</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210EFF1" w14:textId="5D3EB8B5"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Publicatie op de website van het Bureau voor Mededinging en Consumentenbescherming</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D7A3EC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29C278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790C8A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AE9D3A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C01C75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7215B3B" w14:textId="3545233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De evaluatie omvat een beoordeling van de vraag of de doelstellingen van de hervorming inzake oneerlijke handelspraktijken in de agrovoedingssector zijn verwezenlijkt en identificeert manieren voor actie om potentiële uitvoeringsproblemen aan te pakken.   </w:t>
            </w:r>
          </w:p>
        </w:tc>
      </w:tr>
      <w:tr w:rsidR="00480F1C" w14:paraId="45D37336" w14:textId="77777777">
        <w:trPr>
          <w:trHeight w:val="313"/>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EC88BF" w14:textId="3A11EF12"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A20G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E4703EB" w14:textId="671D4DF8"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A1.4.1 Investeringen om de toeleveringsketen van landbouw- en voedingsproducten te diversifiëren en te verkorten en de veerkracht van de entiteiten in de keten op te bouwen</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56E23DD" w14:textId="6A45228B"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D62B8CB" w14:textId="794B2D92"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Vaststelling van criteria voor de selectie van begunstigden voor alle projecten in het kader van deze investering</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F57FF9D" w14:textId="54203CA3"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Publicatie van de criteria voor de selectie van begunstigden op de website van het ministerie van Landbouw en Plattelandsontwikkeling en het Agentschap voor herstructurering en modernisering van de landbouw</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DF608E5" w14:textId="73C32A21"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C01162" w14:textId="213429ED"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D67AE6D" w14:textId="69393F5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D9B4C8F" w14:textId="543FC911"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1</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9D4F64C" w14:textId="2E117090"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9F98E44" w14:textId="6C98B984"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Fonts w:ascii="Times New Roman" w:hAnsi="Times New Roman"/>
                <w:noProof/>
                <w:color w:val="000000" w:themeColor="text1"/>
                <w:sz w:val="18"/>
              </w:rPr>
              <w:t>Na een openbare raadpleging, vaststelling van de criteria voor de selectie van begunstigden voor alle projecten in het kader van deze investering. De selectiecriteria zijn in overeenstemming met de beginselen van non-discriminatie en transparantie.</w:t>
            </w:r>
            <w:r>
              <w:rPr>
                <w:noProof/>
              </w:rPr>
              <w:t xml:space="preserve"> </w:t>
            </w:r>
            <w:r>
              <w:rPr>
                <w:noProof/>
              </w:rPr>
              <w:br/>
            </w:r>
            <w:r>
              <w:rPr>
                <w:rFonts w:ascii="Times New Roman" w:hAnsi="Times New Roman"/>
                <w:noProof/>
                <w:color w:val="000000" w:themeColor="text1"/>
                <w:sz w:val="18"/>
              </w:rPr>
              <w:t>Bij de selectiecriteria wordt de voorkeur gegeven aan de volgende gebieden:</w:t>
            </w:r>
            <w:r>
              <w:rPr>
                <w:noProof/>
              </w:rPr>
              <w:t xml:space="preserve"> </w:t>
            </w:r>
            <w:r>
              <w:rPr>
                <w:noProof/>
              </w:rPr>
              <w:br/>
            </w:r>
            <w:r>
              <w:rPr>
                <w:rFonts w:ascii="Times New Roman" w:hAnsi="Times New Roman"/>
                <w:noProof/>
                <w:color w:val="000000" w:themeColor="text1"/>
                <w:sz w:val="18"/>
              </w:rPr>
              <w:t xml:space="preserve">I) digitalisering; </w:t>
            </w:r>
            <w:r>
              <w:rPr>
                <w:noProof/>
              </w:rPr>
              <w:t xml:space="preserve"> </w:t>
            </w:r>
            <w:r>
              <w:rPr>
                <w:noProof/>
              </w:rPr>
              <w:br/>
            </w:r>
            <w:r>
              <w:rPr>
                <w:rFonts w:ascii="Times New Roman" w:hAnsi="Times New Roman"/>
                <w:noProof/>
                <w:color w:val="000000" w:themeColor="text1"/>
                <w:sz w:val="18"/>
              </w:rPr>
              <w:t xml:space="preserve">het scheppen van banen; </w:t>
            </w:r>
            <w:r>
              <w:rPr>
                <w:noProof/>
              </w:rPr>
              <w:t xml:space="preserve"> </w:t>
            </w:r>
            <w:r>
              <w:rPr>
                <w:noProof/>
              </w:rPr>
              <w:br/>
            </w:r>
            <w:r>
              <w:rPr>
                <w:rFonts w:ascii="Times New Roman" w:hAnsi="Times New Roman"/>
                <w:noProof/>
                <w:color w:val="000000" w:themeColor="text1"/>
                <w:sz w:val="18"/>
              </w:rPr>
              <w:t xml:space="preserve">III) milieubescherming en duurzame voedselproductiepraktijken; </w:t>
            </w:r>
            <w:r>
              <w:rPr>
                <w:noProof/>
              </w:rPr>
              <w:t xml:space="preserve"> </w:t>
            </w:r>
            <w:r>
              <w:rPr>
                <w:noProof/>
              </w:rPr>
              <w:br/>
            </w:r>
            <w:r>
              <w:rPr>
                <w:rFonts w:ascii="Times New Roman" w:hAnsi="Times New Roman"/>
                <w:noProof/>
                <w:color w:val="000000" w:themeColor="text1"/>
                <w:sz w:val="18"/>
              </w:rPr>
              <w:t>IV) de circulaire economie, met inbegrip van acties in verband met de preventie van voedselverspilling.</w:t>
            </w:r>
            <w:r>
              <w:rPr>
                <w:noProof/>
              </w:rPr>
              <w:t xml:space="preserve"> </w:t>
            </w:r>
            <w:r>
              <w:rPr>
                <w:noProof/>
              </w:rPr>
              <w:br/>
            </w:r>
            <w:r>
              <w:rPr>
                <w:rFonts w:ascii="Times New Roman" w:hAnsi="Times New Roman"/>
                <w:noProof/>
                <w:color w:val="000000" w:themeColor="text1"/>
                <w:sz w:val="18"/>
              </w:rPr>
              <w:t>Het aanvraag- en verificatieproces wordt uitgevoerd door het Agentschap voor de herstructurering en modernisering van de landbouw (ARMA) om consistentie en transparantie te waarborgen en dubbele financiering te voorkomen.</w:t>
            </w:r>
          </w:p>
        </w:tc>
      </w:tr>
      <w:tr w:rsidR="00480F1C" w14:paraId="6765AB1E" w14:textId="77777777">
        <w:trPr>
          <w:trHeight w:val="624"/>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007C906" w14:textId="6877A1A0"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A21G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3C32C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A1.4.1 Investeringen om de toeleveringsketen van landbouw- en voedingsproducten te diversifiëren en te verkorten en de veerkracht van de entiteiten in de keten op te bouwen</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F28537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3B60DF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Distributie- en opslagcentra die zijn gebouwd of gemoderniseerd en groothandelsmarkten die zijn gemoderniseerd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4AD8D1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1A2992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B7EFE0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3D9E551" w14:textId="0F62E80A"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77</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CC933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CE9745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F092807" w14:textId="4006D50A"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Er zijn ten minste 77 distributie- en opslagcentra en groothandelsmarkten (met inbegrip van coöperaties) gebouwd of gemoderniseerd. Het doel is op lokaal niveau een reeks onafhankelijke distributie- en opslagcentra op te richten om de voedselvoorzieningsketen te diversifiëren en te verkorten en duurzamere productiepraktijken in de agrovoedingssector aan te moedigen, met name door voedselverspilling te voorkomen. De investering bestaat uit:</w:t>
            </w:r>
          </w:p>
          <w:p w14:paraId="3091E0EA" w14:textId="19ACC6F9" w:rsidR="00480F1C" w:rsidRDefault="00A201F6">
            <w:pPr>
              <w:pStyle w:val="P68B1DB1-Normal011"/>
              <w:numPr>
                <w:ilvl w:val="0"/>
                <w:numId w:val="3"/>
              </w:numPr>
              <w:pBdr>
                <w:top w:val="nil"/>
                <w:left w:val="nil"/>
                <w:bottom w:val="nil"/>
                <w:right w:val="nil"/>
                <w:between w:val="nil"/>
              </w:pBdr>
              <w:spacing w:after="0" w:line="240" w:lineRule="auto"/>
              <w:rPr>
                <w:rFonts w:eastAsia="Times New Roman" w:cs="Times New Roman"/>
                <w:noProof/>
                <w:color w:val="000000" w:themeColor="text1"/>
              </w:rPr>
            </w:pPr>
            <w:r>
              <w:rPr>
                <w:noProof/>
              </w:rPr>
              <w:t>Bouw of modernisering van gebouwen en relevante infrastructuur, zoals opslag, verpakking, laad- en verkoopfaciliteiten, sociale voorzieningen en laboratoria. Voorts omvatten de investeringen de aankoop van zonnepanelen en de bouw van installaties voor warmteterugwinning, biomassaovens en koelmiddelen met een verminderd of neutraal effect op het milieu. De modernisering van gebouwen omvat ook investeringen in de thermo-modernisering van gebouwen, de bouw van afvalverwerkingsinstallaties en de bouw van water- en energiebesparende voorzieningen.</w:t>
            </w:r>
          </w:p>
          <w:p w14:paraId="76854333" w14:textId="250592DD" w:rsidR="00480F1C" w:rsidRDefault="00A201F6">
            <w:pPr>
              <w:pStyle w:val="P68B1DB1-Normal011"/>
              <w:numPr>
                <w:ilvl w:val="0"/>
                <w:numId w:val="3"/>
              </w:numPr>
              <w:pBdr>
                <w:top w:val="nil"/>
                <w:left w:val="nil"/>
                <w:bottom w:val="nil"/>
                <w:right w:val="nil"/>
                <w:between w:val="nil"/>
              </w:pBdr>
              <w:spacing w:after="0" w:line="240" w:lineRule="auto"/>
              <w:rPr>
                <w:rFonts w:cs="Times New Roman"/>
                <w:noProof/>
                <w:color w:val="000000" w:themeColor="text1"/>
              </w:rPr>
            </w:pPr>
            <w:r>
              <w:rPr>
                <w:noProof/>
              </w:rPr>
              <w:t>Aankoop en installatie van machines en uitrusting voor de opslag, verkoop, verpakking en vervoer van agrovoedingsproducten</w:t>
            </w:r>
          </w:p>
          <w:p w14:paraId="5DC2F90F" w14:textId="556339F9" w:rsidR="00480F1C" w:rsidRDefault="00A201F6">
            <w:pPr>
              <w:pStyle w:val="P68B1DB1-Normal011"/>
              <w:numPr>
                <w:ilvl w:val="0"/>
                <w:numId w:val="3"/>
              </w:numPr>
              <w:pBdr>
                <w:top w:val="nil"/>
                <w:left w:val="nil"/>
                <w:bottom w:val="nil"/>
                <w:right w:val="nil"/>
                <w:between w:val="nil"/>
              </w:pBdr>
              <w:spacing w:after="0" w:line="240" w:lineRule="auto"/>
              <w:rPr>
                <w:rFonts w:cs="Times New Roman"/>
                <w:noProof/>
                <w:color w:val="000000" w:themeColor="text1"/>
              </w:rPr>
            </w:pPr>
            <w:r>
              <w:rPr>
                <w:noProof/>
              </w:rPr>
              <w:t>Aankoop en installatie van IT-systemen ter ondersteuning, opslag en afzet van levensmiddelen, met inbegrip van beheers- en boekhoudsystemen.</w:t>
            </w:r>
          </w:p>
          <w:p w14:paraId="0791B279" w14:textId="0787B348" w:rsidR="00480F1C" w:rsidRDefault="00A201F6">
            <w:pPr>
              <w:pStyle w:val="P68B1DB1-Normal011"/>
              <w:numPr>
                <w:ilvl w:val="0"/>
                <w:numId w:val="3"/>
              </w:numPr>
              <w:pBdr>
                <w:top w:val="nil"/>
                <w:left w:val="nil"/>
                <w:bottom w:val="nil"/>
                <w:right w:val="nil"/>
                <w:between w:val="nil"/>
              </w:pBdr>
              <w:spacing w:after="0" w:line="240" w:lineRule="auto"/>
              <w:rPr>
                <w:rFonts w:cs="Times New Roman"/>
                <w:noProof/>
                <w:color w:val="000000" w:themeColor="text1"/>
              </w:rPr>
            </w:pPr>
            <w:r>
              <w:rPr>
                <w:noProof/>
              </w:rPr>
              <w:t>Aankoop van nieuwe gespecialiseerde vervoermiddelen voor magazijnbeheer (zoals vorkheftrucks) en voor het vervoer van agrovoedingsproducten (zoals tanks, silo’s, koelhuizen en isothermen). Transportmiddelen worden aangekocht in volledige overeenstemming met de technische richtsnoeren inzake het beginsel „geen ernstige afbreuk doen” (2021/C58/01).</w:t>
            </w:r>
          </w:p>
          <w:p w14:paraId="767B1C88" w14:textId="2FCFF0D8" w:rsidR="00480F1C" w:rsidRDefault="00A201F6">
            <w:pPr>
              <w:pStyle w:val="P68B1DB1-Normal011"/>
              <w:numPr>
                <w:ilvl w:val="0"/>
                <w:numId w:val="3"/>
              </w:numPr>
              <w:pBdr>
                <w:top w:val="nil"/>
                <w:left w:val="nil"/>
                <w:bottom w:val="nil"/>
                <w:right w:val="nil"/>
                <w:between w:val="nil"/>
              </w:pBdr>
              <w:spacing w:after="0" w:line="240" w:lineRule="auto"/>
              <w:rPr>
                <w:rFonts w:cs="Times New Roman"/>
                <w:noProof/>
                <w:color w:val="000000" w:themeColor="text1"/>
              </w:rPr>
            </w:pPr>
            <w:r>
              <w:rPr>
                <w:noProof/>
              </w:rPr>
              <w:t>Investeringen in verband met de naleving van gecertificeerde kwaliteitsbeheersystemen</w:t>
            </w:r>
          </w:p>
          <w:p w14:paraId="04CD0502" w14:textId="17941C6B" w:rsidR="00480F1C" w:rsidRDefault="00A201F6">
            <w:pPr>
              <w:pStyle w:val="P68B1DB1-Normal011"/>
              <w:numPr>
                <w:ilvl w:val="0"/>
                <w:numId w:val="3"/>
              </w:numPr>
              <w:pBdr>
                <w:top w:val="nil"/>
                <w:left w:val="nil"/>
                <w:bottom w:val="nil"/>
                <w:right w:val="nil"/>
                <w:between w:val="nil"/>
              </w:pBdr>
              <w:spacing w:after="0" w:line="240" w:lineRule="auto"/>
              <w:rPr>
                <w:rFonts w:cs="Times New Roman"/>
                <w:noProof/>
                <w:color w:val="000000" w:themeColor="text1"/>
              </w:rPr>
            </w:pPr>
            <w:r>
              <w:rPr>
                <w:noProof/>
              </w:rPr>
              <w:t>Vergoedingen vooraf voor octrooien en licenties.</w:t>
            </w:r>
          </w:p>
          <w:p w14:paraId="26CC8732" w14:textId="17941C6B" w:rsidR="00480F1C" w:rsidRDefault="00480F1C">
            <w:pPr>
              <w:pStyle w:val="Normal0"/>
              <w:spacing w:after="0" w:line="240" w:lineRule="auto"/>
              <w:rPr>
                <w:rFonts w:ascii="Times New Roman" w:eastAsia="Times New Roman" w:hAnsi="Times New Roman" w:cs="Times New Roman"/>
                <w:noProof/>
                <w:color w:val="000000" w:themeColor="text1"/>
                <w:sz w:val="18"/>
              </w:rPr>
            </w:pPr>
          </w:p>
          <w:p w14:paraId="4F497344" w14:textId="13BFF8F0" w:rsidR="00480F1C" w:rsidRDefault="00A201F6">
            <w:pPr>
              <w:pStyle w:val="P68B1DB1-Normal011"/>
              <w:spacing w:after="0" w:line="240" w:lineRule="auto"/>
              <w:rPr>
                <w:rFonts w:eastAsia="Times New Roman" w:cs="Times New Roman"/>
                <w:noProof/>
                <w:color w:val="000000" w:themeColor="text1"/>
              </w:rPr>
            </w:pPr>
            <w:r>
              <w:rPr>
                <w:noProof/>
              </w:rPr>
              <w:t>De investering zorgt voor een evenwichtige uitvoering van alle soorten projecten die in het streefdoel worden beschreven, rekening houdend met zowel de specifieke behoeften van de begunstigden als de doelstellingen van de RRF-verordening.</w:t>
            </w:r>
          </w:p>
          <w:p w14:paraId="61829076"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p w14:paraId="2BA226A1" w14:textId="2EA0092C"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De investeringen worden gedaan in overeenstemming met de technische richtsnoeren inzake het beginsel „geen ernstige afbreuk doen aan” (2021/C 58/01), met name met betrekking tot vereisten met betrekking tot energie-efficiëntie, vervoersuitrusting, hernieuwbare energie en afvalbeheer.</w:t>
            </w:r>
          </w:p>
        </w:tc>
      </w:tr>
      <w:tr w:rsidR="00480F1C" w14:paraId="2592C230" w14:textId="77777777">
        <w:trPr>
          <w:trHeight w:val="313"/>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B568215" w14:textId="508075D4"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A22G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6C3DEA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A1.4.1 Investeringen om de toeleveringsketen van landbouw- en voedingsproducten te diversifiëren en te verkorten en de veerkracht van de entiteiten in de keten op te bouwen</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687BC1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B1FA45" w14:textId="65CE7E76"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Kmo’s in de agrovoedingssector die projecten hebben afgerond om hun infrastructuur en uitrusting te moderniseren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A58656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640446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3113584"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8F7D30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400</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CF82A2F"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6C646B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2024</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7C22F2D" w14:textId="17941C6B"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Fonts w:ascii="Times New Roman" w:hAnsi="Times New Roman"/>
                <w:noProof/>
                <w:color w:val="000000" w:themeColor="text1"/>
                <w:sz w:val="18"/>
              </w:rPr>
              <w:t>Ten minste 400 kmo’s in de agrovoedingssector en de visserijsector hebben projecten afgerond om hun infrastructuur en uitrusting te moderniseren. De investeringen bestaan uit de volgende soorten activiteiten:</w:t>
            </w:r>
            <w:r>
              <w:rPr>
                <w:noProof/>
              </w:rPr>
              <w:t xml:space="preserve"> </w:t>
            </w:r>
            <w:r>
              <w:rPr>
                <w:noProof/>
              </w:rPr>
              <w:br/>
            </w:r>
            <w:r>
              <w:rPr>
                <w:rFonts w:ascii="Times New Roman" w:hAnsi="Times New Roman"/>
                <w:noProof/>
                <w:color w:val="000000" w:themeColor="text1"/>
                <w:sz w:val="18"/>
              </w:rPr>
              <w:t>1) bouw of modernisering van gebouwen en relevante infrastructuur, zoals productie- en opslagfaciliteiten en laboratoria. De steun heeft ook betrekking op groene investeringen, zoals de bouw van voorzieningen voor de opslag en het beheer van afval, rioolwaterzuiveringsinstallaties en biogasinstallaties. Voorts omvatten de investeringen de aankoop van zonnepanelen en de bouw van installaties voor warmteterugwinning, biomassaovens en koelmiddelen met een verminderd of neutraal effect op het milieu.</w:t>
            </w:r>
            <w:r>
              <w:rPr>
                <w:noProof/>
              </w:rPr>
              <w:t xml:space="preserve"> </w:t>
            </w:r>
            <w:r>
              <w:rPr>
                <w:noProof/>
              </w:rPr>
              <w:br/>
            </w:r>
            <w:r>
              <w:rPr>
                <w:rFonts w:ascii="Times New Roman" w:hAnsi="Times New Roman"/>
                <w:noProof/>
                <w:color w:val="000000" w:themeColor="text1"/>
                <w:sz w:val="18"/>
              </w:rPr>
              <w:t>2) aankoop en installatie van machines en uitrusting voor de opslag, verwerking en verkoop van agrovoedingsmiddelen en visserij- en aquacultuurproducten.</w:t>
            </w:r>
            <w:r>
              <w:rPr>
                <w:noProof/>
              </w:rPr>
              <w:t xml:space="preserve"> </w:t>
            </w:r>
            <w:r>
              <w:rPr>
                <w:noProof/>
              </w:rPr>
              <w:br/>
            </w:r>
            <w:r>
              <w:rPr>
                <w:rFonts w:ascii="Times New Roman" w:hAnsi="Times New Roman"/>
                <w:noProof/>
                <w:color w:val="000000" w:themeColor="text1"/>
                <w:sz w:val="18"/>
              </w:rPr>
              <w:t>3) aankoop en installatie van IT-systemen ter ondersteuning van productie-, opslag- en verkoopprocessen, met inbegrip van beheer en boekhouding.</w:t>
            </w:r>
            <w:r>
              <w:rPr>
                <w:noProof/>
              </w:rPr>
              <w:t xml:space="preserve"> </w:t>
            </w:r>
            <w:r>
              <w:rPr>
                <w:noProof/>
              </w:rPr>
              <w:br/>
            </w:r>
            <w:r>
              <w:rPr>
                <w:rFonts w:ascii="Times New Roman" w:hAnsi="Times New Roman"/>
                <w:noProof/>
                <w:color w:val="000000" w:themeColor="text1"/>
                <w:sz w:val="18"/>
              </w:rPr>
              <w:t xml:space="preserve">4) aankoop van nieuwe, emissieloze of emissiearme gespecialiseerde vervoermiddelen voor magazijnbeheer (zoals vorkheftrucks) en voor het vervoer van agrovoedingsmiddelen en visserij- en aquacultuurproducten (zoals tanks, silo’s, koelhuizen en isothermen). </w:t>
            </w:r>
            <w:r>
              <w:rPr>
                <w:noProof/>
              </w:rPr>
              <w:t xml:space="preserve"> </w:t>
            </w:r>
            <w:r>
              <w:rPr>
                <w:noProof/>
              </w:rPr>
              <w:br/>
            </w:r>
            <w:r>
              <w:rPr>
                <w:rFonts w:ascii="Times New Roman" w:hAnsi="Times New Roman"/>
                <w:noProof/>
                <w:color w:val="000000" w:themeColor="text1"/>
                <w:sz w:val="18"/>
              </w:rPr>
              <w:t>5) investeringen in verband met de naleving van gecertificeerde kwaliteitsbeheersystemen.</w:t>
            </w:r>
            <w:r>
              <w:rPr>
                <w:noProof/>
              </w:rPr>
              <w:t xml:space="preserve"> </w:t>
            </w:r>
            <w:r>
              <w:rPr>
                <w:noProof/>
              </w:rPr>
              <w:br/>
            </w:r>
            <w:r>
              <w:rPr>
                <w:rFonts w:ascii="Times New Roman" w:hAnsi="Times New Roman"/>
                <w:noProof/>
                <w:color w:val="000000" w:themeColor="text1"/>
                <w:sz w:val="18"/>
              </w:rPr>
              <w:t>6) vooraf te betalen vergoedingen voor octrooien en licenties.</w:t>
            </w:r>
          </w:p>
          <w:p w14:paraId="17AD93B2" w14:textId="17941C6B" w:rsidR="00480F1C" w:rsidRDefault="00480F1C">
            <w:pPr>
              <w:pStyle w:val="Normal0"/>
              <w:spacing w:after="0" w:line="240" w:lineRule="auto"/>
              <w:rPr>
                <w:rFonts w:ascii="Times New Roman" w:eastAsia="Times New Roman" w:hAnsi="Times New Roman" w:cs="Times New Roman"/>
                <w:noProof/>
                <w:color w:val="000000" w:themeColor="text1"/>
                <w:sz w:val="18"/>
              </w:rPr>
            </w:pPr>
          </w:p>
          <w:p w14:paraId="583AE7BC" w14:textId="5ACDA37F" w:rsidR="00480F1C" w:rsidRDefault="00A201F6">
            <w:pPr>
              <w:pStyle w:val="P68B1DB1-Normal011"/>
              <w:spacing w:after="0" w:line="240" w:lineRule="auto"/>
              <w:rPr>
                <w:rFonts w:eastAsia="Times New Roman" w:cs="Times New Roman"/>
                <w:noProof/>
                <w:color w:val="000000" w:themeColor="text1"/>
              </w:rPr>
            </w:pPr>
            <w:r>
              <w:rPr>
                <w:noProof/>
              </w:rPr>
              <w:t xml:space="preserve">De investering zorgt voor een evenwichtige uitvoering van alle soorten projecten die in het streefdoel worden beschreven, rekening houdend met zowel de specifieke behoeften van de begunstigden als de doelstellingen van de RRF-verordening.   </w:t>
            </w:r>
          </w:p>
          <w:p w14:paraId="66204FF1" w14:textId="19C90F4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De investering wordt uitgevoerd in volledige overeenstemming met de technische richtsnoeren inzake het beginsel „geen ernstige afbreuk doen aan” (2021/C 58/01), met name met betrekking tot vereisten met betrekking tot energie-efficiëntie, hernieuwbare energie, afvalbeheer en vervoersuitrusting.</w:t>
            </w:r>
          </w:p>
        </w:tc>
      </w:tr>
      <w:tr w:rsidR="00480F1C" w14:paraId="5727B446" w14:textId="77777777">
        <w:trPr>
          <w:trHeight w:val="313"/>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4C26413" w14:textId="6B3525C6"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A23G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D85159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A1.4.1 Investeringen om de toeleveringsketen van landbouw- en voedingsproducten te diversifiëren en te verkorten en de veerkracht van de entiteiten in de keten op te bouwen</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BC70DA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107FDB0" w14:textId="7D4A88E9"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Kmo’s in de agrovoedingssector die projecten hebben afgerond om hun infrastructuur en uitrusting te moderniseren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721E54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B1788F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A8B2917"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400</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AFFCB7C"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800</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67C712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517265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3D3C5F3" w14:textId="1E877CED" w:rsidR="00480F1C" w:rsidRDefault="00A201F6">
            <w:pPr>
              <w:pStyle w:val="P68B1DB1-Normal011"/>
              <w:spacing w:after="0" w:line="240" w:lineRule="auto"/>
              <w:rPr>
                <w:rFonts w:eastAsia="Times New Roman" w:cs="Times New Roman"/>
                <w:noProof/>
                <w:color w:val="000000" w:themeColor="text1"/>
              </w:rPr>
            </w:pPr>
            <w:r>
              <w:rPr>
                <w:noProof/>
              </w:rPr>
              <w:t xml:space="preserve">Ten minste 800 kmo’s in de agrovoedingssector en de visserijsector hebben projecten afgerond om hun infrastructuur en uitrusting te moderniseren. </w:t>
            </w:r>
          </w:p>
          <w:p w14:paraId="4679F5FA" w14:textId="17941C6B" w:rsidR="00480F1C" w:rsidRDefault="00A201F6">
            <w:pPr>
              <w:pStyle w:val="Normal0"/>
              <w:spacing w:after="0" w:line="240" w:lineRule="auto"/>
              <w:rPr>
                <w:rFonts w:ascii="Times New Roman" w:eastAsia="Times New Roman" w:hAnsi="Times New Roman" w:cs="Times New Roman"/>
                <w:noProof/>
                <w:color w:val="000000" w:themeColor="text1"/>
                <w:sz w:val="18"/>
              </w:rPr>
            </w:pPr>
            <w:r>
              <w:rPr>
                <w:rFonts w:ascii="Times New Roman" w:hAnsi="Times New Roman"/>
                <w:noProof/>
                <w:color w:val="000000" w:themeColor="text1"/>
                <w:sz w:val="18"/>
              </w:rPr>
              <w:t>De investering bestaat uit de volgende soorten projecten:</w:t>
            </w:r>
            <w:r>
              <w:rPr>
                <w:noProof/>
              </w:rPr>
              <w:t xml:space="preserve"> </w:t>
            </w:r>
            <w:r>
              <w:rPr>
                <w:noProof/>
              </w:rPr>
              <w:br/>
            </w:r>
            <w:r>
              <w:rPr>
                <w:rFonts w:ascii="Times New Roman" w:hAnsi="Times New Roman"/>
                <w:noProof/>
                <w:color w:val="000000" w:themeColor="text1"/>
                <w:sz w:val="18"/>
              </w:rPr>
              <w:t>1) bouw of modernisering van gebouwen en relevante infrastructuur, zoals productie- en opslagfaciliteiten en laboratoria. De steun heeft ook betrekking op groene investeringen, zoals de bouw van voorzieningen voor de opslag en het beheer van afval, rioolwaterzuiveringsinstallaties en biogasinstallaties. Voorts omvatten de investeringen de aankoop van zonnepanelen en de bouw van installaties voor warmteterugwinning, biomassaovens en koelmiddelen met een verminderd of neutraal effect op het milieu.</w:t>
            </w:r>
            <w:r>
              <w:rPr>
                <w:noProof/>
              </w:rPr>
              <w:t xml:space="preserve"> </w:t>
            </w:r>
            <w:r>
              <w:rPr>
                <w:noProof/>
              </w:rPr>
              <w:br/>
            </w:r>
            <w:r>
              <w:rPr>
                <w:rFonts w:ascii="Times New Roman" w:hAnsi="Times New Roman"/>
                <w:noProof/>
                <w:color w:val="000000" w:themeColor="text1"/>
                <w:sz w:val="18"/>
              </w:rPr>
              <w:t>2) aankoop en installatie van machines en uitrusting voor de opslag, verwerking en verkoop van agrovoedingsmiddelen en visserij- en aquacultuurproducten.</w:t>
            </w:r>
            <w:r>
              <w:rPr>
                <w:noProof/>
              </w:rPr>
              <w:t xml:space="preserve"> </w:t>
            </w:r>
            <w:r>
              <w:rPr>
                <w:noProof/>
              </w:rPr>
              <w:br/>
            </w:r>
            <w:r>
              <w:rPr>
                <w:rFonts w:ascii="Times New Roman" w:hAnsi="Times New Roman"/>
                <w:noProof/>
                <w:color w:val="000000" w:themeColor="text1"/>
                <w:sz w:val="18"/>
              </w:rPr>
              <w:t>3) aankoop en installatie van IT-systemen ter ondersteuning van productie-, opslag- en verkoopprocessen, met inbegrip van beheer en boekhouding.</w:t>
            </w:r>
            <w:r>
              <w:rPr>
                <w:noProof/>
              </w:rPr>
              <w:t xml:space="preserve"> </w:t>
            </w:r>
            <w:r>
              <w:rPr>
                <w:noProof/>
              </w:rPr>
              <w:br/>
            </w:r>
            <w:r>
              <w:rPr>
                <w:rFonts w:ascii="Times New Roman" w:hAnsi="Times New Roman"/>
                <w:noProof/>
                <w:color w:val="000000" w:themeColor="text1"/>
                <w:sz w:val="18"/>
              </w:rPr>
              <w:t xml:space="preserve">4) aankoop van nieuwe, emissieloze of emissiearme gespecialiseerde vervoermiddelen voor magazijnbeheer (zoals vorkheftrucks) en voor het vervoer van agrovoedingsmiddelen en visserij- en aquacultuurproducten (zoals tanks, silo’s, koelhuizen en isothermen). </w:t>
            </w:r>
            <w:r>
              <w:rPr>
                <w:noProof/>
              </w:rPr>
              <w:t xml:space="preserve"> </w:t>
            </w:r>
            <w:r>
              <w:rPr>
                <w:noProof/>
              </w:rPr>
              <w:br/>
            </w:r>
            <w:r>
              <w:rPr>
                <w:rFonts w:ascii="Times New Roman" w:hAnsi="Times New Roman"/>
                <w:noProof/>
                <w:color w:val="000000" w:themeColor="text1"/>
                <w:sz w:val="18"/>
              </w:rPr>
              <w:t>5) investeringen in verband met de naleving van gecertificeerde kwaliteitsbeheersystemen.</w:t>
            </w:r>
            <w:r>
              <w:rPr>
                <w:noProof/>
              </w:rPr>
              <w:t xml:space="preserve"> </w:t>
            </w:r>
            <w:r>
              <w:rPr>
                <w:noProof/>
              </w:rPr>
              <w:br/>
            </w:r>
            <w:r>
              <w:rPr>
                <w:rFonts w:ascii="Times New Roman" w:hAnsi="Times New Roman"/>
                <w:noProof/>
                <w:color w:val="000000" w:themeColor="text1"/>
                <w:sz w:val="18"/>
              </w:rPr>
              <w:t>6) vooraf te betalen vergoedingen voor octrooien en licenties.</w:t>
            </w:r>
          </w:p>
          <w:p w14:paraId="4A786E69" w14:textId="17941C6B" w:rsidR="00480F1C" w:rsidRDefault="00480F1C">
            <w:pPr>
              <w:pStyle w:val="Normal0"/>
              <w:spacing w:after="0" w:line="240" w:lineRule="auto"/>
              <w:rPr>
                <w:rFonts w:ascii="Times New Roman" w:eastAsia="Times New Roman" w:hAnsi="Times New Roman" w:cs="Times New Roman"/>
                <w:noProof/>
                <w:color w:val="000000" w:themeColor="text1"/>
                <w:sz w:val="18"/>
              </w:rPr>
            </w:pPr>
          </w:p>
          <w:p w14:paraId="06BBB925" w14:textId="5ACDA37F" w:rsidR="00480F1C" w:rsidRDefault="00A201F6">
            <w:pPr>
              <w:pStyle w:val="P68B1DB1-Normal011"/>
              <w:spacing w:after="0" w:line="240" w:lineRule="auto"/>
              <w:rPr>
                <w:rFonts w:eastAsia="Times New Roman" w:cs="Times New Roman"/>
                <w:noProof/>
                <w:color w:val="000000" w:themeColor="text1"/>
              </w:rPr>
            </w:pPr>
            <w:r>
              <w:rPr>
                <w:noProof/>
              </w:rPr>
              <w:t xml:space="preserve">De investering zorgt voor een evenwichtige uitvoering van alle soorten projecten die in het streefdoel worden beschreven, rekening houdend met zowel de specifieke behoeften van de begunstigden als de doelstellingen van de RRF-verordening.   </w:t>
            </w:r>
          </w:p>
          <w:p w14:paraId="3289AB0C" w14:textId="77777777" w:rsidR="00480F1C" w:rsidRDefault="00480F1C">
            <w:pPr>
              <w:pStyle w:val="Normal0"/>
              <w:spacing w:after="0" w:line="240" w:lineRule="auto"/>
              <w:rPr>
                <w:rFonts w:ascii="Times New Roman" w:eastAsia="Times New Roman" w:hAnsi="Times New Roman" w:cs="Times New Roman"/>
                <w:noProof/>
                <w:color w:val="000000" w:themeColor="text1"/>
                <w:sz w:val="18"/>
              </w:rPr>
            </w:pPr>
          </w:p>
          <w:p w14:paraId="02F2C34E" w14:textId="6FB29C3F"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De investering wordt uitgevoerd in volledige overeenstemming met de technische richtsnoeren inzake het beginsel „geen ernstige afbreuk doen aan” (2021/C 58/01), met name met betrekking tot vereisten met betrekking tot energie-efficiëntie, hernieuwbare energie, afvalbeheer en vervoersuitrusting.</w:t>
            </w:r>
          </w:p>
        </w:tc>
      </w:tr>
      <w:tr w:rsidR="00480F1C" w14:paraId="756BD8A7" w14:textId="77777777">
        <w:trPr>
          <w:trHeight w:val="313"/>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E4F76D" w14:textId="70F6FC03"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A24G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D968D4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A1.4.1 Investeringen om de toeleveringsketen van landbouw- en voedingsproducten te diversifiëren en te verkorten en de veerkracht van de entiteiten in de keten op te bouwen</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89BCD0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CEA28BC" w14:textId="55CB652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Liefdadigheidsorganisaties in de levensmiddelensector die projecten hebben afgerond om hun infrastructuur en uitrusting te moderniseren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DD1135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0B375F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531F93F"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886189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50</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5CBD16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BF3799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5BBD52" w14:textId="77777777"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Fonts w:ascii="Times New Roman" w:hAnsi="Times New Roman"/>
                <w:noProof/>
                <w:color w:val="000000" w:themeColor="text1"/>
                <w:sz w:val="18"/>
              </w:rPr>
              <w:t>Ten minste 50 liefdadigheidsorganisaties in de levensmiddelensector hebben projecten afgerond om hun infrastructuur en uitrusting te moderniseren, teneinde duurzamere voedselconsumptiepatronen aan te moedigen, met name door voedselverspilling te voorkomen. De investeringen ondersteunen de modernisering van de infrastructuur in liefdadigheidsorganisaties, met inbegrip van:</w:t>
            </w:r>
            <w:r>
              <w:rPr>
                <w:noProof/>
              </w:rPr>
              <w:t xml:space="preserve"> </w:t>
            </w:r>
            <w:r>
              <w:rPr>
                <w:noProof/>
              </w:rPr>
              <w:br/>
            </w:r>
            <w:r>
              <w:rPr>
                <w:rFonts w:ascii="Times New Roman" w:hAnsi="Times New Roman"/>
                <w:noProof/>
                <w:color w:val="000000" w:themeColor="text1"/>
                <w:sz w:val="18"/>
              </w:rPr>
              <w:t>1) bouw en aanpassing van bestaande gebouwen voor de opslag, bereiding en distributie van levensmiddelen.</w:t>
            </w:r>
            <w:r>
              <w:rPr>
                <w:noProof/>
              </w:rPr>
              <w:t xml:space="preserve"> </w:t>
            </w:r>
            <w:r>
              <w:rPr>
                <w:noProof/>
              </w:rPr>
              <w:br/>
            </w:r>
            <w:r>
              <w:rPr>
                <w:rFonts w:ascii="Times New Roman" w:hAnsi="Times New Roman"/>
                <w:noProof/>
                <w:color w:val="000000" w:themeColor="text1"/>
                <w:sz w:val="18"/>
              </w:rPr>
              <w:t>2) aankoop van koelreservoirs, koelkasten, diepvriezers en stroomgeneratoren.</w:t>
            </w:r>
            <w:r>
              <w:rPr>
                <w:noProof/>
              </w:rPr>
              <w:t xml:space="preserve"> </w:t>
            </w:r>
            <w:r>
              <w:rPr>
                <w:noProof/>
              </w:rPr>
              <w:br/>
            </w:r>
            <w:r>
              <w:rPr>
                <w:rFonts w:ascii="Times New Roman" w:hAnsi="Times New Roman"/>
                <w:noProof/>
                <w:color w:val="000000" w:themeColor="text1"/>
                <w:sz w:val="18"/>
              </w:rPr>
              <w:t>3) aankoop van machines, apparaten en uitrusting voor de verwerking, opslag, verpakking en distributie van levensmiddelen en maaltijden.</w:t>
            </w:r>
            <w:r>
              <w:rPr>
                <w:noProof/>
              </w:rPr>
              <w:t xml:space="preserve"> </w:t>
            </w:r>
            <w:r>
              <w:rPr>
                <w:noProof/>
              </w:rPr>
              <w:br/>
            </w:r>
            <w:r>
              <w:rPr>
                <w:rFonts w:ascii="Times New Roman" w:hAnsi="Times New Roman"/>
                <w:noProof/>
                <w:color w:val="000000" w:themeColor="text1"/>
                <w:sz w:val="18"/>
              </w:rPr>
              <w:t>5) aankoop van apparatuur en IT-toepassingen voor het beheer van logistieke processen in verband met de distributie van levensmiddelen.</w:t>
            </w:r>
            <w:r>
              <w:rPr>
                <w:noProof/>
              </w:rPr>
              <w:t xml:space="preserve"> </w:t>
            </w:r>
            <w:r>
              <w:rPr>
                <w:noProof/>
              </w:rPr>
              <w:br/>
            </w:r>
            <w:r>
              <w:rPr>
                <w:rFonts w:ascii="Times New Roman" w:hAnsi="Times New Roman"/>
                <w:noProof/>
                <w:color w:val="000000" w:themeColor="text1"/>
                <w:sz w:val="18"/>
              </w:rPr>
              <w:t>6) aankoop van gespecialiseerde vervoermiddelen die nodig zijn voor de inzameling en het vervoer van levensmiddelen en magazijnbeheer (zoals transportwagens, isotherm, vorkheftrucks en liften).</w:t>
            </w:r>
          </w:p>
          <w:p w14:paraId="35AB6B9B" w14:textId="77777777" w:rsidR="00480F1C" w:rsidRDefault="00480F1C">
            <w:pPr>
              <w:pStyle w:val="Normal0"/>
              <w:spacing w:after="0" w:line="240" w:lineRule="auto"/>
              <w:rPr>
                <w:rFonts w:ascii="Times New Roman" w:eastAsia="Times New Roman" w:hAnsi="Times New Roman" w:cs="Times New Roman"/>
                <w:noProof/>
                <w:color w:val="000000" w:themeColor="text1"/>
                <w:sz w:val="18"/>
              </w:rPr>
            </w:pPr>
          </w:p>
          <w:p w14:paraId="417E8788" w14:textId="4F6CA4E1" w:rsidR="00480F1C" w:rsidRDefault="00A201F6">
            <w:pPr>
              <w:pStyle w:val="P68B1DB1-Normal011"/>
              <w:spacing w:after="0" w:line="240" w:lineRule="auto"/>
              <w:rPr>
                <w:rFonts w:eastAsia="Times New Roman" w:cs="Times New Roman"/>
                <w:noProof/>
                <w:color w:val="000000" w:themeColor="text1"/>
              </w:rPr>
            </w:pPr>
            <w:r>
              <w:rPr>
                <w:noProof/>
              </w:rPr>
              <w:t>De investering zorgt voor een evenwichtige uitvoering van alle soorten projecten die in het streefdoel worden beschreven, rekening houdend met zowel de specifieke behoeften van de begunstigden als de doelstellingen van de RRF-verordening.</w:t>
            </w:r>
          </w:p>
          <w:p w14:paraId="70D64551" w14:textId="171EA4FB"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De investering wordt uitgevoerd in volledige overeenstemming met de technische richtsnoeren inzake het beginsel „geen ernstige afbreuk doen aan” (2021/C 58/01), met name met betrekking tot vereisten met betrekking tot energie-efficiëntie, hernieuwbare energie, afvalbeheer en vervoersuitrusting.</w:t>
            </w:r>
          </w:p>
        </w:tc>
      </w:tr>
      <w:tr w:rsidR="00480F1C" w14:paraId="13080C89" w14:textId="77777777">
        <w:trPr>
          <w:trHeight w:val="313"/>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D8EB8EE" w14:textId="4E2EEC43"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A25G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A8C7D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A1.4.1 Investeringen om de toeleveringsketen van landbouw- en voedingsproducten te diversifiëren en te verkorten en de veerkracht van de entiteiten in de keten op te bouwen</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143153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978EC08" w14:textId="7181C91B" w:rsidR="00480F1C" w:rsidRDefault="00A201F6">
            <w:pPr>
              <w:pStyle w:val="P68B1DB1-Normal010"/>
              <w:pBdr>
                <w:top w:val="nil"/>
                <w:left w:val="nil"/>
                <w:bottom w:val="nil"/>
                <w:right w:val="nil"/>
                <w:between w:val="nil"/>
              </w:pBdr>
              <w:spacing w:after="0" w:line="240" w:lineRule="auto"/>
              <w:rPr>
                <w:rFonts w:cs="Times New Roman"/>
                <w:noProof/>
              </w:rPr>
            </w:pPr>
            <w:r>
              <w:rPr>
                <w:noProof/>
              </w:rPr>
              <w:t>Landbouwers en vissers die projecten hebben afgerond om hun infrastructuur en uitrusting te moderniseren, de voedselvoorzieningsketens te verkorten en landbouwoplossingen toe te passen 4.0 in productieprocessen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236E82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EFB925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213FF8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71A78E" w14:textId="3F4B43A6"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5 764</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CF537B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DC5070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2023</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F478959" w14:textId="1B0D0F11"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Ten minste 5 764 landbouwers en vissers hebben projecten afgerond om hun infrastructuur en uitrusting te moderniseren, teneinde hun weerbaarheid tegen toekomstige crises te vergroten en duurzame productiepatronen te verbeteren, toeleveringsketens te verkorten en landbouwtechnologieën 4.0 te ondersteunen. </w:t>
            </w:r>
          </w:p>
          <w:p w14:paraId="3C466FBF" w14:textId="53884EE5"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De investeringen omvatten:</w:t>
            </w:r>
          </w:p>
          <w:p w14:paraId="46736703" w14:textId="1759CB25" w:rsidR="00480F1C" w:rsidRDefault="00A201F6">
            <w:pPr>
              <w:pStyle w:val="P68B1DB1-Normal011"/>
              <w:spacing w:line="240" w:lineRule="auto"/>
              <w:rPr>
                <w:rFonts w:eastAsia="Times New Roman" w:cs="Times New Roman"/>
                <w:noProof/>
                <w:color w:val="000000" w:themeColor="text1"/>
              </w:rPr>
            </w:pPr>
            <w:r>
              <w:rPr>
                <w:noProof/>
              </w:rPr>
              <w:t>1) bouw en modernisering van gebouwen en infrastructuur voor de verwerking en opslag van landbouw-, visserij- en aquacultuurproducten en levensmiddelen door landbouwers. De steun omvat ook de vervanging van materialen die schadelijk zijn voor het milieu en de gezondheid in gebouwen die worden gebruikt voor landbouwproductie of op grond die voor landbouwproductie wordt gebruikt;</w:t>
            </w:r>
          </w:p>
          <w:p w14:paraId="0E8CC00B" w14:textId="61F4C92D" w:rsidR="00480F1C" w:rsidRDefault="00A201F6">
            <w:pPr>
              <w:pStyle w:val="P68B1DB1-Normal12"/>
              <w:pBdr>
                <w:top w:val="nil"/>
                <w:left w:val="nil"/>
                <w:bottom w:val="nil"/>
                <w:right w:val="nil"/>
                <w:between w:val="nil"/>
              </w:pBdr>
              <w:spacing w:after="160" w:line="240" w:lineRule="auto"/>
              <w:rPr>
                <w:rFonts w:eastAsia="Times New Roman" w:cs="Times New Roman"/>
                <w:noProof/>
              </w:rPr>
            </w:pPr>
            <w:r>
              <w:rPr>
                <w:noProof/>
              </w:rPr>
              <w:t>2) bouw van installaties voor warmteterugwinning, biomassaovens en koelmiddelen met een verminderd of neutraal effect op het milieu. De steun omvat ook de thermische modernisering van gebouwen, de bouw van installaties voor de opslag en het beheer van afval, rioolwaterzuiveringsinstallaties en biogasinstallaties, alsmede de aankoop van fotovoltaïsche en zonnepanelen.</w:t>
            </w:r>
          </w:p>
          <w:p w14:paraId="13257AEE" w14:textId="5B96368D" w:rsidR="00480F1C" w:rsidRDefault="00A201F6">
            <w:pPr>
              <w:pStyle w:val="P68B1DB1-Normal12"/>
              <w:pBdr>
                <w:top w:val="nil"/>
                <w:left w:val="nil"/>
                <w:bottom w:val="nil"/>
                <w:right w:val="nil"/>
                <w:between w:val="nil"/>
              </w:pBdr>
              <w:spacing w:after="160" w:line="240" w:lineRule="auto"/>
              <w:rPr>
                <w:rFonts w:eastAsia="Times New Roman" w:cs="Times New Roman"/>
                <w:noProof/>
              </w:rPr>
            </w:pPr>
            <w:r>
              <w:rPr>
                <w:noProof/>
              </w:rPr>
              <w:t>3) aankoop en installatie van machines en uitrusting voor de productie, verwerking en opslag van landbouw-, visserij- en aquacultuurproducten door landbouwers.</w:t>
            </w:r>
          </w:p>
          <w:p w14:paraId="3738661D" w14:textId="07CC6D32" w:rsidR="00480F1C" w:rsidRDefault="00A201F6">
            <w:pPr>
              <w:pStyle w:val="P68B1DB1-Normal12"/>
              <w:pBdr>
                <w:top w:val="nil"/>
                <w:left w:val="nil"/>
                <w:bottom w:val="nil"/>
                <w:right w:val="nil"/>
                <w:between w:val="nil"/>
              </w:pBdr>
              <w:spacing w:after="160" w:line="240" w:lineRule="auto"/>
              <w:rPr>
                <w:rFonts w:eastAsia="Times New Roman" w:cs="Times New Roman"/>
                <w:noProof/>
              </w:rPr>
            </w:pPr>
            <w:r>
              <w:rPr>
                <w:noProof/>
              </w:rPr>
              <w:t xml:space="preserve">4) bouw of modernisering van plaatsen voor de rechtstreekse verkoop van lokale voedingsmiddelen. Dit omvat de ontwikkeling, aanpassing en bouw van ruimten voor rechtstreekse verkoop, alsmede de aankoop van relevante apparatuur zoals koelkasten, diepvriezers en verwerkingsmachines en -apparaten.  </w:t>
            </w:r>
          </w:p>
          <w:p w14:paraId="1B02CF25" w14:textId="2DF40E51" w:rsidR="00480F1C" w:rsidRDefault="00A201F6">
            <w:pPr>
              <w:pStyle w:val="P68B1DB1-Normal12"/>
              <w:pBdr>
                <w:top w:val="nil"/>
                <w:left w:val="nil"/>
                <w:bottom w:val="nil"/>
                <w:right w:val="nil"/>
                <w:between w:val="nil"/>
              </w:pBdr>
              <w:spacing w:after="160" w:line="240" w:lineRule="auto"/>
              <w:rPr>
                <w:rFonts w:eastAsia="Times New Roman" w:cs="Times New Roman"/>
                <w:noProof/>
              </w:rPr>
            </w:pPr>
            <w:r>
              <w:rPr>
                <w:noProof/>
              </w:rPr>
              <w:t xml:space="preserve">5) aankoop en installatie van IT-systemen en digitale oplossingen in verband met landbouw 4.0 ter ondersteuning van productie-, opslag- en verkoopprocessen voor agrovoedingsproducten. Dit omvat de aankoop van machines, apparatuur en software voor deze doeleinden, met inbegrip van sensoren, IT-apparatuur en softwaretoepassingen.  </w:t>
            </w:r>
          </w:p>
          <w:p w14:paraId="65590E18" w14:textId="5E730901" w:rsidR="00480F1C" w:rsidRDefault="00A201F6">
            <w:pPr>
              <w:pBdr>
                <w:top w:val="nil"/>
                <w:left w:val="nil"/>
                <w:bottom w:val="nil"/>
                <w:right w:val="nil"/>
                <w:between w:val="nil"/>
              </w:pBdr>
              <w:spacing w:after="160" w:line="240" w:lineRule="auto"/>
              <w:rPr>
                <w:rFonts w:ascii="Times New Roman" w:eastAsia="Times New Roman" w:hAnsi="Times New Roman" w:cs="Times New Roman"/>
                <w:noProof/>
                <w:color w:val="000000" w:themeColor="text1"/>
                <w:sz w:val="18"/>
              </w:rPr>
            </w:pPr>
            <w:r>
              <w:rPr>
                <w:rFonts w:ascii="Times New Roman" w:hAnsi="Times New Roman"/>
                <w:noProof/>
                <w:color w:val="000000" w:themeColor="text1"/>
                <w:sz w:val="18"/>
              </w:rPr>
              <w:t xml:space="preserve">6) aankoop van emissievrije/emissiearme gespecialiseerde transportvoertuigen, zoals koelwagens, tankwagens en isothermische vrachtwagens, ter ondersteuning van de huis-aan-huisverkoop of het vervoer van agrovoedingsproducten. </w:t>
            </w:r>
            <w:r>
              <w:rPr>
                <w:noProof/>
              </w:rPr>
              <w:t xml:space="preserve"> </w:t>
            </w:r>
            <w:r>
              <w:rPr>
                <w:noProof/>
              </w:rPr>
              <w:br/>
            </w:r>
            <w:r>
              <w:rPr>
                <w:rFonts w:ascii="Times New Roman" w:hAnsi="Times New Roman"/>
                <w:noProof/>
                <w:color w:val="000000" w:themeColor="text1"/>
                <w:sz w:val="18"/>
              </w:rPr>
              <w:t>7) het opzetten van online-instrumenten voor de verkoop van landbouw-, visserij-, aquacultuur- en voedingsproducten, alsmede steun voor de organisatie van leveringen.</w:t>
            </w:r>
          </w:p>
          <w:p w14:paraId="342264CD" w14:textId="77C014A7" w:rsidR="00480F1C" w:rsidRDefault="00A201F6">
            <w:pPr>
              <w:pStyle w:val="P68B1DB1-Normal12"/>
              <w:pBdr>
                <w:top w:val="nil"/>
                <w:left w:val="nil"/>
                <w:bottom w:val="nil"/>
                <w:right w:val="nil"/>
                <w:between w:val="nil"/>
              </w:pBdr>
              <w:spacing w:after="160" w:line="240" w:lineRule="auto"/>
              <w:rPr>
                <w:rFonts w:eastAsia="Times New Roman" w:cs="Times New Roman"/>
                <w:noProof/>
              </w:rPr>
            </w:pPr>
            <w:r>
              <w:rPr>
                <w:noProof/>
              </w:rPr>
              <w:t>8) vooraf te betalen vergoedingen voor octrooien en licenties.</w:t>
            </w:r>
          </w:p>
          <w:p w14:paraId="3744D6B9" w14:textId="5ACDA37F" w:rsidR="00480F1C" w:rsidRDefault="00A201F6">
            <w:pPr>
              <w:pStyle w:val="P68B1DB1-Normal011"/>
              <w:spacing w:after="0" w:line="240" w:lineRule="auto"/>
              <w:rPr>
                <w:rFonts w:eastAsia="Times New Roman" w:cs="Times New Roman"/>
                <w:noProof/>
                <w:color w:val="000000" w:themeColor="text1"/>
              </w:rPr>
            </w:pPr>
            <w:r>
              <w:rPr>
                <w:noProof/>
              </w:rPr>
              <w:t xml:space="preserve">De investering zorgt voor een evenwichtige uitvoering van alle soorten projecten die in het streefdoel worden beschreven, rekening houdend met zowel de specifieke behoeften van de begunstigden als de doelstellingen van de RRF-verordening.   </w:t>
            </w:r>
          </w:p>
          <w:p w14:paraId="640850CC" w14:textId="0581B74A" w:rsidR="00480F1C" w:rsidRDefault="00480F1C">
            <w:pPr>
              <w:pStyle w:val="Normal0"/>
              <w:spacing w:after="0" w:line="240" w:lineRule="auto"/>
              <w:rPr>
                <w:rFonts w:ascii="Times New Roman" w:eastAsia="Times New Roman" w:hAnsi="Times New Roman" w:cs="Times New Roman"/>
                <w:noProof/>
                <w:color w:val="000000" w:themeColor="text1"/>
                <w:sz w:val="18"/>
              </w:rPr>
            </w:pPr>
          </w:p>
          <w:p w14:paraId="16D6A936" w14:textId="726F6671"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De investering wordt uitgevoerd in volledige overeenstemming met de technische richtsnoeren inzake het beginsel „geen ernstige afbreuk doen aan” (2021/C 58/01), met name met betrekking tot vereisten met betrekking tot energie-efficiëntie, hernieuwbare energie, afvalbeheer, biodiversiteit en transportmiddelen.</w:t>
            </w:r>
          </w:p>
        </w:tc>
      </w:tr>
      <w:tr w:rsidR="00480F1C" w14:paraId="15A82A32" w14:textId="77777777">
        <w:trPr>
          <w:trHeight w:val="313"/>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BFDD700" w14:textId="792A92D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A26G</w:t>
            </w:r>
          </w:p>
        </w:tc>
        <w:tc>
          <w:tcPr>
            <w:tcW w:w="21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674BEA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A1.4.1 Investeringen om de toeleveringsketen van landbouw- en voedingsproducten te diversifiëren en te verkorten en de veerkracht van de entiteiten in de keten op te bouwen</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8A27E4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9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F312A2" w14:textId="2B99243F" w:rsidR="00480F1C" w:rsidRDefault="00A201F6">
            <w:pPr>
              <w:pStyle w:val="P68B1DB1-Normal010"/>
              <w:spacing w:after="0" w:line="240" w:lineRule="auto"/>
              <w:rPr>
                <w:rFonts w:cs="Times New Roman"/>
                <w:noProof/>
              </w:rPr>
            </w:pPr>
            <w:r>
              <w:rPr>
                <w:noProof/>
              </w:rPr>
              <w:t>Landbouwers en vissers die projecten hebben afgerond om hun infrastructuur en uitrusting te moderniseren, de voedselvoorzieningsketens te verkorten en landbouwoplossingen toe te passen 4.0 in productieprocessen</w:t>
            </w:r>
          </w:p>
          <w:p w14:paraId="30593F10" w14:textId="749B302F"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ADA28F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25BCDC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A96B3F4" w14:textId="0EFD8A3C"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5 764</w:t>
            </w:r>
          </w:p>
        </w:tc>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5CE305" w14:textId="7BB6C2C6"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11 527</w:t>
            </w:r>
          </w:p>
        </w:tc>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E5802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03912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17F6468" w14:textId="15D5D81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Ten minste 11 527 landbouwers en vissers hebben projecten afgerond om hun infrastructuur en uitrusting te moderniseren, teneinde hun weerbaarheid tegen toekomstige crises te vergroten en duurzame productiepatronen te verbeteren, toeleveringsketens te verkorten en landbouwtechnologieën 4.0 te ondersteunen.</w:t>
            </w:r>
          </w:p>
          <w:p w14:paraId="529A3AA6" w14:textId="77777777" w:rsidR="00480F1C" w:rsidRDefault="00480F1C">
            <w:pPr>
              <w:pStyle w:val="Normal0"/>
              <w:spacing w:after="0" w:line="240" w:lineRule="auto"/>
              <w:rPr>
                <w:rFonts w:ascii="Times New Roman" w:eastAsia="Times New Roman" w:hAnsi="Times New Roman" w:cs="Times New Roman"/>
                <w:noProof/>
                <w:color w:val="000000" w:themeColor="text1"/>
                <w:sz w:val="18"/>
              </w:rPr>
            </w:pPr>
          </w:p>
          <w:p w14:paraId="477EE044" w14:textId="042D747A" w:rsidR="00480F1C" w:rsidRDefault="00A201F6">
            <w:pPr>
              <w:pStyle w:val="P68B1DB1-Normal011"/>
              <w:spacing w:after="0" w:line="240" w:lineRule="auto"/>
              <w:rPr>
                <w:rFonts w:eastAsia="Times New Roman" w:cs="Times New Roman"/>
                <w:noProof/>
                <w:color w:val="000000" w:themeColor="text1"/>
              </w:rPr>
            </w:pPr>
            <w:r>
              <w:rPr>
                <w:noProof/>
              </w:rPr>
              <w:t>De investeringen omvatten:</w:t>
            </w:r>
          </w:p>
          <w:p w14:paraId="14F81351" w14:textId="662FD9E1" w:rsidR="00480F1C" w:rsidRDefault="00A201F6">
            <w:pPr>
              <w:pStyle w:val="P68B1DB1-Normal12"/>
              <w:spacing w:after="0" w:line="240" w:lineRule="auto"/>
              <w:rPr>
                <w:rFonts w:eastAsia="Times New Roman" w:cs="Times New Roman"/>
                <w:noProof/>
              </w:rPr>
            </w:pPr>
            <w:r>
              <w:rPr>
                <w:noProof/>
              </w:rPr>
              <w:t>1) bouw en modernisering van gebouwen en infrastructuur voor de verwerking en opslag van landbouw-, visserij- en aquacultuurproducten en levensmiddelen door landbouwers. De steun omvat ook de vervanging van materialen die schadelijk zijn voor het milieu en de gezondheid in gebouwen die worden gebruikt voor landbouwproductie of op grond die voor landbouwproductie wordt gebruikt;</w:t>
            </w:r>
          </w:p>
          <w:p w14:paraId="1EB9AF64" w14:textId="6FD18A9F" w:rsidR="00480F1C" w:rsidRDefault="00A201F6">
            <w:pPr>
              <w:pStyle w:val="P68B1DB1-Normal12"/>
              <w:spacing w:after="0" w:line="240" w:lineRule="auto"/>
              <w:rPr>
                <w:rFonts w:eastAsia="Times New Roman" w:cs="Times New Roman"/>
                <w:noProof/>
              </w:rPr>
            </w:pPr>
            <w:r>
              <w:rPr>
                <w:noProof/>
              </w:rPr>
              <w:t>2) bouw van installaties voor warmteterugwinning, biomassaovens en koelmiddelen met een verminderd of neutraal effect op het milieu. De steun omvat ook de thermische modernisering van gebouwen, de bouw van installaties voor de opslag en het beheer van afval, rioolwaterzuiveringsinstallaties en biogasinstallaties, alsmede de aankoop van fotovoltaïsche en zonnepanelen.</w:t>
            </w:r>
          </w:p>
          <w:p w14:paraId="18C012CF" w14:textId="0F3A9EF5" w:rsidR="00480F1C" w:rsidRDefault="00A201F6">
            <w:pPr>
              <w:pStyle w:val="P68B1DB1-Normal12"/>
              <w:spacing w:after="0" w:line="240" w:lineRule="auto"/>
              <w:rPr>
                <w:rFonts w:eastAsia="Times New Roman" w:cs="Times New Roman"/>
                <w:noProof/>
              </w:rPr>
            </w:pPr>
            <w:r>
              <w:rPr>
                <w:noProof/>
              </w:rPr>
              <w:t>3) aankoop en installatie van machines en uitrusting voor de productie, verwerking en opslag van landbouw-, visserij- en aquacultuurproducten door landbouwers.</w:t>
            </w:r>
          </w:p>
          <w:p w14:paraId="0C6DC652" w14:textId="4885D9B3" w:rsidR="00480F1C" w:rsidRDefault="00A201F6">
            <w:pPr>
              <w:pStyle w:val="P68B1DB1-Normal12"/>
              <w:spacing w:after="0" w:line="240" w:lineRule="auto"/>
              <w:rPr>
                <w:rFonts w:eastAsia="Times New Roman" w:cs="Times New Roman"/>
                <w:noProof/>
              </w:rPr>
            </w:pPr>
            <w:r>
              <w:rPr>
                <w:noProof/>
              </w:rPr>
              <w:t xml:space="preserve">4) bouw of modernisering van plaatsen voor de rechtstreekse verkoop van lokale voedingsmiddelen. Dit omvat de ontwikkeling, aanpassing en bouw van ruimten voor rechtstreekse verkoop, alsmede de aankoop van relevante apparatuur zoals koelkasten, diepvriezers en verwerkingsmachines en -apparaten.  </w:t>
            </w:r>
          </w:p>
          <w:p w14:paraId="0A8F7556" w14:textId="454475EE" w:rsidR="00480F1C" w:rsidRDefault="00A201F6">
            <w:pPr>
              <w:pStyle w:val="P68B1DB1-Normal12"/>
              <w:spacing w:after="0" w:line="240" w:lineRule="auto"/>
              <w:rPr>
                <w:rFonts w:eastAsia="Times New Roman" w:cs="Times New Roman"/>
                <w:noProof/>
              </w:rPr>
            </w:pPr>
            <w:r>
              <w:rPr>
                <w:noProof/>
              </w:rPr>
              <w:t xml:space="preserve">5) aankoop en installatie van IT-systemen en digitale oplossingen in verband met landbouw 4.0 ter ondersteuning van productie-, opslag- en verkoopprocessen voor agrovoedingsproducten. Dit omvat de aankoop van machines, apparatuur en software voor deze doeleinden, met inbegrip van sensoren, IT-apparatuur en softwaretoepassingen.  </w:t>
            </w:r>
          </w:p>
          <w:p w14:paraId="4E0BA348" w14:textId="6925EA4D" w:rsidR="00480F1C" w:rsidRDefault="00A201F6">
            <w:pPr>
              <w:pStyle w:val="P68B1DB1-Normal12"/>
              <w:spacing w:after="0" w:line="240" w:lineRule="auto"/>
              <w:rPr>
                <w:rFonts w:eastAsia="Times New Roman" w:cs="Times New Roman"/>
                <w:noProof/>
              </w:rPr>
            </w:pPr>
            <w:r>
              <w:rPr>
                <w:noProof/>
              </w:rPr>
              <w:t xml:space="preserve">6) aankoop van emissievrije/emissiearme gespecialiseerde transportvoertuigen, zoals koelwagens, tankwagens en isothermische vrachtwagens, ter ondersteuning van de huis-aan-huisverkoop of het vervoer van agrovoedingsproducten. </w:t>
            </w:r>
          </w:p>
          <w:p w14:paraId="390C0E99" w14:textId="6181DD17" w:rsidR="00480F1C" w:rsidRDefault="00A201F6">
            <w:pPr>
              <w:pStyle w:val="P68B1DB1-Normal12"/>
              <w:spacing w:after="0" w:line="240" w:lineRule="auto"/>
              <w:rPr>
                <w:rFonts w:eastAsia="Times New Roman" w:cs="Times New Roman"/>
                <w:noProof/>
              </w:rPr>
            </w:pPr>
            <w:r>
              <w:rPr>
                <w:noProof/>
              </w:rPr>
              <w:t>7) het opzetten van online-instrumenten voor de verkoop van landbouw-, visserij-, aquacultuur- en voedingsproducten, alsmede steun voor de organisatie van leveringen.</w:t>
            </w:r>
          </w:p>
          <w:p w14:paraId="0DB5B6C9" w14:textId="2972BB76" w:rsidR="00480F1C" w:rsidRDefault="00A201F6">
            <w:pPr>
              <w:pStyle w:val="P68B1DB1-Normal12"/>
              <w:spacing w:after="0" w:line="240" w:lineRule="auto"/>
              <w:rPr>
                <w:rFonts w:eastAsia="Times New Roman" w:cs="Times New Roman"/>
                <w:noProof/>
              </w:rPr>
            </w:pPr>
            <w:r>
              <w:rPr>
                <w:noProof/>
              </w:rPr>
              <w:t>8) vooraf te betalen vergoedingen voor octrooien en licenties.</w:t>
            </w:r>
          </w:p>
          <w:p w14:paraId="6F4B2E79" w14:textId="17305174" w:rsidR="00480F1C" w:rsidRDefault="00A201F6">
            <w:pPr>
              <w:pStyle w:val="P68B1DB1-Normal011"/>
              <w:spacing w:after="0" w:line="240" w:lineRule="auto"/>
              <w:rPr>
                <w:rFonts w:eastAsia="Times New Roman" w:cs="Times New Roman"/>
                <w:noProof/>
                <w:color w:val="000000" w:themeColor="text1"/>
              </w:rPr>
            </w:pPr>
            <w:r>
              <w:rPr>
                <w:noProof/>
              </w:rPr>
              <w:t xml:space="preserve">De investering zorgt voor een evenwichtige uitvoering van alle soorten projecten die in het streefdoel worden beschreven, rekening houdend met zowel de specifieke behoeften van de begunstigden als de doelstellingen van de RRF-verordening.   </w:t>
            </w:r>
          </w:p>
          <w:p w14:paraId="60045654" w14:textId="312B0C84" w:rsidR="00480F1C" w:rsidRDefault="00480F1C">
            <w:pPr>
              <w:pStyle w:val="Normal0"/>
              <w:spacing w:after="0" w:line="240" w:lineRule="auto"/>
              <w:rPr>
                <w:rFonts w:ascii="Times New Roman" w:eastAsia="Times New Roman" w:hAnsi="Times New Roman" w:cs="Times New Roman"/>
                <w:noProof/>
                <w:color w:val="000000" w:themeColor="text1"/>
                <w:sz w:val="18"/>
              </w:rPr>
            </w:pPr>
          </w:p>
          <w:p w14:paraId="1FAE0A6A" w14:textId="63257AC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De investering wordt uitgevoerd in volledige overeenstemming met de technische richtsnoeren inzake het beginsel „geen ernstige afbreuk doen aan” (2021/C 58/01), met name met betrekking tot vereisten met betrekking tot energie-efficiëntie, hernieuwbare energie, afvalbeheer, biodiversiteit en transportmiddelen.</w:t>
            </w:r>
          </w:p>
        </w:tc>
      </w:tr>
    </w:tbl>
    <w:p w14:paraId="78BA2B7F" w14:textId="27866489" w:rsidR="00480F1C" w:rsidRDefault="00A201F6">
      <w:pPr>
        <w:rPr>
          <w:rFonts w:ascii="Times New Roman" w:eastAsia="Times New Roman" w:hAnsi="Times New Roman" w:cs="Times New Roman"/>
          <w:b/>
          <w:noProof/>
          <w:color w:val="000000"/>
          <w:sz w:val="24"/>
          <w:u w:val="single"/>
        </w:rPr>
      </w:pPr>
      <w:r>
        <w:rPr>
          <w:noProof/>
        </w:rPr>
        <w:br w:type="page"/>
      </w:r>
      <w:r>
        <w:rPr>
          <w:rFonts w:ascii="Times New Roman" w:hAnsi="Times New Roman"/>
          <w:b/>
          <w:noProof/>
          <w:color w:val="000000"/>
          <w:sz w:val="24"/>
          <w:u w:val="single"/>
        </w:rPr>
        <w:t>A2 — INNOVATIE</w:t>
      </w:r>
    </w:p>
    <w:tbl>
      <w:tblPr>
        <w:tblW w:w="15309"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115" w:type="dxa"/>
          <w:right w:w="115" w:type="dxa"/>
        </w:tblCellMar>
        <w:tblLook w:val="0400" w:firstRow="0" w:lastRow="0" w:firstColumn="0" w:lastColumn="0" w:noHBand="0" w:noVBand="1"/>
      </w:tblPr>
      <w:tblGrid>
        <w:gridCol w:w="875"/>
        <w:gridCol w:w="1984"/>
        <w:gridCol w:w="1276"/>
        <w:gridCol w:w="2126"/>
        <w:gridCol w:w="1536"/>
        <w:gridCol w:w="992"/>
        <w:gridCol w:w="960"/>
        <w:gridCol w:w="605"/>
        <w:gridCol w:w="986"/>
        <w:gridCol w:w="709"/>
        <w:gridCol w:w="3260"/>
      </w:tblGrid>
      <w:tr w:rsidR="00480F1C" w14:paraId="2D5D2D84" w14:textId="77777777">
        <w:trPr>
          <w:trHeight w:val="939"/>
          <w:tblHeader/>
        </w:trPr>
        <w:tc>
          <w:tcPr>
            <w:tcW w:w="875" w:type="dxa"/>
            <w:vMerge w:val="restart"/>
            <w:tcBorders>
              <w:top w:val="single" w:sz="4" w:space="0" w:color="000000" w:themeColor="text1"/>
            </w:tcBorders>
            <w:shd w:val="clear" w:color="auto" w:fill="BDD7EE"/>
            <w:vAlign w:val="center"/>
          </w:tcPr>
          <w:p w14:paraId="70CABCB9" w14:textId="71B5F736"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Volgende NR.</w:t>
            </w:r>
          </w:p>
        </w:tc>
        <w:tc>
          <w:tcPr>
            <w:tcW w:w="1984" w:type="dxa"/>
            <w:vMerge w:val="restart"/>
            <w:tcBorders>
              <w:top w:val="single" w:sz="4" w:space="0" w:color="000000" w:themeColor="text1"/>
            </w:tcBorders>
            <w:shd w:val="clear" w:color="auto" w:fill="BDD7EE"/>
            <w:vAlign w:val="center"/>
          </w:tcPr>
          <w:p w14:paraId="24263789"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Gerelateerde maatregel (hervorming of investering)</w:t>
            </w:r>
          </w:p>
        </w:tc>
        <w:tc>
          <w:tcPr>
            <w:tcW w:w="1276" w:type="dxa"/>
            <w:vMerge w:val="restart"/>
            <w:tcBorders>
              <w:top w:val="single" w:sz="4" w:space="0" w:color="000000" w:themeColor="text1"/>
            </w:tcBorders>
            <w:shd w:val="clear" w:color="auto" w:fill="BDD7EE"/>
            <w:vAlign w:val="center"/>
          </w:tcPr>
          <w:p w14:paraId="39827929"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Mijlpaal/Doelstelling</w:t>
            </w:r>
          </w:p>
        </w:tc>
        <w:tc>
          <w:tcPr>
            <w:tcW w:w="2126" w:type="dxa"/>
            <w:vMerge w:val="restart"/>
            <w:tcBorders>
              <w:top w:val="single" w:sz="4" w:space="0" w:color="000000" w:themeColor="text1"/>
            </w:tcBorders>
            <w:shd w:val="clear" w:color="auto" w:fill="BDD7EE"/>
            <w:vAlign w:val="center"/>
          </w:tcPr>
          <w:p w14:paraId="76CAFD79"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Naam</w:t>
            </w:r>
          </w:p>
        </w:tc>
        <w:tc>
          <w:tcPr>
            <w:tcW w:w="1536" w:type="dxa"/>
            <w:vMerge w:val="restart"/>
            <w:tcBorders>
              <w:top w:val="single" w:sz="4" w:space="0" w:color="000000" w:themeColor="text1"/>
            </w:tcBorders>
            <w:shd w:val="clear" w:color="auto" w:fill="BDD7EE"/>
            <w:vAlign w:val="center"/>
          </w:tcPr>
          <w:p w14:paraId="036B8B9C"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sz w:val="18"/>
              </w:rPr>
              <w:t>Kwalitatieve indicatoren</w:t>
            </w:r>
            <w:r>
              <w:rPr>
                <w:noProof/>
              </w:rPr>
              <w:t xml:space="preserve"> </w:t>
            </w:r>
            <w:r>
              <w:rPr>
                <w:noProof/>
              </w:rPr>
              <w:br/>
            </w:r>
            <w:r>
              <w:rPr>
                <w:rFonts w:ascii="Times New Roman" w:hAnsi="Times New Roman"/>
                <w:b/>
                <w:noProof/>
                <w:color w:val="000000"/>
                <w:sz w:val="18"/>
              </w:rPr>
              <w:t>(voor mijlpalen)</w:t>
            </w:r>
          </w:p>
        </w:tc>
        <w:tc>
          <w:tcPr>
            <w:tcW w:w="2557" w:type="dxa"/>
            <w:gridSpan w:val="3"/>
            <w:tcBorders>
              <w:top w:val="single" w:sz="4" w:space="0" w:color="000000" w:themeColor="text1"/>
            </w:tcBorders>
            <w:shd w:val="clear" w:color="auto" w:fill="BDD7EE"/>
            <w:vAlign w:val="center"/>
          </w:tcPr>
          <w:p w14:paraId="02DBBA83"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sz w:val="18"/>
              </w:rPr>
              <w:t>Kwantitatieve indicatoren</w:t>
            </w:r>
            <w:r>
              <w:rPr>
                <w:noProof/>
              </w:rPr>
              <w:t xml:space="preserve"> </w:t>
            </w:r>
            <w:r>
              <w:rPr>
                <w:noProof/>
              </w:rPr>
              <w:br/>
            </w:r>
            <w:r>
              <w:rPr>
                <w:rFonts w:ascii="Times New Roman" w:hAnsi="Times New Roman"/>
                <w:b/>
                <w:noProof/>
                <w:color w:val="000000"/>
                <w:sz w:val="18"/>
              </w:rPr>
              <w:t>(voor streefcijfers)</w:t>
            </w:r>
          </w:p>
        </w:tc>
        <w:tc>
          <w:tcPr>
            <w:tcW w:w="1695" w:type="dxa"/>
            <w:gridSpan w:val="2"/>
            <w:tcBorders>
              <w:top w:val="single" w:sz="4" w:space="0" w:color="000000" w:themeColor="text1"/>
            </w:tcBorders>
            <w:shd w:val="clear" w:color="auto" w:fill="BDD7EE"/>
            <w:vAlign w:val="center"/>
          </w:tcPr>
          <w:p w14:paraId="2DA45C49"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Indicatieve termijn voor voltooiing </w:t>
            </w:r>
          </w:p>
        </w:tc>
        <w:tc>
          <w:tcPr>
            <w:tcW w:w="3260" w:type="dxa"/>
            <w:vMerge w:val="restart"/>
            <w:tcBorders>
              <w:top w:val="single" w:sz="4" w:space="0" w:color="000000" w:themeColor="text1"/>
            </w:tcBorders>
            <w:shd w:val="clear" w:color="auto" w:fill="BDD7EE"/>
            <w:vAlign w:val="center"/>
          </w:tcPr>
          <w:p w14:paraId="038D6592"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Beschrijving van elke mijlpaal en doelstelling</w:t>
            </w:r>
          </w:p>
        </w:tc>
      </w:tr>
      <w:tr w:rsidR="00480F1C" w14:paraId="4BF4EC33" w14:textId="77777777">
        <w:trPr>
          <w:trHeight w:val="405"/>
        </w:trPr>
        <w:tc>
          <w:tcPr>
            <w:tcW w:w="875" w:type="dxa"/>
            <w:vMerge/>
            <w:vAlign w:val="center"/>
          </w:tcPr>
          <w:p w14:paraId="36FEB5B0"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984" w:type="dxa"/>
            <w:vMerge/>
            <w:vAlign w:val="center"/>
          </w:tcPr>
          <w:p w14:paraId="30D7AA69"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276" w:type="dxa"/>
            <w:vMerge/>
            <w:vAlign w:val="center"/>
          </w:tcPr>
          <w:p w14:paraId="7196D064"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2126" w:type="dxa"/>
            <w:vMerge/>
            <w:vAlign w:val="center"/>
          </w:tcPr>
          <w:p w14:paraId="34FF1C98"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536" w:type="dxa"/>
            <w:vMerge/>
            <w:vAlign w:val="center"/>
          </w:tcPr>
          <w:p w14:paraId="6D072C0D"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992" w:type="dxa"/>
            <w:shd w:val="clear" w:color="auto" w:fill="BDD7EE"/>
            <w:vAlign w:val="center"/>
          </w:tcPr>
          <w:p w14:paraId="1FBADBD8"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Eenheid</w:t>
            </w:r>
          </w:p>
        </w:tc>
        <w:tc>
          <w:tcPr>
            <w:tcW w:w="960" w:type="dxa"/>
            <w:shd w:val="clear" w:color="auto" w:fill="BDD7EE"/>
            <w:vAlign w:val="center"/>
          </w:tcPr>
          <w:p w14:paraId="1CA9A361"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Basislijn </w:t>
            </w:r>
          </w:p>
        </w:tc>
        <w:tc>
          <w:tcPr>
            <w:tcW w:w="605" w:type="dxa"/>
            <w:shd w:val="clear" w:color="auto" w:fill="BDD7EE"/>
            <w:vAlign w:val="center"/>
          </w:tcPr>
          <w:p w14:paraId="09320768"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Doelstelling</w:t>
            </w:r>
          </w:p>
        </w:tc>
        <w:tc>
          <w:tcPr>
            <w:tcW w:w="986" w:type="dxa"/>
            <w:shd w:val="clear" w:color="auto" w:fill="BDD7EE"/>
            <w:vAlign w:val="center"/>
          </w:tcPr>
          <w:p w14:paraId="717741CA"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Kwartaal</w:t>
            </w:r>
          </w:p>
        </w:tc>
        <w:tc>
          <w:tcPr>
            <w:tcW w:w="709" w:type="dxa"/>
            <w:shd w:val="clear" w:color="auto" w:fill="BDD7EE"/>
            <w:vAlign w:val="center"/>
          </w:tcPr>
          <w:p w14:paraId="1D6DE76D"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Jaar</w:t>
            </w:r>
          </w:p>
        </w:tc>
        <w:tc>
          <w:tcPr>
            <w:tcW w:w="3260" w:type="dxa"/>
            <w:vMerge/>
            <w:vAlign w:val="center"/>
          </w:tcPr>
          <w:p w14:paraId="48A21919"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r>
      <w:tr w:rsidR="00480F1C" w14:paraId="1E3B2FF4" w14:textId="77777777">
        <w:trPr>
          <w:trHeight w:val="313"/>
        </w:trPr>
        <w:tc>
          <w:tcPr>
            <w:tcW w:w="875" w:type="dxa"/>
            <w:shd w:val="clear" w:color="auto" w:fill="C6EFCE"/>
          </w:tcPr>
          <w:p w14:paraId="2C8B330C" w14:textId="7BE3EC22"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A27G</w:t>
            </w:r>
          </w:p>
        </w:tc>
        <w:tc>
          <w:tcPr>
            <w:tcW w:w="1984" w:type="dxa"/>
            <w:shd w:val="clear" w:color="auto" w:fill="C6EFCE"/>
          </w:tcPr>
          <w:p w14:paraId="519BAFE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A2.1 Versnellen van robotisering en digitalisering en innovatieprocessen </w:t>
            </w:r>
          </w:p>
        </w:tc>
        <w:tc>
          <w:tcPr>
            <w:tcW w:w="1276" w:type="dxa"/>
            <w:shd w:val="clear" w:color="auto" w:fill="C6EFCE"/>
          </w:tcPr>
          <w:p w14:paraId="3142688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2126" w:type="dxa"/>
            <w:shd w:val="clear" w:color="auto" w:fill="C6EFCE"/>
          </w:tcPr>
          <w:p w14:paraId="7D72156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Inwerkingtreding van een nieuwe wet ter ondersteuning van de automatisering, digitalisering en innovatie van ondernemingen door de invoering van een belastingvermindering voor robotisering </w:t>
            </w:r>
          </w:p>
        </w:tc>
        <w:tc>
          <w:tcPr>
            <w:tcW w:w="1536" w:type="dxa"/>
            <w:shd w:val="clear" w:color="auto" w:fill="C6EFCE"/>
          </w:tcPr>
          <w:p w14:paraId="4466E308" w14:textId="0284868D"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Bepaling in de nieuwe wet ter ondersteuning van de automatisering, digitalisering en innovatie van ondernemingen, met vermelding van de inwerkingtreding ervan  </w:t>
            </w:r>
          </w:p>
        </w:tc>
        <w:tc>
          <w:tcPr>
            <w:tcW w:w="992" w:type="dxa"/>
            <w:shd w:val="clear" w:color="auto" w:fill="C6EFCE"/>
          </w:tcPr>
          <w:p w14:paraId="12673AC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60" w:type="dxa"/>
            <w:shd w:val="clear" w:color="auto" w:fill="C6EFCE"/>
          </w:tcPr>
          <w:p w14:paraId="2C6BD880"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605" w:type="dxa"/>
            <w:shd w:val="clear" w:color="auto" w:fill="C6EFCE"/>
          </w:tcPr>
          <w:p w14:paraId="5561E1D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86" w:type="dxa"/>
            <w:shd w:val="clear" w:color="auto" w:fill="C6EFCE"/>
          </w:tcPr>
          <w:p w14:paraId="3A4E1A0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709" w:type="dxa"/>
            <w:shd w:val="clear" w:color="auto" w:fill="C6EFCE"/>
          </w:tcPr>
          <w:p w14:paraId="053A94A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3260" w:type="dxa"/>
            <w:shd w:val="clear" w:color="auto" w:fill="C6EFCE"/>
          </w:tcPr>
          <w:p w14:paraId="106CAFB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Bij een nieuwe wet wordt een belastingvermindering ingevoerd zodat een ondernemer aan het einde van het belastingjaar recht heeft op een aanvullende afschrijving van een deel van de robotisatiekosten van de belastinggrondslag. De belastingvermindering is beschikbaar voor alle ondernemers, ongeacht hun omvang en vestigingsplaats. De volgende kosten worden als subsidiabel beschouwd: </w:t>
            </w:r>
          </w:p>
          <w:p w14:paraId="099AA2E1" w14:textId="51FD8D41"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 kosten voor de aankoop van nieuwe robots, </w:t>
            </w:r>
          </w:p>
          <w:p w14:paraId="2762F2E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 machines en randapparatuur voor robots die er functioneel mee verbonden zijn </w:t>
            </w:r>
          </w:p>
          <w:p w14:paraId="61D3EE3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 machines, apparaten en andere zaken die functioneel verband houden met robots en die worden gebruikt om ergonomie en veiligheid op het werk te waarborgen </w:t>
            </w:r>
          </w:p>
          <w:p w14:paraId="6F57302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 machines, apparaten of systemen voor beheer op afstand, diagnose, monitoring of onderhoud van robots </w:t>
            </w:r>
          </w:p>
          <w:p w14:paraId="61BD9646" w14:textId="0720DFA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 apparaten voor interactie tussen mens en machine voor cobots of robots met een hoge gevoeligheid </w:t>
            </w:r>
          </w:p>
          <w:p w14:paraId="3B6A9597" w14:textId="13314990"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 kosten van immateriële activa met betrekking tot bovengenoemde vaste activa </w:t>
            </w:r>
          </w:p>
          <w:p w14:paraId="0FC00A06" w14:textId="64DFD3C1"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 kosten van opleidingsdiensten voor robots </w:t>
            </w:r>
          </w:p>
          <w:p w14:paraId="34F9BF86" w14:textId="79CB8706"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 vergoedingen die betrekking hebben op de leasingovereenkomst betreffende de hierboven genoemde vaste activa, indien de eigendom van de vaste activa na afloop van de basisperiode van de leasingovereenkomst aan de belastingplichtige wordt overgedragen. </w:t>
            </w:r>
          </w:p>
          <w:p w14:paraId="6BD18F9B"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p w14:paraId="238601FE" w14:textId="16BBAF33"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Verwacht wordt dat deze maatregel geen ernstige afbreuk doet aan milieudoelstellingen in de zin van artikel 17 van Verordening (EU) 2020/852, rekening houdend met de beschrijving van de maatregel en de risicobeperkende stappen in het herstel- en veerkrachtplan overeenkomstig de technische richtsnoeren inzake het beginsel „geen ernstige afbreuk doen aan” (2021/C 58/01). De hervorming ondersteunt met name investeringen met een geringe impact die technologisch neutraal zijn op het niveau van de toepassing ervan.   </w:t>
            </w:r>
          </w:p>
        </w:tc>
      </w:tr>
      <w:tr w:rsidR="00480F1C" w14:paraId="08D1385E" w14:textId="77777777">
        <w:trPr>
          <w:trHeight w:val="313"/>
        </w:trPr>
        <w:tc>
          <w:tcPr>
            <w:tcW w:w="875" w:type="dxa"/>
            <w:shd w:val="clear" w:color="auto" w:fill="C6EFCE"/>
          </w:tcPr>
          <w:p w14:paraId="434292C4" w14:textId="71E6C172"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A28G</w:t>
            </w:r>
          </w:p>
        </w:tc>
        <w:tc>
          <w:tcPr>
            <w:tcW w:w="1984" w:type="dxa"/>
            <w:shd w:val="clear" w:color="auto" w:fill="C6EFCE"/>
          </w:tcPr>
          <w:p w14:paraId="73A3BEB9" w14:textId="032BF0CB"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A2.1.1 Investeringen ter ondersteuning van robotisering en digitalisering in ondernemingen   </w:t>
            </w:r>
          </w:p>
        </w:tc>
        <w:tc>
          <w:tcPr>
            <w:tcW w:w="1276" w:type="dxa"/>
            <w:shd w:val="clear" w:color="auto" w:fill="C6EFCE"/>
          </w:tcPr>
          <w:p w14:paraId="4E99B13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126" w:type="dxa"/>
            <w:shd w:val="clear" w:color="auto" w:fill="C6EFCE"/>
          </w:tcPr>
          <w:p w14:paraId="48CB533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T1 — Uitvoering van projecten in verband met robotisering, kunstmatige intelligentie of digitalisering van processen, technologieën, producten of diensten</w:t>
            </w:r>
          </w:p>
        </w:tc>
        <w:tc>
          <w:tcPr>
            <w:tcW w:w="1536" w:type="dxa"/>
            <w:shd w:val="clear" w:color="auto" w:fill="C6EFCE"/>
          </w:tcPr>
          <w:p w14:paraId="48D3F40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shd w:val="clear" w:color="auto" w:fill="C6EFCE"/>
          </w:tcPr>
          <w:p w14:paraId="099A72F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60" w:type="dxa"/>
            <w:shd w:val="clear" w:color="auto" w:fill="C6EFCE"/>
          </w:tcPr>
          <w:p w14:paraId="370D6AA5"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605" w:type="dxa"/>
            <w:shd w:val="clear" w:color="auto" w:fill="C6EFCE"/>
          </w:tcPr>
          <w:p w14:paraId="1B87E3D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6</w:t>
            </w:r>
          </w:p>
        </w:tc>
        <w:tc>
          <w:tcPr>
            <w:tcW w:w="986" w:type="dxa"/>
            <w:shd w:val="clear" w:color="auto" w:fill="C6EFCE"/>
          </w:tcPr>
          <w:p w14:paraId="601530B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709" w:type="dxa"/>
            <w:shd w:val="clear" w:color="auto" w:fill="C6EFCE"/>
          </w:tcPr>
          <w:p w14:paraId="560B5D2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2024</w:t>
            </w:r>
          </w:p>
        </w:tc>
        <w:tc>
          <w:tcPr>
            <w:tcW w:w="3260" w:type="dxa"/>
            <w:shd w:val="clear" w:color="auto" w:fill="C6EFCE"/>
          </w:tcPr>
          <w:p w14:paraId="6530D050" w14:textId="5AA331B3"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 xml:space="preserve">Aantal volledig uitgevoerde projecten in verband met robotisering, kunstmatige intelligentie of digitalisering van processen, technologieën, producten of diensten. De projecten hebben met name betrekking op ten minste één van de vermelde onderwerpen: </w:t>
            </w:r>
            <w:r>
              <w:rPr>
                <w:noProof/>
              </w:rPr>
              <w:t xml:space="preserve"> </w:t>
            </w:r>
            <w:r>
              <w:rPr>
                <w:noProof/>
              </w:rPr>
              <w:br/>
            </w:r>
            <w:r>
              <w:rPr>
                <w:rFonts w:ascii="Times New Roman" w:hAnsi="Times New Roman"/>
                <w:noProof/>
                <w:color w:val="000000" w:themeColor="text1"/>
                <w:sz w:val="18"/>
              </w:rPr>
              <w:t xml:space="preserve">— de volledige uitvoering van innovatieve digitale oplossingen, met inbegrip van de digitalisering van bedrijfsprocessen; </w:t>
            </w:r>
            <w:r>
              <w:rPr>
                <w:noProof/>
              </w:rPr>
              <w:t xml:space="preserve"> </w:t>
            </w:r>
            <w:r>
              <w:rPr>
                <w:noProof/>
              </w:rPr>
              <w:br/>
              <w:t xml:space="preserve"> </w:t>
            </w:r>
            <w:r>
              <w:rPr>
                <w:rFonts w:ascii="Times New Roman" w:hAnsi="Times New Roman"/>
                <w:noProof/>
                <w:color w:val="000000" w:themeColor="text1"/>
                <w:sz w:val="18"/>
              </w:rPr>
              <w:t xml:space="preserve">— ondersteuning van de transformatie naar Industrie 4.0, met bijzondere nadruk op robotisering en besturingstechnologieën; </w:t>
            </w:r>
            <w:r>
              <w:rPr>
                <w:noProof/>
              </w:rPr>
              <w:t xml:space="preserve"> </w:t>
            </w:r>
            <w:r>
              <w:rPr>
                <w:noProof/>
              </w:rPr>
              <w:br/>
              <w:t xml:space="preserve"> </w:t>
            </w:r>
            <w:r>
              <w:rPr>
                <w:rFonts w:ascii="Times New Roman" w:hAnsi="Times New Roman"/>
                <w:noProof/>
                <w:color w:val="000000" w:themeColor="text1"/>
                <w:sz w:val="18"/>
              </w:rPr>
              <w:t xml:space="preserve">— het gebruik van cloudtechnologieën en kunstmatige intelligentie bij de integratie en het beheer van productie- en bedrijfsprocessen; </w:t>
            </w:r>
            <w:r>
              <w:rPr>
                <w:noProof/>
              </w:rPr>
              <w:t xml:space="preserve"> </w:t>
            </w:r>
            <w:r>
              <w:rPr>
                <w:noProof/>
              </w:rPr>
              <w:br/>
              <w:t xml:space="preserve"> </w:t>
            </w:r>
            <w:r>
              <w:rPr>
                <w:rFonts w:ascii="Times New Roman" w:hAnsi="Times New Roman"/>
                <w:noProof/>
                <w:color w:val="000000" w:themeColor="text1"/>
                <w:sz w:val="18"/>
              </w:rPr>
              <w:t xml:space="preserve">de integratie van bepaalde elementen van bedrijfsprocessen; </w:t>
            </w:r>
            <w:r>
              <w:rPr>
                <w:noProof/>
              </w:rPr>
              <w:t xml:space="preserve"> </w:t>
            </w:r>
            <w:r>
              <w:rPr>
                <w:noProof/>
              </w:rPr>
              <w:br/>
              <w:t xml:space="preserve"> </w:t>
            </w:r>
            <w:r>
              <w:rPr>
                <w:rFonts w:ascii="Times New Roman" w:hAnsi="Times New Roman"/>
                <w:noProof/>
                <w:color w:val="000000" w:themeColor="text1"/>
                <w:sz w:val="18"/>
              </w:rPr>
              <w:t xml:space="preserve">— de volledige toepassing van communicatietechnologieën voor machines (M2M), het gebruik van het industriële internet der dingen (IoT) met toepassing van geavanceerde methoden voor informatieverwerking; </w:t>
            </w:r>
            <w:r>
              <w:rPr>
                <w:noProof/>
              </w:rPr>
              <w:t xml:space="preserve"> </w:t>
            </w:r>
            <w:r>
              <w:rPr>
                <w:noProof/>
              </w:rPr>
              <w:br/>
              <w:t xml:space="preserve"> </w:t>
            </w:r>
            <w:r>
              <w:rPr>
                <w:rFonts w:ascii="Times New Roman" w:hAnsi="Times New Roman"/>
                <w:noProof/>
                <w:color w:val="000000" w:themeColor="text1"/>
                <w:sz w:val="18"/>
              </w:rPr>
              <w:t xml:space="preserve">— de volledige invoering van intelligente productielijnen, de bouw van intelligente fabrieken (slimme fabriek); </w:t>
            </w:r>
            <w:r>
              <w:rPr>
                <w:noProof/>
              </w:rPr>
              <w:t xml:space="preserve"> </w:t>
            </w:r>
            <w:r>
              <w:rPr>
                <w:noProof/>
              </w:rPr>
              <w:br/>
              <w:t xml:space="preserve"> </w:t>
            </w:r>
            <w:r>
              <w:rPr>
                <w:rFonts w:ascii="Times New Roman" w:hAnsi="Times New Roman"/>
                <w:noProof/>
                <w:color w:val="000000" w:themeColor="text1"/>
                <w:sz w:val="18"/>
              </w:rPr>
              <w:t xml:space="preserve">— de oprichting van digitale domeinplatforms en de integratie van bestaande domeinsystemen; </w:t>
            </w:r>
            <w:r>
              <w:rPr>
                <w:noProof/>
              </w:rPr>
              <w:t xml:space="preserve"> </w:t>
            </w:r>
            <w:r>
              <w:rPr>
                <w:noProof/>
              </w:rPr>
              <w:br/>
              <w:t xml:space="preserve"> </w:t>
            </w:r>
            <w:r>
              <w:rPr>
                <w:rFonts w:ascii="Times New Roman" w:hAnsi="Times New Roman"/>
                <w:noProof/>
                <w:color w:val="000000" w:themeColor="text1"/>
                <w:sz w:val="18"/>
              </w:rPr>
              <w:t xml:space="preserve">— de volledige uitvoering van specifieke systemen die processen op het gebied van digitale veiligheid automatiseren met behulp van cloudtechnologieën en kunstmatige intelligentie; </w:t>
            </w:r>
            <w:r>
              <w:rPr>
                <w:noProof/>
              </w:rPr>
              <w:t xml:space="preserve"> </w:t>
            </w:r>
            <w:r>
              <w:rPr>
                <w:noProof/>
              </w:rPr>
              <w:br/>
              <w:t xml:space="preserve"> </w:t>
            </w:r>
            <w:r>
              <w:rPr>
                <w:rFonts w:ascii="Times New Roman" w:hAnsi="Times New Roman"/>
                <w:noProof/>
                <w:color w:val="000000" w:themeColor="text1"/>
                <w:sz w:val="18"/>
              </w:rPr>
              <w:t xml:space="preserve">— de volledige implementatie van moderne digitale werkplekken. </w:t>
            </w:r>
            <w:r>
              <w:rPr>
                <w:noProof/>
              </w:rPr>
              <w:t xml:space="preserve"> </w:t>
            </w:r>
            <w:r>
              <w:rPr>
                <w:noProof/>
              </w:rPr>
              <w:br/>
            </w:r>
            <w:r>
              <w:rPr>
                <w:rFonts w:ascii="Times New Roman" w:hAnsi="Times New Roman"/>
                <w:noProof/>
                <w:color w:val="000000" w:themeColor="text1"/>
                <w:sz w:val="18"/>
              </w:rPr>
              <w:t xml:space="preserve">Het project zal naar verwachting vooral gericht zijn op grote ondernemingen en hun werknemers. </w:t>
            </w:r>
          </w:p>
        </w:tc>
      </w:tr>
      <w:tr w:rsidR="00480F1C" w14:paraId="7D5B7E28" w14:textId="77777777">
        <w:trPr>
          <w:trHeight w:val="313"/>
        </w:trPr>
        <w:tc>
          <w:tcPr>
            <w:tcW w:w="875" w:type="dxa"/>
            <w:shd w:val="clear" w:color="auto" w:fill="C6EFCE"/>
          </w:tcPr>
          <w:p w14:paraId="7CE58F48" w14:textId="3C981E3D"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A29G</w:t>
            </w:r>
          </w:p>
        </w:tc>
        <w:tc>
          <w:tcPr>
            <w:tcW w:w="1984" w:type="dxa"/>
            <w:shd w:val="clear" w:color="auto" w:fill="C6EFCE"/>
          </w:tcPr>
          <w:p w14:paraId="2FFBCB9C" w14:textId="47C15092"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A2.1.1 Investeringen ter ondersteuning van robotisering en digitalisering in ondernemingen   </w:t>
            </w:r>
          </w:p>
        </w:tc>
        <w:tc>
          <w:tcPr>
            <w:tcW w:w="1276" w:type="dxa"/>
            <w:shd w:val="clear" w:color="auto" w:fill="C6EFCE"/>
          </w:tcPr>
          <w:p w14:paraId="274B3D9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126" w:type="dxa"/>
            <w:shd w:val="clear" w:color="auto" w:fill="C6EFCE"/>
          </w:tcPr>
          <w:p w14:paraId="319D24A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T2 — Uitvoering van projecten in verband met robotisering, kunstmatige intelligentie of digitalisering van processen, technologieën, producten of diensten</w:t>
            </w:r>
          </w:p>
        </w:tc>
        <w:tc>
          <w:tcPr>
            <w:tcW w:w="1536" w:type="dxa"/>
            <w:shd w:val="clear" w:color="auto" w:fill="C6EFCE"/>
          </w:tcPr>
          <w:p w14:paraId="222CCC4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shd w:val="clear" w:color="auto" w:fill="C6EFCE"/>
          </w:tcPr>
          <w:p w14:paraId="460C58E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60" w:type="dxa"/>
            <w:shd w:val="clear" w:color="auto" w:fill="C6EFCE"/>
          </w:tcPr>
          <w:p w14:paraId="1946A7A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6</w:t>
            </w:r>
          </w:p>
        </w:tc>
        <w:tc>
          <w:tcPr>
            <w:tcW w:w="605" w:type="dxa"/>
            <w:shd w:val="clear" w:color="auto" w:fill="C6EFCE"/>
          </w:tcPr>
          <w:p w14:paraId="704A35C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40</w:t>
            </w:r>
          </w:p>
        </w:tc>
        <w:tc>
          <w:tcPr>
            <w:tcW w:w="986" w:type="dxa"/>
            <w:shd w:val="clear" w:color="auto" w:fill="C6EFCE"/>
          </w:tcPr>
          <w:p w14:paraId="7694BBC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709" w:type="dxa"/>
            <w:shd w:val="clear" w:color="auto" w:fill="C6EFCE"/>
          </w:tcPr>
          <w:p w14:paraId="627BB9B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3260" w:type="dxa"/>
            <w:shd w:val="clear" w:color="auto" w:fill="C6EFCE"/>
          </w:tcPr>
          <w:p w14:paraId="39B7FA5F" w14:textId="32CCCC53"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Ten minste 34 volledig uitgevoerde projecten in verband met robotisering, kunstmatige intelligentie of digitalisering van processen, technologieën, producten of diensten die voldoen aan de vereisten voor maatregel A28G. </w:t>
            </w:r>
          </w:p>
        </w:tc>
      </w:tr>
      <w:tr w:rsidR="00480F1C" w14:paraId="3A660D93" w14:textId="77777777">
        <w:trPr>
          <w:trHeight w:val="1644"/>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848D7E0" w14:textId="75C74E89"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A30G</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AEBB28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A2.2 De voorwaarden scheppen voor de overgang naar een circulaire economie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78BBE1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3B1E4D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Inwerkingtreding van nieuwe wetgeving tot wijziging van het wetgevingskader om de handel in secundaire grondstoffen mogelijk te maken </w:t>
            </w:r>
          </w:p>
        </w:tc>
        <w:tc>
          <w:tcPr>
            <w:tcW w:w="1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A289DA6" w14:textId="5394716E"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nieuwe wetgeving die de inwerkingtreding ervan aangeeft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BFC34A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CA4ECA7"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57D6B25"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F320D9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EEB871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2024</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B13FFFB" w14:textId="12C054BB"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De nieuwe wetgeving moet de handel in geselecteerde secundaire grondstoffen mogelijk maken. De wetgeving maakt het beheer van deze materialen mogelijk, hetgeen zal leiden tot een vermindering van de exploitatie van natuurlijke hulpbronnen, waarbij natuurlijke materialen en producten worden vervangen, en de opslag van afval in afvalbergen wordt beperkt. </w:t>
            </w:r>
          </w:p>
        </w:tc>
      </w:tr>
      <w:tr w:rsidR="00480F1C" w14:paraId="4DFF9C52" w14:textId="77777777">
        <w:trPr>
          <w:trHeight w:val="313"/>
        </w:trPr>
        <w:tc>
          <w:tcPr>
            <w:tcW w:w="875" w:type="dxa"/>
            <w:shd w:val="clear" w:color="auto" w:fill="C6EFCE"/>
          </w:tcPr>
          <w:p w14:paraId="3D5C510C" w14:textId="7A1CDB6C"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A31G</w:t>
            </w:r>
          </w:p>
        </w:tc>
        <w:tc>
          <w:tcPr>
            <w:tcW w:w="1984" w:type="dxa"/>
            <w:shd w:val="clear" w:color="auto" w:fill="C6EFCE"/>
          </w:tcPr>
          <w:p w14:paraId="36EAF71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A2.2.1 Investeringen in de uitrol van milieutechnologieën en innovatie, met inbegrip van investeringen in verband met de circulaire economie</w:t>
            </w:r>
          </w:p>
        </w:tc>
        <w:tc>
          <w:tcPr>
            <w:tcW w:w="1276" w:type="dxa"/>
            <w:shd w:val="clear" w:color="auto" w:fill="C6EFCE"/>
          </w:tcPr>
          <w:p w14:paraId="043B317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126" w:type="dxa"/>
            <w:shd w:val="clear" w:color="auto" w:fill="C6EFCE"/>
          </w:tcPr>
          <w:p w14:paraId="7E8839C5" w14:textId="6FD4456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Ondertekende subsidieovereenkomsten voor projecten die worden toegekend aan kmo’s met oplossingen om groene technologieën te ontwikkelen en te stimuleren of toe te passen (in verband met de circulaire economie) </w:t>
            </w:r>
          </w:p>
        </w:tc>
        <w:tc>
          <w:tcPr>
            <w:tcW w:w="1536" w:type="dxa"/>
            <w:shd w:val="clear" w:color="auto" w:fill="C6EFCE"/>
          </w:tcPr>
          <w:p w14:paraId="79E427E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shd w:val="clear" w:color="auto" w:fill="C6EFCE"/>
          </w:tcPr>
          <w:p w14:paraId="42087AF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60" w:type="dxa"/>
            <w:shd w:val="clear" w:color="auto" w:fill="C6EFCE"/>
          </w:tcPr>
          <w:p w14:paraId="05F7728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605" w:type="dxa"/>
            <w:shd w:val="clear" w:color="auto" w:fill="C6EFCE"/>
          </w:tcPr>
          <w:p w14:paraId="0CCF700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100</w:t>
            </w:r>
          </w:p>
        </w:tc>
        <w:tc>
          <w:tcPr>
            <w:tcW w:w="986" w:type="dxa"/>
            <w:shd w:val="clear" w:color="auto" w:fill="C6EFCE"/>
          </w:tcPr>
          <w:p w14:paraId="65DAC869" w14:textId="777F3A69"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1</w:t>
            </w:r>
          </w:p>
        </w:tc>
        <w:tc>
          <w:tcPr>
            <w:tcW w:w="709" w:type="dxa"/>
            <w:shd w:val="clear" w:color="auto" w:fill="C6EFCE"/>
          </w:tcPr>
          <w:p w14:paraId="04715A28" w14:textId="66F0BBFD"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260" w:type="dxa"/>
            <w:shd w:val="clear" w:color="auto" w:fill="C6EFCE"/>
          </w:tcPr>
          <w:p w14:paraId="216080AB" w14:textId="62A543F2"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 xml:space="preserve">Aantal ondertekende subsidieovereenkomsten. De selectie vindt plaats aan de hand van gespecificeerde selectiecriteria volgens de beginselen van non-discriminatie en transparantie. De financiering dient ter financiering van projecten van kmo’s overeenkomstig de technische richtsnoeren „geen ernstige afbreuk doen” (2021/C 58/01) door middel van het gebruik van een uitsluitingslijst die verband houdt met de ontwikkeling en uitvoering of toepassing van groene oplossingen voor de industrie, die worden geselecteerd op basis van de grootste bijdrage aan de doelstellingen (aan de hand van meetbare en betrouwbare indicatoren) in een van de volgende categorieën: </w:t>
            </w:r>
            <w:r>
              <w:rPr>
                <w:noProof/>
              </w:rPr>
              <w:t xml:space="preserve"> </w:t>
            </w:r>
            <w:r>
              <w:rPr>
                <w:noProof/>
              </w:rPr>
              <w:br/>
            </w:r>
            <w:r>
              <w:rPr>
                <w:rFonts w:ascii="Times New Roman" w:hAnsi="Times New Roman"/>
                <w:noProof/>
                <w:color w:val="000000" w:themeColor="text1"/>
                <w:sz w:val="18"/>
              </w:rPr>
              <w:t xml:space="preserve">verbetering van het materiaalbeheer </w:t>
            </w:r>
            <w:r>
              <w:rPr>
                <w:noProof/>
              </w:rPr>
              <w:t xml:space="preserve"> </w:t>
            </w:r>
            <w:r>
              <w:rPr>
                <w:noProof/>
              </w:rPr>
              <w:br/>
              <w:t xml:space="preserve"> </w:t>
            </w:r>
            <w:r>
              <w:rPr>
                <w:rFonts w:ascii="Times New Roman" w:hAnsi="Times New Roman"/>
                <w:noProof/>
                <w:color w:val="000000" w:themeColor="text1"/>
                <w:sz w:val="18"/>
              </w:rPr>
              <w:t xml:space="preserve">verhoging van de energie-efficiëntie in productie- en operationele processen </w:t>
            </w:r>
            <w:r>
              <w:rPr>
                <w:noProof/>
              </w:rPr>
              <w:t xml:space="preserve"> </w:t>
            </w:r>
            <w:r>
              <w:rPr>
                <w:noProof/>
              </w:rPr>
              <w:br/>
              <w:t xml:space="preserve"> </w:t>
            </w:r>
            <w:r>
              <w:rPr>
                <w:rFonts w:ascii="Times New Roman" w:hAnsi="Times New Roman"/>
                <w:noProof/>
                <w:color w:val="000000" w:themeColor="text1"/>
                <w:sz w:val="18"/>
              </w:rPr>
              <w:t xml:space="preserve">vermindering van afval van productie- en operationele processen </w:t>
            </w:r>
            <w:r>
              <w:rPr>
                <w:noProof/>
              </w:rPr>
              <w:t xml:space="preserve"> </w:t>
            </w:r>
            <w:r>
              <w:rPr>
                <w:noProof/>
              </w:rPr>
              <w:br/>
              <w:t xml:space="preserve"> </w:t>
            </w:r>
            <w:r>
              <w:rPr>
                <w:rFonts w:ascii="Times New Roman" w:hAnsi="Times New Roman"/>
                <w:noProof/>
                <w:color w:val="000000" w:themeColor="text1"/>
                <w:sz w:val="18"/>
              </w:rPr>
              <w:t xml:space="preserve">— hergebruik of recycling van afvalstoffen </w:t>
            </w:r>
            <w:r>
              <w:rPr>
                <w:noProof/>
              </w:rPr>
              <w:t xml:space="preserve"> </w:t>
            </w:r>
            <w:r>
              <w:rPr>
                <w:noProof/>
              </w:rPr>
              <w:br/>
              <w:t xml:space="preserve"> </w:t>
            </w:r>
            <w:r>
              <w:rPr>
                <w:rFonts w:ascii="Times New Roman" w:hAnsi="Times New Roman"/>
                <w:noProof/>
                <w:color w:val="000000" w:themeColor="text1"/>
                <w:sz w:val="18"/>
              </w:rPr>
              <w:t xml:space="preserve">— vermindering van broeikasgasemissies afkomstig van productie- en operationele processen. </w:t>
            </w:r>
          </w:p>
        </w:tc>
      </w:tr>
      <w:tr w:rsidR="00480F1C" w14:paraId="35963116" w14:textId="77777777">
        <w:trPr>
          <w:trHeight w:val="313"/>
        </w:trPr>
        <w:tc>
          <w:tcPr>
            <w:tcW w:w="875" w:type="dxa"/>
            <w:shd w:val="clear" w:color="auto" w:fill="C6EFCE"/>
          </w:tcPr>
          <w:p w14:paraId="5AFB958C" w14:textId="401AAF9A"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A32G</w:t>
            </w:r>
          </w:p>
        </w:tc>
        <w:tc>
          <w:tcPr>
            <w:tcW w:w="1984" w:type="dxa"/>
            <w:shd w:val="clear" w:color="auto" w:fill="C6EFCE"/>
          </w:tcPr>
          <w:p w14:paraId="002B5FA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A2.2.1 Investeringen in de uitrol van milieutechnologieën en innovatie, met inbegrip van investeringen in verband met de circulaire economie</w:t>
            </w:r>
          </w:p>
        </w:tc>
        <w:tc>
          <w:tcPr>
            <w:tcW w:w="1276" w:type="dxa"/>
            <w:shd w:val="clear" w:color="auto" w:fill="C6EFCE"/>
          </w:tcPr>
          <w:p w14:paraId="03BE400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126" w:type="dxa"/>
            <w:shd w:val="clear" w:color="auto" w:fill="C6EFCE"/>
          </w:tcPr>
          <w:p w14:paraId="3D923C19" w14:textId="117C1A7E"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Ondertekende subsidieovereenkomsten voor projecten ter ondersteuning van de ontwikkeling van technologieën die bijdragen tot de totstandbrenging van een markt voor secundaire grondstoffen</w:t>
            </w:r>
          </w:p>
        </w:tc>
        <w:tc>
          <w:tcPr>
            <w:tcW w:w="1536" w:type="dxa"/>
            <w:shd w:val="clear" w:color="auto" w:fill="C6EFCE"/>
          </w:tcPr>
          <w:p w14:paraId="566C1BC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shd w:val="clear" w:color="auto" w:fill="C6EFCE"/>
          </w:tcPr>
          <w:p w14:paraId="62583AF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60" w:type="dxa"/>
            <w:shd w:val="clear" w:color="auto" w:fill="C6EFCE"/>
          </w:tcPr>
          <w:p w14:paraId="3D22F59A"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605" w:type="dxa"/>
            <w:shd w:val="clear" w:color="auto" w:fill="C6EFCE"/>
          </w:tcPr>
          <w:p w14:paraId="44240AA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5</w:t>
            </w:r>
          </w:p>
        </w:tc>
        <w:tc>
          <w:tcPr>
            <w:tcW w:w="986" w:type="dxa"/>
            <w:shd w:val="clear" w:color="auto" w:fill="C6EFCE"/>
          </w:tcPr>
          <w:p w14:paraId="02862E1E" w14:textId="1947AE49"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3</w:t>
            </w:r>
          </w:p>
        </w:tc>
        <w:tc>
          <w:tcPr>
            <w:tcW w:w="709" w:type="dxa"/>
            <w:shd w:val="clear" w:color="auto" w:fill="C6EFCE"/>
          </w:tcPr>
          <w:p w14:paraId="5A7F8D70" w14:textId="6DF5DD71"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260" w:type="dxa"/>
            <w:shd w:val="clear" w:color="auto" w:fill="C6EFCE"/>
          </w:tcPr>
          <w:p w14:paraId="3114CBA2" w14:textId="63383424"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 ondertekende subsidieovereenkomsten. De selectie vindt plaats aan de hand van gespecificeerde selectiecriteria volgens de beginselen van non-discriminatie en transparantie. De financiering dient ter financiering van projecten in overeenstemming met de technische richtsnoeren „geen ernstige afbreuk doen” (2021/C 58/01) door middel van het gebruik van een uitsluitingslijst en met betrekking tot het gebruik van secundaire grondstoffen, die worden geselecteerd op basis van de grootste bijdrage aan de doelstellingen (aan de hand van meetbare en betrouwbare indicatoren) van: a) ontwikkeling van technologieën voor de omzetting van afvalstoffen; b) ontwikkeling en toepassing van innovatieve technologieën op het gebied van het gebruik van afval als secundaire grondstoffen, c) verhoging van de hoeveelheid recycleerbare materialen en vermindering van de hoeveelheid primaire materialen die in productieprocessen wordt gebruikt, d) ondersteuning van belangrijke ontwerpprocessen voor recycling, e) verlenging van de levensduur van producten, f) vermindering van de hoeveelheid afval die naar stortplaatsen wordt geleid.</w:t>
            </w:r>
          </w:p>
        </w:tc>
      </w:tr>
      <w:tr w:rsidR="00480F1C" w14:paraId="5D21A457" w14:textId="77777777">
        <w:trPr>
          <w:trHeight w:val="1485"/>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CD124DB" w14:textId="5ACF7A0A"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A33G</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98F59C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A2.3 Het bieden van een institutionele en juridische basis voor de ontwikkeling van onbemande luchtvaartuigen (UAV)</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48CE1D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E1217E4" w14:textId="738482E4"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wet tot wijziging van de wet op het Poolse agentschap voor luchtvaartnavigatiediensten</w:t>
            </w:r>
          </w:p>
        </w:tc>
        <w:tc>
          <w:tcPr>
            <w:tcW w:w="1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6660B89" w14:textId="10A0598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wet tot wijziging van de wet inzake het Poolse agentschap voor luchtvaartnavigatiediensten waarin de inwerkingtreding ervan wordt vermeld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DB36F4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8D17827"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D86C630"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B1CE8F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B701714"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2023</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5E59059" w14:textId="083BEE82"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De wijzigingswet verleent het Poolse Agentschap voor luchtvaartnavigatiediensten (PANSA) het recht om eigen vermogen in commerciële ondernemingen te bezitten en machtigt PANSA of haar dochterondernemingen om proefprojecten uit te voeren ter ondersteuning van de tenuitvoerlegging van bedrijfsmodellen en diensten op basis van UAV. </w:t>
            </w:r>
          </w:p>
        </w:tc>
      </w:tr>
      <w:tr w:rsidR="00480F1C" w14:paraId="20047938" w14:textId="77777777">
        <w:trPr>
          <w:trHeight w:val="313"/>
        </w:trPr>
        <w:tc>
          <w:tcPr>
            <w:tcW w:w="875" w:type="dxa"/>
            <w:shd w:val="clear" w:color="auto" w:fill="C6EFCE"/>
          </w:tcPr>
          <w:p w14:paraId="61A51A77" w14:textId="6489BC54"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A34G</w:t>
            </w:r>
          </w:p>
        </w:tc>
        <w:tc>
          <w:tcPr>
            <w:tcW w:w="1984" w:type="dxa"/>
            <w:shd w:val="clear" w:color="auto" w:fill="C6EFCE"/>
          </w:tcPr>
          <w:p w14:paraId="6CAE96BB" w14:textId="5D935EA9"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A2.3.1 Ontwikkeling en uitrusting van kenniscentra (gespecialiseerde opleidingscentra, centra voor uitvoeringsondersteuning, waarnemingsposten) en infrastructuur voor het beheer van de onbemande voertuigenindustrie, als ecosysteem van innovatie</w:t>
            </w:r>
          </w:p>
        </w:tc>
        <w:tc>
          <w:tcPr>
            <w:tcW w:w="1276" w:type="dxa"/>
            <w:shd w:val="clear" w:color="auto" w:fill="C6EFCE"/>
          </w:tcPr>
          <w:p w14:paraId="4C75A79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126" w:type="dxa"/>
            <w:shd w:val="clear" w:color="auto" w:fill="C6EFCE"/>
          </w:tcPr>
          <w:p w14:paraId="2CFEEA71" w14:textId="5F5ACDD8"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T2 — Plaatselijke centra en infrastructuur voor onbemande voertuigen, voltooid door de lokale overheid of een aangewezen entiteit om lokaal te opereren </w:t>
            </w:r>
          </w:p>
        </w:tc>
        <w:tc>
          <w:tcPr>
            <w:tcW w:w="1536" w:type="dxa"/>
            <w:shd w:val="clear" w:color="auto" w:fill="C6EFCE"/>
          </w:tcPr>
          <w:p w14:paraId="5380F02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shd w:val="clear" w:color="auto" w:fill="C6EFCE"/>
          </w:tcPr>
          <w:p w14:paraId="5D78A28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60" w:type="dxa"/>
            <w:shd w:val="clear" w:color="auto" w:fill="C6EFCE"/>
          </w:tcPr>
          <w:p w14:paraId="56C62623" w14:textId="5F7979F4"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w:t>
            </w:r>
          </w:p>
        </w:tc>
        <w:tc>
          <w:tcPr>
            <w:tcW w:w="605" w:type="dxa"/>
            <w:shd w:val="clear" w:color="auto" w:fill="C6EFCE"/>
          </w:tcPr>
          <w:p w14:paraId="0B77815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3</w:t>
            </w:r>
          </w:p>
        </w:tc>
        <w:tc>
          <w:tcPr>
            <w:tcW w:w="986" w:type="dxa"/>
            <w:shd w:val="clear" w:color="auto" w:fill="C6EFCE"/>
          </w:tcPr>
          <w:p w14:paraId="57866098" w14:textId="6639EE2B"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3</w:t>
            </w:r>
          </w:p>
        </w:tc>
        <w:tc>
          <w:tcPr>
            <w:tcW w:w="709" w:type="dxa"/>
            <w:shd w:val="clear" w:color="auto" w:fill="C6EFCE"/>
          </w:tcPr>
          <w:p w14:paraId="7DBE2DD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260" w:type="dxa"/>
            <w:shd w:val="clear" w:color="auto" w:fill="C6EFCE"/>
          </w:tcPr>
          <w:p w14:paraId="7795C8F3" w14:textId="4E1A2A77"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 xml:space="preserve">Lokale centra en/of infrastructuur worden uitgevoerd op twee extra locaties (uitrol). </w:t>
            </w:r>
            <w:r>
              <w:rPr>
                <w:noProof/>
              </w:rPr>
              <w:t xml:space="preserve"> </w:t>
            </w:r>
            <w:r>
              <w:rPr>
                <w:noProof/>
              </w:rPr>
              <w:br/>
            </w:r>
            <w:r>
              <w:rPr>
                <w:rFonts w:ascii="Times New Roman" w:hAnsi="Times New Roman"/>
                <w:noProof/>
                <w:color w:val="000000" w:themeColor="text1"/>
                <w:sz w:val="18"/>
              </w:rPr>
              <w:t>De invoering van de digitale infrastructuur voor onbemande voertuigen in het hele land maakt de stabiele, duurzame en veilige ontwikkeling van toepassingen van onbemande voertuigen in verschillende delen van het land mogelijk en draagt bij tot het waarborgen van de territoriale samenhang en de duurzame ontwikkeling van het land. De belangrijkste elementen van de infrastructuur zijn terrestrische infrastructuur, lokale datacentra en verkeersbeheercentra, alsook digitale diensten en procedures.</w:t>
            </w:r>
          </w:p>
        </w:tc>
      </w:tr>
      <w:tr w:rsidR="00480F1C" w14:paraId="404BF790" w14:textId="77777777">
        <w:trPr>
          <w:trHeight w:val="645"/>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E96C845" w14:textId="130AD589"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A35G</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6DE1B8D" w14:textId="0D660C5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A2.3.1 Ontwikkeling en uitrusting van kenniscentra (gespecialiseerde opleidingscentra, centra voor uitvoeringsondersteuning, waarnemingsposten) en infrastructuur voor het beheer van de onbemande voertuigenindustrie, als ecosysteem van innovatie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0E0706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76538D8" w14:textId="3C457CF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T3 — Plaatselijke centra en infrastructuur voor onbemande voertuigen, voltooid door de lokale overheid of een aangewezen entiteit om lokaal te opereren </w:t>
            </w:r>
          </w:p>
        </w:tc>
        <w:tc>
          <w:tcPr>
            <w:tcW w:w="1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F8C8A5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08A672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A036E3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3</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46DE71A"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10</w:t>
            </w:r>
          </w:p>
        </w:tc>
        <w:tc>
          <w:tcPr>
            <w:tcW w:w="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CF36DD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D5B6C8C"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D03D06D" w14:textId="335B5F3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Lokale centra en/of infrastructuur worden uitgevoerd op zeven extra locaties (uitrol). </w:t>
            </w:r>
          </w:p>
          <w:p w14:paraId="39105912" w14:textId="33D1950A"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De invoering van de digitale infrastructuur voor onbemande voertuigen in het hele land maakt de stabiele, duurzame en veilige ontwikkeling van toepassingen van onbemande voertuigen in verschillende delen van het land mogelijk en draagt bij tot het waarborgen van de territoriale samenhang en de duurzame ontwikkeling van het land. De belangrijkste elementen van de infrastructuur zijn terrestrische infrastructuur, lokale datacentra en verkeersbeheercentra, alsook digitale diensten en procedures.</w:t>
            </w:r>
          </w:p>
        </w:tc>
      </w:tr>
      <w:tr w:rsidR="00480F1C" w14:paraId="085CDD8D" w14:textId="77777777">
        <w:trPr>
          <w:trHeight w:val="313"/>
        </w:trPr>
        <w:tc>
          <w:tcPr>
            <w:tcW w:w="875" w:type="dxa"/>
            <w:shd w:val="clear" w:color="auto" w:fill="C6EFCE"/>
          </w:tcPr>
          <w:p w14:paraId="245D991A" w14:textId="21AE954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A36G</w:t>
            </w:r>
          </w:p>
        </w:tc>
        <w:tc>
          <w:tcPr>
            <w:tcW w:w="1984" w:type="dxa"/>
            <w:shd w:val="clear" w:color="auto" w:fill="C6EFCE"/>
          </w:tcPr>
          <w:p w14:paraId="37D4477A" w14:textId="6BB1472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A2.3.1 Ontwikkeling en uitrusting van kenniscentra (gespecialiseerde opleidingscentra, centra voor uitvoeringsondersteuning, waarnemingsposten) en infrastructuur voor het beheer van de onbemande voertuigenindustrie, als ecosysteem van innovatie</w:t>
            </w:r>
          </w:p>
        </w:tc>
        <w:tc>
          <w:tcPr>
            <w:tcW w:w="1276" w:type="dxa"/>
            <w:shd w:val="clear" w:color="auto" w:fill="C6EFCE"/>
          </w:tcPr>
          <w:p w14:paraId="259186C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126" w:type="dxa"/>
            <w:shd w:val="clear" w:color="auto" w:fill="C6EFCE"/>
          </w:tcPr>
          <w:p w14:paraId="6F0CEF5D" w14:textId="43053213"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p w14:paraId="4119A258" w14:textId="20F043C6"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T1 — Plaatselijke centra en infrastructuur voor onbemande voertuigen, voltooid door de lokale overheid of een aangewezen entiteit om lokaal te opereren</w:t>
            </w:r>
          </w:p>
        </w:tc>
        <w:tc>
          <w:tcPr>
            <w:tcW w:w="1536" w:type="dxa"/>
            <w:shd w:val="clear" w:color="auto" w:fill="C6EFCE"/>
          </w:tcPr>
          <w:p w14:paraId="3CEEED3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shd w:val="clear" w:color="auto" w:fill="C6EFCE"/>
          </w:tcPr>
          <w:p w14:paraId="4EE654F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60" w:type="dxa"/>
            <w:shd w:val="clear" w:color="auto" w:fill="C6EFCE"/>
          </w:tcPr>
          <w:p w14:paraId="7A06C686"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605" w:type="dxa"/>
            <w:shd w:val="clear" w:color="auto" w:fill="C6EFCE"/>
          </w:tcPr>
          <w:p w14:paraId="7144751B" w14:textId="6196B684"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w:t>
            </w:r>
          </w:p>
        </w:tc>
        <w:tc>
          <w:tcPr>
            <w:tcW w:w="986" w:type="dxa"/>
            <w:shd w:val="clear" w:color="auto" w:fill="C6EFCE"/>
          </w:tcPr>
          <w:p w14:paraId="0B0E13F4" w14:textId="2BB15311"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1</w:t>
            </w:r>
          </w:p>
        </w:tc>
        <w:tc>
          <w:tcPr>
            <w:tcW w:w="709" w:type="dxa"/>
            <w:shd w:val="clear" w:color="auto" w:fill="C6EFCE"/>
          </w:tcPr>
          <w:p w14:paraId="665BC6A2" w14:textId="162A6E18"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260" w:type="dxa"/>
            <w:shd w:val="clear" w:color="auto" w:fill="C6EFCE"/>
          </w:tcPr>
          <w:p w14:paraId="2219E0A3" w14:textId="1E50EFA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Lokale centra en/of infrastructuur worden uitgevoerd op de eerste locatie (uitrol).</w:t>
            </w:r>
          </w:p>
          <w:p w14:paraId="6EB555D6" w14:textId="420287EE"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De invoering van de digitale infrastructuur voor onbemande voertuigen in het hele land maakt de stabiele, duurzame en veilige ontwikkeling van toepassingen van onbemande voertuigen in verschillende delen van het land mogelijk en draagt bij tot het waarborgen van de territoriale samenhang en de duurzame ontwikkeling van het land. De belangrijkste elementen van de infrastructuur zijn terrestrische infrastructuur, lokale datacentra en verkeersbeheercentra, alsook digitale diensten en procedures.</w:t>
            </w:r>
          </w:p>
          <w:p w14:paraId="0FAA8801" w14:textId="4220EBBE" w:rsidR="00480F1C" w:rsidRDefault="00A201F6">
            <w:pPr>
              <w:pStyle w:val="Normal0"/>
              <w:spacing w:after="0" w:line="240" w:lineRule="auto"/>
              <w:rPr>
                <w:rFonts w:ascii="Times New Roman" w:eastAsia="Times New Roman" w:hAnsi="Times New Roman" w:cs="Times New Roman"/>
                <w:noProof/>
                <w:color w:val="000000" w:themeColor="text1"/>
                <w:sz w:val="18"/>
              </w:rPr>
            </w:pPr>
            <w:r>
              <w:rPr>
                <w:rFonts w:ascii="Times New Roman" w:hAnsi="Times New Roman"/>
                <w:noProof/>
                <w:color w:val="000000" w:themeColor="text1"/>
                <w:sz w:val="18"/>
              </w:rPr>
              <w:t>De dienst voorziet in:</w:t>
            </w:r>
            <w:r>
              <w:rPr>
                <w:noProof/>
              </w:rPr>
              <w:t xml:space="preserve"> </w:t>
            </w:r>
            <w:r>
              <w:rPr>
                <w:noProof/>
              </w:rPr>
              <w:br/>
            </w:r>
            <w:r>
              <w:rPr>
                <w:rFonts w:ascii="Times New Roman" w:hAnsi="Times New Roman"/>
                <w:noProof/>
                <w:color w:val="000000" w:themeColor="text1"/>
                <w:sz w:val="18"/>
              </w:rPr>
              <w:t>— autonome verkeerscoördinatie (met bijzondere nadruk op havens en energie-infrastructuur)</w:t>
            </w:r>
            <w:r>
              <w:rPr>
                <w:noProof/>
              </w:rPr>
              <w:t xml:space="preserve"> </w:t>
            </w:r>
            <w:r>
              <w:rPr>
                <w:noProof/>
              </w:rPr>
              <w:br/>
              <w:t xml:space="preserve"> </w:t>
            </w:r>
            <w:r>
              <w:rPr>
                <w:rFonts w:ascii="Times New Roman" w:hAnsi="Times New Roman"/>
                <w:noProof/>
                <w:color w:val="000000" w:themeColor="text1"/>
                <w:sz w:val="18"/>
              </w:rPr>
              <w:t>openbare orde (veiligheid en civiele bescherming)</w:t>
            </w:r>
          </w:p>
          <w:p w14:paraId="42072274" w14:textId="217FBD6B"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p w14:paraId="6A59A9EC" w14:textId="27AFD972"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De selectie van de gebieden die in alle kenniscentra voor het verlenen van de dienst worden toegewezen, hangt af van de locatie en de specifieke kenmerken van het betrokken kenniscentrum.</w:t>
            </w:r>
          </w:p>
          <w:p w14:paraId="149F41FF" w14:textId="4FB24636"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p w14:paraId="05A08066" w14:textId="77ED85D1"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De toegepaste dienst moet technologische standaardisering mogelijk maken en maatschappelijk draagvlak krijgen voor het gebruik van onbemande voertuigen. Diensten voor onbemande voertuigen die worden getest en uitgevoerd, zijn volledig operationele diensten op basis van hardware en software, die voldoen aan de zakelijke behoeften van de ontvanger (gebruiker). </w:t>
            </w:r>
          </w:p>
        </w:tc>
      </w:tr>
      <w:tr w:rsidR="00480F1C" w14:paraId="2C49DE4B" w14:textId="77777777">
        <w:trPr>
          <w:trHeight w:val="313"/>
        </w:trPr>
        <w:tc>
          <w:tcPr>
            <w:tcW w:w="875" w:type="dxa"/>
            <w:shd w:val="clear" w:color="auto" w:fill="C6EFCE"/>
          </w:tcPr>
          <w:p w14:paraId="55739EF0" w14:textId="71DB5DF8"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A38G</w:t>
            </w:r>
          </w:p>
        </w:tc>
        <w:tc>
          <w:tcPr>
            <w:tcW w:w="1984" w:type="dxa"/>
            <w:shd w:val="clear" w:color="auto" w:fill="C6EFCE"/>
          </w:tcPr>
          <w:p w14:paraId="4C3A5E4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A2.4 Versterking van de samenwerkingsmechanismen tussen wetenschap en industrie </w:t>
            </w:r>
          </w:p>
        </w:tc>
        <w:tc>
          <w:tcPr>
            <w:tcW w:w="1276" w:type="dxa"/>
            <w:shd w:val="clear" w:color="auto" w:fill="C6EFCE"/>
          </w:tcPr>
          <w:p w14:paraId="361A6EA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2126" w:type="dxa"/>
            <w:shd w:val="clear" w:color="auto" w:fill="C6EFCE"/>
          </w:tcPr>
          <w:p w14:paraId="6F9144B5" w14:textId="4EED4EEB"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wet tot wijziging van de wet op het hoger onderwijs en de wetenschap met betrekking tot de lijst van entiteiten die samen met universiteiten special purpose vehicles kunnen oprichten</w:t>
            </w:r>
          </w:p>
        </w:tc>
        <w:tc>
          <w:tcPr>
            <w:tcW w:w="1536" w:type="dxa"/>
            <w:shd w:val="clear" w:color="auto" w:fill="C6EFCE"/>
          </w:tcPr>
          <w:p w14:paraId="73D6AC87" w14:textId="62CB3702"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wet tot wijziging van de wet op het hoger onderwijs en de wetenschap met vermelding van de inwerkingtreding ervan</w:t>
            </w:r>
          </w:p>
        </w:tc>
        <w:tc>
          <w:tcPr>
            <w:tcW w:w="992" w:type="dxa"/>
            <w:shd w:val="clear" w:color="auto" w:fill="C6EFCE"/>
          </w:tcPr>
          <w:p w14:paraId="4D85598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60" w:type="dxa"/>
            <w:shd w:val="clear" w:color="auto" w:fill="C6EFCE"/>
          </w:tcPr>
          <w:p w14:paraId="6CE2FCB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605" w:type="dxa"/>
            <w:shd w:val="clear" w:color="auto" w:fill="C6EFCE"/>
          </w:tcPr>
          <w:p w14:paraId="6A84B78A"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86" w:type="dxa"/>
            <w:shd w:val="clear" w:color="auto" w:fill="C6EFCE"/>
          </w:tcPr>
          <w:p w14:paraId="67A71BB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1</w:t>
            </w:r>
          </w:p>
        </w:tc>
        <w:tc>
          <w:tcPr>
            <w:tcW w:w="709" w:type="dxa"/>
            <w:shd w:val="clear" w:color="auto" w:fill="C6EFCE"/>
          </w:tcPr>
          <w:p w14:paraId="66B410D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3260" w:type="dxa"/>
            <w:shd w:val="clear" w:color="auto" w:fill="C6EFCE"/>
          </w:tcPr>
          <w:p w14:paraId="3261A8EE" w14:textId="7A9C7063"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Het wijzigingsbesluit maakt de oprichting mogelijk van special purpose vehicles die speciaal zijn ontworpen voor de commercialisering van O &amp; O-resultaten. Dit zal naar verwachting een grotere interdisciplinaire en flexibele technologieoverdracht mogelijk maken. </w:t>
            </w:r>
          </w:p>
        </w:tc>
      </w:tr>
      <w:tr w:rsidR="00480F1C" w14:paraId="511DE5DE" w14:textId="77777777">
        <w:trPr>
          <w:trHeight w:val="20"/>
        </w:trPr>
        <w:tc>
          <w:tcPr>
            <w:tcW w:w="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4397A95" w14:textId="07B0F9E5"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A39G</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557080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A2.4 Versterking van de samenwerkingsmechanismen tussen wetenschap en industrie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0A170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204E290" w14:textId="2FF31DD5" w:rsidR="00480F1C" w:rsidRDefault="00A201F6">
            <w:pPr>
              <w:pStyle w:val="P68B1DB1-Normal011"/>
              <w:spacing w:after="0" w:line="240" w:lineRule="auto"/>
              <w:rPr>
                <w:rFonts w:eastAsia="Times New Roman" w:cs="Times New Roman"/>
                <w:noProof/>
                <w:color w:val="000000" w:themeColor="text1"/>
              </w:rPr>
            </w:pPr>
            <w:r>
              <w:rPr>
                <w:noProof/>
              </w:rPr>
              <w:t>Vaststelling van regels voor het gebruik van laboratoria en kennisoverdracht van instituten onder toezicht van de minister van Landbouw en Plattelandsontwikkeling</w:t>
            </w:r>
          </w:p>
        </w:tc>
        <w:tc>
          <w:tcPr>
            <w:tcW w:w="153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0F72D2F" w14:textId="1CCC4215"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Document met de vastgestelde regels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E40803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ADD6AF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6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BAC30D4"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033E754" w14:textId="53E37FCD"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366D60" w14:textId="59AAC844"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610693A" w14:textId="0523C1DA"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De regels voor het gebruik van laboratoria en kennisoverdracht bepalen de procedures voor het gebruik van de onderzoeksinfrastructuur binnen de samenwerking tussen wetenschap en wetenschap en bedrijfsleven. De bepalingen zijn in overeenstemming met de beginselen van non-discriminatie en transparantie. </w:t>
            </w:r>
          </w:p>
          <w:p w14:paraId="233E0C49" w14:textId="23CB372C"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r>
      <w:tr w:rsidR="00480F1C" w14:paraId="14CEA888" w14:textId="77777777">
        <w:trPr>
          <w:trHeight w:val="313"/>
        </w:trPr>
        <w:tc>
          <w:tcPr>
            <w:tcW w:w="875" w:type="dxa"/>
            <w:shd w:val="clear" w:color="auto" w:fill="C6EFCE"/>
          </w:tcPr>
          <w:p w14:paraId="28E52AA1" w14:textId="2B6F70FA"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A40G</w:t>
            </w:r>
          </w:p>
        </w:tc>
        <w:tc>
          <w:tcPr>
            <w:tcW w:w="1984" w:type="dxa"/>
            <w:shd w:val="clear" w:color="auto" w:fill="C6EFCE"/>
          </w:tcPr>
          <w:p w14:paraId="0BF6A7B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A2.4.1 Investeringen in de ontwikkeling van onderzoekscapaciteiten </w:t>
            </w:r>
          </w:p>
        </w:tc>
        <w:tc>
          <w:tcPr>
            <w:tcW w:w="1276" w:type="dxa"/>
            <w:shd w:val="clear" w:color="auto" w:fill="C6EFCE"/>
          </w:tcPr>
          <w:p w14:paraId="23EA09A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126" w:type="dxa"/>
            <w:shd w:val="clear" w:color="auto" w:fill="C6EFCE"/>
          </w:tcPr>
          <w:p w14:paraId="7B922D2C" w14:textId="570D5B79"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Laboratoria met moderne onderzoeks- en analytische infrastructuur in instellingen die onder toezicht staan van en/of ressorteren onder het ministerie van Onderwijs en Wetenschappen en het ministerie van Landbouw en Plattelandsontwikkeling </w:t>
            </w:r>
          </w:p>
        </w:tc>
        <w:tc>
          <w:tcPr>
            <w:tcW w:w="1536" w:type="dxa"/>
            <w:shd w:val="clear" w:color="auto" w:fill="C6EFCE"/>
          </w:tcPr>
          <w:p w14:paraId="15B3EB6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shd w:val="clear" w:color="auto" w:fill="C6EFCE"/>
          </w:tcPr>
          <w:p w14:paraId="4EEC6AC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60" w:type="dxa"/>
            <w:shd w:val="clear" w:color="auto" w:fill="C6EFCE"/>
          </w:tcPr>
          <w:p w14:paraId="0CF44D54"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605" w:type="dxa"/>
            <w:shd w:val="clear" w:color="auto" w:fill="C6EFCE"/>
          </w:tcPr>
          <w:p w14:paraId="6DDB914C" w14:textId="1964D37A"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18</w:t>
            </w:r>
          </w:p>
        </w:tc>
        <w:tc>
          <w:tcPr>
            <w:tcW w:w="986" w:type="dxa"/>
            <w:shd w:val="clear" w:color="auto" w:fill="C6EFCE"/>
          </w:tcPr>
          <w:p w14:paraId="6896774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709" w:type="dxa"/>
            <w:shd w:val="clear" w:color="auto" w:fill="C6EFCE"/>
          </w:tcPr>
          <w:p w14:paraId="6D5FC6E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260" w:type="dxa"/>
            <w:shd w:val="clear" w:color="auto" w:fill="C6EFCE"/>
          </w:tcPr>
          <w:p w14:paraId="6C5CA147" w14:textId="4C11BD2C"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Bouw en modernisering van laboratoria in instellingen die onder toezicht staan van en/of ressorteren onder het ministerie van Onderwijs en Wetenschappen, en het ministerie van Landbouw en Plattelandsontwikkeling en de hoofdinspectie voor de inspectie van de landbouw- en voedselkwaliteit in verband met de doelstellingen. </w:t>
            </w:r>
          </w:p>
        </w:tc>
      </w:tr>
    </w:tbl>
    <w:p w14:paraId="2B269B4E" w14:textId="6AC653CE" w:rsidR="00480F1C" w:rsidRDefault="00480F1C">
      <w:pPr>
        <w:rPr>
          <w:rFonts w:ascii="Times New Roman" w:eastAsia="Times New Roman" w:hAnsi="Times New Roman" w:cs="Times New Roman"/>
          <w:noProof/>
          <w:color w:val="000000"/>
          <w:sz w:val="24"/>
        </w:rPr>
        <w:sectPr w:rsidR="00480F1C" w:rsidSect="005A529A">
          <w:headerReference w:type="even" r:id="rId25"/>
          <w:headerReference w:type="default" r:id="rId26"/>
          <w:footerReference w:type="even" r:id="rId27"/>
          <w:footerReference w:type="default" r:id="rId28"/>
          <w:headerReference w:type="first" r:id="rId29"/>
          <w:footerReference w:type="first" r:id="rId30"/>
          <w:pgSz w:w="16839" w:h="11907" w:orient="landscape"/>
          <w:pgMar w:top="720" w:right="680" w:bottom="720" w:left="709" w:header="709" w:footer="0" w:gutter="0"/>
          <w:cols w:space="720"/>
        </w:sectPr>
      </w:pPr>
    </w:p>
    <w:p w14:paraId="0F3CABC7" w14:textId="07118664" w:rsidR="00480F1C" w:rsidRDefault="00A201F6">
      <w:pPr>
        <w:pStyle w:val="P68B1DB1-Normal13"/>
        <w:rPr>
          <w:rFonts w:eastAsia="Times New Roman" w:cs="Times New Roman"/>
          <w:noProof/>
        </w:rPr>
      </w:pPr>
      <w:r>
        <w:rPr>
          <w:noProof/>
        </w:rPr>
        <w:t>A3 — ONDERWIJS</w:t>
      </w:r>
    </w:p>
    <w:tbl>
      <w:tblPr>
        <w:tblW w:w="16019" w:type="dxa"/>
        <w:tblInd w:w="-29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115" w:type="dxa"/>
          <w:right w:w="115" w:type="dxa"/>
        </w:tblCellMar>
        <w:tblLook w:val="0400" w:firstRow="0" w:lastRow="0" w:firstColumn="0" w:lastColumn="0" w:noHBand="0" w:noVBand="1"/>
      </w:tblPr>
      <w:tblGrid>
        <w:gridCol w:w="678"/>
        <w:gridCol w:w="1830"/>
        <w:gridCol w:w="986"/>
        <w:gridCol w:w="2111"/>
        <w:gridCol w:w="1689"/>
        <w:gridCol w:w="986"/>
        <w:gridCol w:w="987"/>
        <w:gridCol w:w="845"/>
        <w:gridCol w:w="986"/>
        <w:gridCol w:w="705"/>
        <w:gridCol w:w="4216"/>
      </w:tblGrid>
      <w:tr w:rsidR="00480F1C" w14:paraId="5DB7E30A" w14:textId="77777777">
        <w:trPr>
          <w:trHeight w:val="939"/>
          <w:tblHeader/>
        </w:trPr>
        <w:tc>
          <w:tcPr>
            <w:tcW w:w="68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3D95B83F" w14:textId="541FC578"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Volgende NR.</w:t>
            </w:r>
          </w:p>
        </w:tc>
        <w:tc>
          <w:tcPr>
            <w:tcW w:w="184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71CBA817"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Gerelateerde maatregel (hervorming of investering)</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099D9751"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Mijlpaal/Doelstelling</w:t>
            </w:r>
          </w:p>
        </w:tc>
        <w:tc>
          <w:tcPr>
            <w:tcW w:w="212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5D4478A0"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Naam</w:t>
            </w:r>
          </w:p>
        </w:tc>
        <w:tc>
          <w:tcPr>
            <w:tcW w:w="170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4D250AFF"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themeColor="text1"/>
                <w:sz w:val="18"/>
              </w:rPr>
              <w:t>Kwalitatieve indicatoren</w:t>
            </w:r>
            <w:r>
              <w:rPr>
                <w:noProof/>
              </w:rPr>
              <w:t xml:space="preserve"> </w:t>
            </w:r>
            <w:r>
              <w:rPr>
                <w:noProof/>
              </w:rPr>
              <w:br/>
            </w:r>
            <w:r>
              <w:rPr>
                <w:rFonts w:ascii="Times New Roman" w:hAnsi="Times New Roman"/>
                <w:b/>
                <w:noProof/>
                <w:color w:val="000000" w:themeColor="text1"/>
                <w:sz w:val="18"/>
              </w:rPr>
              <w:t>(voor mijlpalen)</w:t>
            </w:r>
          </w:p>
        </w:tc>
        <w:tc>
          <w:tcPr>
            <w:tcW w:w="283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5DABBEB4"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themeColor="text1"/>
                <w:sz w:val="18"/>
              </w:rPr>
              <w:t>Kwantitatieve indicatoren</w:t>
            </w:r>
            <w:r>
              <w:rPr>
                <w:noProof/>
              </w:rPr>
              <w:t xml:space="preserve"> </w:t>
            </w:r>
            <w:r>
              <w:rPr>
                <w:noProof/>
              </w:rPr>
              <w:br/>
            </w:r>
            <w:r>
              <w:rPr>
                <w:rFonts w:ascii="Times New Roman" w:hAnsi="Times New Roman"/>
                <w:b/>
                <w:noProof/>
                <w:color w:val="000000" w:themeColor="text1"/>
                <w:sz w:val="18"/>
              </w:rPr>
              <w:t>(voor streefcijfers)</w:t>
            </w:r>
          </w:p>
        </w:tc>
        <w:tc>
          <w:tcPr>
            <w:tcW w:w="170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48F741BE"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Indicatieve termijn voor voltooiing </w:t>
            </w:r>
          </w:p>
        </w:tc>
        <w:tc>
          <w:tcPr>
            <w:tcW w:w="424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7DF1CA4F"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Beschrijving van elke mijlpaal en doelstelling</w:t>
            </w:r>
          </w:p>
        </w:tc>
      </w:tr>
      <w:tr w:rsidR="00480F1C" w14:paraId="518D90CE" w14:textId="77777777">
        <w:trPr>
          <w:trHeight w:val="1027"/>
        </w:trPr>
        <w:tc>
          <w:tcPr>
            <w:tcW w:w="680" w:type="dxa"/>
            <w:vMerge/>
            <w:tcBorders>
              <w:bottom w:val="single" w:sz="4" w:space="0" w:color="auto"/>
            </w:tcBorders>
            <w:vAlign w:val="center"/>
          </w:tcPr>
          <w:p w14:paraId="5B08B5D1"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843" w:type="dxa"/>
            <w:vMerge/>
            <w:tcBorders>
              <w:bottom w:val="single" w:sz="4" w:space="0" w:color="auto"/>
            </w:tcBorders>
            <w:vAlign w:val="center"/>
          </w:tcPr>
          <w:p w14:paraId="16DEB4AB"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992" w:type="dxa"/>
            <w:vMerge/>
            <w:tcBorders>
              <w:bottom w:val="single" w:sz="4" w:space="0" w:color="auto"/>
            </w:tcBorders>
            <w:vAlign w:val="center"/>
          </w:tcPr>
          <w:p w14:paraId="0AD9C6F4"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2126" w:type="dxa"/>
            <w:vMerge/>
            <w:tcBorders>
              <w:bottom w:val="single" w:sz="4" w:space="0" w:color="auto"/>
            </w:tcBorders>
            <w:vAlign w:val="center"/>
          </w:tcPr>
          <w:p w14:paraId="4B1F511A"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701" w:type="dxa"/>
            <w:vMerge/>
            <w:tcBorders>
              <w:bottom w:val="single" w:sz="4" w:space="0" w:color="auto"/>
            </w:tcBorders>
            <w:vAlign w:val="center"/>
          </w:tcPr>
          <w:p w14:paraId="65F9C3DC"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992" w:type="dxa"/>
            <w:tcBorders>
              <w:bottom w:val="single" w:sz="4" w:space="0" w:color="auto"/>
            </w:tcBorders>
            <w:shd w:val="clear" w:color="auto" w:fill="BDD7EE"/>
            <w:vAlign w:val="center"/>
          </w:tcPr>
          <w:p w14:paraId="09FB281A"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Eenheid</w:t>
            </w:r>
          </w:p>
        </w:tc>
        <w:tc>
          <w:tcPr>
            <w:tcW w:w="993" w:type="dxa"/>
            <w:tcBorders>
              <w:bottom w:val="single" w:sz="4" w:space="0" w:color="auto"/>
            </w:tcBorders>
            <w:shd w:val="clear" w:color="auto" w:fill="BDD7EE"/>
            <w:vAlign w:val="center"/>
          </w:tcPr>
          <w:p w14:paraId="2D96705B"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Basislijn </w:t>
            </w:r>
          </w:p>
        </w:tc>
        <w:tc>
          <w:tcPr>
            <w:tcW w:w="850" w:type="dxa"/>
            <w:tcBorders>
              <w:bottom w:val="single" w:sz="4" w:space="0" w:color="auto"/>
            </w:tcBorders>
            <w:shd w:val="clear" w:color="auto" w:fill="BDD7EE"/>
            <w:vAlign w:val="center"/>
          </w:tcPr>
          <w:p w14:paraId="642BD0C5"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Doelstelling</w:t>
            </w:r>
          </w:p>
        </w:tc>
        <w:tc>
          <w:tcPr>
            <w:tcW w:w="992" w:type="dxa"/>
            <w:tcBorders>
              <w:bottom w:val="single" w:sz="4" w:space="0" w:color="auto"/>
            </w:tcBorders>
            <w:shd w:val="clear" w:color="auto" w:fill="BDD7EE"/>
            <w:vAlign w:val="center"/>
          </w:tcPr>
          <w:p w14:paraId="4B1A6FAE"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Kwartaal</w:t>
            </w:r>
          </w:p>
        </w:tc>
        <w:tc>
          <w:tcPr>
            <w:tcW w:w="709" w:type="dxa"/>
            <w:tcBorders>
              <w:bottom w:val="single" w:sz="4" w:space="0" w:color="auto"/>
            </w:tcBorders>
            <w:shd w:val="clear" w:color="auto" w:fill="BDD7EE"/>
            <w:vAlign w:val="center"/>
          </w:tcPr>
          <w:p w14:paraId="3C34323D"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Jaar</w:t>
            </w:r>
          </w:p>
        </w:tc>
        <w:tc>
          <w:tcPr>
            <w:tcW w:w="4248" w:type="dxa"/>
            <w:vMerge/>
            <w:tcBorders>
              <w:bottom w:val="single" w:sz="4" w:space="0" w:color="auto"/>
            </w:tcBorders>
            <w:vAlign w:val="center"/>
          </w:tcPr>
          <w:p w14:paraId="5023141B"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r>
      <w:tr w:rsidR="00480F1C" w14:paraId="44378DEC" w14:textId="77777777">
        <w:trPr>
          <w:trHeight w:val="313"/>
        </w:trPr>
        <w:tc>
          <w:tcPr>
            <w:tcW w:w="680" w:type="dxa"/>
            <w:tcBorders>
              <w:top w:val="single" w:sz="4" w:space="0" w:color="auto"/>
              <w:left w:val="single" w:sz="4" w:space="0" w:color="auto"/>
              <w:bottom w:val="single" w:sz="4" w:space="0" w:color="auto"/>
              <w:right w:val="single" w:sz="4" w:space="0" w:color="auto"/>
            </w:tcBorders>
            <w:shd w:val="clear" w:color="auto" w:fill="C6EFCE"/>
          </w:tcPr>
          <w:p w14:paraId="6089FD39" w14:textId="2E13450F"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A41G</w:t>
            </w:r>
          </w:p>
        </w:tc>
        <w:tc>
          <w:tcPr>
            <w:tcW w:w="1843" w:type="dxa"/>
            <w:tcBorders>
              <w:top w:val="single" w:sz="4" w:space="0" w:color="auto"/>
              <w:left w:val="single" w:sz="4" w:space="0" w:color="auto"/>
              <w:bottom w:val="single" w:sz="4" w:space="0" w:color="auto"/>
              <w:right w:val="single" w:sz="4" w:space="0" w:color="auto"/>
            </w:tcBorders>
            <w:shd w:val="clear" w:color="auto" w:fill="C6EFCE"/>
          </w:tcPr>
          <w:p w14:paraId="327635E3" w14:textId="445BB4B2"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A3.1 Werknemers voor de moderne economie: betere afstemming van vaardigheden en kwalificaties op de behoeften van de arbeidsmarkt dankzij de invoering van nieuwe technologieën in de economie en de groene en digitale transformatie</w:t>
            </w:r>
          </w:p>
        </w:tc>
        <w:tc>
          <w:tcPr>
            <w:tcW w:w="992" w:type="dxa"/>
            <w:tcBorders>
              <w:top w:val="single" w:sz="4" w:space="0" w:color="auto"/>
              <w:left w:val="single" w:sz="4" w:space="0" w:color="auto"/>
              <w:bottom w:val="single" w:sz="4" w:space="0" w:color="auto"/>
              <w:right w:val="single" w:sz="4" w:space="0" w:color="auto"/>
            </w:tcBorders>
            <w:shd w:val="clear" w:color="auto" w:fill="C6EFCE"/>
          </w:tcPr>
          <w:p w14:paraId="6A2DFA3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2126" w:type="dxa"/>
            <w:tcBorders>
              <w:top w:val="single" w:sz="4" w:space="0" w:color="auto"/>
              <w:left w:val="single" w:sz="4" w:space="0" w:color="auto"/>
              <w:bottom w:val="single" w:sz="4" w:space="0" w:color="auto"/>
              <w:right w:val="single" w:sz="4" w:space="0" w:color="auto"/>
            </w:tcBorders>
            <w:shd w:val="clear" w:color="auto" w:fill="C6EFCE"/>
          </w:tcPr>
          <w:p w14:paraId="6D46D02A" w14:textId="29BB306E"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de wet tot wijziging van de onderwijswet, tot vaststelling van het rechtskader voor het netwerk van centra voor sectorale vaardigheden, met gerichte bij- en omscholing die zeer relevant zijn voor de behoeften van de arbeidsmarkt</w:t>
            </w:r>
          </w:p>
        </w:tc>
        <w:tc>
          <w:tcPr>
            <w:tcW w:w="1701" w:type="dxa"/>
            <w:tcBorders>
              <w:top w:val="single" w:sz="4" w:space="0" w:color="auto"/>
              <w:left w:val="single" w:sz="4" w:space="0" w:color="auto"/>
              <w:bottom w:val="single" w:sz="4" w:space="0" w:color="auto"/>
              <w:right w:val="single" w:sz="4" w:space="0" w:color="auto"/>
            </w:tcBorders>
            <w:shd w:val="clear" w:color="auto" w:fill="C6EFCE"/>
          </w:tcPr>
          <w:p w14:paraId="1EF1FA09" w14:textId="36E1A423"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Bepaling in de wet tot wijziging van de onderwijswet met vermelding van de inwerkingtreding ervan </w:t>
            </w:r>
          </w:p>
        </w:tc>
        <w:tc>
          <w:tcPr>
            <w:tcW w:w="992" w:type="dxa"/>
            <w:tcBorders>
              <w:top w:val="single" w:sz="4" w:space="0" w:color="auto"/>
              <w:left w:val="single" w:sz="4" w:space="0" w:color="auto"/>
              <w:bottom w:val="single" w:sz="4" w:space="0" w:color="auto"/>
              <w:right w:val="single" w:sz="4" w:space="0" w:color="auto"/>
            </w:tcBorders>
            <w:shd w:val="clear" w:color="auto" w:fill="C6EFCE"/>
          </w:tcPr>
          <w:p w14:paraId="42CAE14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C6EFCE"/>
          </w:tcPr>
          <w:p w14:paraId="1AF05E09"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C6EFCE"/>
          </w:tcPr>
          <w:p w14:paraId="6BF368CB"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C6EFCE"/>
          </w:tcPr>
          <w:p w14:paraId="7A8F9DAC"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3</w:t>
            </w:r>
          </w:p>
        </w:tc>
        <w:tc>
          <w:tcPr>
            <w:tcW w:w="709" w:type="dxa"/>
            <w:tcBorders>
              <w:top w:val="single" w:sz="4" w:space="0" w:color="auto"/>
              <w:left w:val="single" w:sz="4" w:space="0" w:color="auto"/>
              <w:bottom w:val="single" w:sz="4" w:space="0" w:color="auto"/>
              <w:right w:val="single" w:sz="4" w:space="0" w:color="auto"/>
            </w:tcBorders>
            <w:shd w:val="clear" w:color="auto" w:fill="C6EFCE"/>
          </w:tcPr>
          <w:p w14:paraId="229ACA2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2023</w:t>
            </w:r>
          </w:p>
        </w:tc>
        <w:tc>
          <w:tcPr>
            <w:tcW w:w="4248" w:type="dxa"/>
            <w:tcBorders>
              <w:top w:val="single" w:sz="4" w:space="0" w:color="auto"/>
              <w:left w:val="single" w:sz="4" w:space="0" w:color="auto"/>
              <w:bottom w:val="single" w:sz="4" w:space="0" w:color="auto"/>
              <w:right w:val="single" w:sz="4" w:space="0" w:color="auto"/>
            </w:tcBorders>
            <w:shd w:val="clear" w:color="auto" w:fill="C6EFCE"/>
          </w:tcPr>
          <w:p w14:paraId="08824C8E" w14:textId="28E423E5"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Bij de hervorming van de onderwijswet wordt, na haalbaarheidsstudies en een evaluatieproces in nauwe samenwerking met de sociale partners, regionale autoriteiten, sectoren en andere belanghebbenden, het rechtskader vastgesteld voor het netwerk van centra voor sectorale vaardigheden, waarbij wordt voorzien in gerichte bij- en omscholing die zeer relevant zijn voor de behoeften van de arbeidsmarkt, met als doel het beroepsonderwijs- en opleidingsstelsel te verbeteren met meer gerichte sectorale onderwijscentra en het onderwijs beter af te stemmen op de behoeften van de arbeidsmarkt. </w:t>
            </w:r>
          </w:p>
          <w:p w14:paraId="5341CC27" w14:textId="77777777" w:rsidR="00480F1C" w:rsidRDefault="00480F1C">
            <w:pPr>
              <w:pStyle w:val="Normal0"/>
              <w:pBdr>
                <w:top w:val="nil"/>
                <w:left w:val="nil"/>
                <w:bottom w:val="nil"/>
                <w:right w:val="nil"/>
                <w:between w:val="nil"/>
              </w:pBdr>
              <w:spacing w:after="0" w:line="240" w:lineRule="auto"/>
              <w:rPr>
                <w:noProof/>
              </w:rPr>
            </w:pPr>
          </w:p>
          <w:p w14:paraId="3B588C88" w14:textId="16B9D0B0"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Fonts w:ascii="Times New Roman" w:hAnsi="Times New Roman"/>
                <w:noProof/>
                <w:sz w:val="18"/>
              </w:rPr>
              <w:t>De onderwijswet, zoals gewijzigd bij het wijzigingsbesluit,</w:t>
            </w:r>
            <w:r>
              <w:rPr>
                <w:rFonts w:ascii="Times New Roman" w:hAnsi="Times New Roman"/>
                <w:noProof/>
                <w:color w:val="000000" w:themeColor="text1"/>
                <w:sz w:val="18"/>
              </w:rPr>
              <w:t xml:space="preserve"> moet:</w:t>
            </w:r>
            <w:r>
              <w:rPr>
                <w:noProof/>
              </w:rPr>
              <w:t xml:space="preserve"> </w:t>
            </w:r>
            <w:r>
              <w:rPr>
                <w:noProof/>
              </w:rPr>
              <w:br/>
            </w:r>
            <w:r>
              <w:rPr>
                <w:rFonts w:ascii="Times New Roman" w:hAnsi="Times New Roman"/>
                <w:noProof/>
                <w:color w:val="000000" w:themeColor="text1"/>
                <w:sz w:val="18"/>
              </w:rPr>
              <w:t xml:space="preserve">— Voorzien in een ontwikkelingsplan voor het netwerk van centra voor vaardigheden; </w:t>
            </w:r>
            <w:r>
              <w:rPr>
                <w:noProof/>
              </w:rPr>
              <w:t xml:space="preserve"> </w:t>
            </w:r>
            <w:r>
              <w:rPr>
                <w:noProof/>
              </w:rPr>
              <w:br/>
            </w:r>
            <w:r>
              <w:rPr>
                <w:rFonts w:ascii="Times New Roman" w:hAnsi="Times New Roman"/>
                <w:noProof/>
                <w:color w:val="000000" w:themeColor="text1"/>
                <w:sz w:val="18"/>
              </w:rPr>
              <w:t xml:space="preserve">— De plaats en de rol van de centra voor vaardigheden in het onderwijs- en opleidingsstelsel bepalen; </w:t>
            </w:r>
            <w:r>
              <w:rPr>
                <w:noProof/>
              </w:rPr>
              <w:t xml:space="preserve"> </w:t>
            </w:r>
            <w:r>
              <w:rPr>
                <w:noProof/>
              </w:rPr>
              <w:br/>
            </w:r>
            <w:r>
              <w:rPr>
                <w:rFonts w:ascii="Times New Roman" w:hAnsi="Times New Roman"/>
                <w:noProof/>
                <w:color w:val="000000" w:themeColor="text1"/>
                <w:sz w:val="18"/>
              </w:rPr>
              <w:t xml:space="preserve">— De voorwaarden vast te stellen voor de indienstneming van personeel in de vaardighedencentra; </w:t>
            </w:r>
            <w:r>
              <w:rPr>
                <w:noProof/>
              </w:rPr>
              <w:t xml:space="preserve"> </w:t>
            </w:r>
            <w:r>
              <w:rPr>
                <w:noProof/>
              </w:rPr>
              <w:br/>
            </w:r>
            <w:r>
              <w:rPr>
                <w:rFonts w:ascii="Times New Roman" w:hAnsi="Times New Roman"/>
                <w:noProof/>
                <w:color w:val="000000" w:themeColor="text1"/>
                <w:sz w:val="18"/>
              </w:rPr>
              <w:t xml:space="preserve">— Bepalingen vast te stellen voor cyclische evaluaties om het toezicht op het beheer ervan en de duurzaamheid na 2026 te waarborgen; </w:t>
            </w:r>
            <w:r>
              <w:rPr>
                <w:noProof/>
              </w:rPr>
              <w:t xml:space="preserve"> </w:t>
            </w:r>
            <w:r>
              <w:rPr>
                <w:noProof/>
              </w:rPr>
              <w:br/>
            </w:r>
            <w:r>
              <w:rPr>
                <w:rFonts w:ascii="Times New Roman" w:hAnsi="Times New Roman"/>
                <w:noProof/>
                <w:color w:val="000000" w:themeColor="text1"/>
                <w:sz w:val="18"/>
              </w:rPr>
              <w:t xml:space="preserve">— Een bestaand governancesysteem aan te passen met op maat gesneden bepalingen inzake de governance van vaardighedencentra, met inbegrip van werkgevers (met inbegrip van vertegenwoordigers van kmo’s), sociale partners en andere relevante belanghebbenden, waaronder regionale en lokale overheden; </w:t>
            </w:r>
          </w:p>
          <w:p w14:paraId="25F174E5" w14:textId="60C710F5"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 xml:space="preserve">- Financieringsregelingen vast te stellen (ook na beëindiging van de EU-steun), opleidingsvoorwaarden, voorzieningen voor loopbaanbegeleiding en curricula; en het </w:t>
            </w:r>
            <w:r>
              <w:rPr>
                <w:noProof/>
              </w:rPr>
              <w:t xml:space="preserve"> </w:t>
            </w:r>
            <w:r>
              <w:rPr>
                <w:noProof/>
              </w:rPr>
              <w:br/>
            </w:r>
            <w:r>
              <w:rPr>
                <w:rFonts w:ascii="Times New Roman" w:hAnsi="Times New Roman"/>
                <w:noProof/>
                <w:color w:val="000000" w:themeColor="text1"/>
                <w:sz w:val="18"/>
              </w:rPr>
              <w:t>— Vermeld de aangeboden soorten opleidingen, de doelgroepen, de soorten kwalificaties en normen, kwaliteitsborgings- en verificatiemechanismen en de wijze waarop de sectoren aan de centra voor vaardigheden worden gekoppeld.</w:t>
            </w:r>
          </w:p>
        </w:tc>
      </w:tr>
      <w:tr w:rsidR="00480F1C" w14:paraId="55A46812" w14:textId="77777777">
        <w:trPr>
          <w:trHeight w:val="313"/>
        </w:trPr>
        <w:tc>
          <w:tcPr>
            <w:tcW w:w="680" w:type="dxa"/>
            <w:tcBorders>
              <w:top w:val="single" w:sz="4" w:space="0" w:color="auto"/>
            </w:tcBorders>
            <w:shd w:val="clear" w:color="auto" w:fill="C6EFCE"/>
          </w:tcPr>
          <w:p w14:paraId="54368C02" w14:textId="344D183C"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A42G</w:t>
            </w:r>
          </w:p>
        </w:tc>
        <w:tc>
          <w:tcPr>
            <w:tcW w:w="1843" w:type="dxa"/>
            <w:tcBorders>
              <w:top w:val="single" w:sz="4" w:space="0" w:color="auto"/>
            </w:tcBorders>
            <w:shd w:val="clear" w:color="auto" w:fill="C6EFCE"/>
          </w:tcPr>
          <w:p w14:paraId="127A4402" w14:textId="676B4C22"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A3.1 Werknemers voor de moderne economie: betere afstemming van vaardigheden en kwalificaties op de behoeften van de arbeidsmarkt dankzij de invoering van nieuwe technologieën in de economie en de groene en digitale transformatie</w:t>
            </w:r>
          </w:p>
        </w:tc>
        <w:tc>
          <w:tcPr>
            <w:tcW w:w="992" w:type="dxa"/>
            <w:tcBorders>
              <w:top w:val="single" w:sz="4" w:space="0" w:color="auto"/>
            </w:tcBorders>
            <w:shd w:val="clear" w:color="auto" w:fill="C6EFCE"/>
          </w:tcPr>
          <w:p w14:paraId="21C1FA4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2126" w:type="dxa"/>
            <w:tcBorders>
              <w:top w:val="single" w:sz="4" w:space="0" w:color="auto"/>
            </w:tcBorders>
            <w:shd w:val="clear" w:color="auto" w:fill="C6EFCE"/>
          </w:tcPr>
          <w:p w14:paraId="65AFEF6D" w14:textId="111E151C"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de wet tot wijziging van de Wet op de lerarenopleiding die de permanente beroepsopleiding van leerkrachten mogelijk maakt in de centra voor sectorale vaardigheden</w:t>
            </w:r>
          </w:p>
        </w:tc>
        <w:tc>
          <w:tcPr>
            <w:tcW w:w="1701" w:type="dxa"/>
            <w:tcBorders>
              <w:top w:val="single" w:sz="4" w:space="0" w:color="auto"/>
            </w:tcBorders>
            <w:shd w:val="clear" w:color="auto" w:fill="C6EFCE"/>
          </w:tcPr>
          <w:p w14:paraId="7732FBFA" w14:textId="2DDF952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Bepaling in de wet tot wijziging van de Wet op de lerarenopleiding met vermelding van de inwerkingtreding ervan </w:t>
            </w:r>
          </w:p>
        </w:tc>
        <w:tc>
          <w:tcPr>
            <w:tcW w:w="992" w:type="dxa"/>
            <w:tcBorders>
              <w:top w:val="single" w:sz="4" w:space="0" w:color="auto"/>
            </w:tcBorders>
            <w:shd w:val="clear" w:color="auto" w:fill="C6EFCE"/>
          </w:tcPr>
          <w:p w14:paraId="7EE978C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3" w:type="dxa"/>
            <w:tcBorders>
              <w:top w:val="single" w:sz="4" w:space="0" w:color="auto"/>
            </w:tcBorders>
            <w:shd w:val="clear" w:color="auto" w:fill="C6EFCE"/>
          </w:tcPr>
          <w:p w14:paraId="4B9B179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850" w:type="dxa"/>
            <w:tcBorders>
              <w:top w:val="single" w:sz="4" w:space="0" w:color="auto"/>
            </w:tcBorders>
            <w:shd w:val="clear" w:color="auto" w:fill="C6EFCE"/>
          </w:tcPr>
          <w:p w14:paraId="38BC71D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tcBorders>
              <w:top w:val="single" w:sz="4" w:space="0" w:color="auto"/>
            </w:tcBorders>
            <w:shd w:val="clear" w:color="auto" w:fill="C6EFCE"/>
          </w:tcPr>
          <w:p w14:paraId="34E9DC5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3</w:t>
            </w:r>
          </w:p>
        </w:tc>
        <w:tc>
          <w:tcPr>
            <w:tcW w:w="709" w:type="dxa"/>
            <w:tcBorders>
              <w:top w:val="single" w:sz="4" w:space="0" w:color="auto"/>
            </w:tcBorders>
            <w:shd w:val="clear" w:color="auto" w:fill="C6EFCE"/>
          </w:tcPr>
          <w:p w14:paraId="21D5FB8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2023</w:t>
            </w:r>
          </w:p>
        </w:tc>
        <w:tc>
          <w:tcPr>
            <w:tcW w:w="4248" w:type="dxa"/>
            <w:tcBorders>
              <w:top w:val="single" w:sz="4" w:space="0" w:color="auto"/>
            </w:tcBorders>
            <w:shd w:val="clear" w:color="auto" w:fill="C6EFCE"/>
          </w:tcPr>
          <w:p w14:paraId="5BC8F912" w14:textId="47CD34D2"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De hervorming van de Teachers Act moet de centra voor sectorale vaardigheden in staat stellen permanente beroepsopleiding voor leerkrachten aan te bieden.</w:t>
            </w:r>
            <w:r>
              <w:rPr>
                <w:noProof/>
              </w:rPr>
              <w:t xml:space="preserve"> </w:t>
            </w:r>
            <w:r>
              <w:rPr>
                <w:noProof/>
              </w:rPr>
              <w:br/>
              <w:t xml:space="preserve"> </w:t>
            </w:r>
            <w:r>
              <w:rPr>
                <w:noProof/>
              </w:rPr>
              <w:br/>
            </w:r>
            <w:r>
              <w:rPr>
                <w:rFonts w:ascii="Times New Roman" w:hAnsi="Times New Roman"/>
                <w:noProof/>
                <w:sz w:val="18"/>
              </w:rPr>
              <w:t>De wet inzake leerkrachten, zoals gewijzigd bij het wijzigingsbesluit,</w:t>
            </w:r>
            <w:r>
              <w:rPr>
                <w:rFonts w:ascii="Times New Roman" w:hAnsi="Times New Roman"/>
                <w:noProof/>
                <w:color w:val="000000" w:themeColor="text1"/>
                <w:sz w:val="18"/>
              </w:rPr>
              <w:t xml:space="preserve"> moet:  </w:t>
            </w:r>
          </w:p>
          <w:p w14:paraId="740A495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 het kader bepalen voor de opleiding van leerkrachten in de vaardighedencentra; </w:t>
            </w:r>
          </w:p>
          <w:p w14:paraId="148F1373" w14:textId="42312FF9"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bepalingen opnemen voor de opleiding van leerkrachten met het oog op het gebruik van nieuwe technologieën. </w:t>
            </w:r>
          </w:p>
        </w:tc>
      </w:tr>
      <w:tr w:rsidR="00480F1C" w14:paraId="327304C6" w14:textId="77777777">
        <w:trPr>
          <w:trHeight w:val="313"/>
        </w:trPr>
        <w:tc>
          <w:tcPr>
            <w:tcW w:w="680" w:type="dxa"/>
            <w:shd w:val="clear" w:color="auto" w:fill="C6EFCE"/>
          </w:tcPr>
          <w:p w14:paraId="42E43797" w14:textId="0CA780BB"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A43G</w:t>
            </w:r>
          </w:p>
        </w:tc>
        <w:tc>
          <w:tcPr>
            <w:tcW w:w="1843" w:type="dxa"/>
            <w:shd w:val="clear" w:color="auto" w:fill="C6EFCE"/>
          </w:tcPr>
          <w:p w14:paraId="4835819C" w14:textId="575DD579"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A3.1 Werknemers voor de moderne economie: betere afstemming van vaardigheden en kwalificaties op de behoeften van de arbeidsmarkt dankzij de invoering van nieuwe technologieën in de economie en de groene en digitale transformatie</w:t>
            </w:r>
          </w:p>
        </w:tc>
        <w:tc>
          <w:tcPr>
            <w:tcW w:w="992" w:type="dxa"/>
            <w:shd w:val="clear" w:color="auto" w:fill="C6EFCE"/>
          </w:tcPr>
          <w:p w14:paraId="47BA21C7" w14:textId="45D36EB4"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2126" w:type="dxa"/>
            <w:shd w:val="clear" w:color="auto" w:fill="C6EFCE"/>
          </w:tcPr>
          <w:p w14:paraId="4AAE9C8B" w14:textId="2392AD6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Inwerkingtreding van de wetten tot wijziging van de wet inzake regionaal zelfbestuur, de wet inzake arbeidsmarktinstellingen, de wet inzake regionaal zelfbestuur en andere relevante wetten voor de coördinatie van beroepsonderwijs en -opleiding en een leven lang leren in de regio’s </w:t>
            </w:r>
          </w:p>
        </w:tc>
        <w:tc>
          <w:tcPr>
            <w:tcW w:w="1701" w:type="dxa"/>
            <w:shd w:val="clear" w:color="auto" w:fill="C6EFCE"/>
          </w:tcPr>
          <w:p w14:paraId="27B864C1" w14:textId="4D13A36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Bepalingen in de wetten tot wijziging van de wet inzake regionaal zelfbestuur, de wet inzake arbeidsmarktinstellingen, de wet inzake regionaal zelfbestuur en andere relevante handelingen waaruit blijkt dat zij van kracht zijn geworden</w:t>
            </w:r>
          </w:p>
        </w:tc>
        <w:tc>
          <w:tcPr>
            <w:tcW w:w="992" w:type="dxa"/>
            <w:shd w:val="clear" w:color="auto" w:fill="C6EFCE"/>
          </w:tcPr>
          <w:p w14:paraId="67FDF4F0" w14:textId="74304C0B"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3" w:type="dxa"/>
            <w:shd w:val="clear" w:color="auto" w:fill="C6EFCE"/>
          </w:tcPr>
          <w:p w14:paraId="14AA7734" w14:textId="7BE2366E"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50" w:type="dxa"/>
            <w:shd w:val="clear" w:color="auto" w:fill="C6EFCE"/>
          </w:tcPr>
          <w:p w14:paraId="6AABBB76" w14:textId="304F24A8"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92" w:type="dxa"/>
            <w:shd w:val="clear" w:color="auto" w:fill="C6EFCE"/>
          </w:tcPr>
          <w:p w14:paraId="59439933" w14:textId="673DFCE6"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1</w:t>
            </w:r>
          </w:p>
        </w:tc>
        <w:tc>
          <w:tcPr>
            <w:tcW w:w="709" w:type="dxa"/>
            <w:shd w:val="clear" w:color="auto" w:fill="C6EFCE"/>
          </w:tcPr>
          <w:p w14:paraId="1159129F" w14:textId="501BE26A"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4248" w:type="dxa"/>
            <w:shd w:val="clear" w:color="auto" w:fill="C6EFCE"/>
          </w:tcPr>
          <w:p w14:paraId="212C101E" w14:textId="7FF066E3"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Fonts w:ascii="Times New Roman" w:hAnsi="Times New Roman"/>
                <w:noProof/>
                <w:color w:val="000000" w:themeColor="text1"/>
                <w:sz w:val="18"/>
              </w:rPr>
              <w:t>De gewijzigde wetgevingshandelingen (met inbegrip van de wet inzake regionaal zelfbestuur, de wet inzake arbeidsmarktinstellingen, de wet inzake provinciaal zelfbestuur en andere relevante handelingen) stellen, na een herzieningsproces en in nauwe samenwerking met de lokale en regionale autoriteiten, de rechten en verantwoordelijkheden van de regio’s bij de coördinatie van het vaardighedenbeleid vast en beïnvloeden het bijscholingsaanbod van instellingen voor een leven lang leren op basis van operationele uitvoeringsprogramma’s voor de Poolse nationale geïntegreerde vaardighedenstrategie 2030 op regionaal niveau.</w:t>
            </w:r>
            <w:r>
              <w:rPr>
                <w:noProof/>
              </w:rPr>
              <w:t xml:space="preserve"> </w:t>
            </w:r>
            <w:r>
              <w:rPr>
                <w:noProof/>
              </w:rPr>
              <w:br/>
              <w:t xml:space="preserve"> </w:t>
            </w:r>
            <w:r>
              <w:rPr>
                <w:noProof/>
              </w:rPr>
              <w:br/>
            </w:r>
            <w:r>
              <w:rPr>
                <w:rFonts w:ascii="Times New Roman" w:hAnsi="Times New Roman"/>
                <w:noProof/>
                <w:color w:val="000000" w:themeColor="text1"/>
                <w:sz w:val="18"/>
              </w:rPr>
              <w:t>De wijzigingen omvatten:</w:t>
            </w:r>
            <w:r>
              <w:rPr>
                <w:noProof/>
              </w:rPr>
              <w:t xml:space="preserve"> </w:t>
            </w:r>
            <w:r>
              <w:rPr>
                <w:noProof/>
              </w:rPr>
              <w:br/>
            </w:r>
            <w:r>
              <w:rPr>
                <w:rFonts w:ascii="Times New Roman" w:hAnsi="Times New Roman"/>
                <w:noProof/>
                <w:color w:val="000000" w:themeColor="text1"/>
                <w:sz w:val="18"/>
              </w:rPr>
              <w:t xml:space="preserve">a) de juridische opzet en taken van regionale coördinatieteams voor de duurzame werking van de regionale coördinatie voor het beleid op het gebied van beroepsonderwijs en -opleiding, hoger onderwijs en een leven lang leren; </w:t>
            </w:r>
            <w:r>
              <w:rPr>
                <w:noProof/>
              </w:rPr>
              <w:t xml:space="preserve"> </w:t>
            </w:r>
            <w:r>
              <w:rPr>
                <w:noProof/>
              </w:rPr>
              <w:br/>
            </w:r>
            <w:r>
              <w:rPr>
                <w:rFonts w:ascii="Times New Roman" w:hAnsi="Times New Roman"/>
                <w:noProof/>
                <w:color w:val="000000" w:themeColor="text1"/>
                <w:sz w:val="18"/>
              </w:rPr>
              <w:t xml:space="preserve">de governancestructuur voor regionaal vaardighedenbeleid, met inbegrip van de verantwoordelijkheden van de regio’s en de sociale partners; </w:t>
            </w:r>
            <w:r>
              <w:rPr>
                <w:noProof/>
              </w:rPr>
              <w:t xml:space="preserve"> </w:t>
            </w:r>
            <w:r>
              <w:rPr>
                <w:noProof/>
              </w:rPr>
              <w:br/>
            </w:r>
            <w:r>
              <w:rPr>
                <w:rFonts w:ascii="Times New Roman" w:hAnsi="Times New Roman"/>
                <w:noProof/>
                <w:color w:val="000000" w:themeColor="text1"/>
                <w:sz w:val="18"/>
              </w:rPr>
              <w:t xml:space="preserve">een verplichting om op regionaal niveau operationele uitvoeringsprogramma’s voor de nationale geïntegreerde vaardighedenstrategie 2030 vast te stellen, met inbegrip van i) de verplichting om een uitvoeringsprogramma om de vijf jaar te actualiseren; en ii) de verplichting ervoor te zorgen dat het leeraanbod in het beroepsonderwijs en de andere aanbieders van beroepsopleidingen wordt aangepast aan de gediagnosticeerde vaardigheidsbehoeften; </w:t>
            </w:r>
            <w:r>
              <w:rPr>
                <w:noProof/>
              </w:rPr>
              <w:t xml:space="preserve"> </w:t>
            </w:r>
            <w:r>
              <w:rPr>
                <w:noProof/>
              </w:rPr>
              <w:br/>
            </w:r>
            <w:r>
              <w:rPr>
                <w:rFonts w:ascii="Times New Roman" w:hAnsi="Times New Roman"/>
                <w:noProof/>
                <w:color w:val="000000" w:themeColor="text1"/>
                <w:sz w:val="18"/>
              </w:rPr>
              <w:t xml:space="preserve">bepalingen voor de werking van het coördinatiebureau (dat diensten verleent aan de regionale coördinatieteams); en het </w:t>
            </w:r>
            <w:r>
              <w:rPr>
                <w:noProof/>
              </w:rPr>
              <w:t xml:space="preserve"> </w:t>
            </w:r>
            <w:r>
              <w:rPr>
                <w:noProof/>
              </w:rPr>
              <w:br/>
              <w:t xml:space="preserve"> </w:t>
            </w:r>
            <w:r>
              <w:rPr>
                <w:rFonts w:ascii="Times New Roman" w:hAnsi="Times New Roman"/>
                <w:noProof/>
                <w:color w:val="000000" w:themeColor="text1"/>
                <w:sz w:val="18"/>
              </w:rPr>
              <w:t xml:space="preserve">e) Bepalingen tot vaststelling van verplichtingen inzake toezicht en evaluatie. </w:t>
            </w:r>
            <w:r>
              <w:rPr>
                <w:noProof/>
              </w:rPr>
              <w:t xml:space="preserve"> </w:t>
            </w:r>
            <w:r>
              <w:rPr>
                <w:noProof/>
              </w:rPr>
              <w:br/>
            </w:r>
            <w:r>
              <w:rPr>
                <w:rFonts w:ascii="Times New Roman" w:hAnsi="Times New Roman"/>
                <w:noProof/>
                <w:color w:val="000000" w:themeColor="text1"/>
                <w:sz w:val="18"/>
              </w:rPr>
              <w:t>De geoperationaliseerde uitvoeringsprogramma’s voor de nationale geïntegreerde vaardighedenstrategie 2030 op regionaal niveau doen geen afbreuk aan de institutionele autonomie van instellingen voor hoger onderwijs.</w:t>
            </w:r>
          </w:p>
        </w:tc>
      </w:tr>
      <w:tr w:rsidR="00480F1C" w14:paraId="74BDFAAC" w14:textId="77777777">
        <w:trPr>
          <w:trHeight w:val="313"/>
        </w:trPr>
        <w:tc>
          <w:tcPr>
            <w:tcW w:w="680" w:type="dxa"/>
            <w:shd w:val="clear" w:color="auto" w:fill="C6EFCE"/>
          </w:tcPr>
          <w:p w14:paraId="00B008B9" w14:textId="11022BA0"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A44G</w:t>
            </w:r>
          </w:p>
        </w:tc>
        <w:tc>
          <w:tcPr>
            <w:tcW w:w="1843" w:type="dxa"/>
            <w:shd w:val="clear" w:color="auto" w:fill="C6EFCE"/>
          </w:tcPr>
          <w:p w14:paraId="714C4D0E" w14:textId="02A02663"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A3.1.1 Investeringen in moderne beroepsopleiding, hoger onderwijs en een leven lang leren</w:t>
            </w:r>
          </w:p>
        </w:tc>
        <w:tc>
          <w:tcPr>
            <w:tcW w:w="992" w:type="dxa"/>
            <w:shd w:val="clear" w:color="auto" w:fill="C6EFCE"/>
          </w:tcPr>
          <w:p w14:paraId="7371837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126" w:type="dxa"/>
            <w:shd w:val="clear" w:color="auto" w:fill="C6EFCE"/>
          </w:tcPr>
          <w:p w14:paraId="1F61D08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T1 — Opzetten van een netwerk van functionerende centra voor sectorale vaardigheden die gerichte bij- en omscholing bieden die zeer relevant zijn voor de behoeften van de arbeidsmarkt </w:t>
            </w:r>
          </w:p>
        </w:tc>
        <w:tc>
          <w:tcPr>
            <w:tcW w:w="1701" w:type="dxa"/>
            <w:shd w:val="clear" w:color="auto" w:fill="C6EFCE"/>
          </w:tcPr>
          <w:p w14:paraId="4CD2E59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shd w:val="clear" w:color="auto" w:fill="C6EFCE"/>
          </w:tcPr>
          <w:p w14:paraId="1B2052BD" w14:textId="77777777" w:rsidR="00480F1C" w:rsidRDefault="00A201F6">
            <w:pPr>
              <w:pStyle w:val="P68B1DB1-Normal011"/>
              <w:pBdr>
                <w:top w:val="nil"/>
                <w:left w:val="nil"/>
                <w:bottom w:val="nil"/>
                <w:right w:val="nil"/>
                <w:between w:val="nil"/>
              </w:pBdr>
              <w:spacing w:after="0" w:line="240" w:lineRule="auto"/>
              <w:jc w:val="both"/>
              <w:rPr>
                <w:rFonts w:eastAsia="Times New Roman" w:cs="Times New Roman"/>
                <w:noProof/>
                <w:color w:val="000000" w:themeColor="text1"/>
              </w:rPr>
            </w:pPr>
            <w:r>
              <w:rPr>
                <w:noProof/>
              </w:rPr>
              <w:t>Aantal</w:t>
            </w:r>
          </w:p>
        </w:tc>
        <w:tc>
          <w:tcPr>
            <w:tcW w:w="993" w:type="dxa"/>
            <w:shd w:val="clear" w:color="auto" w:fill="C6EFCE"/>
          </w:tcPr>
          <w:p w14:paraId="165DCE8A" w14:textId="77777777" w:rsidR="00480F1C" w:rsidRDefault="00A201F6">
            <w:pPr>
              <w:pStyle w:val="P68B1DB1-Normal011"/>
              <w:pBdr>
                <w:top w:val="nil"/>
                <w:left w:val="nil"/>
                <w:bottom w:val="nil"/>
                <w:right w:val="nil"/>
                <w:between w:val="nil"/>
              </w:pBdr>
              <w:spacing w:after="0" w:line="240" w:lineRule="auto"/>
              <w:jc w:val="both"/>
              <w:rPr>
                <w:rFonts w:eastAsia="Times New Roman" w:cs="Times New Roman"/>
                <w:noProof/>
                <w:color w:val="000000" w:themeColor="text1"/>
              </w:rPr>
            </w:pPr>
            <w:r>
              <w:rPr>
                <w:noProof/>
              </w:rPr>
              <w:t>0</w:t>
            </w:r>
          </w:p>
        </w:tc>
        <w:tc>
          <w:tcPr>
            <w:tcW w:w="850" w:type="dxa"/>
            <w:shd w:val="clear" w:color="auto" w:fill="C6EFCE"/>
          </w:tcPr>
          <w:p w14:paraId="72A4FFC0" w14:textId="1AFC5163" w:rsidR="00480F1C" w:rsidRDefault="00A201F6">
            <w:pPr>
              <w:pStyle w:val="P68B1DB1-Normal011"/>
              <w:pBdr>
                <w:top w:val="nil"/>
                <w:left w:val="nil"/>
                <w:bottom w:val="nil"/>
                <w:right w:val="nil"/>
                <w:between w:val="nil"/>
              </w:pBdr>
              <w:spacing w:after="0" w:line="240" w:lineRule="auto"/>
              <w:jc w:val="both"/>
              <w:rPr>
                <w:rFonts w:eastAsia="Times New Roman" w:cs="Times New Roman"/>
                <w:noProof/>
                <w:color w:val="000000" w:themeColor="text1"/>
              </w:rPr>
            </w:pPr>
            <w:r>
              <w:rPr>
                <w:noProof/>
              </w:rPr>
              <w:t>10</w:t>
            </w:r>
          </w:p>
        </w:tc>
        <w:tc>
          <w:tcPr>
            <w:tcW w:w="992" w:type="dxa"/>
            <w:shd w:val="clear" w:color="auto" w:fill="C6EFCE"/>
          </w:tcPr>
          <w:p w14:paraId="7ABBDE32" w14:textId="77777777" w:rsidR="00480F1C" w:rsidRDefault="00A201F6">
            <w:pPr>
              <w:pStyle w:val="P68B1DB1-Normal011"/>
              <w:pBdr>
                <w:top w:val="nil"/>
                <w:left w:val="nil"/>
                <w:bottom w:val="nil"/>
                <w:right w:val="nil"/>
                <w:between w:val="nil"/>
              </w:pBdr>
              <w:spacing w:after="0" w:line="240" w:lineRule="auto"/>
              <w:jc w:val="both"/>
              <w:rPr>
                <w:rFonts w:eastAsia="Times New Roman" w:cs="Times New Roman"/>
                <w:noProof/>
                <w:color w:val="000000" w:themeColor="text1"/>
              </w:rPr>
            </w:pPr>
            <w:r>
              <w:rPr>
                <w:noProof/>
              </w:rPr>
              <w:t>KWARTAAL 1</w:t>
            </w:r>
          </w:p>
        </w:tc>
        <w:tc>
          <w:tcPr>
            <w:tcW w:w="709" w:type="dxa"/>
            <w:shd w:val="clear" w:color="auto" w:fill="C6EFCE"/>
          </w:tcPr>
          <w:p w14:paraId="3A98CC6F" w14:textId="77777777" w:rsidR="00480F1C" w:rsidRDefault="00A201F6">
            <w:pPr>
              <w:pStyle w:val="P68B1DB1-Normal011"/>
              <w:pBdr>
                <w:top w:val="nil"/>
                <w:left w:val="nil"/>
                <w:bottom w:val="nil"/>
                <w:right w:val="nil"/>
                <w:between w:val="nil"/>
              </w:pBdr>
              <w:spacing w:after="0" w:line="240" w:lineRule="auto"/>
              <w:jc w:val="both"/>
              <w:rPr>
                <w:rFonts w:eastAsia="Times New Roman" w:cs="Times New Roman"/>
                <w:noProof/>
                <w:color w:val="000000" w:themeColor="text1"/>
              </w:rPr>
            </w:pPr>
            <w:r>
              <w:rPr>
                <w:noProof/>
              </w:rPr>
              <w:t>2024</w:t>
            </w:r>
          </w:p>
        </w:tc>
        <w:tc>
          <w:tcPr>
            <w:tcW w:w="4248" w:type="dxa"/>
            <w:shd w:val="clear" w:color="auto" w:fill="C6EFCE"/>
          </w:tcPr>
          <w:p w14:paraId="7E66CE4B" w14:textId="3D65BA40" w:rsidR="00480F1C" w:rsidRDefault="00A201F6">
            <w:pPr>
              <w:pStyle w:val="Normal0"/>
              <w:pBdr>
                <w:top w:val="nil"/>
                <w:left w:val="nil"/>
                <w:bottom w:val="nil"/>
                <w:right w:val="nil"/>
                <w:between w:val="nil"/>
              </w:pBdr>
              <w:spacing w:after="0" w:line="240" w:lineRule="auto"/>
              <w:jc w:val="both"/>
              <w:rPr>
                <w:rFonts w:ascii="Times New Roman" w:eastAsia="Times New Roman" w:hAnsi="Times New Roman" w:cs="Times New Roman"/>
                <w:noProof/>
                <w:color w:val="000000" w:themeColor="text1"/>
                <w:sz w:val="18"/>
              </w:rPr>
            </w:pPr>
            <w:r>
              <w:rPr>
                <w:rFonts w:ascii="Times New Roman" w:hAnsi="Times New Roman"/>
                <w:noProof/>
                <w:color w:val="000000" w:themeColor="text1"/>
                <w:sz w:val="18"/>
              </w:rPr>
              <w:t xml:space="preserve">Volledige werking van 10 centra voor sectorale vaardigheden en het aanbieden van beroepsopleidingen en curricula, onder meer voor volwassenen, studenten, jongeren, leerkrachten in beroepsonderwijs en -opleiding en werknemers. Deze informatie omvat: </w:t>
            </w:r>
            <w:r>
              <w:rPr>
                <w:noProof/>
              </w:rPr>
              <w:t xml:space="preserve"> </w:t>
            </w:r>
            <w:r>
              <w:rPr>
                <w:noProof/>
              </w:rPr>
              <w:br/>
            </w:r>
            <w:r>
              <w:rPr>
                <w:rFonts w:ascii="Times New Roman" w:hAnsi="Times New Roman"/>
                <w:noProof/>
                <w:color w:val="000000" w:themeColor="text1"/>
                <w:sz w:val="18"/>
              </w:rPr>
              <w:t>— bouw van centra voor vaardigheden;</w:t>
            </w:r>
            <w:r>
              <w:rPr>
                <w:noProof/>
              </w:rPr>
              <w:t xml:space="preserve"> </w:t>
            </w:r>
            <w:r>
              <w:rPr>
                <w:noProof/>
              </w:rPr>
              <w:br/>
            </w:r>
            <w:r>
              <w:rPr>
                <w:rFonts w:ascii="Times New Roman" w:hAnsi="Times New Roman"/>
                <w:noProof/>
                <w:color w:val="000000" w:themeColor="text1"/>
                <w:sz w:val="18"/>
              </w:rPr>
              <w:t xml:space="preserve">— aankoop van uitrusting (voor zover relevant voor de werking van de centra); </w:t>
            </w:r>
            <w:r>
              <w:rPr>
                <w:noProof/>
              </w:rPr>
              <w:t xml:space="preserve"> </w:t>
            </w:r>
            <w:r>
              <w:rPr>
                <w:noProof/>
              </w:rPr>
              <w:br/>
            </w:r>
            <w:r>
              <w:rPr>
                <w:rFonts w:ascii="Times New Roman" w:hAnsi="Times New Roman"/>
                <w:noProof/>
                <w:color w:val="000000" w:themeColor="text1"/>
                <w:sz w:val="18"/>
              </w:rPr>
              <w:t>— institutionele opzet van de centra, met inbegrip van de betrokkenheid van 90 sectorale organisaties;</w:t>
            </w:r>
          </w:p>
          <w:p w14:paraId="5C37074C" w14:textId="140EAAC5" w:rsidR="00480F1C" w:rsidRDefault="00A201F6">
            <w:pPr>
              <w:pStyle w:val="Normal0"/>
              <w:pBdr>
                <w:top w:val="nil"/>
                <w:left w:val="nil"/>
                <w:bottom w:val="nil"/>
                <w:right w:val="nil"/>
                <w:between w:val="nil"/>
              </w:pBdr>
              <w:spacing w:after="0" w:line="240" w:lineRule="auto"/>
              <w:jc w:val="both"/>
              <w:rPr>
                <w:rFonts w:ascii="Times New Roman" w:eastAsia="Times New Roman" w:hAnsi="Times New Roman" w:cs="Times New Roman"/>
                <w:noProof/>
                <w:color w:val="000000" w:themeColor="text1"/>
                <w:sz w:val="18"/>
              </w:rPr>
            </w:pPr>
            <w:r>
              <w:rPr>
                <w:rFonts w:ascii="Times New Roman" w:hAnsi="Times New Roman"/>
                <w:noProof/>
                <w:color w:val="000000" w:themeColor="text1"/>
                <w:sz w:val="18"/>
              </w:rPr>
              <w:t>— Indienstneming van personeel; en het</w:t>
            </w:r>
            <w:r>
              <w:rPr>
                <w:noProof/>
              </w:rPr>
              <w:t xml:space="preserve"> </w:t>
            </w:r>
            <w:r>
              <w:rPr>
                <w:noProof/>
              </w:rPr>
              <w:br/>
            </w:r>
            <w:r>
              <w:rPr>
                <w:rFonts w:ascii="Times New Roman" w:hAnsi="Times New Roman"/>
                <w:noProof/>
                <w:color w:val="000000" w:themeColor="text1"/>
                <w:sz w:val="18"/>
              </w:rPr>
              <w:t xml:space="preserve">— Volledig functionerende centra voor vaardigheden. </w:t>
            </w:r>
          </w:p>
          <w:p w14:paraId="7BB5652A" w14:textId="140EAAC5" w:rsidR="00480F1C" w:rsidRDefault="00480F1C">
            <w:pPr>
              <w:pStyle w:val="Normal0"/>
              <w:pBdr>
                <w:top w:val="nil"/>
                <w:left w:val="nil"/>
                <w:bottom w:val="nil"/>
                <w:right w:val="nil"/>
                <w:between w:val="nil"/>
              </w:pBdr>
              <w:spacing w:after="0" w:line="240" w:lineRule="auto"/>
              <w:jc w:val="both"/>
              <w:rPr>
                <w:rFonts w:ascii="Times New Roman" w:eastAsia="Times New Roman" w:hAnsi="Times New Roman" w:cs="Times New Roman"/>
                <w:noProof/>
                <w:color w:val="000000" w:themeColor="text1"/>
                <w:sz w:val="18"/>
              </w:rPr>
            </w:pPr>
          </w:p>
          <w:p w14:paraId="40C67536" w14:textId="77777777" w:rsidR="00480F1C" w:rsidRDefault="00A201F6">
            <w:pPr>
              <w:pStyle w:val="P68B1DB1-Normal011"/>
              <w:pBdr>
                <w:top w:val="nil"/>
                <w:left w:val="nil"/>
                <w:bottom w:val="nil"/>
                <w:right w:val="nil"/>
                <w:between w:val="nil"/>
              </w:pBdr>
              <w:spacing w:after="0" w:line="240" w:lineRule="auto"/>
              <w:jc w:val="both"/>
              <w:rPr>
                <w:rFonts w:eastAsia="Times New Roman" w:cs="Times New Roman"/>
                <w:noProof/>
                <w:color w:val="000000" w:themeColor="text1"/>
              </w:rPr>
            </w:pPr>
            <w:r>
              <w:rPr>
                <w:noProof/>
              </w:rPr>
              <w:t>De investering wordt uitgevoerd in volledige overeenstemming met de technische richtsnoeren inzake het beginsel „geen ernstige afbreuk doen aan” (2021/C 58/01). Met name moet de bouw van nieuwe gebouwen voldoen aan de norm voor bijna-energieneutrale gebouwen, zoals vastgesteld in de richtlijn energieprestatie van gebouwen.</w:t>
            </w:r>
          </w:p>
        </w:tc>
      </w:tr>
      <w:tr w:rsidR="00480F1C" w14:paraId="05399862" w14:textId="77777777">
        <w:trPr>
          <w:trHeight w:val="313"/>
        </w:trPr>
        <w:tc>
          <w:tcPr>
            <w:tcW w:w="680" w:type="dxa"/>
            <w:shd w:val="clear" w:color="auto" w:fill="C6EFCE"/>
          </w:tcPr>
          <w:p w14:paraId="3F6FB1E0" w14:textId="1B505A9D"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A45G</w:t>
            </w:r>
          </w:p>
        </w:tc>
        <w:tc>
          <w:tcPr>
            <w:tcW w:w="1843" w:type="dxa"/>
            <w:shd w:val="clear" w:color="auto" w:fill="C6EFCE"/>
          </w:tcPr>
          <w:p w14:paraId="50FB0DC0" w14:textId="6821853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A3.1.1 Investeringen in moderne beroepsopleiding, hoger onderwijs en een leven lang leren</w:t>
            </w:r>
          </w:p>
        </w:tc>
        <w:tc>
          <w:tcPr>
            <w:tcW w:w="992" w:type="dxa"/>
            <w:shd w:val="clear" w:color="auto" w:fill="C6EFCE"/>
          </w:tcPr>
          <w:p w14:paraId="6E661BB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126" w:type="dxa"/>
            <w:shd w:val="clear" w:color="auto" w:fill="C6EFCE"/>
          </w:tcPr>
          <w:p w14:paraId="799D3E5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T2 — Opzetten van een netwerk van functionerende centra voor sectorale vaardigheden die gerichte bij- en omscholing bieden die zeer relevant zijn voor de behoeften van de arbeidsmarkt </w:t>
            </w:r>
          </w:p>
        </w:tc>
        <w:tc>
          <w:tcPr>
            <w:tcW w:w="1701" w:type="dxa"/>
            <w:shd w:val="clear" w:color="auto" w:fill="C6EFCE"/>
          </w:tcPr>
          <w:p w14:paraId="5F11E8D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shd w:val="clear" w:color="auto" w:fill="C6EFCE"/>
          </w:tcPr>
          <w:p w14:paraId="61AB773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93" w:type="dxa"/>
            <w:shd w:val="clear" w:color="auto" w:fill="C6EFCE"/>
          </w:tcPr>
          <w:p w14:paraId="6A6A9027" w14:textId="3008CBD5"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10</w:t>
            </w:r>
          </w:p>
        </w:tc>
        <w:tc>
          <w:tcPr>
            <w:tcW w:w="850" w:type="dxa"/>
            <w:shd w:val="clear" w:color="auto" w:fill="C6EFCE"/>
          </w:tcPr>
          <w:p w14:paraId="6CC8039C"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120</w:t>
            </w:r>
          </w:p>
        </w:tc>
        <w:tc>
          <w:tcPr>
            <w:tcW w:w="992" w:type="dxa"/>
            <w:shd w:val="clear" w:color="auto" w:fill="C6EFCE"/>
          </w:tcPr>
          <w:p w14:paraId="484860D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3</w:t>
            </w:r>
          </w:p>
        </w:tc>
        <w:tc>
          <w:tcPr>
            <w:tcW w:w="709" w:type="dxa"/>
            <w:shd w:val="clear" w:color="auto" w:fill="C6EFCE"/>
          </w:tcPr>
          <w:p w14:paraId="31EAD39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4248" w:type="dxa"/>
            <w:shd w:val="clear" w:color="auto" w:fill="C6EFCE"/>
          </w:tcPr>
          <w:p w14:paraId="1400CE35" w14:textId="0431B0DB"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Fonts w:ascii="Times New Roman" w:hAnsi="Times New Roman"/>
                <w:noProof/>
                <w:color w:val="000000" w:themeColor="text1"/>
                <w:sz w:val="18"/>
              </w:rPr>
              <w:t xml:space="preserve">Volledige werking van 120 centra voor sectorale vaardigheden en het aanbieden van beroepsopleidingen en curricula, onder meer voor volwassenen, studenten, jongeren, leerkrachten in beroepsonderwijs en -opleiding en werknemers. Deze informatie omvat: </w:t>
            </w:r>
            <w:r>
              <w:rPr>
                <w:noProof/>
              </w:rPr>
              <w:t xml:space="preserve"> </w:t>
            </w:r>
            <w:r>
              <w:rPr>
                <w:noProof/>
              </w:rPr>
              <w:br/>
            </w:r>
            <w:r>
              <w:rPr>
                <w:rFonts w:ascii="Times New Roman" w:hAnsi="Times New Roman"/>
                <w:noProof/>
                <w:color w:val="000000" w:themeColor="text1"/>
                <w:sz w:val="18"/>
              </w:rPr>
              <w:t>— bouw van centra voor vaardigheden;</w:t>
            </w:r>
            <w:r>
              <w:rPr>
                <w:noProof/>
              </w:rPr>
              <w:t xml:space="preserve"> </w:t>
            </w:r>
            <w:r>
              <w:rPr>
                <w:noProof/>
              </w:rPr>
              <w:br/>
            </w:r>
            <w:r>
              <w:rPr>
                <w:rFonts w:ascii="Times New Roman" w:hAnsi="Times New Roman"/>
                <w:noProof/>
                <w:color w:val="000000" w:themeColor="text1"/>
                <w:sz w:val="18"/>
              </w:rPr>
              <w:t xml:space="preserve">— aankoop van uitrusting (voor zover relevant voor de werking van de centra); </w:t>
            </w:r>
            <w:r>
              <w:rPr>
                <w:noProof/>
              </w:rPr>
              <w:t xml:space="preserve"> </w:t>
            </w:r>
            <w:r>
              <w:rPr>
                <w:noProof/>
              </w:rPr>
              <w:br/>
            </w:r>
            <w:r>
              <w:rPr>
                <w:rFonts w:ascii="Times New Roman" w:hAnsi="Times New Roman"/>
                <w:noProof/>
                <w:color w:val="000000" w:themeColor="text1"/>
                <w:sz w:val="18"/>
              </w:rPr>
              <w:t>— institutionele opzet van 120 centra, met inbegrip van de betrokkenheid van 90 sectorale organisaties;</w:t>
            </w:r>
          </w:p>
          <w:p w14:paraId="02CC1AFD" w14:textId="0AE0DDC6"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Fonts w:ascii="Times New Roman" w:hAnsi="Times New Roman"/>
                <w:noProof/>
                <w:color w:val="000000" w:themeColor="text1"/>
                <w:sz w:val="18"/>
              </w:rPr>
              <w:t>— Indienstneming van personeel; en het</w:t>
            </w:r>
            <w:r>
              <w:rPr>
                <w:noProof/>
              </w:rPr>
              <w:t xml:space="preserve"> </w:t>
            </w:r>
            <w:r>
              <w:rPr>
                <w:noProof/>
              </w:rPr>
              <w:br/>
            </w:r>
            <w:r>
              <w:rPr>
                <w:rFonts w:ascii="Times New Roman" w:hAnsi="Times New Roman"/>
                <w:noProof/>
                <w:color w:val="000000" w:themeColor="text1"/>
                <w:sz w:val="18"/>
              </w:rPr>
              <w:t xml:space="preserve">— Volledig functionerende 120 centra voor vaardigheden. </w:t>
            </w:r>
          </w:p>
          <w:p w14:paraId="339F7ED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De investering wordt uitgevoerd in volledige overeenstemming met de technische richtsnoeren inzake het beginsel „geen ernstige afbreuk doen aan” (2021/C 58/01). Met name moet de bouw van nieuwe gebouwen voldoen aan de norm voor bijna-energieneutrale gebouwen, zoals vastgesteld in de richtlijn energieprestatie van gebouwen. </w:t>
            </w:r>
          </w:p>
        </w:tc>
      </w:tr>
      <w:tr w:rsidR="00480F1C" w14:paraId="4C240646" w14:textId="77777777">
        <w:trPr>
          <w:trHeight w:val="313"/>
        </w:trPr>
        <w:tc>
          <w:tcPr>
            <w:tcW w:w="680" w:type="dxa"/>
            <w:shd w:val="clear" w:color="auto" w:fill="C6EFCE"/>
          </w:tcPr>
          <w:p w14:paraId="0868EBB2" w14:textId="74B1096E"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A46G</w:t>
            </w:r>
          </w:p>
        </w:tc>
        <w:tc>
          <w:tcPr>
            <w:tcW w:w="1843" w:type="dxa"/>
            <w:shd w:val="clear" w:color="auto" w:fill="C6EFCE"/>
          </w:tcPr>
          <w:p w14:paraId="114EA541" w14:textId="5711162B"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A3.1.1 Investeringen in moderne beroepsopleiding, hoger onderwijs en een leven lang leren</w:t>
            </w:r>
          </w:p>
        </w:tc>
        <w:tc>
          <w:tcPr>
            <w:tcW w:w="992" w:type="dxa"/>
            <w:shd w:val="clear" w:color="auto" w:fill="C6EFCE"/>
          </w:tcPr>
          <w:p w14:paraId="3494F6A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126" w:type="dxa"/>
            <w:shd w:val="clear" w:color="auto" w:fill="C6EFCE"/>
          </w:tcPr>
          <w:p w14:paraId="359E20F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T1 — Vaardigheden voor lerenden in de centra voor sectorale vaardigheden, met inbegrip van certificering van leerresultaten (vaardigheden), afgegeven en erkend door de sector</w:t>
            </w:r>
          </w:p>
        </w:tc>
        <w:tc>
          <w:tcPr>
            <w:tcW w:w="1701" w:type="dxa"/>
            <w:shd w:val="clear" w:color="auto" w:fill="C6EFCE"/>
          </w:tcPr>
          <w:p w14:paraId="693C477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shd w:val="clear" w:color="auto" w:fill="C6EFCE"/>
          </w:tcPr>
          <w:p w14:paraId="3E7FF3B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93" w:type="dxa"/>
            <w:shd w:val="clear" w:color="auto" w:fill="C6EFCE"/>
          </w:tcPr>
          <w:p w14:paraId="7BD0726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50" w:type="dxa"/>
            <w:shd w:val="clear" w:color="auto" w:fill="C6EFCE"/>
          </w:tcPr>
          <w:p w14:paraId="7FA2A991" w14:textId="001848A8"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2 000</w:t>
            </w:r>
          </w:p>
        </w:tc>
        <w:tc>
          <w:tcPr>
            <w:tcW w:w="992" w:type="dxa"/>
            <w:shd w:val="clear" w:color="auto" w:fill="C6EFCE"/>
          </w:tcPr>
          <w:p w14:paraId="02A756F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3</w:t>
            </w:r>
          </w:p>
        </w:tc>
        <w:tc>
          <w:tcPr>
            <w:tcW w:w="709" w:type="dxa"/>
            <w:shd w:val="clear" w:color="auto" w:fill="C6EFCE"/>
          </w:tcPr>
          <w:p w14:paraId="378F754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2024</w:t>
            </w:r>
          </w:p>
        </w:tc>
        <w:tc>
          <w:tcPr>
            <w:tcW w:w="4248" w:type="dxa"/>
            <w:shd w:val="clear" w:color="auto" w:fill="C6EFCE"/>
          </w:tcPr>
          <w:p w14:paraId="6248ECC4" w14:textId="1C61EFF7" w:rsidR="00480F1C" w:rsidRDefault="00A201F6">
            <w:pPr>
              <w:pStyle w:val="P68B1DB1-Normal011"/>
              <w:pBdr>
                <w:top w:val="nil"/>
                <w:left w:val="nil"/>
                <w:bottom w:val="nil"/>
                <w:right w:val="nil"/>
                <w:between w:val="nil"/>
              </w:pBdr>
              <w:spacing w:after="0" w:line="240" w:lineRule="auto"/>
              <w:rPr>
                <w:rFonts w:cs="Times New Roman"/>
                <w:noProof/>
              </w:rPr>
            </w:pPr>
            <w:r>
              <w:rPr>
                <w:noProof/>
              </w:rPr>
              <w:t xml:space="preserve">2 000 personen moeten een opleiding hebben gevolgd in de centra voor sectorale vaardigheden. Elk van de opgeleide lerenden moet een door de sector erkende bevestiging van de behaalde leerresultaten (vaardigheden en kwalificaties) hebben ontvangen, afgegeven door de sectorale organisatie. </w:t>
            </w:r>
          </w:p>
        </w:tc>
      </w:tr>
      <w:tr w:rsidR="00480F1C" w14:paraId="2F9B7CB0" w14:textId="77777777">
        <w:trPr>
          <w:trHeight w:val="313"/>
        </w:trPr>
        <w:tc>
          <w:tcPr>
            <w:tcW w:w="680" w:type="dxa"/>
            <w:shd w:val="clear" w:color="auto" w:fill="C6EFCE"/>
          </w:tcPr>
          <w:p w14:paraId="5FE3165D" w14:textId="46C3BD58"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A47G</w:t>
            </w:r>
          </w:p>
        </w:tc>
        <w:tc>
          <w:tcPr>
            <w:tcW w:w="1843" w:type="dxa"/>
            <w:shd w:val="clear" w:color="auto" w:fill="C6EFCE"/>
          </w:tcPr>
          <w:p w14:paraId="3EC21356" w14:textId="6BF681C9"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A3.1.1 Investeringen in moderne beroepsopleiding, hoger onderwijs en een leven lang leren</w:t>
            </w:r>
          </w:p>
        </w:tc>
        <w:tc>
          <w:tcPr>
            <w:tcW w:w="992" w:type="dxa"/>
            <w:shd w:val="clear" w:color="auto" w:fill="C6EFCE"/>
          </w:tcPr>
          <w:p w14:paraId="5FD0F17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126" w:type="dxa"/>
            <w:shd w:val="clear" w:color="auto" w:fill="C6EFCE"/>
          </w:tcPr>
          <w:p w14:paraId="05754E8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T2 — Vaardigheden voor lerenden in de centra voor sectorale vaardigheden, met inbegrip van certificering van leerresultaten (vaardigheden), afgegeven en erkend door de sector</w:t>
            </w:r>
          </w:p>
        </w:tc>
        <w:tc>
          <w:tcPr>
            <w:tcW w:w="1701" w:type="dxa"/>
            <w:shd w:val="clear" w:color="auto" w:fill="C6EFCE"/>
          </w:tcPr>
          <w:p w14:paraId="2181972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shd w:val="clear" w:color="auto" w:fill="C6EFCE"/>
          </w:tcPr>
          <w:p w14:paraId="1CB940D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93" w:type="dxa"/>
            <w:shd w:val="clear" w:color="auto" w:fill="C6EFCE"/>
          </w:tcPr>
          <w:p w14:paraId="4D18D5A1" w14:textId="18C4970C"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2 000</w:t>
            </w:r>
          </w:p>
        </w:tc>
        <w:tc>
          <w:tcPr>
            <w:tcW w:w="850" w:type="dxa"/>
            <w:shd w:val="clear" w:color="auto" w:fill="C6EFCE"/>
          </w:tcPr>
          <w:p w14:paraId="7C31E1EB" w14:textId="3E1DF520"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16 000</w:t>
            </w:r>
          </w:p>
        </w:tc>
        <w:tc>
          <w:tcPr>
            <w:tcW w:w="992" w:type="dxa"/>
            <w:shd w:val="clear" w:color="auto" w:fill="C6EFCE"/>
          </w:tcPr>
          <w:p w14:paraId="35DAEC7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3</w:t>
            </w:r>
          </w:p>
        </w:tc>
        <w:tc>
          <w:tcPr>
            <w:tcW w:w="709" w:type="dxa"/>
            <w:shd w:val="clear" w:color="auto" w:fill="C6EFCE"/>
          </w:tcPr>
          <w:p w14:paraId="61E5211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4248" w:type="dxa"/>
            <w:shd w:val="clear" w:color="auto" w:fill="C6EFCE"/>
          </w:tcPr>
          <w:p w14:paraId="5739FEC8" w14:textId="4720DF83"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16 000 personen moeten een opleiding hebben gevolgd in de centra voor sectorale vaardigheden. Elk van de opgeleide lerenden moet een door de sector erkende bevestiging van de behaalde leerresultaten (vaardigheden en kwalificaties) hebben ontvangen, afgegeven door de sectorale organisatie.</w:t>
            </w:r>
          </w:p>
        </w:tc>
      </w:tr>
      <w:tr w:rsidR="00480F1C" w14:paraId="7FCF61A8" w14:textId="77777777">
        <w:trPr>
          <w:trHeight w:val="313"/>
        </w:trPr>
        <w:tc>
          <w:tcPr>
            <w:tcW w:w="680" w:type="dxa"/>
            <w:shd w:val="clear" w:color="auto" w:fill="C6EFCE"/>
          </w:tcPr>
          <w:p w14:paraId="6F8A58DE" w14:textId="5E43A086"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A48G</w:t>
            </w:r>
          </w:p>
        </w:tc>
        <w:tc>
          <w:tcPr>
            <w:tcW w:w="1843" w:type="dxa"/>
            <w:shd w:val="clear" w:color="auto" w:fill="C6EFCE"/>
          </w:tcPr>
          <w:p w14:paraId="0509A814" w14:textId="41234415"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A3.1.1 Investeringen in moderne beroepsopleiding, hoger onderwijs en een leven lang leren</w:t>
            </w:r>
          </w:p>
        </w:tc>
        <w:tc>
          <w:tcPr>
            <w:tcW w:w="992" w:type="dxa"/>
            <w:shd w:val="clear" w:color="auto" w:fill="C6EFCE"/>
          </w:tcPr>
          <w:p w14:paraId="35004FA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126" w:type="dxa"/>
            <w:shd w:val="clear" w:color="auto" w:fill="C6EFCE"/>
          </w:tcPr>
          <w:p w14:paraId="052ED5D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T3 — Vaardigheden voor lerenden in de centra voor sectorale vaardigheden, met inbegrip van certificering van leerresultaten (vaardigheden), afgegeven en erkend door de sector</w:t>
            </w:r>
          </w:p>
        </w:tc>
        <w:tc>
          <w:tcPr>
            <w:tcW w:w="1701" w:type="dxa"/>
            <w:shd w:val="clear" w:color="auto" w:fill="C6EFCE"/>
          </w:tcPr>
          <w:p w14:paraId="51756CA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shd w:val="clear" w:color="auto" w:fill="C6EFCE"/>
          </w:tcPr>
          <w:p w14:paraId="3B29AAD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93" w:type="dxa"/>
            <w:shd w:val="clear" w:color="auto" w:fill="C6EFCE"/>
          </w:tcPr>
          <w:p w14:paraId="2C2921B4" w14:textId="11D94BCB"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16 000</w:t>
            </w:r>
          </w:p>
        </w:tc>
        <w:tc>
          <w:tcPr>
            <w:tcW w:w="850" w:type="dxa"/>
            <w:shd w:val="clear" w:color="auto" w:fill="C6EFCE"/>
          </w:tcPr>
          <w:p w14:paraId="1CC88494" w14:textId="6E234FC6"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24 000</w:t>
            </w:r>
          </w:p>
        </w:tc>
        <w:tc>
          <w:tcPr>
            <w:tcW w:w="992" w:type="dxa"/>
            <w:shd w:val="clear" w:color="auto" w:fill="C6EFCE"/>
          </w:tcPr>
          <w:p w14:paraId="3F4224B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709" w:type="dxa"/>
            <w:shd w:val="clear" w:color="auto" w:fill="C6EFCE"/>
          </w:tcPr>
          <w:p w14:paraId="75D37C4C"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4248" w:type="dxa"/>
            <w:shd w:val="clear" w:color="auto" w:fill="C6EFCE"/>
          </w:tcPr>
          <w:p w14:paraId="14BDE0AB" w14:textId="681176E8"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24 000 personen moeten een opleiding hebben gevolgd in de centra voor sectorale vaardigheden. Elk van de opgeleide lerenden moet een door de sector erkende bevestiging van de behaalde leerresultaten (vaardigheden en kwalificaties) hebben ontvangen, afgegeven door de sectorale organisatie.</w:t>
            </w:r>
          </w:p>
        </w:tc>
      </w:tr>
      <w:tr w:rsidR="00480F1C" w14:paraId="5A0C4E3B" w14:textId="77777777">
        <w:trPr>
          <w:trHeight w:val="1871"/>
        </w:trPr>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74B1212" w14:textId="6372206D"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A49G</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B626F53" w14:textId="7F40344A"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A3.1.1 Investeringen in moderne beroepsopleiding, hoger onderwijs en een leven lang leren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631ED7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4134BF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Oprichting van functionerende regionale coördinatieteams die het beleid op het gebied van beroepsonderwijs en -opleiding en een leven lang leren coördineren </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B690AF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E79806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7F30171"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95318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D8BA8C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6F3685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42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BB175E7" w14:textId="2574797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Er worden ten minste 14 regionale coördinatieteams opgericht, met als algemene doelstelling 16 regionale coördinatieteams (één voor elk „woiwodschap”). De regionale coördinatieteams, bestaande uit de belangrijkste belanghebbenden, coördineren het beleid op het gebied van beroepsonderwijs en -opleiding en een leven lang leren, en werken samen met het hoger onderwijs in voorkomend geval en indien overeengekomen met de betrokken instellingen voor hoger onderwijs. </w:t>
            </w:r>
          </w:p>
        </w:tc>
      </w:tr>
      <w:tr w:rsidR="00480F1C" w14:paraId="4BF6C21B" w14:textId="77777777">
        <w:trPr>
          <w:trHeight w:val="313"/>
        </w:trPr>
        <w:tc>
          <w:tcPr>
            <w:tcW w:w="680" w:type="dxa"/>
            <w:shd w:val="clear" w:color="auto" w:fill="C6EFCE"/>
          </w:tcPr>
          <w:p w14:paraId="5A3C3AB2" w14:textId="2C52D715"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A50G</w:t>
            </w:r>
          </w:p>
        </w:tc>
        <w:tc>
          <w:tcPr>
            <w:tcW w:w="1843" w:type="dxa"/>
            <w:shd w:val="clear" w:color="auto" w:fill="C6EFCE"/>
          </w:tcPr>
          <w:p w14:paraId="729A86DD" w14:textId="3D9F5074"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A3.1.1 Investeringen in moderne beroepsopleiding, hoger onderwijs en een leven lang leren</w:t>
            </w:r>
          </w:p>
        </w:tc>
        <w:tc>
          <w:tcPr>
            <w:tcW w:w="992" w:type="dxa"/>
            <w:shd w:val="clear" w:color="auto" w:fill="C6EFCE"/>
          </w:tcPr>
          <w:p w14:paraId="6D1D645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126" w:type="dxa"/>
            <w:shd w:val="clear" w:color="auto" w:fill="C6EFCE"/>
          </w:tcPr>
          <w:p w14:paraId="3D0044C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Ontwikkeling van operationele uitvoeringsprogramma’s voor de geïntegreerde vaardighedenstrategie op regionaal niveau door de opgerichte regionale coördinatiegroepen voor beroepsonderwijs en -opleiding en een leven lang leren</w:t>
            </w:r>
          </w:p>
        </w:tc>
        <w:tc>
          <w:tcPr>
            <w:tcW w:w="1701" w:type="dxa"/>
            <w:shd w:val="clear" w:color="auto" w:fill="C6EFCE"/>
          </w:tcPr>
          <w:p w14:paraId="5D2FFEE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shd w:val="clear" w:color="auto" w:fill="C6EFCE"/>
          </w:tcPr>
          <w:p w14:paraId="1137F6F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93" w:type="dxa"/>
            <w:shd w:val="clear" w:color="auto" w:fill="C6EFCE"/>
          </w:tcPr>
          <w:p w14:paraId="132FFD6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50" w:type="dxa"/>
            <w:shd w:val="clear" w:color="auto" w:fill="C6EFCE"/>
          </w:tcPr>
          <w:p w14:paraId="052CBC2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14</w:t>
            </w:r>
          </w:p>
        </w:tc>
        <w:tc>
          <w:tcPr>
            <w:tcW w:w="992" w:type="dxa"/>
            <w:shd w:val="clear" w:color="auto" w:fill="C6EFCE"/>
          </w:tcPr>
          <w:p w14:paraId="62FEC38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3</w:t>
            </w:r>
          </w:p>
        </w:tc>
        <w:tc>
          <w:tcPr>
            <w:tcW w:w="709" w:type="dxa"/>
            <w:shd w:val="clear" w:color="auto" w:fill="C6EFCE"/>
          </w:tcPr>
          <w:p w14:paraId="4FF3EC8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2023</w:t>
            </w:r>
          </w:p>
        </w:tc>
        <w:tc>
          <w:tcPr>
            <w:tcW w:w="4248" w:type="dxa"/>
            <w:shd w:val="clear" w:color="auto" w:fill="C6EFCE"/>
          </w:tcPr>
          <w:p w14:paraId="434C4915" w14:textId="015A695A"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Er worden ten minste 14 geoperationaliseerde regionale uitvoeringsprogramma’s ontwikkeld, met als algemene doelstelling 16 regionale operationele uitvoeringsprogramma’s (één voor elk „woiwodschap”).</w:t>
            </w:r>
            <w:r>
              <w:rPr>
                <w:noProof/>
              </w:rPr>
              <w:t xml:space="preserve"> </w:t>
            </w:r>
            <w:r>
              <w:rPr>
                <w:noProof/>
              </w:rPr>
              <w:br/>
            </w:r>
            <w:r>
              <w:rPr>
                <w:rFonts w:ascii="Times New Roman" w:hAnsi="Times New Roman"/>
                <w:noProof/>
                <w:color w:val="000000" w:themeColor="text1"/>
                <w:sz w:val="18"/>
              </w:rPr>
              <w:t xml:space="preserve">De operationele uitvoeringsprogramma’s voor de nationale geïntegreerde vaardighedenstrategie 2030 bestrijken alle vormen van leren, met inbegrip van de coördinatie van beroepsonderwijs en -opleiding en een leven lang leren. </w:t>
            </w:r>
            <w:r>
              <w:rPr>
                <w:noProof/>
              </w:rPr>
              <w:t xml:space="preserve"> </w:t>
            </w:r>
            <w:r>
              <w:rPr>
                <w:noProof/>
              </w:rPr>
              <w:br/>
            </w:r>
            <w:r>
              <w:rPr>
                <w:rFonts w:ascii="Times New Roman" w:hAnsi="Times New Roman"/>
                <w:noProof/>
                <w:color w:val="000000" w:themeColor="text1"/>
                <w:sz w:val="18"/>
              </w:rPr>
              <w:t xml:space="preserve">Zij omvatten routekaarten voor de ontwikkeling van beroepsopleiding in de regio’s, waarbij rekening wordt gehouden met de digitale en de groene transitie en innovatie wordt bevorderd. </w:t>
            </w:r>
            <w:r>
              <w:rPr>
                <w:noProof/>
              </w:rPr>
              <w:t xml:space="preserve"> </w:t>
            </w:r>
            <w:r>
              <w:rPr>
                <w:noProof/>
              </w:rPr>
              <w:br/>
            </w:r>
            <w:r>
              <w:rPr>
                <w:rFonts w:ascii="Times New Roman" w:hAnsi="Times New Roman"/>
                <w:noProof/>
                <w:color w:val="000000" w:themeColor="text1"/>
                <w:sz w:val="18"/>
              </w:rPr>
              <w:t>Zij omvatten monitoring- en evaluatiemechanismen. De geoperationaliseerde uitvoeringsprogramma’s doen geen afbreuk aan de institutionele autonomie van instellingen voor hoger onderwijs.</w:t>
            </w:r>
          </w:p>
        </w:tc>
      </w:tr>
    </w:tbl>
    <w:p w14:paraId="1DA5B4A6" w14:textId="77777777" w:rsidR="00480F1C" w:rsidRDefault="00480F1C">
      <w:pPr>
        <w:rPr>
          <w:noProof/>
        </w:rPr>
        <w:sectPr w:rsidR="00480F1C" w:rsidSect="005A529A">
          <w:headerReference w:type="even" r:id="rId31"/>
          <w:headerReference w:type="default" r:id="rId32"/>
          <w:footerReference w:type="even" r:id="rId33"/>
          <w:footerReference w:type="default" r:id="rId34"/>
          <w:headerReference w:type="first" r:id="rId35"/>
          <w:footerReference w:type="first" r:id="rId36"/>
          <w:pgSz w:w="16839" w:h="11907" w:orient="landscape"/>
          <w:pgMar w:top="720" w:right="720" w:bottom="720" w:left="720" w:header="709" w:footer="359" w:gutter="0"/>
          <w:cols w:space="720"/>
        </w:sectPr>
      </w:pPr>
    </w:p>
    <w:p w14:paraId="20DD2944" w14:textId="1BE8EB3A" w:rsidR="00480F1C" w:rsidRDefault="00A201F6">
      <w:pPr>
        <w:pStyle w:val="P68B1DB1-Normal13"/>
        <w:rPr>
          <w:noProof/>
        </w:rPr>
      </w:pPr>
      <w:r>
        <w:rPr>
          <w:noProof/>
        </w:rPr>
        <w:t>A4 — ARBEIDSMARKT</w:t>
      </w:r>
    </w:p>
    <w:tbl>
      <w:tblPr>
        <w:tblW w:w="15731" w:type="dxa"/>
        <w:tblInd w:w="-29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115" w:type="dxa"/>
          <w:right w:w="115" w:type="dxa"/>
        </w:tblCellMar>
        <w:tblLook w:val="0400" w:firstRow="0" w:lastRow="0" w:firstColumn="0" w:lastColumn="0" w:noHBand="0" w:noVBand="1"/>
      </w:tblPr>
      <w:tblGrid>
        <w:gridCol w:w="802"/>
        <w:gridCol w:w="1865"/>
        <w:gridCol w:w="1040"/>
        <w:gridCol w:w="1847"/>
        <w:gridCol w:w="1712"/>
        <w:gridCol w:w="1159"/>
        <w:gridCol w:w="932"/>
        <w:gridCol w:w="885"/>
        <w:gridCol w:w="885"/>
        <w:gridCol w:w="944"/>
        <w:gridCol w:w="3660"/>
      </w:tblGrid>
      <w:tr w:rsidR="00480F1C" w14:paraId="78B44944" w14:textId="77777777">
        <w:trPr>
          <w:trHeight w:val="939"/>
          <w:tblHeader/>
        </w:trPr>
        <w:tc>
          <w:tcPr>
            <w:tcW w:w="82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0DD7E592" w14:textId="172A0F8B"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Volgende NR.</w:t>
            </w:r>
          </w:p>
        </w:tc>
        <w:tc>
          <w:tcPr>
            <w:tcW w:w="192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7E5B18C9"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Gerelateerde maatregel (hervorming of investering)</w:t>
            </w:r>
          </w:p>
        </w:tc>
        <w:tc>
          <w:tcPr>
            <w:tcW w:w="106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1C39CEE4"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Mijlpaal/Doelstelling</w:t>
            </w:r>
          </w:p>
        </w:tc>
        <w:tc>
          <w:tcPr>
            <w:tcW w:w="190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44BD188F"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Naam</w:t>
            </w:r>
          </w:p>
        </w:tc>
        <w:tc>
          <w:tcPr>
            <w:tcW w:w="176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3A5EB72F"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themeColor="text1"/>
                <w:sz w:val="18"/>
              </w:rPr>
              <w:t>Kwalitatieve indicatoren</w:t>
            </w:r>
            <w:r>
              <w:rPr>
                <w:noProof/>
              </w:rPr>
              <w:t xml:space="preserve"> </w:t>
            </w:r>
            <w:r>
              <w:rPr>
                <w:noProof/>
              </w:rPr>
              <w:br/>
            </w:r>
            <w:r>
              <w:rPr>
                <w:rFonts w:ascii="Times New Roman" w:hAnsi="Times New Roman"/>
                <w:b/>
                <w:noProof/>
                <w:color w:val="000000" w:themeColor="text1"/>
                <w:sz w:val="18"/>
              </w:rPr>
              <w:t>(voor mijlpalen)</w:t>
            </w:r>
          </w:p>
        </w:tc>
        <w:tc>
          <w:tcPr>
            <w:tcW w:w="259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3DFE4CE0"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themeColor="text1"/>
                <w:sz w:val="18"/>
              </w:rPr>
              <w:t>Kwantitatieve indicatoren</w:t>
            </w:r>
            <w:r>
              <w:rPr>
                <w:noProof/>
              </w:rPr>
              <w:t xml:space="preserve"> </w:t>
            </w:r>
            <w:r>
              <w:rPr>
                <w:noProof/>
              </w:rPr>
              <w:br/>
            </w:r>
            <w:r>
              <w:rPr>
                <w:rFonts w:ascii="Times New Roman" w:hAnsi="Times New Roman"/>
                <w:b/>
                <w:noProof/>
                <w:color w:val="000000" w:themeColor="text1"/>
                <w:sz w:val="18"/>
              </w:rPr>
              <w:t>(voor streefcijfers)</w:t>
            </w:r>
          </w:p>
        </w:tc>
        <w:tc>
          <w:tcPr>
            <w:tcW w:w="187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07C9F690"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Indicatieve termijn voor voltooiing </w:t>
            </w:r>
          </w:p>
        </w:tc>
        <w:tc>
          <w:tcPr>
            <w:tcW w:w="378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376C7589"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Beschrijving van elke mijlpaal en doelstelling</w:t>
            </w:r>
          </w:p>
        </w:tc>
      </w:tr>
      <w:tr w:rsidR="00480F1C" w14:paraId="3D73BA9B" w14:textId="77777777">
        <w:trPr>
          <w:trHeight w:val="689"/>
        </w:trPr>
        <w:tc>
          <w:tcPr>
            <w:tcW w:w="823" w:type="dxa"/>
            <w:vMerge/>
            <w:vAlign w:val="center"/>
          </w:tcPr>
          <w:p w14:paraId="562C75D1"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922" w:type="dxa"/>
            <w:vMerge/>
            <w:vAlign w:val="center"/>
          </w:tcPr>
          <w:p w14:paraId="664355AD"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068" w:type="dxa"/>
            <w:vMerge/>
            <w:vAlign w:val="center"/>
          </w:tcPr>
          <w:p w14:paraId="1A965116"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903" w:type="dxa"/>
            <w:vMerge/>
            <w:vAlign w:val="center"/>
          </w:tcPr>
          <w:p w14:paraId="7DF4E37C"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764" w:type="dxa"/>
            <w:vMerge/>
            <w:vAlign w:val="center"/>
          </w:tcPr>
          <w:p w14:paraId="44FB30F8"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04D9C059"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Eenheid</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46D61D3B"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Basislijn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44FCF72C"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Doelstelling</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16B0A478"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Kwartaal</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07C5301E"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Jaar</w:t>
            </w:r>
          </w:p>
        </w:tc>
        <w:tc>
          <w:tcPr>
            <w:tcW w:w="3780" w:type="dxa"/>
            <w:vMerge/>
            <w:vAlign w:val="center"/>
          </w:tcPr>
          <w:p w14:paraId="1DA6542E"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r>
      <w:tr w:rsidR="00480F1C" w14:paraId="18EE5016"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4C1D538" w14:textId="7EF42468"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A51G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A7E250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A4.1 Effectieve instellingen voor de arbeidsmarkt</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C4669F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C5B0465" w14:textId="7C2634BA"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Inwerkingtreding van nieuwe wetten inzake de openbare diensten voor arbeidsvoorziening, de tewerkstelling van onderdanen van derde landen en de elektronische sluiting van bepaalde arbeidsovereenkomsten:</w:t>
            </w:r>
            <w:r>
              <w:rPr>
                <w:noProof/>
              </w:rPr>
              <w:t xml:space="preserve"> </w:t>
            </w:r>
            <w:r>
              <w:rPr>
                <w:noProof/>
              </w:rPr>
              <w:br/>
            </w:r>
            <w:r>
              <w:rPr>
                <w:rFonts w:ascii="Times New Roman" w:hAnsi="Times New Roman"/>
                <w:noProof/>
                <w:color w:val="000000" w:themeColor="text1"/>
                <w:sz w:val="18"/>
              </w:rPr>
              <w:t xml:space="preserve">— het doorvoeren van veranderingen in de openbare diensten voor arbeidsvoorziening en het actieve </w:t>
            </w:r>
            <w:r>
              <w:rPr>
                <w:noProof/>
              </w:rPr>
              <w:t>arbeidsmarktbeleid om de arbeidsparticipatie te verhogen</w:t>
            </w:r>
            <w:r>
              <w:rPr>
                <w:rFonts w:ascii="Times New Roman" w:hAnsi="Times New Roman"/>
                <w:noProof/>
                <w:color w:val="000000" w:themeColor="text1"/>
                <w:sz w:val="18"/>
              </w:rPr>
              <w:t xml:space="preserve"> </w:t>
            </w:r>
            <w:r>
              <w:rPr>
                <w:noProof/>
              </w:rPr>
              <w:t xml:space="preserve"> </w:t>
            </w:r>
            <w:r>
              <w:rPr>
                <w:noProof/>
              </w:rPr>
              <w:br/>
              <w:t xml:space="preserve"> </w:t>
            </w:r>
            <w:r>
              <w:rPr>
                <w:rFonts w:ascii="Times New Roman" w:hAnsi="Times New Roman"/>
                <w:noProof/>
                <w:color w:val="000000" w:themeColor="text1"/>
                <w:sz w:val="18"/>
              </w:rPr>
              <w:t>vermindering van de administratieve belemmeringen voor het in dienst nemen van buitenlanders</w:t>
            </w:r>
            <w:r>
              <w:rPr>
                <w:noProof/>
              </w:rPr>
              <w:t xml:space="preserve"> </w:t>
            </w:r>
            <w:r>
              <w:rPr>
                <w:noProof/>
              </w:rPr>
              <w:br/>
              <w:t xml:space="preserve"> </w:t>
            </w:r>
            <w:r>
              <w:rPr>
                <w:rFonts w:ascii="Times New Roman" w:hAnsi="Times New Roman"/>
                <w:noProof/>
                <w:color w:val="000000" w:themeColor="text1"/>
                <w:sz w:val="18"/>
              </w:rPr>
              <w:t>vereenvoudiging van de procedure voor het sluiten van bepaalde overeenkomsten</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035EDD3" w14:textId="60C1B6C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wetgeving inzake de openbare diensten voor arbeidsvoorziening, de tewerkstelling van onderdanen van derde landen en betreffende de elektronische sluiting van bepaalde arbeidsovereenkomsten, met vermelding van de inwerkingtreding</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42A035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069FD4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FA58E2B"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68D4F3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54DE2D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0E9CF99" w14:textId="2224E75F"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Inwerkingtreding van drie nieuwe wetten, waarbij nieuwe bepalingen worden ingevoerd:</w:t>
            </w:r>
          </w:p>
          <w:p w14:paraId="51B90689" w14:textId="77777777"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noProof/>
              </w:rPr>
              <w:t xml:space="preserve"> </w:t>
            </w:r>
            <w:r>
              <w:rPr>
                <w:noProof/>
              </w:rPr>
              <w:br/>
            </w:r>
            <w:r>
              <w:rPr>
                <w:rFonts w:ascii="Times New Roman" w:hAnsi="Times New Roman"/>
                <w:noProof/>
                <w:color w:val="000000" w:themeColor="text1"/>
                <w:sz w:val="18"/>
              </w:rPr>
              <w:t>1. Inzake openbare diensten voor arbeidsvoorziening en actief arbeidsmarktbeleid, om de arbeidsparticipatie te verhogen door: I) uitbreiding van de groep cliënten van arbeidsbureaus tot personen die beroepshalve niet actief zijn; II) het identificeren en bereiken van economisch inactieven die mogelijk een beroepsactiviteit kunnen uitoefenen, iii) het invoeren van een verplichting voor werkgevers uit de publieke en de particuliere sector (voor ondernemers die overheidsmiddelen gebruiken, zoals door deel te nemen aan aanbestedingen) om vacatures in te dienen bij de centrale databank voor vacatures; IV) het verbeteren van de toegang tot een leven lang leren voor werkzoekenden door opleidingskosten uit het Arbeidsfonds te financieren en de verwerving van kennis en vaardigheden, met inbegrip van beroepskwalificaties, te certificeren; (V) invoering van een nieuwe vorm van steun (een voucher voor voortgezet onderwijs) voor zowel werkenden als werklozen.</w:t>
            </w:r>
          </w:p>
          <w:p w14:paraId="423D42B3" w14:textId="042D36E9"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noProof/>
              </w:rPr>
              <w:t xml:space="preserve"> </w:t>
            </w:r>
            <w:r>
              <w:rPr>
                <w:noProof/>
              </w:rPr>
              <w:br/>
            </w:r>
            <w:r>
              <w:rPr>
                <w:rFonts w:ascii="Times New Roman" w:hAnsi="Times New Roman"/>
                <w:noProof/>
                <w:color w:val="000000" w:themeColor="text1"/>
                <w:sz w:val="18"/>
              </w:rPr>
              <w:t xml:space="preserve">2. De administratieve belemmeringen verminderen en de procedures voor de tewerkstelling van buitenlanders stroomlijnen: I) de openbare diensten voor arbeidsvoorziening moeten binnen de ODA’s gespecialiseerde diensten kunnen opzetten (geen afzonderlijk bureau) ter ondersteuning van buitenlanders op de arbeidsmarkt, zowel voor werknemers als voor werklozen; II) de rol van de openbare diensten voor arbeidsvoorziening neemt toe in het proces van afgifte van arbeidsvergunningen voor buitenlanders, waardoor het efficiënter wordt; III) bepalingen tot vaststelling van een kader voor de volledige digitalisering van de procedures voor het verkrijgen van een werkvergunning voor vreemdelingen treden in werking. </w:t>
            </w:r>
          </w:p>
          <w:p w14:paraId="52B62F77" w14:textId="5F552982"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noProof/>
              </w:rPr>
              <w:t xml:space="preserve"> </w:t>
            </w:r>
            <w:r>
              <w:rPr>
                <w:noProof/>
              </w:rPr>
              <w:br/>
            </w:r>
            <w:r>
              <w:rPr>
                <w:rFonts w:ascii="Times New Roman" w:hAnsi="Times New Roman"/>
                <w:noProof/>
                <w:color w:val="000000" w:themeColor="text1"/>
                <w:sz w:val="18"/>
              </w:rPr>
              <w:t>3. Betreffende de elektronische sluiting van bepaalde contracten, om het aanwervingsproces te vereenvoudigen. De wettelijke voorschriften voorzien in de mogelijkheid om bepaalde arbeidsovereenkomsten elektronisch te sluiten en af te wikkelen, geïntegreerd in de socialezekerheids- en belastingstelsels. Dit vergemakkelijkt het aangaan van een arbeidsverhouding.</w:t>
            </w:r>
          </w:p>
        </w:tc>
      </w:tr>
      <w:tr w:rsidR="00480F1C" w14:paraId="4D9D8288"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028211" w14:textId="7725A808"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A52G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23BB20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A4.1 Effectieve instellingen voor de arbeidsmarkt</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598856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BB2B7D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Nieuwe normen en prestatiekader voor de werking en coördinatie van de openbare diensten voor arbeidsvoorziening</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7058A95" w14:textId="3B6D5DA8"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Goedkeuring door het ministerie van Gezinszaken en Sociaal Beleid (MRiPS)</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05B441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7B578C6"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FA429C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D0FD3D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ED0F85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2023</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48DC5FE" w14:textId="14CD55FC"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Nieuwe prestatienormen en beheersprestatiekader, met inbegrip van:</w:t>
            </w:r>
            <w:r>
              <w:rPr>
                <w:noProof/>
              </w:rPr>
              <w:t xml:space="preserve"> </w:t>
            </w:r>
            <w:r>
              <w:rPr>
                <w:noProof/>
              </w:rPr>
              <w:br/>
            </w:r>
            <w:r>
              <w:rPr>
                <w:rFonts w:ascii="Times New Roman" w:hAnsi="Times New Roman"/>
                <w:noProof/>
                <w:color w:val="000000" w:themeColor="text1"/>
                <w:sz w:val="18"/>
              </w:rPr>
              <w:t>— Aanpassingen van de nieuwe wetten inzake de openbare diensten voor arbeidsvoorziening, de tewerkstelling van onderdanen van derde landen en de elektronische sluiting van bepaalde arbeidsovereenkomsten;</w:t>
            </w:r>
            <w:r>
              <w:rPr>
                <w:noProof/>
              </w:rPr>
              <w:t xml:space="preserve"> </w:t>
            </w:r>
            <w:r>
              <w:rPr>
                <w:noProof/>
              </w:rPr>
              <w:br/>
              <w:t xml:space="preserve"> </w:t>
            </w:r>
            <w:r>
              <w:rPr>
                <w:rFonts w:ascii="Times New Roman" w:hAnsi="Times New Roman"/>
                <w:noProof/>
                <w:color w:val="000000" w:themeColor="text1"/>
                <w:sz w:val="18"/>
              </w:rPr>
              <w:t>— Het opzetten van een prestatiebeheersysteem voor gedecentraliseerde openbare diensten voor arbeidsvoorziening;</w:t>
            </w:r>
            <w:r>
              <w:rPr>
                <w:noProof/>
              </w:rPr>
              <w:t xml:space="preserve"> </w:t>
            </w:r>
            <w:r>
              <w:rPr>
                <w:noProof/>
              </w:rPr>
              <w:br/>
              <w:t xml:space="preserve"> </w:t>
            </w:r>
            <w:r>
              <w:rPr>
                <w:rFonts w:ascii="Times New Roman" w:hAnsi="Times New Roman"/>
                <w:noProof/>
                <w:color w:val="000000" w:themeColor="text1"/>
                <w:sz w:val="18"/>
              </w:rPr>
              <w:t>— Ontwikkeling van nieuwe werkmethoden en normen voor het functioneren en de coördinatie van de openbare diensten voor arbeidsvoorziening op basis van de vastgestelde nieuwe verordeningen (om deze operationeel te maken en te optimaliseren; de ontwikkeling van nieuwe normen voor klantendiensten wordt uitgevoerd met medefinanciering uit het ESF +).</w:t>
            </w:r>
          </w:p>
        </w:tc>
      </w:tr>
      <w:tr w:rsidR="00480F1C" w14:paraId="78EA2D86"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5440C04" w14:textId="7AAC3DA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A53G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53C7DB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A4.1 Effectieve instellingen voor de arbeidsmarkt</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7E671A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DAFA44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De sociale partners te raadplegen over de mogelijkheden voor collectieve overeenkomsten en een uitgebreide studie uit te voeren naar de mogelijke rol van één arbeidscontract om nieuwe flexibiliteit en zekerheid op de Poolse arbeidsmarkt te creëren</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39491C" w14:textId="44704ECE"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Publicatie door het ministerie van Gezinszaken en Sociaal Beleid (MRiPS) van een verslag over de raadpleging van de sociale partners</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E64FEA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5B8C8A"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48DBDE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026343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57ED58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A58D1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Het doel van de raadpleging van de sociale partners is de rol en het potentieel van collectieve overeenkomsten op de Poolse arbeidsmarkt in kaart te brengen om nieuwe flexibiliteit te bieden die aansluit bij nieuwe en snel veranderende realiteiten. Er wordt een studie uitgevoerd om het potentieel van één enkele arbeidsovereenkomst te onderzoeken, analytische en juridische onderbouwing te verschaffen en gebruik te maken van vergelijkende analyses. Het kan worden ontwikkeld met de steun van internationale organisaties en/of met specifieke technische bijstand. </w:t>
            </w:r>
          </w:p>
        </w:tc>
      </w:tr>
      <w:tr w:rsidR="00480F1C" w14:paraId="635CFE29"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6DE38F6" w14:textId="3CC62E86"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A54G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BD55F7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A4.1 Effectieve instellingen voor de arbeidsmarkt</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174ED5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5834AE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wijziging van de relevante wetten ter uitvoering van de hervormingsprioriteiten die zijn vastgesteld in de raadpleging over collectieve overeenkomsten en in de studie over één arbeidsovereenkomst in Polen</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D1ABA93" w14:textId="5C747596"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wijziging van relevante wetten met vermelding van de inwerkingtreding ervan</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52D7DC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E83572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6FD6BF3"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1C7C0D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3</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5689B9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2024</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7ADEBCE" w14:textId="238C1F16"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wijziging van de relevante wetten ter uitvoering van de hervormingsprioriteiten die zijn vastgesteld in de studie over de mogelijke rol van de ene arbeidsovereenkomst en volgens de raadpleging over collectieve overeenkomsten.</w:t>
            </w:r>
          </w:p>
        </w:tc>
      </w:tr>
      <w:tr w:rsidR="00480F1C" w14:paraId="5346AC47"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A19E73" w14:textId="19F3921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A55G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6B9384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A4.1.1 Investeringen ter ondersteuning van de hervorming van de arbeidsmarktinstellingen</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05E76A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0810EE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Openbare dienst voor arbeidsvoorziening (ODA’s) waar gemoderniseerde IT-systemen worden ingevoerd</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EEEC1A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9F3FE7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(percentage)</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F6BB521"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2B72823"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100</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328810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76489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E532881" w14:textId="24686B5B"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Aandeel van de openbare dienst voor arbeidsvoorziening (kantoren) waar de IT-systemen worden uitgerold. De uitvoering bestaat uit:</w:t>
            </w:r>
            <w:r>
              <w:rPr>
                <w:noProof/>
              </w:rPr>
              <w:t xml:space="preserve"> </w:t>
            </w:r>
            <w:r>
              <w:rPr>
                <w:noProof/>
              </w:rPr>
              <w:br/>
            </w:r>
            <w:r>
              <w:rPr>
                <w:rFonts w:ascii="Times New Roman" w:hAnsi="Times New Roman"/>
                <w:noProof/>
                <w:color w:val="000000" w:themeColor="text1"/>
                <w:sz w:val="18"/>
              </w:rPr>
              <w:t>— Modernisering van het IT-systeem (invoering van nieuwe functies van het huidige IT-systeem, aanpassing aan de nieuwe taken overeenkomstig de nieuwe wet, zoals nieuwe taken van diensten voor buitenlanders) om de procedures voor actief arbeidsmarktbeleid (AAMB) en openbare diensten voor arbeidsvoorziening (ODA’s) en digitale instrumenten voor actief arbeidsmarktbeleid in openbare diensten voor arbeidsvoorziening doeltreffend te beheren, en op relevante gebieden te integreren met gegevens uit andere aanvullende IT-systemen (waaronder socialezekerheids- en belastingregisters);</w:t>
            </w:r>
            <w:r>
              <w:rPr>
                <w:noProof/>
              </w:rPr>
              <w:t xml:space="preserve"> </w:t>
            </w:r>
            <w:r>
              <w:rPr>
                <w:noProof/>
              </w:rPr>
              <w:br/>
            </w:r>
            <w:r>
              <w:rPr>
                <w:rFonts w:ascii="Times New Roman" w:hAnsi="Times New Roman"/>
                <w:noProof/>
                <w:color w:val="000000" w:themeColor="text1"/>
                <w:sz w:val="18"/>
              </w:rPr>
              <w:t>Digitalisering van de door de ODA’s gebruikte processen en instrumenten;</w:t>
            </w:r>
            <w:r>
              <w:rPr>
                <w:noProof/>
              </w:rPr>
              <w:t xml:space="preserve"> </w:t>
            </w:r>
            <w:r>
              <w:rPr>
                <w:noProof/>
              </w:rPr>
              <w:br/>
            </w:r>
            <w:r>
              <w:rPr>
                <w:rFonts w:ascii="Times New Roman" w:hAnsi="Times New Roman"/>
                <w:noProof/>
                <w:color w:val="000000" w:themeColor="text1"/>
                <w:sz w:val="18"/>
              </w:rPr>
              <w:t>— Modernisering van bestaande of implementatie van nieuwe IT-oplossingen die door ODA’s worden gebruikt en ter ondersteuning van ODA-cliënten;</w:t>
            </w:r>
            <w:r>
              <w:rPr>
                <w:noProof/>
              </w:rPr>
              <w:t xml:space="preserve"> </w:t>
            </w:r>
            <w:r>
              <w:rPr>
                <w:noProof/>
              </w:rPr>
              <w:br/>
            </w:r>
            <w:r>
              <w:rPr>
                <w:rFonts w:ascii="Times New Roman" w:hAnsi="Times New Roman"/>
                <w:noProof/>
                <w:color w:val="000000" w:themeColor="text1"/>
                <w:sz w:val="18"/>
              </w:rPr>
              <w:t>Uitbreiding van de ICT-infrastructuur van de ODA’s;</w:t>
            </w:r>
            <w:r>
              <w:rPr>
                <w:noProof/>
              </w:rPr>
              <w:t xml:space="preserve"> </w:t>
            </w:r>
            <w:r>
              <w:rPr>
                <w:noProof/>
              </w:rPr>
              <w:br/>
            </w:r>
            <w:r>
              <w:rPr>
                <w:rFonts w:ascii="Times New Roman" w:hAnsi="Times New Roman"/>
                <w:noProof/>
                <w:color w:val="000000" w:themeColor="text1"/>
                <w:sz w:val="18"/>
              </w:rPr>
              <w:t>— Invoering van nieuwe communicatiemiddelen (met inbegrip van IT) met de klanten.</w:t>
            </w:r>
          </w:p>
        </w:tc>
      </w:tr>
      <w:tr w:rsidR="00480F1C" w14:paraId="18D62F36"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CB76B51" w14:textId="303833CE"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A56G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1175B9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A4.1.1 Investeringen ter ondersteuning van de hervorming van de arbeidsmarktinstellingen</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531FA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8FA922" w14:textId="622ECF6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Personeel van de openbare dienst voor arbeidsvoorziening (ODA’s) opgeleid in de toepassing van nieuwe procedures en het gebruik van IT-instrumenten, ingevoerd als gevolg van de nieuwe wetgeving inzake ODA’s, de tewerkstelling van onderdanen van derde landen en de elektronische sluiting van bepaalde arbeidsovereenkomsten</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C7E31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44A87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(percentage)</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3AF864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EC8893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50</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E97E03F"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1</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A78E45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829B1A5" w14:textId="16C7A2CD"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Werknemers van de openbare dienst voor arbeidsvoorziening (ODA’s) voltooien een opleiding over de nieuwe procedures en normen die zijn vastgesteld in de nieuwe wetten inzake openbare diensten voor arbeidsvoorziening, de tewerkstelling van onderdanen van derde landen en de elektronische sluiting van bepaalde arbeidsovereenkomsten, alsook in IT-instrumenten en IT-systemen die deze nieuwe instrumenten en procedures beheren. De doelstelling heeft betrekking op een percentage van het totale personeel van de openbare diensten voor arbeidsvoorziening dat is opgeleid.</w:t>
            </w:r>
          </w:p>
        </w:tc>
      </w:tr>
      <w:tr w:rsidR="00480F1C" w14:paraId="42779281"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24139B5" w14:textId="77282932"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A57G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843DFEC" w14:textId="19E7A9DA"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A4.2 Hervorming om de arbeidsmarktsituatie van ouders te verbeteren door de toegang tot hoogwaardige kinderopvang voor kinderen tot drie jaar te verbeteren</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98DFDA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490950" w14:textId="0488401F" w:rsidR="00480F1C" w:rsidRDefault="00A201F6">
            <w:pPr>
              <w:pStyle w:val="P68B1DB1-Normal011"/>
              <w:pBdr>
                <w:left w:val="nil"/>
                <w:bottom w:val="nil"/>
                <w:right w:val="nil"/>
                <w:between w:val="nil"/>
              </w:pBdr>
              <w:spacing w:after="0" w:line="240" w:lineRule="auto"/>
              <w:rPr>
                <w:rFonts w:eastAsia="Times New Roman" w:cs="Times New Roman"/>
                <w:noProof/>
              </w:rPr>
            </w:pPr>
            <w:r>
              <w:rPr>
                <w:noProof/>
              </w:rPr>
              <w:t>Vaststelling van kwaliteitsnormen voor kinderopvang, met inbegrip van onderwijsrichtsnoeren en normen voor zorgdiensten voor kinderen jonger dan drie jaar, waarbij hoge kwaliteit wordt gewaarborgd, met inbegrip van onderwijs en zorg</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C0EFF0B" w14:textId="60BDED18"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toepasselijke wet die de inwerkingtreding aangeeft</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E85448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0342F75"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E6A004A"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3BCF9AA" w14:textId="713DA5C8"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94D2E4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2023</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7F4E5A3" w14:textId="749E870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Onafhankelijke analyse van de mate waarin de bestaande normen voor opvang en onderwijs voor kinderen tot drie jaar toegang bieden tot hoogwaardige en betaalbare stelsels voor voor- en vroegschoolse educatie en opvang. Bij de analyse wordt rekening gehouden met de aanbeveling van de Raad van 22 mei 2019 betreffende stelsels voor kwaliteitsvolle voor- en vroegschoolse educatie en opvang (2019/C 189/02) en wordt gepresenteerd in een verslag dat door het ministerie van Gezinszaken en Sociaal Beleid wordt gepubliceerd.</w:t>
            </w:r>
          </w:p>
          <w:p w14:paraId="42719EAC" w14:textId="20E88632" w:rsidR="00480F1C" w:rsidRDefault="00480F1C">
            <w:pPr>
              <w:pStyle w:val="Normal0"/>
              <w:spacing w:after="0" w:line="240" w:lineRule="auto"/>
              <w:rPr>
                <w:rFonts w:ascii="Times New Roman" w:eastAsia="Times New Roman" w:hAnsi="Times New Roman" w:cs="Times New Roman"/>
                <w:noProof/>
                <w:color w:val="000000" w:themeColor="text1"/>
                <w:sz w:val="18"/>
              </w:rPr>
            </w:pPr>
          </w:p>
          <w:p w14:paraId="779C1DAD" w14:textId="0F9028AF"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Op basis van de analyse wordt een kader opgesteld voor kwaliteitsnormen voor kinderopvang, met inbegrip van educatieve richtsnoeren en normen voor zorgdiensten voor kinderen jonger dan drie jaar, dat vervolgens openbaar wordt geraadpleegd en door het ministerie van Gezinszaken en Sociaal Beleid met de belanghebbenden wordt overeengekomen. </w:t>
            </w:r>
          </w:p>
          <w:p w14:paraId="79B31204" w14:textId="28EAC5CA" w:rsidR="00480F1C" w:rsidRDefault="00480F1C">
            <w:pPr>
              <w:pStyle w:val="Normal0"/>
              <w:spacing w:after="0" w:line="240" w:lineRule="auto"/>
              <w:rPr>
                <w:rFonts w:ascii="Times New Roman" w:eastAsia="Times New Roman" w:hAnsi="Times New Roman" w:cs="Times New Roman"/>
                <w:noProof/>
                <w:color w:val="000000" w:themeColor="text1"/>
                <w:sz w:val="18"/>
              </w:rPr>
            </w:pPr>
          </w:p>
          <w:p w14:paraId="3120967C" w14:textId="2875860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De inwerkingtreding van een wijziging van de wet van 4 februari 2011 betreffende de zorg voor kinderen tot drie jaar maakt het kader bindend voor aanbieders van kinderopvang, naar aanleiding van het resultaat van het overleg en de instemming van het ministerie van Gezinszaken en Sociaal Beleid met de belanghebbenden.</w:t>
            </w:r>
          </w:p>
        </w:tc>
      </w:tr>
      <w:tr w:rsidR="00480F1C" w14:paraId="1ACA9C49"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06154E7" w14:textId="0B3D738B"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A58G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102ED4C" w14:textId="5320D2D8"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A4.2 Hervorming om de arbeidsmarktsituatie van ouders te verbeteren door de toegang tot hoogwaardige kinderopvang voor kinderen tot drie jaar te verbeteren</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8564C1D" w14:textId="2D45896D"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1B29D4B" w14:textId="4EDD4370" w:rsidR="00480F1C" w:rsidRDefault="00A201F6">
            <w:pPr>
              <w:pStyle w:val="P68B1DB1-Normal011"/>
              <w:pBdr>
                <w:left w:val="nil"/>
                <w:bottom w:val="nil"/>
                <w:right w:val="nil"/>
                <w:between w:val="nil"/>
              </w:pBdr>
              <w:spacing w:after="0" w:line="240" w:lineRule="auto"/>
              <w:rPr>
                <w:rFonts w:eastAsia="Times New Roman" w:cs="Times New Roman"/>
                <w:noProof/>
                <w:color w:val="000000" w:themeColor="text1"/>
              </w:rPr>
            </w:pPr>
            <w:r>
              <w:rPr>
                <w:noProof/>
              </w:rPr>
              <w:t>Inwerkingtreding van een wet tot wijziging van de Wet op de zorg voor kinderen tot drie jaar, die zorgt voor een stabiele langdurige huishoudelijke financiering van de kinderopvang voor kinderen tot drie jaar</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C493F41" w14:textId="1494FFCD"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Bepaling in de wet tot wijziging van de wet van 4 februari 2011 betreffende de zorg voor kinderen tot drie jaar, met vermelding van de inwerkingtreding ervan</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10C87F0" w14:textId="5AC54268"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8C7EE9B" w14:textId="5C91663F"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919AA24" w14:textId="510C7041"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8A10E41" w14:textId="653B40A2"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2</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ACB205" w14:textId="2D2B6A95"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2024</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D3664ED" w14:textId="0A536D83"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Inwerkingtreding van een wet tot wijziging van de wet van 4 februari 2011 betreffende de zorg voor kinderen tot drie jaar, die zorgt voor een stabiele langetermijnfinanciering uit de nationale middelen voor de oprichting en werking van de kinderopvang voor kinderen tot drie jaar.</w:t>
            </w:r>
          </w:p>
        </w:tc>
      </w:tr>
      <w:tr w:rsidR="00480F1C" w14:paraId="57337D71"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A4CBA15" w14:textId="44002DA8"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A59G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14DB2A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A4.2 Hervorming om de arbeidsmarktsituatie van ouders te verbeteren door de toegang tot kinderopvang voor kinderen tot drie jaar te verbeteren</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7AA63C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Mijlpaal  </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FA64DBC" w14:textId="3A526935"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wet tot wijziging van de Wet op de opvang van kinderen tot drie jaar met als doel de organisatie van het systeem voor de financiering van de zorg voor kinderen tot drie jaar te wijzigen met het oog op de invoering van één coherent financieringsbeheersysteem voor de oprichting en werking van de kinderopvang voor kinderen tot drie jaar</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6AC6948" w14:textId="3B892764"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wet tot wijziging van de wet van 4 februari 2011 betreffende de zorg voor kinderen tot drie jaar, met vermelding van de inwerkingtreding</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EA6EE3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FE610B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64DE1E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2ACD4F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3B3A03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A3C4715" w14:textId="167C5B63"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 xml:space="preserve">Bij de inwerkingtreding van een wet tot wijziging van de wet van 4 februari 2011 betreffende de zorg voor kinderen tot drie jaar wordt het beheer van de financiering van de oprichting en werking van de kinderopvangfaciliteiten gestroomlijnd door: </w:t>
            </w:r>
            <w:r>
              <w:rPr>
                <w:noProof/>
              </w:rPr>
              <w:t xml:space="preserve"> </w:t>
            </w:r>
            <w:r>
              <w:rPr>
                <w:noProof/>
              </w:rPr>
              <w:br/>
            </w:r>
            <w:r>
              <w:rPr>
                <w:rFonts w:ascii="Times New Roman" w:hAnsi="Times New Roman"/>
                <w:noProof/>
                <w:color w:val="000000" w:themeColor="text1"/>
                <w:sz w:val="18"/>
              </w:rPr>
              <w:t xml:space="preserve">— invoering van één enkel coherent financieringsbeheersysteem voor de oprichting en werking van kinderopvangdiensten voor kinderen tot drie jaar; </w:t>
            </w:r>
            <w:r>
              <w:rPr>
                <w:noProof/>
              </w:rPr>
              <w:t xml:space="preserve"> </w:t>
            </w:r>
            <w:r>
              <w:rPr>
                <w:noProof/>
              </w:rPr>
              <w:br/>
            </w:r>
            <w:r>
              <w:rPr>
                <w:rFonts w:ascii="Times New Roman" w:hAnsi="Times New Roman"/>
                <w:noProof/>
                <w:color w:val="000000" w:themeColor="text1"/>
                <w:sz w:val="18"/>
              </w:rPr>
              <w:t>— het beheer van de middelen uit verschillende financieringsbronnen in het kader van het Maluch ± programma.</w:t>
            </w:r>
          </w:p>
        </w:tc>
      </w:tr>
      <w:tr w:rsidR="00480F1C" w14:paraId="5C753F01"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8B94B75" w14:textId="55E464E4"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A60G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1AC373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A4.2.1 Steun voor kinderopvangfaciliteiten voor kinderen tot drie jaar (kinderdagverblijven, kinderclubs) onder Maluch +</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92256D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DAAA21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Opzetten van een IT-systeem voor het beheer van de financiering en het opzetten van kinderopvangfaciliteiten voor kinderen tot drie jaar, waarbij verschillende financieringsbronnen voor kinderopvang worden gecombineerd</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FEE6A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Volledig functionerend IT-systeem</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C6D796"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E1831B3"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4E11D2A"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9F6EBCF"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041507C"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00CFDDD" w14:textId="0EA031CE"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Het opzetten en inzetten van een operationeel IT-systeem (of de uitbreiding van een van de bestaande systemen), dat wordt gebruikt om projecten te ondersteunen door de eindontvangers van de financiële steun, met name entiteiten die kinderopvanginstellingen opzetten en beheren, in elke fase van de uitvoering ervan. Het systeem wordt ook gebruikt door instellingen die toezicht houden op en uitvoering geven aan de hervorming.</w:t>
            </w:r>
          </w:p>
        </w:tc>
      </w:tr>
      <w:tr w:rsidR="00480F1C" w14:paraId="56737D5F"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69B972E" w14:textId="35FF5705"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A61G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9CF8C4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A4.2.1 Steun voor kinderopvangfaciliteiten voor kinderen tot drie jaar (kinderdagverblijven, kinderclubs) onder Maluch +</w:t>
            </w:r>
          </w:p>
          <w:p w14:paraId="31126E5D"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C40A59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BB8F10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Het creëren van nieuwe plaatsen in kinderopvangfaciliteiten (kinderdagverblijven, kinderclubs) voor kinderen tot drie jaar</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D9D494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D4AEED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0C630B7" w14:textId="2F9AF243"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A5541A" w14:textId="664CCAE1"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47 500</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DC41FC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5CFB49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95BC9CD" w14:textId="7A108EFF"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De aanleg en ontwikkeling van infrastructuur op het gebied van kinderopvang tot drie jaar omvat:</w:t>
            </w:r>
            <w:r>
              <w:rPr>
                <w:noProof/>
              </w:rPr>
              <w:t xml:space="preserve"> </w:t>
            </w:r>
            <w:r>
              <w:rPr>
                <w:noProof/>
              </w:rPr>
              <w:br/>
            </w:r>
            <w:r>
              <w:rPr>
                <w:rFonts w:ascii="Times New Roman" w:hAnsi="Times New Roman"/>
                <w:noProof/>
                <w:color w:val="000000" w:themeColor="text1"/>
                <w:sz w:val="18"/>
              </w:rPr>
              <w:t>— bouw of renovatie van kinderdagverblijven en kinderclubs (overeenkomstig de beginselen van universeel ontwerp);</w:t>
            </w:r>
            <w:r>
              <w:rPr>
                <w:noProof/>
              </w:rPr>
              <w:t xml:space="preserve"> </w:t>
            </w:r>
            <w:r>
              <w:rPr>
                <w:noProof/>
              </w:rPr>
              <w:br/>
            </w:r>
            <w:r>
              <w:rPr>
                <w:rFonts w:ascii="Times New Roman" w:hAnsi="Times New Roman"/>
                <w:noProof/>
                <w:color w:val="000000" w:themeColor="text1"/>
                <w:sz w:val="18"/>
              </w:rPr>
              <w:t>— aankoop van onroerend goed en infrastructuur (aankoop van grond of panden).</w:t>
            </w:r>
            <w:r>
              <w:rPr>
                <w:noProof/>
              </w:rPr>
              <w:t xml:space="preserve"> </w:t>
            </w:r>
            <w:r>
              <w:rPr>
                <w:noProof/>
              </w:rPr>
              <w:br/>
            </w:r>
            <w:r>
              <w:rPr>
                <w:rFonts w:ascii="Times New Roman" w:hAnsi="Times New Roman"/>
                <w:noProof/>
                <w:color w:val="000000" w:themeColor="text1"/>
                <w:sz w:val="18"/>
              </w:rPr>
              <w:t xml:space="preserve">De doelstelling is van toepassing op kinderdagverblijven en kinderclubs. De doelstelling is van toepassing op de bouw van nieuwe voorzieningen en op renovaties en aanpassingen van bestaande voorzieningen, voor in totaal ten minste 47 500 nieuwe kinderopvangplaatsen. </w:t>
            </w:r>
          </w:p>
        </w:tc>
      </w:tr>
      <w:tr w:rsidR="00480F1C" w14:paraId="2C480E26"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947656" w14:textId="1FBA2CA4"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A62G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B42D3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A4.3 Tenuitvoerlegging van het rechtskader voor entiteiten van de sociale economie</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3E7754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BEC670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wet inzake de sociale economie</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38F97C8" w14:textId="41C8AF0D"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wet betreffende de sociale economie die de inwerkingtreding ervan aangeeft</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493A24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8840F3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04F736F"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3B7D19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177A41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AE784BC" w14:textId="123FEA63"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Inwerkingtreding van een besluit betreffende de sociale economie waarin de fundamentele kwesties in verband met deze sector worden geregeld, waaronder met name: de definitie van een sociale onderneming, de beginselen van het functioneren en ondersteunen van een onderneming in de sociale economie, nieuwe modellen voor samenwerking tussen ondernemingen van de sociale economie en de lokale overheid bij de uitvoering van sociale diensten, alsmede de beginselen van beleidscoördinatie op het gebied van de ontwikkeling van de sociale economie.  </w:t>
            </w:r>
          </w:p>
        </w:tc>
      </w:tr>
      <w:tr w:rsidR="00480F1C" w14:paraId="4E0A7361"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8A771A2" w14:textId="444F508B"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A63G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6AA1D8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A4.3.1 Programma’s ter ondersteuning van investeringen die het met name mogelijk maken activiteiten te ontwikkelen, de deelname aan de uitvoering van sociale diensten te vergroten en de kwaliteit van de integratie in entiteiten van de sociale economie te verbeteren</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26A4B4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2F287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 entiteiten dat de status van sociale onderneming heeft verkregen</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C1EE18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B1E7BC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A6AE620"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523CDA8" w14:textId="06E635CF"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1 400</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72F91B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FF1C3E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6DB7F23" w14:textId="101017D4"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Toekenning van de status van sociale onderneming aan 1 400 entiteiten. </w:t>
            </w:r>
          </w:p>
        </w:tc>
      </w:tr>
      <w:tr w:rsidR="00480F1C" w14:paraId="0E9E8C5C"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3DC3A13" w14:textId="31D1AA7B"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A64G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85646C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A4.3.1 Programma’s ter ondersteuning van investeringen die het met name mogelijk maken activiteiten te ontwikkelen, de deelname aan de uitvoering van sociale diensten te vergroten en de kwaliteit van de integratie in entiteiten van de sociale economie te verbeteren</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51D015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D9B499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 entiteiten van de sociale economie, met inbegrip van sociale ondernemingen, dat financiële steun ontvangt</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A24AB7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7A0EC9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D56E414"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EE938CE" w14:textId="6876EE63"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1 000</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B2E450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402C41F"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36A10DF" w14:textId="73B227A8"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Verlening van subsidies aan ten minste 1 000 entiteiten van de sociale economie, met inbegrip van sociale ondernemingen, die moeten leiden tot het behoud van banen, een toename van de financiële omzet of het doorvoeren van een verandering in de economische activiteit (uitbreiding van de schaal, vorm van de activiteit of verandering in de bedrijfstak). De werkgelegenheid in entiteiten die subsidies ontvangen, blijft gedurende ten minste 12 maanden na de datum van de subsidie behouden. </w:t>
            </w:r>
          </w:p>
          <w:p w14:paraId="3828323B" w14:textId="50C7C743"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De begunstigden worden geselecteerd aan de hand van gespecificeerde selectiecriteria volgens de beginselen van non-discriminatie en transparantie.</w:t>
            </w:r>
          </w:p>
        </w:tc>
      </w:tr>
      <w:tr w:rsidR="00480F1C" w14:paraId="53D338D8"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3DB4977" w14:textId="5385FD2F"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A65G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520108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A4.4 Werkvormen flexibeler maken en werken op afstand invoeren</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2DE46B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450152D" w14:textId="6412BAC8"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de wet tot wijziging van het arbeidswetboek waarbij de bepalingen van het arbeidswetboek en flexibele vormen van arbeidstijdregelingen worden opgenomen in de permanente instelling van telewerken</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68554EA" w14:textId="08193D4B"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wet tot wijziging van het arbeidswetboek waarin de inwerkingtreding ervan wordt vermeld</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6B0BD7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CB54525"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E0BA9E3"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A729CC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3</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F5363C" w14:textId="1922FD71"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8512794" w14:textId="0C298E19"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 xml:space="preserve">Inwerkingtreding van de wet tot wijziging van het arbeidswetboek, die moet helpen om beroeps- en privéverantwoordelijkheden beter met elkaar te verzoenen, de crisis het hoofd te bieden en inactieven met een lagere economische activiteit te helpen bij het vinden van een vaste baan. De hervorming bestaat uit: </w:t>
            </w:r>
            <w:r>
              <w:rPr>
                <w:noProof/>
              </w:rPr>
              <w:t xml:space="preserve"> </w:t>
            </w:r>
            <w:r>
              <w:rPr>
                <w:noProof/>
              </w:rPr>
              <w:br/>
            </w:r>
            <w:r>
              <w:rPr>
                <w:rFonts w:ascii="Times New Roman" w:hAnsi="Times New Roman"/>
                <w:noProof/>
                <w:color w:val="000000" w:themeColor="text1"/>
                <w:sz w:val="18"/>
              </w:rPr>
              <w:t>— invoering van de mogelijkheid om buiten de werkplek (geheel of gedeeltelijk) op afstand te werken op basis van overeenkomsten tussen de werknemer en de werkgever die zijn gesloten bij het sluiten van de arbeidsovereenkomst of tijdens het dienstverband;</w:t>
            </w:r>
            <w:r>
              <w:rPr>
                <w:noProof/>
              </w:rPr>
              <w:t xml:space="preserve"> </w:t>
            </w:r>
            <w:r>
              <w:rPr>
                <w:noProof/>
              </w:rPr>
              <w:br/>
            </w:r>
            <w:r>
              <w:rPr>
                <w:rFonts w:ascii="Times New Roman" w:hAnsi="Times New Roman"/>
                <w:noProof/>
                <w:color w:val="000000" w:themeColor="text1"/>
                <w:sz w:val="18"/>
              </w:rPr>
              <w:t xml:space="preserve"> — vaststelling van regels inzake telewerk in overleg tussen de werkgever en de werknemersvertegenwoordigers;</w:t>
            </w:r>
            <w:r>
              <w:rPr>
                <w:noProof/>
              </w:rPr>
              <w:t xml:space="preserve"> </w:t>
            </w:r>
            <w:r>
              <w:rPr>
                <w:noProof/>
              </w:rPr>
              <w:br/>
            </w:r>
            <w:r>
              <w:rPr>
                <w:rFonts w:ascii="Times New Roman" w:hAnsi="Times New Roman"/>
                <w:noProof/>
                <w:color w:val="000000" w:themeColor="text1"/>
                <w:sz w:val="18"/>
              </w:rPr>
              <w:t xml:space="preserve"> — met inbegrip van specifieke gevallen waarin werk op afstand op verzoek van de werkgever kan worden uitgevoerd (zoals tijdens buitengewone omstandigheden);</w:t>
            </w:r>
            <w:r>
              <w:rPr>
                <w:noProof/>
              </w:rPr>
              <w:t xml:space="preserve"> </w:t>
            </w:r>
            <w:r>
              <w:rPr>
                <w:noProof/>
              </w:rPr>
              <w:br/>
            </w:r>
            <w:r>
              <w:rPr>
                <w:rFonts w:ascii="Times New Roman" w:hAnsi="Times New Roman"/>
                <w:noProof/>
                <w:color w:val="000000" w:themeColor="text1"/>
                <w:sz w:val="18"/>
              </w:rPr>
              <w:t xml:space="preserve"> vaststelling van een verplichting voor de werkgever om materiaal en instrumenten ter beschikking te stellen die nodig zijn voor de uitvoering van werken op afstand en/of het gebruik van particuliere uitrusting van werknemers;</w:t>
            </w:r>
            <w:r>
              <w:rPr>
                <w:noProof/>
              </w:rPr>
              <w:t xml:space="preserve"> </w:t>
            </w:r>
            <w:r>
              <w:rPr>
                <w:noProof/>
              </w:rPr>
              <w:br/>
            </w:r>
            <w:r>
              <w:rPr>
                <w:rFonts w:ascii="Times New Roman" w:hAnsi="Times New Roman"/>
                <w:noProof/>
                <w:color w:val="000000" w:themeColor="text1"/>
                <w:sz w:val="18"/>
              </w:rPr>
              <w:t xml:space="preserve"> invoering van flexibele vormen van arbeidstijdregelingen.</w:t>
            </w:r>
          </w:p>
        </w:tc>
      </w:tr>
      <w:tr w:rsidR="00480F1C" w14:paraId="20B76696"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F02807" w14:textId="7449AE92"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A67G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9FEDA0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A4.5 loopbanen uitbreiden en werken na de wettelijke pensioenleeftijd bevorderen</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1EC506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DEC5E58" w14:textId="0EB5706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de wet tot wijziging van de Wet op de inkomstenbelasting, waarbij vanaf 2023 een verlaging van de personenbelasting wordt ingevoerd voor personen die de pensioengerechtigde leeftijd hebben bereikt, maar blijven werken</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C62E3B6" w14:textId="47F3509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wet tot wijziging van de Wet op de inkomstenbelasting van natuurlijke personen met vermelding van de inwerkingtreding ervan</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008BDD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6BE7177"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61DDFAB"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1213C6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B19E79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1ECD53F" w14:textId="1AF78D33" w:rsidR="00480F1C" w:rsidRDefault="00A201F6">
            <w:pPr>
              <w:pStyle w:val="P68B1DB1-Normal010"/>
              <w:pBdr>
                <w:top w:val="nil"/>
                <w:left w:val="nil"/>
                <w:bottom w:val="nil"/>
                <w:right w:val="nil"/>
                <w:between w:val="nil"/>
              </w:pBdr>
              <w:spacing w:after="0" w:line="240" w:lineRule="auto"/>
              <w:rPr>
                <w:rFonts w:eastAsia="Times New Roman" w:cs="Times New Roman"/>
                <w:noProof/>
                <w:color w:val="000000"/>
              </w:rPr>
            </w:pPr>
            <w:r>
              <w:rPr>
                <w:noProof/>
                <w:color w:val="000000" w:themeColor="text1"/>
              </w:rPr>
              <w:t xml:space="preserve">Inwerkingtreding van de wet tot wijziging van de Wet op de inkomstenbelasting, waarbij de volgende wijzigingen worden doorgevoerd: de verlaging van de inkomstenbelasting is bestemd voor belastingplichtigen die de wettelijke pensioenleeftijd hebben bereikt en niet besluiten met pensioen te gaan, maar blijven werken. Deze werknemers zijn vrijgesteld van inkomstenbelasting tot een bepaalde grens van het inkomen (niet meer dan de eerste inkomstenbelastingschijf, 85 528 PLN in 2021, en niet meer dan het gemiddelde brutoloon </w:t>
            </w:r>
            <w:r>
              <w:rPr>
                <w:noProof/>
              </w:rPr>
              <w:t>in de nationale</w:t>
            </w:r>
            <w:r>
              <w:rPr>
                <w:noProof/>
                <w:color w:val="000000" w:themeColor="text1"/>
              </w:rPr>
              <w:t xml:space="preserve"> economie in Polen). Het tarief van de personenbelasting van personen boven de eerste schijf wordt verlaagd. Dankzij deze fiscale prikkel verdienen belastingplichtigen extra bedragen die overeenkomen met het bedrag van de niet-betaalde inkomstenbelasting, dat tot doel heeft hen ertoe aan te zetten hun loopbaan te verlengen.</w:t>
            </w:r>
          </w:p>
        </w:tc>
      </w:tr>
      <w:tr w:rsidR="00480F1C" w14:paraId="6B978138"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8EA849" w14:textId="49BB0363"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A68G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C7BAF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A4.5 loopbanen uitbreiden en werken na de wettelijke pensioenleeftijd bevorderen</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D7456D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71A95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Verslag ter evaluatie van het effect van de maatregelen die zijn genomen om de effectieve pensioenleeftijd te verhogen</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7F028C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Publicatie van het evaluatieverslag door het ministerie van Gezinszaken en Sociaal Beleid (MRiPS)</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E9F269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1C8A419"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46FE776"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757B76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54BFC8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2024</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C4132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Het doel van dit verslag is het effect van de wijzigingen van de personenbelasting op de effectieve pensioenleeftijd binnen twee jaar na de invoering ervan te evalueren. Hierin worden de gevolgen voor de arbeidsmarktparticipatie, de houdbaarheid van het pensioenstelsel, de overheidsfinanciën en de gelijkheid van mannen en vrouwen geanalyseerd.</w:t>
            </w:r>
          </w:p>
        </w:tc>
      </w:tr>
      <w:tr w:rsidR="00480F1C" w14:paraId="75DB26AD"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44BFB1" w14:textId="267DB99E"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A69G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1D7550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A4.6 Verhoging van de arbeidsmarktparticipatie van bepaalde groepen door de ontwikkeling van langdurige zorg</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BD4A5B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E3E20F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Strategische evaluatie van langdurige zorg in Polen met het oog op het vaststellen van hervormingsprioriteiten</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0B2443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Publicatie van het strategisch analyseverslag door het ministerie van Gezinszaken en Sociaal Beleid (MRiPS) en door het ministerie van Volksgezondheid</w:t>
            </w:r>
          </w:p>
          <w:p w14:paraId="2DE403A5"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696C0E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25B5DE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E8B5DA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CAE184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063B54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2023</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C676B7D" w14:textId="77777777"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Fonts w:ascii="Times New Roman" w:hAnsi="Times New Roman"/>
                <w:noProof/>
                <w:color w:val="000000" w:themeColor="text1"/>
                <w:sz w:val="18"/>
              </w:rPr>
              <w:t>Voltooiing van een analyse van het systeem voor langdurige zorg in Polen met het oog op een hervorming ervan in de toekomst en publicatie van een relevant verslag op de Biuletyn Informacji Publicznej van de website van het ministerie van Gezinszaken en Sociaal Beleid en op de Biuletyn Informacji Publicznej van de website van het ministerie van Volksgezondheid. Bij de analyse worden met name de mogelijkheden onderzocht om:</w:t>
            </w:r>
            <w:r>
              <w:rPr>
                <w:noProof/>
              </w:rPr>
              <w:t xml:space="preserve"> </w:t>
            </w:r>
            <w:r>
              <w:rPr>
                <w:noProof/>
              </w:rPr>
              <w:br/>
            </w:r>
            <w:r>
              <w:rPr>
                <w:rFonts w:ascii="Times New Roman" w:hAnsi="Times New Roman"/>
                <w:noProof/>
                <w:color w:val="000000" w:themeColor="text1"/>
                <w:sz w:val="18"/>
              </w:rPr>
              <w:t xml:space="preserve">— sociale en langdurige gezondheidszorg te integreren; </w:t>
            </w:r>
            <w:r>
              <w:rPr>
                <w:noProof/>
              </w:rPr>
              <w:t xml:space="preserve"> </w:t>
            </w:r>
            <w:r>
              <w:rPr>
                <w:noProof/>
              </w:rPr>
              <w:br/>
              <w:t xml:space="preserve"> </w:t>
            </w:r>
            <w:r>
              <w:rPr>
                <w:rFonts w:ascii="Times New Roman" w:hAnsi="Times New Roman"/>
                <w:noProof/>
                <w:color w:val="000000" w:themeColor="text1"/>
                <w:sz w:val="18"/>
              </w:rPr>
              <w:t xml:space="preserve">de de-institutionalisering van deze diensten te versnellen; </w:t>
            </w:r>
            <w:r>
              <w:rPr>
                <w:noProof/>
              </w:rPr>
              <w:t xml:space="preserve"> </w:t>
            </w:r>
            <w:r>
              <w:rPr>
                <w:noProof/>
              </w:rPr>
              <w:br/>
              <w:t xml:space="preserve"> </w:t>
            </w:r>
            <w:r>
              <w:rPr>
                <w:rFonts w:ascii="Times New Roman" w:hAnsi="Times New Roman"/>
                <w:noProof/>
                <w:color w:val="000000" w:themeColor="text1"/>
                <w:sz w:val="18"/>
              </w:rPr>
              <w:t>— ze onder één enkele instantie te plaatsen,</w:t>
            </w:r>
            <w:r>
              <w:rPr>
                <w:noProof/>
              </w:rPr>
              <w:t xml:space="preserve"> </w:t>
            </w:r>
            <w:r>
              <w:rPr>
                <w:noProof/>
              </w:rPr>
              <w:br/>
              <w:t xml:space="preserve"> </w:t>
            </w:r>
            <w:r>
              <w:rPr>
                <w:rFonts w:ascii="Times New Roman" w:hAnsi="Times New Roman"/>
                <w:noProof/>
                <w:color w:val="000000" w:themeColor="text1"/>
                <w:sz w:val="18"/>
              </w:rPr>
              <w:t>vermindering van de versnippering van de zorgverlening;</w:t>
            </w:r>
          </w:p>
          <w:p w14:paraId="6AAAF9ED" w14:textId="5468A030"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 de zorguitkeringen te herzien om werk in de onderneming mogelijk te maken;</w:t>
            </w:r>
            <w:r>
              <w:rPr>
                <w:noProof/>
              </w:rPr>
              <w:t xml:space="preserve"> </w:t>
            </w:r>
            <w:r>
              <w:rPr>
                <w:noProof/>
              </w:rPr>
              <w:br/>
            </w:r>
            <w:r>
              <w:rPr>
                <w:rFonts w:ascii="Times New Roman" w:hAnsi="Times New Roman"/>
                <w:noProof/>
                <w:color w:val="000000" w:themeColor="text1"/>
                <w:sz w:val="18"/>
              </w:rPr>
              <w:t>— een stabiel systeem van adequate financiering van de langdurige zorg, met name gemeenschaps- en thuiszorg, tot stand te brengen;</w:t>
            </w:r>
            <w:r>
              <w:rPr>
                <w:noProof/>
              </w:rPr>
              <w:t xml:space="preserve"> </w:t>
            </w:r>
            <w:r>
              <w:rPr>
                <w:noProof/>
              </w:rPr>
              <w:br/>
              <w:t xml:space="preserve"> </w:t>
            </w:r>
            <w:r>
              <w:rPr>
                <w:rFonts w:ascii="Times New Roman" w:hAnsi="Times New Roman"/>
                <w:noProof/>
                <w:color w:val="000000" w:themeColor="text1"/>
                <w:sz w:val="18"/>
              </w:rPr>
              <w:t>— invoering van een kwaliteitskader voor langdurige zorg (vereisten voor personeel, uitrusting, toelating van aanbieders van langdurige zorg tot de markt).</w:t>
            </w:r>
            <w:r>
              <w:rPr>
                <w:noProof/>
              </w:rPr>
              <w:t xml:space="preserve"> </w:t>
            </w:r>
            <w:r>
              <w:rPr>
                <w:noProof/>
              </w:rPr>
              <w:br/>
            </w:r>
            <w:r>
              <w:rPr>
                <w:rFonts w:ascii="Times New Roman" w:hAnsi="Times New Roman"/>
                <w:noProof/>
                <w:color w:val="000000" w:themeColor="text1"/>
                <w:sz w:val="18"/>
              </w:rPr>
              <w:t>De analyse wordt uitgevoerd in overleg met relevante belanghebbenden, waaronder de sociale partners die zich bezighouden met langdurige zorg, mantelzorgers, personen die zorg ontvangen, personen die geen zorg ontvangen maar deze moeten ontvangen, en lokale autoriteiten.</w:t>
            </w:r>
          </w:p>
        </w:tc>
      </w:tr>
      <w:tr w:rsidR="00480F1C" w14:paraId="08DA6E8C"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9D83C2D" w14:textId="4046B545"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A70G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A927F4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A4.6 Verhoging van de arbeidsmarktparticipatie van bepaalde groepen door de ontwikkeling van langdurige zorg</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B422C7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4BD3D04" w14:textId="19EAF383"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wet tot wijziging van de relevante wetten ter uitvoering van de hervormingsprioriteiten die zijn vastgesteld in de strategische evaluatie van langdurige zorg in Polen (in overeenstemming met mijlpaal A69G)</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A6B480E" w14:textId="0732DEF2"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wet tot wijziging van de relevante wetten met vermelding van de inwerkingtreding ervan</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E747F8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8DF40D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3361D8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9EDD68F"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81EB26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2024</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53C9B70" w14:textId="7756D208"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wet tot wijziging van de relevante wetten waarmee uitvoering wordt gegeven aan de hervormingsprioriteiten die zijn vastgesteld in de strategische evaluatie van langdurige zorg in Polen.</w:t>
            </w:r>
          </w:p>
        </w:tc>
      </w:tr>
      <w:tr w:rsidR="00480F1C" w14:paraId="33C0F5D5" w14:textId="77777777">
        <w:trPr>
          <w:trHeight w:val="313"/>
        </w:trPr>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02436C1" w14:textId="1945E9F0"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A71G</w:t>
            </w: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A7916E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A4.7 De segmentering van de arbeidsmarkt beperken</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82A11A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C63E167" w14:textId="3E3B809C"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wet tot wijziging van de wet op het socialezekerheidsstelsel ter beperking van de segmentering van de arbeidsmarkt en ter verbetering van de sociale bescherming van alle personen die op basis van civielrechtelijke overeenkomsten werken, door deze contracten te onderwerpen aan socialezekerheidsbijdragen</w:t>
            </w:r>
          </w:p>
        </w:tc>
        <w:tc>
          <w:tcPr>
            <w:tcW w:w="17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B8E2429" w14:textId="0D503DF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wet tot wijziging van de Wet op het socialeverzekeringsstelsel met vermelding van de inwerkingtreding ervan</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05E0D1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F49BAF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8077A0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C67FEF7" w14:textId="367CCD4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F5307A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2023</w:t>
            </w:r>
          </w:p>
        </w:tc>
        <w:tc>
          <w:tcPr>
            <w:tcW w:w="37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8FFAB7A" w14:textId="645CBAF1"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wet tot wijziging van de Wet op het socialezekerheidsstelsel die: I) ervoor te zorgen dat alle civielrechtelijke overeenkomsten onderworpen zijn aan socialezekerheidsbijdragen (pensioenen, invaliditeit, ongevallen en beroepsziekten en, met uitzondering van overeenkomsten voor specifieke taken waarvoor het vrijwillig is, prestaties bij ziekte), ongeacht het verworven inkomen, met uitzondering van overeenkomsten met studenten jonger dan 26 jaar; II) afschaffing van de regel dat de socialezekerheidsbijdragen worden betaald op basis van het minimumloon voor civielrechtelijke overeenkomsten.</w:t>
            </w:r>
          </w:p>
        </w:tc>
      </w:tr>
    </w:tbl>
    <w:p w14:paraId="62431CDC"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16287F21"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sz w:val="24"/>
        </w:rPr>
        <w:sectPr w:rsidR="00480F1C">
          <w:headerReference w:type="even" r:id="rId37"/>
          <w:headerReference w:type="default" r:id="rId38"/>
          <w:footerReference w:type="even" r:id="rId39"/>
          <w:footerReference w:type="default" r:id="rId40"/>
          <w:headerReference w:type="first" r:id="rId41"/>
          <w:footerReference w:type="first" r:id="rId42"/>
          <w:pgSz w:w="16839" w:h="11907" w:orient="landscape"/>
          <w:pgMar w:top="720" w:right="720" w:bottom="720" w:left="720" w:header="709" w:footer="709" w:gutter="0"/>
          <w:cols w:space="720"/>
        </w:sectPr>
      </w:pPr>
    </w:p>
    <w:p w14:paraId="371556A5" w14:textId="77777777" w:rsidR="00480F1C" w:rsidRDefault="00A201F6">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sz w:val="24"/>
        </w:rPr>
      </w:pPr>
      <w:r>
        <w:rPr>
          <w:rFonts w:ascii="Times New Roman" w:hAnsi="Times New Roman"/>
          <w:b/>
          <w:noProof/>
          <w:color w:val="000000" w:themeColor="text1"/>
          <w:sz w:val="24"/>
        </w:rPr>
        <w:t xml:space="preserve">A.3. </w:t>
      </w:r>
      <w:r>
        <w:rPr>
          <w:noProof/>
        </w:rPr>
        <w:tab/>
      </w:r>
      <w:r>
        <w:rPr>
          <w:rFonts w:ascii="Times New Roman" w:hAnsi="Times New Roman"/>
          <w:b/>
          <w:noProof/>
          <w:color w:val="000000" w:themeColor="text1"/>
          <w:sz w:val="24"/>
        </w:rPr>
        <w:t xml:space="preserve">Beschrijving van de hervormingen en investeringen voor de lening </w:t>
      </w:r>
    </w:p>
    <w:p w14:paraId="5BE93A62"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i/>
          <w:noProof/>
          <w:color w:val="000000"/>
          <w:sz w:val="24"/>
        </w:rPr>
      </w:pPr>
    </w:p>
    <w:p w14:paraId="2407045E" w14:textId="684AB8A4" w:rsidR="00480F1C" w:rsidRDefault="00A201F6">
      <w:pPr>
        <w:pStyle w:val="P68B1DB1-Normal014"/>
        <w:spacing w:before="120" w:after="120" w:line="240" w:lineRule="auto"/>
        <w:jc w:val="both"/>
        <w:rPr>
          <w:rFonts w:eastAsia="Times New Roman" w:cs="Times New Roman"/>
          <w:noProof/>
        </w:rPr>
      </w:pPr>
      <w:r>
        <w:rPr>
          <w:noProof/>
        </w:rPr>
        <w:t>A2.5 Versterking van het potentieel van de culturele sector en de cultuurindustrie voor economische ontwikkeling</w:t>
      </w:r>
    </w:p>
    <w:p w14:paraId="2D4B7562" w14:textId="4AD066EE" w:rsidR="00480F1C" w:rsidRDefault="00A201F6">
      <w:pPr>
        <w:pStyle w:val="P68B1DB1-Normal05"/>
        <w:spacing w:before="120" w:after="120" w:line="240" w:lineRule="auto"/>
        <w:jc w:val="both"/>
        <w:rPr>
          <w:rFonts w:eastAsia="Times New Roman" w:cs="Times New Roman"/>
          <w:noProof/>
        </w:rPr>
      </w:pPr>
      <w:r>
        <w:rPr>
          <w:noProof/>
        </w:rPr>
        <w:t>De overkoepelende doelstelling van deze hervorming is het ontwerpen en creëren van een kader voor de ondersteuning van de culturele en creatieve sectoren (CCS) in de nasleep van de COVID-19-pandemie. De hervorming bestaat uit de goedkeuring van een beleidsnota waarin de volgende kwesties aan bod komen: I) de belangrijkste uitdagingen op middellange tot lange termijn in de Wegwijzerdienst in kaart te brengen; zorgen voor de naleving van de horizontale beginselen van de EU, waaronder gendergelijkheid en non-discriminatie; III) in kaart brengen welke mogelijkheden groene en digitale instrumenten en platforms hebben om deze uitdagingen aan te pakken; IV) concepten ontwikkelen voor samenwerking en overdracht van kennis en vaardigheden tussen de culturele en creatieve sectoren en met de sectoren wetenschap, onderwijs, technologie en bedrijfsleven, met bijzondere aandacht voor de algemene beginselen van de EU, waaronder gendergelijkheid en non-discriminatie; v) voorkeursopties vaststellen om overheidssteun te verlenen voor acties in de culturele en creatieve sector.</w:t>
      </w:r>
    </w:p>
    <w:p w14:paraId="326A145B" w14:textId="77777777" w:rsidR="00480F1C" w:rsidRDefault="00A201F6">
      <w:pPr>
        <w:pStyle w:val="P68B1DB1-Normal15"/>
        <w:spacing w:before="120" w:after="120" w:line="240" w:lineRule="auto"/>
        <w:jc w:val="both"/>
        <w:rPr>
          <w:rFonts w:eastAsia="Times New Roman" w:cs="Times New Roman"/>
          <w:noProof/>
        </w:rPr>
      </w:pPr>
      <w:r>
        <w:rPr>
          <w:noProof/>
        </w:rPr>
        <w:t>De uitvoering van de hervorming wordt uiterlijk op 31 december 2022 voltooid.</w:t>
      </w:r>
    </w:p>
    <w:p w14:paraId="384BA73E" w14:textId="77777777" w:rsidR="00480F1C" w:rsidRDefault="00480F1C">
      <w:pPr>
        <w:pStyle w:val="Normal0"/>
        <w:spacing w:before="120" w:after="120" w:line="240" w:lineRule="auto"/>
        <w:jc w:val="both"/>
        <w:rPr>
          <w:rFonts w:ascii="Times New Roman" w:eastAsia="Times New Roman" w:hAnsi="Times New Roman" w:cs="Times New Roman"/>
          <w:noProof/>
          <w:color w:val="000000" w:themeColor="text1"/>
          <w:sz w:val="24"/>
        </w:rPr>
      </w:pPr>
    </w:p>
    <w:p w14:paraId="7F608D7F" w14:textId="6A7B1CE2" w:rsidR="00480F1C" w:rsidRDefault="00A201F6">
      <w:pPr>
        <w:pStyle w:val="P68B1DB1-Normal016"/>
        <w:spacing w:before="120" w:after="120" w:line="240" w:lineRule="auto"/>
        <w:jc w:val="both"/>
        <w:rPr>
          <w:rFonts w:eastAsia="Times New Roman" w:cs="Times New Roman"/>
          <w:b/>
          <w:noProof/>
        </w:rPr>
      </w:pPr>
      <w:r>
        <w:rPr>
          <w:b/>
          <w:noProof/>
        </w:rPr>
        <w:t>A2.5.1 Een programma ter ondersteuning van de activiteiten van entiteiten in de culturele en creatieve sector om</w:t>
      </w:r>
      <w:r>
        <w:rPr>
          <w:noProof/>
        </w:rPr>
        <w:t xml:space="preserve"> </w:t>
      </w:r>
      <w:r>
        <w:rPr>
          <w:b/>
          <w:noProof/>
        </w:rPr>
        <w:t>hun ontwikkeling te stimuleren</w:t>
      </w:r>
    </w:p>
    <w:p w14:paraId="15E6868C" w14:textId="6F3C8A90" w:rsidR="00480F1C" w:rsidRDefault="00A201F6">
      <w:pPr>
        <w:pStyle w:val="P68B1DB1-Normal05"/>
        <w:spacing w:before="120" w:after="120" w:line="240" w:lineRule="auto"/>
        <w:jc w:val="both"/>
        <w:rPr>
          <w:rFonts w:eastAsia="Times New Roman" w:cs="Times New Roman"/>
          <w:noProof/>
        </w:rPr>
      </w:pPr>
      <w:r>
        <w:rPr>
          <w:noProof/>
        </w:rPr>
        <w:t>Het doel van deze investering is de negatieve langetermijneffecten van de COVID-19-pandemie te voorkomen en de groene en digitale transitie in de culturele en creatieve sectoren (CCS) aan te moedigen. Daartoe heeft de investering tot doel financiële steun en technische bijstand te verlenen aan culturele instellingen, ngo’s, kunstenaars, micro-ondernemingen en kmo’s in de culturele en creatieve sector.</w:t>
      </w:r>
    </w:p>
    <w:p w14:paraId="19408C34" w14:textId="6A280FE2" w:rsidR="00480F1C" w:rsidRDefault="00A201F6">
      <w:pPr>
        <w:pStyle w:val="P68B1DB1-Normal05"/>
        <w:spacing w:before="120" w:after="120" w:line="240" w:lineRule="auto"/>
        <w:jc w:val="both"/>
        <w:rPr>
          <w:rFonts w:eastAsia="Times New Roman" w:cs="Times New Roman"/>
          <w:noProof/>
        </w:rPr>
      </w:pPr>
      <w:r>
        <w:rPr>
          <w:noProof/>
        </w:rPr>
        <w:t>De investering bestaat uit twee hoofdelementen. Ten eerste wordt met de investering een subsidieprogramma opgezet voor culturele instellingen, ngo’s, kmo’s en micro-ondernemingen in de culturele en creatieve sector ter ondersteuning van de uitvoering van projecten met betrekking tot: I) het verbeteren van digitale en groene competenties in de culturele en creatieve sector; II) het ontwikkelen van culturele/creatieve activiteiten, zoals concerten, optredens en tentoonstellingen, ook in virtuele formaten; III) het opzetten van onderwijsprogramma’s en workshops over architectuur, design en creatieve kunsten om kunstenaars en ontwerpers te helpen hun groene en digitale vaardigheden te ontwikkelen; IV) opzetten van workshops ter ondersteuning van de samenwerking en de uitwisseling van kennis en vaardigheden tussen de culturele en creatieve sector en met de sectoren wetenschap, technologie en bedrijfsleven; (v) het ontwikkelen van nieuwe producten en diensten die gebruikmaken van disruptieve technologieën zoals kunstmatige intelligentie, blockchain en het internet der dingen in de culturele en creatieve sector. In alle projecten wordt rekening gehouden met de algemene beginselen van de EU, waaronder gendergelijkheid en non-discriminatie.</w:t>
      </w:r>
    </w:p>
    <w:p w14:paraId="440D9AD8" w14:textId="19834385" w:rsidR="00480F1C" w:rsidRDefault="00A201F6">
      <w:pPr>
        <w:pStyle w:val="P68B1DB1-Normal05"/>
        <w:spacing w:before="120" w:after="120" w:line="240" w:lineRule="auto"/>
        <w:jc w:val="both"/>
        <w:rPr>
          <w:rFonts w:eastAsia="Times New Roman" w:cs="Times New Roman"/>
          <w:noProof/>
        </w:rPr>
      </w:pPr>
      <w:r>
        <w:rPr>
          <w:noProof/>
        </w:rPr>
        <w:t>Ten tweede wordt met de investering een beurzenprogramma opgezet ter ondersteuning van scheppende kunstenaars, kunstenaars, animatoren, opvoeders en onderzoekers in de culturele en creatieve sector. In het bijzonder wordt in het kader van het beurzenprogramma financiële bijstand verleend aan: I) cursussen aanbieden aan kunstenaars om hun artistieke, digitale of groene vaardigheden te ontwikkelen; het aanbieden van een geïndividualiseerde beroepsopleiding aan kunstenaars; mogelijkheden creëren voor kunstenaars om in virtuele of fysieke vorm bijeen te komen met lokale, nationale en internationale kunstprofessionals door middel van workshops en discussieseries; IV) mogelijkheden creëren voor kunstenaars om in virtuele of fysieke vormen samen te werken met professionals in andere sectoren, waaronder wetenschap, technologie en bedrijfsleven. Beurzen worden toegekend met inachtneming van de algemene beginselen van de EU, waaronder gendergelijkheid en non-discriminatie. De criteria voor de selectie van aanvragen voor beurzen voor kunstenaars in de CSS, die overeenkomen met een van de door Eurostat gedefinieerde NACE-sectoren, omvatten: a) een overtuigende artistieke portefeuille in de laatste 24 maanden; b) een overtuigend artistiek plan voor de komende 24 maanden.</w:t>
      </w:r>
    </w:p>
    <w:p w14:paraId="531A07C6" w14:textId="77777777" w:rsidR="00480F1C" w:rsidRDefault="00A201F6">
      <w:pPr>
        <w:pStyle w:val="P68B1DB1-Normal15"/>
        <w:spacing w:before="120" w:after="120" w:line="240" w:lineRule="auto"/>
        <w:jc w:val="both"/>
        <w:rPr>
          <w:rFonts w:eastAsia="Times New Roman" w:cs="Times New Roman"/>
          <w:noProof/>
        </w:rPr>
      </w:pPr>
      <w:r>
        <w:rPr>
          <w:noProof/>
        </w:rPr>
        <w:t>De uitvoering van de investering moet uiterlijk op 31 december 2024 zijn voltooid.</w:t>
      </w:r>
    </w:p>
    <w:p w14:paraId="7D34F5C7" w14:textId="455D697B" w:rsidR="00480F1C" w:rsidRDefault="00480F1C">
      <w:pPr>
        <w:pStyle w:val="Normal0"/>
        <w:spacing w:before="120" w:after="120" w:line="240" w:lineRule="auto"/>
        <w:jc w:val="both"/>
        <w:rPr>
          <w:rFonts w:ascii="Times New Roman" w:eastAsia="Times New Roman" w:hAnsi="Times New Roman" w:cs="Times New Roman"/>
          <w:noProof/>
          <w:color w:val="000000"/>
          <w:sz w:val="24"/>
        </w:rPr>
      </w:pPr>
    </w:p>
    <w:p w14:paraId="3011107A" w14:textId="1308B4E4"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A2.6 Hervorming — Ontwikkeling van het nationale systeem van monitoringdiensten, producten, analytische instrumenten, diensten en begeleidende infrastructuur met behulp van satellietgegevens</w:t>
      </w:r>
    </w:p>
    <w:p w14:paraId="3DF47A9B"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Het doel van de hervorming is het gebruik van satellietgegevens door publieke en private entiteiten te vergroten. Een nieuwe wet inzake ruimteactiviteiten moet het gebruik van satellietgegevens door de overheid vergemakkelijken. </w:t>
      </w:r>
    </w:p>
    <w:p w14:paraId="4FD975EA" w14:textId="2A2C6DF0"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Bij wet wordt een nationale administrateur voor satellietgegevens ingesteld. Zij is ook verplicht het gebruik van satellietgegevens door particuliere ondernemingen te bevorderen, onder meer door opleidingen voor alle belangstellende entiteiten te organiseren. De wet stelt tevens de regels en voorwaarden vast voor de uitvoering van ruimteactiviteiten en het toezicht daarop, de aansprakelijkheid voor schade veroorzaakt door een ruimteobject en de regels voor de werking van het nationaal register van ruimteobjecten.</w:t>
      </w:r>
    </w:p>
    <w:p w14:paraId="4A09802E"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 uitvoering van de hervorming wordt uiterlijk op 30 september 2024 voltooid. </w:t>
      </w:r>
    </w:p>
    <w:p w14:paraId="29D6B04F"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 </w:t>
      </w:r>
    </w:p>
    <w:p w14:paraId="4203A76C" w14:textId="06F301BB"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A2.6.1 Investeringen — Ontwikkeling van het nationale systeem van monitoringdiensten, producten, analytische instrumenten, diensten en begeleidende infrastructuur met behulp van satellietgegevens</w:t>
      </w:r>
    </w:p>
    <w:p w14:paraId="6851D837" w14:textId="4F6B19B4" w:rsidR="00480F1C" w:rsidRDefault="00A201F6">
      <w:pPr>
        <w:pStyle w:val="P68B1DB1-Normal017"/>
        <w:pBdr>
          <w:top w:val="nil"/>
          <w:left w:val="nil"/>
          <w:bottom w:val="nil"/>
          <w:right w:val="nil"/>
          <w:between w:val="nil"/>
        </w:pBdr>
        <w:spacing w:before="120" w:after="120" w:line="240" w:lineRule="auto"/>
        <w:jc w:val="both"/>
        <w:rPr>
          <w:rFonts w:eastAsia="Times New Roman" w:cs="Times New Roman"/>
          <w:noProof/>
          <w:color w:val="000000"/>
        </w:rPr>
      </w:pPr>
      <w:r>
        <w:rPr>
          <w:noProof/>
          <w:color w:val="000000" w:themeColor="text1"/>
        </w:rPr>
        <w:t xml:space="preserve">De investeringen zijn erop gericht de efficiëntie van het gebruik van aardobservatie per satelliet in Polen aanzienlijk te verhogen en te zorgen voor een efficiënte en continue productie en verstrekking van verwerkte aardobservatiegegevens (EO), afgestemd op de behoeften van de gebruiker. Dit heeft tot doel de governance van het land te verbeteren (besluiten op basis van specifiekere en actuelere informatie), een aanzienlijke digitale transformatie van het bestuur tot stand te brengen en vraag naar aardobservatieproducten te creëren, met inbegrip van een aanvullende particuliere en publieke vraag naar </w:t>
      </w:r>
      <w:r>
        <w:rPr>
          <w:noProof/>
        </w:rPr>
        <w:t>het reeds</w:t>
      </w:r>
      <w:r>
        <w:rPr>
          <w:noProof/>
          <w:color w:val="000000" w:themeColor="text1"/>
        </w:rPr>
        <w:t xml:space="preserve"> bestaande Copernicussysteem van de EU.</w:t>
      </w:r>
    </w:p>
    <w:p w14:paraId="502860F4" w14:textId="100E560E" w:rsidR="00480F1C" w:rsidRDefault="00A201F6">
      <w:pPr>
        <w:pStyle w:val="P68B1DB1-Normal017"/>
        <w:pBdr>
          <w:top w:val="nil"/>
          <w:left w:val="nil"/>
          <w:bottom w:val="nil"/>
          <w:right w:val="nil"/>
          <w:between w:val="nil"/>
        </w:pBdr>
        <w:spacing w:before="120" w:after="120" w:line="240" w:lineRule="auto"/>
        <w:jc w:val="both"/>
        <w:rPr>
          <w:rFonts w:eastAsia="Times New Roman" w:cs="Times New Roman"/>
          <w:noProof/>
          <w:color w:val="000000"/>
        </w:rPr>
      </w:pPr>
      <w:r>
        <w:rPr>
          <w:noProof/>
          <w:color w:val="000000" w:themeColor="text1"/>
        </w:rPr>
        <w:t xml:space="preserve">De investering bestaat uit twee investeringen. De eerste investering omvat de oprichting van het </w:t>
      </w:r>
      <w:r>
        <w:rPr>
          <w:noProof/>
        </w:rPr>
        <w:t>nationale satellietinformatiesysteem (NSIS</w:t>
      </w:r>
      <w:r>
        <w:rPr>
          <w:noProof/>
          <w:color w:val="000000" w:themeColor="text1"/>
        </w:rPr>
        <w:t xml:space="preserve">), dat monitoringdiensten levert op basis van gegevens van aardobservatie per satelliet. De eerste diensten zijn uiterlijk op 30 juni 2025 beschikbaar voor eindgebruikers. </w:t>
      </w:r>
    </w:p>
    <w:p w14:paraId="25C0E0F3" w14:textId="403A0372"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rPr>
        <w:sectPr w:rsidR="00480F1C" w:rsidSect="00B54E14">
          <w:headerReference w:type="even" r:id="rId43"/>
          <w:headerReference w:type="default" r:id="rId44"/>
          <w:footerReference w:type="even" r:id="rId45"/>
          <w:footerReference w:type="default" r:id="rId46"/>
          <w:headerReference w:type="first" r:id="rId47"/>
          <w:footerReference w:type="first" r:id="rId48"/>
          <w:pgSz w:w="11907" w:h="16839"/>
          <w:pgMar w:top="1134" w:right="1418" w:bottom="1134" w:left="1418" w:header="709" w:footer="709" w:gutter="0"/>
          <w:cols w:space="720"/>
          <w:docGrid w:linePitch="299"/>
        </w:sectPr>
      </w:pPr>
      <w:r>
        <w:rPr>
          <w:noProof/>
        </w:rPr>
        <w:t>De tweede investering omvat de lancering van vier satellieten. De voorbereidende werkzaamheden die moeten worden uitgevoerd in overeenstemming met de normen van de Europese samenwerking voor normalisatie op het gebied van ruimtevaart (ECSS fase 0/A/B/C), moeten uiterlijk op 30 september 2024 zijn voltooid. De uitvoering van de investering moet uiterlijk op 30 juni 2026 zijn voltooid.</w:t>
      </w:r>
    </w:p>
    <w:p w14:paraId="1170E367" w14:textId="299FB42B" w:rsidR="00480F1C" w:rsidRDefault="00A201F6">
      <w:pPr>
        <w:pStyle w:val="P68B1DB1-Normal08"/>
        <w:pBdr>
          <w:top w:val="nil"/>
          <w:left w:val="nil"/>
          <w:bottom w:val="nil"/>
          <w:right w:val="nil"/>
          <w:between w:val="nil"/>
        </w:pBdr>
        <w:spacing w:before="120" w:after="120" w:line="240" w:lineRule="auto"/>
        <w:jc w:val="both"/>
        <w:rPr>
          <w:rFonts w:eastAsia="Times New Roman" w:cs="Times New Roman"/>
          <w:noProof/>
        </w:rPr>
      </w:pPr>
      <w:r>
        <w:rPr>
          <w:noProof/>
        </w:rPr>
        <w:t>A.4. Mijlpalen, streefdoelen, indicatoren en tijdschema voor de monitoring en uitvoering voor de lening</w:t>
      </w:r>
    </w:p>
    <w:p w14:paraId="0B4020A7" w14:textId="32D0A369" w:rsidR="00480F1C" w:rsidRDefault="00A201F6">
      <w:pPr>
        <w:pStyle w:val="P68B1DB1-Normal08"/>
        <w:pBdr>
          <w:top w:val="nil"/>
          <w:left w:val="nil"/>
          <w:bottom w:val="nil"/>
          <w:right w:val="nil"/>
          <w:between w:val="nil"/>
        </w:pBdr>
        <w:spacing w:before="120" w:after="120" w:line="240" w:lineRule="auto"/>
        <w:jc w:val="both"/>
        <w:rPr>
          <w:rFonts w:eastAsia="Times New Roman" w:cs="Times New Roman"/>
          <w:noProof/>
        </w:rPr>
      </w:pPr>
      <w:r>
        <w:rPr>
          <w:noProof/>
        </w:rPr>
        <w:t>A2 — INNOVATIE</w:t>
      </w:r>
    </w:p>
    <w:tbl>
      <w:tblPr>
        <w:tblW w:w="15876" w:type="dxa"/>
        <w:tblInd w:w="-5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115" w:type="dxa"/>
          <w:right w:w="115" w:type="dxa"/>
        </w:tblCellMar>
        <w:tblLook w:val="0400" w:firstRow="0" w:lastRow="0" w:firstColumn="0" w:lastColumn="0" w:noHBand="0" w:noVBand="1"/>
      </w:tblPr>
      <w:tblGrid>
        <w:gridCol w:w="701"/>
        <w:gridCol w:w="2093"/>
        <w:gridCol w:w="1258"/>
        <w:gridCol w:w="2233"/>
        <w:gridCol w:w="1536"/>
        <w:gridCol w:w="1118"/>
        <w:gridCol w:w="952"/>
        <w:gridCol w:w="701"/>
        <w:gridCol w:w="958"/>
        <w:gridCol w:w="700"/>
        <w:gridCol w:w="3626"/>
      </w:tblGrid>
      <w:tr w:rsidR="00480F1C" w14:paraId="26ED3A65" w14:textId="77777777">
        <w:trPr>
          <w:trHeight w:val="939"/>
          <w:tblHeader/>
        </w:trPr>
        <w:tc>
          <w:tcPr>
            <w:tcW w:w="705" w:type="dxa"/>
            <w:vMerge w:val="restart"/>
            <w:tcBorders>
              <w:top w:val="single" w:sz="4" w:space="0" w:color="000000" w:themeColor="text1"/>
            </w:tcBorders>
            <w:shd w:val="clear" w:color="auto" w:fill="BDD7EE"/>
            <w:vAlign w:val="center"/>
          </w:tcPr>
          <w:p w14:paraId="0560DCE9" w14:textId="531FED95"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Volgende NR.</w:t>
            </w:r>
          </w:p>
        </w:tc>
        <w:tc>
          <w:tcPr>
            <w:tcW w:w="2110" w:type="dxa"/>
            <w:vMerge w:val="restart"/>
            <w:tcBorders>
              <w:top w:val="single" w:sz="4" w:space="0" w:color="000000" w:themeColor="text1"/>
            </w:tcBorders>
            <w:shd w:val="clear" w:color="auto" w:fill="BDD7EE"/>
            <w:vAlign w:val="center"/>
          </w:tcPr>
          <w:p w14:paraId="12EFB8ED"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Gerelateerde maatregel (hervorming of investering)</w:t>
            </w:r>
          </w:p>
        </w:tc>
        <w:tc>
          <w:tcPr>
            <w:tcW w:w="1267" w:type="dxa"/>
            <w:vMerge w:val="restart"/>
            <w:tcBorders>
              <w:top w:val="single" w:sz="4" w:space="0" w:color="000000" w:themeColor="text1"/>
            </w:tcBorders>
            <w:shd w:val="clear" w:color="auto" w:fill="BDD7EE"/>
            <w:vAlign w:val="center"/>
          </w:tcPr>
          <w:p w14:paraId="69514B1F"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Mijlpaal/Doelstelling</w:t>
            </w:r>
          </w:p>
        </w:tc>
        <w:tc>
          <w:tcPr>
            <w:tcW w:w="2251" w:type="dxa"/>
            <w:vMerge w:val="restart"/>
            <w:tcBorders>
              <w:top w:val="single" w:sz="4" w:space="0" w:color="000000" w:themeColor="text1"/>
            </w:tcBorders>
            <w:shd w:val="clear" w:color="auto" w:fill="BDD7EE"/>
            <w:vAlign w:val="center"/>
          </w:tcPr>
          <w:p w14:paraId="178F8722"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Naam</w:t>
            </w:r>
          </w:p>
        </w:tc>
        <w:tc>
          <w:tcPr>
            <w:tcW w:w="1548" w:type="dxa"/>
            <w:vMerge w:val="restart"/>
            <w:tcBorders>
              <w:top w:val="single" w:sz="4" w:space="0" w:color="000000" w:themeColor="text1"/>
            </w:tcBorders>
            <w:shd w:val="clear" w:color="auto" w:fill="BDD7EE"/>
            <w:vAlign w:val="center"/>
          </w:tcPr>
          <w:p w14:paraId="77CACFE9"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sz w:val="18"/>
              </w:rPr>
              <w:t>Kwalitatieve indicatoren</w:t>
            </w:r>
            <w:r>
              <w:rPr>
                <w:noProof/>
              </w:rPr>
              <w:t xml:space="preserve"> </w:t>
            </w:r>
            <w:r>
              <w:rPr>
                <w:noProof/>
              </w:rPr>
              <w:br/>
            </w:r>
            <w:r>
              <w:rPr>
                <w:rFonts w:ascii="Times New Roman" w:hAnsi="Times New Roman"/>
                <w:b/>
                <w:noProof/>
                <w:color w:val="000000"/>
                <w:sz w:val="18"/>
              </w:rPr>
              <w:t>(voor mijlpalen)</w:t>
            </w:r>
          </w:p>
        </w:tc>
        <w:tc>
          <w:tcPr>
            <w:tcW w:w="2789" w:type="dxa"/>
            <w:gridSpan w:val="3"/>
            <w:tcBorders>
              <w:top w:val="single" w:sz="4" w:space="0" w:color="000000" w:themeColor="text1"/>
            </w:tcBorders>
            <w:shd w:val="clear" w:color="auto" w:fill="BDD7EE"/>
            <w:vAlign w:val="center"/>
          </w:tcPr>
          <w:p w14:paraId="761BC86E"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sz w:val="18"/>
              </w:rPr>
              <w:t>Kwantitatieve indicatoren</w:t>
            </w:r>
            <w:r>
              <w:rPr>
                <w:noProof/>
              </w:rPr>
              <w:t xml:space="preserve"> </w:t>
            </w:r>
            <w:r>
              <w:rPr>
                <w:noProof/>
              </w:rPr>
              <w:br/>
            </w:r>
            <w:r>
              <w:rPr>
                <w:rFonts w:ascii="Times New Roman" w:hAnsi="Times New Roman"/>
                <w:b/>
                <w:noProof/>
                <w:color w:val="000000"/>
                <w:sz w:val="18"/>
              </w:rPr>
              <w:t>(voor streefcijfers)</w:t>
            </w:r>
          </w:p>
        </w:tc>
        <w:tc>
          <w:tcPr>
            <w:tcW w:w="1550" w:type="dxa"/>
            <w:gridSpan w:val="2"/>
            <w:tcBorders>
              <w:top w:val="single" w:sz="4" w:space="0" w:color="000000" w:themeColor="text1"/>
            </w:tcBorders>
            <w:shd w:val="clear" w:color="auto" w:fill="BDD7EE"/>
            <w:vAlign w:val="center"/>
          </w:tcPr>
          <w:p w14:paraId="0A1D18ED"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Indicatieve termijn voor voltooiing </w:t>
            </w:r>
          </w:p>
        </w:tc>
        <w:tc>
          <w:tcPr>
            <w:tcW w:w="3656" w:type="dxa"/>
            <w:vMerge w:val="restart"/>
            <w:tcBorders>
              <w:top w:val="single" w:sz="4" w:space="0" w:color="000000" w:themeColor="text1"/>
            </w:tcBorders>
            <w:shd w:val="clear" w:color="auto" w:fill="BDD7EE"/>
            <w:vAlign w:val="center"/>
          </w:tcPr>
          <w:p w14:paraId="7C1CC161"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Beschrijving van elke mijlpaal en doelstelling</w:t>
            </w:r>
          </w:p>
        </w:tc>
      </w:tr>
      <w:tr w:rsidR="00480F1C" w14:paraId="094E959E" w14:textId="77777777">
        <w:trPr>
          <w:trHeight w:val="1027"/>
        </w:trPr>
        <w:tc>
          <w:tcPr>
            <w:tcW w:w="705" w:type="dxa"/>
            <w:vMerge/>
            <w:vAlign w:val="center"/>
          </w:tcPr>
          <w:p w14:paraId="1D7B270A"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2110" w:type="dxa"/>
            <w:vMerge/>
            <w:vAlign w:val="center"/>
          </w:tcPr>
          <w:p w14:paraId="4F904CB7"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267" w:type="dxa"/>
            <w:vMerge/>
            <w:vAlign w:val="center"/>
          </w:tcPr>
          <w:p w14:paraId="06971CD3"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2251" w:type="dxa"/>
            <w:vMerge/>
            <w:vAlign w:val="center"/>
          </w:tcPr>
          <w:p w14:paraId="2A1F701D"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548" w:type="dxa"/>
            <w:vMerge/>
            <w:vAlign w:val="center"/>
          </w:tcPr>
          <w:p w14:paraId="03EFCA41"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126" w:type="dxa"/>
            <w:shd w:val="clear" w:color="auto" w:fill="BDD7EE"/>
            <w:vAlign w:val="center"/>
          </w:tcPr>
          <w:p w14:paraId="2BB0D5B6"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Eenheid</w:t>
            </w:r>
          </w:p>
        </w:tc>
        <w:tc>
          <w:tcPr>
            <w:tcW w:w="958" w:type="dxa"/>
            <w:shd w:val="clear" w:color="auto" w:fill="BDD7EE"/>
            <w:vAlign w:val="center"/>
          </w:tcPr>
          <w:p w14:paraId="1D1C991E"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Basislijn </w:t>
            </w:r>
          </w:p>
        </w:tc>
        <w:tc>
          <w:tcPr>
            <w:tcW w:w="705" w:type="dxa"/>
            <w:shd w:val="clear" w:color="auto" w:fill="BDD7EE"/>
            <w:vAlign w:val="center"/>
          </w:tcPr>
          <w:p w14:paraId="04C27F3C"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Doelstelling</w:t>
            </w:r>
          </w:p>
        </w:tc>
        <w:tc>
          <w:tcPr>
            <w:tcW w:w="964" w:type="dxa"/>
            <w:shd w:val="clear" w:color="auto" w:fill="BDD7EE"/>
            <w:vAlign w:val="center"/>
          </w:tcPr>
          <w:p w14:paraId="40A90909"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Kwartaal</w:t>
            </w:r>
          </w:p>
        </w:tc>
        <w:tc>
          <w:tcPr>
            <w:tcW w:w="704" w:type="dxa"/>
            <w:shd w:val="clear" w:color="auto" w:fill="BDD7EE"/>
            <w:vAlign w:val="center"/>
          </w:tcPr>
          <w:p w14:paraId="72C88E70"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Jaar</w:t>
            </w:r>
          </w:p>
        </w:tc>
        <w:tc>
          <w:tcPr>
            <w:tcW w:w="3656" w:type="dxa"/>
            <w:vMerge/>
            <w:vAlign w:val="center"/>
          </w:tcPr>
          <w:p w14:paraId="5F96A722"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r>
      <w:tr w:rsidR="00480F1C" w14:paraId="5A170BCE" w14:textId="77777777">
        <w:trPr>
          <w:trHeight w:val="1361"/>
        </w:trPr>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7BF0BF2" w14:textId="12A29F90"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A1L</w:t>
            </w:r>
          </w:p>
        </w:tc>
        <w:tc>
          <w:tcPr>
            <w:tcW w:w="2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495B2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A2.5 Versterking van het potentieel van de culturele sector en de cultuurindustrie voor economische ontwikkeling</w:t>
            </w:r>
          </w:p>
        </w:tc>
        <w:tc>
          <w:tcPr>
            <w:tcW w:w="1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7E5442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22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829331E" w14:textId="1DCD9F3D"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Goedkeuring van een beleidsdocument ter ondersteuning van groene en digitale acties in de culturele en creatieve sectoren (CCS)</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49733DE" w14:textId="261A70CD"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Publicatie van een beleidsnota</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B95CD12"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20BBB2"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3CB595B"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655411C" w14:textId="5F661E92"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62C3D4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423BABC" w14:textId="7C712E44" w:rsidR="00480F1C" w:rsidRDefault="00A201F6">
            <w:pPr>
              <w:pStyle w:val="P68B1DB1-Normal011"/>
              <w:pBdr>
                <w:top w:val="nil"/>
                <w:left w:val="nil"/>
                <w:bottom w:val="nil"/>
                <w:right w:val="nil"/>
                <w:between w:val="nil"/>
              </w:pBdr>
              <w:spacing w:line="240" w:lineRule="auto"/>
              <w:rPr>
                <w:rFonts w:eastAsia="Times New Roman" w:cs="Times New Roman"/>
                <w:noProof/>
              </w:rPr>
            </w:pPr>
            <w:r>
              <w:rPr>
                <w:noProof/>
              </w:rPr>
              <w:t>Na een openbare raadpleging, goedkeuring door de minister van Cultuur van een beleidsdocument ter ondersteuning van de culturele en creatieve sectoren (CCS). In het document worden met name de volgende punten behandeld:</w:t>
            </w:r>
          </w:p>
          <w:p w14:paraId="1F5FDADC" w14:textId="627DCB4F" w:rsidR="00480F1C" w:rsidRDefault="00A201F6">
            <w:pPr>
              <w:pStyle w:val="P68B1DB1-Normal12"/>
              <w:numPr>
                <w:ilvl w:val="0"/>
                <w:numId w:val="13"/>
              </w:numPr>
              <w:pBdr>
                <w:top w:val="nil"/>
                <w:left w:val="nil"/>
                <w:bottom w:val="nil"/>
                <w:right w:val="nil"/>
                <w:between w:val="nil"/>
              </w:pBdr>
              <w:spacing w:after="0" w:line="240" w:lineRule="auto"/>
              <w:rPr>
                <w:rFonts w:eastAsia="Times New Roman" w:cs="Times New Roman"/>
                <w:noProof/>
                <w:color w:val="000000"/>
              </w:rPr>
            </w:pPr>
            <w:r>
              <w:rPr>
                <w:noProof/>
              </w:rPr>
              <w:t>Het in kaart brengen van de belangrijkste uitdagingen op middellange tot lange termijn in de culturele en creatieve sector, met inbegrip van de lessen die zijn getrokken uit de COVID-19-crisis;</w:t>
            </w:r>
          </w:p>
          <w:p w14:paraId="3FF76746" w14:textId="627DCB4F" w:rsidR="00480F1C" w:rsidRDefault="00A201F6">
            <w:pPr>
              <w:pStyle w:val="P68B1DB1-Normal12"/>
              <w:numPr>
                <w:ilvl w:val="0"/>
                <w:numId w:val="13"/>
              </w:numPr>
              <w:spacing w:after="0" w:line="240" w:lineRule="auto"/>
              <w:ind w:right="600"/>
              <w:rPr>
                <w:rFonts w:eastAsia="Times New Roman" w:cs="Times New Roman"/>
                <w:noProof/>
                <w:color w:val="000000"/>
              </w:rPr>
            </w:pPr>
            <w:r>
              <w:rPr>
                <w:noProof/>
              </w:rPr>
              <w:t>Ervoor te zorgen dat de algemene beginselen van de EU, met inbegrip van gendergelijkheid en non-discriminatie, worden nageleefd in de te ondersteunen projecten;</w:t>
            </w:r>
          </w:p>
          <w:p w14:paraId="38F5FEC6" w14:textId="627DCB4F" w:rsidR="00480F1C" w:rsidRDefault="00A201F6">
            <w:pPr>
              <w:pStyle w:val="P68B1DB1-Normal12"/>
              <w:numPr>
                <w:ilvl w:val="0"/>
                <w:numId w:val="13"/>
              </w:numPr>
              <w:pBdr>
                <w:top w:val="nil"/>
                <w:left w:val="nil"/>
                <w:bottom w:val="nil"/>
                <w:right w:val="nil"/>
                <w:between w:val="nil"/>
              </w:pBdr>
              <w:spacing w:after="0" w:line="240" w:lineRule="auto"/>
              <w:rPr>
                <w:rFonts w:eastAsia="Times New Roman" w:cs="Times New Roman"/>
                <w:noProof/>
                <w:color w:val="000000"/>
              </w:rPr>
            </w:pPr>
            <w:r>
              <w:rPr>
                <w:noProof/>
              </w:rPr>
              <w:t>Het in kaart brengen van het potentieel voor groene en digitale instrumenten en platforms om deze uitdagingen aan te pakken;</w:t>
            </w:r>
          </w:p>
          <w:p w14:paraId="312B7151" w14:textId="627DCB4F" w:rsidR="00480F1C" w:rsidRDefault="00A201F6">
            <w:pPr>
              <w:pStyle w:val="P68B1DB1-Normal12"/>
              <w:numPr>
                <w:ilvl w:val="0"/>
                <w:numId w:val="13"/>
              </w:numPr>
              <w:pBdr>
                <w:top w:val="nil"/>
                <w:left w:val="nil"/>
                <w:bottom w:val="nil"/>
                <w:right w:val="nil"/>
                <w:between w:val="nil"/>
              </w:pBdr>
              <w:spacing w:after="0" w:line="240" w:lineRule="auto"/>
              <w:rPr>
                <w:rFonts w:eastAsia="Times New Roman" w:cs="Times New Roman"/>
                <w:noProof/>
                <w:color w:val="000000"/>
              </w:rPr>
            </w:pPr>
            <w:r>
              <w:rPr>
                <w:noProof/>
              </w:rPr>
              <w:t>Ontwikkelen van concepten voor samenwerking en overdracht van kennis en vaardigheden tussen de culturele en creatieve sector en met de sectoren wetenschap, onderwijs, technologie en bedrijfsleven, met bijzondere aandacht voor de algemene beginselen van de EU, waaronder gendergelijkheid en non-discriminatie, groen en digitaal.</w:t>
            </w:r>
          </w:p>
          <w:p w14:paraId="6D9C8D39"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p w14:paraId="655C637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Het in kaart brengen van voorkeursopties om overheidssteun te verlenen voor acties in de culturele en creatieve sector.</w:t>
            </w:r>
          </w:p>
        </w:tc>
      </w:tr>
      <w:tr w:rsidR="00480F1C" w14:paraId="4C762B98" w14:textId="77777777">
        <w:trPr>
          <w:trHeight w:val="850"/>
        </w:trPr>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0B585D4" w14:textId="03D02398"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A2L</w:t>
            </w:r>
          </w:p>
        </w:tc>
        <w:tc>
          <w:tcPr>
            <w:tcW w:w="2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C6A9B6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A2.5.1 Een programma ter ondersteuning van de activiteiten van entiteiten in de culturele en creatieve sector om hun ontwikkeling te stimuleren</w:t>
            </w:r>
          </w:p>
          <w:p w14:paraId="675E05EE"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1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477031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22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BD9C6E5" w14:textId="033C2141"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Selectiecriteria voor de ondersteuning van projecten in de culturele en creatieve sectoren (CCS)</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E24E48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Bekendmaking van de selectiecriteria en oprichting van een onafhankelijk selectiecomité</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FC17F8B"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A4F7224"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AE48A43"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585A9C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DBF8A4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47C2EFB" w14:textId="4991256B"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Het ministerie van Cultuur en Nationaal Erfgoed stelt de selectiecriteria vast en publiceert deze ter ondersteuning van het MKB, culturele instellingen en ngo’s bij het opzetten van projecten in de culturele en creatieve sectoren (CCS). </w:t>
            </w:r>
          </w:p>
          <w:p w14:paraId="50F40DEB"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p w14:paraId="7053B00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Voorts wordt een onafhankelijk selectiecomité opgericht met deskundigen uit verschillende disciplines, met vertegenwoordigers van onafhankelijke CCS-organisaties en -instellingen. Het selectiecomité beslist over de bepalingen inzake subsidies en beurzen.</w:t>
            </w:r>
          </w:p>
          <w:p w14:paraId="77A52294"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p w14:paraId="18E4BC7E" w14:textId="1F809D42"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De criteria voor de selectie van aanvragen voor projectsubsidies van culturele instellingen, ngo’s, kmo’s en micro-ondernemingen in de culturele en creatieve sector, die overeenkomen met een van de door Eurostat gedefinieerde NACE-sectoren, moeten:</w:t>
            </w:r>
          </w:p>
          <w:p w14:paraId="21A66136" w14:textId="627DCB4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 de voorkeur geven aan projecten die waarschijnlijk een blijvend effect zullen hebben op de digitale en groene transitie in de culturele en creatieve sector;</w:t>
            </w:r>
          </w:p>
          <w:p w14:paraId="29F169F3" w14:textId="627DCB4F" w:rsidR="00480F1C" w:rsidRDefault="00A201F6">
            <w:pPr>
              <w:pStyle w:val="P68B1DB1-Normal010"/>
              <w:pBdr>
                <w:top w:val="nil"/>
                <w:left w:val="nil"/>
                <w:bottom w:val="nil"/>
                <w:right w:val="nil"/>
                <w:between w:val="nil"/>
              </w:pBdr>
              <w:spacing w:after="0" w:line="240" w:lineRule="auto"/>
              <w:rPr>
                <w:rFonts w:eastAsia="Times New Roman" w:cs="Times New Roman"/>
                <w:noProof/>
                <w:color w:val="000000"/>
              </w:rPr>
            </w:pPr>
            <w:r>
              <w:rPr>
                <w:noProof/>
                <w:color w:val="000000" w:themeColor="text1"/>
              </w:rPr>
              <w:t>b)</w:t>
            </w:r>
            <w:r>
              <w:rPr>
                <w:noProof/>
              </w:rPr>
              <w:t xml:space="preserve"> de </w:t>
            </w:r>
            <w:r>
              <w:rPr>
                <w:noProof/>
                <w:color w:val="000000" w:themeColor="text1"/>
              </w:rPr>
              <w:t>voorkeur geven aan begunstigden die een bedrijfsplan hebben over de wijze waarop de subsidies zullen worden gebruikt om de kosten van het project te financieren;</w:t>
            </w:r>
          </w:p>
          <w:p w14:paraId="75708DC6" w14:textId="59B99671"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de voorkeur geven aan begunstigden die in de afgelopen 24 maanden een staat van dienst hebben op het gebied van activiteiten of projecten in verband met het projectvoorstel. </w:t>
            </w:r>
          </w:p>
          <w:p w14:paraId="007DCDA8"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p w14:paraId="6FE8CDEB" w14:textId="7882DA4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 alle projecten wordt rekening gehouden met de algemene beginselen van de EU, waaronder gendergelijkheid en non-discriminatie.</w:t>
            </w:r>
          </w:p>
        </w:tc>
      </w:tr>
      <w:tr w:rsidR="00480F1C" w14:paraId="19D2E55D" w14:textId="77777777">
        <w:trPr>
          <w:trHeight w:val="1417"/>
        </w:trPr>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50336A3" w14:textId="62F22E3F"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A3L</w:t>
            </w:r>
          </w:p>
        </w:tc>
        <w:tc>
          <w:tcPr>
            <w:tcW w:w="2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B46D6E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A2.5.1 Een programma ter ondersteuning van de activiteiten van entiteiten in de culturele en creatieve sector om hun ontwikkeling te stimuleren</w:t>
            </w:r>
          </w:p>
        </w:tc>
        <w:tc>
          <w:tcPr>
            <w:tcW w:w="1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D21384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2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9FFF35A" w14:textId="5B9040E5"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Aantal ondertekende contracten voor projecten door culturele instellingen, ngo’s, kmo’s en micro-ondernemingen die actief zijn in de culturele en creatieve sector (CCS) </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50EA2D7"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DC705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4452D0A"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8728E67" w14:textId="723DFC2E"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4324</w:t>
            </w: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317816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04DE12B" w14:textId="4C23BCD9"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0E864D1" w14:textId="6E4F5654"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Het doel van deze maatregel is de culturele en creatieve sectoren (CCS) te versterken door de uitvoering van projecten te ondersteunen die culturele verwezenlijkingen verspreiden en de aanwezigheid van cultuur in het sociale leven te vergroten met behulp van online-instrumenten en -middelen. De projecten worden geselecteerd door middel van openbare oproepen tot het indienen van voorstellen.</w:t>
            </w:r>
          </w:p>
          <w:p w14:paraId="0A6959E7" w14:textId="40EBFD7F"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p w14:paraId="678EE3E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De projecten omvatten om- en bijscholing en de bevordering van digitale competenties bij culturele actoren (zowel particuliere als werknemers van culturele instellingen). </w:t>
            </w:r>
          </w:p>
          <w:p w14:paraId="3DD355C9"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p w14:paraId="7BB9B307" w14:textId="505BD23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De uitvoering van 4324 CCS-projecten wordt ondersteund, geselecteerd op basis van de criteria die zijn gepubliceerd in het kader van mijlpaal A2L.</w:t>
            </w:r>
          </w:p>
        </w:tc>
      </w:tr>
      <w:tr w:rsidR="00480F1C" w14:paraId="1B56D5DE"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15"/>
        </w:trPr>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32EB26C" w14:textId="19F3F3EB"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A4L</w:t>
            </w:r>
          </w:p>
        </w:tc>
        <w:tc>
          <w:tcPr>
            <w:tcW w:w="2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2FB415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A2.5.1 Een programma ter ondersteuning van de activiteiten van entiteiten in de culturele en creatieve sector om hun ontwikkeling te stimuleren</w:t>
            </w:r>
          </w:p>
        </w:tc>
        <w:tc>
          <w:tcPr>
            <w:tcW w:w="1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B731A0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2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4E0A28" w14:textId="522A6B96"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 toegekende beurzen in de culturele en creatieve sectoren (CCS)</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17AAFBA"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BE55C0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A355B75"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B3BF05E" w14:textId="3B9F7646"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1438</w:t>
            </w: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AC464C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AD19AC4" w14:textId="1C508AF0"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0A6CF2" w14:textId="5C8AC91A"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Met deze investering wordt een beurzenprogramma opgezet ter ondersteuning van scheppende kunstenaars, kunstenaars, animatoren en opvoeders, alsook onderzoekers die nieuwe manieren willen vinden om cultuurgoederen live en via internet te presenteren.</w:t>
            </w:r>
          </w:p>
          <w:p w14:paraId="51952A32" w14:textId="7CB26FDE"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1438 beurzen worden toegekend aan kunstenaars voor de ontwikkeling van hun activiteiten. Het beurzenprogramma heeft tot doel kunstenaars te ondersteunen om creatieve activiteiten in het herstel na COVID-19 te stimuleren. In het bijzonder wordt in het kader van het beurzenprogramma financiële bijstand verleend aan:</w:t>
            </w:r>
          </w:p>
          <w:p w14:paraId="654E7F9B" w14:textId="627DCB4F" w:rsidR="00480F1C" w:rsidRDefault="00A201F6">
            <w:pPr>
              <w:pStyle w:val="P68B1DB1-Normal12"/>
              <w:numPr>
                <w:ilvl w:val="0"/>
                <w:numId w:val="15"/>
              </w:numPr>
              <w:spacing w:after="0" w:line="240" w:lineRule="auto"/>
              <w:ind w:right="600"/>
              <w:rPr>
                <w:rFonts w:eastAsia="Times New Roman" w:cs="Times New Roman"/>
                <w:noProof/>
                <w:color w:val="000000"/>
              </w:rPr>
            </w:pPr>
            <w:r>
              <w:rPr>
                <w:noProof/>
              </w:rPr>
              <w:t>Cursussen aanbieden aan kunstenaars om hun artistieke, digitale of groene vaardigheden te ontwikkelen;</w:t>
            </w:r>
          </w:p>
          <w:p w14:paraId="1E0D471F" w14:textId="627DCB4F" w:rsidR="00480F1C" w:rsidRDefault="00A201F6">
            <w:pPr>
              <w:pStyle w:val="P68B1DB1-Normal12"/>
              <w:numPr>
                <w:ilvl w:val="0"/>
                <w:numId w:val="15"/>
              </w:numPr>
              <w:pBdr>
                <w:top w:val="nil"/>
                <w:left w:val="nil"/>
                <w:bottom w:val="nil"/>
                <w:right w:val="nil"/>
                <w:between w:val="nil"/>
              </w:pBdr>
              <w:spacing w:after="0" w:line="240" w:lineRule="auto"/>
              <w:rPr>
                <w:rFonts w:eastAsia="Times New Roman" w:cs="Times New Roman"/>
                <w:noProof/>
                <w:color w:val="000000"/>
              </w:rPr>
            </w:pPr>
            <w:r>
              <w:rPr>
                <w:noProof/>
              </w:rPr>
              <w:t>Het aanbieden van geïndividualiseerde beroepsopleidingen aan kunstenaars;</w:t>
            </w:r>
          </w:p>
          <w:p w14:paraId="16D4EDFD" w14:textId="627DCB4F" w:rsidR="00480F1C" w:rsidRDefault="00A201F6">
            <w:pPr>
              <w:pStyle w:val="P68B1DB1-Normal12"/>
              <w:numPr>
                <w:ilvl w:val="0"/>
                <w:numId w:val="15"/>
              </w:numPr>
              <w:pBdr>
                <w:top w:val="nil"/>
                <w:left w:val="nil"/>
                <w:bottom w:val="nil"/>
                <w:right w:val="nil"/>
                <w:between w:val="nil"/>
              </w:pBdr>
              <w:spacing w:after="0" w:line="240" w:lineRule="auto"/>
              <w:rPr>
                <w:rFonts w:eastAsia="Times New Roman" w:cs="Times New Roman"/>
                <w:noProof/>
                <w:color w:val="000000"/>
              </w:rPr>
            </w:pPr>
            <w:r>
              <w:rPr>
                <w:noProof/>
              </w:rPr>
              <w:t>Het creëren van mogelijkheden voor kunstenaars om in virtuele of fysieke vorm bijeen te komen met lokale, nationale en internationale kunstprofessionals door middel van workshops en discussieseries;</w:t>
            </w:r>
          </w:p>
          <w:p w14:paraId="72BA8817" w14:textId="77777777" w:rsidR="00480F1C" w:rsidRDefault="00A201F6">
            <w:pPr>
              <w:pStyle w:val="P68B1DB1-Normal12"/>
              <w:numPr>
                <w:ilvl w:val="0"/>
                <w:numId w:val="15"/>
              </w:numPr>
              <w:pBdr>
                <w:top w:val="nil"/>
                <w:left w:val="nil"/>
                <w:bottom w:val="nil"/>
                <w:right w:val="nil"/>
                <w:between w:val="nil"/>
              </w:pBdr>
              <w:spacing w:line="240" w:lineRule="auto"/>
              <w:rPr>
                <w:rFonts w:eastAsia="Times New Roman" w:cs="Times New Roman"/>
                <w:noProof/>
                <w:color w:val="000000"/>
              </w:rPr>
            </w:pPr>
            <w:r>
              <w:rPr>
                <w:noProof/>
              </w:rPr>
              <w:t>Mogelijkheden creëren voor kunstenaars om in virtuele of fysieke vormen samen te werken met professionals in andere sectoren, waaronder wetenschap, technologie en bedrijfsleven.</w:t>
            </w:r>
          </w:p>
          <w:p w14:paraId="59C75016" w14:textId="10BDAC2D"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Beurzen worden toegekend met inachtneming van de algemene beginselen van de EU, waaronder gendergelijkheid en non-discriminatie. De criteria voor de selectie van aanvragen voor beurzen voor kunstenaars in de CSS, die overeenkomen met een van de door Eurostat gedefinieerde NACE-sectoren, omvatten:</w:t>
            </w:r>
          </w:p>
          <w:p w14:paraId="1D38C1D7" w14:textId="627DCB4F" w:rsidR="00480F1C" w:rsidRDefault="00A201F6">
            <w:pPr>
              <w:pStyle w:val="P68B1DB1-Normal011"/>
              <w:numPr>
                <w:ilvl w:val="0"/>
                <w:numId w:val="17"/>
              </w:numPr>
              <w:pBdr>
                <w:top w:val="nil"/>
                <w:left w:val="nil"/>
                <w:bottom w:val="nil"/>
                <w:right w:val="nil"/>
                <w:between w:val="nil"/>
              </w:pBdr>
              <w:spacing w:after="0" w:line="240" w:lineRule="auto"/>
              <w:rPr>
                <w:rFonts w:eastAsia="Times New Roman" w:cs="Times New Roman"/>
                <w:noProof/>
              </w:rPr>
            </w:pPr>
            <w:r>
              <w:rPr>
                <w:noProof/>
              </w:rPr>
              <w:t>een overtuigende artistieke portefeuille in de afgelopen 24 maanden;</w:t>
            </w:r>
          </w:p>
          <w:p w14:paraId="22A2E48D" w14:textId="77777777" w:rsidR="00480F1C" w:rsidRDefault="00A201F6">
            <w:pPr>
              <w:pStyle w:val="P68B1DB1-Normal011"/>
              <w:numPr>
                <w:ilvl w:val="0"/>
                <w:numId w:val="17"/>
              </w:numPr>
              <w:pBdr>
                <w:top w:val="nil"/>
                <w:left w:val="nil"/>
                <w:bottom w:val="nil"/>
                <w:right w:val="nil"/>
                <w:between w:val="nil"/>
              </w:pBdr>
              <w:spacing w:after="0" w:line="240" w:lineRule="auto"/>
              <w:rPr>
                <w:rFonts w:eastAsia="Times New Roman" w:cs="Times New Roman"/>
                <w:noProof/>
              </w:rPr>
            </w:pPr>
            <w:r>
              <w:rPr>
                <w:noProof/>
              </w:rPr>
              <w:t>een overtuigend artistiek plan voor de komende 24 maanden.</w:t>
            </w:r>
          </w:p>
          <w:p w14:paraId="7072C1C8" w14:textId="3EE12D94"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Het in mijlpaal A2L genoemde selectiecomité beslist over de selectie van bursalen. </w:t>
            </w:r>
          </w:p>
        </w:tc>
      </w:tr>
      <w:tr w:rsidR="00480F1C" w14:paraId="4DEA8A78" w14:textId="77777777">
        <w:trPr>
          <w:trHeight w:val="1417"/>
        </w:trPr>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D5D5EE9" w14:textId="170C5BD4"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A7L</w:t>
            </w:r>
          </w:p>
        </w:tc>
        <w:tc>
          <w:tcPr>
            <w:tcW w:w="2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3C2D5AA" w14:textId="438F6EB2"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A2.6 Hervorming — Ontwikkeling van het nationale systeem van monitoringdiensten, producten, analytische instrumenten, diensten en begeleidende infrastructuur met behulp van satellietgegevens </w:t>
            </w:r>
          </w:p>
        </w:tc>
        <w:tc>
          <w:tcPr>
            <w:tcW w:w="1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1262B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22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27B41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wet inzake ruimtevaartactiviteiten die door het parlement moet worden aangenomen</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45871C5" w14:textId="3362999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wet die de inwerkingtreding ervan aangeeft</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32A5A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E45AE9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A150FD0"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09A1D4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3</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170BBC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2024</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F8C8ECE" w14:textId="70967861"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Een nieuwe wet moet onder meer het gebruik van satellietgegevens door de overheid vergemakkelijken. Bij wet wordt een nationale administrateur voor satellietgegevens ingesteld. De wet voorziet in de verplichting voor de nationale administrateur om het gebruik van satellietgegevens door particuliere ondernemingen te bevorderen, onder meer door opleidingen voor alle belangstellende entiteiten te organiseren.</w:t>
            </w:r>
          </w:p>
        </w:tc>
      </w:tr>
      <w:tr w:rsidR="00480F1C" w14:paraId="1E7CE908" w14:textId="77777777">
        <w:trPr>
          <w:trHeight w:val="1775"/>
        </w:trPr>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F64BF76" w14:textId="502B913B"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A8L</w:t>
            </w:r>
          </w:p>
        </w:tc>
        <w:tc>
          <w:tcPr>
            <w:tcW w:w="2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25816AC" w14:textId="6C4CC2C0" w:rsidR="00480F1C" w:rsidRDefault="00A201F6">
            <w:pPr>
              <w:pStyle w:val="P68B1DB1-Normal011"/>
              <w:spacing w:after="0" w:line="240" w:lineRule="auto"/>
              <w:rPr>
                <w:rFonts w:eastAsia="Times New Roman" w:cs="Times New Roman"/>
                <w:noProof/>
              </w:rPr>
            </w:pPr>
            <w:r>
              <w:rPr>
                <w:noProof/>
              </w:rPr>
              <w:t>A2.6.1 Investeringen — Ontwikkeling van het nationale systeem van monitoringdiensten, producten, analytische instrumenten, diensten en begeleidende infrastructuur met behulp van satellietgegevens</w:t>
            </w:r>
          </w:p>
        </w:tc>
        <w:tc>
          <w:tcPr>
            <w:tcW w:w="1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774D86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Doel </w:t>
            </w:r>
          </w:p>
        </w:tc>
        <w:tc>
          <w:tcPr>
            <w:tcW w:w="22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34D3C93" w14:textId="7E23184E"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Ontwikkeling van de noodzakelijke infrastructuur: het nationale satellietinformatiesysteem (NSIS), dat monitoringdiensten levert op basis van gegevens van satellietaardobservatie (EO);</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0D3A2D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A0548F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146225B"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6B20A0C"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w:t>
            </w: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81F61AE" w14:textId="4D7CB5ED"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00E632F" w14:textId="7FB7F30F"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720677D" w14:textId="23687654"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Het nationale satellietinformatiesysteem (NSIS) wordt operationeel. Start van initiële diensten in samenwerking met gebruikers op twee gebieden van toepassingen voor elektronische gegevensvastlegging (EDC) die van groot belang zijn voor de economie en de veiligheid van Polen, geselecteerd uit de volgende gebieden: ruimtelijke ordening, crisisbeheersing, land- en bosbouw, waterbeheer, monitoring van het milieu in de Oostzee.</w:t>
            </w:r>
          </w:p>
        </w:tc>
      </w:tr>
      <w:tr w:rsidR="00480F1C" w14:paraId="4CB57EE2" w14:textId="77777777">
        <w:trPr>
          <w:trHeight w:val="1775"/>
        </w:trPr>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103C4DE" w14:textId="326F6DA2"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A9L</w:t>
            </w:r>
          </w:p>
        </w:tc>
        <w:tc>
          <w:tcPr>
            <w:tcW w:w="2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32E6709" w14:textId="4E6A457A"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A2.6.1 Investeringen — Ontwikkeling van het nationale systeem van monitoringdiensten, producten, analytische instrumenten, diensten en begeleidende infrastructuur met behulp van satellietgegevens </w:t>
            </w:r>
          </w:p>
        </w:tc>
        <w:tc>
          <w:tcPr>
            <w:tcW w:w="1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06E9CF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22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FB7229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Voorbereidende werkzaamheden voor de lancering van de eerste Poolse satelliet: ECS-fase 0/A/B/C (analyse van de missie/identificatie van behoeften, haalbaarheid en definitie)</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641272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Publicatie van de verslagen</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7357532"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7F023C8"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BDB5498"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D4BE697" w14:textId="511DEDBB"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3</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B50C5A4" w14:textId="3CBDE43F"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2024</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E586353" w14:textId="0D41511E"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De indicator heeft betrekking op drie gepubliceerde verslagen (de Mission Definition Review, de Preliminary Requirements Review, de kritische ontwerpevaluatie). Het ruimtesegment omvat satellietplatforms van micro- en sensoren die de verwerving van opto-elektronische gegevens mogelijk maken, die onder meer zijn uitgerust met een compressiemodule en gecodeerde uplink/downlink radioverbindingen. De voorbereidende werkzaamheden worden uitgevoerd in overeenstemming met de normen van de Europese samenwerking voor normalisatie in de ruimte (ECSS).</w:t>
            </w:r>
          </w:p>
        </w:tc>
      </w:tr>
      <w:tr w:rsidR="00480F1C" w14:paraId="31009C2C" w14:textId="77777777">
        <w:trPr>
          <w:trHeight w:val="397"/>
        </w:trPr>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945A828" w14:textId="77CDBA96"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A10L</w:t>
            </w:r>
          </w:p>
        </w:tc>
        <w:tc>
          <w:tcPr>
            <w:tcW w:w="2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490E542" w14:textId="750BE6A6"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A2.6.1 Investeringen — Ontwikkeling van het nationale systeem van monitoringdiensten, producten, analytische instrumenten, diensten en begeleidende infrastructuur met behulp van satellietgegevens </w:t>
            </w:r>
          </w:p>
        </w:tc>
        <w:tc>
          <w:tcPr>
            <w:tcW w:w="1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143A13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2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6775C75" w14:textId="41B26FC5"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T1 — Oprichting van de eerste Poolse satelliet</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06F80D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92A1C5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07ADC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49FAAB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w:t>
            </w: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E1FBC2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59B3AF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766126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 gelanceerde satellieten, bestaande uit de volledige fabricage, assemblage en beproeving van vlieghardware/software, met inbegrip van bijbehorende grondondersteuning, waarmee de eerste satelliet in een baan om de aarde wordt gebracht.</w:t>
            </w:r>
          </w:p>
        </w:tc>
      </w:tr>
      <w:tr w:rsidR="00480F1C" w14:paraId="4C949B18" w14:textId="77777777">
        <w:trPr>
          <w:trHeight w:val="1417"/>
        </w:trPr>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D2CA41D" w14:textId="2A7C0B6C"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A11L</w:t>
            </w:r>
          </w:p>
        </w:tc>
        <w:tc>
          <w:tcPr>
            <w:tcW w:w="2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32BD4B8" w14:textId="50EFFE7C"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A2.6.1 Investeringen — Ontwikkeling van het nationale systeem van monitoringdiensten, producten, analytische instrumenten, diensten en begeleidende infrastructuur met behulp van satellietgegevens </w:t>
            </w:r>
          </w:p>
        </w:tc>
        <w:tc>
          <w:tcPr>
            <w:tcW w:w="1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C23922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2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DFDE3EF" w14:textId="43A5C91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T2 — start van de volgende drie Poolse satellieten</w:t>
            </w:r>
          </w:p>
        </w:tc>
        <w:tc>
          <w:tcPr>
            <w:tcW w:w="15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82EA13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FA49C9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F14E3C"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w:t>
            </w:r>
          </w:p>
        </w:tc>
        <w:tc>
          <w:tcPr>
            <w:tcW w:w="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C964D7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4</w:t>
            </w: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1F5611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A3A52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3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94D68D" w14:textId="73CEFCAE"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De doelstelling heeft betrekking op het aantal gelanceerde satellieten (in overeenstemming met de eisen voor maatregel A10L hierboven). Volledige fabricage, assemblage en beproeving van vlieghardware/software, met inbegrip van bijbehorende grondondersteuning, die leidt tot de lancering van de volgende drie satellieten in een baan om de aarde.</w:t>
            </w:r>
          </w:p>
        </w:tc>
      </w:tr>
    </w:tbl>
    <w:p w14:paraId="2916C19D"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sectPr w:rsidR="00480F1C" w:rsidSect="00720E54">
          <w:headerReference w:type="even" r:id="rId49"/>
          <w:headerReference w:type="default" r:id="rId50"/>
          <w:footerReference w:type="even" r:id="rId51"/>
          <w:footerReference w:type="default" r:id="rId52"/>
          <w:headerReference w:type="first" r:id="rId53"/>
          <w:footerReference w:type="first" r:id="rId54"/>
          <w:pgSz w:w="16839" w:h="11907" w:orient="landscape"/>
          <w:pgMar w:top="720" w:right="1021" w:bottom="720" w:left="1021" w:header="709" w:footer="709" w:gutter="0"/>
          <w:cols w:space="720"/>
        </w:sectPr>
      </w:pPr>
    </w:p>
    <w:p w14:paraId="67DB6013" w14:textId="77777777" w:rsidR="00480F1C" w:rsidRDefault="00A201F6">
      <w:pPr>
        <w:pStyle w:val="P68B1DB1-Normal018"/>
        <w:keepNext/>
        <w:pBdr>
          <w:top w:val="nil"/>
          <w:left w:val="nil"/>
          <w:bottom w:val="nil"/>
          <w:right w:val="nil"/>
          <w:between w:val="nil"/>
        </w:pBdr>
        <w:tabs>
          <w:tab w:val="left" w:pos="850"/>
        </w:tabs>
        <w:spacing w:before="360" w:after="120" w:line="240" w:lineRule="auto"/>
        <w:ind w:left="850" w:hanging="850"/>
        <w:jc w:val="both"/>
        <w:rPr>
          <w:rFonts w:eastAsia="Times New Roman" w:cs="Times New Roman"/>
          <w:noProof/>
        </w:rPr>
      </w:pPr>
      <w:r>
        <w:rPr>
          <w:noProof/>
        </w:rPr>
        <w:t xml:space="preserve">B. ONDERDEEL B: „VERMINDERING VAN GROENE ENERGIE EN ENERGIE-INTENSITEIT” </w:t>
      </w:r>
    </w:p>
    <w:p w14:paraId="6ED381A2" w14:textId="77777777" w:rsidR="00480F1C" w:rsidRDefault="00A201F6">
      <w:pPr>
        <w:pStyle w:val="P68B1DB1-Normal05"/>
        <w:pBdr>
          <w:top w:val="nil"/>
          <w:left w:val="nil"/>
          <w:bottom w:val="nil"/>
          <w:right w:val="nil"/>
          <w:between w:val="nil"/>
        </w:pBdr>
        <w:spacing w:before="120" w:after="120" w:line="257" w:lineRule="auto"/>
        <w:jc w:val="both"/>
        <w:rPr>
          <w:rFonts w:eastAsia="Times New Roman" w:cs="Times New Roman"/>
          <w:noProof/>
          <w:color w:val="000000"/>
        </w:rPr>
      </w:pPr>
      <w:r>
        <w:rPr>
          <w:noProof/>
        </w:rPr>
        <w:t xml:space="preserve">Het onderdeel van het Poolse herstel- en veerkrachtplan is erop gericht verschillende uitdagingen aan te pakken waarmee de Poolse energiesector momenteel wordt geconfronteerd op het gebied van decarbonisatie en luchtverontreiniging. Ten eerste is Polen nog steeds veel afhankelijker van steenkool dan in andere lidstaten, waardoor de energietransitie naar koolstofneutraliteit een uitdaging vormt. Ten tweede voldoet ongeveer 70 % van de eengezinswoningen en veel meergezins- en openbare gebouwen niet aan de energie-efficiëntienormen. In combinatie met een nog steeds wijdverbreid gebruik van steenkool van lage kwaliteit in individuele verwarmingssystemen leidt dit tot een lage luchtkwaliteit. Ten derde vormen lage retentieniveaus en watertekorten (met inbegrip van drinkwater) in plattelandsgebieden een groot probleem.  </w:t>
      </w:r>
    </w:p>
    <w:p w14:paraId="7197CB5D" w14:textId="5400DFF2" w:rsidR="00480F1C" w:rsidRDefault="00A201F6">
      <w:pPr>
        <w:pStyle w:val="P68B1DB1-Normal05"/>
        <w:pBdr>
          <w:top w:val="nil"/>
          <w:left w:val="nil"/>
          <w:bottom w:val="nil"/>
          <w:right w:val="nil"/>
          <w:between w:val="nil"/>
        </w:pBdr>
        <w:spacing w:before="120" w:after="120" w:line="257" w:lineRule="auto"/>
        <w:jc w:val="both"/>
        <w:rPr>
          <w:rFonts w:eastAsia="Times New Roman" w:cs="Times New Roman"/>
          <w:noProof/>
          <w:color w:val="000000"/>
        </w:rPr>
      </w:pPr>
      <w:r>
        <w:rPr>
          <w:noProof/>
        </w:rPr>
        <w:t>De belangrijkste doelstelling van de component is de energiemix te verschuiven naar koolstofarme technologieën door het gebruik van hernieuwbare energiebronnen te vergemakkelijken en het gebruik van alternatieve energiebronnen zoals waterstof en biogas te vergroten. De component heeft ook tot doel het energieverbruik te verminderen door een grondige renovatie van gebouwen, met inbegrip van thermische modernisering, te bevorderen; en door de energie-intensiteit van de industrie, de dienstensector en huishoudens te verminderen. Tot slot is de component ook gericht op het verminderen van de menselijke impact op het milieu, met name door investeringen in het neutraliseren van bedreigingen en het herstel van grootschalige aangetaste gebieden en de Oostzee.</w:t>
      </w:r>
    </w:p>
    <w:p w14:paraId="4FBC8519" w14:textId="432DB278" w:rsidR="00480F1C" w:rsidRDefault="00A201F6">
      <w:pPr>
        <w:pStyle w:val="P68B1DB1-Normal05"/>
        <w:pBdr>
          <w:top w:val="nil"/>
          <w:left w:val="nil"/>
          <w:bottom w:val="nil"/>
          <w:right w:val="nil"/>
          <w:between w:val="nil"/>
        </w:pBdr>
        <w:spacing w:before="120" w:after="120" w:line="257" w:lineRule="auto"/>
        <w:jc w:val="both"/>
        <w:rPr>
          <w:rFonts w:eastAsia="Times New Roman" w:cs="Times New Roman"/>
          <w:noProof/>
          <w:color w:val="000000"/>
        </w:rPr>
      </w:pPr>
      <w:r>
        <w:rPr>
          <w:noProof/>
        </w:rPr>
        <w:t>De component ondersteunt de uitvoering van de landspecifieke aanbevelingen om het investeringsgerelateerd economisch beleid te richten op innovatie, vervoer, met name op duurzaamheid, digitale en energie-infrastructuur, gezondheidszorg en schonere energie, rekening houdend met regionale verschillen (landspecifieke aanbeveling 3 2019), en om investeringen te richten op de groene en de digitale transitie, met name digitale infrastructuur, schone en efficiënte energieproductie en -gebruik en duurzaam vervoer, teneinde bij te dragen tot het geleidelijk koolstofvrij maken van de economie, ook in steenkoolregio’s (landspecifieke aanbeveling 3 2020).</w:t>
      </w:r>
    </w:p>
    <w:p w14:paraId="146126AB" w14:textId="291EF9F2" w:rsidR="00480F1C" w:rsidRDefault="00A201F6">
      <w:pPr>
        <w:pStyle w:val="P68B1DB1-Normal05"/>
        <w:pBdr>
          <w:top w:val="nil"/>
          <w:left w:val="nil"/>
          <w:bottom w:val="nil"/>
          <w:right w:val="nil"/>
          <w:between w:val="nil"/>
        </w:pBdr>
        <w:spacing w:before="120" w:after="120" w:line="257" w:lineRule="auto"/>
        <w:jc w:val="both"/>
        <w:rPr>
          <w:rFonts w:eastAsia="Times New Roman" w:cs="Times New Roman"/>
          <w:noProof/>
          <w:color w:val="000000"/>
        </w:rPr>
      </w:pPr>
      <w:r>
        <w:rPr>
          <w:noProof/>
        </w:rPr>
        <w:t xml:space="preserve">Verwacht wordt dat geen enkele maatregel in deze component ernstige afbreuk doet aan milieudoelstellingen in de zin van artikel 17 van Verordening (EU) 2020/852, rekening houdend met de beschrijving van de maatregelen en de risicobeperkende stappen in het herstel- en veerkrachtplan overeenkomstig de technische richtsnoeren inzake het beginsel „geen ernstige afbreuk doen aan” (2021/C 58/01). Voor alle maatregelen in deze component die betrekking hebben op de ontwikkeling van infrastructuur, is naleving van de EU-wetgeving vereist om schade aan de biodiversiteitsdoelstelling te voorkomen. Dit betekent met name de MEB-richtlijn (2011/92/EU) en, voor gebieden/activiteiten in of nabij biodiversiteitsgevoelige gebieden, de artikelen 6 (3) en 12 van de habitatrichtlijn (92/43/EEG) en artikel 5 van de vogelrichtlijn (2009/147/EG). </w:t>
      </w:r>
    </w:p>
    <w:p w14:paraId="74869460" w14:textId="77777777" w:rsidR="00480F1C" w:rsidRDefault="00480F1C">
      <w:pPr>
        <w:pStyle w:val="Normal0"/>
        <w:pBdr>
          <w:top w:val="nil"/>
          <w:left w:val="nil"/>
          <w:bottom w:val="nil"/>
          <w:right w:val="nil"/>
          <w:between w:val="nil"/>
        </w:pBdr>
        <w:spacing w:before="120" w:after="120" w:line="240" w:lineRule="auto"/>
        <w:ind w:left="850"/>
        <w:jc w:val="both"/>
        <w:rPr>
          <w:rFonts w:ascii="Times New Roman" w:eastAsia="Times New Roman" w:hAnsi="Times New Roman" w:cs="Times New Roman"/>
          <w:noProof/>
          <w:color w:val="000000"/>
          <w:sz w:val="24"/>
        </w:rPr>
      </w:pPr>
    </w:p>
    <w:p w14:paraId="75BBD2A7" w14:textId="5589F913" w:rsidR="00480F1C" w:rsidRDefault="00A201F6">
      <w:pPr>
        <w:pStyle w:val="Normal0"/>
        <w:pBdr>
          <w:top w:val="nil"/>
          <w:left w:val="nil"/>
          <w:bottom w:val="nil"/>
          <w:right w:val="nil"/>
          <w:between w:val="nil"/>
        </w:pBdr>
        <w:spacing w:before="120" w:after="120" w:line="240" w:lineRule="auto"/>
        <w:jc w:val="both"/>
        <w:rPr>
          <w:rFonts w:ascii="Times New Roman" w:hAnsi="Times New Roman"/>
          <w:b/>
          <w:noProof/>
          <w:color w:val="000000" w:themeColor="text1"/>
          <w:sz w:val="24"/>
        </w:rPr>
      </w:pPr>
      <w:r>
        <w:rPr>
          <w:rFonts w:ascii="Times New Roman" w:hAnsi="Times New Roman"/>
          <w:b/>
          <w:noProof/>
          <w:color w:val="000000" w:themeColor="text1"/>
          <w:sz w:val="24"/>
        </w:rPr>
        <w:t xml:space="preserve">B.1. </w:t>
      </w:r>
      <w:r>
        <w:rPr>
          <w:noProof/>
        </w:rPr>
        <w:tab/>
      </w:r>
      <w:r>
        <w:rPr>
          <w:rFonts w:ascii="Times New Roman" w:hAnsi="Times New Roman"/>
          <w:b/>
          <w:noProof/>
          <w:color w:val="000000" w:themeColor="text1"/>
          <w:sz w:val="24"/>
        </w:rPr>
        <w:t>Beschrijving van de hervormingen en investeringen voor niet-terugbetaalbare financiële steun</w:t>
      </w:r>
    </w:p>
    <w:p w14:paraId="292535D4" w14:textId="77777777" w:rsidR="00E01639" w:rsidRDefault="00E01639">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themeColor="text1"/>
          <w:sz w:val="24"/>
        </w:rPr>
      </w:pPr>
    </w:p>
    <w:p w14:paraId="2CED5D07"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i/>
          <w:noProof/>
          <w:color w:val="000000"/>
          <w:sz w:val="24"/>
        </w:rPr>
      </w:pPr>
    </w:p>
    <w:p w14:paraId="37FBD4D0"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B1.1 Schone lucht en energie-efficiëntie</w:t>
      </w:r>
    </w:p>
    <w:p w14:paraId="1125BE6B" w14:textId="37201908"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Het doel van de hervorming is de broeikasgasemissies van bepaalde economische sectoren te verminderen en de energie-efficiëntie ervan te verhogen. Het heeft ook tot doel de luchtkwaliteit te verbeteren door het proces van vervanging van vervuilende bronnen voor de opwekking van warmte en elektriciteit te versnellen. </w:t>
      </w:r>
    </w:p>
    <w:p w14:paraId="321723D8" w14:textId="1DD193FD" w:rsidR="00480F1C" w:rsidRDefault="00A201F6">
      <w:pPr>
        <w:pStyle w:val="P68B1DB1-Normal017"/>
        <w:pBdr>
          <w:top w:val="nil"/>
          <w:left w:val="nil"/>
          <w:bottom w:val="nil"/>
          <w:right w:val="nil"/>
          <w:between w:val="nil"/>
        </w:pBdr>
        <w:spacing w:before="120" w:after="120" w:line="240" w:lineRule="auto"/>
        <w:jc w:val="both"/>
        <w:rPr>
          <w:rFonts w:eastAsia="Times New Roman" w:cs="Times New Roman"/>
          <w:noProof/>
        </w:rPr>
      </w:pPr>
      <w:r>
        <w:rPr>
          <w:noProof/>
          <w:color w:val="000000" w:themeColor="text1"/>
        </w:rPr>
        <w:t xml:space="preserve">Deze doelstellingen worden in de eerste plaats bereikt door middel van een reeks maatregelen ter optimalisering van de investeringssteun voor energie-efficiëntie, voornamelijk in het kader van de verplichtingsregeling voor energie-efficiëntie. Zij omvatten onder meer het faciliteren van het gebruik van energieprestatiecontracten in de publieke sector, de mogelijkheid voor entiteiten die onder de regeling energie-efficiëntieverplichtingen vallen om hun energiebesparingsverplichtingen in het kader van zogenaamde subsidieprogramma’s af te wikkelen, en het mogelijk maken van deelname van ondernemingen voor energiediensten aan de verplichtingsregeling voor energie-efficiëntie. Dit wordt bereikt door een wijziging van de energie-efficiëntiewet in combinatie met wijzigingen van de wet op de ondersteuning van thermo-modernisering en renovatie en inzake het centraal emissieregister van gebouwen; de wet inzake financiële steun voor de aanleg van woonruimte voor huur; de wet inzake bepaalde vormen van </w:t>
      </w:r>
      <w:r>
        <w:rPr>
          <w:noProof/>
        </w:rPr>
        <w:t>huisvestingssteun; en de wet inzake hernieuwbare energiebronnen. Deze rechtshandelingen moesten uiterlijk op 31 maart 2022 in werking treden.</w:t>
      </w:r>
    </w:p>
    <w:p w14:paraId="54738AF4" w14:textId="3C817AEF" w:rsidR="00480F1C" w:rsidRDefault="00A201F6">
      <w:pPr>
        <w:pStyle w:val="P68B1DB1-Normal017"/>
        <w:pBdr>
          <w:top w:val="nil"/>
          <w:left w:val="nil"/>
          <w:bottom w:val="nil"/>
          <w:right w:val="nil"/>
          <w:between w:val="nil"/>
        </w:pBdr>
        <w:spacing w:before="120" w:after="120" w:line="240" w:lineRule="auto"/>
        <w:jc w:val="both"/>
        <w:rPr>
          <w:rFonts w:eastAsia="Times New Roman" w:cs="Times New Roman"/>
          <w:noProof/>
        </w:rPr>
      </w:pPr>
      <w:r>
        <w:rPr>
          <w:noProof/>
        </w:rPr>
        <w:t>Ten tweede worden de doelstellingen van de hervorming „Schone lucht en energie-efficiëntie” verwezenlijkt door de ontwikkeling van het prioritaire programma „Schone lucht” in overeenstemming met de langetermijnrenovatiestrategie in het kader van de richtlijn energieprestatie van gebouwen (2010/31/EU), die het belangrijkste instrument is voor energie-efficiëntiemaatregelen in gebouwen. De efficiëntie van de uitvoering van het huidige programma „Schone lucht” zal dus worden vergroot door de aanvraagprocedures te stroomlijnen. Zij ontwikkelt specifieke steun die gericht is op huishoudens met de laagste inkomens, huishoudens met een laag inkomen en huishoudens met een hoger inkomen, in het geval van laatstgenoemde huishoudens, met name door de banksector te betrekken bij het verstrekken van leningen in combinatie met subsidies. Deze wijzigingen vormen de basis voor de uitrol van steun in het kader van investering</w:t>
      </w:r>
      <w:r>
        <w:rPr>
          <w:i/>
          <w:noProof/>
        </w:rPr>
        <w:t xml:space="preserve"> B1.1.2 „Vervanging van warmtebronnen en verbetering van de energie-efficiëntie in residentiële gebouwen”</w:t>
      </w:r>
      <w:r>
        <w:rPr>
          <w:noProof/>
        </w:rPr>
        <w:t xml:space="preserve">, waardoor het in het kader van dat programma ondersteunde tempo van de renovatie en vervanging van verwarmingstoestellen aanzienlijk kan worden verhoogd. De actualiseringen van het prioritaire programma „Schone lucht” worden uiterlijk op 31 maart 2023 vastgesteld. </w:t>
      </w:r>
    </w:p>
    <w:p w14:paraId="77FBA49A" w14:textId="0CE023B3" w:rsidR="00480F1C" w:rsidRDefault="00A201F6">
      <w:pPr>
        <w:pStyle w:val="P68B1DB1-Normal017"/>
        <w:pBdr>
          <w:top w:val="nil"/>
          <w:left w:val="nil"/>
          <w:bottom w:val="nil"/>
          <w:right w:val="nil"/>
          <w:between w:val="nil"/>
        </w:pBdr>
        <w:spacing w:before="120" w:after="120" w:line="240" w:lineRule="auto"/>
        <w:jc w:val="both"/>
        <w:rPr>
          <w:rFonts w:eastAsia="Times New Roman" w:cs="Times New Roman"/>
          <w:noProof/>
        </w:rPr>
      </w:pPr>
      <w:r>
        <w:rPr>
          <w:noProof/>
        </w:rPr>
        <w:t>Het derde element dat aan deze hervorming ten grondslag ligt, is een actualisering van het nationale programma voor de bescherming van de luchtvaart. In het programma wordt een uitgebreide reeks vereisten en randvoorwaarden voor de lange termijn voor regionale en lokale overheden vastgesteld om een verbetering van de luchtkwaliteit te waarborgen. Deze autoriteiten moeten de opdracht krijgen specifieke maatregelen te nemen om het niveau van luchtverontreinigende stoffen die door verwarming en vervoer van huishoudens worden uitgestoten te verlagen wanneer een bepaalde grenswaarde voor luchtverontreinigende stoffen wordt overschreden. Lokale en regionale overheden krijgen ook een specifiek budget toegewezen voor de handhaving van de luchtbeschermingsregels, met name vastgesteld in het kader van zogenaamde „anti-smog” -resoluties. In het geactualiseerde nationale luchtbeschermingsprogramma wordt bepaald dat alle overheidssteun voor investeringen in nieuwe kolengestookte verwarmingstoestellen uiterlijk op 31 december 2021 moet worden stopgezet.</w:t>
      </w:r>
    </w:p>
    <w:p w14:paraId="6E81314A" w14:textId="0DC6406E" w:rsidR="00480F1C" w:rsidRDefault="00A201F6">
      <w:pPr>
        <w:pStyle w:val="P68B1DB1-Normal017"/>
        <w:pBdr>
          <w:top w:val="nil"/>
          <w:left w:val="nil"/>
          <w:bottom w:val="nil"/>
          <w:right w:val="nil"/>
          <w:between w:val="nil"/>
        </w:pBdr>
        <w:spacing w:after="0" w:line="240" w:lineRule="auto"/>
        <w:jc w:val="both"/>
        <w:rPr>
          <w:rFonts w:eastAsia="Times New Roman" w:cs="Times New Roman"/>
          <w:noProof/>
        </w:rPr>
      </w:pPr>
      <w:r>
        <w:rPr>
          <w:noProof/>
        </w:rPr>
        <w:t xml:space="preserve">Het vierde element van de hervorming is een gewijzigde verordening van de minister van Klimaat en Milieu waarin normen voor vaste brandstoffen worden vastgesteld. In aansluiting op het verbod op steenkool van lage kwaliteit voor huishoudelijke verwarming, dat in 2018 werd ingevoerd, worden in dit amendement ook minimumnormen voor vaste brandstoffen vastgesteld en producenten verboden misleidende merknamen te gebruiken. Dit treedt uiterlijk op 31 december 2022 in werking. </w:t>
      </w:r>
    </w:p>
    <w:p w14:paraId="06BBA33E"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sz w:val="24"/>
        </w:rPr>
      </w:pPr>
    </w:p>
    <w:p w14:paraId="1B677B3C" w14:textId="4E55E489" w:rsidR="00480F1C" w:rsidRDefault="00A201F6">
      <w:pPr>
        <w:pStyle w:val="P68B1DB1-Normal019"/>
        <w:pBdr>
          <w:top w:val="nil"/>
          <w:left w:val="nil"/>
          <w:bottom w:val="nil"/>
          <w:right w:val="nil"/>
          <w:between w:val="nil"/>
        </w:pBdr>
        <w:spacing w:before="120" w:after="120" w:line="240" w:lineRule="auto"/>
        <w:jc w:val="both"/>
        <w:rPr>
          <w:rFonts w:eastAsia="Times New Roman" w:cs="Times New Roman"/>
          <w:noProof/>
        </w:rPr>
      </w:pPr>
      <w:r>
        <w:rPr>
          <w:noProof/>
        </w:rPr>
        <w:t>B1.1.1 Investeringen in warmtebronnen in stadsverwarmingssystemen</w:t>
      </w:r>
    </w:p>
    <w:p w14:paraId="0189DED1" w14:textId="0C270B35" w:rsidR="00480F1C" w:rsidRDefault="00A201F6">
      <w:pPr>
        <w:pStyle w:val="P68B1DB1-Normal017"/>
        <w:pBdr>
          <w:top w:val="nil"/>
          <w:left w:val="nil"/>
          <w:bottom w:val="nil"/>
          <w:right w:val="nil"/>
          <w:between w:val="nil"/>
        </w:pBdr>
        <w:spacing w:before="120" w:after="120" w:line="240" w:lineRule="auto"/>
        <w:jc w:val="both"/>
        <w:rPr>
          <w:rFonts w:eastAsia="Times New Roman" w:cs="Times New Roman"/>
          <w:noProof/>
          <w:color w:val="000000"/>
        </w:rPr>
      </w:pPr>
      <w:r>
        <w:rPr>
          <w:noProof/>
        </w:rPr>
        <w:t>Het doel van deze investering is de modernisering van de stadsverwarming en de vermindering van de uitstoot van broeikasgassen. Een aanzienlijk deel van de exploitanten van stadsverwarming in Polen moet worden gemoderniseerd door bronnen te vervangen, in slechte technische omstandigheden die niet voldoen aan de definitie van een efficiënt stadsverwarmingssysteem. De behoefte aan vervanging van warmtebronnen houdt ook verband met een laag aandeel hernieuwbare energie in het verwarmingssysteem, dat momenteel ongeveer 9,5 % bedraagt. Het doel is dus de energie-intensiteit en de emissies van warmteopwekking te verminderen. In het kader van deze maatregel worden alleen investeringen in koolstofarme installaties en hernieuwbare energiebronnen uitgevoerd. Er wordt steun verleend aan installaties die warmte gebruiken: energie uit hernieuwbare bronnen; gasvormige brandstoffen in warmtekrachtkoppeling, met uitzondering van steenkool; warmtepompen en geothermische bronnen en andere technologieën die voldoen aan de DNSH-vereisten ter vervanging van steenkool in systeemverwarming. Het gebruik van uit afval verkregen brandstof is niet toegestaan. De drempelwaarde van 250 g CO2</w:t>
      </w:r>
      <w:r>
        <w:rPr>
          <w:noProof/>
          <w:color w:val="000000" w:themeColor="text1"/>
        </w:rPr>
        <w:t>/kWh opgewekte energie mag niet worden overschreden voor aardgasinstallaties. Begunstigden omvatten entiteiten die tot doel hebben warmte voor gemeentelijke en residentiële doeleinden te produceren. De projecten worden geselecteerd op basis van een algemeen vergelijkend onderzoek, waarbij rekening wordt gehouden met de volgende criteria: I) gereedheid en rijpheid van het project voor de uitvoering; II) de mate van vermindering van CO2- en/of PM 2,5- en PM10-emissies als gevolg van het project; III) het gebruik van hernieuwbare energiebronnen; IV) locatie in gebieden met de hoogste jaarlijkse PM2,5- en PM10-emissies.</w:t>
      </w:r>
    </w:p>
    <w:p w14:paraId="20F6D375"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uitvoering van de investering moet uiterlijk op 30 juni 2026 zijn voltooid.</w:t>
      </w:r>
    </w:p>
    <w:p w14:paraId="464FCBC1"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u w:val="single"/>
        </w:rPr>
      </w:pPr>
    </w:p>
    <w:p w14:paraId="0F4FDF66" w14:textId="5E89B28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B1.1.2 Vervanging van warmtebronnen en verbetering van de energie-efficiëntie in residentiële gebouwen</w:t>
      </w:r>
    </w:p>
    <w:p w14:paraId="5A7CE041" w14:textId="44BD0A85" w:rsidR="00480F1C" w:rsidRDefault="00A201F6">
      <w:pPr>
        <w:pStyle w:val="P68B1DB1-Normal017"/>
        <w:spacing w:before="120" w:after="120" w:line="240" w:lineRule="auto"/>
        <w:jc w:val="both"/>
        <w:rPr>
          <w:noProof/>
        </w:rPr>
      </w:pPr>
      <w:r>
        <w:rPr>
          <w:noProof/>
        </w:rPr>
        <w:t>Deze investering heeft tot</w:t>
      </w:r>
      <w:r>
        <w:rPr>
          <w:noProof/>
          <w:color w:val="000000" w:themeColor="text1"/>
        </w:rPr>
        <w:t xml:space="preserve">doel de luchtkwaliteit te verbeteren, onder meer door de uitstoot van zwevende deeltjes te verminderen door emissie-intensieve warmtebronnen te vervangen en de energie-efficiëntie van eengezinswoningen en meergezinswoningen te verbeteren. De investering wordt gekanaliseerd via het prioritaire programma „Schone lucht”, </w:t>
      </w:r>
      <w:r>
        <w:rPr>
          <w:noProof/>
        </w:rPr>
        <w:t xml:space="preserve">waarvan de modernisering in overeenstemming met de langetermijnrenovatiestrategie in het kader van de richtlijn energieprestatie van gebouwen een van de belangrijkste maatregelen is in het kader van hervorming B1.1, zoals hierboven beschreven (en het Fonds voor thermische modernisering en renovatie met betrekking tot meergezinswoningen). Het programma bouwt voort op de ervaring met het prioritaire programma „Schone lucht”. De investeringen bestaan uit i) de vervanging van inefficiënte bronnen voor ruimte- en waterverwarming; en/of ii) thermische modernisering van woongebouwen; en/of iii) installaties voor hernieuwbare energie (voornamelijk fotovoltaïsche panelen, zonnecollectoren). Het niveau van de steun wordt aangepast aan de koopkracht van de eindontvangers. </w:t>
      </w:r>
    </w:p>
    <w:p w14:paraId="01552555" w14:textId="77777777" w:rsidR="00480F1C" w:rsidRDefault="00A201F6">
      <w:pPr>
        <w:pStyle w:val="P68B1DB1-Normal017"/>
        <w:pBdr>
          <w:top w:val="nil"/>
          <w:left w:val="nil"/>
          <w:bottom w:val="nil"/>
          <w:right w:val="nil"/>
          <w:between w:val="nil"/>
        </w:pBdr>
        <w:spacing w:before="120" w:after="120" w:line="240" w:lineRule="auto"/>
        <w:jc w:val="both"/>
        <w:rPr>
          <w:noProof/>
        </w:rPr>
      </w:pPr>
      <w:r>
        <w:rPr>
          <w:noProof/>
        </w:rPr>
        <w:t xml:space="preserve">De steun wordt ingezet in overeenstemming met het beginsel „geen ernstige afbreuk doen aan”. Acties in het kader van deze investering leiden gemiddeld tot een besparing van ten minste 30 % primaire energie en tot een aanzienlijke daling van de broeikasgasemissies. Deze zullen ook aanzienlijke voordelen voor het milieu en de volksgezondheid opleveren, met name dankzij de vermindering van de verontreiniging en met name in gebieden waar de in Richtlijn 2008/50/EU vastgestelde EU-luchtkwaliteitsnormen worden overschreden of dreigen te worden overschreden. In het geval van steun voor gasgestookte ketels worden deze uitgerold in overeenstemming met de technische richtsnoeren van de Commissie inzake geen ernstige afbreuk doen aan het beginsel „geen ernstige afbreuk doen aan” (2021/C58/021) en leiden zij tot een aanzienlijke daling van de broeikasgasemissies en een aanzienlijke verbetering van het milieu (met name als gevolg van de vermindering van verontreiniging) en de volksgezondheid, met name in gebieden waar de in Richtlijn 2008/50/EU vastgestelde EU-luchtkwaliteitsnormen worden overschreden of dreigen te worden overschreden. Bovendien moet ervoor worden gezorgd dat gasgestookte ketels niet meer dan 40 % uitmaken van het totale aantal warmtebronvervangingen in het kader van deze maatregel. </w:t>
      </w:r>
    </w:p>
    <w:p w14:paraId="08E0D1DD" w14:textId="3B7E8F88"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 uitvoering van de investering moet uiterlijk op 30 juni 2026 zijn voltooid. </w:t>
      </w:r>
    </w:p>
    <w:p w14:paraId="5C8C6B09"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u w:val="single"/>
        </w:rPr>
      </w:pPr>
    </w:p>
    <w:p w14:paraId="1F1AD0AF"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B1.1.3 Thermische modernisering van scholen</w:t>
      </w:r>
    </w:p>
    <w:p w14:paraId="4FBBBD08" w14:textId="2AF038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Het doel van deze investering is de energie-efficiëntie van scholen te verbeteren en emissie-intensieve warmtebronnen te vervangen door schonere alternatieven. Acties in het kader van deze investering kunnen</w:t>
      </w:r>
      <w:r>
        <w:rPr>
          <w:i/>
          <w:noProof/>
        </w:rPr>
        <w:t xml:space="preserve"> onder meer</w:t>
      </w:r>
      <w:r>
        <w:rPr>
          <w:noProof/>
        </w:rPr>
        <w:t xml:space="preserve"> betrekking hebben op hernieuwbare energiebronnen en de aanpassing van de functies, installaties en technische bouwsystemen aan de huidige eisen van de geldende wetgeving; grondige renovaties; modernisering van de ruimte- en waterverwarmingssystemen; installatie van efficiënte verlichting. Investeringen die in het kader van de herstel- en veerkrachtfaciliteit worden ondersteund, leiden gemiddeld tot een besparing van ten minste 30 % op primaire energie. De projecten worden geselecteerd op basis van een algemeen vergelijkend onderzoek, waarbij rekening wordt gehouden met de volgende criteria: I) gereedheid — rijpheid van het project voor de uitvoering; II) de mate van vermindering van CO2- en/of PM 2,5- en PM10-emissies; III) de mate van vermindering van het primaire energieverbruik; IV) gebruik van hernieuwbare energiebronnen.</w:t>
      </w:r>
    </w:p>
    <w:p w14:paraId="7AD77D6E" w14:textId="5CB2E5E0"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rPr>
      </w:pPr>
      <w:r>
        <w:rPr>
          <w:noProof/>
        </w:rPr>
        <w:t xml:space="preserve">Aanvullende acties kunnen ook educatieve activiteiten omvatten, die leerkrachten, studenten en lokale gemeenschappen bewust maken van luchtverontreiniging, mitigatie van klimaatverandering en het gebruik van hernieuwbare energiebronnen. </w:t>
      </w:r>
    </w:p>
    <w:p w14:paraId="5E653E8F" w14:textId="6D4B3FB2"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uitvoering van de investering moet uiterlijk op 30 juni 2026 zijn voltooid.</w:t>
      </w:r>
    </w:p>
    <w:p w14:paraId="183ACC09" w14:textId="502D4112"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B1.1.4 Versterking van de energie-efficiëntie van lokale voorzieningen voor sociale activiteit </w:t>
      </w:r>
    </w:p>
    <w:p w14:paraId="676A96B1" w14:textId="5629A880"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Het doel van deze investering is de energie-efficiëntie van lokale voorzieningen voor sociale activiteiten te verbeteren en emissie-intensieve warmtebronnen te vervangen door schonere alternatieven. Acties in het kader van deze investering kunnen</w:t>
      </w:r>
      <w:r>
        <w:rPr>
          <w:i/>
          <w:noProof/>
        </w:rPr>
        <w:t xml:space="preserve"> onder meer</w:t>
      </w:r>
      <w:r>
        <w:rPr>
          <w:noProof/>
        </w:rPr>
        <w:t xml:space="preserve"> betrekking hebben op hernieuwbare energiebronnen en de aanpassing van de functies, installaties en technische bouwsystemen aan de huidige eisen van de geldende wetgeving; grondige renovaties; modernisering van de ruimte- en waterverwarmingssystemen; installatie van efficiënte verlichting. Investeringen leiden gemiddeld tot een besparing van ten minste 30 % op primaire energie in de beoogde gebouwen. De projecten worden geselecteerd op basis van een algemeen vergelijkend onderzoek, waarbij rekening wordt gehouden met de volgende criteria: I) gereedheid — rijpheid van het project voor de uitvoering; II) de mate van vermindering van CO2- en/of PM 2,5- en/of PM10-emissies; III) de mate van vermindering van het primaire energieverbruik; gebruik van hernieuwbare energiebronnen.</w:t>
      </w:r>
    </w:p>
    <w:p w14:paraId="07BE4ACA" w14:textId="138EDD63" w:rsidR="00480F1C" w:rsidRDefault="00A201F6">
      <w:pPr>
        <w:pStyle w:val="P68B1DB1-Normal05"/>
        <w:pBdr>
          <w:top w:val="nil"/>
          <w:left w:val="nil"/>
          <w:bottom w:val="nil"/>
          <w:right w:val="nil"/>
          <w:between w:val="nil"/>
        </w:pBdr>
        <w:spacing w:before="120" w:after="120" w:line="240" w:lineRule="auto"/>
        <w:jc w:val="both"/>
        <w:rPr>
          <w:noProof/>
        </w:rPr>
      </w:pPr>
      <w:r>
        <w:rPr>
          <w:noProof/>
        </w:rPr>
        <w:t>De uitvoering van de investering moet uiterlijk op 30 juni 2026 zijn voltooid.</w:t>
      </w:r>
    </w:p>
    <w:p w14:paraId="6ACFCA7F" w14:textId="77777777" w:rsidR="00E01639" w:rsidRDefault="00E01639">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p>
    <w:p w14:paraId="5C71F136"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sz w:val="24"/>
          <w:u w:val="single"/>
        </w:rPr>
      </w:pPr>
    </w:p>
    <w:p w14:paraId="4EBF4C09"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B2.1 Verbetering van de voorwaarden voor de ontwikkeling van waterstoftechnologieën en andere koolstofvrije gassen</w:t>
      </w:r>
    </w:p>
    <w:p w14:paraId="37404AA0"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Het doel van de hervorming is de ontwikkeling van een markt voor hernieuwbare en koolstofarme waterstof en andere alternatieve brandstoffen.</w:t>
      </w:r>
    </w:p>
    <w:p w14:paraId="48D21A91" w14:textId="1698B9A8"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maatregel bestaat uit twee acties. De eerste doelstelling is de totstandbrenging van een regelgevingskader voor de werking van waterstof als alternatieve brandstof voor het vervoer door de invoering van bepalingen voor de bouw, de veilige exploitatie en de modernisering van waterstofstations en de autoriteiten die verantwoordelijk zijn voor het verlenen van vergunningen voor het gebruik van waterstofstations en de noodzakelijke technische inspectie daarvan. Het bevat ook een systeem voor het monitoren en controleren van de kwaliteit van waterstofbrandstoffen die worden gebruikt voor de aandrijving van voertuigen. De uitvoering van de actie moest uiterlijk op 30 december 2021 zijn voltooid.</w:t>
      </w:r>
    </w:p>
    <w:p w14:paraId="7A8551D9" w14:textId="058D0623"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tweede actie is gericht op de totstandbrenging van waterstofinfrastructuur en -marktontwerp ter ondersteuning van de marktintroductie van hernieuwbare en koolstofarme waterstof, de integratie van waterstofproductie in andere energiemarkten en bestaande en specifieke infrastructuur die gericht is op het creëren van voorspelbaarheid van de regelgeving voor investeerders en het ondersteunen van het gebruik van hernieuwbare en koolstofarme waterstof. De hervormingen moeten voldoen aan de technische richtsnoeren „geen ernstige afbreuk doen” (2021/C 58/01), die ervoor zorgen dat de hervorming het gebruik en het in de handel brengen van hernieuwbare waterstof niet moeilijker maakt dan andere waterstofbronnen. De hervorming is gericht op de ontwikkeling van hernieuwbare waterstof of waterstof uit elektrolyse-installaties en op de bevordering van koolstofarme waterstof die voldoet aan de waterstofstrategie van de EU.</w:t>
      </w:r>
    </w:p>
    <w:p w14:paraId="5765CF63" w14:textId="01F99C3F" w:rsidR="00480F1C" w:rsidRDefault="00A201F6">
      <w:pPr>
        <w:pStyle w:val="P68B1DB1-Normal05"/>
        <w:spacing w:before="120" w:after="120" w:line="240" w:lineRule="auto"/>
        <w:jc w:val="both"/>
        <w:rPr>
          <w:rFonts w:eastAsia="Times New Roman" w:cs="Times New Roman"/>
          <w:noProof/>
        </w:rPr>
      </w:pPr>
      <w:r>
        <w:rPr>
          <w:noProof/>
        </w:rPr>
        <w:t>De uitvoering van deze actie wordt uiterlijk op 31 december 2023 voltooid.</w:t>
      </w:r>
    </w:p>
    <w:p w14:paraId="62199465"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3F464A0C" w14:textId="02F42831"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B2.1.1 Investeringen in waterstof, waterstofproductie, -opslag en -transport</w:t>
      </w:r>
    </w:p>
    <w:p w14:paraId="3100A003" w14:textId="52E8F326" w:rsidR="00480F1C" w:rsidRDefault="00A201F6">
      <w:pPr>
        <w:pStyle w:val="P68B1DB1-Normal020"/>
        <w:pBdr>
          <w:top w:val="nil"/>
          <w:left w:val="nil"/>
          <w:bottom w:val="nil"/>
          <w:right w:val="nil"/>
          <w:between w:val="nil"/>
        </w:pBdr>
        <w:spacing w:before="120" w:after="120" w:line="240" w:lineRule="auto"/>
        <w:jc w:val="both"/>
        <w:rPr>
          <w:rFonts w:eastAsia="Times New Roman" w:cs="Times New Roman"/>
          <w:noProof/>
          <w:color w:val="000000" w:themeColor="text1"/>
          <w:sz w:val="24"/>
        </w:rPr>
      </w:pPr>
      <w:r>
        <w:rPr>
          <w:noProof/>
          <w:color w:val="000000" w:themeColor="text1"/>
          <w:sz w:val="24"/>
        </w:rPr>
        <w:t>Het doel van de investering is een waterstofindustrie in Polen tot stand te brengen en het gebruik van hernieuwbare en koolstofarme waterstof te vergroten.</w:t>
      </w:r>
      <w:r>
        <w:rPr>
          <w:noProof/>
        </w:rPr>
        <w:t xml:space="preserve"> De</w:t>
      </w:r>
      <w:r>
        <w:rPr>
          <w:noProof/>
          <w:color w:val="000000" w:themeColor="text1"/>
          <w:sz w:val="24"/>
        </w:rPr>
        <w:t>projecten maken deel uit van een geïntegreerde beleidsaanpak die prioriteit geeft aan hernieuwbare waterstof. De investering bestaat uit verschillende projecten. Alle projecten moeten voldoen aan de technische richtsnoeren „geen ernstige afbreuk doen” ((2023) 6454 final).</w:t>
      </w:r>
    </w:p>
    <w:p w14:paraId="5B76D9DC" w14:textId="7FF1C141"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Het eerste project omvat investeringen in waterstoftankstations, met inbegrip van het bunkeren van waterstof. De bunkerfaciliteiten staan open voor alle waterstofbronnen, maar de hoeveelheid gebunkerde grijze waterstof moet mettertijd afnemen. </w:t>
      </w:r>
    </w:p>
    <w:p w14:paraId="5F46DD70" w14:textId="79749ED0"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Het tweede deel van het project ondersteunt ten minste de ontwikkeling, bouw en implementatie van innovatieve vervoerseenheden op waterstof. De investering is gericht op het bevorderen, testen en demonstreren van verschillende soorten transporteenheden voor waterstofcellen ter ondersteuning van de inspanningen van Polen om de mobiliteit koolstofvrij te maken. Innovatieve soorten door waterstof aangedreven vervoerseenheden dragen bij tot het koolstofvrij maken van moeilijk te verminderen vervoer. Het heeft zowel betrekking op de bouw van nieuwe als op de aanpassing van bestaande eenheden. De vervoerseenheden zijn niet bestemd voor het vervoer van fossiele brandstoffen.</w:t>
      </w:r>
    </w:p>
    <w:p w14:paraId="68015EDB" w14:textId="390FE10D" w:rsidR="00480F1C" w:rsidRDefault="00A201F6">
      <w:pPr>
        <w:pStyle w:val="paragraph"/>
        <w:spacing w:before="0" w:beforeAutospacing="0" w:after="0" w:afterAutospacing="0"/>
        <w:jc w:val="both"/>
        <w:textAlignment w:val="baseline"/>
        <w:rPr>
          <w:noProof/>
        </w:rPr>
      </w:pPr>
      <w:r>
        <w:rPr>
          <w:rStyle w:val="normaltextrun"/>
          <w:noProof/>
        </w:rPr>
        <w:t>Het</w:t>
      </w:r>
      <w:r>
        <w:rPr>
          <w:rStyle w:val="normaltextrun"/>
          <w:rFonts w:ascii="Times" w:hAnsi="Times"/>
          <w:noProof/>
        </w:rPr>
        <w:t>derde deel van de maatregel bestaat uit een publieke</w:t>
      </w:r>
      <w:r>
        <w:rPr>
          <w:noProof/>
        </w:rPr>
        <w:t xml:space="preserve"> investering in een subsidieregeling om particuliere investeringen te stimuleren en de toegang tot financiering in de Poolse productiesector voor hernieuwbare en koolstofarme waterstof te verbeteren. De tussen de faciliteit en de eindbegunstigden gesloten subsidieovereenkomsten moeten resulteren in een totale geïnstalleerde productiecapaciteit van ten minste 315 MW hernieuwbare en koolstofarme waterstof. In het kader van de regeling worden rechtstreeks subsidies verstrekt aan de particuliere sector. Op basis van de investering in het kader van de herstel- en veerkrachtfaciliteit beoogt de regeling in eerste instantie ten minste [640 miljoen] EUR aan subsidies te verstrekken (minus eventueel in rekening gebrachte kosten en vergoedingen).</w:t>
      </w:r>
    </w:p>
    <w:p w14:paraId="717F28E5" w14:textId="77777777" w:rsidR="00480F1C" w:rsidRDefault="00480F1C">
      <w:pPr>
        <w:spacing w:after="160" w:line="257" w:lineRule="auto"/>
        <w:jc w:val="both"/>
        <w:rPr>
          <w:noProof/>
        </w:rPr>
      </w:pPr>
    </w:p>
    <w:p w14:paraId="554715A3" w14:textId="77777777" w:rsidR="00480F1C" w:rsidRDefault="00A201F6">
      <w:pPr>
        <w:pStyle w:val="paragraph"/>
        <w:spacing w:before="0" w:beforeAutospacing="0" w:after="0" w:afterAutospacing="0"/>
        <w:jc w:val="both"/>
        <w:textAlignment w:val="baseline"/>
        <w:rPr>
          <w:rStyle w:val="normaltextrun"/>
          <w:rFonts w:ascii="Times" w:eastAsia="Times" w:hAnsi="Times" w:cs="Times"/>
          <w:noProof/>
        </w:rPr>
      </w:pPr>
      <w:r>
        <w:rPr>
          <w:rStyle w:val="normaltextrun"/>
          <w:rFonts w:ascii="Times" w:hAnsi="Times"/>
          <w:noProof/>
        </w:rPr>
        <w:t xml:space="preserve">De regeling wordt beheerd door Bank Gospodarstwa Krajowego (BGK) als uitvoerende partner. </w:t>
      </w:r>
    </w:p>
    <w:p w14:paraId="1514330D" w14:textId="77777777" w:rsidR="00480F1C" w:rsidRDefault="00480F1C">
      <w:pPr>
        <w:pStyle w:val="paragraph"/>
        <w:spacing w:before="0" w:beforeAutospacing="0" w:after="0" w:afterAutospacing="0"/>
        <w:jc w:val="both"/>
        <w:textAlignment w:val="baseline"/>
        <w:rPr>
          <w:rStyle w:val="normaltextrun"/>
          <w:rFonts w:ascii="Times" w:eastAsia="Times" w:hAnsi="Times" w:cs="Times"/>
          <w:noProof/>
        </w:rPr>
      </w:pPr>
    </w:p>
    <w:p w14:paraId="764EA793" w14:textId="463E0482" w:rsidR="00480F1C" w:rsidRDefault="00A201F6">
      <w:pPr>
        <w:pStyle w:val="paragraph"/>
        <w:spacing w:before="0" w:beforeAutospacing="0" w:after="0" w:afterAutospacing="0"/>
        <w:jc w:val="both"/>
        <w:textAlignment w:val="baseline"/>
        <w:rPr>
          <w:rStyle w:val="normaltextrun"/>
          <w:rFonts w:ascii="Times" w:eastAsia="Times" w:hAnsi="Times" w:cs="Times"/>
          <w:noProof/>
        </w:rPr>
      </w:pPr>
      <w:r>
        <w:rPr>
          <w:rStyle w:val="normaltextrun"/>
          <w:rFonts w:ascii="Times" w:hAnsi="Times"/>
          <w:noProof/>
        </w:rPr>
        <w:t xml:space="preserve">De regeling omvat de volgende productlijn: </w:t>
      </w:r>
    </w:p>
    <w:p w14:paraId="2BC79F2C" w14:textId="06652189" w:rsidR="00480F1C" w:rsidRDefault="00A201F6">
      <w:pPr>
        <w:pStyle w:val="paragraph"/>
        <w:numPr>
          <w:ilvl w:val="0"/>
          <w:numId w:val="92"/>
        </w:numPr>
        <w:spacing w:before="0" w:beforeAutospacing="0" w:after="0" w:afterAutospacing="0"/>
        <w:jc w:val="both"/>
        <w:textAlignment w:val="baseline"/>
        <w:rPr>
          <w:rStyle w:val="normaltextrun"/>
          <w:rFonts w:ascii="Times" w:eastAsia="Times" w:hAnsi="Times" w:cs="Times"/>
          <w:noProof/>
        </w:rPr>
      </w:pPr>
      <w:r>
        <w:rPr>
          <w:rStyle w:val="normaltextrun"/>
          <w:rFonts w:ascii="Times" w:hAnsi="Times"/>
          <w:noProof/>
          <w:shd w:val="clear" w:color="auto" w:fill="FFFFFF" w:themeFill="background1"/>
        </w:rPr>
        <w:t xml:space="preserve">Directe subsidies aan particuliere entiteiten of entiteiten </w:t>
      </w:r>
      <w:r>
        <w:rPr>
          <w:noProof/>
          <w:shd w:val="clear" w:color="auto" w:fill="FFFFFF" w:themeFill="background1"/>
        </w:rPr>
        <w:t xml:space="preserve">uit de publieke sector die zich bezighouden met soortgelijke activiteiten </w:t>
      </w:r>
      <w:r>
        <w:rPr>
          <w:rStyle w:val="normaltextrun"/>
          <w:rFonts w:ascii="Times" w:hAnsi="Times"/>
          <w:noProof/>
          <w:shd w:val="clear" w:color="auto" w:fill="FFFFFF" w:themeFill="background1"/>
        </w:rPr>
        <w:t>ter financiering</w:t>
      </w:r>
      <w:r>
        <w:rPr>
          <w:noProof/>
          <w:shd w:val="clear" w:color="auto" w:fill="FFFFFF" w:themeFill="background1"/>
        </w:rPr>
        <w:t>van</w:t>
      </w:r>
      <w:r>
        <w:rPr>
          <w:rStyle w:val="normaltextrun"/>
          <w:rFonts w:ascii="Times" w:hAnsi="Times"/>
          <w:noProof/>
        </w:rPr>
        <w:t xml:space="preserve"> hun investeringen in productiecapaciteit voor hernieuwbare en koolstofarme waterstof, met inbegrip van elektrolyse-installaties, en de bijbehorende infrastructuur.  </w:t>
      </w:r>
    </w:p>
    <w:p w14:paraId="023F4616" w14:textId="77777777" w:rsidR="00480F1C" w:rsidRDefault="00480F1C">
      <w:pPr>
        <w:pStyle w:val="paragraph"/>
        <w:spacing w:before="0" w:beforeAutospacing="0" w:after="0" w:afterAutospacing="0"/>
        <w:jc w:val="both"/>
        <w:textAlignment w:val="baseline"/>
        <w:rPr>
          <w:rStyle w:val="normaltextrun"/>
          <w:rFonts w:ascii="Times" w:eastAsia="Times" w:hAnsi="Times" w:cs="Times"/>
          <w:noProof/>
        </w:rPr>
      </w:pPr>
    </w:p>
    <w:p w14:paraId="41A89CEF" w14:textId="65AAA591" w:rsidR="00480F1C" w:rsidRDefault="00A201F6">
      <w:pPr>
        <w:pStyle w:val="paragraph"/>
        <w:spacing w:before="0" w:beforeAutospacing="0" w:after="0" w:afterAutospacing="0"/>
        <w:jc w:val="both"/>
        <w:textAlignment w:val="baseline"/>
        <w:rPr>
          <w:rStyle w:val="eop"/>
          <w:rFonts w:ascii="Times" w:eastAsia="Times" w:hAnsi="Times" w:cs="Times"/>
          <w:noProof/>
        </w:rPr>
      </w:pPr>
      <w:r>
        <w:rPr>
          <w:rStyle w:val="normaltextrun"/>
          <w:rFonts w:ascii="Times" w:hAnsi="Times"/>
          <w:noProof/>
        </w:rPr>
        <w:t xml:space="preserve">Met het oog op de uitvoering van de investering in de regeling ondertekenen Polen en BGK een uitvoeringsovereenkomst die de volgende inhoud bevat: </w:t>
      </w:r>
    </w:p>
    <w:p w14:paraId="03EA99D1" w14:textId="77777777" w:rsidR="00480F1C" w:rsidRDefault="00480F1C">
      <w:pPr>
        <w:pStyle w:val="paragraph"/>
        <w:spacing w:before="0" w:beforeAutospacing="0" w:after="0" w:afterAutospacing="0"/>
        <w:jc w:val="both"/>
        <w:textAlignment w:val="baseline"/>
        <w:rPr>
          <w:rStyle w:val="normaltextrun"/>
          <w:rFonts w:ascii="Times" w:eastAsia="Times" w:hAnsi="Times" w:cs="Times"/>
          <w:noProof/>
        </w:rPr>
      </w:pPr>
    </w:p>
    <w:p w14:paraId="08E88368" w14:textId="073675DB" w:rsidR="00480F1C" w:rsidRDefault="00A201F6">
      <w:pPr>
        <w:pStyle w:val="paragraph"/>
        <w:numPr>
          <w:ilvl w:val="0"/>
          <w:numId w:val="41"/>
        </w:numPr>
        <w:spacing w:before="0" w:beforeAutospacing="0" w:after="0" w:afterAutospacing="0"/>
        <w:jc w:val="both"/>
        <w:textAlignment w:val="baseline"/>
        <w:rPr>
          <w:rFonts w:ascii="Times" w:eastAsia="Times" w:hAnsi="Times" w:cs="Times"/>
          <w:noProof/>
        </w:rPr>
      </w:pPr>
      <w:r>
        <w:rPr>
          <w:rStyle w:val="normaltextrun"/>
          <w:rFonts w:ascii="Times" w:hAnsi="Times"/>
          <w:noProof/>
        </w:rPr>
        <w:t>Beschrijving van het besluitvormingsproces van de regeling:  Het definitieve toekenningsbesluit van de regeling wordt genomen door een investeringscomité of een ander relevant gelijkwaardig bestuursorgaan en goedgekeurd met een meerderheid van stemmen van leden die onafhankelijk zijn van de regering.</w:t>
      </w:r>
    </w:p>
    <w:p w14:paraId="425D4BCD" w14:textId="77777777" w:rsidR="00480F1C" w:rsidRDefault="00480F1C">
      <w:pPr>
        <w:pStyle w:val="paragraph"/>
        <w:spacing w:before="0" w:beforeAutospacing="0" w:after="0" w:afterAutospacing="0"/>
        <w:ind w:left="360"/>
        <w:jc w:val="both"/>
        <w:textAlignment w:val="baseline"/>
        <w:rPr>
          <w:noProof/>
        </w:rPr>
      </w:pPr>
    </w:p>
    <w:p w14:paraId="45238222" w14:textId="5CA335F1" w:rsidR="00480F1C" w:rsidRDefault="00A201F6">
      <w:pPr>
        <w:pStyle w:val="P68B1DB1-paragraph21"/>
        <w:numPr>
          <w:ilvl w:val="0"/>
          <w:numId w:val="41"/>
        </w:numPr>
        <w:spacing w:before="0" w:beforeAutospacing="0" w:after="0" w:afterAutospacing="0"/>
        <w:jc w:val="both"/>
        <w:textAlignment w:val="baseline"/>
        <w:rPr>
          <w:rFonts w:eastAsia="Times" w:cs="Times"/>
          <w:noProof/>
        </w:rPr>
      </w:pPr>
      <w:r>
        <w:rPr>
          <w:noProof/>
        </w:rPr>
        <w:t xml:space="preserve"> Essentiële eisen van het bijbehorende subsidiebeleid,</w:t>
      </w:r>
      <w:r>
        <w:rPr>
          <w:b/>
          <w:noProof/>
        </w:rPr>
        <w:t xml:space="preserve"> </w:t>
      </w:r>
      <w:r>
        <w:rPr>
          <w:noProof/>
        </w:rPr>
        <w:t>waaronder:</w:t>
      </w:r>
    </w:p>
    <w:p w14:paraId="60F4035D" w14:textId="517B9102" w:rsidR="00480F1C" w:rsidRDefault="00A201F6">
      <w:pPr>
        <w:pStyle w:val="P68B1DB1-ListParagraph22"/>
        <w:numPr>
          <w:ilvl w:val="0"/>
          <w:numId w:val="42"/>
        </w:numPr>
        <w:spacing w:after="0" w:line="257" w:lineRule="auto"/>
        <w:ind w:hanging="360"/>
        <w:jc w:val="both"/>
        <w:textAlignment w:val="baseline"/>
        <w:rPr>
          <w:rFonts w:eastAsia="Times" w:cs="Times"/>
          <w:noProof/>
        </w:rPr>
      </w:pPr>
      <w:r>
        <w:rPr>
          <w:noProof/>
        </w:rPr>
        <w:t>De beschrijving van de verstrekte subsidies en de in aanmerking komende eindbegunstigden, rekening houdend met de doelstelling dat de tussen de regeling en de eindbegunstigden gesloten subsidieovereenkomsten leiden tot een geïnstalleerde productiecapaciteit van ten minste 320 MW hernieuwbare en koolstofarme waterstof.</w:t>
      </w:r>
    </w:p>
    <w:p w14:paraId="6BD98B82" w14:textId="308A72F3" w:rsidR="00480F1C" w:rsidRDefault="00A201F6">
      <w:pPr>
        <w:pStyle w:val="P68B1DB1-Normal23"/>
        <w:spacing w:after="0" w:line="257" w:lineRule="auto"/>
        <w:jc w:val="both"/>
        <w:textAlignment w:val="baseline"/>
        <w:rPr>
          <w:rFonts w:eastAsia="Times" w:cs="Times"/>
          <w:noProof/>
        </w:rPr>
      </w:pPr>
      <w:r>
        <w:rPr>
          <w:noProof/>
        </w:rPr>
        <w:t xml:space="preserve"> </w:t>
      </w:r>
    </w:p>
    <w:p w14:paraId="0D833F27" w14:textId="45D7250D" w:rsidR="00480F1C" w:rsidRDefault="00A201F6">
      <w:pPr>
        <w:pStyle w:val="P68B1DB1-ListParagraph22"/>
        <w:numPr>
          <w:ilvl w:val="0"/>
          <w:numId w:val="42"/>
        </w:numPr>
        <w:spacing w:after="0" w:line="257" w:lineRule="auto"/>
        <w:ind w:hanging="360"/>
        <w:jc w:val="both"/>
        <w:textAlignment w:val="baseline"/>
        <w:rPr>
          <w:rFonts w:ascii="Times New Roman" w:eastAsia="Times New Roman" w:hAnsi="Times New Roman" w:cs="Times New Roman"/>
          <w:noProof/>
        </w:rPr>
      </w:pPr>
      <w:r>
        <w:rPr>
          <w:noProof/>
        </w:rPr>
        <w:t>De eis dat alle gesteunde investeringen economisch levensvatbaar moeten zijn</w:t>
      </w:r>
      <w:r>
        <w:rPr>
          <w:b/>
          <w:noProof/>
        </w:rPr>
        <w:t>.</w:t>
      </w:r>
    </w:p>
    <w:p w14:paraId="10992257" w14:textId="47BF34A1" w:rsidR="00480F1C" w:rsidRDefault="00480F1C">
      <w:pPr>
        <w:spacing w:after="0" w:line="257" w:lineRule="auto"/>
        <w:jc w:val="both"/>
        <w:rPr>
          <w:rFonts w:ascii="Times New Roman" w:eastAsia="Times New Roman" w:hAnsi="Times New Roman" w:cs="Times New Roman"/>
          <w:noProof/>
          <w:sz w:val="24"/>
        </w:rPr>
      </w:pPr>
    </w:p>
    <w:p w14:paraId="55406806" w14:textId="1A344189" w:rsidR="00480F1C" w:rsidRDefault="00A201F6">
      <w:pPr>
        <w:pStyle w:val="ListParagraph"/>
        <w:numPr>
          <w:ilvl w:val="0"/>
          <w:numId w:val="42"/>
        </w:numPr>
        <w:spacing w:after="0" w:line="240" w:lineRule="auto"/>
        <w:ind w:hanging="360"/>
        <w:jc w:val="both"/>
        <w:textAlignment w:val="baseline"/>
        <w:rPr>
          <w:rStyle w:val="normaltextrun"/>
          <w:rFonts w:ascii="Times New Roman" w:eastAsia="Times New Roman" w:hAnsi="Times New Roman" w:cs="Times New Roman"/>
          <w:noProof/>
          <w:sz w:val="24"/>
        </w:rPr>
      </w:pPr>
      <w:r>
        <w:rPr>
          <w:rStyle w:val="normaltextrun"/>
          <w:rFonts w:ascii="Times New Roman" w:hAnsi="Times New Roman"/>
          <w:noProof/>
          <w:sz w:val="24"/>
        </w:rPr>
        <w:t>Het vereiste om te voldoen aan het beginsel „geen ernstige afbreuk doen”, zoals uiteengezet in de technische richtsnoeren inzake het beginsel „geen ernstige afbreuk doen”</w:t>
      </w:r>
      <w:r>
        <w:rPr>
          <w:rStyle w:val="normaltextrun"/>
          <w:rFonts w:ascii="Times New Roman" w:hAnsi="Times New Roman"/>
          <w:noProof/>
          <w:color w:val="000000"/>
          <w:sz w:val="24"/>
          <w:shd w:val="clear" w:color="auto" w:fill="FFFFFF"/>
        </w:rPr>
        <w:t>((2023) 6454 final</w:t>
      </w:r>
      <w:r>
        <w:rPr>
          <w:rStyle w:val="normaltextrun"/>
          <w:rFonts w:ascii="Times New Roman" w:hAnsi="Times New Roman"/>
          <w:noProof/>
          <w:sz w:val="24"/>
        </w:rPr>
        <w:t>). Het beleggingsbeleid sluit met name de volgende lijst van activiteiten en activa uit van het in aanmerking komen: I) activiteiten en activa in verband met fossiele brandstoffen, met inbegrip van downstreamgebruik</w:t>
      </w:r>
      <w:r>
        <w:rPr>
          <w:rStyle w:val="FootnoteReference"/>
          <w:rFonts w:ascii="Times New Roman" w:hAnsi="Times New Roman" w:cs="Times New Roman"/>
          <w:noProof/>
          <w:sz w:val="24"/>
        </w:rPr>
        <w:footnoteReference w:id="12"/>
      </w:r>
      <w:r>
        <w:rPr>
          <w:rStyle w:val="normaltextrun"/>
          <w:rFonts w:ascii="Times New Roman" w:hAnsi="Times New Roman"/>
          <w:noProof/>
          <w:sz w:val="24"/>
        </w:rPr>
        <w:t>, ii) activiteiten en activa in het kader van het emissiehandelssysteem van de EU (ETS) die leiden tot verwachte broeikasgasemissies die niet lager zijn dan de relevante benchmarks</w:t>
      </w:r>
      <w:r>
        <w:rPr>
          <w:rStyle w:val="FootnoteReference"/>
          <w:rFonts w:ascii="Times New Roman" w:hAnsi="Times New Roman" w:cs="Times New Roman"/>
          <w:noProof/>
          <w:sz w:val="24"/>
        </w:rPr>
        <w:footnoteReference w:id="13"/>
      </w:r>
      <w:r>
        <w:rPr>
          <w:rStyle w:val="normaltextrun"/>
          <w:rFonts w:ascii="Times New Roman" w:hAnsi="Times New Roman"/>
          <w:noProof/>
          <w:sz w:val="24"/>
        </w:rPr>
        <w:t>, iii) activiteiten en activa in verband met afvalstortplaatsen, verbrandingsinstallaties</w:t>
      </w:r>
      <w:r>
        <w:rPr>
          <w:rStyle w:val="FootnoteReference"/>
          <w:rFonts w:ascii="Times New Roman" w:hAnsi="Times New Roman" w:cs="Times New Roman"/>
          <w:noProof/>
          <w:sz w:val="24"/>
        </w:rPr>
        <w:footnoteReference w:id="14"/>
      </w:r>
      <w:r>
        <w:rPr>
          <w:rStyle w:val="normaltextrun"/>
          <w:rFonts w:ascii="Times New Roman" w:hAnsi="Times New Roman"/>
          <w:noProof/>
          <w:sz w:val="24"/>
        </w:rPr>
        <w:t xml:space="preserve"> en installaties voor mechanische biologische behandeling,</w:t>
      </w:r>
      <w:r>
        <w:rPr>
          <w:rStyle w:val="FootnoteReference"/>
          <w:rFonts w:ascii="Times New Roman" w:hAnsi="Times New Roman" w:cs="Times New Roman"/>
          <w:noProof/>
          <w:sz w:val="24"/>
        </w:rPr>
        <w:footnoteReference w:id="15"/>
      </w:r>
      <w:r>
        <w:rPr>
          <w:rStyle w:val="normaltextrun"/>
          <w:rFonts w:ascii="Times New Roman" w:hAnsi="Times New Roman"/>
          <w:noProof/>
          <w:sz w:val="24"/>
        </w:rPr>
        <w:t xml:space="preserve"> en iv) activiteiten en activa in verband met mijnbouw. </w:t>
      </w:r>
    </w:p>
    <w:p w14:paraId="7B031BBC" w14:textId="218F59AF" w:rsidR="00480F1C" w:rsidRDefault="00A201F6">
      <w:pPr>
        <w:spacing w:after="0" w:line="257" w:lineRule="auto"/>
        <w:jc w:val="both"/>
        <w:textAlignment w:val="baseline"/>
        <w:rPr>
          <w:rStyle w:val="normaltextrun"/>
          <w:rFonts w:ascii="Times New Roman" w:eastAsia="Times New Roman" w:hAnsi="Times New Roman" w:cs="Times New Roman"/>
          <w:noProof/>
          <w:sz w:val="24"/>
        </w:rPr>
      </w:pPr>
      <w:r>
        <w:rPr>
          <w:rStyle w:val="normaltextrun"/>
          <w:rFonts w:ascii="Times New Roman" w:hAnsi="Times New Roman"/>
          <w:noProof/>
          <w:sz w:val="24"/>
        </w:rPr>
        <w:t xml:space="preserve"> </w:t>
      </w:r>
    </w:p>
    <w:p w14:paraId="083AEA8F" w14:textId="77777777" w:rsidR="00480F1C" w:rsidRDefault="00A201F6">
      <w:pPr>
        <w:pStyle w:val="ListParagraph"/>
        <w:numPr>
          <w:ilvl w:val="0"/>
          <w:numId w:val="42"/>
        </w:numPr>
        <w:spacing w:after="0" w:line="257" w:lineRule="auto"/>
        <w:ind w:hanging="360"/>
        <w:jc w:val="both"/>
        <w:textAlignment w:val="baseline"/>
        <w:rPr>
          <w:rStyle w:val="normaltextrun"/>
          <w:rFonts w:ascii="Times New Roman" w:eastAsia="Times New Roman" w:hAnsi="Times New Roman" w:cs="Times New Roman"/>
          <w:noProof/>
          <w:sz w:val="24"/>
        </w:rPr>
      </w:pPr>
      <w:r>
        <w:rPr>
          <w:rStyle w:val="normaltextrun"/>
          <w:rFonts w:ascii="Times New Roman" w:hAnsi="Times New Roman"/>
          <w:noProof/>
          <w:sz w:val="24"/>
        </w:rPr>
        <w:t xml:space="preserve">De vereiste dat koolstofarme waterstofinstallaties moeten voldoen aan de vereiste broeikasgasemissiereductie gedurende de levenscyclus van 73,4 % voor waterstof, wat resulteert in broeikasgasemissies gedurende de levenscyclus van minder dan 3 t CO2eq/tH2) en 70 % voor op waterstof gebaseerde synthetische brandstoffen, ten opzichte van een fossiele referentiebrandstof van 94 g CO2e/MJ, wat resulteert in 2.256 tCO2eq/tH2, naar analogie van de benadering van artikel 25, lid 2, van en bijlage V bij Richtlijn (EU) 2018/2001. De broeikasgasemissiereducties gedurende de levenscyclus worden berekend aan de hand van de in artikel 28, lid 5, van Richtlijn (EU) 2018/2001 bedoelde methode of, als alternatief, volgens ISO 14067: 2018 of ISO 14064-1: 2018.  </w:t>
      </w:r>
    </w:p>
    <w:p w14:paraId="3DB16234" w14:textId="76A90670" w:rsidR="00480F1C" w:rsidRDefault="00A201F6">
      <w:pPr>
        <w:pStyle w:val="P68B1DB1-ListParagraph22"/>
        <w:numPr>
          <w:ilvl w:val="0"/>
          <w:numId w:val="42"/>
        </w:numPr>
        <w:spacing w:after="0" w:line="257" w:lineRule="auto"/>
        <w:ind w:hanging="360"/>
        <w:jc w:val="both"/>
        <w:textAlignment w:val="baseline"/>
        <w:rPr>
          <w:rFonts w:ascii="Times New Roman" w:eastAsia="Times New Roman" w:hAnsi="Times New Roman" w:cs="Times New Roman"/>
          <w:noProof/>
        </w:rPr>
      </w:pPr>
      <w:r>
        <w:rPr>
          <w:noProof/>
        </w:rPr>
        <w:t>De eis dat eindbegunstigden van de regeling geen steun uit andere instrumenten van de Unie ontvangen om dezelfde kosten te dekken.</w:t>
      </w:r>
    </w:p>
    <w:p w14:paraId="6AFD3F0A" w14:textId="77777777" w:rsidR="00480F1C" w:rsidRDefault="00480F1C">
      <w:pPr>
        <w:spacing w:after="0" w:line="257" w:lineRule="auto"/>
        <w:jc w:val="both"/>
        <w:textAlignment w:val="baseline"/>
        <w:rPr>
          <w:rFonts w:ascii="Times New Roman" w:eastAsia="Times New Roman" w:hAnsi="Times New Roman" w:cs="Times New Roman"/>
          <w:noProof/>
          <w:sz w:val="24"/>
        </w:rPr>
      </w:pPr>
    </w:p>
    <w:p w14:paraId="29703B83" w14:textId="7434F81A" w:rsidR="00480F1C" w:rsidRDefault="00A201F6">
      <w:pPr>
        <w:pStyle w:val="P68B1DB1-ListParagraph22"/>
        <w:numPr>
          <w:ilvl w:val="0"/>
          <w:numId w:val="41"/>
        </w:numPr>
        <w:spacing w:after="0" w:line="257" w:lineRule="auto"/>
        <w:jc w:val="both"/>
        <w:rPr>
          <w:rFonts w:eastAsia="Times" w:cs="Times"/>
          <w:noProof/>
        </w:rPr>
      </w:pPr>
      <w:r>
        <w:rPr>
          <w:noProof/>
        </w:rPr>
        <w:t>Het bedrag dat onder de uitvoeringsovereenkomst valt, de vergoedingsstructuur voor de uitvoerende partner en de verplichting om alle ongebruikte opbrengsten van de regeling, ook na 2026, voor dezelfde beleidsdoeleinden te gebruiken.</w:t>
      </w:r>
    </w:p>
    <w:p w14:paraId="7BEAD9C6" w14:textId="77777777" w:rsidR="00480F1C" w:rsidRDefault="00480F1C">
      <w:pPr>
        <w:pStyle w:val="ListParagraph"/>
        <w:spacing w:after="0" w:line="257" w:lineRule="auto"/>
        <w:ind w:left="360"/>
        <w:jc w:val="both"/>
        <w:rPr>
          <w:rFonts w:ascii="Times" w:eastAsia="Times" w:hAnsi="Times" w:cs="Times"/>
          <w:noProof/>
          <w:sz w:val="24"/>
        </w:rPr>
      </w:pPr>
    </w:p>
    <w:p w14:paraId="7628C77B" w14:textId="51EBF78F" w:rsidR="00480F1C" w:rsidRDefault="00A201F6">
      <w:pPr>
        <w:pStyle w:val="P68B1DB1-ListParagraph22"/>
        <w:numPr>
          <w:ilvl w:val="0"/>
          <w:numId w:val="41"/>
        </w:numPr>
        <w:spacing w:after="0" w:line="257" w:lineRule="auto"/>
        <w:jc w:val="both"/>
        <w:rPr>
          <w:rFonts w:eastAsia="Times" w:cs="Times"/>
          <w:noProof/>
        </w:rPr>
      </w:pPr>
      <w:r>
        <w:rPr>
          <w:noProof/>
        </w:rPr>
        <w:t>Monitoring-, audit- en controlevereisten, met inbegrip van:</w:t>
      </w:r>
    </w:p>
    <w:p w14:paraId="5BE2197D" w14:textId="40E4A35B" w:rsidR="00480F1C" w:rsidRDefault="00A201F6">
      <w:pPr>
        <w:pStyle w:val="P68B1DB1-Normal24"/>
        <w:numPr>
          <w:ilvl w:val="1"/>
          <w:numId w:val="41"/>
        </w:numPr>
        <w:spacing w:after="160" w:line="240" w:lineRule="auto"/>
        <w:jc w:val="both"/>
        <w:rPr>
          <w:rFonts w:cs="Times New Roman"/>
          <w:noProof/>
        </w:rPr>
      </w:pPr>
      <w:r>
        <w:rPr>
          <w:noProof/>
        </w:rPr>
        <w:t>De beschrijving van het monitoringsysteem van de uitvoerende partner om verslag uit te brengen over de gemobiliseerde subsidies.</w:t>
      </w:r>
    </w:p>
    <w:p w14:paraId="7B0EA09E" w14:textId="637922AA" w:rsidR="00480F1C" w:rsidRDefault="00A201F6">
      <w:pPr>
        <w:pStyle w:val="P68B1DB1-Normal24"/>
        <w:numPr>
          <w:ilvl w:val="1"/>
          <w:numId w:val="41"/>
        </w:numPr>
        <w:spacing w:after="160" w:line="256" w:lineRule="auto"/>
        <w:jc w:val="both"/>
        <w:rPr>
          <w:rFonts w:cs="Times New Roman"/>
          <w:noProof/>
        </w:rPr>
      </w:pPr>
      <w:r>
        <w:rPr>
          <w:noProof/>
        </w:rPr>
        <w:t xml:space="preserve">De beschrijving van de procedures van de uitvoerende partner om fraude, corruptie en belangenconflicten te voorkomen, op te sporen en te corrigeren. </w:t>
      </w:r>
    </w:p>
    <w:p w14:paraId="068DDB3F" w14:textId="187251FD" w:rsidR="00480F1C" w:rsidRDefault="00A201F6">
      <w:pPr>
        <w:pStyle w:val="P68B1DB1-Normal24"/>
        <w:numPr>
          <w:ilvl w:val="1"/>
          <w:numId w:val="41"/>
        </w:numPr>
        <w:spacing w:after="160" w:line="256" w:lineRule="auto"/>
        <w:jc w:val="both"/>
        <w:rPr>
          <w:rFonts w:cs="Times New Roman"/>
          <w:noProof/>
        </w:rPr>
      </w:pPr>
      <w:r>
        <w:rPr>
          <w:noProof/>
        </w:rPr>
        <w:t>De verplichting om vóór de toekenning van een subsidie aan een concrete actie na te gaan of elke concrete actie subsidiabel is overeenkomstig de vereisten van de uitvoeringsovereenkomst.</w:t>
      </w:r>
    </w:p>
    <w:p w14:paraId="44462EDA" w14:textId="08FE6A71" w:rsidR="00480F1C" w:rsidRDefault="00A201F6">
      <w:pPr>
        <w:pStyle w:val="P68B1DB1-Normal24"/>
        <w:numPr>
          <w:ilvl w:val="1"/>
          <w:numId w:val="41"/>
        </w:numPr>
        <w:spacing w:after="160" w:line="240" w:lineRule="auto"/>
        <w:jc w:val="both"/>
        <w:rPr>
          <w:rFonts w:cs="Times New Roman"/>
          <w:noProof/>
        </w:rPr>
      </w:pPr>
      <w:r>
        <w:rPr>
          <w:noProof/>
        </w:rPr>
        <w:t xml:space="preserve">De verplichting om risicogebaseerde controles achteraf uit te voeren overeenkomstig een auditplan van BGK. Bij deze audits wordt nagegaan i) of de controlesystemen doeltreffend zijn, met inbegrip van de opsporing van fraude, corruptie en belangenconflicten; naleving van het beginsel „geen ernstige afbreuk doen aan”, de staatssteunregels; en iii) dat wordt voldaan aan de eis dat de eindbegunstigden van de regeling geen steun uit andere instrumenten van de Unie hebben ontvangen om dezelfde kosten te dekken. Bij de audits wordt ook nagegaan of de transacties wettig zijn en of de voorwaarden van de toepasselijke uitvoeringsovereenkomst en subsidieovereenkomsten in acht worden genomen. </w:t>
      </w:r>
    </w:p>
    <w:p w14:paraId="14B3F00C" w14:textId="4098586E" w:rsidR="00480F1C" w:rsidRDefault="00A201F6" w:rsidP="00E01639">
      <w:pPr>
        <w:pStyle w:val="P68B1DB1-Normal23"/>
        <w:spacing w:before="120" w:after="120"/>
        <w:jc w:val="both"/>
        <w:rPr>
          <w:rFonts w:eastAsia="Times" w:cs="Times"/>
          <w:noProof/>
        </w:rPr>
      </w:pPr>
      <w:r>
        <w:rPr>
          <w:noProof/>
        </w:rPr>
        <w:t>De uitvoering van de maatregel moet uiterlijk op 31 augustus 2026 zijn voltooid.</w:t>
      </w:r>
    </w:p>
    <w:p w14:paraId="4C4CEA3D" w14:textId="4972CB45"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u w:val="single"/>
        </w:rPr>
      </w:pPr>
    </w:p>
    <w:p w14:paraId="651B4A62" w14:textId="5F7E04D4"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B2.2.3 Bouw van offshore-terminalinfrastructuur</w:t>
      </w:r>
    </w:p>
    <w:p w14:paraId="5FA858D3"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Het doel van deze investering is het risico van laattijdige uitvoering van offshore-windmolenparken te beperken en de goede exploitatie en veiligheid van offshorewindmolenparken te waarborgen.</w:t>
      </w:r>
    </w:p>
    <w:p w14:paraId="6F97E84C" w14:textId="18E18B8D"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investering bestaat uit twee projecten. Het eerste project omvat de bouw van een terminal voor diepwaterinstallaties waarmee twee installatie-eenheden gelijktijdig kunnen worden geëxploiteerd. Het tweede project omvat de wederopbouw van en de toegang tot havens vanaf zee (met inbegrip van de modernisering van golfbrekers). In de havens van Łeba en Ustka worden twee serviceterminals voor offshore-windenergie uitgevoerd die essentiële infrastructuur vormen voor het onderhoud van offshore-installaties.</w:t>
      </w:r>
    </w:p>
    <w:p w14:paraId="7775EF71" w14:textId="6285FD64"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uitvoering van de investeringen in offshoreinstallatieterminals en offshoredienstterminals in Łeba en Ustka wordt uiterlijk op 30 juni 2026 voltooid.</w:t>
      </w:r>
    </w:p>
    <w:p w14:paraId="38C1F859"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5C36445B"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B3.1 Steun voor duurzaam water- en afvalwaterbeheer in plattelandsgebieden</w:t>
      </w:r>
    </w:p>
    <w:p w14:paraId="7DFF3EF4"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Het doel van de hervorming is ervoor te zorgen dat alternatieve oplossingen voor water- en afvalwaterbeheer, zoals individuele zuiveringsinstallaties of septische tanks, naar behoren worden gemonitord, onderhouden en gecontroleerd om achteruitgang te voorkomen. </w:t>
      </w:r>
    </w:p>
    <w:p w14:paraId="4439983E" w14:textId="3066C4AF"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hervorming omvat de invoering van de verplichting voor gemeenten om instrumenten te gebruiken om onjuiste afvoer van afvalwater te voorkomen en het mechanisme van de zogenaamde vervangende uitvoering, d.w.z. de organisatie van het ledigen van septische tanks door de gemeente, die van toepassing is op eigenaren die geen overeenkomsten voor het ledigen van septische tanks hebben gesloten. Zij voert ook de verplichting in om regelmatige controles uit te voeren en een doeltreffend handhavingsmechanisme in te voeren.</w:t>
      </w:r>
    </w:p>
    <w:p w14:paraId="1606FD51" w14:textId="7BD77C84" w:rsidR="00480F1C" w:rsidRDefault="00A201F6">
      <w:pPr>
        <w:pStyle w:val="P68B1DB1-Normal05"/>
        <w:pBdr>
          <w:top w:val="nil"/>
          <w:left w:val="nil"/>
          <w:bottom w:val="nil"/>
          <w:right w:val="nil"/>
          <w:between w:val="nil"/>
        </w:pBdr>
        <w:spacing w:line="240" w:lineRule="auto"/>
        <w:jc w:val="both"/>
        <w:rPr>
          <w:rFonts w:eastAsia="Times New Roman" w:cs="Times New Roman"/>
          <w:noProof/>
          <w:color w:val="000000"/>
        </w:rPr>
      </w:pPr>
      <w:r>
        <w:rPr>
          <w:noProof/>
        </w:rPr>
        <w:t xml:space="preserve">De uitvoering van deze actie wordt uiterlijk op 30 juni 2022 voltooid. </w:t>
      </w:r>
    </w:p>
    <w:p w14:paraId="090EE4F2" w14:textId="77777777" w:rsidR="00480F1C" w:rsidRDefault="00A201F6">
      <w:pPr>
        <w:pStyle w:val="P68B1DB1-Normal05"/>
        <w:pBdr>
          <w:top w:val="nil"/>
          <w:left w:val="nil"/>
          <w:bottom w:val="nil"/>
          <w:right w:val="nil"/>
          <w:between w:val="nil"/>
        </w:pBdr>
        <w:spacing w:line="240" w:lineRule="auto"/>
        <w:jc w:val="both"/>
        <w:rPr>
          <w:rFonts w:eastAsia="Times New Roman" w:cs="Times New Roman"/>
          <w:noProof/>
          <w:color w:val="000000"/>
        </w:rPr>
      </w:pPr>
      <w:r>
        <w:rPr>
          <w:noProof/>
        </w:rPr>
        <w:t xml:space="preserve">Bij de hervorming worden ook territoriale criteria vastgesteld voor de selectie van begunstigden van steun voor investeringen in watervoorziening of afvalwater in plattelandsgebieden. De selectiecriteria geven voorrang aan gemeenten die het minst in staat zijn om investeringen uit eigen middelen te financieren en aan projecten met het grootste potentieel om bestaande negatieve milieueffecten te beperken. </w:t>
      </w:r>
    </w:p>
    <w:p w14:paraId="56225A1A" w14:textId="7B07F3B5"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uitvoering van deze actie moest uiterlijk op 31 december 2021 zijn voltooid.</w:t>
      </w:r>
    </w:p>
    <w:p w14:paraId="0C8FE7CE"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u w:val="single"/>
        </w:rPr>
      </w:pPr>
    </w:p>
    <w:p w14:paraId="339AD8CD"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B3.1.1 Investeringen in duurzaam water- en afvalwaterbeheer in plattelandsgebieden</w:t>
      </w:r>
    </w:p>
    <w:p w14:paraId="2D04966D"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Het doel van deze investering is de beschikbaarheid van water en rioleringsinfrastructuur in plattelandsgebieden met de grootste tekorten te vergroten en de levenskwaliteit in plattelandsgebieden te verbeteren door de ontwikkeling van water- en rioleringsinfrastructuur. De investering is ook bedoeld om het investeringspotentieel van plattelandsgebieden te vergroten. </w:t>
      </w:r>
    </w:p>
    <w:p w14:paraId="0C56EA90" w14:textId="128BDF89"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rPr>
      </w:pPr>
      <w:r>
        <w:rPr>
          <w:noProof/>
        </w:rPr>
        <w:t xml:space="preserve">De investering bestaat uit </w:t>
      </w:r>
      <w:r>
        <w:rPr>
          <w:noProof/>
          <w:u w:val="single"/>
        </w:rPr>
        <w:t xml:space="preserve"> </w:t>
      </w:r>
      <w:r>
        <w:rPr>
          <w:noProof/>
        </w:rPr>
        <w:t xml:space="preserve">de ondersteuning van de bouw, uitbreiding of modernisering van systemen voor watervoorziening of afvalwaterverwijdering in plattelandsgebieden en leidt tot een toename van de plattelandsbevolking die gebruik maakt van de infrastructuur voor watervoorziening en afvalwaterverwijdering. Ook activiteiten in verband met de bevordering van rationeel water- en afvalwaterbeheer worden ondersteund. Als onderdeel van de investering moet het mogelijk zijn infrastructuur te cofinancieren met behulp van digitale oplossingen, zoals de installatie/vervanging van watermeters voor afleesapparatuur en de invoering van elektronische systemen voor water- en kanaalbeheer. Alternatieve oplossingen voor infrastructuur voor watervoorziening en afvalwaterbehandeling in plattelandsgebieden (zoals het combineren van collectieve systemen met septische tanks of individuele installaties) moeten worden overwogen. </w:t>
      </w:r>
    </w:p>
    <w:p w14:paraId="5FAB60C8" w14:textId="552EEC4E"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 uitvoering van de investering moet uiterlijk op 31 december 2025 zijn voltooid. </w:t>
      </w:r>
    </w:p>
    <w:p w14:paraId="55D4CE2A"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sectPr w:rsidR="00480F1C" w:rsidSect="00B54E14">
          <w:headerReference w:type="even" r:id="rId55"/>
          <w:headerReference w:type="default" r:id="rId56"/>
          <w:footerReference w:type="even" r:id="rId57"/>
          <w:footerReference w:type="default" r:id="rId58"/>
          <w:headerReference w:type="first" r:id="rId59"/>
          <w:footerReference w:type="first" r:id="rId60"/>
          <w:pgSz w:w="11907" w:h="16839"/>
          <w:pgMar w:top="1134" w:right="1418" w:bottom="1134" w:left="1418" w:header="709" w:footer="709" w:gutter="0"/>
          <w:cols w:space="720"/>
        </w:sectPr>
      </w:pPr>
    </w:p>
    <w:p w14:paraId="41004F19" w14:textId="184E8F69" w:rsidR="00480F1C" w:rsidRDefault="00A201F6">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sz w:val="24"/>
        </w:rPr>
      </w:pPr>
      <w:r>
        <w:rPr>
          <w:rFonts w:ascii="Times New Roman" w:hAnsi="Times New Roman"/>
          <w:b/>
          <w:noProof/>
          <w:color w:val="000000"/>
          <w:sz w:val="24"/>
        </w:rPr>
        <w:t xml:space="preserve">B.2. </w:t>
      </w:r>
      <w:r>
        <w:rPr>
          <w:noProof/>
        </w:rPr>
        <w:tab/>
      </w:r>
      <w:r>
        <w:rPr>
          <w:rFonts w:ascii="Times New Roman" w:hAnsi="Times New Roman"/>
          <w:b/>
          <w:noProof/>
          <w:color w:val="000000"/>
          <w:sz w:val="24"/>
        </w:rPr>
        <w:t>Mijlpalen, streefdoelen, indicatoren en tijdschema voor de monitoring en uitvoering voor niet-terugbetaalbare financiële steun</w:t>
      </w:r>
    </w:p>
    <w:tbl>
      <w:tblPr>
        <w:tblW w:w="15027" w:type="dxa"/>
        <w:tblInd w:w="-43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115" w:type="dxa"/>
          <w:right w:w="115" w:type="dxa"/>
        </w:tblCellMar>
        <w:tblLook w:val="0400" w:firstRow="0" w:lastRow="0" w:firstColumn="0" w:lastColumn="0" w:noHBand="0" w:noVBand="1"/>
      </w:tblPr>
      <w:tblGrid>
        <w:gridCol w:w="830"/>
        <w:gridCol w:w="1763"/>
        <w:gridCol w:w="1093"/>
        <w:gridCol w:w="1895"/>
        <w:gridCol w:w="1628"/>
        <w:gridCol w:w="1125"/>
        <w:gridCol w:w="958"/>
        <w:gridCol w:w="885"/>
        <w:gridCol w:w="898"/>
        <w:gridCol w:w="691"/>
        <w:gridCol w:w="3261"/>
      </w:tblGrid>
      <w:tr w:rsidR="00480F1C" w14:paraId="3F7835F8" w14:textId="77777777">
        <w:trPr>
          <w:trHeight w:val="939"/>
          <w:tblHeader/>
        </w:trPr>
        <w:tc>
          <w:tcPr>
            <w:tcW w:w="830" w:type="dxa"/>
            <w:vMerge w:val="restart"/>
            <w:shd w:val="clear" w:color="auto" w:fill="BDD7EE"/>
            <w:vAlign w:val="center"/>
          </w:tcPr>
          <w:p w14:paraId="29A4853F" w14:textId="0AF968B9"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Volgende NR.</w:t>
            </w:r>
          </w:p>
        </w:tc>
        <w:tc>
          <w:tcPr>
            <w:tcW w:w="1763" w:type="dxa"/>
            <w:vMerge w:val="restart"/>
            <w:shd w:val="clear" w:color="auto" w:fill="BDD7EE"/>
            <w:vAlign w:val="center"/>
          </w:tcPr>
          <w:p w14:paraId="2B943291"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Gerelateerde maatregel (hervorming of investering)</w:t>
            </w:r>
          </w:p>
        </w:tc>
        <w:tc>
          <w:tcPr>
            <w:tcW w:w="1093" w:type="dxa"/>
            <w:vMerge w:val="restart"/>
            <w:shd w:val="clear" w:color="auto" w:fill="BDD7EE"/>
            <w:vAlign w:val="center"/>
          </w:tcPr>
          <w:p w14:paraId="7CC8C155"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Mijlpaal/Doelstelling</w:t>
            </w:r>
          </w:p>
        </w:tc>
        <w:tc>
          <w:tcPr>
            <w:tcW w:w="1895" w:type="dxa"/>
            <w:vMerge w:val="restart"/>
            <w:shd w:val="clear" w:color="auto" w:fill="BDD7EE"/>
            <w:vAlign w:val="center"/>
          </w:tcPr>
          <w:p w14:paraId="69C41B3B"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Naam</w:t>
            </w:r>
          </w:p>
        </w:tc>
        <w:tc>
          <w:tcPr>
            <w:tcW w:w="1628" w:type="dxa"/>
            <w:vMerge w:val="restart"/>
            <w:shd w:val="clear" w:color="auto" w:fill="BDD7EE"/>
            <w:vAlign w:val="center"/>
          </w:tcPr>
          <w:p w14:paraId="455F9133"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sz w:val="18"/>
              </w:rPr>
              <w:t>Kwalitatieve indicatoren</w:t>
            </w:r>
            <w:r>
              <w:rPr>
                <w:noProof/>
              </w:rPr>
              <w:t xml:space="preserve"> </w:t>
            </w:r>
            <w:r>
              <w:rPr>
                <w:noProof/>
              </w:rPr>
              <w:br/>
            </w:r>
            <w:r>
              <w:rPr>
                <w:rFonts w:ascii="Times New Roman" w:hAnsi="Times New Roman"/>
                <w:b/>
                <w:noProof/>
                <w:color w:val="000000"/>
                <w:sz w:val="18"/>
              </w:rPr>
              <w:t>(voor mijlpalen)</w:t>
            </w:r>
          </w:p>
        </w:tc>
        <w:tc>
          <w:tcPr>
            <w:tcW w:w="2968" w:type="dxa"/>
            <w:gridSpan w:val="3"/>
            <w:shd w:val="clear" w:color="auto" w:fill="BDD7EE"/>
            <w:vAlign w:val="center"/>
          </w:tcPr>
          <w:p w14:paraId="781DE8B5"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sz w:val="18"/>
              </w:rPr>
              <w:t>Kwantitatieve indicatoren</w:t>
            </w:r>
            <w:r>
              <w:rPr>
                <w:noProof/>
              </w:rPr>
              <w:t xml:space="preserve"> </w:t>
            </w:r>
            <w:r>
              <w:rPr>
                <w:noProof/>
              </w:rPr>
              <w:br/>
            </w:r>
            <w:r>
              <w:rPr>
                <w:rFonts w:ascii="Times New Roman" w:hAnsi="Times New Roman"/>
                <w:b/>
                <w:noProof/>
                <w:color w:val="000000"/>
                <w:sz w:val="18"/>
              </w:rPr>
              <w:t>(voor streefcijfers)</w:t>
            </w:r>
          </w:p>
        </w:tc>
        <w:tc>
          <w:tcPr>
            <w:tcW w:w="1589" w:type="dxa"/>
            <w:gridSpan w:val="2"/>
            <w:shd w:val="clear" w:color="auto" w:fill="BDD7EE"/>
            <w:vAlign w:val="center"/>
          </w:tcPr>
          <w:p w14:paraId="6B203C72"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Indicatieve termijn voor voltooiing </w:t>
            </w:r>
          </w:p>
        </w:tc>
        <w:tc>
          <w:tcPr>
            <w:tcW w:w="3261" w:type="dxa"/>
            <w:vMerge w:val="restart"/>
            <w:shd w:val="clear" w:color="auto" w:fill="BDD7EE"/>
            <w:vAlign w:val="center"/>
          </w:tcPr>
          <w:p w14:paraId="5AC1046A"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Beschrijving van elke mijlpaal en doelstelling</w:t>
            </w:r>
          </w:p>
        </w:tc>
      </w:tr>
      <w:tr w:rsidR="00480F1C" w14:paraId="2D99E2F5" w14:textId="77777777">
        <w:trPr>
          <w:trHeight w:val="1027"/>
        </w:trPr>
        <w:tc>
          <w:tcPr>
            <w:tcW w:w="830" w:type="dxa"/>
            <w:vMerge/>
            <w:vAlign w:val="center"/>
          </w:tcPr>
          <w:p w14:paraId="67C0C651"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763" w:type="dxa"/>
            <w:vMerge/>
            <w:vAlign w:val="center"/>
          </w:tcPr>
          <w:p w14:paraId="308D56CC"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093" w:type="dxa"/>
            <w:vMerge/>
            <w:vAlign w:val="center"/>
          </w:tcPr>
          <w:p w14:paraId="797E50C6"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895" w:type="dxa"/>
            <w:vMerge/>
            <w:vAlign w:val="center"/>
          </w:tcPr>
          <w:p w14:paraId="7B04FA47"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628" w:type="dxa"/>
            <w:vMerge/>
            <w:vAlign w:val="center"/>
          </w:tcPr>
          <w:p w14:paraId="568C698B"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125" w:type="dxa"/>
            <w:shd w:val="clear" w:color="auto" w:fill="BDD7EE"/>
            <w:vAlign w:val="center"/>
          </w:tcPr>
          <w:p w14:paraId="067DD0AB"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Eenheid</w:t>
            </w:r>
          </w:p>
        </w:tc>
        <w:tc>
          <w:tcPr>
            <w:tcW w:w="958" w:type="dxa"/>
            <w:shd w:val="clear" w:color="auto" w:fill="BDD7EE"/>
            <w:vAlign w:val="center"/>
          </w:tcPr>
          <w:p w14:paraId="43F43E50"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Basislijn </w:t>
            </w:r>
          </w:p>
        </w:tc>
        <w:tc>
          <w:tcPr>
            <w:tcW w:w="885" w:type="dxa"/>
            <w:shd w:val="clear" w:color="auto" w:fill="BDD7EE"/>
            <w:vAlign w:val="center"/>
          </w:tcPr>
          <w:p w14:paraId="21A36EB4"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Doelstelling</w:t>
            </w:r>
          </w:p>
        </w:tc>
        <w:tc>
          <w:tcPr>
            <w:tcW w:w="898" w:type="dxa"/>
            <w:shd w:val="clear" w:color="auto" w:fill="BDD7EE"/>
            <w:vAlign w:val="center"/>
          </w:tcPr>
          <w:p w14:paraId="4A95BF68"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Kwartaal</w:t>
            </w:r>
          </w:p>
        </w:tc>
        <w:tc>
          <w:tcPr>
            <w:tcW w:w="691" w:type="dxa"/>
            <w:shd w:val="clear" w:color="auto" w:fill="BDD7EE"/>
            <w:vAlign w:val="center"/>
          </w:tcPr>
          <w:p w14:paraId="2F79DAA1"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Jaar</w:t>
            </w:r>
          </w:p>
        </w:tc>
        <w:tc>
          <w:tcPr>
            <w:tcW w:w="3261" w:type="dxa"/>
            <w:vMerge/>
            <w:vAlign w:val="center"/>
          </w:tcPr>
          <w:p w14:paraId="1A939487"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r>
      <w:tr w:rsidR="00480F1C" w14:paraId="29E0A413"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1B2963F" w14:textId="39867EE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B1G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0A2816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B1.1 Schone lucht en energie-efficiëntie</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CFD43E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16F312" w14:textId="014FB39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wet tot wijziging van de energie-efficiëntiewet en de daarmee samenhangende wetgevingsbesluiten</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8F5D5ED" w14:textId="2DCDC97E"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wet tot wijziging van de energie-efficiëntiewet en de daarmee samenhangende wetgevingsbesluiten met vermelding van de inwerkingtreding ervan</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CA9BCD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9F69F1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5C72755"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0E8EBA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1</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9A1ECB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E4DE24E" w14:textId="27A497BE"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Inwerkingtreding van een wet tot wijziging van de energie-efficiëntiewet en de bijbehorende wetgevingsbesluiten (wet op de ondersteuning van thermo-modernisering en renovatie en inzake het centraal emissieregister van gebouwen; de wet inzake financiële steun voor de aanleg van woonruimte voor huur; de wet inzake bepaalde vormen van huisvestingssteun; en de wet inzake hernieuwbare energiebronnen), die entiteiten die onder de verplichtingsregeling voor energie-efficiëntie vallen in staat stelt energiebesparingsverplichtingen af te wikkelen in het kader van zogenaamde subsidieprogramma’s. Zij verduidelijkt de mogelijkheden voor het gebruik van energieprestatiecontracten in de overheidssector. Zij stelt energiedienstenbedrijven in staat deel te nemen aan de verplichtingsregelingen voor energie-efficiëntie. </w:t>
            </w:r>
          </w:p>
        </w:tc>
      </w:tr>
      <w:tr w:rsidR="00480F1C" w14:paraId="699BBC21"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D2650BD" w14:textId="77BF494B"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B2G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DDEEB9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B1.1 Schone lucht en energie-efficiëntie</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EA89A8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FE2AE4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Actualisering van het prioritaire programma „Schone lucht”  </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F4E22B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Goedkeuring van wijzigingen van het prioritaire programma „Schone lucht” door het Nationaal Fonds voor milieubescherming, met inbegrip van bepalingen voor steun die gericht is op a) huishoudens met een hoger inkomen, met name met betrokkenheid van de banksector die leningen verstrekt in combinatie met subsidies; b) huishoudens met een laag inkomen; (c) huishoudens met het laagste inkomen.</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4DF03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6B14421"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3694584"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DDE392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1</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1A5C52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2023</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89F6FE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Het nationaal fonds voor milieubescherming stelt wijzigingen van het prioritaire programma „Schone lucht” vast in overeenstemming met de langetermijnrenovatiestrategie in het kader van de richtlijn energieprestatie van gebouwen, met inbegrip van specifieke steun gericht op a) huishoudens met een hoger inkomen, met name met betrokkenheid van de banksector die leningen verstrekt in combinatie met subsidies; b) huishoudens met een laag inkomen; (c) huishoudens met het laagste inkomen (in overeenstemming met de toepasselijke definities in het prioritaire programma „Schone lucht”). </w:t>
            </w:r>
          </w:p>
          <w:p w14:paraId="61C247E7" w14:textId="59AE902B"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Uiterlijk op 31 maart 2023 zijn de bepalingen inzake gerichte steun aan de genoemde groepen volledig operationeel en hebben de ontvangers toegang tot deze steun. </w:t>
            </w:r>
          </w:p>
        </w:tc>
      </w:tr>
      <w:tr w:rsidR="00480F1C" w14:paraId="62BDEBB8"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894D1EF" w14:textId="006BB93D"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B3G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511F93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B1.1 Schone lucht en energie-efficiëntie</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F5E82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30A7BB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Actualisering van het nationale programma voor de bescherming van de lucht </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C81A00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Goedkeuring van het geactualiseerde nationale luchtbeschermingsprogramma door de minister van Klimaat en Milieu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7DFE56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AD776A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62EDE1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67D649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73756F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2021</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B670D7" w14:textId="236E15D2" w:rsidR="00480F1C" w:rsidRDefault="00A201F6">
            <w:pPr>
              <w:pStyle w:val="P68B1DB1-Normal010"/>
              <w:pBdr>
                <w:top w:val="nil"/>
                <w:left w:val="nil"/>
                <w:bottom w:val="nil"/>
                <w:right w:val="nil"/>
                <w:between w:val="nil"/>
              </w:pBdr>
              <w:spacing w:after="0" w:line="240" w:lineRule="auto"/>
              <w:rPr>
                <w:rFonts w:eastAsia="Times New Roman" w:cs="Times New Roman"/>
                <w:noProof/>
                <w:color w:val="000000"/>
              </w:rPr>
            </w:pPr>
            <w:r>
              <w:rPr>
                <w:noProof/>
                <w:color w:val="000000" w:themeColor="text1"/>
              </w:rPr>
              <w:t>In het nationale luchtbeschermingsprogramma worden nieuwe taken vastgesteld die uiterlijk in 2025, 2030 en 2040 op nationaal, provinciaal en gemeentelijk niveau moeten worden uitgevoerd: (1) het vaststellen van normen voor lage-emissiezones voor gemeenten waar de toegestane NO2-niveaus zijn overschreden; (2) verbintenis van de „</w:t>
            </w:r>
            <w:r>
              <w:rPr>
                <w:noProof/>
              </w:rPr>
              <w:t>provincies”</w:t>
            </w:r>
            <w:r>
              <w:rPr>
                <w:noProof/>
                <w:color w:val="000000" w:themeColor="text1"/>
              </w:rPr>
              <w:t xml:space="preserve"> om antismog-resoluties aan te nemen in steden waar bepaalde luchtkwaliteitsnormen niet worden nageleefd; (3) financiële steun aan regionale en lokale overheden voor de bevordering van de uitvoering van de in de anti-smogresoluties gespecificeerde activiteiten en de voorbereiding van informatiepunten voor bewoners die financiering aanvragen in het kader van het prioritaire programma „Schone lucht”; (4) invoering van de taak om de bepalingen inzake het controlesysteem voor de handhaving van de uitvoering van de in anti-smogresoluties gespecificeerde taken aan te scherpen; (5) uitsluiting van nieuwe met steenkool gestookte verwarmingstoestellen vanaf 1 januari 2022 van programma’s voor overheidssteun. </w:t>
            </w:r>
          </w:p>
        </w:tc>
      </w:tr>
      <w:tr w:rsidR="00480F1C" w14:paraId="0043C7D6" w14:textId="77777777">
        <w:trPr>
          <w:trHeight w:val="1701"/>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7DDB69B" w14:textId="3FADF75B"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B4G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E2F4EC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B1.1 Schone lucht en energie-efficiëntie</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B92EB44" w14:textId="424B2FA4"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024FDD0" w14:textId="3302460E"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wijziging van de Regeling door de minister van Klimaat en Milieu inzake kwaliteitsnormen voor vaste brandstoffen</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2356496" w14:textId="4B032DEE"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wijziging van de verordening inzake kwaliteitsnormen voor vaste brandstoffen met vermelding van de inwerkingtreding ervan</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4968EE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CA9B4E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B1A4FA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C90E79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9F1A91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B0FA64" w14:textId="773C34D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Op basis van aanbevelingen over noodzakelijke of aanbevolen wetswijzigingen, opgesteld door een interministerieel team en gevolgd door een raadpleging van de voorstellen met de kamers van ngo’s en de kolensector, treedt de wijziging van de verordening betreffende vaste brandstoffen op basis van steenkool uiterlijk op 31 december 2022 in werking. Zij verbiedt producenten van vaste steenkoolbrandstoffen gebruik te maken van misleidende merknamen.</w:t>
            </w:r>
          </w:p>
        </w:tc>
      </w:tr>
      <w:tr w:rsidR="00480F1C" w14:paraId="78514FBE" w14:textId="77777777">
        <w:trPr>
          <w:trHeight w:val="964"/>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903278" w14:textId="33B6C52F" w:rsidR="00480F1C" w:rsidRDefault="00A201F6">
            <w:pPr>
              <w:pStyle w:val="P68B1DB1-Normal010"/>
              <w:spacing w:line="240" w:lineRule="auto"/>
              <w:jc w:val="center"/>
              <w:rPr>
                <w:rFonts w:cs="Times New Roman"/>
                <w:noProof/>
              </w:rPr>
            </w:pPr>
            <w:r>
              <w:rPr>
                <w:noProof/>
              </w:rPr>
              <w:t>B5G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10B28CE" w14:textId="0C5F083D" w:rsidR="00480F1C" w:rsidRDefault="00A201F6">
            <w:pPr>
              <w:pStyle w:val="P68B1DB1-Normal011"/>
              <w:spacing w:after="0" w:line="240" w:lineRule="auto"/>
              <w:rPr>
                <w:rFonts w:eastAsia="Times New Roman" w:cs="Times New Roman"/>
                <w:noProof/>
                <w:color w:val="000000" w:themeColor="text1"/>
              </w:rPr>
            </w:pPr>
            <w:r>
              <w:rPr>
                <w:noProof/>
              </w:rPr>
              <w:t>B1.1 Schone lucht en energie-efficiëntie</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F2F50AF" w14:textId="19D1FD94" w:rsidR="00480F1C" w:rsidRDefault="00A201F6">
            <w:pPr>
              <w:pStyle w:val="P68B1DB1-Normal011"/>
              <w:spacing w:line="240" w:lineRule="auto"/>
              <w:rPr>
                <w:rFonts w:eastAsia="Times New Roman" w:cs="Times New Roman"/>
                <w:noProof/>
                <w:color w:val="000000" w:themeColor="text1"/>
              </w:rPr>
            </w:pPr>
            <w:r>
              <w:rPr>
                <w:noProof/>
              </w:rPr>
              <w:t>Mijlpaal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A19586E" w14:textId="7ECBEEEA" w:rsidR="00480F1C" w:rsidRDefault="00A201F6">
            <w:pPr>
              <w:pStyle w:val="P68B1DB1-Normal011"/>
              <w:spacing w:after="0" w:line="240" w:lineRule="auto"/>
              <w:rPr>
                <w:rFonts w:eastAsia="Times New Roman" w:cs="Times New Roman"/>
                <w:noProof/>
                <w:color w:val="000000" w:themeColor="text1"/>
              </w:rPr>
            </w:pPr>
            <w:r>
              <w:rPr>
                <w:noProof/>
              </w:rPr>
              <w:t>Inwerkingtreding van de verordening tot vaststelling van kwaliteitsnormen voor vaste biomassabrandstoffen</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FD89614" w14:textId="74A59A91" w:rsidR="00480F1C" w:rsidRDefault="00A201F6">
            <w:pPr>
              <w:pStyle w:val="P68B1DB1-Normal011"/>
              <w:spacing w:after="0" w:line="240" w:lineRule="auto"/>
              <w:rPr>
                <w:rFonts w:eastAsia="Times New Roman" w:cs="Times New Roman"/>
                <w:noProof/>
                <w:color w:val="000000" w:themeColor="text1"/>
              </w:rPr>
            </w:pPr>
            <w:r>
              <w:rPr>
                <w:noProof/>
              </w:rPr>
              <w:t>Bepaling in de verordening inzake kwaliteitsnormen voor vaste biomassabrandstoffen met vermelding van de inwerkingtreding ervan</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FBDAAB5" w14:textId="11E92EFD"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6D87707" w14:textId="1710D60C" w:rsidR="00480F1C" w:rsidRDefault="00480F1C">
            <w:pPr>
              <w:pStyle w:val="Normal0"/>
              <w:spacing w:line="240" w:lineRule="auto"/>
              <w:jc w:val="right"/>
              <w:rPr>
                <w:rFonts w:ascii="Times New Roman" w:eastAsia="Times New Roman" w:hAnsi="Times New Roman" w:cs="Times New Roman"/>
                <w:noProof/>
                <w:color w:val="000000" w:themeColor="text1"/>
                <w:sz w:val="18"/>
              </w:rPr>
            </w:pP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5AC6C3D" w14:textId="6376F1D5" w:rsidR="00480F1C" w:rsidRDefault="00480F1C">
            <w:pPr>
              <w:pStyle w:val="Normal0"/>
              <w:spacing w:line="240" w:lineRule="auto"/>
              <w:jc w:val="right"/>
              <w:rPr>
                <w:rFonts w:ascii="Times New Roman" w:eastAsia="Times New Roman" w:hAnsi="Times New Roman" w:cs="Times New Roman"/>
                <w:noProof/>
                <w:color w:val="000000" w:themeColor="text1"/>
                <w:sz w:val="18"/>
              </w:rPr>
            </w:pP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7679676" w14:textId="78395894" w:rsidR="00480F1C" w:rsidRDefault="00A201F6">
            <w:pPr>
              <w:pStyle w:val="P68B1DB1-Normal011"/>
              <w:spacing w:line="240" w:lineRule="auto"/>
              <w:jc w:val="center"/>
              <w:rPr>
                <w:rFonts w:eastAsia="Times New Roman" w:cs="Times New Roman"/>
                <w:noProof/>
                <w:color w:val="000000" w:themeColor="text1"/>
              </w:rPr>
            </w:pPr>
            <w:r>
              <w:rPr>
                <w:noProof/>
              </w:rPr>
              <w:t>KWARTAAL 3</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5F59D66" w14:textId="1C76C695" w:rsidR="00480F1C" w:rsidRDefault="00A201F6">
            <w:pPr>
              <w:pStyle w:val="Normal0"/>
              <w:spacing w:line="240" w:lineRule="auto"/>
              <w:jc w:val="center"/>
              <w:rPr>
                <w:rFonts w:ascii="Times New Roman" w:eastAsia="Times New Roman" w:hAnsi="Times New Roman" w:cs="Times New Roman"/>
                <w:noProof/>
                <w:color w:val="000000" w:themeColor="text1"/>
                <w:sz w:val="18"/>
              </w:rPr>
            </w:pPr>
            <w:r>
              <w:rPr>
                <w:rFonts w:ascii="Times New Roman" w:hAnsi="Times New Roman"/>
                <w:noProof/>
                <w:color w:val="000000" w:themeColor="text1"/>
                <w:sz w:val="18"/>
              </w:rPr>
              <w:t>2023</w:t>
            </w:r>
            <w:r>
              <w:rPr>
                <w:noProof/>
              </w:rPr>
              <w:tab/>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CA52289" w14:textId="18A1DC25" w:rsidR="00480F1C" w:rsidRDefault="00A201F6">
            <w:pPr>
              <w:pStyle w:val="P68B1DB1-Normal011"/>
              <w:spacing w:line="240" w:lineRule="auto"/>
              <w:rPr>
                <w:rFonts w:eastAsia="Times New Roman" w:cs="Times New Roman"/>
                <w:noProof/>
                <w:color w:val="000000" w:themeColor="text1"/>
              </w:rPr>
            </w:pPr>
            <w:r>
              <w:rPr>
                <w:noProof/>
              </w:rPr>
              <w:t xml:space="preserve">In de verordening worden kwaliteitsnormen vastgesteld voor vaste biomassabrandstoffen, met inbegrip van houtpellets. </w:t>
            </w:r>
          </w:p>
          <w:p w14:paraId="27E8B9C3" w14:textId="35D9FC77" w:rsidR="00480F1C" w:rsidRDefault="00A201F6">
            <w:pPr>
              <w:pStyle w:val="P68B1DB1-Normal011"/>
              <w:spacing w:after="0" w:line="240" w:lineRule="auto"/>
              <w:rPr>
                <w:rFonts w:eastAsia="Times New Roman" w:cs="Times New Roman"/>
                <w:noProof/>
                <w:color w:val="000000" w:themeColor="text1"/>
              </w:rPr>
            </w:pPr>
            <w:r>
              <w:rPr>
                <w:noProof/>
              </w:rPr>
              <w:t>De verordening verbiedt producenten van vaste biomassabrandstoffen gebruik te maken van misleidende merknamen.</w:t>
            </w:r>
          </w:p>
        </w:tc>
      </w:tr>
      <w:tr w:rsidR="00480F1C" w14:paraId="28D094C4"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DCB3458" w14:textId="070FF250"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B6G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0EEC7B" w14:textId="4F43B6C4"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B1.1.1 Investeringen in warmtebronnen in stadsverwarmingssystemen</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BF9F5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C9D0E8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T1 — Warmtebronnen in stadsverwarmingssystemen </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07D18C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EE310A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D64A453"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AE91C80" w14:textId="77E236EC"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45</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4DB9FF"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90AA31F"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2024</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A596CB" w14:textId="69BB6839"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 warmtebronnen in het kader van ondertekende contracten die voldoen aan de DNSH-vereisten. De ondersteunde technologieën omvatten warmtekrachtkoppelingseenheden voor aardgas, hernieuwbare energiebronnen (zonne-energie, geothermische energie, bio-energie) en warmtepompen. De drempel van 250 g CO2/kWh opgewekte energie mag voor geen van de ondersteunde installaties worden overschreden. In het geval van installaties die bio-energie gebruiken, wordt voldaan aan Richtlijn 2018/2001 inzake hernieuwbare energiebronnen. Er moet ook voor worden gezorgd dat biogas/biomethaan dat door de pijpleiding wordt geëxploiteerd, voldoet aan de criteria van duurzame ontwikkeling en vermindering van broeikasgasemissies (overeenkomstig de richtlijn hernieuwbare energiebronnen).</w:t>
            </w:r>
          </w:p>
        </w:tc>
      </w:tr>
      <w:tr w:rsidR="00480F1C" w14:paraId="1A8D8C09" w14:textId="77777777">
        <w:trPr>
          <w:trHeight w:val="410"/>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EF93A77" w14:textId="09CFAD59"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B7G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4759C1A" w14:textId="73C7517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B1.1.1 Investeringen in warmtebronnen in stadsverwarmingssystemen</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F5AF96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FC642D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T2 — Warmtebronnen in stadsverwarmingssystemen </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5C4DA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BC6654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514DE9C" w14:textId="3C61FD70" w:rsidR="00480F1C" w:rsidRDefault="00A201F6">
            <w:pPr>
              <w:pStyle w:val="P68B1DB1-Normal011"/>
              <w:spacing w:after="0" w:line="240" w:lineRule="auto"/>
              <w:jc w:val="right"/>
              <w:rPr>
                <w:rFonts w:eastAsia="Times New Roman" w:cs="Times New Roman"/>
                <w:noProof/>
                <w:color w:val="000000" w:themeColor="text1"/>
              </w:rPr>
            </w:pPr>
            <w:r>
              <w:rPr>
                <w:noProof/>
              </w:rPr>
              <w:t>45</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AA05B6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90</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61C868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8F8FD9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6FEDA9A" w14:textId="4B87B33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Het streefcijfer heeft betrekking op het aantal warmtebronnen in het kader van ondertekende contracten die voldoen aan de eisen van post B6G. </w:t>
            </w:r>
          </w:p>
        </w:tc>
      </w:tr>
      <w:tr w:rsidR="00480F1C" w14:paraId="63207037"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850DD93" w14:textId="2FF2290E"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B8G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246B436" w14:textId="77D9A3B2"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B1.1.2 Vervanging van warmtebronnen en verbetering van de energie-efficiëntie in residentiële gebouwen </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44818F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C50C5F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T1 — Warmtebronvervanging in eengezinsgebouwen </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B970F6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AFFA88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081C80F"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9A76EAD" w14:textId="1E6EC559"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250 000</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BB9A22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3</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EC703BC" w14:textId="77777777" w:rsidR="00480F1C" w:rsidRDefault="00A201F6">
            <w:pPr>
              <w:pStyle w:val="P68B1DB1-Normal011"/>
              <w:spacing w:after="0" w:line="240" w:lineRule="auto"/>
              <w:rPr>
                <w:rFonts w:eastAsia="Times New Roman" w:cs="Times New Roman"/>
                <w:noProof/>
                <w:color w:val="000000" w:themeColor="text1"/>
              </w:rPr>
            </w:pPr>
            <w:r>
              <w:rPr>
                <w:noProof/>
              </w:rPr>
              <w:t>2023</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9D99B04" w14:textId="46E9341F" w:rsidR="00480F1C" w:rsidRDefault="00A201F6">
            <w:pPr>
              <w:pStyle w:val="P68B1DB1-Normal010"/>
              <w:pBdr>
                <w:top w:val="nil"/>
                <w:left w:val="nil"/>
                <w:bottom w:val="nil"/>
                <w:right w:val="nil"/>
                <w:between w:val="nil"/>
              </w:pBdr>
              <w:spacing w:after="0" w:line="240" w:lineRule="auto"/>
              <w:rPr>
                <w:rFonts w:eastAsia="Times New Roman" w:cs="Times New Roman"/>
                <w:noProof/>
                <w:color w:val="000000"/>
              </w:rPr>
            </w:pPr>
            <w:r>
              <w:rPr>
                <w:noProof/>
                <w:color w:val="000000" w:themeColor="text1"/>
              </w:rPr>
              <w:t>Aantal geïnstalleerde warmtebronnen in overeenstemming met de DNSH-vereisten zoals uiteengezet in de beschrijving van de maatregel.  (onder ondertekende contacten). Investeringen worden ondersteund in het kader van het prioritaire programma „Schone lucht” en het fonds voor thermische modernisering, in overeenstemming met de langetermijnrenovatiestrategie in het kader van de richtlijn energieprestatie van gebouwen. . Er wordt voor gezorgd dat het niveau van de besparing op primaire energie op het niveau van het programma ten minste 30 %</w:t>
            </w:r>
            <w:r>
              <w:rPr>
                <w:noProof/>
              </w:rPr>
              <w:t xml:space="preserve"> bedraagt. </w:t>
            </w:r>
          </w:p>
        </w:tc>
      </w:tr>
      <w:tr w:rsidR="00480F1C" w14:paraId="2C78934F"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E57E621" w14:textId="781DD826"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B9G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02DB91B" w14:textId="37403119"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B1.1.2 Vervanging van warmtebronnen en verbetering van de energie-efficiëntie in residentiële gebouwen </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896CB5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58695E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T2 — Warmtebronvervanging in eengezinsgebouwen </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BDA337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41F1B0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1C7A89D" w14:textId="6D5E9610"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250 000</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DCA0FE1" w14:textId="7E138725" w:rsidR="00480F1C" w:rsidRDefault="00A201F6">
            <w:pPr>
              <w:pStyle w:val="P68B1DB1-Normal010"/>
              <w:pBdr>
                <w:top w:val="nil"/>
                <w:left w:val="nil"/>
                <w:bottom w:val="nil"/>
                <w:right w:val="nil"/>
                <w:between w:val="nil"/>
              </w:pBdr>
              <w:spacing w:after="0" w:line="240" w:lineRule="auto"/>
              <w:jc w:val="right"/>
              <w:rPr>
                <w:rFonts w:eastAsia="Times New Roman" w:cs="Times New Roman"/>
                <w:noProof/>
              </w:rPr>
            </w:pPr>
            <w:r>
              <w:rPr>
                <w:noProof/>
              </w:rPr>
              <w:t xml:space="preserve"> 513 000 </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E302E4F"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31C6DD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C09843F" w14:textId="33534CB4" w:rsidR="00480F1C" w:rsidRDefault="00A201F6">
            <w:pPr>
              <w:pStyle w:val="P68B1DB1-Normal011"/>
              <w:pBdr>
                <w:top w:val="nil"/>
                <w:left w:val="nil"/>
                <w:bottom w:val="nil"/>
                <w:right w:val="nil"/>
                <w:between w:val="nil"/>
              </w:pBdr>
              <w:spacing w:after="0" w:line="240" w:lineRule="auto"/>
              <w:rPr>
                <w:rFonts w:eastAsia="Times New Roman" w:cs="Times New Roman"/>
                <w:noProof/>
                <w:color w:val="008080"/>
                <w:u w:val="single"/>
              </w:rPr>
            </w:pPr>
            <w:r>
              <w:rPr>
                <w:noProof/>
              </w:rPr>
              <w:t xml:space="preserve">Aantal geïnstalleerde warmtebronnen dat voldoet aan de eisen voor B8G.  </w:t>
            </w:r>
          </w:p>
        </w:tc>
      </w:tr>
      <w:tr w:rsidR="00480F1C" w14:paraId="799FF26E"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4E323BA" w14:textId="1DB26BB6"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B10G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6F18D58" w14:textId="7812701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B1.1.2 Vervanging van warmtebronnen en verbetering van de energie-efficiëntie in residentiële gebouwen </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73DD53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3D2F52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T1 — Thermo-modernisering en installatie van hernieuwbare energiebronnen in residentiële gebouwen (eengezins- en meergezinsgebouwen)</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B7B7D1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781025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209E21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B4C5019" w14:textId="3445A20C"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230 456 </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A1F4B0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3</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C583B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2023</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A11418B" w14:textId="55379AE3"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Aantal thermogemoderniseerde eengezinswoningen en woningen in meergezinswoningen die voldoen aan energie-efficiëntienormen in het kader van ondersteunde projecten. Investeringen worden ondersteund in het kader van het prioritaire programma „Schone lucht” en het Fonds voor thermische modernisering en renovatie. Er wordt voor gezorgd dat het niveau van de besparing op primaire energie op het niveau van het programma ten minste 30 % bedraagt. De steun wordt ingezet in overeenstemming met de technische richtsnoeren inzake geen ernstige afbreuk doen aan het beginsel „geen ernstige afbreuk doen” van de Commissie (2021/C58/021). Er moet met name voor worden gezorgd dat ten minste 70 % van het bouwafval dat in het kader van het programma wordt geproduceerd, wordt hergebruikt of gerecycleerd. </w:t>
            </w:r>
          </w:p>
        </w:tc>
      </w:tr>
      <w:tr w:rsidR="00480F1C" w14:paraId="6D3810AA"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205903" w14:textId="60DAE22F"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B11G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42670CC" w14:textId="1E65E9D5"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B1.1.2 Vervanging van warmtebronnen en verbetering van de energie-efficiëntie in residentiële gebouwen</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476F5A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BF6B17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T2 — Thermo-modernisering en installatie van hernieuwbare energiebronnen in residentiële gebouwen (eengezins- en meergezinsgebouwen)</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A11B1C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4D3D20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411801B" w14:textId="1C54BF03"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230 456 </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26BEECA" w14:textId="275E65C4"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494 590 </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9627014"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125D52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602C8DA" w14:textId="282DC639"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Aantal thermogemoderniseerde eengezinswoningen en woningen in meergezinswoningen die voldoen aan de eisen van punt B10G. </w:t>
            </w:r>
          </w:p>
        </w:tc>
      </w:tr>
      <w:tr w:rsidR="00480F1C" w14:paraId="6ED6D2A5"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62CABB4" w14:textId="7F1A5085"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B12G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59DC2D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B1.1.3 Thermische modernisering van scholen </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DF4105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F75F710" w14:textId="2F8FFA06"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Gemoderniseerde of uitgewisselde warmtebronnen die voldoen aan de DNSH-vereisten in gebouwen van onderwijsinstellingen (in het kader van ondertekende contracten)</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1197D9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33A5A0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2D7B3B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AACEE42" w14:textId="19D13EC1"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70</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AF26E6F"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A5F636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DC93D59" w14:textId="75AF0D36"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 vervangen of gemoderniseerde warmtebronnen in gebouwen van onderwijsinstellingen die voldoen aan de DNSH-vereisten (in het kader van ondertekende contracten). Er wordt voor gezorgd dat het niveau van de besparing op primaire energie op het niveau van het programma ten minste 30 % bedraagt. Ondersteuning van gasgestookte ketels wordt ingezet in overeenstemming met de technische richtsnoeren van de Commissie inzake het beginsel „geen ernstige afbreuk doen aan ernstige afbreuk doen” (2021/C58/021). Bovendien moet ervoor worden gezorgd dat gasgestookte ketels niet meer dan 20 % uitmaken van het totale aantal warmtebronvervangingen in het kader van deze maatregel.</w:t>
            </w:r>
          </w:p>
        </w:tc>
      </w:tr>
      <w:tr w:rsidR="00480F1C" w14:paraId="7770B4D0" w14:textId="77777777">
        <w:trPr>
          <w:trHeight w:val="397"/>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A9150B4" w14:textId="41778DD3"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B13G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FA8DBE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B1.1.3 Thermische modernisering van scholen </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E82901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7B7250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Thermogemoderniseerde gebouwen van onderwijsinstellingen (met ondertekende contracten)</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95EB6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6FD2E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E6EE343"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A9237AB" w14:textId="1063F105"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 xml:space="preserve">250 </w:t>
            </w:r>
          </w:p>
          <w:p w14:paraId="70BD4DD7" w14:textId="6C532B6D"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D92D72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E5F67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5A200D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 gebouwen van onderwijsinstellingen dat wordt ondersteund voor investeringen in energiemodernisering en/of met toepassing van moderne installatieoplossingen, waaronder: hernieuwbare energiebronnen en aanpassing van de functies, installaties en technische systemen van de gebouwen aan de huidige voorschriften van de toepasselijke wetgeving. De uitgevoerde investeringen moeten energiebesparingen op het niveau van het gehele investeringsprogramma van ten minste 30 % mogelijk maken.</w:t>
            </w:r>
          </w:p>
        </w:tc>
      </w:tr>
      <w:tr w:rsidR="00480F1C" w14:paraId="1A60AA79" w14:textId="77777777">
        <w:trPr>
          <w:trHeight w:val="836"/>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E240B06" w14:textId="2288A2BC"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B14G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F4C37C2" w14:textId="3075679A"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B1.1.4 Versterking van de energie-efficiëntie van lokale voorzieningen voor sociale activiteit</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6828A4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32741C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Voorzieningen voor sociale activiteit met vervanging van inefficiënte vastebrandstofwarmtebronnen naar moderne warmtebronnen die voldoen aan de DNSH-vereisten</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AA258D8"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4AF7EF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EFDDCA"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C375A7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21</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BC2A4F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71F6154"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AABB907" w14:textId="4D2291D2"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 faciliteiten voor sociale activiteit die inefficiënte warmtebronnen op vaste brandstoffen hebben vervangen door moderne warmtebronnen die voldoen aan de DNSH-vereisten (in het kader van ondertekende contracten). De uitgevoerde investeringen zorgen voor energiebesparingen op het niveau van het gehele investeringsprogramma van ten minste 30 %.</w:t>
            </w:r>
          </w:p>
          <w:p w14:paraId="2BAB6ED8" w14:textId="6D96D9B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Bovendien moet ervoor worden gezorgd dat gasgestookte ketels niet meer dan 20 % uitmaken van het totale aantal warmtebronvervangingen in het kader van deze maatregel.</w:t>
            </w:r>
          </w:p>
        </w:tc>
      </w:tr>
      <w:tr w:rsidR="00480F1C" w14:paraId="1EF8C732" w14:textId="77777777">
        <w:trPr>
          <w:trHeight w:val="2287"/>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C30BB71" w14:textId="6ED7B9EC"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B15G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A67035" w14:textId="5E798A5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B1.1.4 Versterking van de energie-efficiëntie van lokale voorzieningen voor sociale activiteit</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FDFBC4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41CBB3D" w14:textId="545B6479"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Thermogemoderniseerde voorzieningen voor sociale activiteit</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FFBD3EC"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350C4A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Aantal </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24370D3"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63C344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85</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081CEB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064180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246B7A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 thermogemoderniseerde gemeenschapsvoorzieningen (bibliotheken en gemeenschapscentra).</w:t>
            </w:r>
          </w:p>
          <w:p w14:paraId="7B888D8E" w14:textId="7708C802"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De uitgevoerde investeringen zorgen voor energiebesparingen op het niveau van het gehele investeringsprogramma van ten minste 30 %.</w:t>
            </w:r>
            <w:r>
              <w:rPr>
                <w:noProof/>
              </w:rPr>
              <w:t xml:space="preserve"> </w:t>
            </w:r>
            <w:r>
              <w:rPr>
                <w:noProof/>
              </w:rPr>
              <w:br/>
            </w:r>
            <w:r>
              <w:rPr>
                <w:rFonts w:ascii="Times New Roman" w:hAnsi="Times New Roman"/>
                <w:noProof/>
                <w:color w:val="000000" w:themeColor="text1"/>
                <w:sz w:val="18"/>
              </w:rPr>
              <w:t>Ondersteuning van gasgestookte ketels wordt ingezet in overeenstemming met de technische richtsnoeren van de Commissie inzake het beginsel „geen ernstige afbreuk doen aan ernstige afbreuk doen” (2021/C58/021). Bovendien moet ervoor worden gezorgd dat gasgestookte ketels niet meer dan 20 % uitmaken van het totale aantal warmtebronvervangingen in het kader van deze maatregel.</w:t>
            </w:r>
          </w:p>
        </w:tc>
      </w:tr>
      <w:tr w:rsidR="00480F1C" w14:paraId="7352B0F9"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D3E6FDD" w14:textId="6504725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B16G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F6D3EC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B2.1 Verbetering van de voorwaarden voor de ontwikkeling van waterstoftechnologieën en andere koolstofvrije gassen</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7A3352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Mijlpaal  </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D17C4B3" w14:textId="74D8E9A2"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handelingen tot wijziging van de wetgevingshandelingen voor waterstof als alternatieve brandstof voor vervoer</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9FD2C13" w14:textId="6C71C75E"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Bepalingen in de wijzigingswetgevingshandelingen die de inwerkingtreding ervan aangeven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C8DC4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A826EB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8033C0"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86F1C1C"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A71354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2021</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E93ABA3" w14:textId="62BFD20E"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1. Wijziging van de Elektromobiliteitswet (11 januari 2018; Dz. U. z 2018 r. poz. 317) introduceert de definities voor de infrastructuur voor het tanken van waterstof; de algemene veiligheids- en technische voorschriften voor de tankstations vaststellen (overeenkomstig de richtlijn infrastructuur voor alternatieve brandstoffen) en de procedures en bevoegde instanties vaststellen die relevant zijn voor de inspectie van deze infrastructuur.</w:t>
            </w:r>
            <w:r>
              <w:rPr>
                <w:noProof/>
              </w:rPr>
              <w:t xml:space="preserve"> </w:t>
            </w:r>
            <w:r>
              <w:rPr>
                <w:noProof/>
              </w:rPr>
              <w:br/>
            </w:r>
            <w:r>
              <w:rPr>
                <w:rFonts w:ascii="Times New Roman" w:hAnsi="Times New Roman"/>
                <w:noProof/>
                <w:color w:val="000000" w:themeColor="text1"/>
                <w:sz w:val="18"/>
              </w:rPr>
              <w:t>2. Wijziging van de wet op het systeem van toezicht op en controle van de kwaliteit van brandstoffen (25 augustus 2006; Dz.U. Nr. 169, poz. 1200) voert het begrip waterstof in overeenkomstig de GN-code 2804 10 00 van de gecombineerde nomenclatuur; stelt de procedures vast voor het monitoren en controleren van de kwaliteit van waterstof; bepaalt de bevoegde autoriteiten. Het begrip waterstof moet in overeenstemming zijn met de technische richtsnoeren „geen ernstige afbreuk doen” (2021/C 58/01). De hervorming mag het gebruik en het in de handel brengen van hernieuwbare waterstof niet bemoeilijken dan andere waterstofbronnen. De hervorming is in de eerste plaats gericht op de ontwikkeling van hernieuwbare waterstof of waterstof uit elektrolyse-installaties.</w:t>
            </w:r>
          </w:p>
        </w:tc>
      </w:tr>
      <w:tr w:rsidR="00480F1C" w14:paraId="72837F64"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C1829E2" w14:textId="76A36B1D"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B17G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D26BD5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B2.1 Verbetering van de voorwaarden voor de ontwikkeling van waterstoftechnologieën en andere koolstofvrije gassen</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EC2B41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Mijlpaal  </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80A6590" w14:textId="3084EAC3"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de wet houdende regels voor waterstof</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D70A255" w14:textId="44C66FAC"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wet die de inwerkingtreding ervan aangeeft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049ADF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EF6C42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C718034"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3956E2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2B4D3A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2023</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94CB1FE" w14:textId="76512CD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de wet tot vaststelling van waterstofinfrastructuur en -marktontwerp ter ondersteuning van de marktintroductie van hernieuwbare en koolstofarme waterstof, de integratie van waterstofproductie in andere energiemarkten en bestaande en specifieke infrastructuur die gericht is op het creëren van voorspelbaarheid van de regelgeving voor investeerders en het ondersteunen van het gebruik van hernieuwbare en koolstofarme waterstof. De wet moet in overeenstemming zijn met de technische richtsnoeren „geen ernstige afbreuk doen” (2021/C 58/01). De hervorming mag het gebruik en het in de handel brengen van hernieuwbare waterstof niet bemoeilijken dan andere waterstofbronnen. De hervorming is in de eerste plaats gericht op de ontwikkeling van hernieuwbare waterstof of waterstof uit elektrolyse-installaties. De hervorming moet in overeenstemming zijn met de waterstofstrategie van de EU.</w:t>
            </w:r>
          </w:p>
        </w:tc>
      </w:tr>
      <w:tr w:rsidR="00480F1C" w14:paraId="67F07B05"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863B65F" w14:textId="2333523C"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B18G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56C82E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B2.1.1 Investeringen in waterstof, waterstofproductie, -opslag en -transport</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189AA2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4C6334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Milieuvergunningen afgegeven voor waterstoftankstations</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DC6670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165446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353C90A"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1830EAB"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10</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F43CB5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3</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D02A2F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2023</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EFCE9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 afgegeven milieuvergunningen voor waterstoftankstations.</w:t>
            </w:r>
          </w:p>
        </w:tc>
      </w:tr>
      <w:tr w:rsidR="00480F1C" w14:paraId="181D4F93"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666C624" w14:textId="02E69EF1"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rPr>
            </w:pPr>
            <w:r>
              <w:rPr>
                <w:noProof/>
              </w:rPr>
              <w:t>B19G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220DBDA"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rPr>
            </w:pPr>
            <w:r>
              <w:rPr>
                <w:noProof/>
              </w:rPr>
              <w:t>B2.1.1 Investeringen in waterstof, waterstofproductie, -opslag en -transport</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BC0D578"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rPr>
            </w:pPr>
            <w:r>
              <w:rPr>
                <w:noProof/>
              </w:rPr>
              <w:t>Doel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276AAC"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rPr>
            </w:pPr>
            <w:r>
              <w:rPr>
                <w:noProof/>
              </w:rPr>
              <w:t>Ingebruikneming van waterstoftankstations</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19D5755"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rPr>
            </w:pPr>
            <w:r>
              <w:rPr>
                <w:noProof/>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07A6B66"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rPr>
            </w:pPr>
            <w:r>
              <w:rPr>
                <w:noProof/>
              </w:rPr>
              <w:t>Aantal</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1B12B4" w14:textId="77777777" w:rsidR="00480F1C" w:rsidRDefault="00A201F6">
            <w:pPr>
              <w:pStyle w:val="P68B1DB1-Normal010"/>
              <w:pBdr>
                <w:top w:val="nil"/>
                <w:left w:val="nil"/>
                <w:bottom w:val="nil"/>
                <w:right w:val="nil"/>
                <w:between w:val="nil"/>
              </w:pBdr>
              <w:spacing w:after="0" w:line="240" w:lineRule="auto"/>
              <w:jc w:val="right"/>
              <w:rPr>
                <w:rFonts w:eastAsia="Times New Roman" w:cs="Times New Roman"/>
                <w:noProof/>
              </w:rPr>
            </w:pPr>
            <w:r>
              <w:rPr>
                <w:noProof/>
              </w:rPr>
              <w:t>0</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C203047" w14:textId="00A835C0" w:rsidR="00480F1C" w:rsidRDefault="00A201F6">
            <w:pPr>
              <w:pStyle w:val="P68B1DB1-Normal010"/>
              <w:pBdr>
                <w:top w:val="nil"/>
                <w:left w:val="nil"/>
                <w:bottom w:val="nil"/>
                <w:right w:val="nil"/>
                <w:between w:val="nil"/>
              </w:pBdr>
              <w:spacing w:after="0" w:line="240" w:lineRule="auto"/>
              <w:jc w:val="right"/>
              <w:rPr>
                <w:rFonts w:eastAsia="Times New Roman" w:cs="Times New Roman"/>
                <w:noProof/>
              </w:rPr>
            </w:pPr>
            <w:r>
              <w:rPr>
                <w:noProof/>
              </w:rPr>
              <w:t>14</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7B62A45"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B84253B"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rPr>
            </w:pPr>
            <w:r>
              <w:rPr>
                <w:noProof/>
              </w:rPr>
              <w:t>2026</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C7AA02B" w14:textId="48275589" w:rsidR="00480F1C" w:rsidRDefault="00A201F6">
            <w:pPr>
              <w:pStyle w:val="P68B1DB1-Normal010"/>
              <w:pBdr>
                <w:top w:val="nil"/>
                <w:left w:val="nil"/>
                <w:bottom w:val="nil"/>
                <w:right w:val="nil"/>
                <w:between w:val="nil"/>
              </w:pBdr>
              <w:spacing w:after="0" w:line="240" w:lineRule="auto"/>
              <w:rPr>
                <w:rFonts w:eastAsia="Times New Roman" w:cs="Times New Roman"/>
                <w:noProof/>
              </w:rPr>
            </w:pPr>
            <w:r>
              <w:rPr>
                <w:noProof/>
              </w:rPr>
              <w:t>Aantal waterstoftankstations, met inbegrip van het bunkeren van waterstof dat toegankelijk is voor het publiek, als onderdeel van een geïntegreerde beleidsaanpak waarin prioriteit wordt gegeven aan hernieuwbare waterstof en in overeenstemming met de technische richtsnoeren „geen ernstige afbreuk doen” (2021/C 58/01). Het bunkeren staat open voor alle waterstofbronnen en de hoeveelheid gebunkerde grijze waterstof neemt in de loop der tijd af.</w:t>
            </w:r>
          </w:p>
        </w:tc>
      </w:tr>
      <w:tr w:rsidR="00480F1C" w14:paraId="50268BDB"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9F24933" w14:textId="646C408A"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B20G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19A7F1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B2.1.1 Investeringen in waterstof, waterstofproductie, -opslag en -transport</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4C2BBA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898379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Onderzoeks- en innovatieprojecten op het gebied van innovatieve door waterstof aangedreven vervoerseenheden </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4EBECA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6DB42B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EC6149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8D9363B"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3</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A0931A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E23C7F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CC20F27" w14:textId="5A759C86"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Aantal ontwikkelde innovatieve projecten op het gebied van door waterstof aangedreven transporteenheden. Het project ondersteunt ten minste de ontwikkeling, bouw en implementatie van innovatieve vervoerseenheden op waterstof (zoals voornamelijk voertuigen/vaartuigen/treinen en andere eenheden die gebruikmaken van spoorwegen/bussen/vliegtuigen). De investering ondersteunt en ontwikkelt het Poolse potentieel voor</w:t>
            </w:r>
            <w:r>
              <w:rPr>
                <w:rFonts w:ascii="Times New Roman" w:hAnsi="Times New Roman"/>
                <w:noProof/>
                <w:sz w:val="18"/>
              </w:rPr>
              <w:t xml:space="preserve"> </w:t>
            </w:r>
            <w:r>
              <w:rPr>
                <w:rFonts w:ascii="Times New Roman" w:hAnsi="Times New Roman"/>
                <w:noProof/>
                <w:color w:val="000000" w:themeColor="text1"/>
                <w:sz w:val="18"/>
              </w:rPr>
              <w:t>duurzaam vervoer.  De investeringen omvatten een breed scala aan activiteiten voor het bevorderen, testen en demonstreren van verschillende soorten transporteenheden voor waterstofcellen. Het heeft zowel betrekking op de bouw van nieuwe als op de aanpassing van bestaande eenheden.</w:t>
            </w:r>
            <w:r>
              <w:rPr>
                <w:noProof/>
              </w:rPr>
              <w:t xml:space="preserve"> </w:t>
            </w:r>
            <w:r>
              <w:rPr>
                <w:noProof/>
              </w:rPr>
              <w:br/>
            </w:r>
            <w:r>
              <w:rPr>
                <w:rFonts w:ascii="Times New Roman" w:hAnsi="Times New Roman"/>
                <w:noProof/>
                <w:color w:val="000000" w:themeColor="text1"/>
                <w:sz w:val="18"/>
              </w:rPr>
              <w:t>De projecten moeten voldoen aan de technische richtsnoeren „geen ernstige afbreuk doen” (2021/C 58/01 Vervoerseenheden mogen niet bestemd zijn voor het vervoer van fossiele brandstoffen.</w:t>
            </w:r>
          </w:p>
        </w:tc>
      </w:tr>
      <w:tr w:rsidR="00480F1C" w14:paraId="2FDC430E"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98B0FB8" w14:textId="3E1BDDCF"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B21aG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6E70E23" w14:textId="39BC0716"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B2.1.1 Investeringen in waterstof, waterstofproductie, -opslag en -transport</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9163E24" w14:textId="6564ED0D"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Mijlpaal  </w:t>
            </w:r>
          </w:p>
        </w:tc>
        <w:tc>
          <w:tcPr>
            <w:tcW w:w="1895" w:type="dxa"/>
            <w:tcBorders>
              <w:top w:val="single" w:sz="6" w:space="0" w:color="auto"/>
              <w:left w:val="single" w:sz="6" w:space="0" w:color="auto"/>
              <w:bottom w:val="single" w:sz="6" w:space="0" w:color="auto"/>
              <w:right w:val="single" w:sz="6" w:space="0" w:color="auto"/>
            </w:tcBorders>
            <w:shd w:val="clear" w:color="auto" w:fill="C6EFCE"/>
          </w:tcPr>
          <w:p w14:paraId="755AB45B" w14:textId="79DEF153"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Style w:val="normaltextrun"/>
                <w:rFonts w:ascii="Times New Roman" w:hAnsi="Times New Roman"/>
                <w:noProof/>
                <w:sz w:val="18"/>
              </w:rPr>
              <w:t xml:space="preserve">Uitwerkingsovereenkomst </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3C5F9A0" w14:textId="4539D8F6"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Inwerkingtreding van de uitvoeringsovereenkomst</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D063EA0"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39D4F41"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4F61CE5"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898" w:type="dxa"/>
            <w:tcBorders>
              <w:top w:val="single" w:sz="6" w:space="0" w:color="auto"/>
              <w:left w:val="single" w:sz="6" w:space="0" w:color="auto"/>
              <w:bottom w:val="single" w:sz="6" w:space="0" w:color="auto"/>
              <w:right w:val="single" w:sz="6" w:space="0" w:color="auto"/>
            </w:tcBorders>
            <w:shd w:val="clear" w:color="auto" w:fill="C6EFCE"/>
          </w:tcPr>
          <w:p w14:paraId="30BF6472" w14:textId="6AAF25F3"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noProof/>
                <w:color w:val="000000"/>
                <w:sz w:val="18"/>
              </w:rPr>
            </w:pPr>
            <w:r>
              <w:rPr>
                <w:rStyle w:val="normaltextrun"/>
                <w:rFonts w:ascii="Times New Roman" w:hAnsi="Times New Roman"/>
                <w:noProof/>
                <w:sz w:val="18"/>
              </w:rPr>
              <w:t xml:space="preserve">KWARTAAL 2 </w:t>
            </w:r>
          </w:p>
        </w:tc>
        <w:tc>
          <w:tcPr>
            <w:tcW w:w="691" w:type="dxa"/>
            <w:tcBorders>
              <w:top w:val="single" w:sz="6" w:space="0" w:color="auto"/>
              <w:left w:val="single" w:sz="6" w:space="0" w:color="auto"/>
              <w:bottom w:val="single" w:sz="6" w:space="0" w:color="auto"/>
              <w:right w:val="single" w:sz="6" w:space="0" w:color="auto"/>
            </w:tcBorders>
            <w:shd w:val="clear" w:color="auto" w:fill="C6EFCE"/>
          </w:tcPr>
          <w:p w14:paraId="397D286E" w14:textId="5C4FDB7A"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noProof/>
                <w:color w:val="000000"/>
                <w:sz w:val="18"/>
              </w:rPr>
            </w:pPr>
            <w:r>
              <w:rPr>
                <w:rStyle w:val="normaltextrun"/>
                <w:rFonts w:ascii="Times New Roman" w:hAnsi="Times New Roman"/>
                <w:noProof/>
                <w:sz w:val="18"/>
              </w:rPr>
              <w:t xml:space="preserve">2024 </w:t>
            </w:r>
          </w:p>
        </w:tc>
        <w:tc>
          <w:tcPr>
            <w:tcW w:w="3261" w:type="dxa"/>
            <w:tcBorders>
              <w:top w:val="single" w:sz="6" w:space="0" w:color="auto"/>
              <w:left w:val="single" w:sz="6" w:space="0" w:color="auto"/>
              <w:bottom w:val="single" w:sz="6" w:space="0" w:color="auto"/>
              <w:right w:val="single" w:sz="6" w:space="0" w:color="auto"/>
            </w:tcBorders>
            <w:shd w:val="clear" w:color="auto" w:fill="C6EFCE"/>
          </w:tcPr>
          <w:p w14:paraId="1184D496" w14:textId="7EA3CF5A"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Style w:val="normaltextrun"/>
                <w:rFonts w:ascii="Times New Roman" w:hAnsi="Times New Roman"/>
                <w:noProof/>
                <w:sz w:val="18"/>
              </w:rPr>
              <w:t xml:space="preserve">Inwerkingtreding van de uitvoeringsovereenkomst. </w:t>
            </w:r>
          </w:p>
        </w:tc>
      </w:tr>
      <w:tr w:rsidR="00480F1C" w14:paraId="39AC9F6C"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4FDDDAE" w14:textId="50CE40CC"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B21bG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A2E3D8B" w14:textId="5B337B0A"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B2.1.1 Investeringen in waterstof, waterstofproductie, -opslag en -transport</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AFBD576" w14:textId="340F393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95" w:type="dxa"/>
            <w:tcBorders>
              <w:top w:val="single" w:sz="6" w:space="0" w:color="auto"/>
              <w:left w:val="single" w:sz="6" w:space="0" w:color="auto"/>
              <w:bottom w:val="single" w:sz="6" w:space="0" w:color="auto"/>
              <w:right w:val="single" w:sz="6" w:space="0" w:color="auto"/>
            </w:tcBorders>
            <w:shd w:val="clear" w:color="auto" w:fill="C6EFCE"/>
          </w:tcPr>
          <w:p w14:paraId="3A38F326" w14:textId="78DCFD5A"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Style w:val="normaltextrun"/>
                <w:rFonts w:ascii="Times New Roman" w:hAnsi="Times New Roman"/>
                <w:noProof/>
                <w:sz w:val="18"/>
              </w:rPr>
              <w:t xml:space="preserve">Juridische overeenkomsten met eindbegunstigden </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5D4C622"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EC1CB36" w14:textId="60428504"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Percentages</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B9DADAF"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B1CEEF6" w14:textId="62175F02"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50 %</w:t>
            </w:r>
          </w:p>
        </w:tc>
        <w:tc>
          <w:tcPr>
            <w:tcW w:w="898" w:type="dxa"/>
            <w:tcBorders>
              <w:top w:val="single" w:sz="6" w:space="0" w:color="auto"/>
              <w:left w:val="single" w:sz="6" w:space="0" w:color="auto"/>
              <w:bottom w:val="single" w:sz="6" w:space="0" w:color="auto"/>
              <w:right w:val="single" w:sz="6" w:space="0" w:color="auto"/>
            </w:tcBorders>
            <w:shd w:val="clear" w:color="auto" w:fill="C6EFCE"/>
          </w:tcPr>
          <w:p w14:paraId="00082BC9" w14:textId="6D56AF72"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noProof/>
                <w:color w:val="000000"/>
                <w:sz w:val="18"/>
              </w:rPr>
            </w:pPr>
            <w:r>
              <w:rPr>
                <w:rStyle w:val="normaltextrun"/>
                <w:rFonts w:ascii="Times New Roman" w:hAnsi="Times New Roman"/>
                <w:noProof/>
                <w:sz w:val="18"/>
              </w:rPr>
              <w:t xml:space="preserve">KWARTAAL 2 </w:t>
            </w:r>
          </w:p>
        </w:tc>
        <w:tc>
          <w:tcPr>
            <w:tcW w:w="691" w:type="dxa"/>
            <w:tcBorders>
              <w:top w:val="single" w:sz="6" w:space="0" w:color="auto"/>
              <w:left w:val="single" w:sz="6" w:space="0" w:color="auto"/>
              <w:bottom w:val="single" w:sz="6" w:space="0" w:color="auto"/>
              <w:right w:val="single" w:sz="6" w:space="0" w:color="auto"/>
            </w:tcBorders>
            <w:shd w:val="clear" w:color="auto" w:fill="C6EFCE"/>
          </w:tcPr>
          <w:p w14:paraId="54847E62" w14:textId="31959D14"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noProof/>
                <w:color w:val="000000"/>
                <w:sz w:val="18"/>
              </w:rPr>
            </w:pPr>
            <w:r>
              <w:rPr>
                <w:rStyle w:val="normaltextrun"/>
                <w:rFonts w:ascii="Times New Roman" w:hAnsi="Times New Roman"/>
                <w:noProof/>
                <w:sz w:val="18"/>
              </w:rPr>
              <w:t xml:space="preserve">2025 </w:t>
            </w:r>
          </w:p>
        </w:tc>
        <w:tc>
          <w:tcPr>
            <w:tcW w:w="3261" w:type="dxa"/>
            <w:tcBorders>
              <w:top w:val="single" w:sz="6" w:space="0" w:color="auto"/>
              <w:left w:val="single" w:sz="6" w:space="0" w:color="auto"/>
              <w:bottom w:val="single" w:sz="6" w:space="0" w:color="auto"/>
              <w:right w:val="single" w:sz="6" w:space="0" w:color="auto"/>
            </w:tcBorders>
            <w:shd w:val="clear" w:color="auto" w:fill="C6EFCE"/>
          </w:tcPr>
          <w:p w14:paraId="3B2D7063" w14:textId="4E6D3AD7" w:rsidR="00480F1C" w:rsidRDefault="00A201F6">
            <w:pPr>
              <w:pStyle w:val="Normal0"/>
              <w:pBdr>
                <w:top w:val="nil"/>
                <w:left w:val="nil"/>
                <w:bottom w:val="nil"/>
                <w:right w:val="nil"/>
                <w:between w:val="nil"/>
              </w:pBdr>
              <w:spacing w:after="0" w:line="240" w:lineRule="auto"/>
              <w:rPr>
                <w:rStyle w:val="normaltextrun"/>
                <w:rFonts w:ascii="Times New Roman" w:eastAsia="Times New Roman" w:hAnsi="Times New Roman" w:cs="Times New Roman"/>
                <w:noProof/>
                <w:sz w:val="18"/>
              </w:rPr>
            </w:pPr>
            <w:r>
              <w:rPr>
                <w:rStyle w:val="normaltextrun"/>
                <w:rFonts w:ascii="Times New Roman" w:hAnsi="Times New Roman"/>
                <w:noProof/>
                <w:sz w:val="18"/>
              </w:rPr>
              <w:t>BGK moet juridische subsidieovereenkomsten met eindbegunstigden hebben gesloten voor een bedrag dat nodig is om ten minste 50 % van de RRF-investering in de</w:t>
            </w:r>
            <w:r>
              <w:rPr>
                <w:rStyle w:val="normaltextrun"/>
                <w:rFonts w:ascii="Times New Roman" w:hAnsi="Times New Roman"/>
                <w:noProof/>
                <w:color w:val="881798"/>
                <w:sz w:val="18"/>
                <w:u w:val="single"/>
              </w:rPr>
              <w:t xml:space="preserve"> </w:t>
            </w:r>
            <w:r>
              <w:rPr>
                <w:rStyle w:val="normaltextrun"/>
                <w:rFonts w:ascii="Times New Roman" w:hAnsi="Times New Roman"/>
                <w:noProof/>
                <w:sz w:val="18"/>
              </w:rPr>
              <w:t>regeling te</w:t>
            </w:r>
            <w:r>
              <w:rPr>
                <w:rStyle w:val="normaltextrun"/>
                <w:rFonts w:ascii="Times New Roman" w:hAnsi="Times New Roman"/>
                <w:noProof/>
                <w:color w:val="0078D4"/>
                <w:sz w:val="18"/>
                <w:u w:val="single"/>
              </w:rPr>
              <w:t xml:space="preserve"> </w:t>
            </w:r>
            <w:r>
              <w:rPr>
                <w:rStyle w:val="normaltextrun"/>
                <w:rFonts w:ascii="Times New Roman" w:hAnsi="Times New Roman"/>
                <w:noProof/>
                <w:sz w:val="18"/>
              </w:rPr>
              <w:t xml:space="preserve">gebruiken (rekening houdend met beheerskosten). </w:t>
            </w:r>
          </w:p>
          <w:p w14:paraId="79F15090"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tc>
      </w:tr>
      <w:tr w:rsidR="00480F1C" w14:paraId="28175694"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E274E1" w14:textId="511924C1"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 xml:space="preserve">B21cG </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4AAB607" w14:textId="4CA3E830" w:rsidR="00480F1C" w:rsidRDefault="00A201F6">
            <w:pPr>
              <w:pStyle w:val="P68B1DB1-Normal010"/>
              <w:pBdr>
                <w:top w:val="nil"/>
                <w:left w:val="nil"/>
                <w:bottom w:val="nil"/>
                <w:right w:val="nil"/>
                <w:between w:val="nil"/>
              </w:pBdr>
              <w:spacing w:after="0" w:line="240" w:lineRule="auto"/>
              <w:rPr>
                <w:rFonts w:eastAsia="Times New Roman" w:cs="Times New Roman"/>
                <w:noProof/>
                <w:color w:val="000000"/>
              </w:rPr>
            </w:pPr>
            <w:r>
              <w:rPr>
                <w:noProof/>
              </w:rPr>
              <w:t xml:space="preserve">B2.1.1 Investeringen in waterstof, waterstofproductie, -opslag en -transport </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415FFAA" w14:textId="470F5EBE" w:rsidR="00480F1C" w:rsidRDefault="00A201F6">
            <w:pPr>
              <w:pStyle w:val="P68B1DB1-Normal010"/>
              <w:pBdr>
                <w:top w:val="nil"/>
                <w:left w:val="nil"/>
                <w:bottom w:val="nil"/>
                <w:right w:val="nil"/>
                <w:between w:val="nil"/>
              </w:pBdr>
              <w:spacing w:after="0" w:line="240" w:lineRule="auto"/>
              <w:rPr>
                <w:rFonts w:eastAsia="Times New Roman" w:cs="Times New Roman"/>
                <w:noProof/>
                <w:color w:val="000000"/>
              </w:rPr>
            </w:pPr>
            <w:r>
              <w:rPr>
                <w:noProof/>
              </w:rPr>
              <w:t xml:space="preserve">Mijlpaal   </w:t>
            </w:r>
          </w:p>
        </w:tc>
        <w:tc>
          <w:tcPr>
            <w:tcW w:w="1895" w:type="dxa"/>
            <w:tcBorders>
              <w:top w:val="single" w:sz="6" w:space="0" w:color="auto"/>
              <w:left w:val="single" w:sz="6" w:space="0" w:color="auto"/>
              <w:bottom w:val="single" w:sz="6" w:space="0" w:color="auto"/>
              <w:right w:val="single" w:sz="6" w:space="0" w:color="auto"/>
            </w:tcBorders>
            <w:shd w:val="clear" w:color="auto" w:fill="C6EFCE"/>
          </w:tcPr>
          <w:p w14:paraId="4AFDDD6C" w14:textId="33B268AE" w:rsidR="00480F1C" w:rsidRDefault="00A201F6">
            <w:pPr>
              <w:pStyle w:val="P68B1DB1-Normal010"/>
              <w:pBdr>
                <w:top w:val="nil"/>
                <w:left w:val="nil"/>
                <w:bottom w:val="nil"/>
                <w:right w:val="nil"/>
                <w:between w:val="nil"/>
              </w:pBdr>
              <w:spacing w:after="0" w:line="240" w:lineRule="auto"/>
              <w:rPr>
                <w:rStyle w:val="normaltextrun"/>
                <w:rFonts w:cs="Times New Roman"/>
                <w:noProof/>
              </w:rPr>
            </w:pPr>
            <w:r>
              <w:rPr>
                <w:noProof/>
              </w:rPr>
              <w:t xml:space="preserve">Het ministerie heeft 50 % van de investering voltooid  </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82448B6" w14:textId="5E66A3E4" w:rsidR="00480F1C" w:rsidRDefault="00A201F6">
            <w:pPr>
              <w:pStyle w:val="P68B1DB1-Normal010"/>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Overdrachtscertificaat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30624BD"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DBC5075"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C6784A0"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themeColor="text1"/>
                <w:sz w:val="18"/>
              </w:rPr>
            </w:pPr>
          </w:p>
        </w:tc>
        <w:tc>
          <w:tcPr>
            <w:tcW w:w="898" w:type="dxa"/>
            <w:tcBorders>
              <w:top w:val="single" w:sz="6" w:space="0" w:color="auto"/>
              <w:left w:val="single" w:sz="6" w:space="0" w:color="auto"/>
              <w:bottom w:val="single" w:sz="6" w:space="0" w:color="auto"/>
              <w:right w:val="single" w:sz="6" w:space="0" w:color="auto"/>
            </w:tcBorders>
            <w:shd w:val="clear" w:color="auto" w:fill="C6EFCE"/>
          </w:tcPr>
          <w:p w14:paraId="3A57CC16" w14:textId="22AA4303" w:rsidR="00480F1C" w:rsidRDefault="00A201F6">
            <w:pPr>
              <w:pStyle w:val="P68B1DB1-Normal010"/>
              <w:pBdr>
                <w:top w:val="nil"/>
                <w:left w:val="nil"/>
                <w:bottom w:val="nil"/>
                <w:right w:val="nil"/>
                <w:between w:val="nil"/>
              </w:pBdr>
              <w:spacing w:after="0" w:line="240" w:lineRule="auto"/>
              <w:jc w:val="center"/>
              <w:rPr>
                <w:rStyle w:val="normaltextrun"/>
                <w:rFonts w:eastAsia="Times New Roman" w:cs="Times New Roman"/>
                <w:noProof/>
              </w:rPr>
            </w:pPr>
            <w:r>
              <w:rPr>
                <w:noProof/>
              </w:rPr>
              <w:t xml:space="preserve">KWARTAAL 2  </w:t>
            </w:r>
          </w:p>
        </w:tc>
        <w:tc>
          <w:tcPr>
            <w:tcW w:w="691" w:type="dxa"/>
            <w:tcBorders>
              <w:top w:val="single" w:sz="6" w:space="0" w:color="auto"/>
              <w:left w:val="single" w:sz="6" w:space="0" w:color="auto"/>
              <w:bottom w:val="single" w:sz="6" w:space="0" w:color="auto"/>
              <w:right w:val="single" w:sz="6" w:space="0" w:color="auto"/>
            </w:tcBorders>
            <w:shd w:val="clear" w:color="auto" w:fill="C6EFCE"/>
          </w:tcPr>
          <w:p w14:paraId="553D394A" w14:textId="78D9941E" w:rsidR="00480F1C" w:rsidRDefault="00A201F6">
            <w:pPr>
              <w:pStyle w:val="P68B1DB1-Normal010"/>
              <w:pBdr>
                <w:top w:val="nil"/>
                <w:left w:val="nil"/>
                <w:bottom w:val="nil"/>
                <w:right w:val="nil"/>
                <w:between w:val="nil"/>
              </w:pBdr>
              <w:spacing w:after="0" w:line="240" w:lineRule="auto"/>
              <w:jc w:val="center"/>
              <w:rPr>
                <w:rStyle w:val="normaltextrun"/>
                <w:rFonts w:eastAsia="Times New Roman" w:cs="Times New Roman"/>
                <w:noProof/>
              </w:rPr>
            </w:pPr>
            <w:r>
              <w:rPr>
                <w:noProof/>
              </w:rPr>
              <w:t xml:space="preserve">2025 </w:t>
            </w:r>
          </w:p>
        </w:tc>
        <w:tc>
          <w:tcPr>
            <w:tcW w:w="3261" w:type="dxa"/>
            <w:tcBorders>
              <w:top w:val="single" w:sz="6" w:space="0" w:color="auto"/>
              <w:left w:val="single" w:sz="6" w:space="0" w:color="auto"/>
              <w:bottom w:val="single" w:sz="6" w:space="0" w:color="auto"/>
              <w:right w:val="single" w:sz="6" w:space="0" w:color="auto"/>
            </w:tcBorders>
            <w:shd w:val="clear" w:color="auto" w:fill="C6EFCE"/>
          </w:tcPr>
          <w:p w14:paraId="28CBA8CC" w14:textId="4E142E6C" w:rsidR="00480F1C" w:rsidRDefault="00A201F6">
            <w:pPr>
              <w:pStyle w:val="P68B1DB1-Normal010"/>
              <w:pBdr>
                <w:top w:val="nil"/>
                <w:left w:val="nil"/>
                <w:bottom w:val="nil"/>
                <w:right w:val="nil"/>
                <w:between w:val="nil"/>
              </w:pBdr>
              <w:spacing w:after="0" w:line="240" w:lineRule="auto"/>
              <w:rPr>
                <w:rStyle w:val="normaltextrun"/>
                <w:rFonts w:eastAsia="Times New Roman" w:cs="Times New Roman"/>
                <w:noProof/>
              </w:rPr>
            </w:pPr>
            <w:r>
              <w:rPr>
                <w:noProof/>
              </w:rPr>
              <w:t>Polen draagt 320 miljoen EUR over aan BGK voor de regeling. </w:t>
            </w:r>
          </w:p>
        </w:tc>
      </w:tr>
      <w:tr w:rsidR="00480F1C" w14:paraId="38F6A9B6" w14:textId="77777777">
        <w:trPr>
          <w:trHeight w:val="1365"/>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7C58D73" w14:textId="14E6976B"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B21DG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0D05AC2" w14:textId="140EAB48"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B2.1.1 Investeringen in waterstof, waterstofproductie, -opslag en -transport</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436801E" w14:textId="27652606"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95" w:type="dxa"/>
            <w:tcBorders>
              <w:top w:val="single" w:sz="6" w:space="0" w:color="auto"/>
              <w:left w:val="single" w:sz="6" w:space="0" w:color="auto"/>
              <w:bottom w:val="single" w:sz="6" w:space="0" w:color="auto"/>
              <w:right w:val="single" w:sz="6" w:space="0" w:color="auto"/>
            </w:tcBorders>
            <w:shd w:val="clear" w:color="auto" w:fill="C6EFCE"/>
          </w:tcPr>
          <w:p w14:paraId="69DDEF37" w14:textId="50F05DCE"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Style w:val="normaltextrun"/>
                <w:rFonts w:ascii="Times New Roman" w:hAnsi="Times New Roman"/>
                <w:noProof/>
                <w:sz w:val="18"/>
              </w:rPr>
              <w:t xml:space="preserve">Juridische overeenkomsten met eindbegunstigden </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22EF59D"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E913956" w14:textId="2147B1E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Percentages</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4518605" w14:textId="20A5CE04"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50</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68F15E7" w14:textId="1F8F8AA0"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100 %</w:t>
            </w:r>
          </w:p>
        </w:tc>
        <w:tc>
          <w:tcPr>
            <w:tcW w:w="898" w:type="dxa"/>
            <w:tcBorders>
              <w:top w:val="single" w:sz="6" w:space="0" w:color="auto"/>
              <w:left w:val="single" w:sz="6" w:space="0" w:color="auto"/>
              <w:bottom w:val="single" w:sz="6" w:space="0" w:color="auto"/>
              <w:right w:val="single" w:sz="6" w:space="0" w:color="auto"/>
            </w:tcBorders>
            <w:shd w:val="clear" w:color="auto" w:fill="C6EFCE"/>
          </w:tcPr>
          <w:p w14:paraId="7A481F92" w14:textId="4F5BC3A3"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noProof/>
                <w:color w:val="000000"/>
                <w:sz w:val="18"/>
              </w:rPr>
            </w:pPr>
            <w:r>
              <w:rPr>
                <w:rStyle w:val="normaltextrun"/>
                <w:rFonts w:ascii="Times New Roman" w:hAnsi="Times New Roman"/>
                <w:noProof/>
                <w:sz w:val="18"/>
              </w:rPr>
              <w:t xml:space="preserve">KWARTAAL 1 </w:t>
            </w:r>
          </w:p>
        </w:tc>
        <w:tc>
          <w:tcPr>
            <w:tcW w:w="691" w:type="dxa"/>
            <w:tcBorders>
              <w:top w:val="single" w:sz="6" w:space="0" w:color="auto"/>
              <w:left w:val="single" w:sz="6" w:space="0" w:color="auto"/>
              <w:bottom w:val="single" w:sz="6" w:space="0" w:color="auto"/>
              <w:right w:val="single" w:sz="6" w:space="0" w:color="auto"/>
            </w:tcBorders>
            <w:shd w:val="clear" w:color="auto" w:fill="C6EFCE"/>
          </w:tcPr>
          <w:p w14:paraId="3BF03061" w14:textId="0E6D215B"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noProof/>
                <w:color w:val="000000"/>
                <w:sz w:val="18"/>
              </w:rPr>
            </w:pPr>
            <w:r>
              <w:rPr>
                <w:rStyle w:val="normaltextrun"/>
                <w:rFonts w:ascii="Times New Roman" w:hAnsi="Times New Roman"/>
                <w:noProof/>
                <w:sz w:val="18"/>
              </w:rPr>
              <w:t xml:space="preserve">2026 </w:t>
            </w:r>
          </w:p>
        </w:tc>
        <w:tc>
          <w:tcPr>
            <w:tcW w:w="3261" w:type="dxa"/>
            <w:tcBorders>
              <w:top w:val="single" w:sz="6" w:space="0" w:color="auto"/>
              <w:left w:val="single" w:sz="6" w:space="0" w:color="auto"/>
              <w:bottom w:val="single" w:sz="6" w:space="0" w:color="auto"/>
              <w:right w:val="single" w:sz="6" w:space="0" w:color="auto"/>
            </w:tcBorders>
            <w:shd w:val="clear" w:color="auto" w:fill="C6EFCE"/>
          </w:tcPr>
          <w:p w14:paraId="087CDB53" w14:textId="6623337F"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Style w:val="normaltextrun"/>
                <w:rFonts w:ascii="Times New Roman" w:hAnsi="Times New Roman"/>
                <w:noProof/>
                <w:sz w:val="18"/>
              </w:rPr>
              <w:t xml:space="preserve">BGK moet juridische subsidieovereenkomsten met eindbegunstigden hebben gesloten voor een bedrag dat nodig is om 100 % van de RRF-investering in de regeling te gebruiken (rekening houdend met beheerskosten). </w:t>
            </w:r>
          </w:p>
        </w:tc>
      </w:tr>
      <w:tr w:rsidR="00480F1C" w14:paraId="0EA8CA53"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6E13E1C" w14:textId="18DFC2C0"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B21EG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A187218" w14:textId="6515BAE1"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B2.1.1 Investeringen in waterstof, waterstofproductie, -opslag en -transport</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6DDC5DC" w14:textId="7CE1D479"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Mijlpaal  </w:t>
            </w:r>
          </w:p>
        </w:tc>
        <w:tc>
          <w:tcPr>
            <w:tcW w:w="1895" w:type="dxa"/>
            <w:tcBorders>
              <w:top w:val="single" w:sz="6" w:space="0" w:color="auto"/>
              <w:left w:val="single" w:sz="6" w:space="0" w:color="auto"/>
              <w:bottom w:val="single" w:sz="6" w:space="0" w:color="auto"/>
              <w:right w:val="single" w:sz="6" w:space="0" w:color="auto"/>
            </w:tcBorders>
            <w:shd w:val="clear" w:color="auto" w:fill="C6EFCE"/>
          </w:tcPr>
          <w:p w14:paraId="04FC32D0" w14:textId="304B8845"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Style w:val="normaltextrun"/>
                <w:rFonts w:ascii="Times New Roman" w:hAnsi="Times New Roman"/>
                <w:noProof/>
                <w:sz w:val="18"/>
              </w:rPr>
              <w:t xml:space="preserve">Ministerie heeft de investering voltooid </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A35F747" w14:textId="3E34D58A"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Overdrachtscertificaat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35C54F4"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833FFA3"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DE2F8BE"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898" w:type="dxa"/>
            <w:tcBorders>
              <w:top w:val="single" w:sz="6" w:space="0" w:color="auto"/>
              <w:left w:val="single" w:sz="6" w:space="0" w:color="auto"/>
              <w:bottom w:val="single" w:sz="6" w:space="0" w:color="auto"/>
              <w:right w:val="single" w:sz="6" w:space="0" w:color="auto"/>
            </w:tcBorders>
            <w:shd w:val="clear" w:color="auto" w:fill="C6EFCE"/>
          </w:tcPr>
          <w:p w14:paraId="776D5368" w14:textId="18352C72" w:rsidR="00480F1C" w:rsidRDefault="00A201F6">
            <w:pPr>
              <w:pStyle w:val="Normal0"/>
              <w:pBdr>
                <w:top w:val="nil"/>
                <w:left w:val="nil"/>
                <w:bottom w:val="nil"/>
                <w:right w:val="nil"/>
                <w:between w:val="nil"/>
              </w:pBdr>
              <w:spacing w:after="0" w:line="240" w:lineRule="auto"/>
              <w:jc w:val="center"/>
              <w:rPr>
                <w:rStyle w:val="eop"/>
                <w:rFonts w:ascii="Times New Roman" w:eastAsia="Times New Roman" w:hAnsi="Times New Roman" w:cs="Times New Roman"/>
                <w:noProof/>
                <w:sz w:val="18"/>
              </w:rPr>
            </w:pPr>
            <w:r>
              <w:rPr>
                <w:rStyle w:val="normaltextrun"/>
                <w:rFonts w:ascii="Times New Roman" w:hAnsi="Times New Roman"/>
                <w:noProof/>
                <w:sz w:val="18"/>
              </w:rPr>
              <w:t>KWARTAAL 2</w:t>
            </w:r>
          </w:p>
        </w:tc>
        <w:tc>
          <w:tcPr>
            <w:tcW w:w="691" w:type="dxa"/>
            <w:tcBorders>
              <w:top w:val="single" w:sz="6" w:space="0" w:color="auto"/>
              <w:left w:val="single" w:sz="6" w:space="0" w:color="auto"/>
              <w:bottom w:val="single" w:sz="6" w:space="0" w:color="auto"/>
              <w:right w:val="single" w:sz="6" w:space="0" w:color="auto"/>
            </w:tcBorders>
            <w:shd w:val="clear" w:color="auto" w:fill="C6EFCE"/>
          </w:tcPr>
          <w:p w14:paraId="3825BA70" w14:textId="5C718ACB"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noProof/>
                <w:color w:val="000000"/>
                <w:sz w:val="18"/>
              </w:rPr>
            </w:pPr>
            <w:r>
              <w:rPr>
                <w:rStyle w:val="normaltextrun"/>
                <w:rFonts w:ascii="Times New Roman" w:hAnsi="Times New Roman"/>
                <w:noProof/>
                <w:sz w:val="18"/>
              </w:rPr>
              <w:t xml:space="preserve">2026 </w:t>
            </w:r>
          </w:p>
        </w:tc>
        <w:tc>
          <w:tcPr>
            <w:tcW w:w="3261" w:type="dxa"/>
            <w:tcBorders>
              <w:top w:val="single" w:sz="6" w:space="0" w:color="auto"/>
              <w:left w:val="single" w:sz="6" w:space="0" w:color="auto"/>
              <w:bottom w:val="single" w:sz="6" w:space="0" w:color="auto"/>
              <w:right w:val="single" w:sz="6" w:space="0" w:color="auto"/>
            </w:tcBorders>
            <w:shd w:val="clear" w:color="auto" w:fill="C6EFCE"/>
          </w:tcPr>
          <w:p w14:paraId="1A6E25B1" w14:textId="54F64545" w:rsidR="00480F1C" w:rsidRDefault="00A201F6">
            <w:pPr>
              <w:pStyle w:val="Normal0"/>
              <w:pBdr>
                <w:top w:val="nil"/>
                <w:left w:val="nil"/>
                <w:bottom w:val="nil"/>
                <w:right w:val="nil"/>
                <w:between w:val="nil"/>
              </w:pBdr>
              <w:spacing w:after="0" w:line="240" w:lineRule="auto"/>
              <w:rPr>
                <w:rStyle w:val="eop"/>
                <w:rFonts w:ascii="Times New Roman" w:eastAsia="Times New Roman" w:hAnsi="Times New Roman" w:cs="Times New Roman"/>
                <w:noProof/>
                <w:sz w:val="18"/>
              </w:rPr>
            </w:pPr>
            <w:r>
              <w:rPr>
                <w:rStyle w:val="normaltextrun"/>
                <w:rFonts w:ascii="Times New Roman" w:hAnsi="Times New Roman"/>
                <w:noProof/>
                <w:sz w:val="18"/>
              </w:rPr>
              <w:t xml:space="preserve">Polen draagt 320 miljoen EUR over aan BGK voor de regeling, bovenop de 320 miljoen EUR die reeds is overgedragen in het kader van mijlpaal B21cG. </w:t>
            </w:r>
          </w:p>
        </w:tc>
      </w:tr>
      <w:tr w:rsidR="00480F1C" w14:paraId="1CA1A385"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59D24EC" w14:textId="4BBD489A"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B37G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E4887D5" w14:textId="0A07C67A"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B2.2.3 Bouw van offshore-terminalinfrastructuur</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3D37D4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7A79C46" w14:textId="1D430D9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Bouw van een offshoreinstallatieterminal</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C5D87E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504E88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6C90C70"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5C1387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2BCC82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CCF64FE" w14:textId="54C8B6FA"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highlight w:val="green"/>
              </w:rPr>
            </w:pPr>
            <w:r>
              <w:rPr>
                <w:noProof/>
              </w:rPr>
              <w:t>2026</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B2A233B" w14:textId="4B3E711D" w:rsidR="00480F1C" w:rsidRDefault="00A201F6">
            <w:pPr>
              <w:spacing w:after="0" w:line="240" w:lineRule="auto"/>
              <w:rPr>
                <w:rFonts w:ascii="Times New Roman" w:eastAsia="Times New Roman" w:hAnsi="Times New Roman" w:cs="Times New Roman"/>
                <w:noProof/>
                <w:sz w:val="18"/>
              </w:rPr>
            </w:pPr>
            <w:r>
              <w:rPr>
                <w:rFonts w:ascii="Times New Roman" w:hAnsi="Times New Roman"/>
                <w:noProof/>
                <w:color w:val="000000" w:themeColor="text1"/>
                <w:sz w:val="18"/>
              </w:rPr>
              <w:t xml:space="preserve">Ingebruikneming van een nieuwe havenpier. </w:t>
            </w:r>
            <w:r>
              <w:rPr>
                <w:noProof/>
              </w:rPr>
              <w:t xml:space="preserve"> </w:t>
            </w:r>
            <w:r>
              <w:rPr>
                <w:noProof/>
              </w:rPr>
              <w:br/>
            </w:r>
            <w:r>
              <w:rPr>
                <w:rFonts w:ascii="Times New Roman" w:hAnsi="Times New Roman"/>
                <w:noProof/>
                <w:sz w:val="18"/>
              </w:rPr>
              <w:t xml:space="preserve">De afscheiding van de buitenpier moet het mogelijk maken twee aanlegplaatsen voor opvijzelende schepen te bouwen. </w:t>
            </w:r>
          </w:p>
          <w:p w14:paraId="63159A0C" w14:textId="7FAE0AB7" w:rsidR="00480F1C" w:rsidRDefault="00480F1C">
            <w:pPr>
              <w:spacing w:after="0" w:line="240" w:lineRule="auto"/>
              <w:rPr>
                <w:rFonts w:ascii="Times New Roman" w:eastAsia="Times New Roman" w:hAnsi="Times New Roman" w:cs="Times New Roman"/>
                <w:noProof/>
                <w:sz w:val="18"/>
              </w:rPr>
            </w:pPr>
          </w:p>
          <w:p w14:paraId="580161D2" w14:textId="2332E75F" w:rsidR="00480F1C" w:rsidRDefault="00A201F6">
            <w:pPr>
              <w:pStyle w:val="P68B1DB1-Normal25"/>
              <w:spacing w:after="0" w:line="240" w:lineRule="auto"/>
              <w:rPr>
                <w:rFonts w:eastAsia="Times New Roman" w:cs="Times New Roman"/>
                <w:noProof/>
                <w:color w:val="FF0000"/>
              </w:rPr>
            </w:pPr>
            <w:r>
              <w:rPr>
                <w:noProof/>
              </w:rPr>
              <w:t xml:space="preserve">De offshorewindterminal op de binnenhavenpier moet geschikt zijn voor hydrotechnische en navigatieomstandigheden voor offshoreinstallatievaartuigen. </w:t>
            </w:r>
          </w:p>
        </w:tc>
      </w:tr>
      <w:tr w:rsidR="00480F1C" w14:paraId="11DBEFF9"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D8C1C99" w14:textId="44765986"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B38G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BC5D6D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B2.2.3 Bouw van offshore-terminalinfrastructuur</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A7EE49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F5C5B2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Bouw van een offshoreterminal in Łeba en Ustka</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95730C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55CF35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0717F1A"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842F596"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2</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E55E2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C391F0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188D78C" w14:textId="006394F3" w:rsidR="00480F1C" w:rsidRDefault="00A201F6">
            <w:pPr>
              <w:pStyle w:val="P68B1DB1-Normal25"/>
              <w:spacing w:after="160" w:line="240" w:lineRule="auto"/>
              <w:rPr>
                <w:rFonts w:eastAsia="Times New Roman" w:cs="Times New Roman"/>
                <w:noProof/>
                <w:color w:val="FF0000"/>
              </w:rPr>
            </w:pPr>
            <w:r>
              <w:rPr>
                <w:noProof/>
                <w:color w:val="000000" w:themeColor="text1"/>
              </w:rPr>
              <w:t>Voltooiing van de bouw van twee offshoredienstterminals (Ustka en Łeba). De</w:t>
            </w:r>
            <w:r>
              <w:rPr>
                <w:noProof/>
              </w:rPr>
              <w:t>investering in Ustka bestaat uit de modernisering van golfbrekers van de binnenhaven en de verdieping van de waterwegen. De investering in offshoredienstterminal in Łeba omvat de bouw van een naderingsvaarspoor met een diepte van ten minste 3,5 meter. Er moet een deskundigenbeoordeling worden uitgevoerd om de staat van de kunstwerken langs het spoor te bevestigen.</w:t>
            </w:r>
          </w:p>
        </w:tc>
      </w:tr>
      <w:tr w:rsidR="00480F1C" w14:paraId="44500E3B"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714F9DC" w14:textId="7CC1F231"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B39G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F5411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B3.1 Duurzaam water- en afvalwaterbeheer in plattelandsgebieden ondersteunen </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DE44F8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DA9CDD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Ontwikkeling van regels voor de territorialisering van steun voor investeringen in watervoorziening of riolering in plattelandsgebieden </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A64C26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Goedkeuring van richtsnoeren door de minister van Landbouw en Plattelandsontwikkeling.</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FFF380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5663D94"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ADFED6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E4CD47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5BFB25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2021</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5B38641" w14:textId="33C59EE7"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Vaststelling van territoriale criteria voor de selectie van begunstigden.</w:t>
            </w:r>
            <w:r>
              <w:rPr>
                <w:noProof/>
              </w:rPr>
              <w:t xml:space="preserve"> </w:t>
            </w:r>
            <w:r>
              <w:rPr>
                <w:noProof/>
              </w:rPr>
              <w:br/>
            </w:r>
            <w:r>
              <w:rPr>
                <w:rFonts w:ascii="Times New Roman" w:hAnsi="Times New Roman"/>
                <w:noProof/>
                <w:color w:val="000000" w:themeColor="text1"/>
                <w:sz w:val="18"/>
              </w:rPr>
              <w:t>De selectiecriteria geven voorrang aan gemeenten die het minst in staat zijn investeringen uit eigen middelen te financieren. Provinciale zelfbesturen worden betrokken bij de vaststelling van de criteria voor de selectie van begunstigden.</w:t>
            </w:r>
          </w:p>
        </w:tc>
      </w:tr>
      <w:tr w:rsidR="00480F1C" w14:paraId="0A9A0196"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EC70749" w14:textId="6560FC60"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B40G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81001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B3.1 Duurzaam water- en afvalwaterbeheer in plattelandsgebieden ondersteunen </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B2936B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C3DFB8" w14:textId="5A31C34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rechtshandeling tot vaststelling van de verplichting om regelmatig toezicht en controle uit te oefenen op passende individuele systemen</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557950" w14:textId="70945A04"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rechtshandeling die de inwerkingtreding ervan aangeeft</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02408A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078602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7F7B85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D331C6C"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69043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ECD1851" w14:textId="587E4FD9"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rechtshandeling waarbij de gemeenten worden verplicht toezicht te houden op en controle uit te oefenen op de verwijdering van riool- en gebruiksinstrumenten om ongepaste verwijdering te voorkomen, met inbegrip van het mechanisme van zogenaamde vervangende prestaties, d.w.z. de organisatie van het ledigen van septische tanks door de gemeente voor eigenaren die geen overeenkomsten voor het ledigen van septische tanks hebben gesloten.</w:t>
            </w:r>
          </w:p>
        </w:tc>
      </w:tr>
      <w:tr w:rsidR="00480F1C" w14:paraId="2A3355ED" w14:textId="77777777">
        <w:trPr>
          <w:trHeight w:val="313"/>
        </w:trPr>
        <w:tc>
          <w:tcPr>
            <w:tcW w:w="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DEB7E5" w14:textId="7F4EF33F"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B41G</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6D2308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B3.1.1 Investeringen in afvalwaterzuiveringssystemen en watervoorziening in plattelandsgebieden</w:t>
            </w:r>
          </w:p>
        </w:tc>
        <w:tc>
          <w:tcPr>
            <w:tcW w:w="1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1DBAA2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D4D5B3E" w14:textId="11D87306" w:rsidR="00480F1C" w:rsidRDefault="00A201F6">
            <w:pPr>
              <w:pStyle w:val="P68B1DB1-Normal010"/>
              <w:pBdr>
                <w:top w:val="nil"/>
                <w:left w:val="nil"/>
                <w:bottom w:val="nil"/>
                <w:right w:val="nil"/>
                <w:between w:val="nil"/>
              </w:pBdr>
              <w:spacing w:after="0" w:line="240" w:lineRule="auto"/>
              <w:rPr>
                <w:rFonts w:eastAsia="Times New Roman" w:cs="Times New Roman"/>
                <w:noProof/>
              </w:rPr>
            </w:pPr>
            <w:r>
              <w:rPr>
                <w:noProof/>
              </w:rPr>
              <w:t xml:space="preserve">Nieuwe infrastructuur voor afvalwater en watervoorziening die extra verbindingen voor de plattelandsbevolking mogelijk maakt  </w:t>
            </w:r>
          </w:p>
        </w:tc>
        <w:tc>
          <w:tcPr>
            <w:tcW w:w="16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3EA6F2"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rPr>
            </w:pPr>
            <w:r>
              <w:rPr>
                <w:noProof/>
              </w:rPr>
              <w:t xml:space="preserve"> </w:t>
            </w:r>
          </w:p>
        </w:tc>
        <w:tc>
          <w:tcPr>
            <w:tcW w:w="11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D60139E"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rPr>
            </w:pPr>
            <w:r>
              <w:rPr>
                <w:noProof/>
              </w:rPr>
              <w:t>Aantal</w:t>
            </w:r>
          </w:p>
        </w:tc>
        <w:tc>
          <w:tcPr>
            <w:tcW w:w="9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86DD9CC" w14:textId="77777777" w:rsidR="00480F1C" w:rsidRDefault="00A201F6">
            <w:pPr>
              <w:pStyle w:val="P68B1DB1-Normal010"/>
              <w:pBdr>
                <w:top w:val="nil"/>
                <w:left w:val="nil"/>
                <w:bottom w:val="nil"/>
                <w:right w:val="nil"/>
                <w:between w:val="nil"/>
              </w:pBdr>
              <w:spacing w:after="0" w:line="240" w:lineRule="auto"/>
              <w:jc w:val="right"/>
              <w:rPr>
                <w:rFonts w:eastAsia="Times New Roman" w:cs="Times New Roman"/>
                <w:noProof/>
              </w:rPr>
            </w:pPr>
            <w:r>
              <w:rPr>
                <w:noProof/>
              </w:rPr>
              <w:t>0</w:t>
            </w:r>
          </w:p>
        </w:tc>
        <w:tc>
          <w:tcPr>
            <w:tcW w:w="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136AF33" w14:textId="4D177A23" w:rsidR="00480F1C" w:rsidRDefault="00A201F6">
            <w:pPr>
              <w:pStyle w:val="P68B1DB1-Normal010"/>
              <w:pBdr>
                <w:top w:val="nil"/>
                <w:left w:val="nil"/>
                <w:bottom w:val="nil"/>
                <w:right w:val="nil"/>
                <w:between w:val="nil"/>
              </w:pBdr>
              <w:spacing w:after="0" w:line="240" w:lineRule="auto"/>
              <w:jc w:val="right"/>
              <w:rPr>
                <w:rFonts w:eastAsia="Times New Roman" w:cs="Times New Roman"/>
                <w:noProof/>
              </w:rPr>
            </w:pPr>
            <w:r>
              <w:rPr>
                <w:noProof/>
              </w:rPr>
              <w:t>27 522</w:t>
            </w:r>
          </w:p>
          <w:p w14:paraId="7C487665" w14:textId="187EFA9E"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sz w:val="18"/>
              </w:rPr>
            </w:pPr>
          </w:p>
        </w:tc>
        <w:tc>
          <w:tcPr>
            <w:tcW w:w="8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6E2525C"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0121D7F"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rPr>
            </w:pPr>
            <w:r>
              <w:rPr>
                <w:noProof/>
              </w:rPr>
              <w:t>2025</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1FF0820" w14:textId="1BD56139" w:rsidR="00480F1C" w:rsidRDefault="00A201F6">
            <w:pPr>
              <w:pStyle w:val="Normal0"/>
              <w:spacing w:after="0" w:line="240" w:lineRule="auto"/>
              <w:rPr>
                <w:rFonts w:ascii="Times New Roman" w:eastAsia="Times New Roman" w:hAnsi="Times New Roman" w:cs="Times New Roman"/>
                <w:noProof/>
                <w:sz w:val="18"/>
              </w:rPr>
            </w:pPr>
            <w:r>
              <w:rPr>
                <w:rFonts w:ascii="Times New Roman" w:hAnsi="Times New Roman"/>
                <w:noProof/>
                <w:sz w:val="18"/>
              </w:rPr>
              <w:t>Nieuwe infrastructuur die zorgt voor aanvullende verbindingen van de plattelandsbevolking met de infrastructuur voor watervoorziening en afvalwaterzuivering in gemeenten die volledig voldoen aan de gewijzigde regels inzake afvalwaterverwijdering. De steun wordt gericht op gebieden met een beperkte investeringscapaciteit als gevolg van de COVID-19-pandemie buiten agglomeraties in de zin van artikel 86 van de waterwet en op infrastructuurprojecten voor afvalwaterzuivering met het grootste potentieel om de bestaande negatieve milieueffecten te verminderen. De begunstigden van de investering worden geselecteerd door middel van een open en transparante wedstrijd. Alternatieve oplossingen voor infrastructuur voor watervoorziening en afvalwaterbehandeling in plattelandsgebieden (zoals het combineren van collectieve systemen met septische tanks of individuele installaties) moeten worden overwogen. Wateronttrekking moet worden vermeden wanneer de toestand of het goede potentieel van de betrokken waterlichamen (oppervlakte- of grondwater) (in de context van de intensivering van de klimaatverandering) lager is dan een goede toestand of een goed potentieel.</w:t>
            </w:r>
          </w:p>
        </w:tc>
      </w:tr>
    </w:tbl>
    <w:p w14:paraId="7818863E"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44F69B9A"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sectPr w:rsidR="00480F1C">
          <w:headerReference w:type="even" r:id="rId61"/>
          <w:headerReference w:type="default" r:id="rId62"/>
          <w:footerReference w:type="even" r:id="rId63"/>
          <w:footerReference w:type="default" r:id="rId64"/>
          <w:headerReference w:type="first" r:id="rId65"/>
          <w:footerReference w:type="first" r:id="rId66"/>
          <w:pgSz w:w="16839" w:h="11907" w:orient="landscape"/>
          <w:pgMar w:top="1417" w:right="1134" w:bottom="1417" w:left="1134" w:header="709" w:footer="709" w:gutter="0"/>
          <w:cols w:space="720"/>
        </w:sectPr>
      </w:pPr>
    </w:p>
    <w:p w14:paraId="6D55D467" w14:textId="6BAF6A1F" w:rsidR="00480F1C" w:rsidRDefault="00A201F6">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u w:val="single"/>
        </w:rPr>
      </w:pPr>
      <w:r>
        <w:rPr>
          <w:rFonts w:ascii="Times New Roman" w:hAnsi="Times New Roman"/>
          <w:b/>
          <w:noProof/>
          <w:color w:val="000000" w:themeColor="text1"/>
          <w:sz w:val="24"/>
        </w:rPr>
        <w:t xml:space="preserve">B.3. </w:t>
      </w:r>
      <w:r>
        <w:rPr>
          <w:noProof/>
        </w:rPr>
        <w:tab/>
      </w:r>
      <w:r>
        <w:rPr>
          <w:rFonts w:ascii="Times New Roman" w:hAnsi="Times New Roman"/>
          <w:b/>
          <w:noProof/>
          <w:color w:val="000000" w:themeColor="text1"/>
          <w:sz w:val="24"/>
        </w:rPr>
        <w:t>Beschrijving van de hervormingen en investeringen voor de lening</w:t>
      </w:r>
    </w:p>
    <w:p w14:paraId="5F07D11E"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sz w:val="24"/>
          <w:u w:val="single"/>
        </w:rPr>
      </w:pPr>
    </w:p>
    <w:p w14:paraId="5138E2E2"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B1.2 Bevordering van de energiebesparingsverplichting voor energiebedrijven</w:t>
      </w:r>
    </w:p>
    <w:p w14:paraId="7EBC1EC8" w14:textId="77777777" w:rsidR="00480F1C" w:rsidRDefault="00A201F6">
      <w:pPr>
        <w:pStyle w:val="P68B1DB1-Normal05"/>
        <w:pBdr>
          <w:top w:val="nil"/>
          <w:left w:val="nil"/>
          <w:bottom w:val="nil"/>
          <w:right w:val="nil"/>
          <w:between w:val="nil"/>
        </w:pBdr>
        <w:spacing w:before="60" w:after="0" w:line="240" w:lineRule="auto"/>
        <w:jc w:val="both"/>
        <w:rPr>
          <w:rFonts w:eastAsia="Times New Roman" w:cs="Times New Roman"/>
          <w:noProof/>
          <w:color w:val="000000"/>
        </w:rPr>
      </w:pPr>
      <w:r>
        <w:rPr>
          <w:noProof/>
        </w:rPr>
        <w:t xml:space="preserve">Het doel van de hervorming is de verplichtingsregeling voor energie-efficiëntie te vereenvoudigen en uit te breiden. </w:t>
      </w:r>
    </w:p>
    <w:p w14:paraId="2481440E" w14:textId="5E0F4194" w:rsidR="00480F1C" w:rsidRDefault="00A201F6">
      <w:pPr>
        <w:pStyle w:val="P68B1DB1-Normal05"/>
        <w:pBdr>
          <w:top w:val="nil"/>
          <w:left w:val="nil"/>
          <w:bottom w:val="nil"/>
          <w:right w:val="nil"/>
          <w:between w:val="nil"/>
        </w:pBdr>
        <w:spacing w:before="60" w:after="0" w:line="240" w:lineRule="auto"/>
        <w:jc w:val="both"/>
        <w:rPr>
          <w:rFonts w:eastAsia="Times New Roman" w:cs="Times New Roman"/>
          <w:noProof/>
          <w:color w:val="000000"/>
        </w:rPr>
      </w:pPr>
      <w:r>
        <w:rPr>
          <w:noProof/>
        </w:rPr>
        <w:t xml:space="preserve">De hervorming wordt uitgevoerd door de invoering van een standaardreeks referentiewaarden voor verschillende soorten energiebesparende maatregelen. Dergelijke maatregelen hoeven niet langer te worden gecontroleerd, zodat kleinere entiteiten gemakkelijker aan de regeling kunnen deelnemen. Een ander element van de hervorming is de opname in de verplichtingsregeling voor energie-efficiëntie van brandstofbedrijven die vloeibare brandstoffen voor vervoer op de markt brengen. Deze bedrijven voeren projecten ter verbetering van de energie-efficiëntie uit, annuleren een passend aantal witte certificaten of betalen onder bepaalde voorwaarden een vervangende vergoeding. Als gevolg daarvan zal de vraag naar witte certificaten naar verwachting toenemen, waardoor de omzet op de markt zal toenemen en de verhoogde energie-efficiëntiestreefcijfers zullen worden gehaald. </w:t>
      </w:r>
    </w:p>
    <w:p w14:paraId="16974F20" w14:textId="77777777" w:rsidR="00480F1C" w:rsidRDefault="00A201F6">
      <w:pPr>
        <w:pStyle w:val="P68B1DB1-Normal05"/>
        <w:pBdr>
          <w:top w:val="nil"/>
          <w:left w:val="nil"/>
          <w:bottom w:val="nil"/>
          <w:right w:val="nil"/>
          <w:between w:val="nil"/>
        </w:pBdr>
        <w:spacing w:before="60" w:after="0" w:line="240" w:lineRule="auto"/>
        <w:jc w:val="both"/>
        <w:rPr>
          <w:rFonts w:eastAsia="Times New Roman" w:cs="Times New Roman"/>
          <w:noProof/>
          <w:color w:val="000000"/>
        </w:rPr>
      </w:pPr>
      <w:r>
        <w:rPr>
          <w:noProof/>
        </w:rPr>
        <w:t>De uitvoering van de hervorming wordt uiterlijk op 30 juni 2022 voltooid.</w:t>
      </w:r>
    </w:p>
    <w:p w14:paraId="41508A3C" w14:textId="77777777" w:rsidR="00480F1C" w:rsidRDefault="00480F1C">
      <w:pPr>
        <w:pStyle w:val="Normal0"/>
        <w:pBdr>
          <w:top w:val="nil"/>
          <w:left w:val="nil"/>
          <w:bottom w:val="nil"/>
          <w:right w:val="nil"/>
          <w:between w:val="nil"/>
        </w:pBdr>
        <w:spacing w:before="120" w:after="120" w:line="240" w:lineRule="auto"/>
        <w:ind w:left="850"/>
        <w:jc w:val="both"/>
        <w:rPr>
          <w:rFonts w:ascii="Times New Roman" w:eastAsia="Times New Roman" w:hAnsi="Times New Roman" w:cs="Times New Roman"/>
          <w:noProof/>
          <w:color w:val="000000"/>
          <w:sz w:val="24"/>
          <w:u w:val="single"/>
        </w:rPr>
      </w:pPr>
    </w:p>
    <w:p w14:paraId="376E61A2"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B1.2.1 Energie-efficiëntie en hernieuwbare energiebronnen in bedrijven — investeringen met het grootste potentieel voor broeikasgasemissiereductie</w:t>
      </w:r>
    </w:p>
    <w:p w14:paraId="2FB7BE45" w14:textId="0243E7F8" w:rsidR="00480F1C" w:rsidRDefault="00A201F6">
      <w:pPr>
        <w:pStyle w:val="P68B1DB1-Normal05"/>
        <w:pBdr>
          <w:top w:val="nil"/>
          <w:left w:val="nil"/>
          <w:bottom w:val="nil"/>
          <w:right w:val="nil"/>
          <w:between w:val="nil"/>
        </w:pBdr>
        <w:spacing w:after="120" w:line="240" w:lineRule="auto"/>
        <w:jc w:val="both"/>
        <w:rPr>
          <w:rFonts w:eastAsia="Times New Roman" w:cs="Times New Roman"/>
          <w:noProof/>
          <w:color w:val="000000"/>
        </w:rPr>
      </w:pPr>
      <w:r>
        <w:rPr>
          <w:noProof/>
        </w:rPr>
        <w:t xml:space="preserve">De investering is gericht op de vermindering van het eindenergieverbruik en de uitstoot van broeikasgassen door bedrijven. </w:t>
      </w:r>
    </w:p>
    <w:p w14:paraId="35D9448D" w14:textId="77777777" w:rsidR="00480F1C" w:rsidRDefault="00A201F6">
      <w:pPr>
        <w:pStyle w:val="P68B1DB1-Normal017"/>
        <w:pBdr>
          <w:top w:val="nil"/>
          <w:left w:val="nil"/>
          <w:bottom w:val="nil"/>
          <w:right w:val="nil"/>
          <w:between w:val="nil"/>
        </w:pBdr>
        <w:spacing w:after="120" w:line="240" w:lineRule="auto"/>
        <w:jc w:val="both"/>
        <w:rPr>
          <w:rFonts w:eastAsia="Times New Roman" w:cs="Times New Roman"/>
          <w:noProof/>
        </w:rPr>
      </w:pPr>
      <w:r>
        <w:rPr>
          <w:noProof/>
          <w:color w:val="000000" w:themeColor="text1"/>
        </w:rPr>
        <w:t>De toepassing van groene oplossingen in ondernemingen is gericht op het verbeteren van industriële en energieprocessen om de energie-efficiëntie te verbeteren en de energie-intensiteit te verminderen, hetgeen leidt tot een vermindering — en een hogere efficiëntie — van het energieverbruik, samen met investeringen in hernieuwbare en koolstofarme energiebronnen in ondernemingen. De investering dient met name ter ondersteuning van i) de bouw, uitbreiding of modernisering van bestaande industriële en productie-installaties, industriële uitrusting en elektriciteitsinstallaties met het oog op de verbetering van de energie-efficiëntie ervan; de bouw en installatie van eigen hernieuwbare energiebronnen in bedrijven, met inbegrip van windturbines, zonnecollectoren, fotovoltaïsche panelen, geothermische systemen en warmtepompen; III) de bouw van energieopslagfaciliteiten in bedrijven in verband met de productie van energie uit hernieuwbare bronnen; IV) eigen (interne) koolstofarme energiebronnen bouwen/upgraden, met inbegrip van warmtekrachtkoppeling; V) het vergroten van het aandeel emissiearme of emissievrije brandstoffen in productieprocessen, met inachtneming van de hoogste emissienormen; VI) vervanging van energiezuinige warmtebronnen op basis van brandstoffen (vast, vloeibaar, gas) of elektriciteit door energie-efficiëntere bronnen; VII) thermo-modernisering van gebouwen en faciliteiten die in industriële processen worden gebruikt. De projecten worden geselecteerd op basis van een vergelijkend</w:t>
      </w:r>
      <w:r>
        <w:rPr>
          <w:noProof/>
        </w:rPr>
        <w:t xml:space="preserve">onderzoek, waarbij rekening wordt gehouden met de volgende criteria: I) gereedheid — rijpheid van het project voor de uitvoering; II) samenhang met bestaande plannen voor klimaatneutraliteit; III) de mate van vermindering van CO2- en PM 2,5- en PM10-emissies; IV) de mate van vermindering van het primaire energieverbruik. </w:t>
      </w:r>
    </w:p>
    <w:p w14:paraId="72F49B4D" w14:textId="6DF7D783" w:rsidR="00480F1C" w:rsidRDefault="00A201F6">
      <w:pPr>
        <w:pStyle w:val="Normal0"/>
        <w:pBdr>
          <w:top w:val="nil"/>
          <w:left w:val="nil"/>
          <w:bottom w:val="nil"/>
          <w:right w:val="nil"/>
          <w:between w:val="nil"/>
        </w:pBdr>
        <w:spacing w:after="120" w:line="240" w:lineRule="auto"/>
        <w:jc w:val="both"/>
        <w:rPr>
          <w:rFonts w:ascii="Times New Roman" w:eastAsia="Times New Roman" w:hAnsi="Times New Roman" w:cs="Times New Roman"/>
          <w:noProof/>
          <w:sz w:val="24"/>
        </w:rPr>
      </w:pPr>
      <w:r>
        <w:rPr>
          <w:rFonts w:ascii="Times New Roman" w:hAnsi="Times New Roman"/>
          <w:noProof/>
          <w:sz w:val="24"/>
        </w:rPr>
        <w:t>Om ervoor te zorgen dat de maatregel voldoet aan de technische richtsnoeren „geen ernstige afbreuk doen” (2021/C 58/01), worden de volgende activiteiten uitgesloten van de subsidiabiliteitscriteria in de taakomschrijving voor toekomstige oproepen tot het indienen van projecten: I) activiteiten in verband met fossiele brandstoffen, met inbegrip van downstreamgebruik</w:t>
      </w:r>
      <w:r>
        <w:rPr>
          <w:rStyle w:val="FootnoteReference"/>
          <w:rFonts w:ascii="Times New Roman" w:eastAsia="Times New Roman" w:hAnsi="Times New Roman" w:cs="Times New Roman"/>
          <w:noProof/>
          <w:sz w:val="24"/>
        </w:rPr>
        <w:footnoteReference w:id="16"/>
      </w:r>
      <w:r>
        <w:rPr>
          <w:rFonts w:ascii="Times New Roman" w:hAnsi="Times New Roman"/>
          <w:noProof/>
          <w:sz w:val="24"/>
        </w:rPr>
        <w:t>; II) activiteiten in het kader van het EU-emissiehandelssysteem (ETS) waarmee de verwachte broeikasgasemissies niet lager zijn dan de relevante benchmarks</w:t>
      </w:r>
      <w:r>
        <w:rPr>
          <w:rStyle w:val="FootnoteReference"/>
          <w:rFonts w:ascii="Times New Roman" w:eastAsia="Times New Roman" w:hAnsi="Times New Roman" w:cs="Times New Roman"/>
          <w:noProof/>
          <w:sz w:val="24"/>
        </w:rPr>
        <w:footnoteReference w:id="17"/>
      </w:r>
      <w:r>
        <w:rPr>
          <w:rFonts w:ascii="Times New Roman" w:hAnsi="Times New Roman"/>
          <w:noProof/>
          <w:sz w:val="24"/>
        </w:rPr>
        <w:t>; III) activiteiten in verband met stortplaatsen voor afval, verbrandingsinstallaties</w:t>
      </w:r>
      <w:r>
        <w:rPr>
          <w:rStyle w:val="FootnoteReference"/>
          <w:rFonts w:ascii="Times New Roman" w:eastAsia="Times New Roman" w:hAnsi="Times New Roman" w:cs="Times New Roman"/>
          <w:noProof/>
          <w:sz w:val="24"/>
        </w:rPr>
        <w:footnoteReference w:id="18"/>
      </w:r>
      <w:r>
        <w:rPr>
          <w:rFonts w:ascii="Times New Roman" w:hAnsi="Times New Roman"/>
          <w:noProof/>
          <w:sz w:val="24"/>
        </w:rPr>
        <w:t xml:space="preserve"> en installaties voor mechanische biologische behandeling</w:t>
      </w:r>
      <w:r>
        <w:rPr>
          <w:rStyle w:val="FootnoteReference"/>
          <w:rFonts w:ascii="Times New Roman" w:eastAsia="Times New Roman" w:hAnsi="Times New Roman" w:cs="Times New Roman"/>
          <w:noProof/>
          <w:sz w:val="24"/>
        </w:rPr>
        <w:footnoteReference w:id="19"/>
      </w:r>
      <w:r>
        <w:rPr>
          <w:rFonts w:ascii="Times New Roman" w:hAnsi="Times New Roman"/>
          <w:noProof/>
          <w:sz w:val="24"/>
        </w:rPr>
        <w:t>; en iv) activiteiten waarbij de langdurige verwijdering van afval schade kan toebrengen aan het milieu. In de taakomschrijving wordt bovendien bepaald dat alleen activiteiten mogen worden geselecteerd die voldoen aan de relevante EU- en nationale milieuwetgeving.</w:t>
      </w:r>
    </w:p>
    <w:p w14:paraId="2EE30DC5" w14:textId="3901014B" w:rsidR="00480F1C" w:rsidRDefault="00A201F6">
      <w:pPr>
        <w:pStyle w:val="P68B1DB1-Normal15"/>
        <w:pBdr>
          <w:top w:val="nil"/>
          <w:left w:val="nil"/>
          <w:bottom w:val="nil"/>
          <w:right w:val="nil"/>
          <w:between w:val="nil"/>
        </w:pBdr>
        <w:spacing w:after="120" w:line="257" w:lineRule="auto"/>
        <w:jc w:val="both"/>
        <w:rPr>
          <w:rFonts w:eastAsia="Times New Roman" w:cs="Times New Roman"/>
          <w:noProof/>
          <w:color w:val="000000"/>
        </w:rPr>
      </w:pPr>
      <w:r>
        <w:rPr>
          <w:noProof/>
        </w:rPr>
        <w:t xml:space="preserve">De uitvoering van de investering moet uiterlijk op 31 december 2023 zijn voltooid. </w:t>
      </w:r>
    </w:p>
    <w:p w14:paraId="43D6B1D6"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sz w:val="24"/>
        </w:rPr>
      </w:pPr>
    </w:p>
    <w:p w14:paraId="1E600DCF" w14:textId="59BAECE4"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B2.3 Steun voor investeringen in windmolenparken op zee</w:t>
      </w:r>
    </w:p>
    <w:p w14:paraId="438D33CA"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Het doel van de hervorming is te zorgen voor een doeltreffende uitvoering en verdere ontwikkeling van offshore-windenergie.</w:t>
      </w:r>
    </w:p>
    <w:p w14:paraId="618D947F" w14:textId="558F1981" w:rsidR="00480F1C" w:rsidRDefault="00A201F6">
      <w:pPr>
        <w:pStyle w:val="P68B1DB1-Normal05"/>
        <w:spacing w:before="120" w:after="120" w:line="240" w:lineRule="auto"/>
        <w:jc w:val="both"/>
        <w:rPr>
          <w:rFonts w:eastAsia="Times New Roman" w:cs="Times New Roman"/>
          <w:noProof/>
        </w:rPr>
      </w:pPr>
      <w:r>
        <w:rPr>
          <w:noProof/>
        </w:rPr>
        <w:t>De hervorming omvat de invoering van gedetailleerde eisen voor onderdelen van elektriciteitscentrales en voor onderdelen van offshore-elektriciteitscentrales, alsmede constructie-eisen voor onderdelen van offshore-elektriciteitscentrales, waarbij rekening wordt gehouden met de veiligheid en betrouwbaarheid van de offshore-output en de assemblage van elektriciteitscentrales. Een verordening treedt in werking tot vaststelling van de maximumprijs per 1 MWh (uitgedrukt in PLN) die mag worden vermeld in biedingen die door producenten op een veiling worden ingediend. De uitvoering van de hervorming wordt uiterlijk op 30 juni 2024 voltooid.</w:t>
      </w:r>
    </w:p>
    <w:p w14:paraId="0DC1472A" w14:textId="1B98ABE9"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Het doel van de hervorming is ook de impact van de toewijzingsbeperkingen op de resultaten van de elektriciteitsmarkt te verminderen. De hervorming bestaat uit de uitvoering door de transmissiesysteembeheerder van een expliciete aanbesteding van balanceringscapaciteit (reserves) vóór de eenvormige day-aheadkoppeling (SDAC), in overeenstemming met de aanbeveling van ACER waarin wordt voorgesteld het niveau van de toegepaste toewijzingsbeperkingen te verlagen. De uitvoering van de hervorming wordt uiterlijk op 31 december 2023 voltooid. </w:t>
      </w:r>
    </w:p>
    <w:p w14:paraId="2D7DF40A"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hervorming gaat vergezeld van veilingen voor elektriciteitsopwekking uit offshore windmolenparken. De veilingen worden uiterlijk op 31 december 2025 georganiseerd.</w:t>
      </w:r>
    </w:p>
    <w:p w14:paraId="17DBC151"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54877A71"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B2.4 Wettelijk kader voor de ontwikkeling van energieopslagfaciliteiten</w:t>
      </w:r>
    </w:p>
    <w:p w14:paraId="7CEC3160"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Het doel van de hervorming is de bestaande juridische belemmeringen voor de ontwikkeling van opslagtechnologieën weg te nemen en een stabiel juridisch kader te scheppen voor de exploitatie van opslagbedrijven. </w:t>
      </w:r>
    </w:p>
    <w:p w14:paraId="7252320F"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Bij de hervorming wordt onder meer de opslag van elektriciteit vrijgesteld van de tariefverplichting en wordt dubbele heffing van nettarieven afgeschaft. Zij stelt de verplichting om een concessie/inschrijving in het register te verkrijgen afhankelijk van de totale geïnstalleerde elektriciteitsopslagcapaciteit, ongeacht de capaciteit ervan. Het voorgestelde tariefkader voor opslag is niet-discriminerend en weerspiegelt de kosten.</w:t>
      </w:r>
    </w:p>
    <w:p w14:paraId="0F9F6FCC" w14:textId="31515EC5"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uitvoering van de hervorming moet uiterlijk op 30 juni 2021 zijn voltooid.</w:t>
      </w:r>
    </w:p>
    <w:p w14:paraId="300D94BE" w14:textId="18D39161"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B3.2 Steun voor milieuherstel en bescherming tegen gevaarlijke stoffen</w:t>
      </w:r>
    </w:p>
    <w:p w14:paraId="02249594"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Het doel van de hervorming is de negatieve milieueffecten van grootschalige aangetaste grond te verminderen en een gecoördineerde neutralisatie van bedreigingen in Poolse mariene gebieden mogelijk te maken.</w:t>
      </w:r>
    </w:p>
    <w:p w14:paraId="27FD176F"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 hervorming houdt in dat organisatorische en juridische belemmeringen voor de algehele eliminatie van de negatieve milieueffecten van grootschalige postindustriële gebieden worden weggenomen. Het is gericht op vier onafhankelijke veldcomponenten (verschillende locaties en toepassingsgebieden van de werkzaamheden): 1) voormalige chemische fabriek „Tarnowskie Góry” in Tarnowskie Góry; 2) voormalige chemische fabriek „Zachem” in Bydgoszcz; 3) „Organika-Azot” -fabriek in Jaworzno; 4) voormalig „Boruta” Dyes Industry Plant in Zgierz.  </w:t>
      </w:r>
    </w:p>
    <w:p w14:paraId="05E29859" w14:textId="0DC32930"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rPr>
      </w:pPr>
      <w:r>
        <w:rPr>
          <w:noProof/>
        </w:rPr>
        <w:t xml:space="preserve">De wetgeving tot vaststelling van deze wijzigingen treedt uiterlijk op 31 december 2022 in werking. </w:t>
      </w:r>
    </w:p>
    <w:p w14:paraId="01C879E5" w14:textId="19AD7EF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Het tweede deel van de hervorming bestaat uit de vaststelling van regels voor gevaarlijke materialen die in de Oostzee verzonken zijn en tot doel hebben de veiligheid voor de menselijke gezondheid en de toestand van het milieu te vergroten. Het beschrijft de bevoegdheden van overheidsinstanties in de wettelijke bepalingen; het identificeren van leidende en samenwerkende entiteiten op het gebied van de depositie van gevaarlijke materialen in de maritieme gebieden; een gedetailleerd actieplan opstellen van overheidsdiensten en onder toezicht staande en ondergeschikte eenheden op het gebied van gevaarlijke materialen die in mariene gebieden worden gestort, met vermelding van de entiteiten die verantwoordelijk zijn voor de uitvoering van individuele taken; en juridische wijzigingen aan te brengen om de monitoring, identificatie en mogelijke winning en verwijdering van gevaarlijke materialen mogelijk te maken.</w:t>
      </w:r>
    </w:p>
    <w:p w14:paraId="400116A1" w14:textId="194F092A"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wetgeving tot vaststelling van deze wijzigingen treedt uiterlijk op 30 juni 2025 in werking.</w:t>
      </w:r>
    </w:p>
    <w:p w14:paraId="687C6DE0"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01440A02"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B3.2.1 Investeringen in risiconeutralisatie en herstel van grootschalige brownfieldterreinen en de Oostzee</w:t>
      </w:r>
    </w:p>
    <w:p w14:paraId="66646483" w14:textId="36C6234F"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Het doel van de investering is de bedreiging van grootschalige brownfieldterreinen voor de gezondheid en het leven van de mens weg te nemen, de negatieve gevolgen ervan voor het natuurlijke milieu tot een minimum te beperken en deze terug te winnen voor hergebruik, met inachtneming van het beginsel dat de vervuiler betaalt en Richtlijn 2004/35/EG inzake milieuaansprakelijkheid. De investering is ook bedoeld om het risico van verontreiniging en gevaarlijke materialen in Poolse mariene gebieden aan te pakken.</w:t>
      </w:r>
    </w:p>
    <w:p w14:paraId="636A514B"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investering bestaat uit de ontwikkeling van onderzoek en studies die leiden tot het opstellen van volledige investeringsdocumentatie voor vooraf bepaalde locaties waar aanzienlijke problemen bestaan met de aanwezigheid van verontreinigende stoffen of gevaarlijke stoffen op een groot gebied. Dit omvat de ontwikkeling van veldonderzoek, studies en grondinventarisatie, als een eerste maar fundamentele stap die moet leiden tot het opstellen van volledige investeringsdocumentatie in de volgende stappen van het programma.</w:t>
      </w:r>
    </w:p>
    <w:p w14:paraId="779A13B6" w14:textId="77777777" w:rsidR="00480F1C" w:rsidRDefault="00A201F6">
      <w:pPr>
        <w:pStyle w:val="P68B1DB1-Normal05"/>
        <w:spacing w:before="120" w:after="120" w:line="240" w:lineRule="auto"/>
        <w:jc w:val="both"/>
        <w:rPr>
          <w:rFonts w:eastAsia="Times New Roman" w:cs="Times New Roman"/>
          <w:noProof/>
        </w:rPr>
      </w:pPr>
      <w:r>
        <w:rPr>
          <w:noProof/>
        </w:rPr>
        <w:t>De uitvoering van de investering moet uiterlijk op 30 juni 2026 zijn voltooid.</w:t>
      </w:r>
    </w:p>
    <w:p w14:paraId="257DAA1F" w14:textId="2FEC8394" w:rsidR="00480F1C" w:rsidRDefault="00A201F6">
      <w:pPr>
        <w:pStyle w:val="P68B1DB1-Normal026"/>
        <w:spacing w:before="120" w:after="120" w:line="240" w:lineRule="auto"/>
        <w:jc w:val="both"/>
        <w:rPr>
          <w:rFonts w:eastAsia="Times New Roman" w:cs="Times New Roman"/>
          <w:noProof/>
          <w:sz w:val="24"/>
        </w:rPr>
      </w:pPr>
      <w:r>
        <w:rPr>
          <w:noProof/>
          <w:sz w:val="24"/>
        </w:rPr>
        <w:t>De</w:t>
      </w:r>
      <w:r>
        <w:rPr>
          <w:noProof/>
        </w:rPr>
        <w:t xml:space="preserve"> </w:t>
      </w:r>
      <w:r>
        <w:rPr>
          <w:noProof/>
          <w:sz w:val="24"/>
        </w:rPr>
        <w:t>investering dient ook ter ondersteuning van verkennings- en meetcampagnes in de Oostzee en van een analyse van de verkregen gegevens als noodzakelijke stap in de voorbereiding van volledige documentatie voor neutralisatieplannen.</w:t>
      </w:r>
    </w:p>
    <w:p w14:paraId="048D79BB" w14:textId="4C45CAAA" w:rsidR="00480F1C" w:rsidRDefault="00A201F6">
      <w:pPr>
        <w:pStyle w:val="P68B1DB1-Normal05"/>
        <w:spacing w:before="120" w:after="120" w:line="240" w:lineRule="auto"/>
        <w:jc w:val="both"/>
        <w:rPr>
          <w:rFonts w:eastAsia="Times New Roman" w:cs="Times New Roman"/>
          <w:noProof/>
        </w:rPr>
      </w:pPr>
      <w:r>
        <w:rPr>
          <w:noProof/>
        </w:rPr>
        <w:t>De uitvoering van de investering moet uiterlijk op 31 december 2025 zijn voltooid.</w:t>
      </w:r>
    </w:p>
    <w:p w14:paraId="5B2F9378"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61D11A9B"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B3.3 Steun voor het duurzaam beheer van watervoorraden in de landbouw en in plattelandsgebieden</w:t>
      </w:r>
    </w:p>
    <w:p w14:paraId="1A32BC16"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Doel van de hervorming is het verbeteren van de voorwaarden voor investeringen in plattelandsgebieden in waterbeheer en efficiënt gebruik van hulpbronnen. De hervorming draagt bij tot een grotere bestendigheid van de landbouw tegen droogte en overstromingspreventie in landbouwgebieden; verbetering van de waterefficiëntie door de waterverhoudingen in landbouwgebieden naar behoren te reguleren en afvloeiing tegen te gaan; en het verhogen van de waterretentie.</w:t>
      </w:r>
    </w:p>
    <w:p w14:paraId="67D341F6" w14:textId="77777777" w:rsidR="00480F1C" w:rsidRDefault="00A201F6">
      <w:pPr>
        <w:pStyle w:val="P68B1DB1-Normal017"/>
        <w:pBdr>
          <w:top w:val="nil"/>
          <w:left w:val="nil"/>
          <w:bottom w:val="nil"/>
          <w:right w:val="nil"/>
          <w:between w:val="nil"/>
        </w:pBdr>
        <w:spacing w:before="120" w:after="120" w:line="240" w:lineRule="auto"/>
        <w:jc w:val="both"/>
        <w:rPr>
          <w:rFonts w:eastAsia="Times New Roman" w:cs="Times New Roman"/>
          <w:noProof/>
          <w:color w:val="000000" w:themeColor="text1"/>
        </w:rPr>
      </w:pPr>
      <w:r>
        <w:rPr>
          <w:noProof/>
          <w:color w:val="000000" w:themeColor="text1"/>
        </w:rPr>
        <w:t>De hervorming bestaat uit wijzigingen van de nationale wetgeving die nodig zijn om de voorwaarden voor een veerkrachtig waterbeheer in agriene en plattelandsgebieden te verbeteren</w:t>
      </w:r>
      <w:r>
        <w:rPr>
          <w:noProof/>
        </w:rPr>
        <w:t xml:space="preserve">. De wijzigingen vergemakkelijken de voorbereiding en uitvoering van investeringen met betrekking tot het vasthouden van water en het stoppen van de afwatering ervan uit landbouwgrond, met inbegrip van met name investeringen in verband met de wederopbouw en wederopbouw van drainagevoorzieningen, zodat deze de functie van behoud vervullen en landbouwgrond zo beschermen tegen droogte en het risico op overstromingen beperken. </w:t>
      </w:r>
    </w:p>
    <w:p w14:paraId="56C567A9" w14:textId="4332E4C2" w:rsidR="00480F1C" w:rsidRDefault="00A201F6">
      <w:pPr>
        <w:pStyle w:val="P68B1DB1-Normal017"/>
        <w:pBdr>
          <w:top w:val="nil"/>
          <w:left w:val="nil"/>
          <w:bottom w:val="nil"/>
          <w:right w:val="nil"/>
          <w:between w:val="nil"/>
        </w:pBdr>
        <w:spacing w:before="120" w:after="120" w:line="240" w:lineRule="auto"/>
        <w:jc w:val="both"/>
        <w:rPr>
          <w:rFonts w:eastAsia="Times New Roman" w:cs="Times New Roman"/>
          <w:noProof/>
          <w:color w:val="000000" w:themeColor="text1"/>
        </w:rPr>
      </w:pPr>
      <w:r>
        <w:rPr>
          <w:noProof/>
        </w:rPr>
        <w:t>De hervorming moet voldoen aan de vereisten van de technische richtsnoeren „geen ernstige afbreuk doen” (2021/C 58/01), met name de naleving van de milieuwetgeving van de EU, met inbegrip van de MEB-richtlijn (2011/92/EU) en de kaderrichtlijn water (2000/60/EG).</w:t>
      </w:r>
    </w:p>
    <w:p w14:paraId="470C9946" w14:textId="5C774B52" w:rsidR="00480F1C" w:rsidRDefault="00A201F6">
      <w:pPr>
        <w:pStyle w:val="P68B1DB1-Normal017"/>
        <w:pBdr>
          <w:top w:val="nil"/>
          <w:left w:val="nil"/>
          <w:bottom w:val="nil"/>
          <w:right w:val="nil"/>
          <w:between w:val="nil"/>
        </w:pBdr>
        <w:spacing w:before="120" w:after="120" w:line="240" w:lineRule="auto"/>
        <w:jc w:val="both"/>
        <w:rPr>
          <w:rFonts w:eastAsia="Times New Roman" w:cs="Times New Roman"/>
          <w:noProof/>
          <w:color w:val="000000"/>
        </w:rPr>
      </w:pPr>
      <w:r>
        <w:rPr>
          <w:noProof/>
        </w:rPr>
        <w:t>De wijzigingen mogen niet leiden tot een verslechtering</w:t>
      </w:r>
      <w:r>
        <w:rPr>
          <w:noProof/>
          <w:color w:val="000000" w:themeColor="text1"/>
        </w:rPr>
        <w:t xml:space="preserve"> van het niveau van naleving van de milieuwetgeving van de EU, met name ten aanzien van investeringen die worden beschouwd als aanzienlijke of potentieel aanzienlijke investeringen op grond van de verordening van de Raad van Ministers inzake projecten die een aanzienlijk effect op het milieu kunnen hebben en investeringen in of gevolgen hebben voor Natura 2000-gebieden. Bovendien mogen de wijzigingen de momenteel bindende regels inzake waterinname niet wijzigen.  </w:t>
      </w:r>
    </w:p>
    <w:p w14:paraId="542D6C7C"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uitvoering van de hervorming wordt uiterlijk op 30 juni 2022 voltooid.</w:t>
      </w:r>
    </w:p>
    <w:p w14:paraId="58E6DD4E"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4512C12F"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B3.3.1 Investeringen om het potentieel van duurzaam waterbeheer in plattelandsgebieden te vergroten</w:t>
      </w:r>
    </w:p>
    <w:p w14:paraId="0B79D10B" w14:textId="77777777" w:rsidR="00480F1C" w:rsidRDefault="00A201F6">
      <w:pPr>
        <w:pStyle w:val="P68B1DB1-Normal017"/>
        <w:pBdr>
          <w:top w:val="nil"/>
          <w:left w:val="nil"/>
          <w:bottom w:val="nil"/>
          <w:right w:val="nil"/>
          <w:between w:val="nil"/>
        </w:pBdr>
        <w:spacing w:before="120" w:after="120" w:line="240" w:lineRule="auto"/>
        <w:jc w:val="both"/>
        <w:rPr>
          <w:rFonts w:eastAsia="Times New Roman" w:cs="Times New Roman"/>
          <w:noProof/>
        </w:rPr>
      </w:pPr>
      <w:r>
        <w:rPr>
          <w:noProof/>
        </w:rPr>
        <w:t xml:space="preserve">Het doel van de investering is het ondersteunen van investeringen in plattelandsgebieden om het waterbeheer en de hulpbronnenefficiëntie te verbeteren.  </w:t>
      </w:r>
    </w:p>
    <w:p w14:paraId="4426D676" w14:textId="3E32116D" w:rsidR="00480F1C" w:rsidRDefault="00A201F6">
      <w:pPr>
        <w:pStyle w:val="P68B1DB1-Normal017"/>
        <w:pBdr>
          <w:top w:val="nil"/>
          <w:left w:val="nil"/>
          <w:bottom w:val="nil"/>
          <w:right w:val="nil"/>
          <w:between w:val="nil"/>
        </w:pBdr>
        <w:spacing w:before="120" w:after="120" w:line="240" w:lineRule="auto"/>
        <w:jc w:val="both"/>
        <w:rPr>
          <w:rFonts w:eastAsia="Times New Roman" w:cs="Times New Roman"/>
          <w:noProof/>
          <w:color w:val="000000" w:themeColor="text1"/>
        </w:rPr>
      </w:pPr>
      <w:r>
        <w:rPr>
          <w:noProof/>
        </w:rPr>
        <w:t>De investering</w:t>
      </w:r>
      <w:r>
        <w:rPr>
          <w:noProof/>
          <w:color w:val="000000" w:themeColor="text1"/>
        </w:rPr>
        <w:t>draagt bij tot het vergroten van de bestendigheid van de landbouw tegen droogte en de preventie van overstromingen in landbouwgebieden; verbetering van de waterefficiëntie door de waterverhoudingen in landbouwgebieden naar behoren te reguleren en afvloeiing tegen te gaan; en het verhogen van de waterretentie, mits de behoefte en de aard ervan naar behoren worden gerechtvaardigd. Prioriteit wordt gegeven aan klimaatbestendige en op de natuur gebaseerde oplossingen. Projecten in het kader van deze maatregel worden onderworpen aan een milieueffectbeoordeling (MEB) en voldoen aan de vereisten van de technische richtsnoeren inzake geen ernstige afbreuk doen aan het beginsel „geen ernstige afbreuk doen aan” (C (2023) 6454 final). Er moet worden gezorgd voor naleving van de milieuwetgeving van de EU, met inbegrip van de MEB-richtlijn (2011/92/EU) en de kaderrichtlijn water (</w:t>
      </w:r>
      <w:r>
        <w:rPr>
          <w:noProof/>
        </w:rPr>
        <w:t>2000/60/EG</w:t>
      </w:r>
      <w:r>
        <w:rPr>
          <w:noProof/>
          <w:color w:val="000000" w:themeColor="text1"/>
        </w:rPr>
        <w:t xml:space="preserve">). Alle in het kader van dit onderdeel gefinancierde investeringsprojecten waarvoor een MEB-besluit vereist is, moeten voldoen aan Richtlijn 2011/92/EU, zoals gewijzigd bij Richtlijn 2014/52/EU. Met name moeten alle nieuwe projecten waarvoor een MEB vereist is, worden goedgekeurd krachtens de Wet op de verstrekking van informatie over het milieu en de bescherming daarvan, inspraak van het publiek in milieubescherming en milieueffectbeoordeling, zoals gewijzigd bij de wet van 30 maart 2021 tot wijziging van die wet en bepaalde andere wetten. Bij de uitvoering van alle investeringsprojecten waarvoor een milieubesluit of een bouw- of ontwikkelingsvergunning is aangevraagd of afgegeven vóór de inwerkingtreding van de wet van 30 maart 2021, wordt rekening gehouden met de bepalingen van de „Richtsnoeren voor corrigerende maatregelen voor projecten die worden medegefinancierd door EU-fondsen die getroffen zijn door inbreuk 2016/2046”, zoals meegedeeld aan Polen op 23 februari 2021 (ref. Ares (2021) 1423319). Alleen projecten die niet leiden tot een verslechtering van de toestand van oppervlaktewateren en grondwater en die de verbetering van de ecologische toestand of het ecologisch potentieel van de betrokken waterlichamen niet in de weg staan, worden ondersteund. </w:t>
      </w:r>
    </w:p>
    <w:p w14:paraId="032F414F" w14:textId="47D068CA"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Investeringen die negatieve gevolgen hebben voor de natuur, worden van de steun uitgesloten. Wanneer water wordt onttrokken, moet de relevante autoriteit een relevante vergunning verlenen om ervoor te zorgen dat de betrokken waterlichamen zich in een goede ecologische toestand bevinden en waarin de voorwaarden worden gespecificeerd om achteruitgang daarvan te voorkomen, in overeenstemming met de vereisten van Richtlijn 2000/60/EG en de technische richtsnoeren inzake het beginsel „geen ernstige afbreuk doen aan ernstige afbreuk doen” en gestaafd door de meest recente relevante ondersteunende gegevens. Wateronttrekking moet worden vermeden wanneer de toestand of het goede potentieel van de betrokken waterlichamen (oppervlakte- of grondwater) (in de context van de intensivering van de klimaatverandering) lager is dan een goede toestand of een goed potentieel. De maatregelen moeten ook in overeenstemming zijn met de bepalingen van Richtlijn 2009/147/EG inzake het behoud van de vogelstand (vogelrichtlijn) en Richtlijn 92/43/EEG inzake de instandhouding van de natuurlijke habitats en de wilde flora en fauna (Habitatrichtlijn).</w:t>
      </w:r>
    </w:p>
    <w:p w14:paraId="7D3BEE8F" w14:textId="2F855C30" w:rsidR="00480F1C" w:rsidRPr="00E01639" w:rsidRDefault="00A201F6" w:rsidP="00E01639">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uitvoering van de investering moet uiterlijk op 31 december 2025 zijn voltooid.</w:t>
      </w:r>
    </w:p>
    <w:p w14:paraId="26C629DF" w14:textId="77777777" w:rsidR="00480F1C" w:rsidRDefault="00480F1C">
      <w:pPr>
        <w:pStyle w:val="Normal0"/>
        <w:pBdr>
          <w:top w:val="nil"/>
          <w:left w:val="nil"/>
          <w:bottom w:val="nil"/>
          <w:right w:val="nil"/>
          <w:between w:val="nil"/>
        </w:pBdr>
        <w:spacing w:before="120" w:after="120" w:line="240" w:lineRule="auto"/>
        <w:rPr>
          <w:rFonts w:ascii="Times New Roman" w:eastAsia="Times New Roman" w:hAnsi="Times New Roman" w:cs="Times New Roman"/>
          <w:noProof/>
          <w:color w:val="000000"/>
          <w:sz w:val="24"/>
          <w:u w:val="single"/>
        </w:rPr>
      </w:pPr>
    </w:p>
    <w:p w14:paraId="41437320" w14:textId="77777777" w:rsidR="00480F1C" w:rsidRDefault="00A201F6">
      <w:pPr>
        <w:pStyle w:val="P68B1DB1-Normal014"/>
        <w:pBdr>
          <w:top w:val="nil"/>
          <w:left w:val="nil"/>
          <w:bottom w:val="nil"/>
          <w:right w:val="nil"/>
          <w:between w:val="nil"/>
        </w:pBdr>
        <w:spacing w:before="120" w:after="120" w:line="240" w:lineRule="auto"/>
        <w:rPr>
          <w:rFonts w:eastAsia="Times New Roman" w:cs="Times New Roman"/>
          <w:noProof/>
          <w:color w:val="006100"/>
        </w:rPr>
      </w:pPr>
      <w:r>
        <w:rPr>
          <w:noProof/>
        </w:rPr>
        <w:t>B3.4 Kader voor investeringen in de groene transitie in stedelijke gebieden</w:t>
      </w:r>
    </w:p>
    <w:p w14:paraId="4A8271D5"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Het doel van de hervorming is de capaciteit van steden te ondersteunen bij het prioriteren, plannen, uitvoeren en financieren van investeringsprojecten die gericht zijn op mitigatie van en aanpassing aan de klimaatverandering in overeenstemming met de Europese Green Deal. De hervorming en de bijbehorende investeringen zijn met name gericht op het vergroten van het aandeel groene gebieden in steden. </w:t>
      </w:r>
    </w:p>
    <w:p w14:paraId="51AD9850" w14:textId="77777777" w:rsidR="00480F1C" w:rsidRDefault="00A201F6">
      <w:pPr>
        <w:pStyle w:val="P68B1DB1-Normal017"/>
        <w:pBdr>
          <w:top w:val="nil"/>
          <w:left w:val="nil"/>
          <w:bottom w:val="nil"/>
          <w:right w:val="nil"/>
          <w:between w:val="nil"/>
        </w:pBdr>
        <w:spacing w:before="120" w:after="120" w:line="240" w:lineRule="auto"/>
        <w:jc w:val="both"/>
        <w:rPr>
          <w:rFonts w:eastAsia="Times New Roman" w:cs="Times New Roman"/>
          <w:noProof/>
          <w:color w:val="000000"/>
        </w:rPr>
      </w:pPr>
      <w:r>
        <w:rPr>
          <w:noProof/>
        </w:rPr>
        <w:t>Een</w:t>
      </w:r>
      <w:r>
        <w:rPr>
          <w:noProof/>
          <w:color w:val="000000" w:themeColor="text1"/>
        </w:rPr>
        <w:t xml:space="preserve"> reeks wetswijzigingen zorgt ervoor dat duurzaamheidsaspecten beter worden geïntegreerd in de stedenbouwkundige procedures en dat belanghebbenden naar behoren worden geraadpleegd in het kader van die procedures. Bovendien moet ervoor worden gezorgd dat lokale autoriteiten passende capaciteitsondersteuning krijgen om projecten voor de beperking van en aanpassing aan de klimaatverandering te prioriteren, te plannen en uit te voeren. Deze regelgevings- en capaciteitsopbouwende elementen worden aangevuld met de invoering van een specifiek instrument dat gericht is op het verstrekken van financiering voor investeringen in de groene transitie in stedelijke gebieden. </w:t>
      </w:r>
    </w:p>
    <w:p w14:paraId="089EA5EC" w14:textId="29C41E53" w:rsidR="00480F1C" w:rsidRDefault="00A201F6">
      <w:pPr>
        <w:pStyle w:val="Normal0"/>
        <w:spacing w:before="120" w:after="120" w:line="240" w:lineRule="auto"/>
        <w:jc w:val="both"/>
        <w:rPr>
          <w:rFonts w:ascii="Times New Roman" w:eastAsia="Times New Roman" w:hAnsi="Times New Roman" w:cs="Times New Roman"/>
          <w:noProof/>
          <w:color w:val="000000" w:themeColor="text1"/>
          <w:sz w:val="24"/>
        </w:rPr>
      </w:pPr>
      <w:r>
        <w:rPr>
          <w:rFonts w:ascii="Times New Roman" w:hAnsi="Times New Roman"/>
          <w:noProof/>
          <w:color w:val="000000" w:themeColor="text1"/>
          <w:sz w:val="24"/>
        </w:rPr>
        <w:t>Om ervoor te zorgen dat de maatregel voldoet aan de technische richtsnoeren „geen ernstige afbreuk doen” (2021/C58/01), worden de volgende activiteiten uitgesloten van de subsidiabiliteitscriteria voor projecten: I) activiteiten in verband met fossiele brandstoffen, met inbegrip van downstreamgebruik</w:t>
      </w:r>
      <w:r>
        <w:rPr>
          <w:rStyle w:val="FootnoteReference"/>
          <w:rFonts w:ascii="Times New Roman" w:eastAsia="Times New Roman" w:hAnsi="Times New Roman" w:cs="Times New Roman"/>
          <w:noProof/>
          <w:color w:val="000000" w:themeColor="text1"/>
          <w:sz w:val="24"/>
        </w:rPr>
        <w:footnoteReference w:id="20"/>
      </w:r>
      <w:r>
        <w:rPr>
          <w:rFonts w:ascii="Times New Roman" w:hAnsi="Times New Roman"/>
          <w:noProof/>
          <w:color w:val="000000" w:themeColor="text1"/>
          <w:sz w:val="24"/>
        </w:rPr>
        <w:t>; II) activiteiten in het kader van het EU-emissiehandelssysteem (ETS) waarmee de verwachte broeikasgasemissies niet lager zijn dan de relevante benchmarks</w:t>
      </w:r>
      <w:r>
        <w:rPr>
          <w:rStyle w:val="FootnoteReference"/>
          <w:rFonts w:ascii="Times New Roman" w:eastAsia="Times New Roman" w:hAnsi="Times New Roman" w:cs="Times New Roman"/>
          <w:noProof/>
          <w:color w:val="000000" w:themeColor="text1"/>
          <w:sz w:val="24"/>
        </w:rPr>
        <w:footnoteReference w:id="21"/>
      </w:r>
      <w:r>
        <w:rPr>
          <w:rFonts w:ascii="Times New Roman" w:hAnsi="Times New Roman"/>
          <w:noProof/>
          <w:color w:val="000000" w:themeColor="text1"/>
          <w:sz w:val="24"/>
        </w:rPr>
        <w:t>; III) activiteiten in verband met stortplaatsen voor afval, verbrandingsinstallaties</w:t>
      </w:r>
      <w:r>
        <w:rPr>
          <w:rStyle w:val="FootnoteReference"/>
          <w:rFonts w:ascii="Times New Roman" w:eastAsia="Times New Roman" w:hAnsi="Times New Roman" w:cs="Times New Roman"/>
          <w:noProof/>
          <w:color w:val="000000" w:themeColor="text1"/>
          <w:sz w:val="24"/>
        </w:rPr>
        <w:footnoteReference w:id="22"/>
      </w:r>
      <w:r>
        <w:rPr>
          <w:rFonts w:ascii="Times New Roman" w:hAnsi="Times New Roman"/>
          <w:noProof/>
          <w:color w:val="000000" w:themeColor="text1"/>
          <w:sz w:val="24"/>
        </w:rPr>
        <w:t xml:space="preserve"> en installaties voor mechanische biologische behandeling</w:t>
      </w:r>
      <w:r>
        <w:rPr>
          <w:rStyle w:val="FootnoteReference"/>
          <w:rFonts w:ascii="Times New Roman" w:eastAsia="Times New Roman" w:hAnsi="Times New Roman" w:cs="Times New Roman"/>
          <w:noProof/>
          <w:color w:val="000000" w:themeColor="text1"/>
          <w:sz w:val="24"/>
        </w:rPr>
        <w:footnoteReference w:id="23"/>
      </w:r>
      <w:r>
        <w:rPr>
          <w:rFonts w:ascii="Times New Roman" w:hAnsi="Times New Roman"/>
          <w:noProof/>
          <w:color w:val="000000" w:themeColor="text1"/>
          <w:sz w:val="24"/>
        </w:rPr>
        <w:t>; en iv) activiteiten waarbij de langdurige verwijdering van afval schade kan toebrengen aan het milieu. In de taakomschrijving wordt bovendien bepaald dat alleen activiteiten mogen worden geselecteerd die voldoen aan de relevante EU- en nationale milieuwetgeving.</w:t>
      </w:r>
    </w:p>
    <w:p w14:paraId="0224B4F0" w14:textId="77777777" w:rsidR="00480F1C" w:rsidRDefault="00A201F6">
      <w:pPr>
        <w:pStyle w:val="P68B1DB1-Normal05"/>
        <w:pBdr>
          <w:top w:val="nil"/>
          <w:left w:val="nil"/>
          <w:bottom w:val="nil"/>
          <w:right w:val="nil"/>
          <w:between w:val="nil"/>
        </w:pBdr>
        <w:spacing w:before="120" w:after="120" w:line="240" w:lineRule="auto"/>
        <w:rPr>
          <w:rFonts w:eastAsia="Times New Roman" w:cs="Times New Roman"/>
          <w:noProof/>
          <w:color w:val="000000"/>
        </w:rPr>
      </w:pPr>
      <w:r>
        <w:rPr>
          <w:noProof/>
        </w:rPr>
        <w:t xml:space="preserve">De wetswijzigingen ter bevordering van groene stedelijke investeringen treden uiterlijk op 31 december 2023 in werking. Het fonds voor de groene stedelijke transitie wordt uiterlijk op 30 juni 2022 opgericht. </w:t>
      </w:r>
    </w:p>
    <w:p w14:paraId="17D90299" w14:textId="7D20BECC" w:rsidR="00480F1C" w:rsidRDefault="00A201F6">
      <w:pPr>
        <w:pStyle w:val="P68B1DB1-Normal014"/>
        <w:pBdr>
          <w:top w:val="nil"/>
          <w:left w:val="nil"/>
          <w:bottom w:val="nil"/>
          <w:right w:val="nil"/>
          <w:between w:val="nil"/>
        </w:pBdr>
        <w:spacing w:before="120" w:after="120" w:line="240" w:lineRule="auto"/>
        <w:rPr>
          <w:rFonts w:eastAsia="Times New Roman" w:cs="Times New Roman"/>
          <w:noProof/>
          <w:color w:val="000000"/>
        </w:rPr>
      </w:pPr>
      <w:r>
        <w:rPr>
          <w:noProof/>
        </w:rPr>
        <w:t>B3.4.1 Investeringen in een groene transformatie van steden</w:t>
      </w:r>
    </w:p>
    <w:p w14:paraId="4C99C74E" w14:textId="191B196E"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Het doel van de investering is de impact van steden op de klimaatverandering en de gezondheid van hun inwoners te beperken door de uitstoot van broeikasgassen en andere verontreinigende stoffen te verminderen, de veerkracht van steden op energiegebied te vergroten en energiearmoede te bestrijden. Het doel is ook om steden aan te passen aan de toenemende extreme weersomstandigheden in verband met de klimaatverandering, zoals droogte, hittegolven en overstromingen. </w:t>
      </w:r>
    </w:p>
    <w:p w14:paraId="4AE1EB5F" w14:textId="1E7A06EB" w:rsidR="00480F1C" w:rsidRDefault="00A201F6">
      <w:pPr>
        <w:pStyle w:val="P68B1DB1-Normal1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jc w:val="both"/>
        <w:rPr>
          <w:rFonts w:eastAsia="Times New Roman" w:cs="Times New Roman"/>
          <w:noProof/>
          <w:color w:val="000000"/>
        </w:rPr>
      </w:pPr>
      <w:r>
        <w:rPr>
          <w:noProof/>
        </w:rPr>
        <w:t xml:space="preserve">Er worden investeringen gedaan die erop gericht zijn het gebruik van hernieuwbare energiebronnen als energiebron in de stad te vergroten, de energie-efficiëntie te verhogen, met inbegrip van de renovatie van gebouwen, de ontwikkeling van emissievrije vervoersinfrastructuur (voetgangers, fietsen) die geïntegreerd is in het collectieve vervoer, het onderwijs te verbeteren en burgers bewust te maken van de noodzaak om steden om te vormen tot klimaatneutraliteit door zich aan te passen aan de klimaatverandering. De maatregel voorziet ook in investeringen in projecten die gericht zijn op het vergroten van biologisch actieve oppervlakken in stedelijke en functionele gebieden en het verminderen van bodemafdekking en op de natuur gebaseerde stedelijke investeringen met bijbehorende vegetatieoplossingen. </w:t>
      </w:r>
    </w:p>
    <w:p w14:paraId="1A72EF58" w14:textId="3B2DFCAB" w:rsidR="00480F1C" w:rsidRDefault="00A201F6">
      <w:pPr>
        <w:pStyle w:val="Normal0"/>
        <w:spacing w:before="120" w:after="120" w:line="240" w:lineRule="auto"/>
        <w:jc w:val="both"/>
        <w:rPr>
          <w:rFonts w:ascii="Times New Roman" w:eastAsia="Times New Roman" w:hAnsi="Times New Roman" w:cs="Times New Roman"/>
          <w:noProof/>
          <w:color w:val="000000" w:themeColor="text1"/>
          <w:sz w:val="24"/>
        </w:rPr>
      </w:pPr>
      <w:r>
        <w:rPr>
          <w:rFonts w:ascii="Times New Roman" w:hAnsi="Times New Roman"/>
          <w:noProof/>
          <w:color w:val="000000" w:themeColor="text1"/>
          <w:sz w:val="24"/>
        </w:rPr>
        <w:t>Om ervoor te zorgen dat de maatregel voldoet aan de technische richtsnoeren „geen ernstige afbreuk doen” (C (2023) 6454 final), worden de volgende activiteiten uitgesloten van de subsidiabiliteitscriteria voor projecten: I) activiteiten in verband met fossiele brandstoffen, met inbegrip van downstreamgebruik</w:t>
      </w:r>
      <w:r>
        <w:rPr>
          <w:rStyle w:val="FootnoteReference"/>
          <w:rFonts w:ascii="Times New Roman" w:eastAsia="Times New Roman" w:hAnsi="Times New Roman" w:cs="Times New Roman"/>
          <w:noProof/>
          <w:color w:val="000000" w:themeColor="text1"/>
          <w:sz w:val="24"/>
        </w:rPr>
        <w:footnoteReference w:id="24"/>
      </w:r>
      <w:r>
        <w:rPr>
          <w:rFonts w:ascii="Times New Roman" w:hAnsi="Times New Roman"/>
          <w:noProof/>
          <w:color w:val="000000" w:themeColor="text1"/>
          <w:sz w:val="24"/>
        </w:rPr>
        <w:t>; II) activiteiten in het kader van het EU-emissiehandelssysteem (ETS) waarmee de verwachte broeikasgasemissies niet lager zijn dan de relevante benchmarks</w:t>
      </w:r>
      <w:r>
        <w:rPr>
          <w:rStyle w:val="FootnoteReference"/>
          <w:rFonts w:ascii="Times New Roman" w:eastAsia="Times New Roman" w:hAnsi="Times New Roman" w:cs="Times New Roman"/>
          <w:noProof/>
          <w:color w:val="000000" w:themeColor="text1"/>
          <w:sz w:val="24"/>
        </w:rPr>
        <w:footnoteReference w:id="25"/>
      </w:r>
      <w:r>
        <w:rPr>
          <w:rFonts w:ascii="Times New Roman" w:hAnsi="Times New Roman"/>
          <w:noProof/>
          <w:color w:val="000000" w:themeColor="text1"/>
          <w:sz w:val="24"/>
        </w:rPr>
        <w:t>; III) activiteiten in verband met stortplaatsen voor afval, verbrandingsinstallaties</w:t>
      </w:r>
      <w:r>
        <w:rPr>
          <w:rStyle w:val="FootnoteReference"/>
          <w:rFonts w:ascii="Times New Roman" w:eastAsia="Times New Roman" w:hAnsi="Times New Roman" w:cs="Times New Roman"/>
          <w:noProof/>
          <w:color w:val="000000" w:themeColor="text1"/>
          <w:sz w:val="24"/>
        </w:rPr>
        <w:footnoteReference w:id="26"/>
      </w:r>
      <w:r>
        <w:rPr>
          <w:rFonts w:ascii="Times New Roman" w:hAnsi="Times New Roman"/>
          <w:noProof/>
          <w:color w:val="000000" w:themeColor="text1"/>
          <w:sz w:val="24"/>
        </w:rPr>
        <w:t xml:space="preserve"> en installaties voor mechanische biologische behandeling</w:t>
      </w:r>
      <w:r>
        <w:rPr>
          <w:rStyle w:val="FootnoteReference"/>
          <w:rFonts w:ascii="Times New Roman" w:eastAsia="Times New Roman" w:hAnsi="Times New Roman" w:cs="Times New Roman"/>
          <w:noProof/>
          <w:color w:val="000000" w:themeColor="text1"/>
          <w:sz w:val="24"/>
        </w:rPr>
        <w:footnoteReference w:id="27"/>
      </w:r>
      <w:r>
        <w:rPr>
          <w:rFonts w:ascii="Times New Roman" w:hAnsi="Times New Roman"/>
          <w:noProof/>
          <w:color w:val="000000" w:themeColor="text1"/>
          <w:sz w:val="24"/>
        </w:rPr>
        <w:t>; en iv) activiteiten waarbij de langdurige verwijdering van afval schade kan toebrengen aan het milieu. In de taakomschrijving wordt bovendien bepaald dat alleen activiteiten mogen worden geselecteerd die voldoen aan de relevante EU- en nationale milieuwetgeving.</w:t>
      </w:r>
    </w:p>
    <w:p w14:paraId="53C3FE08" w14:textId="1CDE4CBA" w:rsidR="00480F1C" w:rsidRDefault="00A201F6">
      <w:pPr>
        <w:pStyle w:val="P68B1DB1-Normal05"/>
        <w:spacing w:before="120" w:after="120" w:line="240" w:lineRule="auto"/>
        <w:jc w:val="both"/>
        <w:rPr>
          <w:rFonts w:eastAsia="Times New Roman" w:cs="Times New Roman"/>
          <w:noProof/>
          <w:highlight w:val="yellow"/>
        </w:rPr>
      </w:pPr>
      <w:r>
        <w:rPr>
          <w:noProof/>
        </w:rPr>
        <w:t>De uitvoering van de actie wordt uiterlijk op 31 augustus 2026 voltooid.</w:t>
      </w:r>
    </w:p>
    <w:p w14:paraId="43CF214C" w14:textId="2855CFC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themeColor="text1"/>
          <w:sz w:val="24"/>
          <w:u w:val="single"/>
        </w:rPr>
      </w:pPr>
    </w:p>
    <w:p w14:paraId="6FAC569F"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rPr>
      </w:pPr>
      <w:r>
        <w:rPr>
          <w:noProof/>
        </w:rPr>
        <w:t>B3.5 Hervorming van de woningbouw voor mensen met een laag en gemiddeld inkomen, rekening houdend met de hogere energie-efficiëntie van gebouwen</w:t>
      </w:r>
    </w:p>
    <w:p w14:paraId="48BCAD5B"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rPr>
      </w:pPr>
      <w:r>
        <w:rPr>
          <w:noProof/>
        </w:rPr>
        <w:t xml:space="preserve">Het doel van de hervorming is het aanbod van energie-efficiënte woningen voor huishoudens met een laag en gemiddeld inkomen te vergroten. </w:t>
      </w:r>
    </w:p>
    <w:p w14:paraId="52394D37"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rPr>
      </w:pPr>
      <w:r>
        <w:rPr>
          <w:noProof/>
        </w:rPr>
        <w:t>Die doelstelling wordt bereikt door het percentage publieke medefinanciering te verhogen voor gebouwen die voldoen aan energie-efficiëntienormen met 20 % ambitieuzer dan de in Polen geldende minimumnorm voor energie-efficiëntie (norm voor bijna-energieneutrale gebouwen).</w:t>
      </w:r>
    </w:p>
    <w:p w14:paraId="3E9A3B99" w14:textId="70C983CA"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rPr>
      </w:pPr>
      <w:r>
        <w:rPr>
          <w:noProof/>
        </w:rPr>
        <w:t xml:space="preserve">De hervorming wordt uiterlijk op 30 juni 2022 voltooid. </w:t>
      </w:r>
    </w:p>
    <w:p w14:paraId="544D80EE" w14:textId="77777777" w:rsidR="00480F1C" w:rsidRDefault="00A201F6">
      <w:pPr>
        <w:pStyle w:val="P68B1DB1-Normal014"/>
        <w:pageBreakBefore/>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B3.5.1 Investeringen in energie-efficiënte huisvesting voor huishoudens met een laag en gemiddeld inkomen </w:t>
      </w:r>
    </w:p>
    <w:p w14:paraId="0F46A54D"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Het doel van de investering is het vergroten van het aanbod van energie-efficiënte woningen voor huishoudens met een laag en gemiddeld inkomen.</w:t>
      </w:r>
    </w:p>
    <w:p w14:paraId="671E5740" w14:textId="2F86E8E6"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 investeringen dienen ter ondersteuning van de bouw van woningen die deel uitmaken van de gemeentelijke woningvoorraad, beschutte woningen, accommodatie, opvangplaatsen voor daklozen, verwarming en tijdelijke huisvesting, en de deelname van de gemeente of een intercommunaal samenwerkingsverband aan een project van een andere investeerder, bestaande uit het creëren van huurwoningen voor mensen met een laag inkomen die zich geen accommodatie op de particuliere markt kunnen veroorloven. </w:t>
      </w:r>
    </w:p>
    <w:p w14:paraId="60923F17"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Er worden investeringen gedaan voor de bouw van emissiearme appartementsgebouwen met meerdere appartementen die gebruikmaken van HEB-installaties (met inbegrip van met name fotovoltaïsche panelen, zonnecollectoren) en andere „groene” oplossingen die de energie-efficiëntie van gebouwen verhogen. Het energieverbruik van ondersteunde gebouwen moet 20 % lager zijn dan de minimumnorm voor energieprestaties (energieneutraal gebouw) voor nieuwe gebouwen. </w:t>
      </w:r>
    </w:p>
    <w:p w14:paraId="509ACA59" w14:textId="77777777" w:rsidR="00480F1C" w:rsidRDefault="00A201F6">
      <w:pPr>
        <w:pStyle w:val="P68B1DB1-Normal05"/>
        <w:pBdr>
          <w:top w:val="nil"/>
          <w:left w:val="nil"/>
          <w:bottom w:val="nil"/>
          <w:right w:val="nil"/>
          <w:between w:val="nil"/>
        </w:pBdr>
        <w:spacing w:line="240" w:lineRule="auto"/>
        <w:jc w:val="both"/>
        <w:rPr>
          <w:rFonts w:eastAsia="Times New Roman" w:cs="Times New Roman"/>
          <w:noProof/>
        </w:rPr>
      </w:pPr>
      <w:r>
        <w:rPr>
          <w:noProof/>
        </w:rPr>
        <w:t>De investering moet uiterlijk op 30 juni 2026 zijn voltooid.</w:t>
      </w:r>
    </w:p>
    <w:p w14:paraId="3E5BBEC0" w14:textId="2C6BDFCF" w:rsidR="00480F1C" w:rsidRDefault="00A201F6">
      <w:pPr>
        <w:pStyle w:val="P68B1DB1-Normal13"/>
        <w:rPr>
          <w:rFonts w:eastAsia="Times New Roman" w:cs="Times New Roman"/>
          <w:noProof/>
          <w:color w:val="000000" w:themeColor="text1"/>
        </w:rPr>
      </w:pPr>
      <w:r>
        <w:rPr>
          <w:noProof/>
        </w:rPr>
        <w:t>B3.6 Verbetering van de voorwaarden voor de ontwikkeling van hernieuwbare energiebronnen</w:t>
      </w:r>
    </w:p>
    <w:p w14:paraId="05211523" w14:textId="2C6BDFCF" w:rsidR="00480F1C" w:rsidRDefault="00A201F6">
      <w:pPr>
        <w:pStyle w:val="P68B1DB1-Normal15"/>
        <w:spacing w:before="120" w:after="120" w:line="240" w:lineRule="auto"/>
        <w:jc w:val="both"/>
        <w:rPr>
          <w:rFonts w:eastAsia="Times New Roman" w:cs="Times New Roman"/>
          <w:noProof/>
        </w:rPr>
      </w:pPr>
      <w:r>
        <w:rPr>
          <w:noProof/>
        </w:rPr>
        <w:t>Het doel van de hervorming is het regelgevingsklimaat voor gedistribueerde energie en energie uit prosumenten te verbeteren, de toeleveringsketen voor offshore-windenergie te ontwikkelen, energiebeheersystemen in te voeren, de geïnstalleerde capaciteit van hernieuwbare energiebronnen te vergroten en het aandeel energie uit hernieuwbare energiebronnen te vergroten.</w:t>
      </w:r>
    </w:p>
    <w:p w14:paraId="186F6D06" w14:textId="2C6BDFCF" w:rsidR="00480F1C" w:rsidRDefault="00A201F6">
      <w:pPr>
        <w:pStyle w:val="P68B1DB1-Normal15"/>
        <w:spacing w:before="120" w:after="120" w:line="240" w:lineRule="auto"/>
        <w:jc w:val="both"/>
        <w:rPr>
          <w:rFonts w:eastAsia="Times New Roman" w:cs="Times New Roman"/>
          <w:noProof/>
        </w:rPr>
      </w:pPr>
      <w:r>
        <w:rPr>
          <w:noProof/>
        </w:rPr>
        <w:t>De hervorming bestaat uit wijzigingen van de wet hernieuwbare energie („HEB-wet”), zoals de invoering van betere voorwaarden voor het functioneren van energieclusters, de invoering van collectieve modellen van energieprosumenten, de uitvoering van bepalingen inzake nieuwe hernieuwbare-energiegemeenschappen, de invoering van bepalingen waarin de operationele beginselen worden gespecificeerd voor een van de modellen van hernieuwbare-energiegemeenschappen en de goedkeuring van de beginselen voor het runnen van een bedrijf voor de biomethaansector. De wijziging verlengt ook de looptijd van de steunregeling voor hernieuwbare energiebronnen tot en met 31 december 2027.</w:t>
      </w:r>
    </w:p>
    <w:p w14:paraId="008BEE50" w14:textId="2C6BDFCF" w:rsidR="00480F1C" w:rsidRDefault="00A201F6">
      <w:pPr>
        <w:pStyle w:val="P68B1DB1-Normal15"/>
        <w:spacing w:before="120" w:after="120" w:line="240" w:lineRule="auto"/>
        <w:jc w:val="both"/>
        <w:rPr>
          <w:rFonts w:eastAsia="Times New Roman" w:cs="Times New Roman"/>
          <w:noProof/>
        </w:rPr>
      </w:pPr>
      <w:r>
        <w:rPr>
          <w:noProof/>
        </w:rPr>
        <w:t>De uitvoering van de actie wordt uiterlijk op 30 maart 2023 voltooid.</w:t>
      </w:r>
    </w:p>
    <w:p w14:paraId="5D30B634" w14:textId="2C6BDFCF" w:rsidR="00480F1C" w:rsidRDefault="00A201F6">
      <w:pPr>
        <w:pStyle w:val="P68B1DB1-Normal15"/>
        <w:spacing w:before="120" w:after="120" w:line="240" w:lineRule="auto"/>
        <w:jc w:val="both"/>
        <w:rPr>
          <w:rFonts w:eastAsia="Times New Roman" w:cs="Times New Roman"/>
          <w:noProof/>
        </w:rPr>
      </w:pPr>
      <w:r>
        <w:rPr>
          <w:noProof/>
        </w:rPr>
        <w:t>Bij de hervorming wordt ook de wet inzake investeringen in onshorewindenergie gewijzigd om de mogelijkheid van investeringen in windenergie op het land te vergemakkelijken in gemeenten die dergelijke installaties willen vestigen, door de gemeentelijke autoriteiten meer macht te geven om de locatie van individuele investeringen te bepalen en ervoor te zorgen dat de installatie zich dichter bij woongebouwen bevindt dan de huidige minimumafstand van 10 maal de hoogte van de installatie.</w:t>
      </w:r>
    </w:p>
    <w:p w14:paraId="25C026D9" w14:textId="2C6BDFCF" w:rsidR="00480F1C" w:rsidRDefault="00A201F6">
      <w:pPr>
        <w:pStyle w:val="P68B1DB1-Normal15"/>
        <w:spacing w:before="120" w:after="120" w:line="240" w:lineRule="auto"/>
        <w:jc w:val="both"/>
        <w:rPr>
          <w:rFonts w:eastAsia="Times New Roman" w:cs="Times New Roman"/>
          <w:noProof/>
        </w:rPr>
      </w:pPr>
      <w:r>
        <w:rPr>
          <w:noProof/>
        </w:rPr>
        <w:t>De uitvoering van de actie wordt uiterlijk op 30 juni 2022 voltooid.</w:t>
      </w:r>
    </w:p>
    <w:p w14:paraId="31008F13" w14:textId="2C6BDFCF" w:rsidR="00480F1C" w:rsidRDefault="00A201F6">
      <w:pPr>
        <w:pStyle w:val="P68B1DB1-Normal15"/>
        <w:spacing w:before="120" w:after="120" w:line="240" w:lineRule="auto"/>
        <w:jc w:val="both"/>
        <w:rPr>
          <w:rFonts w:eastAsia="Times New Roman" w:cs="Times New Roman"/>
          <w:noProof/>
        </w:rPr>
      </w:pPr>
      <w:r>
        <w:rPr>
          <w:noProof/>
        </w:rPr>
        <w:t xml:space="preserve">De bovengenoemde hervorming gaat vergezeld van de inwerkingtreding van een verordening die voorziet in een plan van veilingen voor hernieuwbare energie per technologie (ook voor nieuwe onshore-windmolenparken). Het plan bevat een begroting en een hoeveelheid elektriciteit die beschikbaar is voor elke concurrerende veiling voor de periode 2022-2027. De verordening wordt uiterlijk op 30 september 2022 bekendgemaakt. </w:t>
      </w:r>
    </w:p>
    <w:p w14:paraId="22587AD8" w14:textId="220F3F17" w:rsidR="00480F1C" w:rsidRDefault="00A201F6">
      <w:pPr>
        <w:pStyle w:val="P68B1DB1-Normal15"/>
        <w:spacing w:before="120" w:after="120" w:line="240" w:lineRule="auto"/>
        <w:jc w:val="both"/>
        <w:rPr>
          <w:rFonts w:eastAsia="Times New Roman" w:cs="Times New Roman"/>
          <w:noProof/>
        </w:rPr>
      </w:pPr>
      <w:r>
        <w:rPr>
          <w:noProof/>
        </w:rPr>
        <w:t>Voorts verhoogt Polen de geïnstalleerde capaciteit van windmolenparken op het land en fotovoltaïsche installaties geleidelijk om bij te dragen tot de groene transitie. De geïnstalleerde onshore-wind- en fotovoltaïsche capaciteit bedraagt 23,5 GW tegen 30 september 2023.</w:t>
      </w:r>
    </w:p>
    <w:p w14:paraId="40EF849D" w14:textId="2C6BDFCF" w:rsidR="00480F1C" w:rsidRDefault="00A201F6">
      <w:pPr>
        <w:pStyle w:val="P68B1DB1-Normal15"/>
        <w:spacing w:before="120" w:after="120" w:line="240" w:lineRule="auto"/>
        <w:jc w:val="both"/>
        <w:rPr>
          <w:rFonts w:eastAsia="Times New Roman" w:cs="Times New Roman"/>
          <w:noProof/>
        </w:rPr>
      </w:pPr>
      <w:r>
        <w:rPr>
          <w:noProof/>
        </w:rPr>
        <w:t xml:space="preserve">Wat de ontwikkeling van offshorewindmolenparken betreft, worden bij de hervorming gedetailleerde regels ingevoerd voor de betaling van de concessievergoeding aan de voorzitter van het Bureau voor energieregulering, uitgebreid tot entiteiten die betrokken zijn bij de opwekking van elektriciteit in offshore-windmolenparken. </w:t>
      </w:r>
    </w:p>
    <w:p w14:paraId="2D760B72" w14:textId="2C6BDFCF" w:rsidR="00480F1C" w:rsidRDefault="00A201F6">
      <w:pPr>
        <w:pStyle w:val="P68B1DB1-Normal15"/>
        <w:spacing w:before="120" w:after="120" w:line="240" w:lineRule="auto"/>
        <w:jc w:val="both"/>
        <w:rPr>
          <w:rFonts w:eastAsia="Times New Roman" w:cs="Times New Roman"/>
          <w:noProof/>
        </w:rPr>
      </w:pPr>
      <w:r>
        <w:rPr>
          <w:noProof/>
        </w:rPr>
        <w:t>De uitvoering van deze actie wordt uiterlijk op 30 juni 2022 voltooid.</w:t>
      </w:r>
    </w:p>
    <w:p w14:paraId="31A7AA90" w14:textId="2C6BDFCF" w:rsidR="00480F1C" w:rsidRDefault="00A201F6">
      <w:pPr>
        <w:pStyle w:val="P68B1DB1-Normal15"/>
        <w:spacing w:before="120" w:after="120" w:line="240" w:lineRule="auto"/>
        <w:jc w:val="both"/>
        <w:rPr>
          <w:rFonts w:eastAsia="Times New Roman" w:cs="Times New Roman"/>
          <w:noProof/>
        </w:rPr>
      </w:pPr>
      <w:r>
        <w:rPr>
          <w:noProof/>
        </w:rPr>
        <w:t>Voorts worden bij de hervorming ook de soorten kasstromen geregeld die in aanmerking moeten worden genomen bij de berekening van de aangepaste prijs en de gedetailleerde methode voor de berekening van de aangepaste prijs.</w:t>
      </w:r>
    </w:p>
    <w:p w14:paraId="029F5691" w14:textId="2C6BDFCF" w:rsidR="00480F1C" w:rsidRDefault="00A201F6">
      <w:pPr>
        <w:pStyle w:val="P68B1DB1-Normal15"/>
        <w:spacing w:before="120" w:after="120" w:line="240" w:lineRule="auto"/>
        <w:jc w:val="both"/>
        <w:rPr>
          <w:rFonts w:eastAsia="Times New Roman" w:cs="Times New Roman"/>
          <w:noProof/>
        </w:rPr>
      </w:pPr>
      <w:r>
        <w:rPr>
          <w:noProof/>
        </w:rPr>
        <w:t>De uitvoering van deze actie wordt uiterlijk op 31 december 2022 voltooid.</w:t>
      </w:r>
    </w:p>
    <w:p w14:paraId="5CF974F5" w14:textId="2C6BDFCF" w:rsidR="00480F1C" w:rsidRDefault="00480F1C">
      <w:pPr>
        <w:pStyle w:val="Normal0"/>
        <w:pBdr>
          <w:top w:val="nil"/>
          <w:left w:val="nil"/>
          <w:bottom w:val="nil"/>
          <w:right w:val="nil"/>
          <w:between w:val="nil"/>
        </w:pBdr>
        <w:spacing w:line="240" w:lineRule="auto"/>
        <w:jc w:val="both"/>
        <w:rPr>
          <w:rFonts w:ascii="Times New Roman" w:eastAsia="Times New Roman" w:hAnsi="Times New Roman" w:cs="Times New Roman"/>
          <w:noProof/>
          <w:color w:val="000000" w:themeColor="text1"/>
          <w:sz w:val="24"/>
        </w:rPr>
        <w:sectPr w:rsidR="00480F1C">
          <w:headerReference w:type="even" r:id="rId67"/>
          <w:headerReference w:type="default" r:id="rId68"/>
          <w:footerReference w:type="even" r:id="rId69"/>
          <w:footerReference w:type="default" r:id="rId70"/>
          <w:headerReference w:type="first" r:id="rId71"/>
          <w:footerReference w:type="first" r:id="rId72"/>
          <w:pgSz w:w="11907" w:h="16839"/>
          <w:pgMar w:top="1134" w:right="1417" w:bottom="1134" w:left="1417" w:header="709" w:footer="709" w:gutter="0"/>
          <w:cols w:space="720"/>
        </w:sectPr>
      </w:pPr>
    </w:p>
    <w:p w14:paraId="6DD44305" w14:textId="2E986EAF" w:rsidR="00480F1C" w:rsidRDefault="00A201F6">
      <w:pPr>
        <w:pStyle w:val="Normal0"/>
        <w:pBdr>
          <w:top w:val="nil"/>
          <w:left w:val="nil"/>
          <w:bottom w:val="nil"/>
          <w:right w:val="nil"/>
          <w:between w:val="nil"/>
        </w:pBdr>
        <w:spacing w:line="240" w:lineRule="auto"/>
        <w:jc w:val="both"/>
        <w:rPr>
          <w:rFonts w:ascii="Times New Roman" w:eastAsia="Times New Roman" w:hAnsi="Times New Roman" w:cs="Times New Roman"/>
          <w:b/>
          <w:noProof/>
          <w:color w:val="000000"/>
          <w:sz w:val="24"/>
        </w:rPr>
      </w:pPr>
      <w:r>
        <w:rPr>
          <w:rFonts w:ascii="Times New Roman" w:hAnsi="Times New Roman"/>
          <w:b/>
          <w:noProof/>
          <w:color w:val="000000"/>
          <w:sz w:val="24"/>
        </w:rPr>
        <w:t xml:space="preserve">B.4. </w:t>
      </w:r>
      <w:r>
        <w:rPr>
          <w:noProof/>
        </w:rPr>
        <w:tab/>
      </w:r>
      <w:r>
        <w:rPr>
          <w:rFonts w:ascii="Times New Roman" w:hAnsi="Times New Roman"/>
          <w:b/>
          <w:noProof/>
          <w:color w:val="000000"/>
          <w:sz w:val="24"/>
        </w:rPr>
        <w:t>Mijlpalen, streefdoelen, indicatoren en tijdschema voor de monitoring en uitvoering voor de lening</w:t>
      </w:r>
    </w:p>
    <w:tbl>
      <w:tblPr>
        <w:tblW w:w="15390" w:type="dxa"/>
        <w:tblInd w:w="-5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115" w:type="dxa"/>
          <w:right w:w="115" w:type="dxa"/>
        </w:tblCellMar>
        <w:tblLook w:val="0400" w:firstRow="0" w:lastRow="0" w:firstColumn="0" w:lastColumn="0" w:noHBand="0" w:noVBand="1"/>
      </w:tblPr>
      <w:tblGrid>
        <w:gridCol w:w="812"/>
        <w:gridCol w:w="1720"/>
        <w:gridCol w:w="1008"/>
        <w:gridCol w:w="1848"/>
        <w:gridCol w:w="1545"/>
        <w:gridCol w:w="938"/>
        <w:gridCol w:w="938"/>
        <w:gridCol w:w="867"/>
        <w:gridCol w:w="952"/>
        <w:gridCol w:w="681"/>
        <w:gridCol w:w="4081"/>
      </w:tblGrid>
      <w:tr w:rsidR="00480F1C" w14:paraId="3B0D0D3A" w14:textId="77777777">
        <w:trPr>
          <w:trHeight w:val="939"/>
          <w:tblHeader/>
        </w:trPr>
        <w:tc>
          <w:tcPr>
            <w:tcW w:w="821" w:type="dxa"/>
            <w:vMerge w:val="restart"/>
            <w:shd w:val="clear" w:color="auto" w:fill="BDD7EE"/>
            <w:vAlign w:val="center"/>
          </w:tcPr>
          <w:p w14:paraId="2EECDF86"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Volgende NR.</w:t>
            </w:r>
          </w:p>
        </w:tc>
        <w:tc>
          <w:tcPr>
            <w:tcW w:w="1745" w:type="dxa"/>
            <w:vMerge w:val="restart"/>
            <w:shd w:val="clear" w:color="auto" w:fill="BDD7EE"/>
            <w:vAlign w:val="center"/>
          </w:tcPr>
          <w:p w14:paraId="5047F5DD"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Gerelateerde maatregel (hervorming of investering)</w:t>
            </w:r>
          </w:p>
        </w:tc>
        <w:tc>
          <w:tcPr>
            <w:tcW w:w="1021" w:type="dxa"/>
            <w:vMerge w:val="restart"/>
            <w:shd w:val="clear" w:color="auto" w:fill="BDD7EE"/>
            <w:vAlign w:val="center"/>
          </w:tcPr>
          <w:p w14:paraId="73B0057C"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Mijlpaal/Doelstelling</w:t>
            </w:r>
          </w:p>
        </w:tc>
        <w:tc>
          <w:tcPr>
            <w:tcW w:w="1875" w:type="dxa"/>
            <w:vMerge w:val="restart"/>
            <w:shd w:val="clear" w:color="auto" w:fill="BDD7EE"/>
            <w:vAlign w:val="center"/>
          </w:tcPr>
          <w:p w14:paraId="42CF5CF5"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Naam</w:t>
            </w:r>
          </w:p>
        </w:tc>
        <w:tc>
          <w:tcPr>
            <w:tcW w:w="1567" w:type="dxa"/>
            <w:vMerge w:val="restart"/>
            <w:shd w:val="clear" w:color="auto" w:fill="BDD7EE"/>
            <w:vAlign w:val="center"/>
          </w:tcPr>
          <w:p w14:paraId="282E0709"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sz w:val="18"/>
              </w:rPr>
              <w:t>Kwalitatieve indicatoren</w:t>
            </w:r>
            <w:r>
              <w:rPr>
                <w:noProof/>
              </w:rPr>
              <w:t xml:space="preserve"> </w:t>
            </w:r>
            <w:r>
              <w:rPr>
                <w:noProof/>
              </w:rPr>
              <w:br/>
            </w:r>
            <w:r>
              <w:rPr>
                <w:rFonts w:ascii="Times New Roman" w:hAnsi="Times New Roman"/>
                <w:b/>
                <w:noProof/>
                <w:color w:val="000000"/>
                <w:sz w:val="18"/>
              </w:rPr>
              <w:t>(voor mijlpalen)</w:t>
            </w:r>
          </w:p>
        </w:tc>
        <w:tc>
          <w:tcPr>
            <w:tcW w:w="2777" w:type="dxa"/>
            <w:gridSpan w:val="3"/>
            <w:shd w:val="clear" w:color="auto" w:fill="BDD7EE"/>
            <w:vAlign w:val="center"/>
          </w:tcPr>
          <w:p w14:paraId="08D0AA8E"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sz w:val="18"/>
              </w:rPr>
              <w:t>Kwantitatieve indicatoren</w:t>
            </w:r>
            <w:r>
              <w:rPr>
                <w:noProof/>
              </w:rPr>
              <w:t xml:space="preserve"> </w:t>
            </w:r>
            <w:r>
              <w:rPr>
                <w:noProof/>
              </w:rPr>
              <w:br/>
            </w:r>
            <w:r>
              <w:rPr>
                <w:rFonts w:ascii="Times New Roman" w:hAnsi="Times New Roman"/>
                <w:b/>
                <w:noProof/>
                <w:color w:val="000000"/>
                <w:sz w:val="18"/>
              </w:rPr>
              <w:t>(voor streefcijfers)</w:t>
            </w:r>
          </w:p>
        </w:tc>
        <w:tc>
          <w:tcPr>
            <w:tcW w:w="1510" w:type="dxa"/>
            <w:gridSpan w:val="2"/>
            <w:shd w:val="clear" w:color="auto" w:fill="BDD7EE"/>
            <w:vAlign w:val="center"/>
          </w:tcPr>
          <w:p w14:paraId="482BCB99"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Indicatieve termijn voor voltooiing </w:t>
            </w:r>
          </w:p>
        </w:tc>
        <w:tc>
          <w:tcPr>
            <w:tcW w:w="4146" w:type="dxa"/>
            <w:vMerge w:val="restart"/>
            <w:shd w:val="clear" w:color="auto" w:fill="BDD7EE"/>
            <w:vAlign w:val="center"/>
          </w:tcPr>
          <w:p w14:paraId="532E8765"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Beschrijving van elke mijlpaal en doelstelling</w:t>
            </w:r>
          </w:p>
        </w:tc>
      </w:tr>
      <w:tr w:rsidR="00480F1C" w14:paraId="62D11204" w14:textId="77777777">
        <w:trPr>
          <w:trHeight w:val="699"/>
        </w:trPr>
        <w:tc>
          <w:tcPr>
            <w:tcW w:w="821" w:type="dxa"/>
            <w:vMerge/>
            <w:vAlign w:val="center"/>
          </w:tcPr>
          <w:p w14:paraId="7EC1343F"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6"/>
              </w:rPr>
            </w:pPr>
          </w:p>
        </w:tc>
        <w:tc>
          <w:tcPr>
            <w:tcW w:w="1745" w:type="dxa"/>
            <w:vMerge/>
            <w:vAlign w:val="center"/>
          </w:tcPr>
          <w:p w14:paraId="54FE4E58"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6"/>
              </w:rPr>
            </w:pPr>
          </w:p>
        </w:tc>
        <w:tc>
          <w:tcPr>
            <w:tcW w:w="1021" w:type="dxa"/>
            <w:vMerge/>
            <w:vAlign w:val="center"/>
          </w:tcPr>
          <w:p w14:paraId="3B1070BE"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6"/>
              </w:rPr>
            </w:pPr>
          </w:p>
        </w:tc>
        <w:tc>
          <w:tcPr>
            <w:tcW w:w="1875" w:type="dxa"/>
            <w:vMerge/>
            <w:vAlign w:val="center"/>
          </w:tcPr>
          <w:p w14:paraId="00C1FCA6"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6"/>
              </w:rPr>
            </w:pPr>
          </w:p>
        </w:tc>
        <w:tc>
          <w:tcPr>
            <w:tcW w:w="1567" w:type="dxa"/>
            <w:vMerge/>
            <w:vAlign w:val="center"/>
          </w:tcPr>
          <w:p w14:paraId="2D0614B1"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6"/>
              </w:rPr>
            </w:pPr>
          </w:p>
        </w:tc>
        <w:tc>
          <w:tcPr>
            <w:tcW w:w="950" w:type="dxa"/>
            <w:shd w:val="clear" w:color="auto" w:fill="BDD7EE"/>
            <w:vAlign w:val="center"/>
          </w:tcPr>
          <w:p w14:paraId="5D54A078"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Eenheid</w:t>
            </w:r>
          </w:p>
        </w:tc>
        <w:tc>
          <w:tcPr>
            <w:tcW w:w="950" w:type="dxa"/>
            <w:shd w:val="clear" w:color="auto" w:fill="BDD7EE"/>
            <w:vAlign w:val="center"/>
          </w:tcPr>
          <w:p w14:paraId="129CFC97"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Basislijn </w:t>
            </w:r>
          </w:p>
        </w:tc>
        <w:tc>
          <w:tcPr>
            <w:tcW w:w="877" w:type="dxa"/>
            <w:shd w:val="clear" w:color="auto" w:fill="BDD7EE"/>
            <w:vAlign w:val="center"/>
          </w:tcPr>
          <w:p w14:paraId="2B92F8AF"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Doelstelling</w:t>
            </w:r>
          </w:p>
        </w:tc>
        <w:tc>
          <w:tcPr>
            <w:tcW w:w="964" w:type="dxa"/>
            <w:shd w:val="clear" w:color="auto" w:fill="BDD7EE"/>
            <w:vAlign w:val="center"/>
          </w:tcPr>
          <w:p w14:paraId="405B2485"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Kwartaal</w:t>
            </w:r>
          </w:p>
        </w:tc>
        <w:tc>
          <w:tcPr>
            <w:tcW w:w="688" w:type="dxa"/>
            <w:shd w:val="clear" w:color="auto" w:fill="BDD7EE"/>
            <w:vAlign w:val="center"/>
          </w:tcPr>
          <w:p w14:paraId="0394DF15"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Jaar</w:t>
            </w:r>
          </w:p>
        </w:tc>
        <w:tc>
          <w:tcPr>
            <w:tcW w:w="4146" w:type="dxa"/>
            <w:vMerge/>
            <w:vAlign w:val="center"/>
          </w:tcPr>
          <w:p w14:paraId="013ED72A"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6"/>
              </w:rPr>
            </w:pPr>
          </w:p>
        </w:tc>
      </w:tr>
      <w:tr w:rsidR="00480F1C" w14:paraId="51A61DA2" w14:textId="77777777">
        <w:trPr>
          <w:trHeight w:val="1409"/>
        </w:trPr>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9AD004B"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B1L</w:t>
            </w:r>
          </w:p>
        </w:tc>
        <w:tc>
          <w:tcPr>
            <w:tcW w:w="17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CF0FE3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B1.2 Bevordering van de tenuitvoerlegging van de energiebesparingsverplichting voor energiebedrijven</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455239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143977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Inwerkingtreding van de Uitvoeringsregeling energie-efficiëntiewet </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915DBB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uitvoeringsverordening van de Wet energie-efficiëntie met vermelding van inwerkingtreding</w:t>
            </w: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69AB32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7D7B783"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p w14:paraId="79A7D5FB" w14:textId="77777777" w:rsidR="00480F1C" w:rsidRDefault="00480F1C">
            <w:pPr>
              <w:rPr>
                <w:rFonts w:ascii="Times New Roman" w:hAnsi="Times New Roman" w:cs="Times New Roman"/>
                <w:noProof/>
                <w:sz w:val="18"/>
              </w:rPr>
            </w:pPr>
          </w:p>
          <w:p w14:paraId="36C903A2" w14:textId="77777777" w:rsidR="00480F1C" w:rsidRDefault="00480F1C">
            <w:pPr>
              <w:rPr>
                <w:rFonts w:ascii="Times New Roman" w:hAnsi="Times New Roman" w:cs="Times New Roman"/>
                <w:noProof/>
                <w:sz w:val="18"/>
              </w:rPr>
            </w:pPr>
          </w:p>
          <w:p w14:paraId="589D24A8" w14:textId="77777777" w:rsidR="00480F1C" w:rsidRDefault="00480F1C">
            <w:pPr>
              <w:rPr>
                <w:rFonts w:ascii="Times New Roman" w:hAnsi="Times New Roman" w:cs="Times New Roman"/>
                <w:noProof/>
                <w:sz w:val="18"/>
              </w:rPr>
            </w:pPr>
          </w:p>
        </w:tc>
        <w:tc>
          <w:tcPr>
            <w:tcW w:w="8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F9433D3"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394E39F"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1ED068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41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D214D7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Inwerkingtreding van de uitvoeringsverordening van de Wet energie-efficiëntie, waarin een referentiewaarde voor energiebesparing wordt vastgesteld voor projecten ter verbetering van de energie-efficiëntie; en een methode vast te stellen voor de berekening van energiebesparingen voor projecten in de vervoerssector. </w:t>
            </w:r>
          </w:p>
        </w:tc>
      </w:tr>
      <w:tr w:rsidR="00480F1C" w14:paraId="52046386" w14:textId="77777777">
        <w:trPr>
          <w:trHeight w:val="855"/>
        </w:trPr>
        <w:tc>
          <w:tcPr>
            <w:tcW w:w="821" w:type="dxa"/>
            <w:shd w:val="clear" w:color="auto" w:fill="C6EFCE"/>
          </w:tcPr>
          <w:p w14:paraId="6CCBA14C"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B2L</w:t>
            </w:r>
          </w:p>
        </w:tc>
        <w:tc>
          <w:tcPr>
            <w:tcW w:w="1745" w:type="dxa"/>
            <w:shd w:val="clear" w:color="auto" w:fill="C6EFCE"/>
          </w:tcPr>
          <w:p w14:paraId="5AF7CB7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B1.2.1 Energie-efficiëntie en hernieuwbare energiebronnen in bedrijven — investeringen met het grootste potentieel voor broeikasgasemissiereductie</w:t>
            </w:r>
          </w:p>
        </w:tc>
        <w:tc>
          <w:tcPr>
            <w:tcW w:w="1021" w:type="dxa"/>
            <w:shd w:val="clear" w:color="auto" w:fill="C6EFCE"/>
          </w:tcPr>
          <w:p w14:paraId="6F45223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875" w:type="dxa"/>
            <w:shd w:val="clear" w:color="auto" w:fill="C6EFCE"/>
          </w:tcPr>
          <w:p w14:paraId="4A3F7D1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Financieringsinstructies (met inbegrip van subsidiabiliteits- en selectiecriteria) voor de steunregeling die gericht is op energie-efficiëntie en hernieuwbare energiebronnen in bedrijven, met inbegrip van die welke onder de EU-regeling voor de handel in emissierechten vallen</w:t>
            </w:r>
          </w:p>
        </w:tc>
        <w:tc>
          <w:tcPr>
            <w:tcW w:w="1567" w:type="dxa"/>
            <w:shd w:val="clear" w:color="auto" w:fill="C6EFCE"/>
          </w:tcPr>
          <w:p w14:paraId="00AEA9C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Bekendmaking van de steunregeling </w:t>
            </w:r>
          </w:p>
        </w:tc>
        <w:tc>
          <w:tcPr>
            <w:tcW w:w="950" w:type="dxa"/>
            <w:shd w:val="clear" w:color="auto" w:fill="C6EFCE"/>
          </w:tcPr>
          <w:p w14:paraId="47B5247E"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50" w:type="dxa"/>
            <w:shd w:val="clear" w:color="auto" w:fill="C6EFCE"/>
          </w:tcPr>
          <w:p w14:paraId="0B45DBC1"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877" w:type="dxa"/>
            <w:shd w:val="clear" w:color="auto" w:fill="C6EFCE"/>
          </w:tcPr>
          <w:p w14:paraId="120C4239"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964" w:type="dxa"/>
            <w:shd w:val="clear" w:color="auto" w:fill="C6EFCE"/>
          </w:tcPr>
          <w:p w14:paraId="7B5546A4"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688" w:type="dxa"/>
            <w:shd w:val="clear" w:color="auto" w:fill="C6EFCE"/>
          </w:tcPr>
          <w:p w14:paraId="1183FBC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4146" w:type="dxa"/>
            <w:shd w:val="clear" w:color="auto" w:fill="C6EFCE"/>
          </w:tcPr>
          <w:p w14:paraId="0F5F31C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Het investeringsbeleid van de regeling omvat ten minste de volgende subsidiabiliteits- en projectselectiecriteria: I) de doelstelling van de laagste prijs per ton bespaarde broeikasgassen; II) het waarborgen van de naleving van de EU- en nationale milieuwetgeving en de technische richtsnoeren inzake het beginsel „geen ernstige afbreuk doen aan” (2021/C 58/01) van ondersteunde activiteiten en ondernemingen, en het specificeren van decarbonisatiedoelstellingen, zoals nader uitgewerkt in de operationele overeenkomst; III) ondersteunde ETS-installaties verminderen hun emissies tot onder de benchmark die relevant is voor de projectinschrijving.</w:t>
            </w:r>
          </w:p>
        </w:tc>
      </w:tr>
      <w:tr w:rsidR="00480F1C" w14:paraId="3EDF8DE3" w14:textId="77777777">
        <w:trPr>
          <w:trHeight w:val="313"/>
        </w:trPr>
        <w:tc>
          <w:tcPr>
            <w:tcW w:w="821" w:type="dxa"/>
            <w:shd w:val="clear" w:color="auto" w:fill="C6EFCE"/>
          </w:tcPr>
          <w:p w14:paraId="0D6ADE2E"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B3L</w:t>
            </w:r>
          </w:p>
        </w:tc>
        <w:tc>
          <w:tcPr>
            <w:tcW w:w="1745" w:type="dxa"/>
            <w:shd w:val="clear" w:color="auto" w:fill="C6EFCE"/>
          </w:tcPr>
          <w:p w14:paraId="57DA3DA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B1.2.1 Energie-efficiëntie en hernieuwbare energiebronnen in bedrijven — investeringen met het grootste potentieel voor broeikasgasemissiereductie</w:t>
            </w:r>
          </w:p>
        </w:tc>
        <w:tc>
          <w:tcPr>
            <w:tcW w:w="1021" w:type="dxa"/>
            <w:shd w:val="clear" w:color="auto" w:fill="C6EFCE"/>
          </w:tcPr>
          <w:p w14:paraId="6A7C6A0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875" w:type="dxa"/>
            <w:shd w:val="clear" w:color="auto" w:fill="C6EFCE"/>
          </w:tcPr>
          <w:p w14:paraId="41FBEB5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Gunning van alle contracten voor de tenuitvoerlegging van energie-efficiëntie en hernieuwbare energiebronnen in ondernemingen</w:t>
            </w:r>
          </w:p>
        </w:tc>
        <w:tc>
          <w:tcPr>
            <w:tcW w:w="1567" w:type="dxa"/>
            <w:shd w:val="clear" w:color="auto" w:fill="C6EFCE"/>
          </w:tcPr>
          <w:p w14:paraId="787FC11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50" w:type="dxa"/>
            <w:shd w:val="clear" w:color="auto" w:fill="C6EFCE"/>
          </w:tcPr>
          <w:p w14:paraId="5820804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950" w:type="dxa"/>
            <w:shd w:val="clear" w:color="auto" w:fill="C6EFCE"/>
          </w:tcPr>
          <w:p w14:paraId="71E6F31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877" w:type="dxa"/>
            <w:shd w:val="clear" w:color="auto" w:fill="C6EFCE"/>
          </w:tcPr>
          <w:p w14:paraId="4408D9DA"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43</w:t>
            </w:r>
          </w:p>
        </w:tc>
        <w:tc>
          <w:tcPr>
            <w:tcW w:w="964" w:type="dxa"/>
            <w:shd w:val="clear" w:color="auto" w:fill="C6EFCE"/>
          </w:tcPr>
          <w:p w14:paraId="229A5D0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688" w:type="dxa"/>
            <w:shd w:val="clear" w:color="auto" w:fill="C6EFCE"/>
          </w:tcPr>
          <w:p w14:paraId="16EFD7C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2023</w:t>
            </w:r>
          </w:p>
        </w:tc>
        <w:tc>
          <w:tcPr>
            <w:tcW w:w="4146" w:type="dxa"/>
            <w:shd w:val="clear" w:color="auto" w:fill="C6EFCE"/>
          </w:tcPr>
          <w:p w14:paraId="0A356E9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 contracten dat wordt gegund aan investeringsprojecten in verband met de verbetering van industriële en energieprocessen om de energie-efficiëntie te verbeteren en de energie-intensiteit te verminderen, wat leidt tot een vermindering en rationalisering van het energieverbruik met investeringen in hernieuwbare en koolstofarme energiebronnen in ondernemingen. De regeling wordt ingezet in overeenstemming met de financieringsinstructies, zoals beschreven in B2L. De regeling wordt uitgerold via een niet-discriminerende, transparante en open procedure die openstaat voor alle industriële sectoren.</w:t>
            </w:r>
          </w:p>
        </w:tc>
      </w:tr>
      <w:tr w:rsidR="00480F1C" w14:paraId="1B7917D7" w14:textId="77777777">
        <w:trPr>
          <w:trHeight w:val="313"/>
        </w:trPr>
        <w:tc>
          <w:tcPr>
            <w:tcW w:w="821" w:type="dxa"/>
            <w:shd w:val="clear" w:color="auto" w:fill="C6EFCE"/>
          </w:tcPr>
          <w:p w14:paraId="215315CF"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B4L</w:t>
            </w:r>
          </w:p>
        </w:tc>
        <w:tc>
          <w:tcPr>
            <w:tcW w:w="1745" w:type="dxa"/>
            <w:shd w:val="clear" w:color="auto" w:fill="C6EFCE"/>
          </w:tcPr>
          <w:p w14:paraId="0B785F9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B2.3 Steun voor investeringen in windmolenparken op zee</w:t>
            </w:r>
          </w:p>
        </w:tc>
        <w:tc>
          <w:tcPr>
            <w:tcW w:w="1021" w:type="dxa"/>
            <w:shd w:val="clear" w:color="auto" w:fill="C6EFCE"/>
          </w:tcPr>
          <w:p w14:paraId="23F8294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875" w:type="dxa"/>
            <w:shd w:val="clear" w:color="auto" w:fill="C6EFCE"/>
          </w:tcPr>
          <w:p w14:paraId="02555C1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Inwerkingtreding van uitvoeringsverordeningen naar aanleiding van de Wet bevordering elektriciteitsopwekking offshore windmolenparken </w:t>
            </w:r>
          </w:p>
        </w:tc>
        <w:tc>
          <w:tcPr>
            <w:tcW w:w="1567" w:type="dxa"/>
            <w:shd w:val="clear" w:color="auto" w:fill="C6EFCE"/>
          </w:tcPr>
          <w:p w14:paraId="1FB9E40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Bepalingen in de verordeningen betreffende de inwerkingtreding ervan</w:t>
            </w:r>
          </w:p>
        </w:tc>
        <w:tc>
          <w:tcPr>
            <w:tcW w:w="950" w:type="dxa"/>
            <w:shd w:val="clear" w:color="auto" w:fill="C6EFCE"/>
          </w:tcPr>
          <w:p w14:paraId="396C961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50" w:type="dxa"/>
            <w:shd w:val="clear" w:color="auto" w:fill="C6EFCE"/>
          </w:tcPr>
          <w:p w14:paraId="15C6C2C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77" w:type="dxa"/>
            <w:shd w:val="clear" w:color="auto" w:fill="C6EFCE"/>
          </w:tcPr>
          <w:p w14:paraId="052B1EA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64" w:type="dxa"/>
            <w:shd w:val="clear" w:color="auto" w:fill="C6EFCE"/>
          </w:tcPr>
          <w:p w14:paraId="624344F4"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688" w:type="dxa"/>
            <w:shd w:val="clear" w:color="auto" w:fill="C6EFCE"/>
          </w:tcPr>
          <w:p w14:paraId="49B93A8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2024</w:t>
            </w:r>
          </w:p>
        </w:tc>
        <w:tc>
          <w:tcPr>
            <w:tcW w:w="4146" w:type="dxa"/>
            <w:shd w:val="clear" w:color="auto" w:fill="C6EFCE"/>
          </w:tcPr>
          <w:p w14:paraId="620635F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Twee uitvoeringsverordeningen treden in werking: </w:t>
            </w:r>
          </w:p>
          <w:p w14:paraId="2351FD8F" w14:textId="77777777"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1. Verordening van de minister van Klimaat en Milieu inzake de eisen voor de onderdelen van een set uitrusting voor stroomevacuatie en voor de onderdelen van offshore-onderstations — Bovendien waarborgt de regeling de passende kwaliteit van de infrastructuur in het kader van de potentiële integratie ervan in het elektriciteitsnet in geval van overdracht van de stroompunten van windmolenparken op zee, zoals bepaald in de artikelen 58-60 van de Wet offshorewindenergie.</w:t>
            </w:r>
            <w:r>
              <w:rPr>
                <w:noProof/>
              </w:rPr>
              <w:t xml:space="preserve"> </w:t>
            </w:r>
            <w:r>
              <w:rPr>
                <w:noProof/>
              </w:rPr>
              <w:br/>
            </w:r>
            <w:r>
              <w:rPr>
                <w:rFonts w:ascii="Times New Roman" w:hAnsi="Times New Roman"/>
                <w:noProof/>
                <w:color w:val="000000" w:themeColor="text1"/>
                <w:sz w:val="18"/>
              </w:rPr>
              <w:t>2. Verordening van de minister van Klimaat en Milieu inzake de maximumprijs in PLN per 1 MWh, die kan worden vermeld in biedingen die op een veiling worden ingediend door producenten.</w:t>
            </w:r>
          </w:p>
        </w:tc>
      </w:tr>
      <w:tr w:rsidR="00480F1C" w14:paraId="61BF8A97" w14:textId="77777777">
        <w:trPr>
          <w:trHeight w:val="313"/>
        </w:trPr>
        <w:tc>
          <w:tcPr>
            <w:tcW w:w="821" w:type="dxa"/>
            <w:shd w:val="clear" w:color="auto" w:fill="C6EFCE"/>
          </w:tcPr>
          <w:p w14:paraId="0F945220"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B5L</w:t>
            </w:r>
          </w:p>
        </w:tc>
        <w:tc>
          <w:tcPr>
            <w:tcW w:w="1745" w:type="dxa"/>
            <w:shd w:val="clear" w:color="auto" w:fill="C6EFCE"/>
          </w:tcPr>
          <w:p w14:paraId="481F3FE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B2.3 Steun voor investeringen in windmolenparken op zee</w:t>
            </w:r>
          </w:p>
        </w:tc>
        <w:tc>
          <w:tcPr>
            <w:tcW w:w="1021" w:type="dxa"/>
            <w:shd w:val="clear" w:color="auto" w:fill="C6EFCE"/>
          </w:tcPr>
          <w:p w14:paraId="71E2AC0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875" w:type="dxa"/>
            <w:shd w:val="clear" w:color="auto" w:fill="C6EFCE"/>
          </w:tcPr>
          <w:p w14:paraId="1FEE43B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Organisatie van veilingen voor elektriciteit uit offshore windmolenparken</w:t>
            </w:r>
          </w:p>
        </w:tc>
        <w:tc>
          <w:tcPr>
            <w:tcW w:w="1567" w:type="dxa"/>
            <w:shd w:val="clear" w:color="auto" w:fill="C6EFCE"/>
          </w:tcPr>
          <w:p w14:paraId="12A9705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Bekendmaking van de veilingresultaten</w:t>
            </w:r>
          </w:p>
        </w:tc>
        <w:tc>
          <w:tcPr>
            <w:tcW w:w="950" w:type="dxa"/>
            <w:shd w:val="clear" w:color="auto" w:fill="C6EFCE"/>
          </w:tcPr>
          <w:p w14:paraId="0946B84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50" w:type="dxa"/>
            <w:shd w:val="clear" w:color="auto" w:fill="C6EFCE"/>
          </w:tcPr>
          <w:p w14:paraId="7918685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77" w:type="dxa"/>
            <w:shd w:val="clear" w:color="auto" w:fill="C6EFCE"/>
          </w:tcPr>
          <w:p w14:paraId="3868993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64" w:type="dxa"/>
            <w:shd w:val="clear" w:color="auto" w:fill="C6EFCE"/>
          </w:tcPr>
          <w:p w14:paraId="1FC9CBB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688" w:type="dxa"/>
            <w:shd w:val="clear" w:color="auto" w:fill="C6EFCE"/>
          </w:tcPr>
          <w:p w14:paraId="1B99CA7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2025</w:t>
            </w:r>
          </w:p>
        </w:tc>
        <w:tc>
          <w:tcPr>
            <w:tcW w:w="4146" w:type="dxa"/>
            <w:shd w:val="clear" w:color="auto" w:fill="C6EFCE"/>
          </w:tcPr>
          <w:p w14:paraId="75F8B83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Bij de wet van 17 december 2020 ter bevordering van elektriciteitsopwekking in offshore windmolenparken (Staatsblad van 2021, punt 234) is bij artikel 29 de verplichting ingevoerd voor de voorzitter van de regelgevende instantie voor energie om in 2025 een veiling te houden. De maximale totale geïnstalleerde elektrische capaciteit van offshorewindmolenparken waarvoor het recht om het negatieve saldo te dekken via de veiling in 2025 kan worden verleend, bedraagt 2,5 GW.  </w:t>
            </w:r>
          </w:p>
        </w:tc>
      </w:tr>
      <w:tr w:rsidR="00480F1C" w14:paraId="4DC91688" w14:textId="77777777">
        <w:trPr>
          <w:trHeight w:val="313"/>
        </w:trPr>
        <w:tc>
          <w:tcPr>
            <w:tcW w:w="821" w:type="dxa"/>
            <w:shd w:val="clear" w:color="auto" w:fill="C6EFCE"/>
          </w:tcPr>
          <w:p w14:paraId="0C34ABAF"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B6L</w:t>
            </w:r>
          </w:p>
        </w:tc>
        <w:tc>
          <w:tcPr>
            <w:tcW w:w="1745" w:type="dxa"/>
            <w:shd w:val="clear" w:color="auto" w:fill="C6EFCE"/>
          </w:tcPr>
          <w:p w14:paraId="5BAB107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B2.3 Steun voor investeringen in windmolenparken op zee</w:t>
            </w:r>
          </w:p>
        </w:tc>
        <w:tc>
          <w:tcPr>
            <w:tcW w:w="1021" w:type="dxa"/>
            <w:shd w:val="clear" w:color="auto" w:fill="C6EFCE"/>
          </w:tcPr>
          <w:p w14:paraId="4CA3B8C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875" w:type="dxa"/>
            <w:shd w:val="clear" w:color="auto" w:fill="C6EFCE"/>
          </w:tcPr>
          <w:p w14:paraId="3FF403A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Inwerkingtreding van een wijziging van de verordening betreffende de gedetailleerde voorwaarden voor de werking van het elektriciteitssysteem, waarbij de nationale balanceringsregels worden gewijzigd om het effect van de toewijzingsbeperkingen zoveel mogelijk te beperken</w:t>
            </w:r>
          </w:p>
        </w:tc>
        <w:tc>
          <w:tcPr>
            <w:tcW w:w="1567" w:type="dxa"/>
            <w:shd w:val="clear" w:color="auto" w:fill="C6EFCE"/>
          </w:tcPr>
          <w:p w14:paraId="0F3C1BD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wijziging van de verordening waarin de inwerkingtreding ervan wordt aangegeven</w:t>
            </w:r>
          </w:p>
        </w:tc>
        <w:tc>
          <w:tcPr>
            <w:tcW w:w="950" w:type="dxa"/>
            <w:shd w:val="clear" w:color="auto" w:fill="C6EFCE"/>
          </w:tcPr>
          <w:p w14:paraId="1004031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50" w:type="dxa"/>
            <w:shd w:val="clear" w:color="auto" w:fill="C6EFCE"/>
          </w:tcPr>
          <w:p w14:paraId="04F7148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77" w:type="dxa"/>
            <w:shd w:val="clear" w:color="auto" w:fill="C6EFCE"/>
          </w:tcPr>
          <w:p w14:paraId="15DB0EA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64" w:type="dxa"/>
            <w:shd w:val="clear" w:color="auto" w:fill="C6EFCE"/>
          </w:tcPr>
          <w:p w14:paraId="0FCD07F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688" w:type="dxa"/>
            <w:shd w:val="clear" w:color="auto" w:fill="C6EFCE"/>
          </w:tcPr>
          <w:p w14:paraId="47B646AC"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2023</w:t>
            </w:r>
          </w:p>
        </w:tc>
        <w:tc>
          <w:tcPr>
            <w:tcW w:w="4146" w:type="dxa"/>
            <w:shd w:val="clear" w:color="auto" w:fill="C6EFCE"/>
          </w:tcPr>
          <w:p w14:paraId="36C20F1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In het kader van de hervorming van de energiemarkt worden de regels van de balanceringsmarkt zodanig gewijzigd dat zij de expliciete aankoop van reserves vóór de eenvormige day-aheadkoppeling (SDAC) omvatten. Deze oplossing werd door ACER voorgesteld in de CORE CCM-methode (besluit 02/2019 van ACER) als een van de mogelijke oplossingen om de gevolgen van de toewijzingsbeperkingen zoveel mogelijk te beperken. Met het oog op de uitvoering van deze hervorming wijzigt de minister van Energie het besluit van de minister van Economische Zaken van 4 mei 2007 betreffende de gedetailleerde voorwaarden voor de werking van het elektriciteitssysteem. De toewijzingsbeperkingen worden gemonitord door de energieregulator overeenkomstig de toepasselijke EU-regels. De regulerende instantie voert een studie uit naar de optimalisering van de voorgestelde maatregelen om de toewijzingsbeperkingen in het Poolse elektriciteitssysteem te beperken en bij verdere werkzaamheden wordt terdege rekening gehouden met zijn aanbevelingen. </w:t>
            </w:r>
          </w:p>
        </w:tc>
      </w:tr>
      <w:tr w:rsidR="00480F1C" w14:paraId="2661DC80" w14:textId="77777777">
        <w:trPr>
          <w:trHeight w:val="313"/>
        </w:trPr>
        <w:tc>
          <w:tcPr>
            <w:tcW w:w="821" w:type="dxa"/>
            <w:shd w:val="clear" w:color="auto" w:fill="C6EFCE"/>
          </w:tcPr>
          <w:p w14:paraId="367235F3"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B10L</w:t>
            </w:r>
          </w:p>
        </w:tc>
        <w:tc>
          <w:tcPr>
            <w:tcW w:w="1745" w:type="dxa"/>
            <w:shd w:val="clear" w:color="auto" w:fill="C6EFCE"/>
          </w:tcPr>
          <w:p w14:paraId="568C7D3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B2.4 Wettelijk kader voor de ontwikkeling van energieopslagfaciliteiten</w:t>
            </w:r>
          </w:p>
        </w:tc>
        <w:tc>
          <w:tcPr>
            <w:tcW w:w="1021" w:type="dxa"/>
            <w:shd w:val="clear" w:color="auto" w:fill="C6EFCE"/>
          </w:tcPr>
          <w:p w14:paraId="66ADCF2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875" w:type="dxa"/>
            <w:shd w:val="clear" w:color="auto" w:fill="C6EFCE"/>
          </w:tcPr>
          <w:p w14:paraId="34F0C8E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Inwerkingtreding van wijzigingen van de energiewet met betrekking tot energieopslag</w:t>
            </w:r>
          </w:p>
        </w:tc>
        <w:tc>
          <w:tcPr>
            <w:tcW w:w="1567" w:type="dxa"/>
            <w:shd w:val="clear" w:color="auto" w:fill="C6EFCE"/>
          </w:tcPr>
          <w:p w14:paraId="14585FE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wijzigingen van de energiewet met vermelding van de inwerkingtreding ervan</w:t>
            </w:r>
          </w:p>
        </w:tc>
        <w:tc>
          <w:tcPr>
            <w:tcW w:w="950" w:type="dxa"/>
            <w:shd w:val="clear" w:color="auto" w:fill="C6EFCE"/>
          </w:tcPr>
          <w:p w14:paraId="1D63B87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50" w:type="dxa"/>
            <w:shd w:val="clear" w:color="auto" w:fill="C6EFCE"/>
          </w:tcPr>
          <w:p w14:paraId="15A7C89B"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877" w:type="dxa"/>
            <w:shd w:val="clear" w:color="auto" w:fill="C6EFCE"/>
          </w:tcPr>
          <w:p w14:paraId="60C797F5"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64" w:type="dxa"/>
            <w:shd w:val="clear" w:color="auto" w:fill="C6EFCE"/>
          </w:tcPr>
          <w:p w14:paraId="641D6DF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688" w:type="dxa"/>
            <w:shd w:val="clear" w:color="auto" w:fill="C6EFCE"/>
          </w:tcPr>
          <w:p w14:paraId="580F8B8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2021</w:t>
            </w:r>
          </w:p>
        </w:tc>
        <w:tc>
          <w:tcPr>
            <w:tcW w:w="4146" w:type="dxa"/>
            <w:shd w:val="clear" w:color="auto" w:fill="C6EFCE"/>
          </w:tcPr>
          <w:p w14:paraId="6768466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De wijzigingen vergemakkelijken de ontwikkeling van elektriciteitsopslag, met inbegrip van met name een vrijstelling van tariefverplichting, geen dubbele nettarieven, gedeeltelijke vrijstelling van vergoedingen voor de aansluiting van de opslag op het net, vrijstelling van de verplichting om certificaten van oorsprong over te leggen en van bepaalde vergoedingen met betrekking tot opgeslagen elektriciteit. Het voorgestelde tariefkader voor opslag is niet-discriminerend en weerspiegelt de kosten.</w:t>
            </w:r>
          </w:p>
        </w:tc>
      </w:tr>
      <w:tr w:rsidR="00480F1C" w14:paraId="38ACB0B6" w14:textId="77777777">
        <w:trPr>
          <w:trHeight w:val="313"/>
        </w:trPr>
        <w:tc>
          <w:tcPr>
            <w:tcW w:w="821" w:type="dxa"/>
            <w:shd w:val="clear" w:color="auto" w:fill="C6EFCE"/>
          </w:tcPr>
          <w:p w14:paraId="1354D060"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B14L</w:t>
            </w:r>
          </w:p>
        </w:tc>
        <w:tc>
          <w:tcPr>
            <w:tcW w:w="1745" w:type="dxa"/>
            <w:shd w:val="clear" w:color="auto" w:fill="C6EFCE"/>
          </w:tcPr>
          <w:p w14:paraId="37CABD5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B3.2 Steun voor milieuherstel en bescherming tegen gevaarlijke stoffen</w:t>
            </w:r>
          </w:p>
        </w:tc>
        <w:tc>
          <w:tcPr>
            <w:tcW w:w="1021" w:type="dxa"/>
            <w:shd w:val="clear" w:color="auto" w:fill="C6EFCE"/>
          </w:tcPr>
          <w:p w14:paraId="77CF14A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875" w:type="dxa"/>
            <w:shd w:val="clear" w:color="auto" w:fill="C6EFCE"/>
          </w:tcPr>
          <w:p w14:paraId="5E5897F8" w14:textId="77777777"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Inwerkingtreding van een wet ter bevordering van een algehele eliminatie van de negatieve milieueffecten van grootschalige post-industriële gebieden.</w:t>
            </w:r>
            <w:r>
              <w:rPr>
                <w:noProof/>
              </w:rPr>
              <w:t xml:space="preserve"> </w:t>
            </w:r>
            <w:r>
              <w:rPr>
                <w:noProof/>
              </w:rPr>
              <w:br/>
            </w:r>
          </w:p>
        </w:tc>
        <w:tc>
          <w:tcPr>
            <w:tcW w:w="1567" w:type="dxa"/>
            <w:shd w:val="clear" w:color="auto" w:fill="C6EFCE"/>
          </w:tcPr>
          <w:p w14:paraId="07CAF99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wet die de inwerkingtreding ervan aangeeft</w:t>
            </w:r>
          </w:p>
        </w:tc>
        <w:tc>
          <w:tcPr>
            <w:tcW w:w="950" w:type="dxa"/>
            <w:shd w:val="clear" w:color="auto" w:fill="C6EFCE"/>
          </w:tcPr>
          <w:p w14:paraId="10D69A76"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tc>
        <w:tc>
          <w:tcPr>
            <w:tcW w:w="950" w:type="dxa"/>
            <w:shd w:val="clear" w:color="auto" w:fill="C6EFCE"/>
          </w:tcPr>
          <w:p w14:paraId="13F04A9B"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themeColor="text1"/>
                <w:sz w:val="18"/>
              </w:rPr>
            </w:pPr>
          </w:p>
        </w:tc>
        <w:tc>
          <w:tcPr>
            <w:tcW w:w="877" w:type="dxa"/>
            <w:shd w:val="clear" w:color="auto" w:fill="C6EFCE"/>
          </w:tcPr>
          <w:p w14:paraId="046AD675"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themeColor="text1"/>
                <w:sz w:val="18"/>
              </w:rPr>
            </w:pPr>
          </w:p>
        </w:tc>
        <w:tc>
          <w:tcPr>
            <w:tcW w:w="964" w:type="dxa"/>
            <w:shd w:val="clear" w:color="auto" w:fill="C6EFCE"/>
          </w:tcPr>
          <w:p w14:paraId="11B1F82F"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4</w:t>
            </w:r>
          </w:p>
        </w:tc>
        <w:tc>
          <w:tcPr>
            <w:tcW w:w="688" w:type="dxa"/>
            <w:shd w:val="clear" w:color="auto" w:fill="C6EFCE"/>
          </w:tcPr>
          <w:p w14:paraId="738AE6F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4146" w:type="dxa"/>
            <w:shd w:val="clear" w:color="auto" w:fill="C6EFCE"/>
          </w:tcPr>
          <w:p w14:paraId="32CB3493" w14:textId="77777777"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Fonts w:ascii="Times New Roman" w:hAnsi="Times New Roman"/>
                <w:noProof/>
                <w:color w:val="000000" w:themeColor="text1"/>
                <w:sz w:val="18"/>
              </w:rPr>
              <w:t>Inwerkingtreding van een wet ter verbetering van de veiligheid voor de menselijke gezondheid en de toestand van het milieu. De wet neemt organisatorische en juridische belemmeringen weg die zich voordoen om de negatieve milieueffecten van grootschalige postindustriële gebieden volledig weg te nemen.</w:t>
            </w:r>
            <w:r>
              <w:rPr>
                <w:noProof/>
              </w:rPr>
              <w:t xml:space="preserve"> </w:t>
            </w:r>
            <w:r>
              <w:rPr>
                <w:noProof/>
              </w:rPr>
              <w:br/>
            </w:r>
            <w:r>
              <w:rPr>
                <w:rFonts w:ascii="Times New Roman" w:hAnsi="Times New Roman"/>
                <w:noProof/>
                <w:color w:val="000000" w:themeColor="text1"/>
                <w:sz w:val="18"/>
              </w:rPr>
              <w:t xml:space="preserve">Het is een vorm van loodsen voor vooraf bepaalde locaties. </w:t>
            </w:r>
            <w:r>
              <w:rPr>
                <w:noProof/>
              </w:rPr>
              <w:t xml:space="preserve"> </w:t>
            </w:r>
            <w:r>
              <w:rPr>
                <w:noProof/>
              </w:rPr>
              <w:br/>
            </w:r>
            <w:r>
              <w:rPr>
                <w:rFonts w:ascii="Times New Roman" w:hAnsi="Times New Roman"/>
                <w:noProof/>
                <w:color w:val="000000" w:themeColor="text1"/>
                <w:sz w:val="18"/>
              </w:rPr>
              <w:t>De wet voorziet in regels voor vier onafhankelijke onderdelen (verschillende locaties en toepassingsgebieden van de werken): 1) voormalige chemische fabriek „Tarnowskie Góry” in Tarnowskie Góry; 2) voormalige chemische fabriek „Zachem” in Bydgoszcz; 3) „Organika-Azot” -fabriek in Jaworzno; 4) voormalig „Boruta” Dyes Industry Plant in Zgierz.</w:t>
            </w:r>
            <w:r>
              <w:rPr>
                <w:noProof/>
              </w:rPr>
              <w:t xml:space="preserve"> </w:t>
            </w:r>
            <w:r>
              <w:rPr>
                <w:noProof/>
              </w:rPr>
              <w:br/>
            </w:r>
            <w:r>
              <w:rPr>
                <w:rFonts w:ascii="Times New Roman" w:hAnsi="Times New Roman"/>
                <w:noProof/>
                <w:color w:val="000000" w:themeColor="text1"/>
                <w:sz w:val="18"/>
              </w:rPr>
              <w:t>De reikwijdte van het project omvat verkenning en inventarisatie van de gebieden, voorbereiding en beoordeling van de omvang van de problemen in verband met de vermindering van de milieueffecten van grote brownfieldterreinen en de ontwikkeling van uitgebreide investeringsdocumenten voor deze gebieden.</w:t>
            </w:r>
          </w:p>
        </w:tc>
      </w:tr>
      <w:tr w:rsidR="00480F1C" w14:paraId="2A651C9E" w14:textId="77777777">
        <w:trPr>
          <w:trHeight w:val="313"/>
        </w:trPr>
        <w:tc>
          <w:tcPr>
            <w:tcW w:w="821" w:type="dxa"/>
            <w:shd w:val="clear" w:color="auto" w:fill="C6EFCE"/>
          </w:tcPr>
          <w:p w14:paraId="540410A1"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B15L</w:t>
            </w:r>
          </w:p>
        </w:tc>
        <w:tc>
          <w:tcPr>
            <w:tcW w:w="1745" w:type="dxa"/>
            <w:shd w:val="clear" w:color="auto" w:fill="C6EFCE"/>
          </w:tcPr>
          <w:p w14:paraId="3AFEDA8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B3.2 Steun voor milieuherstel en bescherming tegen gevaarlijke stoffen</w:t>
            </w:r>
          </w:p>
        </w:tc>
        <w:tc>
          <w:tcPr>
            <w:tcW w:w="1021" w:type="dxa"/>
            <w:shd w:val="clear" w:color="auto" w:fill="C6EFCE"/>
          </w:tcPr>
          <w:p w14:paraId="5E11AE4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875" w:type="dxa"/>
            <w:shd w:val="clear" w:color="auto" w:fill="C6EFCE"/>
          </w:tcPr>
          <w:p w14:paraId="6756C53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Inwerkingtreding van een rechtshandeling betreffende gevaarlijke materialen die in de Oostzee blijven bestaan </w:t>
            </w:r>
          </w:p>
        </w:tc>
        <w:tc>
          <w:tcPr>
            <w:tcW w:w="1567" w:type="dxa"/>
            <w:shd w:val="clear" w:color="auto" w:fill="C6EFCE"/>
          </w:tcPr>
          <w:p w14:paraId="06D87B0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rechtshandeling die de inwerkingtreding ervan aangeeft</w:t>
            </w:r>
          </w:p>
        </w:tc>
        <w:tc>
          <w:tcPr>
            <w:tcW w:w="950" w:type="dxa"/>
            <w:shd w:val="clear" w:color="auto" w:fill="C6EFCE"/>
          </w:tcPr>
          <w:p w14:paraId="39F500FB"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tc>
        <w:tc>
          <w:tcPr>
            <w:tcW w:w="950" w:type="dxa"/>
            <w:shd w:val="clear" w:color="auto" w:fill="C6EFCE"/>
          </w:tcPr>
          <w:p w14:paraId="07336891"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themeColor="text1"/>
                <w:sz w:val="18"/>
              </w:rPr>
            </w:pPr>
          </w:p>
        </w:tc>
        <w:tc>
          <w:tcPr>
            <w:tcW w:w="877" w:type="dxa"/>
            <w:shd w:val="clear" w:color="auto" w:fill="C6EFCE"/>
          </w:tcPr>
          <w:p w14:paraId="5A3F2BCF"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themeColor="text1"/>
                <w:sz w:val="18"/>
              </w:rPr>
            </w:pPr>
          </w:p>
        </w:tc>
        <w:tc>
          <w:tcPr>
            <w:tcW w:w="964" w:type="dxa"/>
            <w:shd w:val="clear" w:color="auto" w:fill="C6EFCE"/>
          </w:tcPr>
          <w:p w14:paraId="448099B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2</w:t>
            </w:r>
          </w:p>
        </w:tc>
        <w:tc>
          <w:tcPr>
            <w:tcW w:w="688" w:type="dxa"/>
            <w:shd w:val="clear" w:color="auto" w:fill="C6EFCE"/>
          </w:tcPr>
          <w:p w14:paraId="1494C79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2025</w:t>
            </w:r>
          </w:p>
        </w:tc>
        <w:tc>
          <w:tcPr>
            <w:tcW w:w="4146" w:type="dxa"/>
            <w:shd w:val="clear" w:color="auto" w:fill="C6EFCE"/>
          </w:tcPr>
          <w:p w14:paraId="2AB98662" w14:textId="77777777" w:rsidR="00480F1C" w:rsidRDefault="00A201F6">
            <w:pPr>
              <w:pStyle w:val="Normal0"/>
              <w:pBdr>
                <w:top w:val="nil"/>
                <w:left w:val="nil"/>
                <w:bottom w:val="nil"/>
                <w:right w:val="nil"/>
                <w:between w:val="nil"/>
              </w:pBdr>
              <w:spacing w:after="0" w:line="240" w:lineRule="auto"/>
              <w:rPr>
                <w:rFonts w:ascii="Times New Roman" w:hAnsi="Times New Roman" w:cs="Times New Roman"/>
                <w:noProof/>
                <w:sz w:val="18"/>
              </w:rPr>
            </w:pPr>
            <w:r>
              <w:rPr>
                <w:rFonts w:ascii="Times New Roman" w:hAnsi="Times New Roman"/>
                <w:noProof/>
                <w:color w:val="000000" w:themeColor="text1"/>
                <w:sz w:val="18"/>
              </w:rPr>
              <w:t>Inwerkingtreding van een rechtshandeling die gericht is op het verhogen van de veiligheid voor de menselijke gezondheid en de toestand van het milieu;</w:t>
            </w:r>
            <w:r>
              <w:rPr>
                <w:noProof/>
              </w:rPr>
              <w:t xml:space="preserve"> </w:t>
            </w:r>
            <w:r>
              <w:rPr>
                <w:noProof/>
              </w:rPr>
              <w:br/>
            </w:r>
            <w:r>
              <w:rPr>
                <w:rFonts w:ascii="Times New Roman" w:hAnsi="Times New Roman"/>
                <w:noProof/>
                <w:color w:val="000000" w:themeColor="text1"/>
                <w:sz w:val="18"/>
              </w:rPr>
              <w:t>zij verschaft:</w:t>
            </w:r>
            <w:r>
              <w:rPr>
                <w:noProof/>
              </w:rPr>
              <w:t xml:space="preserve"> </w:t>
            </w:r>
            <w:r>
              <w:rPr>
                <w:noProof/>
              </w:rPr>
              <w:br/>
            </w:r>
            <w:r>
              <w:rPr>
                <w:rFonts w:ascii="Times New Roman" w:hAnsi="Times New Roman"/>
                <w:noProof/>
                <w:color w:val="000000" w:themeColor="text1"/>
                <w:sz w:val="18"/>
              </w:rPr>
              <w:t>— een nauwkeurige beschrijving van de bevoegdheden van overheidsinstanties in de wettelijke bepalingen;</w:t>
            </w:r>
            <w:r>
              <w:rPr>
                <w:noProof/>
              </w:rPr>
              <w:t xml:space="preserve"> </w:t>
            </w:r>
            <w:r>
              <w:rPr>
                <w:noProof/>
              </w:rPr>
              <w:br/>
            </w:r>
            <w:r>
              <w:rPr>
                <w:rFonts w:ascii="Times New Roman" w:hAnsi="Times New Roman"/>
                <w:noProof/>
                <w:color w:val="000000" w:themeColor="text1"/>
                <w:sz w:val="18"/>
              </w:rPr>
              <w:t>— identificatie van leidende en samenwerkende entiteiten op het gebied van de verwijdering van gevaarlijke materialen in de maritieme gebieden van de Republiek Polen;</w:t>
            </w:r>
            <w:r>
              <w:rPr>
                <w:noProof/>
              </w:rPr>
              <w:t xml:space="preserve"> </w:t>
            </w:r>
            <w:r>
              <w:rPr>
                <w:noProof/>
              </w:rPr>
              <w:br/>
            </w:r>
            <w:r>
              <w:rPr>
                <w:rFonts w:ascii="Times New Roman" w:hAnsi="Times New Roman"/>
                <w:noProof/>
                <w:color w:val="000000" w:themeColor="text1"/>
                <w:sz w:val="18"/>
              </w:rPr>
              <w:t>— ontwikkeling van een gedetailleerd actieplan van overheidsdiensten en onder toezicht staande en ondergeschikte eenheden op het gebied van gevaarlijke materialen die in mariene gebieden worden gestort, met vermelding van de entiteiten die verantwoordelijk zijn voor de uitvoering van individuele taken;</w:t>
            </w:r>
            <w:r>
              <w:rPr>
                <w:noProof/>
              </w:rPr>
              <w:t xml:space="preserve"> </w:t>
            </w:r>
            <w:r>
              <w:rPr>
                <w:noProof/>
              </w:rPr>
              <w:br/>
            </w:r>
            <w:r>
              <w:rPr>
                <w:rFonts w:ascii="Times New Roman" w:hAnsi="Times New Roman"/>
                <w:noProof/>
                <w:color w:val="000000" w:themeColor="text1"/>
                <w:sz w:val="18"/>
              </w:rPr>
              <w:t>— juridische wijzigingen in te voeren om de monitoring, identificatie en mogelijke winning en verwijdering van gevaarlijke materialen op gecoördineerde en geplande wijze mogelijk te maken.</w:t>
            </w:r>
          </w:p>
        </w:tc>
      </w:tr>
      <w:tr w:rsidR="00480F1C" w14:paraId="7BA98003" w14:textId="77777777">
        <w:trPr>
          <w:trHeight w:val="313"/>
        </w:trPr>
        <w:tc>
          <w:tcPr>
            <w:tcW w:w="821" w:type="dxa"/>
            <w:shd w:val="clear" w:color="auto" w:fill="C6EFCE"/>
          </w:tcPr>
          <w:p w14:paraId="0407AA06"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B16L</w:t>
            </w:r>
          </w:p>
        </w:tc>
        <w:tc>
          <w:tcPr>
            <w:tcW w:w="1745" w:type="dxa"/>
            <w:shd w:val="clear" w:color="auto" w:fill="C6EFCE"/>
          </w:tcPr>
          <w:p w14:paraId="35126CB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B3.2.1 Investeringen in risiconeutralisatie en herstel van grootschalige brownfieldterreinen en de Oostzee</w:t>
            </w:r>
          </w:p>
        </w:tc>
        <w:tc>
          <w:tcPr>
            <w:tcW w:w="1021" w:type="dxa"/>
            <w:shd w:val="clear" w:color="auto" w:fill="C6EFCE"/>
          </w:tcPr>
          <w:p w14:paraId="1EE2703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875" w:type="dxa"/>
            <w:shd w:val="clear" w:color="auto" w:fill="C6EFCE"/>
          </w:tcPr>
          <w:p w14:paraId="6FF7DAD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Documentatiereeksen voor investeringen in verband met de negatieve milieueffecten van geselecteerde grootschalige brownfields en gevaarlijke materialen die aan de bodem van de Oostzee zijn gezonken</w:t>
            </w:r>
          </w:p>
        </w:tc>
        <w:tc>
          <w:tcPr>
            <w:tcW w:w="1567" w:type="dxa"/>
            <w:shd w:val="clear" w:color="auto" w:fill="C6EFCE"/>
          </w:tcPr>
          <w:p w14:paraId="1293B41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50" w:type="dxa"/>
            <w:shd w:val="clear" w:color="auto" w:fill="C6EFCE"/>
          </w:tcPr>
          <w:p w14:paraId="47718AF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950" w:type="dxa"/>
            <w:shd w:val="clear" w:color="auto" w:fill="C6EFCE"/>
          </w:tcPr>
          <w:p w14:paraId="69EDC634"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877" w:type="dxa"/>
            <w:shd w:val="clear" w:color="auto" w:fill="C6EFCE"/>
          </w:tcPr>
          <w:p w14:paraId="61D99ED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9</w:t>
            </w:r>
          </w:p>
        </w:tc>
        <w:tc>
          <w:tcPr>
            <w:tcW w:w="964" w:type="dxa"/>
            <w:shd w:val="clear" w:color="auto" w:fill="C6EFCE"/>
          </w:tcPr>
          <w:p w14:paraId="74B08CA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688" w:type="dxa"/>
            <w:shd w:val="clear" w:color="auto" w:fill="C6EFCE"/>
          </w:tcPr>
          <w:p w14:paraId="3410D2F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4146" w:type="dxa"/>
            <w:shd w:val="clear" w:color="auto" w:fill="C6EFCE"/>
          </w:tcPr>
          <w:p w14:paraId="047AF22E" w14:textId="77777777"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sz w:val="18"/>
              </w:rPr>
              <w:t>Volledige investeringsdocumentatie bevat voor negen vooraf bepaalde locaties — in land en ter zee als een ander onderdeel van het programma — waarvoor aanzienlijke problemen bestaan met de aanwezigheid van verontreinigende stoffen of gevaarlijke stoffen op een groot gebied.</w:t>
            </w:r>
            <w:r>
              <w:rPr>
                <w:noProof/>
              </w:rPr>
              <w:t xml:space="preserve"> </w:t>
            </w:r>
            <w:r>
              <w:rPr>
                <w:noProof/>
              </w:rPr>
              <w:br/>
            </w:r>
          </w:p>
        </w:tc>
      </w:tr>
      <w:tr w:rsidR="00480F1C" w14:paraId="60079326" w14:textId="77777777">
        <w:trPr>
          <w:trHeight w:val="313"/>
        </w:trPr>
        <w:tc>
          <w:tcPr>
            <w:tcW w:w="821" w:type="dxa"/>
            <w:shd w:val="clear" w:color="auto" w:fill="C6EFCE"/>
          </w:tcPr>
          <w:p w14:paraId="30A0E0DC"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B17L</w:t>
            </w:r>
          </w:p>
        </w:tc>
        <w:tc>
          <w:tcPr>
            <w:tcW w:w="1745" w:type="dxa"/>
            <w:shd w:val="clear" w:color="auto" w:fill="C6EFCE"/>
          </w:tcPr>
          <w:p w14:paraId="26DF35C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B3.2.1 Investeringen in risiconeutralisatie en herstel van grootschalige brownfieldterreinen en de Oostzee</w:t>
            </w:r>
          </w:p>
        </w:tc>
        <w:tc>
          <w:tcPr>
            <w:tcW w:w="1021" w:type="dxa"/>
            <w:shd w:val="clear" w:color="auto" w:fill="C6EFCE"/>
          </w:tcPr>
          <w:p w14:paraId="5C20108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875" w:type="dxa"/>
            <w:shd w:val="clear" w:color="auto" w:fill="C6EFCE"/>
          </w:tcPr>
          <w:p w14:paraId="5526EC1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Grondgebieden waarvoor veldonderzoek in verband met de aanwezigheid van verontreinigende stoffen en gevaarlijke materialen is verricht </w:t>
            </w:r>
          </w:p>
        </w:tc>
        <w:tc>
          <w:tcPr>
            <w:tcW w:w="1567" w:type="dxa"/>
            <w:shd w:val="clear" w:color="auto" w:fill="C6EFCE"/>
          </w:tcPr>
          <w:p w14:paraId="513B775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50" w:type="dxa"/>
            <w:shd w:val="clear" w:color="auto" w:fill="C6EFCE"/>
          </w:tcPr>
          <w:p w14:paraId="715ED1D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950" w:type="dxa"/>
            <w:shd w:val="clear" w:color="auto" w:fill="C6EFCE"/>
          </w:tcPr>
          <w:p w14:paraId="5DA4577A"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877" w:type="dxa"/>
            <w:shd w:val="clear" w:color="auto" w:fill="C6EFCE"/>
          </w:tcPr>
          <w:p w14:paraId="04BCDCA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5</w:t>
            </w:r>
          </w:p>
        </w:tc>
        <w:tc>
          <w:tcPr>
            <w:tcW w:w="964" w:type="dxa"/>
            <w:shd w:val="clear" w:color="auto" w:fill="C6EFCE"/>
          </w:tcPr>
          <w:p w14:paraId="5C68E94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688" w:type="dxa"/>
            <w:shd w:val="clear" w:color="auto" w:fill="C6EFCE"/>
          </w:tcPr>
          <w:p w14:paraId="3FC9112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2024</w:t>
            </w:r>
          </w:p>
        </w:tc>
        <w:tc>
          <w:tcPr>
            <w:tcW w:w="4146" w:type="dxa"/>
            <w:shd w:val="clear" w:color="auto" w:fill="C6EFCE"/>
          </w:tcPr>
          <w:p w14:paraId="1FA38A9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Ontwikkeling van veldonderzoek, studies en grondinventarisatie, als een eerste maar fundamentele stap die moet leiden tot het opstellen van volledige investeringsdocumentatie in de volgende stappen van het programma.</w:t>
            </w:r>
          </w:p>
        </w:tc>
      </w:tr>
      <w:tr w:rsidR="00480F1C" w14:paraId="774227C3" w14:textId="77777777">
        <w:trPr>
          <w:trHeight w:val="313"/>
        </w:trPr>
        <w:tc>
          <w:tcPr>
            <w:tcW w:w="821" w:type="dxa"/>
            <w:shd w:val="clear" w:color="auto" w:fill="C6EFCE"/>
          </w:tcPr>
          <w:p w14:paraId="1DA4F4AB"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B18L</w:t>
            </w:r>
          </w:p>
        </w:tc>
        <w:tc>
          <w:tcPr>
            <w:tcW w:w="1745" w:type="dxa"/>
            <w:shd w:val="clear" w:color="auto" w:fill="C6EFCE"/>
          </w:tcPr>
          <w:p w14:paraId="5C4B121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B3.2.1 Investeringen in risiconeutralisatie en herstel van grootschalige brownfieldterreinen en de Oostzee</w:t>
            </w:r>
          </w:p>
        </w:tc>
        <w:tc>
          <w:tcPr>
            <w:tcW w:w="1021" w:type="dxa"/>
            <w:shd w:val="clear" w:color="auto" w:fill="C6EFCE"/>
          </w:tcPr>
          <w:p w14:paraId="47030C7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875" w:type="dxa"/>
            <w:shd w:val="clear" w:color="auto" w:fill="C6EFCE"/>
          </w:tcPr>
          <w:p w14:paraId="5B02564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Locaties in Poolse zeegebieden (met inbegrip van wrakken) met uitgevoerde inventarisatie en veldonderzoek in verband met de aanwezigheid van gevaarlijke materialen</w:t>
            </w:r>
          </w:p>
        </w:tc>
        <w:tc>
          <w:tcPr>
            <w:tcW w:w="1567" w:type="dxa"/>
            <w:shd w:val="clear" w:color="auto" w:fill="C6EFCE"/>
          </w:tcPr>
          <w:p w14:paraId="03B5815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50" w:type="dxa"/>
            <w:shd w:val="clear" w:color="auto" w:fill="C6EFCE"/>
          </w:tcPr>
          <w:p w14:paraId="6530D23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950" w:type="dxa"/>
            <w:shd w:val="clear" w:color="auto" w:fill="C6EFCE"/>
          </w:tcPr>
          <w:p w14:paraId="1CFE0E8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877" w:type="dxa"/>
            <w:shd w:val="clear" w:color="auto" w:fill="C6EFCE"/>
          </w:tcPr>
          <w:p w14:paraId="59803CD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4</w:t>
            </w:r>
          </w:p>
        </w:tc>
        <w:tc>
          <w:tcPr>
            <w:tcW w:w="964" w:type="dxa"/>
            <w:shd w:val="clear" w:color="auto" w:fill="C6EFCE"/>
          </w:tcPr>
          <w:p w14:paraId="27ABD2B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688" w:type="dxa"/>
            <w:shd w:val="clear" w:color="auto" w:fill="C6EFCE"/>
          </w:tcPr>
          <w:p w14:paraId="05C0581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2025</w:t>
            </w:r>
          </w:p>
        </w:tc>
        <w:tc>
          <w:tcPr>
            <w:tcW w:w="4146" w:type="dxa"/>
            <w:shd w:val="clear" w:color="auto" w:fill="C6EFCE"/>
          </w:tcPr>
          <w:p w14:paraId="3EFFD2A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Gedetailleerde verkennings- en meetcampagnes op zee en analyse van de verkregen gegevens als noodzakelijke stap voor het opstellen van volledige documentatie voor neutralisatieplannen.</w:t>
            </w:r>
          </w:p>
        </w:tc>
      </w:tr>
      <w:tr w:rsidR="00480F1C" w14:paraId="07CE92EF" w14:textId="77777777">
        <w:trPr>
          <w:trHeight w:val="313"/>
        </w:trPr>
        <w:tc>
          <w:tcPr>
            <w:tcW w:w="821" w:type="dxa"/>
            <w:shd w:val="clear" w:color="auto" w:fill="C6EFCE"/>
          </w:tcPr>
          <w:p w14:paraId="3FFC59C7"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B21L</w:t>
            </w:r>
          </w:p>
        </w:tc>
        <w:tc>
          <w:tcPr>
            <w:tcW w:w="1745" w:type="dxa"/>
            <w:shd w:val="clear" w:color="auto" w:fill="C6EFCE"/>
          </w:tcPr>
          <w:p w14:paraId="4F0CFD8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B3.3 Steun voor het duurzaam beheer van watervoorraden in de landbouw en in plattelandsgebieden </w:t>
            </w:r>
          </w:p>
        </w:tc>
        <w:tc>
          <w:tcPr>
            <w:tcW w:w="1021" w:type="dxa"/>
            <w:shd w:val="clear" w:color="auto" w:fill="C6EFCE"/>
          </w:tcPr>
          <w:p w14:paraId="40674D3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875" w:type="dxa"/>
            <w:shd w:val="clear" w:color="auto" w:fill="C6EFCE"/>
          </w:tcPr>
          <w:p w14:paraId="560AAFD1"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u w:val="single"/>
              </w:rPr>
            </w:pPr>
            <w:r>
              <w:rPr>
                <w:noProof/>
              </w:rPr>
              <w:t>Inwerkingtreding van wijzigingen in de nationale wetgeving die nodig zijn om de voorwaarden voor een veerkrachtig waterbeheer in de landbouw en plattelandsgebieden te verbeteren</w:t>
            </w:r>
          </w:p>
        </w:tc>
        <w:tc>
          <w:tcPr>
            <w:tcW w:w="1567" w:type="dxa"/>
            <w:shd w:val="clear" w:color="auto" w:fill="C6EFCE"/>
          </w:tcPr>
          <w:p w14:paraId="7307C78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wijzigingen betreffende de inwerkingtreding</w:t>
            </w:r>
          </w:p>
        </w:tc>
        <w:tc>
          <w:tcPr>
            <w:tcW w:w="950" w:type="dxa"/>
            <w:shd w:val="clear" w:color="auto" w:fill="C6EFCE"/>
          </w:tcPr>
          <w:p w14:paraId="0C7E87B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50" w:type="dxa"/>
            <w:shd w:val="clear" w:color="auto" w:fill="C6EFCE"/>
          </w:tcPr>
          <w:p w14:paraId="6D2A6E0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77" w:type="dxa"/>
            <w:shd w:val="clear" w:color="auto" w:fill="C6EFCE"/>
          </w:tcPr>
          <w:p w14:paraId="0FCC9D0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64" w:type="dxa"/>
            <w:shd w:val="clear" w:color="auto" w:fill="C6EFCE"/>
          </w:tcPr>
          <w:p w14:paraId="37B0C0E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688" w:type="dxa"/>
            <w:shd w:val="clear" w:color="auto" w:fill="C6EFCE"/>
          </w:tcPr>
          <w:p w14:paraId="12E6247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4146" w:type="dxa"/>
            <w:shd w:val="clear" w:color="auto" w:fill="C6EFCE"/>
          </w:tcPr>
          <w:p w14:paraId="2211669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Inwerkingtreding van wijzigingen die ertoe bijdragen dat de landbouw beter bestand is tegen droogte en overstromingspreventie in landbouwgebieden; verbetering van de waterefficiëntie door de waterverhoudingen in landbouwgebieden naar behoren te reguleren en afvloeiing tegen te gaan; en het verhogen van de waterretentie. De wijzigingen moeten voldoen aan de vereisten van de technische richtsnoeren „geen ernstige afbreuk doen” (2021/C 58/01), met name de naleving van de milieuwetgeving van de EU, met inbegrip van de MEB-richtlijn en de kaderrichtlijn water.  </w:t>
            </w:r>
          </w:p>
          <w:p w14:paraId="109A3AC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De wijzigingen mogen niet leiden tot een verslechtering van het niveau van naleving van de milieuwetgeving van de EU met betrekking tot investeringen die worden beschouwd als aanzienlijke of potentieel aanzienlijke investeringen op grond van de verordening van de Raad van Ministers inzake projecten die een aanzienlijk effect op het milieu kunnen hebben en investeringen in of gevolgen hebben voor Natura 2000-gebieden. Bovendien mogen de wijzigingen de momenteel bindende regels inzake waterinname niet wijzigen.</w:t>
            </w:r>
          </w:p>
        </w:tc>
      </w:tr>
      <w:tr w:rsidR="00480F1C" w14:paraId="71C2B112" w14:textId="77777777">
        <w:trPr>
          <w:trHeight w:val="313"/>
        </w:trPr>
        <w:tc>
          <w:tcPr>
            <w:tcW w:w="821" w:type="dxa"/>
            <w:shd w:val="clear" w:color="auto" w:fill="C6EFCE"/>
          </w:tcPr>
          <w:p w14:paraId="1AE780BE"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B22L</w:t>
            </w:r>
          </w:p>
        </w:tc>
        <w:tc>
          <w:tcPr>
            <w:tcW w:w="1745" w:type="dxa"/>
            <w:shd w:val="clear" w:color="auto" w:fill="C6EFCE"/>
          </w:tcPr>
          <w:p w14:paraId="3E42A90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B3.3.1 Investeringen om het potentieel van duurzaam waterbeheer in plattelandsgebieden te vergroten</w:t>
            </w:r>
          </w:p>
        </w:tc>
        <w:tc>
          <w:tcPr>
            <w:tcW w:w="1021" w:type="dxa"/>
            <w:shd w:val="clear" w:color="auto" w:fill="C6EFCE"/>
          </w:tcPr>
          <w:p w14:paraId="1E5C422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875" w:type="dxa"/>
            <w:shd w:val="clear" w:color="auto" w:fill="C6EFCE"/>
          </w:tcPr>
          <w:p w14:paraId="5461766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Vaststelling van selectiecriteria voor oproepen tot het indienen van voorstellen </w:t>
            </w:r>
          </w:p>
        </w:tc>
        <w:tc>
          <w:tcPr>
            <w:tcW w:w="1567" w:type="dxa"/>
            <w:shd w:val="clear" w:color="auto" w:fill="C6EFCE"/>
          </w:tcPr>
          <w:p w14:paraId="3A0830C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Vaststelling van de criteria door het ministerie van Landbouw en Plattelandsontwikkeling </w:t>
            </w:r>
          </w:p>
          <w:p w14:paraId="6743F039"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50" w:type="dxa"/>
            <w:shd w:val="clear" w:color="auto" w:fill="C6EFCE"/>
          </w:tcPr>
          <w:p w14:paraId="3463A1C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50" w:type="dxa"/>
            <w:shd w:val="clear" w:color="auto" w:fill="C6EFCE"/>
          </w:tcPr>
          <w:p w14:paraId="6D4359A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77" w:type="dxa"/>
            <w:shd w:val="clear" w:color="auto" w:fill="C6EFCE"/>
          </w:tcPr>
          <w:p w14:paraId="4BD2C17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64" w:type="dxa"/>
            <w:shd w:val="clear" w:color="auto" w:fill="C6EFCE"/>
          </w:tcPr>
          <w:p w14:paraId="6F53F65F"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688" w:type="dxa"/>
            <w:shd w:val="clear" w:color="auto" w:fill="C6EFCE"/>
          </w:tcPr>
          <w:p w14:paraId="031F910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4146" w:type="dxa"/>
            <w:shd w:val="clear" w:color="auto" w:fill="C6EFCE"/>
          </w:tcPr>
          <w:p w14:paraId="6D0C60F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Investeringen worden geselecteerd via specifieke oproepen, op basis van milieucriteria. </w:t>
            </w:r>
          </w:p>
          <w:p w14:paraId="0EF1856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Het project draagt bij tot het vergroten van de weerbaarheid van de landbouw tegen droogte en overstromingspreventie in landbouwgebieden; verbetering van de waterefficiëntie door de waterverhoudingen in landbouwgebieden naar behoren te reguleren en afvloeiing tegen te gaan; en het verhogen van de waterretentie, mits de behoefte en de aard ervan naar behoren worden gerechtvaardigd.</w:t>
            </w:r>
          </w:p>
          <w:p w14:paraId="6297B9E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Er wordt prioriteit gegeven aan op de natuur gebaseerde of andere klimaatbestendige oplossingen. Alleen projecten die niet leiden tot een verslechtering van de toestand van oppervlaktewateren en grondwater en die de verbetering van de ecologische toestand of het ecologisch potentieel van de betrokken waterlichamen niet in de weg staan, worden ondersteund. </w:t>
            </w:r>
          </w:p>
        </w:tc>
      </w:tr>
      <w:tr w:rsidR="00480F1C" w14:paraId="6BDC07D4" w14:textId="77777777">
        <w:trPr>
          <w:trHeight w:val="313"/>
        </w:trPr>
        <w:tc>
          <w:tcPr>
            <w:tcW w:w="821" w:type="dxa"/>
            <w:shd w:val="clear" w:color="auto" w:fill="C6EFCE"/>
          </w:tcPr>
          <w:p w14:paraId="550FF28E"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B23L</w:t>
            </w:r>
          </w:p>
        </w:tc>
        <w:tc>
          <w:tcPr>
            <w:tcW w:w="1745" w:type="dxa"/>
            <w:shd w:val="clear" w:color="auto" w:fill="C6EFCE"/>
          </w:tcPr>
          <w:p w14:paraId="5FD9048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B3.3.1 Investeringen om het potentieel van duurzaam waterbeheer in plattelandsgebieden te vergroten</w:t>
            </w:r>
          </w:p>
        </w:tc>
        <w:tc>
          <w:tcPr>
            <w:tcW w:w="1021" w:type="dxa"/>
            <w:shd w:val="clear" w:color="auto" w:fill="C6EFCE"/>
          </w:tcPr>
          <w:p w14:paraId="238FB22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75" w:type="dxa"/>
            <w:shd w:val="clear" w:color="auto" w:fill="C6EFCE"/>
          </w:tcPr>
          <w:p w14:paraId="5AB2F083"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rPr>
            </w:pPr>
            <w:r>
              <w:rPr>
                <w:noProof/>
              </w:rPr>
              <w:t xml:space="preserve">Oppervlakte landbouwgrond/bos (in hectare) dat profiteert van een verbeterde waterretentie </w:t>
            </w:r>
          </w:p>
        </w:tc>
        <w:tc>
          <w:tcPr>
            <w:tcW w:w="1567" w:type="dxa"/>
            <w:shd w:val="clear" w:color="auto" w:fill="C6EFCE"/>
          </w:tcPr>
          <w:p w14:paraId="1DC1CA1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50" w:type="dxa"/>
            <w:shd w:val="clear" w:color="auto" w:fill="C6EFCE"/>
          </w:tcPr>
          <w:p w14:paraId="2E7217B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0" w:type="dxa"/>
            <w:shd w:val="clear" w:color="auto" w:fill="C6EFCE"/>
          </w:tcPr>
          <w:p w14:paraId="6A058985"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77" w:type="dxa"/>
            <w:shd w:val="clear" w:color="auto" w:fill="C6EFCE"/>
          </w:tcPr>
          <w:p w14:paraId="7179A7A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858 568 </w:t>
            </w:r>
          </w:p>
        </w:tc>
        <w:tc>
          <w:tcPr>
            <w:tcW w:w="964" w:type="dxa"/>
            <w:shd w:val="clear" w:color="auto" w:fill="C6EFCE"/>
          </w:tcPr>
          <w:p w14:paraId="63229B6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688" w:type="dxa"/>
            <w:shd w:val="clear" w:color="auto" w:fill="C6EFCE"/>
          </w:tcPr>
          <w:p w14:paraId="41B1569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4146" w:type="dxa"/>
            <w:shd w:val="clear" w:color="auto" w:fill="C6EFCE"/>
          </w:tcPr>
          <w:p w14:paraId="4B532529" w14:textId="23D0BBE3" w:rsidR="00480F1C" w:rsidRDefault="00A201F6">
            <w:pPr>
              <w:pStyle w:val="Normal0"/>
              <w:spacing w:after="0" w:line="240" w:lineRule="auto"/>
              <w:rPr>
                <w:rFonts w:ascii="Times New Roman" w:eastAsia="Times New Roman" w:hAnsi="Times New Roman" w:cs="Times New Roman"/>
                <w:noProof/>
                <w:color w:val="000000" w:themeColor="text1"/>
                <w:sz w:val="18"/>
              </w:rPr>
            </w:pPr>
            <w:r>
              <w:rPr>
                <w:rFonts w:ascii="Times New Roman" w:hAnsi="Times New Roman"/>
                <w:noProof/>
                <w:color w:val="000000" w:themeColor="text1"/>
                <w:sz w:val="18"/>
              </w:rPr>
              <w:t xml:space="preserve">Ten minste 858 568 hectare landbouwgrond of bos die aantoonbaar profiteren van een verbeterde waterretentie, door middel van maatregelen om de landbouwsector op lange termijn beter bestand te maken tegen de gevolgen van de klimaatverandering, met name droogte en overstromingen, en ter ondersteuning van de biodiversiteit.   </w:t>
            </w:r>
            <w:r>
              <w:rPr>
                <w:noProof/>
              </w:rPr>
              <w:t xml:space="preserve"> </w:t>
            </w:r>
            <w:r>
              <w:rPr>
                <w:noProof/>
              </w:rPr>
              <w:br/>
              <w:t xml:space="preserve"> </w:t>
            </w:r>
            <w:r>
              <w:rPr>
                <w:noProof/>
              </w:rPr>
              <w:br/>
            </w:r>
            <w:r>
              <w:rPr>
                <w:rFonts w:ascii="Times New Roman" w:hAnsi="Times New Roman"/>
                <w:noProof/>
                <w:color w:val="000000" w:themeColor="text1"/>
                <w:sz w:val="18"/>
              </w:rPr>
              <w:t>De investering moet voldoen aan de vereisten van de technische richtsnoeren „Geen ernstige afbreuk doen” (2021/C 58/01). Voor alle nieuwe projecten waarvoor een MEB vereist is, wordt een vergunning verleend krachtens de Wet op de verstrekking van informatie over het milieu en de bescherming daarvan, inspraak van het publiek in milieubescherming en milieueffectbeoordelingen, zoals gewijzigd bij de wet van 30 maart 2021 tot wijziging van die wet en bepaalde andere wetten. Bij de uitvoering van alle investeringsprojecten waarvoor een milieubesluit of een bouw- of ontwikkelingsvergunning is aangevraagd of afgegeven vóór de inwerkingtreding van de wet van 30 maart 2021, wordt rekening gehouden met de bepalingen van de „Richtsnoeren voor corrigerende maatregelen voor projecten die worden medegefinancierd door EU-fondsen die getroffen zijn door inbreuk 2016/2046”, zoals meegedeeld aan Polen op 23 februari 2021 (ref. Ares (2021) 1423319). Alleen projecten die niet leiden tot een verslechtering van de toestand van oppervlaktewateren en grondwater en die de verbetering van de ecologische toestand of het ecologisch potentieel van de betrokken waterlichamen niet in de weg staan, worden ondersteund.</w:t>
            </w:r>
          </w:p>
          <w:p w14:paraId="4FC574FA" w14:textId="77777777" w:rsidR="00480F1C" w:rsidRDefault="00480F1C">
            <w:pPr>
              <w:pStyle w:val="Normal0"/>
              <w:spacing w:after="0" w:line="240" w:lineRule="auto"/>
              <w:rPr>
                <w:rFonts w:ascii="Times New Roman" w:eastAsia="Times New Roman" w:hAnsi="Times New Roman" w:cs="Times New Roman"/>
                <w:noProof/>
                <w:color w:val="000000" w:themeColor="text1"/>
                <w:sz w:val="18"/>
              </w:rPr>
            </w:pPr>
          </w:p>
          <w:p w14:paraId="652587EA" w14:textId="3510D1F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Wanneer water wordt onttrokken, moet door de bevoegde autoriteit een relevante vergunning worden verleend waarin de voorwaarden worden gespecificeerd om achteruitgang te voorkomen en ervoor te zorgen dat de betrokken waterlichamen zich in een goede ecologische toestand bevinden, in overeenstemming met de eisen van Richtlijn 2000/60/EG en gestaafd door de meest recente relevante ondersteunende gegevens. Wateronttrekking moet worden vermeden wanneer de toestand of het goede potentieel van de betrokken waterlichamen (oppervlakte- of grondwater) (in de context van de intensivering van de klimaatverandering) lager is dan een goede toestand of een goed potentieel.</w:t>
            </w:r>
          </w:p>
        </w:tc>
      </w:tr>
      <w:tr w:rsidR="00480F1C" w14:paraId="37028628" w14:textId="77777777">
        <w:trPr>
          <w:trHeight w:val="313"/>
        </w:trPr>
        <w:tc>
          <w:tcPr>
            <w:tcW w:w="821" w:type="dxa"/>
            <w:shd w:val="clear" w:color="auto" w:fill="C6EFCE"/>
          </w:tcPr>
          <w:p w14:paraId="73253876"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B24L</w:t>
            </w:r>
          </w:p>
        </w:tc>
        <w:tc>
          <w:tcPr>
            <w:tcW w:w="1745" w:type="dxa"/>
            <w:shd w:val="clear" w:color="auto" w:fill="C6EFCE"/>
          </w:tcPr>
          <w:p w14:paraId="75F40F2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B3.4 Kader voor investeringen in de groene transitie in stedelijke gebieden</w:t>
            </w:r>
          </w:p>
        </w:tc>
        <w:tc>
          <w:tcPr>
            <w:tcW w:w="1021" w:type="dxa"/>
            <w:shd w:val="clear" w:color="auto" w:fill="C6EFCE"/>
          </w:tcPr>
          <w:p w14:paraId="2EF6815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875" w:type="dxa"/>
            <w:shd w:val="clear" w:color="auto" w:fill="C6EFCE"/>
          </w:tcPr>
          <w:p w14:paraId="41CBF02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Inwerkingtreding van een wet inzake duurzame stedelijke ontwikkeling met doelstellingen, richtsnoeren, uitvoeringsregels en coördinatiemechanismen voor de groene transformatie van steden </w:t>
            </w:r>
          </w:p>
        </w:tc>
        <w:tc>
          <w:tcPr>
            <w:tcW w:w="1567" w:type="dxa"/>
            <w:shd w:val="clear" w:color="auto" w:fill="C6EFCE"/>
          </w:tcPr>
          <w:p w14:paraId="47C88E9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wet die de inwerkingtreding ervan aangeeft</w:t>
            </w:r>
          </w:p>
        </w:tc>
        <w:tc>
          <w:tcPr>
            <w:tcW w:w="950" w:type="dxa"/>
            <w:shd w:val="clear" w:color="auto" w:fill="C6EFCE"/>
          </w:tcPr>
          <w:p w14:paraId="7413E85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50" w:type="dxa"/>
            <w:shd w:val="clear" w:color="auto" w:fill="C6EFCE"/>
          </w:tcPr>
          <w:p w14:paraId="3AC51A2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77" w:type="dxa"/>
            <w:shd w:val="clear" w:color="auto" w:fill="C6EFCE"/>
          </w:tcPr>
          <w:p w14:paraId="368883F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64" w:type="dxa"/>
            <w:shd w:val="clear" w:color="auto" w:fill="C6EFCE"/>
          </w:tcPr>
          <w:p w14:paraId="2E3B46A4"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688" w:type="dxa"/>
            <w:shd w:val="clear" w:color="auto" w:fill="C6EFCE"/>
          </w:tcPr>
          <w:p w14:paraId="3311C5F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2023</w:t>
            </w:r>
          </w:p>
        </w:tc>
        <w:tc>
          <w:tcPr>
            <w:tcW w:w="4146" w:type="dxa"/>
            <w:shd w:val="clear" w:color="auto" w:fill="C6EFCE"/>
          </w:tcPr>
          <w:p w14:paraId="4BE54E8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Inwerkingtreding van een wet die gericht is op het ondersteunen van de capaciteit van stedelijke gebieden om te investeren in de groene transitie. Het zorgt ervoor dat duurzaamheidsaspecten beter in de stedenbouwkundige procedures worden geïntegreerd. Zij zorgt ervoor dat de belanghebbenden naar behoren worden geraadpleegd in het kader van deze procedures. Het voorziet in capaciteitsondersteuning voor lokale overheden om dergelijke projecten uit te voeren. </w:t>
            </w:r>
          </w:p>
        </w:tc>
      </w:tr>
      <w:tr w:rsidR="00480F1C" w14:paraId="1939EB18" w14:textId="77777777">
        <w:trPr>
          <w:trHeight w:val="313"/>
        </w:trPr>
        <w:tc>
          <w:tcPr>
            <w:tcW w:w="821" w:type="dxa"/>
            <w:shd w:val="clear" w:color="auto" w:fill="C6EFCE"/>
          </w:tcPr>
          <w:p w14:paraId="76E182B2"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B25L</w:t>
            </w:r>
          </w:p>
        </w:tc>
        <w:tc>
          <w:tcPr>
            <w:tcW w:w="1745" w:type="dxa"/>
            <w:shd w:val="clear" w:color="auto" w:fill="C6EFCE"/>
          </w:tcPr>
          <w:p w14:paraId="445FE28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B3.4 Kader voor investeringen in de groene transitie in stedelijke gebieden</w:t>
            </w:r>
          </w:p>
        </w:tc>
        <w:tc>
          <w:tcPr>
            <w:tcW w:w="1021" w:type="dxa"/>
            <w:shd w:val="clear" w:color="auto" w:fill="C6EFCE"/>
          </w:tcPr>
          <w:p w14:paraId="2D81EBE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875" w:type="dxa"/>
            <w:shd w:val="clear" w:color="auto" w:fill="C6EFCE"/>
          </w:tcPr>
          <w:p w14:paraId="6C43996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Instrument voor groene stedelijke transformatie</w:t>
            </w:r>
          </w:p>
        </w:tc>
        <w:tc>
          <w:tcPr>
            <w:tcW w:w="1567" w:type="dxa"/>
            <w:shd w:val="clear" w:color="auto" w:fill="C6EFCE"/>
          </w:tcPr>
          <w:p w14:paraId="78606C10"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color w:val="006100"/>
              </w:rPr>
            </w:pPr>
            <w:r>
              <w:rPr>
                <w:noProof/>
                <w:color w:val="000000"/>
              </w:rPr>
              <w:t>Vaststelling van het instrument voor groene stedelijke transformatie en vaststelling van de gedetailleerde regels en procedures ervan in overleg met alle belanghebbenden</w:t>
            </w:r>
            <w:r>
              <w:rPr>
                <w:noProof/>
                <w:color w:val="FF0000"/>
              </w:rPr>
              <w:t xml:space="preserve"> </w:t>
            </w:r>
          </w:p>
        </w:tc>
        <w:tc>
          <w:tcPr>
            <w:tcW w:w="950" w:type="dxa"/>
            <w:shd w:val="clear" w:color="auto" w:fill="C6EFCE"/>
          </w:tcPr>
          <w:p w14:paraId="261EA0D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50" w:type="dxa"/>
            <w:shd w:val="clear" w:color="auto" w:fill="C6EFCE"/>
          </w:tcPr>
          <w:p w14:paraId="000C474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77" w:type="dxa"/>
            <w:shd w:val="clear" w:color="auto" w:fill="C6EFCE"/>
          </w:tcPr>
          <w:p w14:paraId="7216F7A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64" w:type="dxa"/>
            <w:shd w:val="clear" w:color="auto" w:fill="C6EFCE"/>
          </w:tcPr>
          <w:p w14:paraId="7626EC5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2</w:t>
            </w:r>
          </w:p>
        </w:tc>
        <w:tc>
          <w:tcPr>
            <w:tcW w:w="688" w:type="dxa"/>
            <w:shd w:val="clear" w:color="auto" w:fill="C6EFCE"/>
          </w:tcPr>
          <w:p w14:paraId="4E4517F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4146" w:type="dxa"/>
            <w:shd w:val="clear" w:color="auto" w:fill="C6EFCE"/>
          </w:tcPr>
          <w:p w14:paraId="4BB593FB" w14:textId="1837143D" w:rsidR="00480F1C" w:rsidRDefault="00A201F6">
            <w:pPr>
              <w:pStyle w:val="P68B1DB1-Normal12"/>
              <w:spacing w:after="0" w:line="257" w:lineRule="auto"/>
              <w:rPr>
                <w:rFonts w:eastAsia="Times New Roman" w:cs="Times New Roman"/>
                <w:noProof/>
                <w:color w:val="006100"/>
              </w:rPr>
            </w:pPr>
            <w:r>
              <w:rPr>
                <w:noProof/>
              </w:rPr>
              <w:t xml:space="preserve">Oprichting van het instrument voor groene stedelijke transitie ter ondersteuning van a) de groene transformatie van steden; en b) investeringen in de groene digitalisering van steden, met goedgekeurde procedures. Het instrument voor groene stedelijke transitie is in overeenstemming met de technische richtsnoeren inzake het beginsel „geen ernstige afbreuk doen aan” (2021/C 58/01). Om ervoor te zorgen dat de maatregel voldoet aan de technische richtsnoeren „geen ernstige afbreuk doen” (2021/C 58/01), worden de volgende activiteiten uitgesloten van de subsidiabiliteitscriteria voor projecten: I) activiteiten in verband met fossiele brandstoffen, met inbegrip van downstreamgebruik; II) activiteiten in het kader van het EU-emissiehandelssysteem (ETS) waarmee de verwachte broeikasgasemissies niet lager zijn dan de relevante benchmarks; III) activiteiten in verband met stortplaatsen voor afval, verbrandingsinstallaties en installaties voor mechanische biologische behandeling; en iv) activiteiten waarbij de langdurige verwijdering van afval schade kan toebrengen aan het milieu. In de taakomschrijving wordt bovendien bepaald dat alleen activiteiten mogen worden geselecteerd die voldoen aan de relevante EU- en nationale milieuwetgeving.  </w:t>
            </w:r>
          </w:p>
          <w:p w14:paraId="14ED9DD4" w14:textId="098C4D5D" w:rsidR="00480F1C" w:rsidRDefault="00480F1C">
            <w:pPr>
              <w:spacing w:after="0" w:line="257" w:lineRule="auto"/>
              <w:rPr>
                <w:rFonts w:ascii="Times New Roman" w:eastAsia="Times New Roman" w:hAnsi="Times New Roman" w:cs="Times New Roman"/>
                <w:noProof/>
                <w:color w:val="000000" w:themeColor="text1"/>
                <w:sz w:val="18"/>
              </w:rPr>
            </w:pPr>
          </w:p>
          <w:p w14:paraId="7ACC9A11" w14:textId="77777777" w:rsidR="00480F1C" w:rsidRDefault="00A201F6">
            <w:pPr>
              <w:pStyle w:val="P68B1DB1-Normal12"/>
              <w:spacing w:after="0" w:line="257" w:lineRule="auto"/>
              <w:rPr>
                <w:noProof/>
              </w:rPr>
            </w:pPr>
            <w:r>
              <w:rPr>
                <w:noProof/>
              </w:rPr>
              <w:t>Het instrument voor groene stedelijke transformatie zorgt ervoor dat alle terugvloeiende middelen (d.w.z. rente op de lening, rendement op eigen vermogen of afgeloste hoofdsom, minus bijbehorende kosten) die verband houden met dit instrument, worden gebruikt voor dezelfde beleidsdoelstellingen, ook na 2026, of voor de terugbetaling van de RRF-lening.</w:t>
            </w:r>
          </w:p>
          <w:p w14:paraId="163F6607"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tc>
      </w:tr>
      <w:tr w:rsidR="00480F1C" w14:paraId="6E64E061" w14:textId="77777777">
        <w:trPr>
          <w:trHeight w:val="313"/>
        </w:trPr>
        <w:tc>
          <w:tcPr>
            <w:tcW w:w="821" w:type="dxa"/>
            <w:shd w:val="clear" w:color="auto" w:fill="C6EFCE"/>
          </w:tcPr>
          <w:p w14:paraId="5DFCB54F"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B26L</w:t>
            </w:r>
          </w:p>
        </w:tc>
        <w:tc>
          <w:tcPr>
            <w:tcW w:w="1745" w:type="dxa"/>
            <w:shd w:val="clear" w:color="auto" w:fill="C6EFCE"/>
          </w:tcPr>
          <w:p w14:paraId="42C47D61" w14:textId="2E34BBC2"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B3.4.1 Investeringen in een groene transformatie van steden</w:t>
            </w:r>
          </w:p>
        </w:tc>
        <w:tc>
          <w:tcPr>
            <w:tcW w:w="1021" w:type="dxa"/>
            <w:shd w:val="clear" w:color="auto" w:fill="C6EFCE"/>
          </w:tcPr>
          <w:p w14:paraId="070AB86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75" w:type="dxa"/>
            <w:shd w:val="clear" w:color="auto" w:fill="C6EFCE"/>
          </w:tcPr>
          <w:p w14:paraId="414FEEF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T1 — Ondertekening van de leningsovereenkomsten voor investeringen in groene stadsontwikkelingsprojecten  </w:t>
            </w:r>
          </w:p>
        </w:tc>
        <w:tc>
          <w:tcPr>
            <w:tcW w:w="1567" w:type="dxa"/>
            <w:shd w:val="clear" w:color="auto" w:fill="C6EFCE"/>
          </w:tcPr>
          <w:p w14:paraId="328EC355"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50" w:type="dxa"/>
            <w:shd w:val="clear" w:color="auto" w:fill="C6EFCE"/>
          </w:tcPr>
          <w:p w14:paraId="29E872A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0" w:type="dxa"/>
            <w:shd w:val="clear" w:color="auto" w:fill="C6EFCE"/>
          </w:tcPr>
          <w:p w14:paraId="5583B4FB"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77" w:type="dxa"/>
            <w:shd w:val="clear" w:color="auto" w:fill="C6EFCE"/>
          </w:tcPr>
          <w:p w14:paraId="38C2D721" w14:textId="77777777" w:rsidR="00480F1C" w:rsidRDefault="00A201F6">
            <w:pPr>
              <w:pStyle w:val="P68B1DB1-Normal011"/>
              <w:spacing w:after="0" w:line="240" w:lineRule="auto"/>
              <w:jc w:val="right"/>
              <w:rPr>
                <w:rFonts w:eastAsia="Times New Roman" w:cs="Times New Roman"/>
                <w:noProof/>
                <w:color w:val="000000" w:themeColor="text1"/>
              </w:rPr>
            </w:pPr>
            <w:r>
              <w:rPr>
                <w:noProof/>
              </w:rPr>
              <w:t>201</w:t>
            </w:r>
          </w:p>
        </w:tc>
        <w:tc>
          <w:tcPr>
            <w:tcW w:w="964" w:type="dxa"/>
            <w:shd w:val="clear" w:color="auto" w:fill="C6EFCE"/>
          </w:tcPr>
          <w:p w14:paraId="25C3CD94"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688" w:type="dxa"/>
            <w:shd w:val="clear" w:color="auto" w:fill="C6EFCE"/>
          </w:tcPr>
          <w:p w14:paraId="63B2704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2024</w:t>
            </w:r>
          </w:p>
        </w:tc>
        <w:tc>
          <w:tcPr>
            <w:tcW w:w="4146" w:type="dxa"/>
            <w:shd w:val="clear" w:color="auto" w:fill="C6EFCE"/>
          </w:tcPr>
          <w:p w14:paraId="4F89E82C" w14:textId="77777777" w:rsidR="00480F1C" w:rsidRDefault="00A201F6">
            <w:pPr>
              <w:pStyle w:val="P68B1DB1-Normal12"/>
              <w:spacing w:after="0"/>
              <w:rPr>
                <w:noProof/>
              </w:rPr>
            </w:pPr>
            <w:r>
              <w:rPr>
                <w:noProof/>
              </w:rPr>
              <w:t xml:space="preserve">De doelstelling heeft betrekking op het aantal contracten dat met de ontvangers is gesloten. De steun wordt verstrekt via het instrument voor groene stedelijke transitie en is in overeenstemming met de vastgestelde procedures.  </w:t>
            </w:r>
          </w:p>
          <w:p w14:paraId="789CC968" w14:textId="77777777" w:rsidR="00480F1C" w:rsidRDefault="00A201F6">
            <w:pPr>
              <w:pStyle w:val="P68B1DB1-Normal12"/>
              <w:spacing w:after="0"/>
              <w:rPr>
                <w:noProof/>
              </w:rPr>
            </w:pPr>
            <w:r>
              <w:rPr>
                <w:noProof/>
              </w:rPr>
              <w:t xml:space="preserve"> </w:t>
            </w:r>
          </w:p>
          <w:p w14:paraId="31E78A6D" w14:textId="77777777" w:rsidR="00480F1C" w:rsidRDefault="00A201F6">
            <w:pPr>
              <w:pStyle w:val="P68B1DB1-Normal12"/>
              <w:spacing w:after="0"/>
              <w:rPr>
                <w:noProof/>
              </w:rPr>
            </w:pPr>
            <w:r>
              <w:rPr>
                <w:noProof/>
              </w:rPr>
              <w:t xml:space="preserve">De begunstigde entiteiten worden geselecteerd via transparante en vergelijkende oproepen die openstaan voor projecten die betrekking hebben op alle steden.  </w:t>
            </w:r>
          </w:p>
          <w:p w14:paraId="1AB643F4" w14:textId="77777777" w:rsidR="00480F1C" w:rsidRDefault="00A201F6">
            <w:pPr>
              <w:pStyle w:val="P68B1DB1-Normal12"/>
              <w:spacing w:after="0"/>
              <w:rPr>
                <w:noProof/>
              </w:rPr>
            </w:pPr>
            <w:r>
              <w:rPr>
                <w:noProof/>
              </w:rPr>
              <w:t xml:space="preserve"> </w:t>
            </w:r>
          </w:p>
          <w:p w14:paraId="5D599EA3" w14:textId="77777777" w:rsidR="00480F1C" w:rsidRDefault="00A201F6">
            <w:pPr>
              <w:pStyle w:val="P68B1DB1-Normal12"/>
              <w:spacing w:after="0"/>
              <w:rPr>
                <w:noProof/>
              </w:rPr>
            </w:pPr>
            <w:r>
              <w:rPr>
                <w:noProof/>
              </w:rPr>
              <w:t xml:space="preserve">De criteria voor de selectie van begunstigde entiteiten weerspiegelen met name de behoeften om de gevolgen van steden voor de klimaatverandering en de gezondheid van hun inwoners te beperken door de uitstoot van broeikasgassen en andere verontreinigende stoffen te verminderen. De resultaatindicatoren worden vastgesteld op basis van de specifieke kenmerken van de ondersteunde projecten. Subsidiabele soorten projecten zijn onder meer: I) vergroting van biologisch actieve oppervlakken in stedelijke en functionele gebieden en vermindering van bodemafdekking; II) op de natuur gebaseerde stedelijke investeringen met bijbehorende vegetatieoplossingen; III) duurzame regenwaterbeheersystemen met groene blauwe infrastructuur en op de natuur gebaseerde oplossingen; IV) verbetering van de luchtkwaliteit in steden, met inbegrip van de ontwikkeling van decentrale energie en decentrale energie; vaststelling van lage-emissiezones, duurzame multimodale stedelijke mobiliteit, doeltreffende mobiliteitsplannen, groene zones in stedelijke gebieden; VI) ontwikkeling van energieclusters en coöperaties (vii) meer gebruik maken van hernieuwbare energiebronnen als energiebron in de stad; VIII) de ontwikkeling van emissievrije vervoersinfrastructuur (voetgangers, fietsen) die geïntegreerd is in het collectieve vervoer; IX) het gebruik van energie-efficiënte verlichtingstechnologieën voor wegen en openbare ruimten; (X) voorlichting en bewustmaking van burgers over de noodzaak om steden om te vormen tot klimaatneutraliteit door zich aan de klimaatverandering aan te passen en xi) gebouwen en stedelijke ruimten nieuw leven in te blazen. De kosten van (x) mogen niet meer bedragen dan 10 % van de investeringskosten B3.4.1. </w:t>
            </w:r>
          </w:p>
          <w:p w14:paraId="5227B97E" w14:textId="77777777" w:rsidR="00480F1C" w:rsidRDefault="00480F1C">
            <w:pPr>
              <w:spacing w:after="0"/>
              <w:rPr>
                <w:rFonts w:ascii="Times New Roman" w:hAnsi="Times New Roman"/>
                <w:noProof/>
                <w:color w:val="000000" w:themeColor="text1"/>
                <w:sz w:val="18"/>
              </w:rPr>
            </w:pPr>
          </w:p>
          <w:p w14:paraId="5903EE4A" w14:textId="77777777" w:rsidR="00480F1C" w:rsidRDefault="00A201F6">
            <w:pPr>
              <w:pStyle w:val="P68B1DB1-Normal12"/>
              <w:spacing w:after="0"/>
              <w:rPr>
                <w:noProof/>
              </w:rPr>
            </w:pPr>
            <w:r>
              <w:rPr>
                <w:noProof/>
              </w:rPr>
              <w:t xml:space="preserve">Voorrang wordt gegeven aan steden waar dergelijke projecttypes zijn of zullen worden geïntroduceerd. De toewijzing van projecten aan de begunstigde entiteiten waarborgt een evenwichtige verdeling tussen entiteiten over het land, rekening houdend met de bevolking en de geografische dekking. De kosten van de terugbetaling van de lening vereisen geen bijdragen van de eindontvangers of de lokale overheden in welke vorm dan ook.  </w:t>
            </w:r>
          </w:p>
          <w:p w14:paraId="06D96CB8" w14:textId="77777777" w:rsidR="00480F1C" w:rsidRDefault="00A201F6">
            <w:pPr>
              <w:pStyle w:val="P68B1DB1-Normal12"/>
              <w:spacing w:after="0"/>
              <w:rPr>
                <w:noProof/>
              </w:rPr>
            </w:pPr>
            <w:r>
              <w:rPr>
                <w:noProof/>
              </w:rPr>
              <w:t xml:space="preserve">Deze bepaling is niet van toepassing op investeringsprojecten die relevante inkomsten of kostenbesparingen genereren. </w:t>
            </w:r>
          </w:p>
          <w:p w14:paraId="5E2C8E8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r>
      <w:tr w:rsidR="00480F1C" w14:paraId="00EF364B" w14:textId="77777777">
        <w:trPr>
          <w:trHeight w:val="313"/>
        </w:trPr>
        <w:tc>
          <w:tcPr>
            <w:tcW w:w="821" w:type="dxa"/>
            <w:shd w:val="clear" w:color="auto" w:fill="C6EFCE"/>
          </w:tcPr>
          <w:p w14:paraId="2F00D570"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themeColor="text1"/>
              </w:rPr>
            </w:pPr>
            <w:r>
              <w:rPr>
                <w:noProof/>
              </w:rPr>
              <w:t>B27L</w:t>
            </w:r>
          </w:p>
          <w:p w14:paraId="4E08E841" w14:textId="77777777" w:rsidR="00480F1C" w:rsidRDefault="00480F1C">
            <w:pPr>
              <w:pStyle w:val="Normal0"/>
              <w:spacing w:line="240" w:lineRule="auto"/>
              <w:jc w:val="center"/>
              <w:rPr>
                <w:rFonts w:ascii="Times New Roman" w:hAnsi="Times New Roman" w:cs="Times New Roman"/>
                <w:noProof/>
                <w:sz w:val="18"/>
              </w:rPr>
            </w:pPr>
          </w:p>
        </w:tc>
        <w:tc>
          <w:tcPr>
            <w:tcW w:w="1745" w:type="dxa"/>
            <w:shd w:val="clear" w:color="auto" w:fill="C6EFCE"/>
          </w:tcPr>
          <w:p w14:paraId="46C2D2C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B3.4.1 Investeringen in een groene transformatie van steden</w:t>
            </w:r>
          </w:p>
          <w:p w14:paraId="3B1D6CAB" w14:textId="77777777"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1021" w:type="dxa"/>
            <w:shd w:val="clear" w:color="auto" w:fill="C6EFCE"/>
          </w:tcPr>
          <w:p w14:paraId="72DEBB6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Doel</w:t>
            </w:r>
          </w:p>
          <w:p w14:paraId="65C94699" w14:textId="77777777"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1875" w:type="dxa"/>
            <w:shd w:val="clear" w:color="auto" w:fill="C6EFCE"/>
          </w:tcPr>
          <w:p w14:paraId="75A63B1D" w14:textId="77777777" w:rsidR="00480F1C" w:rsidRDefault="00A201F6">
            <w:pPr>
              <w:pStyle w:val="P68B1DB1-Normal011"/>
              <w:spacing w:line="240" w:lineRule="auto"/>
              <w:rPr>
                <w:noProof/>
              </w:rPr>
            </w:pPr>
            <w:r>
              <w:rPr>
                <w:noProof/>
              </w:rPr>
              <w:t xml:space="preserve">T2 — Ondertekening van de leningsovereenkomsten voor investeringen in groene stadsontwikkelingsprojecten  </w:t>
            </w:r>
          </w:p>
        </w:tc>
        <w:tc>
          <w:tcPr>
            <w:tcW w:w="1567" w:type="dxa"/>
            <w:shd w:val="clear" w:color="auto" w:fill="C6EFCE"/>
          </w:tcPr>
          <w:p w14:paraId="0536B815" w14:textId="77777777" w:rsidR="00480F1C" w:rsidRDefault="00480F1C">
            <w:pPr>
              <w:pStyle w:val="Normal0"/>
              <w:spacing w:after="0" w:line="240" w:lineRule="auto"/>
              <w:jc w:val="center"/>
              <w:rPr>
                <w:rFonts w:ascii="Times New Roman" w:eastAsia="Times New Roman" w:hAnsi="Times New Roman" w:cs="Times New Roman"/>
                <w:noProof/>
                <w:color w:val="000000" w:themeColor="text1"/>
                <w:sz w:val="18"/>
              </w:rPr>
            </w:pPr>
          </w:p>
        </w:tc>
        <w:tc>
          <w:tcPr>
            <w:tcW w:w="950" w:type="dxa"/>
            <w:shd w:val="clear" w:color="auto" w:fill="C6EFCE"/>
          </w:tcPr>
          <w:p w14:paraId="1F40AA83" w14:textId="77777777" w:rsidR="00480F1C" w:rsidRDefault="00A201F6">
            <w:pPr>
              <w:pStyle w:val="P68B1DB1-Normal011"/>
              <w:spacing w:line="240" w:lineRule="auto"/>
              <w:rPr>
                <w:rFonts w:eastAsia="Times New Roman" w:cs="Times New Roman"/>
                <w:noProof/>
                <w:color w:val="000000" w:themeColor="text1"/>
              </w:rPr>
            </w:pPr>
            <w:r>
              <w:rPr>
                <w:noProof/>
              </w:rPr>
              <w:t>Aantal</w:t>
            </w:r>
          </w:p>
        </w:tc>
        <w:tc>
          <w:tcPr>
            <w:tcW w:w="950" w:type="dxa"/>
            <w:shd w:val="clear" w:color="auto" w:fill="C6EFCE"/>
          </w:tcPr>
          <w:p w14:paraId="0EDA35DD" w14:textId="77777777" w:rsidR="00480F1C" w:rsidRDefault="00A201F6">
            <w:pPr>
              <w:pStyle w:val="P68B1DB1-Normal011"/>
              <w:spacing w:line="240" w:lineRule="auto"/>
              <w:jc w:val="right"/>
              <w:rPr>
                <w:rFonts w:eastAsia="Times New Roman" w:cs="Times New Roman"/>
                <w:noProof/>
                <w:color w:val="000000" w:themeColor="text1"/>
              </w:rPr>
            </w:pPr>
            <w:r>
              <w:rPr>
                <w:noProof/>
              </w:rPr>
              <w:t>0</w:t>
            </w:r>
          </w:p>
        </w:tc>
        <w:tc>
          <w:tcPr>
            <w:tcW w:w="877" w:type="dxa"/>
            <w:shd w:val="clear" w:color="auto" w:fill="C6EFCE"/>
          </w:tcPr>
          <w:p w14:paraId="645123B1" w14:textId="77777777" w:rsidR="00480F1C" w:rsidRDefault="00A201F6">
            <w:pPr>
              <w:pStyle w:val="P68B1DB1-Normal011"/>
              <w:spacing w:line="240" w:lineRule="auto"/>
              <w:jc w:val="right"/>
              <w:rPr>
                <w:rFonts w:eastAsia="Times New Roman" w:cs="Times New Roman"/>
                <w:noProof/>
                <w:color w:val="000000" w:themeColor="text1"/>
              </w:rPr>
            </w:pPr>
            <w:r>
              <w:rPr>
                <w:noProof/>
              </w:rPr>
              <w:t>438</w:t>
            </w:r>
          </w:p>
        </w:tc>
        <w:tc>
          <w:tcPr>
            <w:tcW w:w="964" w:type="dxa"/>
            <w:shd w:val="clear" w:color="auto" w:fill="C6EFCE"/>
          </w:tcPr>
          <w:p w14:paraId="17D33749" w14:textId="77777777" w:rsidR="00480F1C" w:rsidRDefault="00A201F6">
            <w:pPr>
              <w:pStyle w:val="P68B1DB1-Normal011"/>
              <w:spacing w:line="240" w:lineRule="auto"/>
              <w:jc w:val="center"/>
              <w:rPr>
                <w:rFonts w:eastAsia="Times New Roman" w:cs="Times New Roman"/>
                <w:noProof/>
                <w:color w:val="000000" w:themeColor="text1"/>
              </w:rPr>
            </w:pPr>
            <w:r>
              <w:rPr>
                <w:noProof/>
              </w:rPr>
              <w:t>KWARTAAL 4</w:t>
            </w:r>
          </w:p>
        </w:tc>
        <w:tc>
          <w:tcPr>
            <w:tcW w:w="688" w:type="dxa"/>
            <w:shd w:val="clear" w:color="auto" w:fill="C6EFCE"/>
          </w:tcPr>
          <w:p w14:paraId="1CFCBA46" w14:textId="77777777" w:rsidR="00480F1C" w:rsidRDefault="00A201F6">
            <w:pPr>
              <w:pStyle w:val="P68B1DB1-Normal011"/>
              <w:spacing w:line="240" w:lineRule="auto"/>
              <w:jc w:val="center"/>
              <w:rPr>
                <w:rFonts w:eastAsia="Times New Roman" w:cs="Times New Roman"/>
                <w:noProof/>
                <w:color w:val="000000" w:themeColor="text1"/>
              </w:rPr>
            </w:pPr>
            <w:r>
              <w:rPr>
                <w:noProof/>
              </w:rPr>
              <w:t>2025</w:t>
            </w:r>
          </w:p>
        </w:tc>
        <w:tc>
          <w:tcPr>
            <w:tcW w:w="4146" w:type="dxa"/>
            <w:shd w:val="clear" w:color="auto" w:fill="C6EFCE"/>
          </w:tcPr>
          <w:p w14:paraId="2682BF3C" w14:textId="77777777" w:rsidR="00480F1C" w:rsidRDefault="00A201F6">
            <w:pPr>
              <w:pStyle w:val="P68B1DB1-Normal12"/>
              <w:spacing w:line="240" w:lineRule="auto"/>
              <w:rPr>
                <w:rFonts w:eastAsia="Times New Roman" w:cs="Times New Roman"/>
                <w:noProof/>
              </w:rPr>
            </w:pPr>
            <w:r>
              <w:rPr>
                <w:noProof/>
              </w:rPr>
              <w:t>Op basis van een herziene begrotingstoewijzing, het aantal aanvullende contracten dat met de ontvangers is gesloten voor investeringen die voldoen aan de criteria van post B26L.</w:t>
            </w:r>
          </w:p>
        </w:tc>
      </w:tr>
      <w:tr w:rsidR="00480F1C" w14:paraId="1CFEB59C" w14:textId="77777777">
        <w:trPr>
          <w:trHeight w:val="313"/>
        </w:trPr>
        <w:tc>
          <w:tcPr>
            <w:tcW w:w="821" w:type="dxa"/>
            <w:shd w:val="clear" w:color="auto" w:fill="C6EFCE"/>
          </w:tcPr>
          <w:p w14:paraId="74029862" w14:textId="34C1E921"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themeColor="text1"/>
              </w:rPr>
            </w:pPr>
            <w:r>
              <w:rPr>
                <w:noProof/>
              </w:rPr>
              <w:t>B27aL</w:t>
            </w:r>
          </w:p>
          <w:p w14:paraId="229CF033" w14:textId="77777777" w:rsidR="00480F1C" w:rsidRDefault="00480F1C">
            <w:pPr>
              <w:pStyle w:val="Normal0"/>
              <w:pBdr>
                <w:top w:val="nil"/>
                <w:left w:val="nil"/>
                <w:bottom w:val="nil"/>
                <w:right w:val="nil"/>
                <w:between w:val="nil"/>
              </w:pBdr>
              <w:spacing w:after="0" w:line="240" w:lineRule="auto"/>
              <w:jc w:val="center"/>
              <w:rPr>
                <w:rFonts w:ascii="Times New Roman" w:hAnsi="Times New Roman" w:cs="Times New Roman"/>
                <w:noProof/>
                <w:sz w:val="18"/>
              </w:rPr>
            </w:pPr>
          </w:p>
        </w:tc>
        <w:tc>
          <w:tcPr>
            <w:tcW w:w="1745" w:type="dxa"/>
            <w:shd w:val="clear" w:color="auto" w:fill="C6EFCE"/>
          </w:tcPr>
          <w:p w14:paraId="79B798A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B3.4.1 Investeringen in een groene transformatie van steden</w:t>
            </w:r>
          </w:p>
          <w:p w14:paraId="13678354"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tc>
        <w:tc>
          <w:tcPr>
            <w:tcW w:w="1021" w:type="dxa"/>
            <w:shd w:val="clear" w:color="auto" w:fill="C6EFCE"/>
          </w:tcPr>
          <w:p w14:paraId="0525E66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Doel</w:t>
            </w:r>
          </w:p>
          <w:p w14:paraId="1A0438A3"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tc>
        <w:tc>
          <w:tcPr>
            <w:tcW w:w="1875" w:type="dxa"/>
            <w:shd w:val="clear" w:color="auto" w:fill="C6EFCE"/>
          </w:tcPr>
          <w:p w14:paraId="2EFD826F" w14:textId="68D05616" w:rsidR="00480F1C" w:rsidRDefault="00A201F6">
            <w:pPr>
              <w:pStyle w:val="P68B1DB1-Normal027"/>
              <w:spacing w:line="240" w:lineRule="auto"/>
              <w:rPr>
                <w:rFonts w:ascii="Times New Roman" w:eastAsia="Times New Roman" w:hAnsi="Times New Roman" w:cs="Times New Roman"/>
                <w:noProof/>
                <w:sz w:val="18"/>
              </w:rPr>
            </w:pPr>
            <w:r>
              <w:rPr>
                <w:rFonts w:ascii="Times New Roman" w:hAnsi="Times New Roman"/>
                <w:noProof/>
                <w:sz w:val="18"/>
              </w:rPr>
              <w:t>T3 — Voltooide projecten ter ondersteuning van investeringen in groene stadsontwikkelingsprojecten</w:t>
            </w:r>
            <w:r>
              <w:rPr>
                <w:noProof/>
              </w:rPr>
              <w:t xml:space="preserve">  </w:t>
            </w:r>
          </w:p>
        </w:tc>
        <w:tc>
          <w:tcPr>
            <w:tcW w:w="1567" w:type="dxa"/>
            <w:shd w:val="clear" w:color="auto" w:fill="C6EFCE"/>
          </w:tcPr>
          <w:p w14:paraId="4E819F29" w14:textId="77777777"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950" w:type="dxa"/>
            <w:shd w:val="clear" w:color="auto" w:fill="C6EFCE"/>
          </w:tcPr>
          <w:p w14:paraId="5DC3C2A2" w14:textId="77777777" w:rsidR="00480F1C" w:rsidRDefault="00A201F6">
            <w:pPr>
              <w:pStyle w:val="P68B1DB1-Normal011"/>
              <w:spacing w:line="240" w:lineRule="auto"/>
              <w:rPr>
                <w:rFonts w:eastAsia="Times New Roman" w:cs="Times New Roman"/>
                <w:noProof/>
                <w:color w:val="000000" w:themeColor="text1"/>
              </w:rPr>
            </w:pPr>
            <w:r>
              <w:rPr>
                <w:noProof/>
              </w:rPr>
              <w:t>Aantal</w:t>
            </w:r>
          </w:p>
        </w:tc>
        <w:tc>
          <w:tcPr>
            <w:tcW w:w="950" w:type="dxa"/>
            <w:shd w:val="clear" w:color="auto" w:fill="C6EFCE"/>
          </w:tcPr>
          <w:p w14:paraId="3A0E996B" w14:textId="77777777" w:rsidR="00480F1C" w:rsidRDefault="00A201F6">
            <w:pPr>
              <w:pStyle w:val="P68B1DB1-Normal011"/>
              <w:spacing w:line="240" w:lineRule="auto"/>
              <w:jc w:val="right"/>
              <w:rPr>
                <w:rFonts w:eastAsia="Times New Roman" w:cs="Times New Roman"/>
                <w:noProof/>
                <w:color w:val="000000" w:themeColor="text1"/>
              </w:rPr>
            </w:pPr>
            <w:r>
              <w:rPr>
                <w:noProof/>
              </w:rPr>
              <w:t>0</w:t>
            </w:r>
          </w:p>
        </w:tc>
        <w:tc>
          <w:tcPr>
            <w:tcW w:w="877" w:type="dxa"/>
            <w:shd w:val="clear" w:color="auto" w:fill="C6EFCE"/>
          </w:tcPr>
          <w:p w14:paraId="5D206C2B" w14:textId="77777777" w:rsidR="00480F1C" w:rsidRDefault="00A201F6">
            <w:pPr>
              <w:pStyle w:val="P68B1DB1-Normal011"/>
              <w:spacing w:line="240" w:lineRule="auto"/>
              <w:jc w:val="right"/>
              <w:rPr>
                <w:rFonts w:eastAsia="Times New Roman" w:cs="Times New Roman"/>
                <w:noProof/>
                <w:color w:val="000000" w:themeColor="text1"/>
                <w:highlight w:val="green"/>
              </w:rPr>
            </w:pPr>
            <w:r>
              <w:rPr>
                <w:noProof/>
              </w:rPr>
              <w:t>390</w:t>
            </w:r>
          </w:p>
        </w:tc>
        <w:tc>
          <w:tcPr>
            <w:tcW w:w="964" w:type="dxa"/>
            <w:shd w:val="clear" w:color="auto" w:fill="C6EFCE"/>
          </w:tcPr>
          <w:p w14:paraId="3FE2A6B5" w14:textId="77777777" w:rsidR="00480F1C" w:rsidRDefault="00A201F6">
            <w:pPr>
              <w:pStyle w:val="P68B1DB1-Normal011"/>
              <w:spacing w:line="240" w:lineRule="auto"/>
              <w:jc w:val="center"/>
              <w:rPr>
                <w:rFonts w:eastAsia="Times New Roman" w:cs="Times New Roman"/>
                <w:noProof/>
                <w:color w:val="000000" w:themeColor="text1"/>
              </w:rPr>
            </w:pPr>
            <w:r>
              <w:rPr>
                <w:noProof/>
              </w:rPr>
              <w:t>KWARTAAL 3</w:t>
            </w:r>
          </w:p>
        </w:tc>
        <w:tc>
          <w:tcPr>
            <w:tcW w:w="688" w:type="dxa"/>
            <w:shd w:val="clear" w:color="auto" w:fill="C6EFCE"/>
          </w:tcPr>
          <w:p w14:paraId="7522359B" w14:textId="77777777" w:rsidR="00480F1C" w:rsidRDefault="00A201F6">
            <w:pPr>
              <w:pStyle w:val="P68B1DB1-Normal011"/>
              <w:spacing w:line="240" w:lineRule="auto"/>
              <w:jc w:val="center"/>
              <w:rPr>
                <w:rFonts w:eastAsia="Times New Roman" w:cs="Times New Roman"/>
                <w:noProof/>
                <w:color w:val="000000" w:themeColor="text1"/>
              </w:rPr>
            </w:pPr>
            <w:r>
              <w:rPr>
                <w:noProof/>
              </w:rPr>
              <w:t>2026</w:t>
            </w:r>
          </w:p>
        </w:tc>
        <w:tc>
          <w:tcPr>
            <w:tcW w:w="4146" w:type="dxa"/>
            <w:shd w:val="clear" w:color="auto" w:fill="C6EFCE"/>
          </w:tcPr>
          <w:p w14:paraId="3C6F82EE" w14:textId="77777777" w:rsidR="00480F1C" w:rsidRDefault="00A201F6">
            <w:pPr>
              <w:pStyle w:val="P68B1DB1-Normal12"/>
              <w:spacing w:line="240" w:lineRule="auto"/>
              <w:rPr>
                <w:rFonts w:eastAsia="Times New Roman" w:cs="Times New Roman"/>
                <w:noProof/>
              </w:rPr>
            </w:pPr>
            <w:r>
              <w:rPr>
                <w:noProof/>
              </w:rPr>
              <w:t>Aantal projecten dat is voltooid door de ontvangers van steun uit het instrument voor groene stedelijke transitie na de herziene begrotingstoewijzing.</w:t>
            </w:r>
          </w:p>
        </w:tc>
      </w:tr>
      <w:tr w:rsidR="00480F1C" w14:paraId="1E1E9A23" w14:textId="77777777">
        <w:trPr>
          <w:trHeight w:val="313"/>
        </w:trPr>
        <w:tc>
          <w:tcPr>
            <w:tcW w:w="821" w:type="dxa"/>
            <w:shd w:val="clear" w:color="auto" w:fill="C6EFCE"/>
          </w:tcPr>
          <w:p w14:paraId="7289F0A5"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B28L</w:t>
            </w:r>
          </w:p>
        </w:tc>
        <w:tc>
          <w:tcPr>
            <w:tcW w:w="1745" w:type="dxa"/>
            <w:shd w:val="clear" w:color="auto" w:fill="C6EFCE"/>
          </w:tcPr>
          <w:p w14:paraId="30E1D50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B3.5 Hervorming van de woningbouw voor mensen met een laag en gemiddeld inkomen,</w:t>
            </w:r>
          </w:p>
          <w:p w14:paraId="62B5C3A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rekening houden met de hogere energie-efficiëntie van gebouwen</w:t>
            </w:r>
          </w:p>
        </w:tc>
        <w:tc>
          <w:tcPr>
            <w:tcW w:w="1021" w:type="dxa"/>
            <w:shd w:val="clear" w:color="auto" w:fill="C6EFCE"/>
          </w:tcPr>
          <w:p w14:paraId="721FEFA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875" w:type="dxa"/>
            <w:shd w:val="clear" w:color="auto" w:fill="C6EFCE"/>
          </w:tcPr>
          <w:p w14:paraId="4E38C70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Inwerkingtreding van een wet tot wijziging van de wet van 8 december 2006 betreffende financiële steun voor de aanleg van woonruimte voor huur, beschutte huisvesting, nachtopvang, opvangcentra voor daklozen, verwarmingsinstallaties en tijdelijke lokalen, en de daaruit voortvloeiende wijzigingen in andere wetten</w:t>
            </w:r>
          </w:p>
          <w:p w14:paraId="73386C1F"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1567" w:type="dxa"/>
            <w:shd w:val="clear" w:color="auto" w:fill="C6EFCE"/>
          </w:tcPr>
          <w:p w14:paraId="5698E8E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wet tot wijziging van de wet van 8 december 2006 betreffende financiële steun voor de aanleg van woonruimte voor huur, beschutte huisvesting, nachtopvang, opvangcentra voor daklozen, verwarmingsinstallaties en tijdelijke lokalen, en de daaruit voortvloeiende wijzigingen in andere wetten met betrekking tot de inwerkingtreding van de wet</w:t>
            </w:r>
          </w:p>
        </w:tc>
        <w:tc>
          <w:tcPr>
            <w:tcW w:w="950" w:type="dxa"/>
            <w:shd w:val="clear" w:color="auto" w:fill="C6EFCE"/>
          </w:tcPr>
          <w:p w14:paraId="432AF740"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50" w:type="dxa"/>
            <w:shd w:val="clear" w:color="auto" w:fill="C6EFCE"/>
          </w:tcPr>
          <w:p w14:paraId="625C2139"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877" w:type="dxa"/>
            <w:shd w:val="clear" w:color="auto" w:fill="C6EFCE"/>
          </w:tcPr>
          <w:p w14:paraId="037372C9"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964" w:type="dxa"/>
            <w:shd w:val="clear" w:color="auto" w:fill="C6EFCE"/>
          </w:tcPr>
          <w:p w14:paraId="7F072BC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688" w:type="dxa"/>
            <w:shd w:val="clear" w:color="auto" w:fill="C6EFCE"/>
          </w:tcPr>
          <w:p w14:paraId="5127A2A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2022</w:t>
            </w:r>
          </w:p>
        </w:tc>
        <w:tc>
          <w:tcPr>
            <w:tcW w:w="4146" w:type="dxa"/>
            <w:shd w:val="clear" w:color="auto" w:fill="C6EFCE"/>
          </w:tcPr>
          <w:p w14:paraId="7897920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De wijziging van de handeling voorziet in een verhoging van de steun voor investeringen in de bouw van gebouwen met een energienorm hoger dan BENG met 20 %. De steun wordt verhoogd ten opzichte van standaardhuisvesting van 80 % tot 95 % voor gebouwen voor huishoudens met een laag inkomen en van 35 % tot 60 % voor huishoudens met een gemiddeld inkomen. Deze bepalingen zijn van toepassing op elke bron van overheidssteun.</w:t>
            </w:r>
          </w:p>
          <w:p w14:paraId="69CAA4BB"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r>
      <w:tr w:rsidR="00480F1C" w14:paraId="49AD8375" w14:textId="77777777">
        <w:trPr>
          <w:trHeight w:val="567"/>
        </w:trPr>
        <w:tc>
          <w:tcPr>
            <w:tcW w:w="821" w:type="dxa"/>
            <w:shd w:val="clear" w:color="auto" w:fill="C6EFCE"/>
          </w:tcPr>
          <w:p w14:paraId="170C0264" w14:textId="77777777"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B29L</w:t>
            </w:r>
          </w:p>
        </w:tc>
        <w:tc>
          <w:tcPr>
            <w:tcW w:w="1745" w:type="dxa"/>
            <w:shd w:val="clear" w:color="auto" w:fill="C6EFCE"/>
          </w:tcPr>
          <w:p w14:paraId="42C4695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B3.5.1 Investeringen in energie-efficiënte huisvesting voor huishoudens met een laag en gemiddeld inkomen</w:t>
            </w:r>
          </w:p>
        </w:tc>
        <w:tc>
          <w:tcPr>
            <w:tcW w:w="1021" w:type="dxa"/>
            <w:shd w:val="clear" w:color="auto" w:fill="C6EFCE"/>
          </w:tcPr>
          <w:p w14:paraId="040A964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75" w:type="dxa"/>
            <w:shd w:val="clear" w:color="auto" w:fill="C6EFCE"/>
          </w:tcPr>
          <w:p w14:paraId="25343A46" w14:textId="52013ED8"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T1 — Aantal appartementen die in aanmerking komen voor financiering voor huishoudens met een laag of gemiddeld inkomen </w:t>
            </w:r>
          </w:p>
        </w:tc>
        <w:tc>
          <w:tcPr>
            <w:tcW w:w="1567" w:type="dxa"/>
            <w:shd w:val="clear" w:color="auto" w:fill="C6EFCE"/>
          </w:tcPr>
          <w:p w14:paraId="5FAC5B68"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50" w:type="dxa"/>
            <w:shd w:val="clear" w:color="auto" w:fill="C6EFCE"/>
          </w:tcPr>
          <w:p w14:paraId="723B85A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0" w:type="dxa"/>
            <w:shd w:val="clear" w:color="auto" w:fill="C6EFCE"/>
          </w:tcPr>
          <w:p w14:paraId="70839F46"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77" w:type="dxa"/>
            <w:shd w:val="clear" w:color="auto" w:fill="C6EFCE"/>
          </w:tcPr>
          <w:p w14:paraId="04823C71"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7820 </w:t>
            </w:r>
          </w:p>
        </w:tc>
        <w:tc>
          <w:tcPr>
            <w:tcW w:w="964" w:type="dxa"/>
            <w:shd w:val="clear" w:color="auto" w:fill="C6EFCE"/>
          </w:tcPr>
          <w:p w14:paraId="13555FD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688" w:type="dxa"/>
            <w:shd w:val="clear" w:color="auto" w:fill="C6EFCE"/>
          </w:tcPr>
          <w:p w14:paraId="4D4A9C1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2024</w:t>
            </w:r>
          </w:p>
        </w:tc>
        <w:tc>
          <w:tcPr>
            <w:tcW w:w="4146" w:type="dxa"/>
            <w:shd w:val="clear" w:color="auto" w:fill="C6EFCE"/>
          </w:tcPr>
          <w:p w14:paraId="4251ED4D" w14:textId="6EFB2EB6"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Aantal appartementen dat in aanmerking komt voor financiering (voor huishoudens met een laag en gemiddeld inkomen). </w:t>
            </w:r>
          </w:p>
          <w:p w14:paraId="5C09747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De investeringen worden uitgevoerd door lokale overheden en investeerders in sociale huisvesting (voornamelijk verenigingen voor sociale huisvesting en initiatieven op het gebied van sociale huisvesting).</w:t>
            </w:r>
          </w:p>
          <w:p w14:paraId="71C6F796"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p w14:paraId="7915325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In contracten met begunstigde entiteiten (lokale overheden en investeerders in sociale huisvesting (voornamelijk verenigingen voor sociale huisvesting en initiatieven op het gebied van sociale huisvesting) moet worden vermeld dat:</w:t>
            </w:r>
          </w:p>
          <w:p w14:paraId="3D38654E" w14:textId="77777777" w:rsidR="00480F1C" w:rsidRDefault="00A201F6">
            <w:pPr>
              <w:pStyle w:val="P68B1DB1-Normal011"/>
              <w:numPr>
                <w:ilvl w:val="0"/>
                <w:numId w:val="23"/>
              </w:numPr>
              <w:pBdr>
                <w:top w:val="nil"/>
                <w:left w:val="nil"/>
                <w:bottom w:val="nil"/>
                <w:right w:val="nil"/>
                <w:between w:val="nil"/>
              </w:pBdr>
              <w:spacing w:after="0" w:line="240" w:lineRule="auto"/>
              <w:rPr>
                <w:noProof/>
                <w:color w:val="000000" w:themeColor="text1"/>
              </w:rPr>
            </w:pPr>
            <w:r>
              <w:rPr>
                <w:noProof/>
              </w:rPr>
              <w:t xml:space="preserve">ten minste 75 % van deze appartementen wordt toegewezen aan de aanvragers van de appartementen die in de onderste helft van de op basis van de inkomsten van de aanvragers opgestelde lijst van aanvragers in afnemende volgorde staan, en </w:t>
            </w:r>
          </w:p>
          <w:p w14:paraId="3793425E" w14:textId="77777777" w:rsidR="00480F1C" w:rsidRDefault="00A201F6">
            <w:pPr>
              <w:pStyle w:val="P68B1DB1-Normal011"/>
              <w:numPr>
                <w:ilvl w:val="0"/>
                <w:numId w:val="23"/>
              </w:numPr>
              <w:pBdr>
                <w:top w:val="nil"/>
                <w:left w:val="nil"/>
                <w:bottom w:val="nil"/>
                <w:right w:val="nil"/>
                <w:between w:val="nil"/>
              </w:pBdr>
              <w:spacing w:after="0" w:line="240" w:lineRule="auto"/>
              <w:rPr>
                <w:noProof/>
                <w:color w:val="000000" w:themeColor="text1"/>
              </w:rPr>
            </w:pPr>
            <w:r>
              <w:rPr>
                <w:noProof/>
              </w:rPr>
              <w:t xml:space="preserve">de appartementen worden gebouwd volgens een energie-efficiëntienorm die 20 % ambitieuzer is dan de in Polen geldende minimumnorm voor energie-efficiëntie (norm voor bijna-energieneutrale gebouwen). </w:t>
            </w:r>
          </w:p>
          <w:p w14:paraId="2765F29B" w14:textId="77777777" w:rsidR="00480F1C" w:rsidRDefault="00480F1C">
            <w:pPr>
              <w:pStyle w:val="Normal0"/>
              <w:pBdr>
                <w:top w:val="nil"/>
                <w:left w:val="nil"/>
                <w:bottom w:val="nil"/>
                <w:right w:val="nil"/>
                <w:between w:val="nil"/>
              </w:pBdr>
              <w:spacing w:after="0" w:line="240" w:lineRule="auto"/>
              <w:ind w:left="360"/>
              <w:rPr>
                <w:noProof/>
                <w:color w:val="000000" w:themeColor="text1"/>
                <w:sz w:val="18"/>
              </w:rPr>
            </w:pPr>
          </w:p>
          <w:p w14:paraId="0D18F1B7" w14:textId="77777777" w:rsidR="00480F1C" w:rsidRDefault="00A201F6">
            <w:pPr>
              <w:pStyle w:val="P68B1DB1-Normal011"/>
              <w:pBdr>
                <w:top w:val="nil"/>
                <w:left w:val="nil"/>
                <w:bottom w:val="nil"/>
                <w:right w:val="nil"/>
                <w:between w:val="nil"/>
              </w:pBdr>
              <w:spacing w:after="0" w:line="240" w:lineRule="auto"/>
              <w:rPr>
                <w:rFonts w:cs="Times New Roman"/>
                <w:noProof/>
                <w:color w:val="000000" w:themeColor="text1"/>
              </w:rPr>
            </w:pPr>
            <w:r>
              <w:rPr>
                <w:noProof/>
              </w:rPr>
              <w:t>De begunstigde entiteiten worden geselecteerd via transparante en vergelijkende oproepen die openstaan voor alle lokale overheden en investeerders in sociale huisvesting (voornamelijk verenigingen voor sociale huisvesting en initiatieven op het gebied van sociale huisvesting). De criteria voor de selectie van begunstigde entiteiten weerspiegelen met name de behoeften om het aanbod van energie-efficiënte woningen voor huishoudens met een laag en gemiddeld inkomen te vergroten.</w:t>
            </w:r>
          </w:p>
          <w:p w14:paraId="10FD9EF3" w14:textId="77777777" w:rsidR="00480F1C" w:rsidRDefault="00480F1C">
            <w:pPr>
              <w:pStyle w:val="Normal0"/>
              <w:pBdr>
                <w:top w:val="nil"/>
                <w:left w:val="nil"/>
                <w:bottom w:val="nil"/>
                <w:right w:val="nil"/>
                <w:between w:val="nil"/>
              </w:pBdr>
              <w:spacing w:after="0" w:line="240" w:lineRule="auto"/>
              <w:rPr>
                <w:rFonts w:ascii="Times New Roman" w:hAnsi="Times New Roman" w:cs="Times New Roman"/>
                <w:noProof/>
                <w:color w:val="000000" w:themeColor="text1"/>
                <w:sz w:val="18"/>
              </w:rPr>
            </w:pPr>
          </w:p>
          <w:p w14:paraId="6CC77CD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De oproepen bevatten subsidiabiliteitscriteria die waarborgen dat de geselecteerde projecten voldoen aan de vereisten om geen ernstige afbreuk te doen aan milieudoelstellingen in de zin van artikel 17 van Verordening (EU) 2020/852, rekening houdend met de beschrijving van de maatregel en de risicobeperkende stappen in het herstel- en veerkrachtplan overeenkomstig de technische richtsnoeren inzake het beginsel „geen ernstige afbreuk doen aan” (2021/C 58/01).</w:t>
            </w:r>
          </w:p>
          <w:p w14:paraId="3C0DE0AF"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p w14:paraId="7B716E9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Wanneer nieuwe bouwactiviteiten plaatsvinden in of nabij biodiversiteitsgevoelige gebieden (met inbegrip van het Natura 2000-netwerk van beschermde gebieden, Unesco-werelderfgoedlocaties en belangrijke biodiversiteitsgebieden, alsook andere beschermde gebieden), is naleving van de artikelen 6 (3) en 12 van de habitatrichtlijn en artikel 5 van de vogelrichtlijn vereist en wordt een milieueffectbeoordeling (MEB) of een screening uitgevoerd indien de MEB-richtlijn dat vereist. Alle in het kader van dit onderdeel gefinancierde investeringsprojecten waarvoor een MEB-besluit vereist is, moeten voldoen aan Richtlijn 2011/92/EU, zoals gewijzigd bij Richtlijn 2014/52/EU. Met name moeten alle nieuwe projecten waarvoor een MEB vereist is, worden goedgekeurd krachtens de Wet op de verstrekking van informatie over het milieu en de bescherming daarvan, inspraak van het publiek in milieubescherming en milieueffectbeoordeling, zoals gewijzigd bij de wet van 30 maart tot wijziging van die wet en bepaalde andere wetten. Bij de uitvoering van alle investeringsprojecten waarvoor een milieubesluit of een bouw- of ontwikkelingsvergunning is aangevraagd of afgegeven vóór de inwerkingtreding van de wet van 30 maart 2021, wordt rekening gehouden met de bepalingen van de „Richtsnoeren voor corrigerende maatregelen voor projecten die worden medegefinancierd door EU-fondsen die getroffen zijn door inbreuk 2016/2046”, zoals meegedeeld aan Polen op 23 februari 2021 (ref. Ares (2021) 1423319).</w:t>
            </w:r>
          </w:p>
        </w:tc>
      </w:tr>
      <w:tr w:rsidR="00480F1C" w14:paraId="0180366B" w14:textId="77777777">
        <w:trPr>
          <w:trHeight w:val="313"/>
        </w:trPr>
        <w:tc>
          <w:tcPr>
            <w:tcW w:w="821" w:type="dxa"/>
            <w:shd w:val="clear" w:color="auto" w:fill="C6EFCE"/>
          </w:tcPr>
          <w:p w14:paraId="2098F440" w14:textId="4F87388C"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B30L</w:t>
            </w:r>
          </w:p>
        </w:tc>
        <w:tc>
          <w:tcPr>
            <w:tcW w:w="1745" w:type="dxa"/>
            <w:shd w:val="clear" w:color="auto" w:fill="C6EFCE"/>
          </w:tcPr>
          <w:p w14:paraId="26DEFF7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B3.5.1 Investeringen in energie-efficiënte huisvesting voor huishoudens met een laag en gemiddeld inkomen</w:t>
            </w:r>
          </w:p>
        </w:tc>
        <w:tc>
          <w:tcPr>
            <w:tcW w:w="1021" w:type="dxa"/>
            <w:shd w:val="clear" w:color="auto" w:fill="C6EFCE"/>
          </w:tcPr>
          <w:p w14:paraId="53FA2A6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75" w:type="dxa"/>
            <w:shd w:val="clear" w:color="auto" w:fill="C6EFCE"/>
          </w:tcPr>
          <w:p w14:paraId="3F398C8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T2 — Aantal voltooide appartementen voor huishoudens met een laag en gemiddeld inkomen</w:t>
            </w:r>
          </w:p>
        </w:tc>
        <w:tc>
          <w:tcPr>
            <w:tcW w:w="1567" w:type="dxa"/>
            <w:shd w:val="clear" w:color="auto" w:fill="C6EFCE"/>
          </w:tcPr>
          <w:p w14:paraId="1DD11274"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50" w:type="dxa"/>
            <w:shd w:val="clear" w:color="auto" w:fill="C6EFCE"/>
          </w:tcPr>
          <w:p w14:paraId="78BDA5D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50" w:type="dxa"/>
            <w:shd w:val="clear" w:color="auto" w:fill="C6EFCE"/>
          </w:tcPr>
          <w:p w14:paraId="1E8FD757" w14:textId="77777777" w:rsidR="00480F1C" w:rsidRDefault="00A201F6">
            <w:pPr>
              <w:pStyle w:val="P68B1DB1-Normal011"/>
              <w:spacing w:after="0" w:line="240" w:lineRule="auto"/>
              <w:jc w:val="right"/>
              <w:rPr>
                <w:rFonts w:eastAsia="Times New Roman" w:cs="Times New Roman"/>
                <w:noProof/>
                <w:color w:val="000000" w:themeColor="text1"/>
              </w:rPr>
            </w:pPr>
            <w:r>
              <w:rPr>
                <w:noProof/>
              </w:rPr>
              <w:t>0</w:t>
            </w:r>
          </w:p>
          <w:p w14:paraId="0F44DAEF" w14:textId="77777777" w:rsidR="00480F1C" w:rsidRDefault="00480F1C">
            <w:pPr>
              <w:pStyle w:val="Normal0"/>
              <w:spacing w:after="0" w:line="240" w:lineRule="auto"/>
              <w:jc w:val="right"/>
              <w:rPr>
                <w:rFonts w:ascii="Times New Roman" w:eastAsia="Times New Roman" w:hAnsi="Times New Roman" w:cs="Times New Roman"/>
                <w:noProof/>
                <w:color w:val="000000" w:themeColor="text1"/>
                <w:sz w:val="18"/>
              </w:rPr>
            </w:pPr>
          </w:p>
        </w:tc>
        <w:tc>
          <w:tcPr>
            <w:tcW w:w="877" w:type="dxa"/>
            <w:shd w:val="clear" w:color="auto" w:fill="C6EFCE"/>
          </w:tcPr>
          <w:p w14:paraId="5F8FAA6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7820</w:t>
            </w:r>
          </w:p>
          <w:p w14:paraId="25886E36"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964" w:type="dxa"/>
            <w:shd w:val="clear" w:color="auto" w:fill="C6EFCE"/>
          </w:tcPr>
          <w:p w14:paraId="7DF8C3B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688" w:type="dxa"/>
            <w:shd w:val="clear" w:color="auto" w:fill="C6EFCE"/>
          </w:tcPr>
          <w:p w14:paraId="4B7922D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4146" w:type="dxa"/>
            <w:shd w:val="clear" w:color="auto" w:fill="C6EFCE"/>
          </w:tcPr>
          <w:p w14:paraId="013B5AF8" w14:textId="77777777" w:rsidR="00480F1C" w:rsidRDefault="00A201F6">
            <w:pPr>
              <w:pStyle w:val="P68B1DB1-Normal011"/>
              <w:spacing w:after="0" w:line="240" w:lineRule="auto"/>
              <w:rPr>
                <w:rFonts w:eastAsia="Times New Roman" w:cs="Times New Roman"/>
                <w:noProof/>
                <w:color w:val="000000" w:themeColor="text1"/>
              </w:rPr>
            </w:pPr>
            <w:r>
              <w:rPr>
                <w:noProof/>
              </w:rPr>
              <w:t xml:space="preserve">Aantal voltooide appartementen (voor huishoudens met een laag en gemiddeld inkomen). </w:t>
            </w:r>
          </w:p>
          <w:p w14:paraId="5D1D9809" w14:textId="77777777" w:rsidR="00480F1C" w:rsidRDefault="00A201F6">
            <w:pPr>
              <w:pStyle w:val="P68B1DB1-Normal011"/>
              <w:spacing w:after="0" w:line="240" w:lineRule="auto"/>
              <w:rPr>
                <w:rFonts w:eastAsia="Times New Roman" w:cs="Times New Roman"/>
                <w:noProof/>
                <w:color w:val="000000" w:themeColor="text1"/>
              </w:rPr>
            </w:pPr>
            <w:r>
              <w:rPr>
                <w:noProof/>
              </w:rPr>
              <w:t>De investeringen worden uitgevoerd door lokale overheden en investeerders in sociale huisvesting (voornamelijk woningcorporaties en initiatieven op het gebied van sociale huisvesting).</w:t>
            </w:r>
          </w:p>
          <w:p w14:paraId="535E7719" w14:textId="77777777" w:rsidR="00480F1C" w:rsidRDefault="00480F1C">
            <w:pPr>
              <w:pStyle w:val="Normal0"/>
              <w:spacing w:after="0" w:line="240" w:lineRule="auto"/>
              <w:rPr>
                <w:noProof/>
                <w:color w:val="000000" w:themeColor="text1"/>
                <w:sz w:val="18"/>
              </w:rPr>
            </w:pPr>
          </w:p>
          <w:p w14:paraId="6A0BD99D" w14:textId="77777777" w:rsidR="00480F1C" w:rsidRDefault="00A201F6">
            <w:pPr>
              <w:pStyle w:val="P68B1DB1-Normal011"/>
              <w:spacing w:after="0" w:line="240" w:lineRule="auto"/>
              <w:rPr>
                <w:rFonts w:cs="Times New Roman"/>
                <w:noProof/>
                <w:color w:val="000000" w:themeColor="text1"/>
              </w:rPr>
            </w:pPr>
            <w:r>
              <w:rPr>
                <w:noProof/>
              </w:rPr>
              <w:t>De begunstigde entiteiten worden geselecteerd via transparante en vergelijkende oproepen die openstaan voor alle lokale overheden en plaatselijke woningcorporaties. De criteria voor de selectie van begunstigde entiteiten weerspiegelen met name de behoeften om het aanbod van energie-efficiënte woningen voor huishoudens met een laag en gemiddeld inkomen te vergroten.</w:t>
            </w:r>
          </w:p>
          <w:p w14:paraId="63A84C93" w14:textId="77777777" w:rsidR="00480F1C" w:rsidRDefault="00480F1C">
            <w:pPr>
              <w:pStyle w:val="Normal0"/>
              <w:spacing w:after="0" w:line="240" w:lineRule="auto"/>
              <w:rPr>
                <w:rFonts w:ascii="Times New Roman" w:eastAsia="Times New Roman" w:hAnsi="Times New Roman" w:cs="Times New Roman"/>
                <w:noProof/>
                <w:color w:val="000000" w:themeColor="text1"/>
                <w:sz w:val="18"/>
              </w:rPr>
            </w:pPr>
          </w:p>
          <w:p w14:paraId="4A8E9CDC" w14:textId="77777777" w:rsidR="00480F1C" w:rsidRDefault="00A201F6">
            <w:pPr>
              <w:pStyle w:val="P68B1DB1-Normal011"/>
              <w:spacing w:after="0" w:line="240" w:lineRule="auto"/>
              <w:rPr>
                <w:rFonts w:eastAsia="Times New Roman" w:cs="Times New Roman"/>
                <w:noProof/>
                <w:color w:val="000000" w:themeColor="text1"/>
              </w:rPr>
            </w:pPr>
            <w:r>
              <w:rPr>
                <w:noProof/>
              </w:rPr>
              <w:t>De appartementen worden zodanig gebouwd dat geen ernstige afbreuk wordt gedaan aan milieudoelstellingen in de zin van artikel 17 van Verordening (EU) 2020/852, rekening houdend met de beschrijving van de maatregel en de risicobeperkende stappen in het herstel- en veerkrachtplan overeenkomstig de technische richtsnoeren inzake het beginsel „geen ernstige afbreuk doen aan” (2021/C 58/01).</w:t>
            </w:r>
          </w:p>
          <w:p w14:paraId="5C248E9E" w14:textId="77777777" w:rsidR="00480F1C" w:rsidRDefault="00A201F6">
            <w:pPr>
              <w:pStyle w:val="P68B1DB1-Normal011"/>
              <w:spacing w:after="0" w:line="240" w:lineRule="auto"/>
              <w:rPr>
                <w:rFonts w:eastAsia="Times New Roman" w:cs="Times New Roman"/>
                <w:noProof/>
                <w:color w:val="000000" w:themeColor="text1"/>
              </w:rPr>
            </w:pPr>
            <w:r>
              <w:rPr>
                <w:noProof/>
              </w:rPr>
              <w:t>Wanneer nieuwe bouwactiviteiten plaatsvinden in of nabij biodiversiteitsgevoelige gebieden (met inbegrip van het Natura 2000-netwerk van beschermde gebieden, Unesco-werelderfgoedlocaties en belangrijke biodiversiteitsgebieden, alsook andere beschermde gebieden), is naleving van de artikelen 6 (3) en 12 van de habitatrichtlijn en artikel 5 van de vogelrichtlijn vereist en wordt een milieueffectbeoordeling (MEB) of een screening uitgevoerd indien de MEB-richtlijn dat vereist. Alle in het kader van dit onderdeel gefinancierde investeringsprojecten waarvoor een MEB-besluit vereist is, moeten voldoen aan Richtlijn 2011/92/EU, zoals gewijzigd bij Richtlijn 2014/52/EU. Met name moeten alle nieuwe projecten waarvoor een MEB vereist is, worden goedgekeurd krachtens de Wet op de verstrekking van informatie over het milieu en de bescherming daarvan, inspraak van het publiek in milieubescherming en milieueffectbeoordeling, zoals gewijzigd bij de wet van 30 maart tot wijziging van die wet en bepaalde andere wetten. Bij de uitvoering van alle investeringsprojecten waarvoor een milieubesluit of een bouw- of ontwikkelingsvergunning is aangevraagd of afgegeven vóór de inwerkingtreding van de wet van 30 maart 2021, wordt rekening gehouden met de bepalingen van de „Richtsnoeren voor corrigerende maatregelen voor projecten die worden medegefinancierd door EU-fondsen die getroffen zijn door inbreuk 2016/2046”, zoals meegedeeld aan Polen op 23 februari 2021 (ref. Ares (2021) 1423319).</w:t>
            </w:r>
          </w:p>
        </w:tc>
      </w:tr>
      <w:tr w:rsidR="00480F1C" w14:paraId="18FD87A2" w14:textId="77777777">
        <w:trPr>
          <w:trHeight w:val="313"/>
        </w:trPr>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EB45361" w14:textId="19D0C8A1"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B32L</w:t>
            </w:r>
          </w:p>
        </w:tc>
        <w:tc>
          <w:tcPr>
            <w:tcW w:w="17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6EF860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B3.6 Verbetering van de voorwaarden voor de ontwikkeling van hernieuwbare energiebronnen</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DF5C56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Mijlpaal  </w:t>
            </w: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8A3A09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Inwerkingtreding van handelingen tot wijziging van het wetgevingskader voor hernieuwbare-energiegemeenschappen en biomethaan: Wijzigingen van de RES-wet, wetswijzigingen met betrekking tot de energiemarkt en inwerkingtreding van een verordening van de wet inzake hernieuwbare energiebronnen</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854B15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Bepalingen in de wijzigingsbesluiten en in de verordening waarin de inwerkingtreding ervan wordt vermeld</w:t>
            </w: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423894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 </w:t>
            </w: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256579D" w14:textId="77777777" w:rsidR="00480F1C" w:rsidRDefault="00A201F6">
            <w:pPr>
              <w:pStyle w:val="P68B1DB1-Normal011"/>
              <w:spacing w:after="0" w:line="240" w:lineRule="auto"/>
              <w:jc w:val="right"/>
              <w:rPr>
                <w:rFonts w:eastAsia="Times New Roman" w:cs="Times New Roman"/>
                <w:noProof/>
                <w:color w:val="000000" w:themeColor="text1"/>
              </w:rPr>
            </w:pPr>
            <w:r>
              <w:rPr>
                <w:noProof/>
              </w:rPr>
              <w:t xml:space="preserve"> </w:t>
            </w:r>
          </w:p>
        </w:tc>
        <w:tc>
          <w:tcPr>
            <w:tcW w:w="8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6BEE4F"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 xml:space="preserve"> </w:t>
            </w: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8A24974"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1</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4E8D18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2023</w:t>
            </w:r>
          </w:p>
        </w:tc>
        <w:tc>
          <w:tcPr>
            <w:tcW w:w="41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BB7246" w14:textId="77777777" w:rsidR="00480F1C" w:rsidRDefault="00A201F6">
            <w:pPr>
              <w:pStyle w:val="P68B1DB1-Normal011"/>
              <w:spacing w:after="0" w:line="240" w:lineRule="auto"/>
              <w:rPr>
                <w:rFonts w:eastAsia="Times New Roman" w:cs="Times New Roman"/>
                <w:noProof/>
                <w:color w:val="000000" w:themeColor="text1"/>
              </w:rPr>
            </w:pPr>
            <w:r>
              <w:rPr>
                <w:noProof/>
              </w:rPr>
              <w:t>Vaststelling en inwerkingtreding van wijzigingsbesluiten en -verordeningen, met inbegrip van:</w:t>
            </w:r>
          </w:p>
          <w:p w14:paraId="1C1BCACA" w14:textId="77777777" w:rsidR="00480F1C" w:rsidRDefault="00A201F6">
            <w:pPr>
              <w:pStyle w:val="P68B1DB1-Normal011"/>
              <w:spacing w:after="0" w:line="240" w:lineRule="auto"/>
              <w:rPr>
                <w:rFonts w:eastAsia="Times New Roman" w:cs="Times New Roman"/>
                <w:noProof/>
                <w:color w:val="000000" w:themeColor="text1"/>
              </w:rPr>
            </w:pPr>
            <w:r>
              <w:rPr>
                <w:noProof/>
              </w:rPr>
              <w:t xml:space="preserve">1. Bij wijzigingen van de wet van 20 februari 2015 inzake hernieuwbare energiebronnen (HEB-wet) worden de werkingsbeginselen voor energieclusters (betere voorwaarden voor de oprichting van dergelijke entiteiten) geherformuleerd door te voorzien in: regels, definities of begrippen met betrekking tot: het toepassingsgebied, de overeenkomsten, het onderwerp van de energiecluster, het register van energieclusters of de samenwerking tussen individuele leden van het energiecluster en systeembeheerders. </w:t>
            </w:r>
          </w:p>
          <w:p w14:paraId="713F5576" w14:textId="77777777" w:rsidR="00480F1C" w:rsidRDefault="00A201F6">
            <w:pPr>
              <w:pStyle w:val="Normal0"/>
              <w:spacing w:after="0" w:line="240" w:lineRule="auto"/>
              <w:rPr>
                <w:rFonts w:ascii="Times New Roman" w:eastAsia="Times New Roman" w:hAnsi="Times New Roman" w:cs="Times New Roman"/>
                <w:noProof/>
                <w:color w:val="000000" w:themeColor="text1"/>
                <w:sz w:val="18"/>
              </w:rPr>
            </w:pPr>
            <w:r>
              <w:rPr>
                <w:noProof/>
              </w:rPr>
              <w:t xml:space="preserve"> </w:t>
            </w:r>
            <w:r>
              <w:rPr>
                <w:noProof/>
              </w:rPr>
              <w:br/>
            </w:r>
            <w:r>
              <w:rPr>
                <w:rFonts w:ascii="Times New Roman" w:hAnsi="Times New Roman"/>
                <w:noProof/>
                <w:color w:val="000000" w:themeColor="text1"/>
                <w:sz w:val="18"/>
              </w:rPr>
              <w:t>2. Bij wijzigingen van de RES-wet worden collectieve modellen van energieprosumenten geïmplementeerd.</w:t>
            </w:r>
            <w:r>
              <w:rPr>
                <w:noProof/>
              </w:rPr>
              <w:t xml:space="preserve"> </w:t>
            </w:r>
            <w:r>
              <w:rPr>
                <w:noProof/>
              </w:rPr>
              <w:br/>
              <w:t xml:space="preserve"> </w:t>
            </w:r>
            <w:r>
              <w:rPr>
                <w:noProof/>
              </w:rPr>
              <w:br/>
            </w:r>
            <w:r>
              <w:rPr>
                <w:rFonts w:ascii="Times New Roman" w:hAnsi="Times New Roman"/>
                <w:noProof/>
                <w:color w:val="000000" w:themeColor="text1"/>
                <w:sz w:val="18"/>
              </w:rPr>
              <w:t>3. Wijzigingen van wetgevingshandelingen betreffende de energiemarkt geven uitvoering aan bepalingen inzake nieuwe hernieuwbare-energiegemeenschappen, die ervoor zorgen dat eindafnemers, met name huishoudelijke afnemers, het recht hebben deel te nemen aan een hernieuwbare-energiegemeenschap overeenkomstig Richtlijn (EU) 2018/2001, met behoud van hun rechten en/of plichten als eindafnemers, en zonder te worden onderworpen aan ongerechtvaardigde of discriminerende voorwaarden of procedures die hun deelname aan een hernieuwbare-energiegemeenschap in de weg staan.</w:t>
            </w:r>
          </w:p>
          <w:p w14:paraId="25BE84E8" w14:textId="77777777" w:rsidR="00480F1C" w:rsidRDefault="00A201F6">
            <w:pPr>
              <w:pStyle w:val="Normal0"/>
              <w:spacing w:after="0" w:line="240" w:lineRule="auto"/>
              <w:rPr>
                <w:rFonts w:ascii="Times New Roman" w:eastAsia="Times New Roman" w:hAnsi="Times New Roman" w:cs="Times New Roman"/>
                <w:noProof/>
                <w:color w:val="000000" w:themeColor="text1"/>
                <w:sz w:val="18"/>
              </w:rPr>
            </w:pPr>
            <w:r>
              <w:rPr>
                <w:noProof/>
              </w:rPr>
              <w:t xml:space="preserve"> </w:t>
            </w:r>
            <w:r>
              <w:rPr>
                <w:noProof/>
              </w:rPr>
              <w:br/>
            </w:r>
            <w:r>
              <w:rPr>
                <w:rFonts w:ascii="Times New Roman" w:hAnsi="Times New Roman"/>
                <w:noProof/>
                <w:color w:val="000000" w:themeColor="text1"/>
                <w:sz w:val="18"/>
              </w:rPr>
              <w:t>4. In de regeling van de RES-wet met betrekking tot de beginselen van energieboekhouding voor energiecoöperaties worden bepalingen opgenomen waarin de operationele beginselen voor een van de modellen van hernieuwbare-energiegemeenschappen worden gespecificeerd.</w:t>
            </w:r>
            <w:r>
              <w:rPr>
                <w:noProof/>
              </w:rPr>
              <w:t xml:space="preserve"> </w:t>
            </w:r>
            <w:r>
              <w:rPr>
                <w:noProof/>
              </w:rPr>
              <w:br/>
              <w:t xml:space="preserve"> </w:t>
            </w:r>
            <w:r>
              <w:rPr>
                <w:noProof/>
              </w:rPr>
              <w:br/>
            </w:r>
            <w:r>
              <w:rPr>
                <w:rFonts w:ascii="Times New Roman" w:hAnsi="Times New Roman"/>
                <w:noProof/>
                <w:color w:val="000000" w:themeColor="text1"/>
                <w:sz w:val="18"/>
              </w:rPr>
              <w:t>5. Wijzigingen van de wet inzake hernieuwbare energiebronnen — waarin regels worden vastgesteld voor de bedrijfsvoering van een onderneming voor de biomethaansector.</w:t>
            </w:r>
          </w:p>
        </w:tc>
      </w:tr>
      <w:tr w:rsidR="00480F1C" w14:paraId="4966BC57" w14:textId="77777777">
        <w:trPr>
          <w:trHeight w:val="313"/>
        </w:trPr>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149130A" w14:textId="79AD7D03"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B33L</w:t>
            </w:r>
          </w:p>
        </w:tc>
        <w:tc>
          <w:tcPr>
            <w:tcW w:w="17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B6C418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B3.6 Verbetering van de voorwaarden voor de ontwikkeling van hernieuwbare energiebronnen</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31A71D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Mijlpaal  </w:t>
            </w: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88D4B5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Inwerkingtreding van een wet tot wijziging van de Wet investeringen in windmolenparken op het land</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F9068C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wet tot wijziging van de wet inzake investeringen in windmolenparken op het land met vermelding van de inwerkingtreding ervan</w:t>
            </w: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117EA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 </w:t>
            </w: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434A203" w14:textId="77777777" w:rsidR="00480F1C" w:rsidRDefault="00A201F6">
            <w:pPr>
              <w:pStyle w:val="P68B1DB1-Normal011"/>
              <w:spacing w:after="0" w:line="240" w:lineRule="auto"/>
              <w:jc w:val="right"/>
              <w:rPr>
                <w:rFonts w:eastAsia="Times New Roman" w:cs="Times New Roman"/>
                <w:noProof/>
                <w:color w:val="000000" w:themeColor="text1"/>
              </w:rPr>
            </w:pPr>
            <w:r>
              <w:rPr>
                <w:noProof/>
              </w:rPr>
              <w:t xml:space="preserve"> </w:t>
            </w:r>
          </w:p>
        </w:tc>
        <w:tc>
          <w:tcPr>
            <w:tcW w:w="8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23822BC"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 xml:space="preserve"> </w:t>
            </w: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E99516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2</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AD3A9D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2022</w:t>
            </w:r>
          </w:p>
        </w:tc>
        <w:tc>
          <w:tcPr>
            <w:tcW w:w="41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52862E6" w14:textId="77777777" w:rsidR="00480F1C" w:rsidRDefault="00A201F6">
            <w:pPr>
              <w:pStyle w:val="Normal0"/>
              <w:spacing w:after="0" w:line="240" w:lineRule="auto"/>
              <w:rPr>
                <w:rFonts w:ascii="Times New Roman" w:eastAsia="Times New Roman" w:hAnsi="Times New Roman" w:cs="Times New Roman"/>
                <w:noProof/>
                <w:color w:val="000000" w:themeColor="text1"/>
                <w:sz w:val="18"/>
              </w:rPr>
            </w:pPr>
            <w:r>
              <w:rPr>
                <w:rFonts w:ascii="Times New Roman" w:hAnsi="Times New Roman"/>
                <w:noProof/>
                <w:color w:val="000000" w:themeColor="text1"/>
                <w:sz w:val="18"/>
              </w:rPr>
              <w:t>Inwerkingtreding van een wijzigingsbesluit waarmee formele belemmeringen voor investeringen in onshore-infrastructuur worden weggenomen. Het amendement moet de afstandsregel (minimumafstand van windmolens tot woongebouwen — 10 maal de hoogte van de windmolen, 10H) flexibeler maken door gemeenten meer bevoegdheid te geven om minimumafstanden te bepalen in het kader van de ruimtelijke/zoneringsprocedure en aan regionale milieubeschermingsbureaus als onderdeel van de procedure voor het nemen van besluiten over milieuomstandigheden.</w:t>
            </w:r>
            <w:r>
              <w:rPr>
                <w:noProof/>
              </w:rPr>
              <w:t xml:space="preserve"> </w:t>
            </w:r>
            <w:r>
              <w:rPr>
                <w:noProof/>
              </w:rPr>
              <w:br/>
            </w:r>
            <w:r>
              <w:rPr>
                <w:rFonts w:ascii="Times New Roman" w:hAnsi="Times New Roman"/>
                <w:noProof/>
                <w:color w:val="000000" w:themeColor="text1"/>
                <w:sz w:val="18"/>
              </w:rPr>
              <w:t xml:space="preserve">De algemene 10H-afstandsregel moet worden gehandhaafd, maar er moet worden voorzien in de mogelijkheid om daarvan af te wijken en om in het kader van de lokale planningsprocedure (zonering/ruimtelijke procedure) meer macht te krijgen om de locatie van windmolenparken te bepalen. In het lokale plan kan een kortere afstand tussen het windmolenpark en het woongebouw worden vastgesteld, rekening houdend met de reikwijdte van de effecten van de windmolenparken op basis van de milieueffectprognose in het kader van een dergelijk plan. </w:t>
            </w:r>
          </w:p>
        </w:tc>
      </w:tr>
      <w:tr w:rsidR="00480F1C" w14:paraId="595EF8CE" w14:textId="77777777">
        <w:trPr>
          <w:trHeight w:val="313"/>
        </w:trPr>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5542495" w14:textId="0FA1C298"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B34L</w:t>
            </w:r>
          </w:p>
        </w:tc>
        <w:tc>
          <w:tcPr>
            <w:tcW w:w="17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80C2CD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B3.6 Verbetering van de voorwaarden voor de ontwikkeling van hernieuwbare energiebronnen</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620FD3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Mijlpaal  </w:t>
            </w: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A9FCB6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Inwerkingtreding van een verordening tot vaststelling van een plan voor veilingen van hernieuwbare energie voor de periode 2022-2027</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F4BEC4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verordening betreffende de inwerkingtreding ervan</w:t>
            </w: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EB3B41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 </w:t>
            </w: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11740E" w14:textId="77777777" w:rsidR="00480F1C" w:rsidRDefault="00A201F6">
            <w:pPr>
              <w:pStyle w:val="P68B1DB1-Normal011"/>
              <w:spacing w:after="0" w:line="240" w:lineRule="auto"/>
              <w:jc w:val="right"/>
              <w:rPr>
                <w:rFonts w:eastAsia="Times New Roman" w:cs="Times New Roman"/>
                <w:noProof/>
                <w:color w:val="000000" w:themeColor="text1"/>
              </w:rPr>
            </w:pPr>
            <w:r>
              <w:rPr>
                <w:noProof/>
              </w:rPr>
              <w:t xml:space="preserve"> </w:t>
            </w:r>
          </w:p>
        </w:tc>
        <w:tc>
          <w:tcPr>
            <w:tcW w:w="8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B9E2DC7"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 xml:space="preserve"> </w:t>
            </w: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E4F0C5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3</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998AE9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2022</w:t>
            </w:r>
          </w:p>
        </w:tc>
        <w:tc>
          <w:tcPr>
            <w:tcW w:w="41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16F6412" w14:textId="77777777" w:rsidR="00480F1C" w:rsidRDefault="00A201F6">
            <w:pPr>
              <w:pStyle w:val="P68B1DB1-Normal011"/>
              <w:spacing w:after="0" w:line="240" w:lineRule="auto"/>
              <w:rPr>
                <w:rFonts w:eastAsia="Times New Roman" w:cs="Times New Roman"/>
                <w:noProof/>
                <w:color w:val="000000" w:themeColor="text1"/>
              </w:rPr>
            </w:pPr>
            <w:r>
              <w:rPr>
                <w:noProof/>
              </w:rPr>
              <w:t>Inwerkingtreding van een verordening tot vaststelling van een plan voor veilingen van hernieuwbare energie per technologie (ook voor nieuwe onshore-windmolenparken). In het plan worden een begroting en een hoeveelheid elektriciteit vastgesteld die beschikbaar zal zijn via concurrerende veilingen voor de periode 2022-2027.</w:t>
            </w:r>
          </w:p>
        </w:tc>
      </w:tr>
      <w:tr w:rsidR="00480F1C" w14:paraId="07D93CFF" w14:textId="77777777">
        <w:trPr>
          <w:trHeight w:val="313"/>
        </w:trPr>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B7BD0D4" w14:textId="4BB30747"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B35L</w:t>
            </w:r>
          </w:p>
        </w:tc>
        <w:tc>
          <w:tcPr>
            <w:tcW w:w="17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8070E4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B3.6 Verbetering van de voorwaarden voor de ontwikkeling van hernieuwbare energiebronnen</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1BAF17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Doel</w:t>
            </w: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BCF176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T1 — Ingestookte capaciteit van onshore-wind- en fotovoltaïsche installaties (in GW)</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2C0F5AD"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9DB6F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Aantal</w:t>
            </w: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0817973" w14:textId="77777777" w:rsidR="00480F1C" w:rsidRDefault="00A201F6">
            <w:pPr>
              <w:pStyle w:val="P68B1DB1-Normal011"/>
              <w:spacing w:after="0" w:line="240" w:lineRule="auto"/>
              <w:jc w:val="right"/>
              <w:rPr>
                <w:rFonts w:eastAsia="Times New Roman" w:cs="Times New Roman"/>
                <w:noProof/>
                <w:color w:val="000000" w:themeColor="text1"/>
              </w:rPr>
            </w:pPr>
            <w:r>
              <w:rPr>
                <w:noProof/>
              </w:rPr>
              <w:t>11,2</w:t>
            </w:r>
          </w:p>
        </w:tc>
        <w:tc>
          <w:tcPr>
            <w:tcW w:w="8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1D087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18</w:t>
            </w: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ED9C4D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2</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3608A1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2022</w:t>
            </w:r>
          </w:p>
        </w:tc>
        <w:tc>
          <w:tcPr>
            <w:tcW w:w="41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9ECACF" w14:textId="77777777" w:rsidR="00480F1C" w:rsidRDefault="00A201F6">
            <w:pPr>
              <w:pStyle w:val="P68B1DB1-Normal011"/>
              <w:spacing w:after="0" w:line="240" w:lineRule="auto"/>
              <w:rPr>
                <w:rFonts w:eastAsia="Times New Roman" w:cs="Times New Roman"/>
                <w:noProof/>
                <w:color w:val="000000" w:themeColor="text1"/>
              </w:rPr>
            </w:pPr>
            <w:r>
              <w:rPr>
                <w:noProof/>
              </w:rPr>
              <w:t>Totale geïnstalleerde capaciteit (in GW) van onshorewind- en fotovoltaïsche installaties.</w:t>
            </w:r>
          </w:p>
          <w:p w14:paraId="7BD725FC" w14:textId="77777777" w:rsidR="00480F1C" w:rsidRDefault="00480F1C">
            <w:pPr>
              <w:pStyle w:val="Normal0"/>
              <w:spacing w:after="0" w:line="240" w:lineRule="auto"/>
              <w:rPr>
                <w:rFonts w:ascii="Times New Roman" w:eastAsia="Times New Roman" w:hAnsi="Times New Roman" w:cs="Times New Roman"/>
                <w:noProof/>
                <w:color w:val="000000" w:themeColor="text1"/>
                <w:sz w:val="18"/>
              </w:rPr>
            </w:pPr>
          </w:p>
        </w:tc>
      </w:tr>
      <w:tr w:rsidR="00480F1C" w14:paraId="1C9D9F43" w14:textId="77777777">
        <w:trPr>
          <w:trHeight w:val="313"/>
        </w:trPr>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405AD46" w14:textId="2E2B0244"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B36L</w:t>
            </w:r>
          </w:p>
        </w:tc>
        <w:tc>
          <w:tcPr>
            <w:tcW w:w="17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8D5177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B3.6 Verbetering van de voorwaarden voor de ontwikkeling van hernieuwbare energiebronnen</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1F2238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Doel</w:t>
            </w: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14A7A3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T2 — Ingestookte capaciteit van onshore-wind- en fotovoltaïsche installaties (in GW)</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14061D5"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DF619E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Aantal</w:t>
            </w: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4C4726" w14:textId="77777777" w:rsidR="00480F1C" w:rsidRDefault="00A201F6">
            <w:pPr>
              <w:pStyle w:val="P68B1DB1-Normal011"/>
              <w:spacing w:after="0" w:line="240" w:lineRule="auto"/>
              <w:jc w:val="right"/>
              <w:rPr>
                <w:rFonts w:eastAsia="Times New Roman" w:cs="Times New Roman"/>
                <w:noProof/>
                <w:color w:val="000000" w:themeColor="text1"/>
              </w:rPr>
            </w:pPr>
            <w:r>
              <w:rPr>
                <w:noProof/>
              </w:rPr>
              <w:t>18</w:t>
            </w:r>
          </w:p>
        </w:tc>
        <w:tc>
          <w:tcPr>
            <w:tcW w:w="8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A525871"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20</w:t>
            </w: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417C68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3</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F2752C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2022</w:t>
            </w:r>
          </w:p>
        </w:tc>
        <w:tc>
          <w:tcPr>
            <w:tcW w:w="41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A059B0" w14:textId="77777777" w:rsidR="00480F1C" w:rsidRDefault="00A201F6">
            <w:pPr>
              <w:pStyle w:val="P68B1DB1-Normal011"/>
              <w:spacing w:after="0" w:line="240" w:lineRule="auto"/>
              <w:rPr>
                <w:rFonts w:eastAsia="Times New Roman" w:cs="Times New Roman"/>
                <w:noProof/>
                <w:color w:val="000000" w:themeColor="text1"/>
              </w:rPr>
            </w:pPr>
            <w:r>
              <w:rPr>
                <w:noProof/>
              </w:rPr>
              <w:t>Totale geïnstalleerde capaciteit (in GW) van onshorewind- en fotovoltaïsche installaties.</w:t>
            </w:r>
          </w:p>
        </w:tc>
      </w:tr>
      <w:tr w:rsidR="00480F1C" w14:paraId="058710FF" w14:textId="77777777">
        <w:trPr>
          <w:trHeight w:val="313"/>
        </w:trPr>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F39D83" w14:textId="4302AB84"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B37L</w:t>
            </w:r>
          </w:p>
        </w:tc>
        <w:tc>
          <w:tcPr>
            <w:tcW w:w="17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DEE921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B3.6 Verbetering van de voorwaarden voor de ontwikkeling van hernieuwbare energiebronnen</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4666A1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Doel</w:t>
            </w: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801055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T3 — Ingestookte capaciteit van onshore-wind- en fotovoltaïsche installaties (in GW)</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A36C6A7"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26FCBD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Aantal</w:t>
            </w: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5EAA78F" w14:textId="77777777" w:rsidR="00480F1C" w:rsidRDefault="00A201F6">
            <w:pPr>
              <w:pStyle w:val="P68B1DB1-Normal011"/>
              <w:spacing w:after="0" w:line="240" w:lineRule="auto"/>
              <w:jc w:val="right"/>
              <w:rPr>
                <w:rFonts w:eastAsia="Times New Roman" w:cs="Times New Roman"/>
                <w:noProof/>
                <w:color w:val="000000" w:themeColor="text1"/>
              </w:rPr>
            </w:pPr>
            <w:r>
              <w:rPr>
                <w:noProof/>
              </w:rPr>
              <w:t>20</w:t>
            </w:r>
          </w:p>
        </w:tc>
        <w:tc>
          <w:tcPr>
            <w:tcW w:w="8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62AC6E1"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23</w:t>
            </w: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21CA3D9" w14:textId="587AC55D"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1</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FC663D7" w14:textId="78F2558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2023</w:t>
            </w:r>
          </w:p>
        </w:tc>
        <w:tc>
          <w:tcPr>
            <w:tcW w:w="41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8F12F29" w14:textId="77777777" w:rsidR="00480F1C" w:rsidRDefault="00A201F6">
            <w:pPr>
              <w:pStyle w:val="P68B1DB1-Normal011"/>
              <w:spacing w:after="0" w:line="240" w:lineRule="auto"/>
              <w:rPr>
                <w:rFonts w:eastAsia="Times New Roman" w:cs="Times New Roman"/>
                <w:noProof/>
                <w:color w:val="000000" w:themeColor="text1"/>
              </w:rPr>
            </w:pPr>
            <w:r>
              <w:rPr>
                <w:noProof/>
              </w:rPr>
              <w:t>Totale geïnstalleerde capaciteit (in GW) van onshorewind- en fotovoltaïsche installaties.</w:t>
            </w:r>
          </w:p>
          <w:p w14:paraId="47AAFBB4" w14:textId="77777777" w:rsidR="00480F1C" w:rsidRDefault="00480F1C">
            <w:pPr>
              <w:pStyle w:val="Normal0"/>
              <w:spacing w:after="0" w:line="240" w:lineRule="auto"/>
              <w:rPr>
                <w:rFonts w:ascii="Times New Roman" w:eastAsia="Times New Roman" w:hAnsi="Times New Roman" w:cs="Times New Roman"/>
                <w:noProof/>
                <w:color w:val="000000" w:themeColor="text1"/>
                <w:sz w:val="18"/>
              </w:rPr>
            </w:pPr>
          </w:p>
        </w:tc>
      </w:tr>
      <w:tr w:rsidR="00480F1C" w14:paraId="1228EF0D" w14:textId="77777777">
        <w:trPr>
          <w:trHeight w:val="313"/>
        </w:trPr>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9A3A9A1" w14:textId="03C80698"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B38L</w:t>
            </w:r>
          </w:p>
        </w:tc>
        <w:tc>
          <w:tcPr>
            <w:tcW w:w="17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6AF58A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B3.6 Verbetering van de voorwaarden voor de ontwikkeling van hernieuwbare energiebronnen</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E916B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Doel</w:t>
            </w: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C18998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T4 — Ingestookte capaciteit van onshore-wind- en fotovoltaïsche installaties (in GW)</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6C7D632"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B710E8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Aantal</w:t>
            </w: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B4682F8" w14:textId="77777777" w:rsidR="00480F1C" w:rsidRDefault="00A201F6">
            <w:pPr>
              <w:pStyle w:val="P68B1DB1-Normal011"/>
              <w:spacing w:after="0" w:line="240" w:lineRule="auto"/>
              <w:jc w:val="right"/>
              <w:rPr>
                <w:rFonts w:eastAsia="Times New Roman" w:cs="Times New Roman"/>
                <w:noProof/>
                <w:color w:val="000000" w:themeColor="text1"/>
              </w:rPr>
            </w:pPr>
            <w:r>
              <w:rPr>
                <w:noProof/>
              </w:rPr>
              <w:t>23</w:t>
            </w:r>
          </w:p>
        </w:tc>
        <w:tc>
          <w:tcPr>
            <w:tcW w:w="8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B1B3397"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23,5</w:t>
            </w: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D971D59" w14:textId="2BB1B416"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3</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94D8B9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2023</w:t>
            </w:r>
          </w:p>
        </w:tc>
        <w:tc>
          <w:tcPr>
            <w:tcW w:w="41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EF1ED4A" w14:textId="77777777" w:rsidR="00480F1C" w:rsidRDefault="00A201F6">
            <w:pPr>
              <w:pStyle w:val="P68B1DB1-Normal011"/>
              <w:spacing w:after="0" w:line="240" w:lineRule="auto"/>
              <w:rPr>
                <w:rFonts w:eastAsia="Times New Roman" w:cs="Times New Roman"/>
                <w:noProof/>
                <w:color w:val="000000" w:themeColor="text1"/>
              </w:rPr>
            </w:pPr>
            <w:r>
              <w:rPr>
                <w:noProof/>
              </w:rPr>
              <w:t>Totale geïnstalleerde capaciteit (in GW) van onshorewind- en fotovoltaïsche installaties.</w:t>
            </w:r>
          </w:p>
        </w:tc>
      </w:tr>
      <w:tr w:rsidR="00480F1C" w14:paraId="79DA9394" w14:textId="77777777">
        <w:trPr>
          <w:trHeight w:val="313"/>
        </w:trPr>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7677DEB" w14:textId="5B5672AD"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B39L</w:t>
            </w:r>
          </w:p>
        </w:tc>
        <w:tc>
          <w:tcPr>
            <w:tcW w:w="17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856830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B3.6 Verbetering van de voorwaarden voor de ontwikkeling van hernieuwbare energiebronnen</w:t>
            </w: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9EE6C0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Mijlpaal</w:t>
            </w: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AB32E5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Inwerkingtreding van de uitvoeringsverordening naar aanleiding van de wet van 17 december 2020 ter bevordering van elektriciteitsopwekking in offshore windmolenparken </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706C69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verordening betreffende de inwerkingtreding ervan</w:t>
            </w: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FD145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 </w:t>
            </w: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D0197F6" w14:textId="77777777" w:rsidR="00480F1C" w:rsidRDefault="00A201F6">
            <w:pPr>
              <w:pStyle w:val="P68B1DB1-Normal011"/>
              <w:spacing w:after="0" w:line="240" w:lineRule="auto"/>
              <w:jc w:val="right"/>
              <w:rPr>
                <w:rFonts w:eastAsia="Times New Roman" w:cs="Times New Roman"/>
                <w:noProof/>
                <w:color w:val="000000" w:themeColor="text1"/>
              </w:rPr>
            </w:pPr>
            <w:r>
              <w:rPr>
                <w:noProof/>
              </w:rPr>
              <w:t xml:space="preserve"> </w:t>
            </w:r>
          </w:p>
        </w:tc>
        <w:tc>
          <w:tcPr>
            <w:tcW w:w="8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12F69B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 xml:space="preserve"> </w:t>
            </w: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F892C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2</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5231C8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2022</w:t>
            </w:r>
          </w:p>
        </w:tc>
        <w:tc>
          <w:tcPr>
            <w:tcW w:w="41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F0A5137" w14:textId="77777777" w:rsidR="00480F1C" w:rsidRDefault="00A201F6">
            <w:pPr>
              <w:pStyle w:val="Normal0"/>
              <w:spacing w:after="0" w:line="240" w:lineRule="auto"/>
              <w:rPr>
                <w:rFonts w:ascii="Times New Roman" w:eastAsia="Times New Roman" w:hAnsi="Times New Roman" w:cs="Times New Roman"/>
                <w:noProof/>
                <w:color w:val="000000" w:themeColor="text1"/>
                <w:sz w:val="18"/>
              </w:rPr>
            </w:pPr>
            <w:r>
              <w:rPr>
                <w:rFonts w:ascii="Times New Roman" w:hAnsi="Times New Roman"/>
                <w:noProof/>
                <w:color w:val="000000" w:themeColor="text1"/>
                <w:sz w:val="18"/>
              </w:rPr>
              <w:t xml:space="preserve">De volgende uitvoeringsverordening treedt in werking:   </w:t>
            </w:r>
            <w:r>
              <w:rPr>
                <w:noProof/>
              </w:rPr>
              <w:t xml:space="preserve"> </w:t>
            </w:r>
            <w:r>
              <w:rPr>
                <w:noProof/>
              </w:rPr>
              <w:br/>
            </w:r>
            <w:r>
              <w:rPr>
                <w:rFonts w:ascii="Times New Roman" w:hAnsi="Times New Roman"/>
                <w:noProof/>
                <w:color w:val="000000" w:themeColor="text1"/>
                <w:sz w:val="18"/>
              </w:rPr>
              <w:t>Verordening van de ministerraad inzake de concessievergoeding — Overeenkomstig artikel 34, lid 2a, van de energiewet strekt de verplichting tot betaling van de concessievergoeding aan de voorzitter van het Regelgevend Bureau Energie zich ook uit tot energiebedrijven die een economische activiteit uitoefenen op het gebied van elektriciteitsopwekking in offshore windmolenparken, als bedoeld in de wet van 17 december 2020 ter bevordering van elektriciteitsopwekking in offshore windmolenparken. Bovendien is in verband met de wijziging van de energiewet van 15 april 2021 een activiteit die ook door de concessievergoeding wordt gedekt, de opslag van elektriciteit.</w:t>
            </w:r>
          </w:p>
        </w:tc>
      </w:tr>
      <w:tr w:rsidR="00480F1C" w14:paraId="23C91131" w14:textId="77777777">
        <w:trPr>
          <w:trHeight w:val="313"/>
        </w:trPr>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15C847C" w14:textId="1E7A4A04"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B40L</w:t>
            </w:r>
          </w:p>
        </w:tc>
        <w:tc>
          <w:tcPr>
            <w:tcW w:w="17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535C4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B3.6 Verbetering van de voorwaarden voor de ontwikkeling van hernieuwbare energiebronnen</w:t>
            </w:r>
          </w:p>
          <w:p w14:paraId="4A087B84"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tc>
        <w:tc>
          <w:tcPr>
            <w:tcW w:w="10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7761B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Mijlpaal</w:t>
            </w:r>
          </w:p>
          <w:p w14:paraId="78ECF030"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tc>
        <w:tc>
          <w:tcPr>
            <w:tcW w:w="18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4C7568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Inwerkingtreding van de uitvoeringsverordening naar aanleiding van de wet van 17 december 2020 ter bevordering van elektriciteitsopwekking in offshore windmolenparken</w:t>
            </w:r>
          </w:p>
        </w:tc>
        <w:tc>
          <w:tcPr>
            <w:tcW w:w="1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E50357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verordening betreffende de inwerkingtreding ervan</w:t>
            </w:r>
          </w:p>
          <w:p w14:paraId="461FF2B1"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AE4FAF"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tc>
        <w:tc>
          <w:tcPr>
            <w:tcW w:w="9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433CF2F" w14:textId="77777777" w:rsidR="00480F1C" w:rsidRDefault="00480F1C">
            <w:pPr>
              <w:pStyle w:val="Normal0"/>
              <w:spacing w:after="0" w:line="240" w:lineRule="auto"/>
              <w:jc w:val="right"/>
              <w:rPr>
                <w:rFonts w:ascii="Times New Roman" w:eastAsia="Times New Roman" w:hAnsi="Times New Roman" w:cs="Times New Roman"/>
                <w:noProof/>
                <w:color w:val="000000" w:themeColor="text1"/>
                <w:sz w:val="18"/>
              </w:rPr>
            </w:pPr>
          </w:p>
        </w:tc>
        <w:tc>
          <w:tcPr>
            <w:tcW w:w="8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9FF30C"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themeColor="text1"/>
                <w:sz w:val="18"/>
              </w:rPr>
            </w:pP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D3BFD4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4</w:t>
            </w:r>
          </w:p>
        </w:tc>
        <w:tc>
          <w:tcPr>
            <w:tcW w:w="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1719364"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2022</w:t>
            </w:r>
          </w:p>
        </w:tc>
        <w:tc>
          <w:tcPr>
            <w:tcW w:w="41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D305F68" w14:textId="77777777" w:rsidR="00480F1C" w:rsidRDefault="00A201F6">
            <w:pPr>
              <w:pStyle w:val="P68B1DB1-Normal011"/>
              <w:spacing w:after="0" w:line="240" w:lineRule="auto"/>
              <w:rPr>
                <w:rFonts w:eastAsia="Times New Roman" w:cs="Times New Roman"/>
                <w:noProof/>
                <w:color w:val="000000" w:themeColor="text1"/>
              </w:rPr>
            </w:pPr>
            <w:r>
              <w:rPr>
                <w:noProof/>
              </w:rPr>
              <w:t>Regeling van de minister van Klimaat en Milieu inzake de soorten kasstromen die in aanmerking moeten worden genomen bij de berekening van de aangepaste prijs en de gedetailleerde methode voor de berekening van de aangepaste prijs. De verordening specificeert de soorten kasstromen die in aanmerking moeten worden genomen bij de berekening van de aangepaste prijs en de gedetailleerde methode voor de berekening van de aangepaste prijs. Tijdens het proces wordt rekening gehouden met factoren zoals investeringssteun, de datum van toekenning van investeringssteun en de regels voor de toekenning van overheidssteun op het gebied van milieubescherming en energie. Het doel is bovengenoemde procedure voor investeerders in windmolenparken op zee te vergemakkelijken.</w:t>
            </w:r>
          </w:p>
        </w:tc>
      </w:tr>
    </w:tbl>
    <w:p w14:paraId="09165CDE" w14:textId="77777777" w:rsidR="00480F1C" w:rsidRDefault="00480F1C">
      <w:pPr>
        <w:pStyle w:val="Normal0"/>
        <w:pBdr>
          <w:top w:val="nil"/>
          <w:left w:val="nil"/>
          <w:bottom w:val="nil"/>
          <w:right w:val="nil"/>
          <w:between w:val="nil"/>
        </w:pBdr>
        <w:spacing w:line="240" w:lineRule="auto"/>
        <w:jc w:val="both"/>
        <w:rPr>
          <w:rFonts w:ascii="Times New Roman" w:eastAsia="Times New Roman" w:hAnsi="Times New Roman" w:cs="Times New Roman"/>
          <w:b/>
          <w:noProof/>
          <w:color w:val="000000"/>
          <w:sz w:val="24"/>
        </w:rPr>
      </w:pPr>
    </w:p>
    <w:p w14:paraId="64610752" w14:textId="77777777" w:rsidR="00480F1C" w:rsidRDefault="00480F1C">
      <w:pPr>
        <w:pStyle w:val="Normal0"/>
        <w:pBdr>
          <w:top w:val="nil"/>
          <w:left w:val="nil"/>
          <w:bottom w:val="nil"/>
          <w:right w:val="nil"/>
          <w:between w:val="nil"/>
        </w:pBdr>
        <w:spacing w:line="240" w:lineRule="auto"/>
        <w:jc w:val="both"/>
        <w:rPr>
          <w:rFonts w:ascii="Times New Roman" w:eastAsia="Times New Roman" w:hAnsi="Times New Roman" w:cs="Times New Roman"/>
          <w:b/>
          <w:noProof/>
          <w:color w:val="000000"/>
          <w:sz w:val="24"/>
        </w:rPr>
      </w:pPr>
    </w:p>
    <w:p w14:paraId="49206A88"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sectPr w:rsidR="00480F1C">
          <w:headerReference w:type="even" r:id="rId73"/>
          <w:headerReference w:type="default" r:id="rId74"/>
          <w:footerReference w:type="even" r:id="rId75"/>
          <w:footerReference w:type="default" r:id="rId76"/>
          <w:headerReference w:type="first" r:id="rId77"/>
          <w:footerReference w:type="first" r:id="rId78"/>
          <w:pgSz w:w="16839" w:h="11907" w:orient="landscape"/>
          <w:pgMar w:top="1418" w:right="1134" w:bottom="1418" w:left="1134" w:header="709" w:footer="709" w:gutter="0"/>
          <w:cols w:space="720"/>
        </w:sectPr>
      </w:pPr>
    </w:p>
    <w:p w14:paraId="0618BFED" w14:textId="77777777" w:rsidR="00480F1C" w:rsidRDefault="00A201F6">
      <w:pPr>
        <w:pStyle w:val="P68B1DB1-Normal018"/>
        <w:keepNext/>
        <w:pBdr>
          <w:top w:val="nil"/>
          <w:left w:val="nil"/>
          <w:bottom w:val="nil"/>
          <w:right w:val="nil"/>
          <w:between w:val="nil"/>
        </w:pBdr>
        <w:tabs>
          <w:tab w:val="left" w:pos="850"/>
        </w:tabs>
        <w:spacing w:before="360" w:after="120" w:line="240" w:lineRule="auto"/>
        <w:ind w:left="850" w:hanging="850"/>
        <w:jc w:val="both"/>
        <w:rPr>
          <w:rFonts w:eastAsia="Times New Roman" w:cs="Times New Roman"/>
          <w:noProof/>
        </w:rPr>
      </w:pPr>
      <w:r>
        <w:rPr>
          <w:noProof/>
        </w:rPr>
        <w:t>C. ONDERDEEL C: „DIGITALE TRANSFORMATIE”</w:t>
      </w:r>
    </w:p>
    <w:p w14:paraId="688EA1F7" w14:textId="1F8A52C6"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Onderdeel C van het Poolse herstel- en veerkrachtplan pakt een reeks uitdagingen aan. Ten eerste de verschillen tussen stedelijke en plattelandsgebieden op het gebied van connectiviteit en toegang tot snelle en betrouwbare internetverbindingen, zowel vast als mobiel; ten tweede de noodzaak van een sneller en veiliger gebruik van digitale diensten in de overheidssector; ten derde is het algemene gebrek aan een gerichte digitale onderwijs- en opleidingsstrategie duidelijk aan het licht gekomen door de ontoereikende digitale vaardigheden en ICT-apparatuur onder studenten en leerkrachten tijdens de COVID-19-pandemie. Tot slot moet de cyberbeveiliging van het openbare informatiesysteem worden verbeterd om snel te kunnen reageren op cyberaanvallen en beveiligingsincidenten.</w:t>
      </w:r>
    </w:p>
    <w:p w14:paraId="02754BF2" w14:textId="585FDDDC"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rPr>
      </w:pPr>
      <w:r>
        <w:rPr>
          <w:noProof/>
        </w:rPr>
        <w:t xml:space="preserve">De component is erop gericht het digitaliseringsproces van het land te versnellen door middel van de digitale transformatie van de overheidssector, de economie en de samenleving. Het bestaat uit maatregelen die gericht zijn op: verbetering van de toegang tot hogesnelheidsinternet; ontwikkeling van e-diensten en de beschikbaarheid daarvan in de mobiele applicatie van het mObywatel, en verbetering van de communicatie tussen overheidsinstellingen, burgers en bedrijven; het vergroten van de veiligheid in de cyberspace, het beveiligen van de infrastructuur voor gegevensverwerking en het digitaliseren van de infrastructuur voor beveiligingsdiensten; ondersteuning van de digitale transformatie van bedrijven met behulp van cloud computing.  </w:t>
      </w:r>
    </w:p>
    <w:p w14:paraId="35DB3F80"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 in de component uitgewerkte hervormingen en investeringen dragen bij tot de uitvoering van drie landspecifieke aanbevelingen die de afgelopen twee jaar voor Polen zijn vastgesteld, namelijk de noodzaak om het investeringsgerelateerd economisch beleid te richten op digitale infrastructuur (landspecifieke aanbevelingen 3 en 2019) en de digitale transitie (landspecifieke aanbeveling 3, 2020); en over de noodzaak om de digitale vaardigheden te verbeteren en de digitale transformatie van zowel bedrijven als overheidsdiensten te bevorderen (landspecifieke aanbeveling 2 van 2020). </w:t>
      </w:r>
    </w:p>
    <w:p w14:paraId="7057CE24"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Verwacht wordt dat geen enkele maatregel in deze component ernstige afbreuk doet aan milieudoelstellingen in de zin van artikel 17 van Verordening (EU) 2020/852, rekening houdend met de beschrijving van de maatregelen en de risicobeperkende stappen in het herstel- en veerkrachtplan overeenkomstig de technische richtsnoeren inzake het beginsel „geen ernstige afbreuk doen aan” (2021/C 58/01).</w:t>
      </w:r>
    </w:p>
    <w:p w14:paraId="4E61B8F0"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Deze component zal naar verwachting de digitale transitie bevorderen door breedbandinfrastructuur van de volgende generatie te ontwikkelen, het gebruik van digitale instrumenten in de overheidssector te verbeteren en e-competenties in de samenleving (bedrijven, overheidsdiensten, leerkrachten en studenten) te stimuleren. Het draagt bij tot de optimalisering van de cyberbeveiliging, de verbetering van de efficiëntie van de gegevensverwerking en de modernisering van de infrastructuur van de overheidsdiensten die verantwoordelijk zijn voor de beveiliging. Ten slotte zal de potentiële uitrol van innovatieve cloudoplossingen van de volgende generatie stabiele en duurzame cloudinfrastructuren creëren.</w:t>
      </w:r>
    </w:p>
    <w:p w14:paraId="67B7A70C"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3807EE3C" w14:textId="77777777" w:rsidR="00480F1C" w:rsidRDefault="00A201F6">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i/>
          <w:noProof/>
          <w:color w:val="4F81BD"/>
          <w:sz w:val="24"/>
        </w:rPr>
      </w:pPr>
      <w:r>
        <w:rPr>
          <w:rFonts w:ascii="Times New Roman" w:hAnsi="Times New Roman"/>
          <w:b/>
          <w:noProof/>
          <w:color w:val="000000"/>
          <w:sz w:val="24"/>
        </w:rPr>
        <w:t xml:space="preserve">C.1. </w:t>
      </w:r>
      <w:r>
        <w:rPr>
          <w:noProof/>
        </w:rPr>
        <w:tab/>
      </w:r>
      <w:r>
        <w:rPr>
          <w:rFonts w:ascii="Times New Roman" w:hAnsi="Times New Roman"/>
          <w:b/>
          <w:noProof/>
          <w:color w:val="000000"/>
          <w:sz w:val="24"/>
        </w:rPr>
        <w:t>Beschrijving van de hervormingen en investeringen voor niet-terugbetaalbare financiële steun</w:t>
      </w:r>
    </w:p>
    <w:p w14:paraId="30CD01E6"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component moet 3 hervormingen en 5 investeringen in het kader van het subsidiedeel uitvoeren.</w:t>
      </w:r>
    </w:p>
    <w:p w14:paraId="71887C79"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u w:val="single"/>
        </w:rPr>
      </w:pPr>
    </w:p>
    <w:p w14:paraId="10584BFE"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C1.1 Bevordering van de ontwikkeling van netwerkinfrastructuur om universele toegang tot hogesnelheidsinternet te waarborgen</w:t>
      </w:r>
    </w:p>
    <w:p w14:paraId="2B507DF1" w14:textId="77777777" w:rsidR="00480F1C" w:rsidRDefault="00A201F6">
      <w:pPr>
        <w:pStyle w:val="P68B1DB1-Normal026"/>
        <w:pBdr>
          <w:top w:val="nil"/>
          <w:left w:val="nil"/>
          <w:bottom w:val="nil"/>
          <w:right w:val="nil"/>
          <w:between w:val="nil"/>
        </w:pBdr>
        <w:spacing w:after="0" w:line="240" w:lineRule="auto"/>
        <w:jc w:val="both"/>
        <w:rPr>
          <w:rFonts w:eastAsia="Times New Roman" w:cs="Times New Roman"/>
          <w:noProof/>
          <w:color w:val="000000"/>
          <w:sz w:val="24"/>
        </w:rPr>
      </w:pPr>
      <w:r>
        <w:rPr>
          <w:noProof/>
          <w:sz w:val="24"/>
        </w:rPr>
        <w:t>Deze hervorming heeft tot doel universele toegang tot snel internet en digitale diensten in heel Polen te waarborgen, met inbegrip van de zogenaamde „witte spots”,</w:t>
      </w:r>
      <w:r>
        <w:rPr>
          <w:noProof/>
          <w:sz w:val="18"/>
        </w:rPr>
        <w:t xml:space="preserve"> </w:t>
      </w:r>
      <w:r>
        <w:rPr>
          <w:noProof/>
          <w:sz w:val="24"/>
        </w:rPr>
        <w:t xml:space="preserve">waar geen breedbandinfrastructuur met hoge capaciteit bestaat. </w:t>
      </w:r>
    </w:p>
    <w:p w14:paraId="3B7FD67C" w14:textId="77777777" w:rsidR="00480F1C" w:rsidRDefault="00480F1C">
      <w:pPr>
        <w:pStyle w:val="Normal0"/>
        <w:pBdr>
          <w:top w:val="nil"/>
          <w:left w:val="nil"/>
          <w:bottom w:val="nil"/>
          <w:right w:val="nil"/>
          <w:between w:val="nil"/>
        </w:pBdr>
        <w:spacing w:after="0" w:line="240" w:lineRule="auto"/>
        <w:jc w:val="both"/>
        <w:rPr>
          <w:rFonts w:ascii="Times New Roman" w:eastAsia="Times New Roman" w:hAnsi="Times New Roman" w:cs="Times New Roman"/>
          <w:noProof/>
          <w:color w:val="000000"/>
          <w:sz w:val="24"/>
        </w:rPr>
      </w:pPr>
    </w:p>
    <w:p w14:paraId="38D6B9B6" w14:textId="4A614F1A"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Deze doelstelling moet in de eerste plaats worden bereikt door wettelijke belemmeringen voor breedbandinvesteringen weg te nemen en ten tweede door de nationale wetgeving af te stemmen op de EU-brede toolbox voor connectiviteit van 25 maart 2021, een reeks beste praktijken om de uitrol en uitrol van netwerken met zeer hoge capaciteit te stimuleren. De wetswijzigingen hebben onder meer betrekking op wijzigingen van de verordening betreffende de inventaris van telecommunicatie-infrastructuur en van de verordening betreffende het centrale informatiepunt (SIP).</w:t>
      </w:r>
    </w:p>
    <w:p w14:paraId="08D1BA24" w14:textId="010B1827" w:rsidR="00480F1C" w:rsidRDefault="00A201F6">
      <w:pPr>
        <w:pStyle w:val="P68B1DB1-Normal05"/>
        <w:pBdr>
          <w:top w:val="nil"/>
          <w:left w:val="nil"/>
          <w:bottom w:val="nil"/>
          <w:right w:val="nil"/>
          <w:between w:val="nil"/>
        </w:pBdr>
        <w:spacing w:after="0" w:line="240" w:lineRule="auto"/>
        <w:jc w:val="both"/>
        <w:rPr>
          <w:rFonts w:eastAsia="Times New Roman" w:cs="Times New Roman"/>
          <w:noProof/>
          <w:color w:val="000000"/>
        </w:rPr>
      </w:pPr>
      <w:r>
        <w:rPr>
          <w:noProof/>
        </w:rPr>
        <w:t>De uitvoering van de hervorming wordt uiterlijk op 31 maart 2023 voltooid.</w:t>
      </w:r>
    </w:p>
    <w:p w14:paraId="22F860BB"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u w:val="single"/>
        </w:rPr>
      </w:pPr>
    </w:p>
    <w:p w14:paraId="5B93607B"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C1.1.1 Zorgen voor toegang tot zeer snel internet in witte spots</w:t>
      </w:r>
    </w:p>
    <w:p w14:paraId="198F93A6" w14:textId="1E4F12BF"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Het doel van deze investering is, in overeenstemming met de bovengenoemde hervorming, het aantal huishoudens dat gedekt is door een vast breedbandnetwerk van 931,000 eenheden te verhogen, gericht op gebieden met witte next-generatie-toegang (NGA), waar momenteel geen breedbandinfrastructuur met hoge capaciteit bestaat en waar de markt in de nabije toekomst waarschijnlijk niet zal voorzien van een netwerk met een downloadsnelheid van 100 Mbps, teneinde ten minste 80 % huishoudens met een capaciteit van 100 Mbps te bereiken, met de mogelijkheid om deze te verhogen tot gigabitcapaciteit. De investering is verdeeld in doelstellingen voor 3: de eerste is om tegen december 100,000 2024 huishoudens te bereiken, de tweede heeft betrekking op 400,000 huishoudens tegen december 2025 en de laatste op de resterende 431,000 huishoudens tegen 30 juni 2026.</w:t>
      </w:r>
    </w:p>
    <w:p w14:paraId="3BE4C66D" w14:textId="735E4B45" w:rsidR="00480F1C" w:rsidRDefault="00A201F6">
      <w:pPr>
        <w:pStyle w:val="P68B1DB1-Normal017"/>
        <w:pBdr>
          <w:top w:val="nil"/>
          <w:left w:val="nil"/>
          <w:bottom w:val="nil"/>
          <w:right w:val="nil"/>
          <w:between w:val="nil"/>
        </w:pBdr>
        <w:spacing w:before="120" w:after="120" w:line="240" w:lineRule="auto"/>
        <w:jc w:val="both"/>
        <w:rPr>
          <w:noProof/>
        </w:rPr>
      </w:pPr>
      <w:r>
        <w:rPr>
          <w:noProof/>
        </w:rPr>
        <w:t>De investering moet ook de modernisering van lokale netwerken (LAN) in scholen ondersteunen en in ten minste 100 000 klaslokalen toegang bieden tot zeer snel internet (d.w.z. boven de minimumnormen van 100 Mbps).</w:t>
      </w:r>
    </w:p>
    <w:p w14:paraId="443B59E1" w14:textId="77777777" w:rsidR="00480F1C" w:rsidRDefault="00A201F6">
      <w:pPr>
        <w:pStyle w:val="P68B1DB1-Normal05"/>
        <w:spacing w:before="120" w:after="120" w:line="240" w:lineRule="auto"/>
        <w:jc w:val="both"/>
        <w:rPr>
          <w:rFonts w:eastAsia="Times New Roman" w:cs="Times New Roman"/>
          <w:noProof/>
        </w:rPr>
      </w:pPr>
      <w:r>
        <w:rPr>
          <w:noProof/>
        </w:rPr>
        <w:t xml:space="preserve">Om te voldoen aan de DNSH-voorwaarden wordt een klimaatrisico- en kwetsbaarheidsbeoordeling uitgevoerd wanneer dat vereist is op grond van de desbetreffende wetgeving en alle nodige adaptatieoplossingen die op grond van deze wetgeving worden uitgevoerd.  </w:t>
      </w:r>
    </w:p>
    <w:p w14:paraId="14CA55A4" w14:textId="2E13D049" w:rsidR="00480F1C" w:rsidRDefault="00A201F6">
      <w:pPr>
        <w:pStyle w:val="Normal0"/>
        <w:spacing w:before="120" w:after="120" w:line="240" w:lineRule="auto"/>
        <w:jc w:val="both"/>
        <w:rPr>
          <w:rFonts w:ascii="Times New Roman" w:eastAsia="Times New Roman" w:hAnsi="Times New Roman" w:cs="Times New Roman"/>
          <w:noProof/>
          <w:color w:val="000000" w:themeColor="text1"/>
          <w:sz w:val="24"/>
        </w:rPr>
      </w:pPr>
      <w:r>
        <w:rPr>
          <w:rFonts w:ascii="Times New Roman" w:hAnsi="Times New Roman"/>
          <w:noProof/>
          <w:sz w:val="24"/>
        </w:rPr>
        <w:t>Voor alle infrastructuurinvesteringen wordt ten minste 70 % van het bouw- en sloopafval hergebruikt of gerecycleerd overeenkomstig de technische richtsnoeren „geen ernstige afbreuk doen” (2021/C58/01)</w:t>
      </w:r>
      <w:r>
        <w:rPr>
          <w:rStyle w:val="FootnoteReference"/>
          <w:rFonts w:ascii="Times New Roman" w:hAnsi="Times New Roman" w:cs="Times New Roman"/>
          <w:noProof/>
          <w:sz w:val="24"/>
        </w:rPr>
        <w:footnoteReference w:id="28"/>
      </w:r>
      <w:r>
        <w:rPr>
          <w:rFonts w:ascii="Times New Roman" w:hAnsi="Times New Roman"/>
          <w:noProof/>
          <w:sz w:val="24"/>
        </w:rPr>
        <w:t>.</w:t>
      </w:r>
    </w:p>
    <w:p w14:paraId="38AB270D"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uitvoering van de investering moet uiterlijk op 30 juni 2026 zijn voltooid.</w:t>
      </w:r>
    </w:p>
    <w:p w14:paraId="698536F5"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7E8EA6DA"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C2.1 Het opschalen van digitale toepassingen in de publieke ruimte, de economie en de samenleving</w:t>
      </w:r>
    </w:p>
    <w:p w14:paraId="0F756818"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Deze brede hervorming omvat verschillende onderdelen die de digitalisering van de Poolse samenleving bevorderen, variërend van digitale overheidsdiensten tot digitaal onderwijs voor burgers en werknemers. </w:t>
      </w:r>
    </w:p>
    <w:p w14:paraId="2DE11B33" w14:textId="11D67AD0" w:rsidR="00480F1C" w:rsidRDefault="00A201F6">
      <w:pPr>
        <w:pStyle w:val="P68B1DB1-Normal020"/>
        <w:pBdr>
          <w:top w:val="nil"/>
          <w:left w:val="nil"/>
          <w:bottom w:val="nil"/>
          <w:right w:val="nil"/>
          <w:between w:val="nil"/>
        </w:pBdr>
        <w:spacing w:before="120" w:after="120" w:line="240" w:lineRule="auto"/>
        <w:jc w:val="both"/>
        <w:rPr>
          <w:rFonts w:eastAsia="Times New Roman" w:cs="Times New Roman"/>
          <w:noProof/>
          <w:color w:val="000000"/>
          <w:sz w:val="24"/>
        </w:rPr>
      </w:pPr>
      <w:r>
        <w:rPr>
          <w:noProof/>
        </w:rPr>
        <w:t>Het</w:t>
      </w:r>
      <w:r>
        <w:rPr>
          <w:noProof/>
          <w:color w:val="000000" w:themeColor="text1"/>
          <w:sz w:val="24"/>
        </w:rPr>
        <w:t>opschalen van digitale toepassingen in de overheidssector wordt ondersteund door wetswijzigingen die elektronische communicatie tussen overheidsinstellingen, bedrijven en burgers bevorderen. De eerste bestaat uit een wijziging van de Wet van 17 februari 2005 betreffende de automatisering van activiteiten van overheidsinstanties ter digitalisering van overheidsdocumenten en -processen. De tweede wijziging behelst een wijziging van de wet van 11 maart 2004</w:t>
      </w:r>
      <w:r>
        <w:rPr>
          <w:noProof/>
        </w:rPr>
        <w:t xml:space="preserve"> </w:t>
      </w:r>
      <w:r>
        <w:rPr>
          <w:noProof/>
          <w:color w:val="000000" w:themeColor="text1"/>
          <w:sz w:val="24"/>
        </w:rPr>
        <w:t>betreffende de belasting op goederen en diensten met betrekking tot het gebruik van gestructureerde factuurgegevens die in elektronische vorm worden afgegeven, waarbij de verplichting wordt ingevoerd om e-facturen uit te reiken en te ontvangen via het nationale systeem van e-facturen.</w:t>
      </w:r>
    </w:p>
    <w:p w14:paraId="09087D61" w14:textId="72A508E1"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Wat digitale competenties betreft, is de oprichting en uitvoering van het programma voor de ontwikkeling van digitale competenties het basiselement van de ontwikkeling van digitale competenties. In het programma wordt een uitgebreide reeks vereisten voor de lange termijn vastgesteld ter ondersteuning van de ontwikkeling en monitoring van digitale competenties in formeel, niet-formeel en informeel onderwijs. De oprichting en werking van het centrum voor de ontwikkeling van digitale competenties worden in het programma duidelijk geformuleerd. Het document wordt opgesteld volgens een multistakeholderbenadering. </w:t>
      </w:r>
    </w:p>
    <w:p w14:paraId="7C46B70C"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Op het gebied van onderwijs bestaat het kernelement ter bevordering van de digitalisering van het onderwijs in de vaststelling van bindende minimumnormen om scholen uit te rusten met digitale infrastructuur. Verplichte richtsnoeren worden ontwikkeld in samenwerking met de lokale overheden en in overleg met een brede groep belanghebbenden, en zorgen voor een minimumniveau van informatie- en computerapparatuur (ICT) voor elke school in Polen.</w:t>
      </w:r>
    </w:p>
    <w:p w14:paraId="0095C7D1" w14:textId="78857BAD" w:rsidR="00480F1C" w:rsidRDefault="00A201F6">
      <w:pPr>
        <w:pStyle w:val="P68B1DB1-Normal05"/>
        <w:pBdr>
          <w:top w:val="nil"/>
          <w:left w:val="nil"/>
          <w:bottom w:val="nil"/>
          <w:right w:val="nil"/>
          <w:between w:val="nil"/>
        </w:pBdr>
        <w:spacing w:after="0" w:line="240" w:lineRule="auto"/>
        <w:jc w:val="both"/>
        <w:rPr>
          <w:rFonts w:eastAsia="Times New Roman" w:cs="Times New Roman"/>
          <w:noProof/>
          <w:color w:val="000000"/>
        </w:rPr>
      </w:pPr>
      <w:r>
        <w:rPr>
          <w:noProof/>
        </w:rPr>
        <w:t>De uitvoering van de hervorming wordt uiterlijk op 30 juni 2024 voltooid.</w:t>
      </w:r>
    </w:p>
    <w:p w14:paraId="7BC1BAF2" w14:textId="77777777" w:rsidR="00480F1C" w:rsidRDefault="00480F1C">
      <w:pPr>
        <w:pStyle w:val="Normal0"/>
        <w:pBdr>
          <w:top w:val="nil"/>
          <w:left w:val="nil"/>
          <w:bottom w:val="nil"/>
          <w:right w:val="nil"/>
          <w:between w:val="nil"/>
        </w:pBdr>
        <w:spacing w:after="0" w:line="240" w:lineRule="auto"/>
        <w:jc w:val="both"/>
        <w:rPr>
          <w:rFonts w:ascii="Times New Roman" w:eastAsia="Times New Roman" w:hAnsi="Times New Roman" w:cs="Times New Roman"/>
          <w:noProof/>
          <w:color w:val="000000"/>
          <w:sz w:val="24"/>
        </w:rPr>
      </w:pPr>
    </w:p>
    <w:p w14:paraId="09A3A2A2" w14:textId="0460F892"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highlight w:val="yellow"/>
        </w:rPr>
      </w:pPr>
      <w:r>
        <w:rPr>
          <w:noProof/>
        </w:rPr>
        <w:t>C2.1.1 Openbare e-diensten, IT-oplossingen ter verbetering van de werking van overheidsdiensten en economische sectoren</w:t>
      </w:r>
    </w:p>
    <w:p w14:paraId="3CFA5439" w14:textId="2787D67F"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rPr>
      </w:pPr>
      <w:r>
        <w:rPr>
          <w:noProof/>
        </w:rPr>
        <w:t>Om het gebruik van openbare e-diensten te vergroten, worden in het kader van deze investering de volgende projecten uitgevoerd:</w:t>
      </w:r>
    </w:p>
    <w:p w14:paraId="73E437EF" w14:textId="5DF2641D" w:rsidR="00480F1C" w:rsidRDefault="00A201F6">
      <w:pPr>
        <w:pStyle w:val="P68B1DB1-Normal05"/>
        <w:numPr>
          <w:ilvl w:val="0"/>
          <w:numId w:val="4"/>
        </w:numPr>
        <w:pBdr>
          <w:top w:val="nil"/>
          <w:left w:val="nil"/>
          <w:bottom w:val="nil"/>
          <w:right w:val="nil"/>
          <w:between w:val="nil"/>
        </w:pBdr>
        <w:spacing w:before="120" w:after="120" w:line="240" w:lineRule="auto"/>
        <w:jc w:val="both"/>
        <w:rPr>
          <w:rFonts w:eastAsia="Times New Roman" w:cs="Times New Roman"/>
          <w:noProof/>
        </w:rPr>
      </w:pPr>
      <w:r>
        <w:rPr>
          <w:noProof/>
        </w:rPr>
        <w:t>de voltooiing van nieuwe e-diensten of de upgrade van bestaande e-diensten in het openbaar bestuur, zodat burgers administratieve zaken online kunnen behandelen;</w:t>
      </w:r>
    </w:p>
    <w:p w14:paraId="51E143A8" w14:textId="36F7858D" w:rsidR="00480F1C" w:rsidRDefault="00A201F6">
      <w:pPr>
        <w:pStyle w:val="P68B1DB1-Normal05"/>
        <w:numPr>
          <w:ilvl w:val="0"/>
          <w:numId w:val="4"/>
        </w:numPr>
        <w:pBdr>
          <w:top w:val="nil"/>
          <w:left w:val="nil"/>
          <w:bottom w:val="nil"/>
          <w:right w:val="nil"/>
          <w:between w:val="nil"/>
        </w:pBdr>
        <w:spacing w:before="120" w:after="120" w:line="240" w:lineRule="auto"/>
        <w:jc w:val="both"/>
        <w:rPr>
          <w:rFonts w:eastAsia="Times New Roman" w:cs="Times New Roman"/>
          <w:noProof/>
        </w:rPr>
      </w:pPr>
      <w:r>
        <w:rPr>
          <w:noProof/>
        </w:rPr>
        <w:t xml:space="preserve">de voltooiing van nieuwe IT-systemen of de upgrade van bestaande IT-systemen in de overheidsdiensten; </w:t>
      </w:r>
    </w:p>
    <w:p w14:paraId="6A97E3B3" w14:textId="0D745876"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uitvoering van de investering moet uiterlijk op 30 juni 2026 zijn voltooid.</w:t>
      </w:r>
    </w:p>
    <w:p w14:paraId="380AD5D5"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0E17D936" w14:textId="146D214E" w:rsidR="00480F1C" w:rsidRDefault="00A201F6">
      <w:pPr>
        <w:pStyle w:val="P68B1DB1-Normal028"/>
        <w:pBdr>
          <w:top w:val="nil"/>
          <w:left w:val="nil"/>
          <w:bottom w:val="nil"/>
          <w:right w:val="nil"/>
          <w:between w:val="nil"/>
        </w:pBdr>
        <w:spacing w:before="120" w:after="120" w:line="240" w:lineRule="auto"/>
        <w:jc w:val="both"/>
        <w:rPr>
          <w:rFonts w:eastAsia="Times New Roman" w:cs="Times New Roman"/>
          <w:b/>
          <w:noProof/>
          <w:sz w:val="24"/>
        </w:rPr>
      </w:pPr>
      <w:r>
        <w:rPr>
          <w:b/>
          <w:noProof/>
          <w:sz w:val="24"/>
        </w:rPr>
        <w:t>C2.1.2 Gelijk speelveld voor scholen met mobiele multimedia-apparatuur</w:t>
      </w:r>
      <w:r>
        <w:rPr>
          <w:noProof/>
          <w:sz w:val="24"/>
        </w:rPr>
        <w:t xml:space="preserve"> </w:t>
      </w:r>
      <w:r>
        <w:rPr>
          <w:noProof/>
          <w:sz w:val="18"/>
        </w:rPr>
        <w:t xml:space="preserve">— </w:t>
      </w:r>
      <w:r>
        <w:rPr>
          <w:b/>
          <w:noProof/>
          <w:sz w:val="24"/>
        </w:rPr>
        <w:t>investeringen in verband met de naleving van minimumnormen voor apparatuur</w:t>
      </w:r>
    </w:p>
    <w:p w14:paraId="0F56DD95" w14:textId="46AAC346"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In overeenstemming met de invoering van bindende minimumnormen voor ICT-apparatuur is deze investering bedoeld om alle scholen in Polen te voorzien van geavanceerde multimedia-apparatuur die door leerkrachten en studenten kan worden gebruikt. Het doel is het gebruik van digitale technologieën bij het leren op een gelijk niveau in elke lagere en middelbare school in heel Polen mogelijk te maken, en het doel is leerkrachten via een voucherregeling software aan te bieden en maximaal zes leerlingen per laptop te bereiken, voor in totaal ten minste 1 200 000 laptops. </w:t>
      </w:r>
    </w:p>
    <w:p w14:paraId="5EBF68F1" w14:textId="1F3BC172" w:rsidR="00480F1C" w:rsidRDefault="00A201F6">
      <w:pPr>
        <w:pStyle w:val="P68B1DB1-Normal05"/>
        <w:spacing w:before="120" w:after="120" w:line="240" w:lineRule="auto"/>
        <w:jc w:val="both"/>
        <w:rPr>
          <w:rFonts w:eastAsia="Times New Roman" w:cs="Times New Roman"/>
          <w:noProof/>
        </w:rPr>
      </w:pPr>
      <w:r>
        <w:rPr>
          <w:noProof/>
        </w:rPr>
        <w:t xml:space="preserve">Om te voldoen aan DNSH-voorwaarden moet de ICT-apparatuur voldoen aan de energiegerelateerde eisen en de materiaalefficiëntie-eisen die overeenkomstig Richtlijn 2009/125/EG voor laptops zijn vastgesteld. Bovendien mag de ICT-apparatuur geen stoffen bevatten waarvoor beperkingen gelden die zijn opgenomen in bijlage II bij Richtlijn 2011/65/EU. </w:t>
      </w:r>
    </w:p>
    <w:p w14:paraId="1EFE6E9B" w14:textId="1B80DE09" w:rsidR="00480F1C" w:rsidRDefault="00A201F6">
      <w:pPr>
        <w:pStyle w:val="P68B1DB1-Normal05"/>
        <w:spacing w:before="120" w:after="120" w:line="240" w:lineRule="auto"/>
        <w:jc w:val="both"/>
        <w:rPr>
          <w:rFonts w:eastAsia="Times New Roman" w:cs="Times New Roman"/>
          <w:noProof/>
        </w:rPr>
      </w:pPr>
      <w:r>
        <w:rPr>
          <w:noProof/>
        </w:rPr>
        <w:t>Er wordt een afvalbeheersplan opgesteld om te zorgen voor maximale recycling aan het einde van de levensduur van elektrische en elektronische apparatuur, onder meer door middel van contractuele overeenkomsten met recyclingpartners, reflectie in financiële prognoses of officiële projectdocumentatie. Aan het einde van haar levensduur ondergaat de apparatuur voorbereidingen voor hergebruik, nuttige toepassing of recycling, of een passende behandeling.</w:t>
      </w:r>
    </w:p>
    <w:p w14:paraId="5D5B6450" w14:textId="15777282"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uitvoering van de investering moet uiterlijk op 30 december 2025 zijn voltooid.</w:t>
      </w:r>
    </w:p>
    <w:p w14:paraId="6BF89DA3"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u w:val="single"/>
        </w:rPr>
      </w:pPr>
    </w:p>
    <w:p w14:paraId="5E76914C"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C2.1.3 e-competenties</w:t>
      </w:r>
    </w:p>
    <w:p w14:paraId="55C29CAF" w14:textId="56BD8BAC"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Door ten minste 323 000 mensen op te leiden, streeft Polen ernaar het algemene niveau van digitale competenties in de samenleving te verhogen en het digitaliseringsproces van het land te verbeteren. Daarvan is 40 % burgers die digitale basisvaardigheden nodig hebben, 20 % overheidsfunctionarissen, 20 % personen die het risico lopen uitgesloten te worden en de overige 20 % bestaat uit opvoeders en leerkrachten die een basis- en middelbare opleiding volgen. </w:t>
      </w:r>
    </w:p>
    <w:p w14:paraId="6C5D691B" w14:textId="4CA0CAC4"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Als onderdeel van de investering wordt binnen het kabinet van de minister die verantwoordelijk is voor digitalisering een centrum voor de ontwikkeling van digitale competenties opgericht, bestaande uit deskundigen, adviseurs en digitale specialisten die de uitvoering van digitaal beleid ondersteunen. </w:t>
      </w:r>
    </w:p>
    <w:p w14:paraId="0E19EE43" w14:textId="2663D0D0"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uitvoering van de investering moet uiterlijk op 30 juni 2026 zijn voltooid.</w:t>
      </w:r>
    </w:p>
    <w:p w14:paraId="0933F3B2" w14:textId="59439A94"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1895E3CC" w14:textId="337545C2"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C3.1 Verbetering van de cyberbeveiliging van informatiesystemen, versterking van de infrastructuur voor gegevensverwerking en optimalisering van de infrastructuur van de rechtshandhavingsdiensten</w:t>
      </w:r>
    </w:p>
    <w:p w14:paraId="06591702"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hervorming is gericht op drie specifieke doelstellingen die de uitvoering van oplossingen voor de beveiliging van informatiesystemen mogelijk maken: I) de ontwikkeling van het nationale cyberbeveiligingssysteem; II) het vermogen om incidenten doeltreffend te voorkomen en erop te reageren; III) het creëren van sociaal bewustzijn met betrekking tot cyberbeveiliging. Deze doelstellingen worden bereikt door middel van een reeks wijzigingen van de wet inzake nationale cyberbeveiligingssystemen van 5 juli 2018 en van de kabinetsverordening van 11 september 2018 inzake essentiële diensten.</w:t>
      </w:r>
    </w:p>
    <w:p w14:paraId="0D3139E9" w14:textId="14B1D1A8" w:rsidR="00480F1C" w:rsidRDefault="00A201F6">
      <w:pPr>
        <w:pStyle w:val="P68B1DB1-Normal05"/>
        <w:pBdr>
          <w:top w:val="nil"/>
          <w:left w:val="nil"/>
          <w:bottom w:val="nil"/>
          <w:right w:val="nil"/>
          <w:between w:val="nil"/>
        </w:pBdr>
        <w:spacing w:before="120" w:after="120" w:line="240" w:lineRule="auto"/>
        <w:jc w:val="both"/>
        <w:rPr>
          <w:noProof/>
        </w:rPr>
      </w:pPr>
      <w:r>
        <w:rPr>
          <w:noProof/>
        </w:rPr>
        <w:t xml:space="preserve">De uitvoering van de hervorming wordt uiterlijk op 31 december 2023 voltooid. </w:t>
      </w:r>
    </w:p>
    <w:p w14:paraId="04C4CB30" w14:textId="0CB3A9E9" w:rsidR="006B4966" w:rsidRDefault="006B4966">
      <w:pPr>
        <w:pStyle w:val="P68B1DB1-Normal05"/>
        <w:pBdr>
          <w:top w:val="nil"/>
          <w:left w:val="nil"/>
          <w:bottom w:val="nil"/>
          <w:right w:val="nil"/>
          <w:between w:val="nil"/>
        </w:pBdr>
        <w:spacing w:before="120" w:after="120" w:line="240" w:lineRule="auto"/>
        <w:jc w:val="both"/>
        <w:rPr>
          <w:noProof/>
        </w:rPr>
      </w:pPr>
    </w:p>
    <w:p w14:paraId="638A0F55" w14:textId="427B18DB" w:rsidR="006B4966" w:rsidRDefault="006B4966">
      <w:pPr>
        <w:pStyle w:val="P68B1DB1-Normal05"/>
        <w:pBdr>
          <w:top w:val="nil"/>
          <w:left w:val="nil"/>
          <w:bottom w:val="nil"/>
          <w:right w:val="nil"/>
          <w:between w:val="nil"/>
        </w:pBdr>
        <w:spacing w:before="120" w:after="120" w:line="240" w:lineRule="auto"/>
        <w:jc w:val="both"/>
        <w:rPr>
          <w:noProof/>
        </w:rPr>
      </w:pPr>
    </w:p>
    <w:p w14:paraId="07754F65" w14:textId="77777777" w:rsidR="006B4966" w:rsidRDefault="006B496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p>
    <w:p w14:paraId="75CAC6F5"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4A66F687" w14:textId="53A463B8" w:rsidR="00480F1C" w:rsidRDefault="00A201F6">
      <w:pPr>
        <w:pStyle w:val="P68B1DB1-Normal014"/>
        <w:spacing w:before="120" w:after="120" w:line="240" w:lineRule="auto"/>
        <w:jc w:val="both"/>
        <w:rPr>
          <w:rFonts w:eastAsia="Times New Roman" w:cs="Times New Roman"/>
          <w:noProof/>
        </w:rPr>
      </w:pPr>
      <w:r>
        <w:rPr>
          <w:noProof/>
        </w:rPr>
        <w:t>C3.1.1 CyberPL, infrastructuur voor gegevensverwerking en optimalisering van de infrastructuur van rechtshandhavingsdiensten</w:t>
      </w:r>
    </w:p>
    <w:p w14:paraId="14F65562" w14:textId="6500C74A"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Deze investering bestaat uit vier verschillende componenten: I) cyberbeveiliging; II) infrastructuur voor gegevensverwerking; III) optimalisering van de infrastructuur van de rechtshandhavingsdiensten en iv) oplossingen op het gebied van cloud- en edgecomputing. </w:t>
      </w:r>
    </w:p>
    <w:p w14:paraId="6485175D" w14:textId="65CF19DE"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Op het gebied van (i) cyberbeveiliging worden 4 projecten uitgevoerd:</w:t>
      </w:r>
    </w:p>
    <w:p w14:paraId="74B7492B" w14:textId="2C8F898C" w:rsidR="00480F1C" w:rsidRDefault="00A201F6">
      <w:pPr>
        <w:pStyle w:val="P68B1DB1-Normal05"/>
        <w:numPr>
          <w:ilvl w:val="0"/>
          <w:numId w:val="7"/>
        </w:numPr>
        <w:pBdr>
          <w:top w:val="nil"/>
          <w:left w:val="nil"/>
          <w:bottom w:val="nil"/>
          <w:right w:val="nil"/>
          <w:between w:val="nil"/>
        </w:pBdr>
        <w:spacing w:before="120" w:after="0" w:line="240" w:lineRule="auto"/>
        <w:jc w:val="both"/>
        <w:rPr>
          <w:rFonts w:cs="Times New Roman"/>
          <w:noProof/>
          <w:color w:val="000000"/>
        </w:rPr>
      </w:pPr>
      <w:r>
        <w:rPr>
          <w:noProof/>
        </w:rPr>
        <w:t>Het opzetten van een netwerk van ten minste 5 sectorale computerbeveiliging-incidentenresponsteams (CSIRT’s) in belangrijke sectoren in de zin van de wet inzake het nationale cyberbeveiligingssysteem: energie, vervoer, gezondheid, bankwezen, financiëlemarktinfrastructuren, digitale infrastructuur, watervoorziening en elektronische communicatie;</w:t>
      </w:r>
    </w:p>
    <w:p w14:paraId="7EA39E1D" w14:textId="77777777" w:rsidR="00480F1C" w:rsidRDefault="00A201F6">
      <w:pPr>
        <w:pStyle w:val="P68B1DB1-Normal05"/>
        <w:numPr>
          <w:ilvl w:val="0"/>
          <w:numId w:val="7"/>
        </w:numPr>
        <w:pBdr>
          <w:top w:val="nil"/>
          <w:left w:val="nil"/>
          <w:bottom w:val="nil"/>
          <w:right w:val="nil"/>
          <w:between w:val="nil"/>
        </w:pBdr>
        <w:spacing w:after="0" w:line="240" w:lineRule="auto"/>
        <w:jc w:val="both"/>
        <w:rPr>
          <w:rFonts w:cs="Times New Roman"/>
          <w:noProof/>
          <w:color w:val="000000"/>
        </w:rPr>
      </w:pPr>
      <w:r>
        <w:rPr>
          <w:noProof/>
        </w:rPr>
        <w:t>385 nationale cyberbeveiligingsentiteiten verbinden met een geïntegreerd beheersysteem voor cyberbeveiliging;</w:t>
      </w:r>
    </w:p>
    <w:p w14:paraId="070D45DA" w14:textId="658F48EE" w:rsidR="00480F1C" w:rsidRDefault="00A201F6">
      <w:pPr>
        <w:pStyle w:val="P68B1DB1-Normal05"/>
        <w:numPr>
          <w:ilvl w:val="0"/>
          <w:numId w:val="7"/>
        </w:numPr>
        <w:pBdr>
          <w:top w:val="nil"/>
          <w:left w:val="nil"/>
          <w:bottom w:val="nil"/>
          <w:right w:val="nil"/>
          <w:between w:val="nil"/>
        </w:pBdr>
        <w:spacing w:after="0" w:line="240" w:lineRule="auto"/>
        <w:jc w:val="both"/>
        <w:rPr>
          <w:rFonts w:eastAsia="Times New Roman" w:cs="Times New Roman"/>
          <w:noProof/>
        </w:rPr>
      </w:pPr>
      <w:r>
        <w:rPr>
          <w:noProof/>
        </w:rPr>
        <w:t>Ondersteuning van 500 entiteiten bij de modernisering en uitbreiding van infrastructuur voor cyberbeveiliging, met inbegrip van steun voor entiteiten die gebruikmaken van informatietechnologie (IT) en operationele technologie (OT) in industriële controlesystemen (ICS);</w:t>
      </w:r>
    </w:p>
    <w:p w14:paraId="2E6BE010" w14:textId="49A545A3" w:rsidR="00480F1C" w:rsidRDefault="00A201F6">
      <w:pPr>
        <w:pStyle w:val="P68B1DB1-Normal05"/>
        <w:numPr>
          <w:ilvl w:val="0"/>
          <w:numId w:val="7"/>
        </w:numPr>
        <w:pBdr>
          <w:top w:val="nil"/>
          <w:left w:val="nil"/>
          <w:bottom w:val="nil"/>
          <w:right w:val="nil"/>
          <w:between w:val="nil"/>
        </w:pBdr>
        <w:spacing w:after="0" w:line="240" w:lineRule="auto"/>
        <w:jc w:val="both"/>
        <w:rPr>
          <w:rFonts w:eastAsia="Times New Roman" w:cs="Times New Roman"/>
          <w:noProof/>
        </w:rPr>
      </w:pPr>
      <w:r>
        <w:rPr>
          <w:noProof/>
        </w:rPr>
        <w:t>Oprichting van een netwerk van cyberbeveiligingsspecialisten op het niveau van de provincies om overheidsinstanties te ondersteunen bij het behandelen van incidenten en het terugwinnen van gegevens en het verstrekken van voorlichting over bekroonde activiteiten op het gebied van cyberbeveiliging.</w:t>
      </w:r>
    </w:p>
    <w:p w14:paraId="11E617FC" w14:textId="48E7613A"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Wat (ii) gegevensinfrastructuur betreft, worden 3 gestandaardiseerde dataverwerkingscentra opgericht die energie-efficiënte en schaalbare kritieke infrastructuur leveren, zodat zij over toegankelijke digitale diensten en een veilige infrastructuur voor ICT-systemen beschikken. De centra leven de Europese gedragscode inzake energie-efficiëntie in datacentra na, met name op de volgende gebieden:</w:t>
      </w:r>
    </w:p>
    <w:p w14:paraId="549A0DE8" w14:textId="77777777" w:rsidR="00480F1C" w:rsidRDefault="00A201F6">
      <w:pPr>
        <w:pStyle w:val="P68B1DB1-Normal05"/>
        <w:numPr>
          <w:ilvl w:val="0"/>
          <w:numId w:val="7"/>
        </w:numPr>
        <w:pBdr>
          <w:top w:val="nil"/>
          <w:left w:val="nil"/>
          <w:bottom w:val="nil"/>
          <w:right w:val="nil"/>
          <w:between w:val="nil"/>
        </w:pBdr>
        <w:spacing w:before="120" w:after="120" w:line="240" w:lineRule="auto"/>
        <w:jc w:val="both"/>
        <w:rPr>
          <w:rFonts w:eastAsia="Times New Roman" w:cs="Times New Roman"/>
          <w:noProof/>
          <w:color w:val="000000"/>
        </w:rPr>
      </w:pPr>
      <w:r>
        <w:rPr>
          <w:i/>
          <w:noProof/>
        </w:rPr>
        <w:t>3.2.8 duurzaam energieverbruik:</w:t>
      </w:r>
      <w:r>
        <w:rPr>
          <w:noProof/>
        </w:rPr>
        <w:t xml:space="preserve"> de energie die nodig is voor de datacentra wordt gecontracteerd uit hernieuwbare energiebronnen; </w:t>
      </w:r>
    </w:p>
    <w:p w14:paraId="03F9FEE8" w14:textId="2A232623" w:rsidR="00480F1C" w:rsidRDefault="00A201F6">
      <w:pPr>
        <w:pStyle w:val="P68B1DB1-Normal05"/>
        <w:numPr>
          <w:ilvl w:val="0"/>
          <w:numId w:val="7"/>
        </w:numPr>
        <w:pBdr>
          <w:top w:val="nil"/>
          <w:left w:val="nil"/>
          <w:bottom w:val="nil"/>
          <w:right w:val="nil"/>
          <w:between w:val="nil"/>
        </w:pBdr>
        <w:spacing w:before="120" w:after="120" w:line="240" w:lineRule="auto"/>
        <w:jc w:val="both"/>
        <w:rPr>
          <w:rFonts w:eastAsia="Times New Roman" w:cs="Times New Roman"/>
          <w:noProof/>
          <w:color w:val="000000"/>
        </w:rPr>
      </w:pPr>
      <w:r>
        <w:rPr>
          <w:i/>
          <w:noProof/>
        </w:rPr>
        <w:t>3.2.11 alternatieve technologieën voor elektriciteitsopwekking</w:t>
      </w:r>
      <w:r>
        <w:rPr>
          <w:noProof/>
        </w:rPr>
        <w:t>: installatie van hernieuwbare energiebronnen op de faciliteiten van datacentra;</w:t>
      </w:r>
    </w:p>
    <w:p w14:paraId="31418F63" w14:textId="0DB8CC9B" w:rsidR="00480F1C" w:rsidRDefault="00A201F6">
      <w:pPr>
        <w:pStyle w:val="P68B1DB1-Normal05"/>
        <w:numPr>
          <w:ilvl w:val="0"/>
          <w:numId w:val="7"/>
        </w:numPr>
        <w:spacing w:before="120" w:after="120" w:line="240" w:lineRule="auto"/>
        <w:jc w:val="both"/>
        <w:rPr>
          <w:rFonts w:eastAsia="Times New Roman" w:cs="Times New Roman"/>
          <w:noProof/>
        </w:rPr>
      </w:pPr>
      <w:r>
        <w:rPr>
          <w:i/>
          <w:noProof/>
        </w:rPr>
        <w:t>3.3.2. Rekening houden met verschillende niveaus van veerkracht</w:t>
      </w:r>
      <w:r>
        <w:rPr>
          <w:noProof/>
        </w:rPr>
        <w:t>: van de datacentra wordt verwacht dat zij de betrouwbaarheid van het elektriciteitsvoorzieningssysteem zullen versterken door nieuwe methoden voor back-upstroomvoorziening te ontwikkelen.</w:t>
      </w:r>
    </w:p>
    <w:p w14:paraId="5FC2AFCE" w14:textId="77777777" w:rsidR="00480F1C" w:rsidRDefault="00A201F6">
      <w:pPr>
        <w:pStyle w:val="P68B1DB1-Normal017"/>
        <w:spacing w:before="120" w:after="120" w:line="240" w:lineRule="auto"/>
        <w:jc w:val="both"/>
        <w:rPr>
          <w:rFonts w:eastAsia="Times New Roman" w:cs="Times New Roman"/>
          <w:noProof/>
          <w:color w:val="000000" w:themeColor="text1"/>
        </w:rPr>
      </w:pPr>
      <w:r>
        <w:rPr>
          <w:noProof/>
        </w:rPr>
        <w:t>Om</w:t>
      </w:r>
      <w:r>
        <w:rPr>
          <w:noProof/>
          <w:color w:val="000000" w:themeColor="text1"/>
        </w:rPr>
        <w:t xml:space="preserve">te voldoen aan de DNSH-voorwaarden wordt een milieurisico- en kwetsbaarheidsbeoordeling uitgevoerd voor de bouw en renovatie van datacentra en eventuele noodzakelijke aanpassingsoplossingen. </w:t>
      </w:r>
      <w:r>
        <w:rPr>
          <w:noProof/>
        </w:rPr>
        <w:t>Voor alle infrastructuurinvesteringen wordt ten minste 70 % van het bouw- en sloopafval hergebruikt of gerecycleerd overeenkomstig de technische richtsnoeren „geen ernstige afbreuk doen” (2021/C58/01).</w:t>
      </w:r>
    </w:p>
    <w:p w14:paraId="0D8D85AA" w14:textId="55C5D31E"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III) De optimalisering van de infrastructuur voor de overheidsdiensten die verantwoordelijk zijn voor de veiligheid omvat 4 projecten die erop gericht zijn verschillende waarschuwings- en waarschuwingssystemen te integreren en de samenwerking tussen overheidsdiensten, zoals politie, brandweerlieden en lokale autoriteiten, te verbeteren.</w:t>
      </w:r>
    </w:p>
    <w:p w14:paraId="233BD36A" w14:textId="39E65526"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Wat tot slot iv) de uitrol van cloud- en edge-computingoplossingen betreft, zal Polen naar verwachting deelnemen aan het potentieel belangrijke project van gemeenschappelijk Europees belang (IPCEI) inzake cloudinfrastructuur van de volgende generatie en egdiensten, ter ondersteuning van de ontwikkeling en eerste industriële uitrol van geavanceerde O &amp; O-projecten met het oog op de toekomst van gegevensverwerking langs de cloud to edge continuum.</w:t>
      </w:r>
    </w:p>
    <w:p w14:paraId="194E08AF" w14:textId="6F418930"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rPr>
      </w:pPr>
      <w:r>
        <w:rPr>
          <w:noProof/>
        </w:rPr>
        <w:t>De uitvoering van de investering moet uiterlijk op 30 juni 2026 zijn voltooid.</w:t>
      </w:r>
    </w:p>
    <w:p w14:paraId="70302833" w14:textId="3E60CE40"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sz w:val="24"/>
        </w:rPr>
        <w:sectPr w:rsidR="00480F1C">
          <w:headerReference w:type="even" r:id="rId79"/>
          <w:headerReference w:type="default" r:id="rId80"/>
          <w:footerReference w:type="even" r:id="rId81"/>
          <w:footerReference w:type="default" r:id="rId82"/>
          <w:headerReference w:type="first" r:id="rId83"/>
          <w:footerReference w:type="first" r:id="rId84"/>
          <w:pgSz w:w="11907" w:h="16839"/>
          <w:pgMar w:top="1134" w:right="1417" w:bottom="1134" w:left="1417" w:header="709" w:footer="709" w:gutter="0"/>
          <w:cols w:space="720"/>
        </w:sectPr>
      </w:pPr>
    </w:p>
    <w:p w14:paraId="1D0656FE" w14:textId="39A4B6CE" w:rsidR="00480F1C" w:rsidRDefault="00A201F6">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sz w:val="24"/>
        </w:rPr>
      </w:pPr>
      <w:r>
        <w:rPr>
          <w:rFonts w:ascii="Times New Roman" w:hAnsi="Times New Roman"/>
          <w:b/>
          <w:noProof/>
          <w:color w:val="000000"/>
          <w:sz w:val="24"/>
        </w:rPr>
        <w:t xml:space="preserve">C.2. </w:t>
      </w:r>
      <w:r>
        <w:rPr>
          <w:noProof/>
        </w:rPr>
        <w:tab/>
      </w:r>
      <w:r>
        <w:rPr>
          <w:rFonts w:ascii="Times New Roman" w:hAnsi="Times New Roman"/>
          <w:b/>
          <w:noProof/>
          <w:color w:val="000000"/>
          <w:sz w:val="24"/>
        </w:rPr>
        <w:t>Mijlpalen, streefdoelen, indicatoren en tijdschema voor de monitoring en uitvoering voor niet-terugbetaalbare financiële steun</w:t>
      </w:r>
    </w:p>
    <w:tbl>
      <w:tblPr>
        <w:tblW w:w="15593"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115" w:type="dxa"/>
          <w:right w:w="115" w:type="dxa"/>
        </w:tblCellMar>
        <w:tblLook w:val="0400" w:firstRow="0" w:lastRow="0" w:firstColumn="0" w:lastColumn="0" w:noHBand="0" w:noVBand="1"/>
      </w:tblPr>
      <w:tblGrid>
        <w:gridCol w:w="846"/>
        <w:gridCol w:w="2126"/>
        <w:gridCol w:w="992"/>
        <w:gridCol w:w="2268"/>
        <w:gridCol w:w="1361"/>
        <w:gridCol w:w="992"/>
        <w:gridCol w:w="1191"/>
        <w:gridCol w:w="992"/>
        <w:gridCol w:w="993"/>
        <w:gridCol w:w="850"/>
        <w:gridCol w:w="2982"/>
      </w:tblGrid>
      <w:tr w:rsidR="00480F1C" w14:paraId="43251E04" w14:textId="77777777">
        <w:trPr>
          <w:trHeight w:val="939"/>
          <w:tblHeader/>
          <w:jc w:val="center"/>
        </w:trPr>
        <w:tc>
          <w:tcPr>
            <w:tcW w:w="846" w:type="dxa"/>
            <w:vMerge w:val="restart"/>
            <w:shd w:val="clear" w:color="auto" w:fill="BDD7EE"/>
            <w:vAlign w:val="center"/>
          </w:tcPr>
          <w:p w14:paraId="7A633873" w14:textId="6852C5C2"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Volgende NR.</w:t>
            </w:r>
          </w:p>
        </w:tc>
        <w:tc>
          <w:tcPr>
            <w:tcW w:w="2126" w:type="dxa"/>
            <w:vMerge w:val="restart"/>
            <w:shd w:val="clear" w:color="auto" w:fill="BDD7EE"/>
            <w:vAlign w:val="center"/>
          </w:tcPr>
          <w:p w14:paraId="1417531B"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Gerelateerde maatregel (hervorming of investering)</w:t>
            </w:r>
          </w:p>
        </w:tc>
        <w:tc>
          <w:tcPr>
            <w:tcW w:w="992" w:type="dxa"/>
            <w:vMerge w:val="restart"/>
            <w:shd w:val="clear" w:color="auto" w:fill="BDD7EE"/>
            <w:vAlign w:val="center"/>
          </w:tcPr>
          <w:p w14:paraId="00006DBC"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Mijlpaal/Doelstelling</w:t>
            </w:r>
          </w:p>
        </w:tc>
        <w:tc>
          <w:tcPr>
            <w:tcW w:w="2268" w:type="dxa"/>
            <w:vMerge w:val="restart"/>
            <w:shd w:val="clear" w:color="auto" w:fill="BDD7EE"/>
            <w:vAlign w:val="center"/>
          </w:tcPr>
          <w:p w14:paraId="0399D578"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Naam</w:t>
            </w:r>
          </w:p>
        </w:tc>
        <w:tc>
          <w:tcPr>
            <w:tcW w:w="1361" w:type="dxa"/>
            <w:vMerge w:val="restart"/>
            <w:shd w:val="clear" w:color="auto" w:fill="BDD7EE"/>
            <w:vAlign w:val="center"/>
          </w:tcPr>
          <w:p w14:paraId="1181685B"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sz w:val="18"/>
              </w:rPr>
              <w:t>Kwalitatieve indicatoren</w:t>
            </w:r>
            <w:r>
              <w:rPr>
                <w:noProof/>
              </w:rPr>
              <w:t xml:space="preserve"> </w:t>
            </w:r>
            <w:r>
              <w:rPr>
                <w:noProof/>
              </w:rPr>
              <w:br/>
            </w:r>
            <w:r>
              <w:rPr>
                <w:rFonts w:ascii="Times New Roman" w:hAnsi="Times New Roman"/>
                <w:b/>
                <w:noProof/>
                <w:color w:val="000000"/>
                <w:sz w:val="18"/>
              </w:rPr>
              <w:t>(voor mijlpalen)</w:t>
            </w:r>
          </w:p>
        </w:tc>
        <w:tc>
          <w:tcPr>
            <w:tcW w:w="3175" w:type="dxa"/>
            <w:gridSpan w:val="3"/>
            <w:shd w:val="clear" w:color="auto" w:fill="BDD7EE"/>
            <w:vAlign w:val="center"/>
          </w:tcPr>
          <w:p w14:paraId="52F3B586"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sz w:val="18"/>
              </w:rPr>
              <w:t>Kwantitatieve indicatoren</w:t>
            </w:r>
            <w:r>
              <w:rPr>
                <w:noProof/>
              </w:rPr>
              <w:t xml:space="preserve"> </w:t>
            </w:r>
            <w:r>
              <w:rPr>
                <w:noProof/>
              </w:rPr>
              <w:br/>
            </w:r>
            <w:r>
              <w:rPr>
                <w:rFonts w:ascii="Times New Roman" w:hAnsi="Times New Roman"/>
                <w:b/>
                <w:noProof/>
                <w:color w:val="000000"/>
                <w:sz w:val="18"/>
              </w:rPr>
              <w:t>(voor streefcijfers)</w:t>
            </w:r>
          </w:p>
        </w:tc>
        <w:tc>
          <w:tcPr>
            <w:tcW w:w="1843" w:type="dxa"/>
            <w:gridSpan w:val="2"/>
            <w:shd w:val="clear" w:color="auto" w:fill="BDD7EE"/>
            <w:vAlign w:val="center"/>
          </w:tcPr>
          <w:p w14:paraId="37B8DAAC"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Indicatieve termijn voor voltooiing </w:t>
            </w:r>
          </w:p>
        </w:tc>
        <w:tc>
          <w:tcPr>
            <w:tcW w:w="2982" w:type="dxa"/>
            <w:vMerge w:val="restart"/>
            <w:shd w:val="clear" w:color="auto" w:fill="BDD7EE"/>
            <w:vAlign w:val="center"/>
          </w:tcPr>
          <w:p w14:paraId="16810C53"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Beschrijving van elke mijlpaal en doelstelling</w:t>
            </w:r>
          </w:p>
        </w:tc>
      </w:tr>
      <w:tr w:rsidR="00480F1C" w14:paraId="252FC53A" w14:textId="77777777">
        <w:trPr>
          <w:trHeight w:val="1027"/>
          <w:jc w:val="center"/>
        </w:trPr>
        <w:tc>
          <w:tcPr>
            <w:tcW w:w="846" w:type="dxa"/>
            <w:vMerge/>
            <w:vAlign w:val="center"/>
          </w:tcPr>
          <w:p w14:paraId="7B37605A"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2126" w:type="dxa"/>
            <w:vMerge/>
            <w:vAlign w:val="center"/>
          </w:tcPr>
          <w:p w14:paraId="394798F2"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992" w:type="dxa"/>
            <w:vMerge/>
            <w:vAlign w:val="center"/>
          </w:tcPr>
          <w:p w14:paraId="3889A505"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2268" w:type="dxa"/>
            <w:vMerge/>
            <w:vAlign w:val="center"/>
          </w:tcPr>
          <w:p w14:paraId="29079D35"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361" w:type="dxa"/>
            <w:vMerge/>
            <w:vAlign w:val="center"/>
          </w:tcPr>
          <w:p w14:paraId="17686DC7"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39A95408"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Eenheid</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42C9D7B8" w14:textId="31D1A0BC"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Basislijn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2E8B2227"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Doelstelling</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6D73E104"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Kwartaal</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334F5C5B"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Jaar</w:t>
            </w:r>
          </w:p>
        </w:tc>
        <w:tc>
          <w:tcPr>
            <w:tcW w:w="2982" w:type="dxa"/>
            <w:vMerge/>
            <w:vAlign w:val="center"/>
          </w:tcPr>
          <w:p w14:paraId="53BD644D"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r>
      <w:tr w:rsidR="00480F1C" w14:paraId="40BA9A1B"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8EE793C" w14:textId="2EF76AF3"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C1G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5279A0B" w14:textId="69EA5160"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C1.1 Bevordering van de ontwikkeling van netwerkinfrastructuur om universele toegang tot hogesnelheidsinternet te waarborgen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86E203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E5DCB1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Door de kanselarij van de premier opgesteld kader voor de medefinanciering van breedbandprojecten in witte gebieden van Next Generation Access (NGA), waar momenteel geen NGA-netwerk bestaat</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EE3023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Publicatie van het kader in de website van de kanselarij van de premier en het projectcentrum Digital Poland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990759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42BD99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B6018EB"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63A21A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8553E3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FE97C19" w14:textId="2D8323E8"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Vaststelling van het kader als basis voor de volgende oproep tot het indienen van voorstellen.</w:t>
            </w:r>
          </w:p>
          <w:p w14:paraId="7EB0805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Het kader bevat bepalingen om ervoor te zorgen dat de in het kader van deze maatregel ondersteunde projecten volledig voldoen aan de technische richtsnoeren „geen ernstige afbreuk doen” (2021/C58/01) door gebruik te maken van duurzaamheidstoetsing, een uitsluitingslijst en de vereiste van naleving van de relevante EU- en nationale milieuwetgeving.</w:t>
            </w:r>
          </w:p>
        </w:tc>
      </w:tr>
      <w:tr w:rsidR="00480F1C" w14:paraId="1244BD1E" w14:textId="77777777">
        <w:trPr>
          <w:trHeight w:val="1362"/>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FCCF4E" w14:textId="64CEACDD"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C2G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F8BD258" w14:textId="5D40BFF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C1.1 Bevordering van de ontwikkeling van netwerkinfrastructuur om universele toegang tot hogesnelheidsinternet te waarborgen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D40FDA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000640C" w14:textId="5A16EF5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Wijziging van de regeling van de minister voor Digitalisering van de jaarlijkse inventaris van telecommunicatie-infrastructuur &amp; -diensten</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3421C23" w14:textId="3CE96866"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wijziging van de verordening betreffende de inwerkingtreding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73BDA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737531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33B4B9C"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E6C433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CB7880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2023</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B96842D" w14:textId="18115CB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de wijziging van de verordening betreffende de nationale inventaris van telecommunicatie-infrastructuur &amp; -diensten, om beter vast te stellen op welke gebieden aanvullende steun van overheidswege nodig is.</w:t>
            </w:r>
          </w:p>
        </w:tc>
      </w:tr>
      <w:tr w:rsidR="00480F1C" w14:paraId="5821D57D"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07C2F63" w14:textId="67CA8A2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C3G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3AB91AC" w14:textId="76659065"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C1.1 Bevordering van de ontwikkeling van netwerkinfrastructuur om universele toegang tot hogesnelheidsinternet te waarborgen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F15DED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1158D83" w14:textId="5FE15253"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Wijziging van de verordening inzake het centrale informatiepunt door de premier</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F267536" w14:textId="1442006E"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wijziging van de verordening waarin de inwerkingtreding ervan wordt aangegeven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129359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7642555"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659507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9FB017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44B82B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7568E96" w14:textId="7B933771"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de wijziging van de verordening betreffende het centrale informatiepunt, om exploitanten meer informatie te verstrekken over infrastructuur die kan worden gebruikt voor telecominvesteringen, en om te voorzien in beter geschikte planningsinstrumenten.</w:t>
            </w:r>
          </w:p>
        </w:tc>
      </w:tr>
      <w:tr w:rsidR="00480F1C" w14:paraId="7B3210D6"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F5FA94C" w14:textId="6022DB46"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C4G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6DF0F0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C1.1.1 Zorgen voor toegang tot zeer snel internet in witte spots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B9AE83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A1A936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T1 — Bijkomende huishoudens (woningen) met breedbandinternettoegang met een capaciteit van ten minste 100 Mb/s (met de mogelijkheid om dit te verhogen tot gigabitcapaciteit)</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B082E6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87A4BA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1EBC01" w14:textId="1B053CB2"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1E7081C" w14:textId="32F64218"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100 000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91A9D4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B4369A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2024</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0FF7B17" w14:textId="2C526CDC" w:rsidR="00480F1C" w:rsidRDefault="00A201F6">
            <w:pPr>
              <w:pStyle w:val="P68B1DB1-Normal026"/>
              <w:pBdr>
                <w:top w:val="nil"/>
                <w:left w:val="nil"/>
                <w:bottom w:val="nil"/>
                <w:right w:val="nil"/>
                <w:between w:val="nil"/>
              </w:pBdr>
              <w:spacing w:after="0" w:line="240" w:lineRule="auto"/>
              <w:rPr>
                <w:rFonts w:eastAsia="Times New Roman" w:cs="Times New Roman"/>
                <w:noProof/>
                <w:sz w:val="18"/>
              </w:rPr>
            </w:pPr>
            <w:r>
              <w:rPr>
                <w:noProof/>
                <w:sz w:val="18"/>
              </w:rPr>
              <w:t>Ten minste 100 extra</w:t>
            </w:r>
            <w:r>
              <w:rPr>
                <w:noProof/>
                <w:sz w:val="24"/>
              </w:rPr>
              <w:t xml:space="preserve"> </w:t>
            </w:r>
            <w:r>
              <w:rPr>
                <w:noProof/>
                <w:sz w:val="18"/>
              </w:rPr>
              <w:t>000 huishoudens in witte toegangsgebieden van de volgende generatie waar de markt in de nabije toekomst waarschijnlijk geen netwerk zal bieden met een downloadsnelheid van 100 Mbps, dat moet worden gedekt door breedbandinternettoegang met een capaciteit van ten minste 100 Mbps (met de mogelijkheid deze te verhogen tot gigabitcapaciteit), in overeenstemming met de doelstellingen van het nationale breedbandplan en de mededeling van de Commissie over de Europese gigabitmaatschappij.</w:t>
            </w:r>
          </w:p>
          <w:p w14:paraId="3AA6569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De investering wordt uitgevoerd in volledige overeenstemming met de technische richtsnoeren inzake het beginsel „geen ernstige afbreuk doen aan” (2021/C 58/01), met name wat betreft de vereisten in verband met energieprestaties, afvalbeheer en milieurisicobeoordeling.</w:t>
            </w:r>
          </w:p>
        </w:tc>
      </w:tr>
      <w:tr w:rsidR="00480F1C" w14:paraId="35BD72E8"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9CB5CC8" w14:textId="3442F5DB"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C5G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68F12F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C1.1.1 Zorgen voor toegang tot zeer snel internet in witte spots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C7A09E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3E06DC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T2 — Bijkomende huishoudens (woningen) met breedbandinternettoegang met een capaciteit van ten minste 100 Mb/s (met de mogelijkheid om dit te verhogen tot gigabitcapaciteit)</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D10397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52D1FC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99793ED" w14:textId="7126FB1A"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100 000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6025DB3" w14:textId="7F7C03B6"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500 000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A9AACB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E89DF8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2025</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1671021" w14:textId="60BA6A8E"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Ten minste 500 000 extra huishoudens cumulatief in witte toegangsgebieden van de volgende generatie waar de markt in de nabije toekomst waarschijnlijk geen netwerk zal bieden met een downloadsnelheid van 100 Mbps, dat moet worden gedekt door breedbandinternettoegang met een capaciteit van ten minste 100 Mbps (met de mogelijkheid deze te verhogen tot gigabitcapaciteit), in overeenstemming met de doelstellingen van het nationale breedbandplan en de mededeling van de Commissie over de Europese gigabitmaatschappij.</w:t>
            </w:r>
          </w:p>
          <w:p w14:paraId="5A66B70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De investering wordt uitgevoerd in volledige overeenstemming met de technische richtsnoeren inzake het beginsel „geen ernstige afbreuk doen aan” (2021/C 58/01), met name wat betreft de vereisten in verband met energieprestaties, afvalbeheer en milieurisicobeoordeling.</w:t>
            </w:r>
          </w:p>
        </w:tc>
      </w:tr>
      <w:tr w:rsidR="00480F1C" w14:paraId="169E4FB1"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D66412A" w14:textId="07DE9BD8"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C6G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FFEF1B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C1.1.1 Zorgen voor toegang tot zeer snel internet in witte spots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31C418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7646CC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T3 — Bijkomende huishoudens (woningen) met breedbandinternettoegang met een capaciteit van ten minste 100 Mb/s (met de mogelijkheid om dit te verhogen tot gigabitcapaciteit)</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502BBF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CFB2D7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4B6280E" w14:textId="5532B5DD"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500 000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9B63CB3" w14:textId="1577CEC8"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931 000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F355A2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BA6178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441FD7" w14:textId="6977712D"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Ten minste 931 000 extra huishoudens cumulatief in witte toegangsgebieden van de volgende generatie waar de markt in de nabije toekomst waarschijnlijk niet zal voorzien in een netwerk met een downloadsnelheid van 100 Mbps, dat moet worden gedekt door breedbandinternettoegang met een capaciteit van ten minste 100 Mbps (met de mogelijkheid deze te verhogen tot gigabitcapaciteit), in overeenstemming met de doelstellingen van het nationale breedbandplan en de mededeling van de Commissie over de Europese gigabitmaatschappij. </w:t>
            </w:r>
          </w:p>
          <w:p w14:paraId="3DF72868"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color w:val="000000"/>
              </w:rPr>
            </w:pPr>
            <w:r>
              <w:rPr>
                <w:noProof/>
                <w:color w:val="000000" w:themeColor="text1"/>
              </w:rPr>
              <w:t>De investering wordt uitgevoerd in volledige overeenstemming met de technische richtsnoeren inzake het beginsel „geen ernstige afbreuk doen aan” (2021/C 58/01), met name wat betreft de vereisten in verband met energieprestaties, afvalbeheer en milieurisicobeoordeling.</w:t>
            </w:r>
            <w:r>
              <w:rPr>
                <w:noProof/>
                <w:color w:val="881798"/>
                <w:u w:val="single"/>
              </w:rPr>
              <w:t xml:space="preserve"> </w:t>
            </w:r>
          </w:p>
        </w:tc>
      </w:tr>
      <w:tr w:rsidR="00480F1C" w14:paraId="500763E7"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D346611" w14:textId="548478CC" w:rsidR="00480F1C" w:rsidRDefault="00A201F6">
            <w:pPr>
              <w:pStyle w:val="P68B1DB1-Normal010"/>
              <w:spacing w:line="240" w:lineRule="auto"/>
              <w:jc w:val="center"/>
              <w:rPr>
                <w:rFonts w:cs="Times New Roman"/>
                <w:noProof/>
              </w:rPr>
            </w:pPr>
            <w:r>
              <w:rPr>
                <w:noProof/>
              </w:rPr>
              <w:t>C6aG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9AA165C" w14:textId="2F66A38D"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C1.1.1 Zorgen voor toegang tot zeer snel internet in witte spots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1250D02" w14:textId="4F6C18A5" w:rsidR="00480F1C" w:rsidRDefault="00A201F6">
            <w:pPr>
              <w:pStyle w:val="P68B1DB1-Normal011"/>
              <w:spacing w:line="240" w:lineRule="auto"/>
              <w:rPr>
                <w:rFonts w:eastAsia="Times New Roman" w:cs="Times New Roman"/>
                <w:noProof/>
                <w:color w:val="000000" w:themeColor="text1"/>
              </w:rPr>
            </w:pPr>
            <w:r>
              <w:rPr>
                <w:noProof/>
              </w:rPr>
              <w:t>Doel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40EACED" w14:textId="6125AFD4"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Klaslokalen op scholen die zijn uitgerust met een verbinding van het Local Area Network (LAN)</w:t>
            </w:r>
          </w:p>
          <w:p w14:paraId="55CE14AE" w14:textId="4CFDFCE5"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78ED07A" w14:textId="611F1FB6"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1B33684" w14:textId="3C416150" w:rsidR="00480F1C" w:rsidRDefault="00A201F6">
            <w:pPr>
              <w:pStyle w:val="P68B1DB1-Normal011"/>
              <w:spacing w:line="240" w:lineRule="auto"/>
              <w:rPr>
                <w:rFonts w:eastAsia="Times New Roman" w:cs="Times New Roman"/>
                <w:noProof/>
                <w:color w:val="000000" w:themeColor="text1"/>
              </w:rPr>
            </w:pPr>
            <w:r>
              <w:rPr>
                <w:noProof/>
              </w:rPr>
              <w:t>Aantal</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635F8C6" w14:textId="1330B340" w:rsidR="00480F1C" w:rsidRDefault="00A201F6">
            <w:pPr>
              <w:pStyle w:val="P68B1DB1-Normal011"/>
              <w:spacing w:line="240" w:lineRule="auto"/>
              <w:jc w:val="right"/>
              <w:rPr>
                <w:rFonts w:eastAsia="Times New Roman" w:cs="Times New Roman"/>
                <w:noProof/>
                <w:color w:val="000000" w:themeColor="text1"/>
              </w:rPr>
            </w:pPr>
            <w:r>
              <w:rPr>
                <w:noProof/>
              </w:rPr>
              <w:t>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DF48343" w14:textId="3AAD84B9" w:rsidR="00480F1C" w:rsidRDefault="00A201F6">
            <w:pPr>
              <w:pStyle w:val="P68B1DB1-Normal011"/>
              <w:spacing w:line="240" w:lineRule="auto"/>
              <w:jc w:val="right"/>
              <w:rPr>
                <w:rFonts w:eastAsia="Times New Roman" w:cs="Times New Roman"/>
                <w:noProof/>
                <w:color w:val="000000" w:themeColor="text1"/>
              </w:rPr>
            </w:pPr>
            <w:r>
              <w:rPr>
                <w:noProof/>
              </w:rPr>
              <w:t>100 000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7993EE1" w14:textId="3FE1057C" w:rsidR="00480F1C" w:rsidRDefault="00A201F6">
            <w:pPr>
              <w:pStyle w:val="P68B1DB1-Normal011"/>
              <w:spacing w:line="240" w:lineRule="auto"/>
              <w:jc w:val="center"/>
              <w:rPr>
                <w:rFonts w:eastAsia="Times New Roman" w:cs="Times New Roman"/>
                <w:noProof/>
                <w:color w:val="000000" w:themeColor="text1"/>
              </w:rPr>
            </w:pPr>
            <w:r>
              <w:rPr>
                <w:noProof/>
              </w:rPr>
              <w:t>KWARTAAL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AF53E89" w14:textId="2C790048" w:rsidR="00480F1C" w:rsidRDefault="00A201F6">
            <w:pPr>
              <w:pStyle w:val="P68B1DB1-Normal011"/>
              <w:spacing w:line="240" w:lineRule="auto"/>
              <w:jc w:val="center"/>
              <w:rPr>
                <w:rFonts w:eastAsia="Times New Roman" w:cs="Times New Roman"/>
                <w:noProof/>
                <w:color w:val="000000" w:themeColor="text1"/>
              </w:rPr>
            </w:pPr>
            <w:r>
              <w:rPr>
                <w:noProof/>
              </w:rPr>
              <w:t>2025</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205CEC5" w14:textId="0D2AFE2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Aantal klaslokalen in beroepsscholen en instellingen voor algemeen onderwijs dat moet worden uitgerust met een LAN-verbinding, met internettoegang die verder gaat dan de minimumnormen van 100 Mbps. </w:t>
            </w:r>
          </w:p>
          <w:p w14:paraId="16311FF3" w14:textId="6DB3962F"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p w14:paraId="05EA06D9" w14:textId="3BA2D920"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De entiteiten die de netwerkinfrastructuur leveren, worden geselecteerd op eerlijke, concurrerende en transparante wijze, in overeenstemming met het kader van mijlpaal C10L.</w:t>
            </w:r>
          </w:p>
          <w:p w14:paraId="631B5B0C" w14:textId="5B562213"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tc>
      </w:tr>
      <w:tr w:rsidR="00480F1C" w14:paraId="6861CF27"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D965B08" w14:textId="020D5350"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C7G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72E788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C2.1 Het opschalen van digitale toepassingen in de publieke ruimte, de economie en de samenleving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6C2DDF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93948B1" w14:textId="622018B6"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Wijziging van de wet van 17 februari 2005 betreffende de automatisering van de activiteiten van entiteiten die overheidstaken verrichten — invoering van standaard digitale vorm van documenten en elektronische vorm van diensten en digitalisering van administratieve processen</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A3D6AE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wijziging van het besluit waarin de inwerkingtreding wordt aangegeven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A9C487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9757454"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3FE145A"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4F02C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D86035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2023</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BE87606" w14:textId="54D59C0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de wijziging van de wet van 17 februari 2005 betreffende de automatisering van de activiteiten van entiteiten die overheidstaken verrichten. De kanselarij van de minister-president is verantwoordelijk voor de voorbereiding en vaststelling van deze wet.</w:t>
            </w:r>
          </w:p>
        </w:tc>
      </w:tr>
      <w:tr w:rsidR="00480F1C" w14:paraId="7922965E"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D3A19EC" w14:textId="5441CD1F"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C8G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DBA01F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C2.1 Het opschalen van digitale toepassingen in de publieke ruimte, de economie en de samenleving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025891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D52767F" w14:textId="0460E0CD"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Wijziging van de wet van 11 maart 2004 inzake de belasting op goederen en diensten (gebruik van gestructureerde facturen) — invoering van gestructureerde elektronische facturen op de economische markt en de verplichting om deze uit te reiken en te ontvangen via het nationale systeem van e-facturen</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458881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wijziging van het besluit waarin de inwerkingtreding wordt aangegeven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C5A4A1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4B444D4"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7302B30"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EE25394"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AA8223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2024</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BBA5136" w14:textId="589D88F4"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de wijziging van de wet van 11 maart 2004 betreffende de belasting op goederen en diensten (gebruik van gestructureerde facturen). Het gebruik van e-facturen wordt als verplicht beschouwd. De overheidsinstantie die verantwoordelijk is voor de voorbereiding en vaststelling van dit gewijzigde besluit is het ministerie van Financiën.</w:t>
            </w:r>
          </w:p>
        </w:tc>
      </w:tr>
      <w:tr w:rsidR="00480F1C" w14:paraId="36A8C74D"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CF255B" w14:textId="7B670CC8"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C9G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674AA1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C2.1 Het opschalen van digitale toepassingen in de publieke ruimte, de economie en de samenleving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A133F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31935D2" w14:textId="139CD46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Bindende minimumnormen voor het uitrusten van alle scholen met digitale infrastructuur om het gebruik van digitale technologieën bij het leren op voet van gelijkheid in elke school mogelijk te maken</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E03FBE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Goedkeuring van de normen door het ministerie van Onderwijs en Wetenschappen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04BE6B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0588F84"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30DC6E6"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EB2FD7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1542F0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947D6D8" w14:textId="231399F3"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Vaststelling van bindende normen voor het uitrusten van scholen met digitale infrastructuur die voor elke school verplicht is om hetzelfde niveau van digitale infrastructuur te bereiken. Over de ontwikkeling van de normen wordt overleg gepleegd met een brede groep belanghebbenden en de lokale overheid. Het ministerie van Onderwijs en Wetenschappen is verantwoordelijk voor de voorbereiding en vaststelling van deze verordening.</w:t>
            </w:r>
          </w:p>
        </w:tc>
      </w:tr>
      <w:tr w:rsidR="00480F1C" w14:paraId="55BAA1FE"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7B3593" w14:textId="3B62426D"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C10G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739632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C2.1 Het opschalen van digitale toepassingen in de publieke ruimte, de economie en de samenleving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AE86F0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5C69072" w14:textId="028DCC5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Inwerkingtreding van de resolutie van de Raad van Ministers over het programma voor de ontwikkeling van digitale competenties om de ontwikkeling van digitale competenties en digitaal onderwijs voor burgers en werknemers in verschillende sectoren te beheren. Dit omvat de oprichting van het Centrum voor de ontwikkeling van digitale competenties (Digital Competence Development Centre — DCDC).</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B47E529" w14:textId="38D2618C"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Bepaling in de resolutie van de Raad van Ministers betreffende de inwerkingtreding ervan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ECFE32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DF0942A"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75228C5"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7377DA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85EBC0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BE3A4E9" w14:textId="529F1771"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Inwerkingtreding van de resolutie van de ministerraad over het programma voor de ontwikkeling van digitale competenties (een meerjarenprogramma tot 2030), met inbegrip van het uitvoeringsplan, de evaluatie- en monitoringmaatregelen overeenkomstig de „Wet inzake de beginselen van het ontwikkelingsbeleid”. Het programma wordt ontwikkeld volgens een multistakeholderbenadering. Het programma voorziet onder meer in de oprichting van het Centrum voor de ontwikkeling van digitale competenties (Digital Competence Development Centre, DCDC) en het beleid voor de ontwikkeling van digitale competenties. </w:t>
            </w:r>
          </w:p>
        </w:tc>
      </w:tr>
      <w:tr w:rsidR="00480F1C" w14:paraId="39385EED"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B9E354E" w14:textId="439B2D7C"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C11G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E7D3C66" w14:textId="5284C09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C2.1.1 Openbare e-diensten, IT-oplossingen ter verbetering van de werking van overheidsdiensten en economische sectoren, en baanbrekende technologieën in de overheidssector, de economie en de samenleving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36B9EE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0505008" w14:textId="2205D47A"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T1 — Voltooiing van nieuwe e-diensten of verbetering van bestaande e-diensten</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25C913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B2D38F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6EE7DBF"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35DA4F4" w14:textId="697698B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20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871EA41" w14:textId="21CAD972"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75D344D" w14:textId="39048C35"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2025</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1CF425D" w14:textId="3BB385A8"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Aantal nieuw voltooide e-diensten of upgrade van bestaande e-diensten, met inbegrip van die welke beschikbaar zijn in het mobiele kanaal als onderdeel van de mObywatel-applicatie. </w:t>
            </w:r>
          </w:p>
          <w:p w14:paraId="3447F2E7" w14:textId="4595D5AB" w:rsidR="00480F1C" w:rsidRDefault="00A201F6">
            <w:pPr>
              <w:pStyle w:val="P68B1DB1-Normal011"/>
              <w:pBdr>
                <w:top w:val="nil"/>
                <w:left w:val="nil"/>
                <w:bottom w:val="nil"/>
                <w:right w:val="nil"/>
                <w:between w:val="nil"/>
              </w:pBdr>
              <w:spacing w:after="0" w:line="240" w:lineRule="auto"/>
              <w:rPr>
                <w:noProof/>
                <w:color w:val="000000" w:themeColor="text1"/>
              </w:rPr>
            </w:pPr>
            <w:r>
              <w:rPr>
                <w:noProof/>
              </w:rPr>
              <w:t xml:space="preserve">De nieuw voltooide of verbeterde e-diensten verbeteren de digitale interactie van burgers en bedrijven met de overheid door elementen zoals: </w:t>
            </w:r>
          </w:p>
          <w:p w14:paraId="7E432A52" w14:textId="31F31113" w:rsidR="00480F1C" w:rsidRDefault="00A201F6">
            <w:pPr>
              <w:pStyle w:val="P68B1DB1-Normal011"/>
              <w:numPr>
                <w:ilvl w:val="0"/>
                <w:numId w:val="7"/>
              </w:numPr>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volledige digitalisering van de procedures; </w:t>
            </w:r>
          </w:p>
          <w:p w14:paraId="482876F2" w14:textId="049DEEC4" w:rsidR="00480F1C" w:rsidRDefault="00A201F6">
            <w:pPr>
              <w:pStyle w:val="P68B1DB1-Normal011"/>
              <w:numPr>
                <w:ilvl w:val="0"/>
                <w:numId w:val="7"/>
              </w:numPr>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elektronische handtekening en indiening van bijlagen, </w:t>
            </w:r>
          </w:p>
          <w:p w14:paraId="729FAEE4" w14:textId="5E56F3A3" w:rsidR="00480F1C" w:rsidRDefault="00A201F6">
            <w:pPr>
              <w:pStyle w:val="P68B1DB1-Normal011"/>
              <w:numPr>
                <w:ilvl w:val="0"/>
                <w:numId w:val="7"/>
              </w:numPr>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onlinebetalingen. </w:t>
            </w:r>
          </w:p>
          <w:p w14:paraId="1A3FAC43" w14:textId="2BB3CD4B"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 xml:space="preserve">Ten minste 40 % van de nieuw voltooide of verbeterde e-diensten wordt beschikbaar gesteld binnen de applicatie mObywatel. </w:t>
            </w:r>
            <w:r>
              <w:rPr>
                <w:noProof/>
              </w:rPr>
              <w:t xml:space="preserve"> </w:t>
            </w:r>
            <w:r>
              <w:rPr>
                <w:noProof/>
              </w:rPr>
              <w:br/>
            </w:r>
          </w:p>
        </w:tc>
      </w:tr>
      <w:tr w:rsidR="00480F1C" w14:paraId="176D46E2"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F1384E9" w14:textId="332CB860"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C12G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6344A3C" w14:textId="24BAA674"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C2.1.1 Openbare e-diensten, IT-oplossingen ter verbetering van de werking van overheidsdiensten en economische sectoren, en baanbrekende technologieën in de overheidssector, de economie en de samenleving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07DD9B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4A68B45" w14:textId="57211C36"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T2 — Voltooiing van nieuwe e-diensten of verbetering van bestaande e-diensten</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DEF05E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F77F76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A622172" w14:textId="241AE069"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20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3A369E3" w14:textId="5D6890B0"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70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8A6AD7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F4393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189CABD" w14:textId="53A946F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Aantal nieuw voltooide e-diensten of upgrade van bestaande e-diensten, met inbegrip van die welke beschikbaar zijn in het mobiele kanaal als onderdeel van de mObywatel-applicatie. </w:t>
            </w:r>
          </w:p>
          <w:p w14:paraId="5FC819B3" w14:textId="526D2D50"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p w14:paraId="6B6125D4" w14:textId="7D5BCBA7" w:rsidR="00480F1C" w:rsidRDefault="00A201F6">
            <w:pPr>
              <w:pStyle w:val="P68B1DB1-Normal011"/>
              <w:pBdr>
                <w:top w:val="nil"/>
                <w:left w:val="nil"/>
                <w:bottom w:val="nil"/>
                <w:right w:val="nil"/>
                <w:between w:val="nil"/>
              </w:pBdr>
              <w:spacing w:after="0" w:line="240" w:lineRule="auto"/>
              <w:rPr>
                <w:noProof/>
                <w:color w:val="000000" w:themeColor="text1"/>
              </w:rPr>
            </w:pPr>
            <w:r>
              <w:rPr>
                <w:noProof/>
              </w:rPr>
              <w:t>De nieuw voltooide of verbeterde e-diensten verbeteren de digitale interactie van burgers en bedrijven met de overheid door elementen zoals: </w:t>
            </w:r>
          </w:p>
          <w:p w14:paraId="71FDCFD3" w14:textId="2084F558"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volledige digitalisering van de procedures, </w:t>
            </w:r>
          </w:p>
          <w:p w14:paraId="077C4B9E" w14:textId="2718CCCE" w:rsidR="00480F1C" w:rsidRDefault="00A201F6">
            <w:pPr>
              <w:pStyle w:val="P68B1DB1-Normal011"/>
              <w:pBdr>
                <w:top w:val="nil"/>
                <w:left w:val="nil"/>
                <w:bottom w:val="nil"/>
                <w:right w:val="nil"/>
                <w:between w:val="nil"/>
              </w:pBdr>
              <w:spacing w:after="0" w:line="240" w:lineRule="auto"/>
              <w:rPr>
                <w:noProof/>
                <w:color w:val="000000" w:themeColor="text1"/>
              </w:rPr>
            </w:pPr>
            <w:r>
              <w:rPr>
                <w:noProof/>
              </w:rPr>
              <w:t>— elektronische handtekening en indiening van bijlagen;</w:t>
            </w:r>
          </w:p>
          <w:p w14:paraId="6D72EA69" w14:textId="42DFF672"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Fonts w:ascii="Times New Roman" w:hAnsi="Times New Roman"/>
                <w:noProof/>
                <w:color w:val="000000" w:themeColor="text1"/>
                <w:sz w:val="18"/>
              </w:rPr>
              <w:t>— onlinebetalingen.</w:t>
            </w:r>
            <w:r>
              <w:rPr>
                <w:noProof/>
              </w:rPr>
              <w:tab/>
            </w:r>
            <w:r>
              <w:rPr>
                <w:rFonts w:ascii="Times New Roman" w:hAnsi="Times New Roman"/>
                <w:noProof/>
                <w:color w:val="000000" w:themeColor="text1"/>
                <w:sz w:val="18"/>
              </w:rPr>
              <w:t xml:space="preserve"> </w:t>
            </w:r>
          </w:p>
          <w:p w14:paraId="1342F8DC" w14:textId="4FE2FDAD"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p w14:paraId="71576F82" w14:textId="4D4DEE68"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Ten minste 40 % van de nieuw voltooide of verbeterde e-diensten wordt beschikbaar gesteld binnen de applicatie mObywatel. </w:t>
            </w:r>
          </w:p>
        </w:tc>
      </w:tr>
      <w:tr w:rsidR="00480F1C" w14:paraId="667CA649"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BEC472E" w14:textId="0F5C7DB4"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C13aG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736C7A" w14:textId="5B7581D8"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C2.1.1 Openbare e-diensten, IT-oplossingen ter verbetering van de werking van overheidsdiensten en economische sectoren, en baanbrekende technologieën in de overheidssector, de economie en de samenleving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1156A13" w14:textId="46032664"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D932802" w14:textId="66C7316F" w:rsidR="00480F1C" w:rsidRDefault="00A201F6">
            <w:pPr>
              <w:pStyle w:val="P68B1DB1-Normal011"/>
              <w:pBdr>
                <w:top w:val="nil"/>
                <w:left w:val="nil"/>
                <w:bottom w:val="nil"/>
                <w:right w:val="nil"/>
                <w:between w:val="nil"/>
              </w:pBdr>
              <w:spacing w:after="0" w:line="240" w:lineRule="auto"/>
              <w:rPr>
                <w:noProof/>
              </w:rPr>
            </w:pPr>
            <w:r>
              <w:rPr>
                <w:noProof/>
              </w:rPr>
              <w:t>Voltooiing van nieuwe openbare IT-systemen of uitbreiding van bestaande IT-systemen</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17284AF"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158EAA5" w14:textId="26269093"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B2E70D8" w14:textId="27E14042"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ABCB16" w14:textId="63108952"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4</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C9AE2CF" w14:textId="1D4A7352"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CFBF48B" w14:textId="010E3FFD"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8E14E11" w14:textId="550045C1" w:rsidR="00480F1C" w:rsidRDefault="00A201F6">
            <w:pPr>
              <w:pStyle w:val="P68B1DB1-Normal011"/>
              <w:pBdr>
                <w:top w:val="nil"/>
                <w:left w:val="nil"/>
                <w:bottom w:val="nil"/>
                <w:right w:val="nil"/>
                <w:between w:val="nil"/>
              </w:pBdr>
              <w:spacing w:after="0" w:line="240" w:lineRule="auto"/>
              <w:rPr>
                <w:noProof/>
                <w:color w:val="000000" w:themeColor="text1"/>
              </w:rPr>
            </w:pPr>
            <w:r>
              <w:rPr>
                <w:noProof/>
              </w:rPr>
              <w:t>Ten minste 4 openbare IT-systemen worden voltooid (in het geval van nieuwe openbare IT-systemen) of uitgebreid (in het geval van de bestaande openbare IT-systemen) en dragen bij tot de totstandbrenging van nieuwe openbare e-diensten of de verbetering van de kwaliteit (gebruikerservaring) van de bestaande e-diensten.</w:t>
            </w:r>
          </w:p>
        </w:tc>
      </w:tr>
      <w:tr w:rsidR="00480F1C" w14:paraId="2702E45D"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B7F6EDA" w14:textId="79FD75BC"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C14G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E595156" w14:textId="43BED631"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C2.1.2 Gelijk speelveld voor scholen met mobiele multimedia-apparatuur — investeringen in verband met de naleving van minimumnormen voor apparatuur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E10477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CA8BBD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Nieuwe draagbare computers ter beschikking van leerkrachten</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9C1843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A97E4B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B7D6BC" w14:textId="15ED9416"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0E8435B" w14:textId="5656D719"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465 000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C77EB26" w14:textId="1BC96FD1"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E931638" w14:textId="06090312"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2025</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7A27FD7" w14:textId="5BC598F4"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Ten minste 465 000 extra draagbare computers met de nodige software worden via een voucherregeling ter beschikking gesteld van scholen waar leerkrachten gebruik van kunnen maken. Alle leerkrachten hebben recht op een voucher en vouchers worden met ingang van 31 december 2023 beschikbaar gesteld. </w:t>
            </w:r>
          </w:p>
          <w:p w14:paraId="767B444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De investering wordt uitgevoerd in volledige overeenstemming met de technische richtsnoeren inzake het beginsel „geen ernstige afbreuk doen aan” (2021/C 58/01), met name wat betreft de vereisten met betrekking tot energie-efficiëntie, materiaalefficiëntie en recycling.  </w:t>
            </w:r>
          </w:p>
        </w:tc>
      </w:tr>
      <w:tr w:rsidR="00480F1C" w14:paraId="593BCC2A"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1BB90B5" w14:textId="0B9AA111"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C15G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C28A69C" w14:textId="4044E62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C2.1.2 Gelijk speelveld voor scholen met mobiele multimedia-apparatuur — investeringen in verband met de naleving van minimumnormen voor apparatuur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17266B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43819C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Nieuwe draagbare computers voor studenten</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8F7B72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D96072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52E1F76" w14:textId="38DBFD72"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7A20F7" w14:textId="6A96E211"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735 000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3208C6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36128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2025</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CA8FB59" w14:textId="396B9658"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Ten minste 735 000 extra draagbare computers met de nodige software ter beschikking van de leerlingen. </w:t>
            </w:r>
          </w:p>
          <w:p w14:paraId="7CB7B3F3" w14:textId="2C52E7EC"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In samenwerking met lokale overheden wordt een eerlijke en transparante procedure vastgesteld voor de toewijzing van draagbare computers met software die een gelijke behandeling van alle scholen en onderwijsinstellingen waarborgt. </w:t>
            </w:r>
          </w:p>
          <w:p w14:paraId="4F2E016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De investering wordt uitgevoerd in volledige overeenstemming met de technische richtsnoeren inzake het beginsel „geen ernstige afbreuk doen aan” (2021/C 58/01), met name wat betreft de vereisten met betrekking tot energie-efficiëntie, materiaalefficiëntie en recycling.  </w:t>
            </w:r>
          </w:p>
        </w:tc>
      </w:tr>
      <w:tr w:rsidR="00480F1C" w14:paraId="21EDEDF6"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1E5CE6F" w14:textId="4621AEB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C16G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B15008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C2.1.3 e-competenties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3EFF27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52DAF5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Oprichting van een centrum voor de ontwikkeling van digitale competenties (Digital Competence Development Centre — DCDC)</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FE65B1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Verslag over de organisatorische opzet en werking van de DCDC</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BBD94B2"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854DE7F"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6100"/>
                <w:sz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CA7ADD4"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6100"/>
                <w:sz w:val="1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4C84B2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482B76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599B1BD" w14:textId="6F738495"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noProof/>
              </w:rPr>
              <w:t>Het Centrum voor de ontwikkeling van digitale competenties (</w:t>
            </w:r>
            <w:r>
              <w:rPr>
                <w:rFonts w:ascii="Times New Roman" w:hAnsi="Times New Roman"/>
                <w:noProof/>
                <w:color w:val="000000" w:themeColor="text1"/>
                <w:sz w:val="18"/>
              </w:rPr>
              <w:t>Digital Competences Development Centre — DCDC) wordt opgericht binnen het kabinet van de minister die verantwoordelijk is voor digitalisering. De belangrijkste doelstelling van de DCDC is het verbeteren en verbeteren van het systeem voor de coördinatie van de ontwikkeling van digitale competenties in Polen door de verwezenlijking van de volgende subfuncties:</w:t>
            </w:r>
            <w:r>
              <w:rPr>
                <w:noProof/>
              </w:rPr>
              <w:t xml:space="preserve"> </w:t>
            </w:r>
            <w:r>
              <w:rPr>
                <w:noProof/>
              </w:rPr>
              <w:br/>
            </w:r>
            <w:r>
              <w:rPr>
                <w:rFonts w:ascii="Times New Roman" w:hAnsi="Times New Roman"/>
                <w:noProof/>
                <w:color w:val="000000" w:themeColor="text1"/>
                <w:sz w:val="18"/>
              </w:rPr>
              <w:t xml:space="preserve">• Onderzoek- en analysefunctie </w:t>
            </w:r>
            <w:r>
              <w:rPr>
                <w:noProof/>
              </w:rPr>
              <w:t xml:space="preserve"> </w:t>
            </w:r>
            <w:r>
              <w:rPr>
                <w:noProof/>
              </w:rPr>
              <w:br/>
              <w:t xml:space="preserve"> </w:t>
            </w:r>
            <w:r>
              <w:rPr>
                <w:rFonts w:ascii="Times New Roman" w:hAnsi="Times New Roman"/>
                <w:noProof/>
                <w:color w:val="000000" w:themeColor="text1"/>
                <w:sz w:val="18"/>
              </w:rPr>
              <w:t>Deze functie omvat onderzoeks- en monitoringacties met betrekking tot digitale competenties in combinatie met de waarnemingspost die kennis op dit gebied verzamelt en structureert (door moderne trends, innovatie, onderzoek en goede praktijken te analyseren). Dit zal leiden tot het formuleren van aanbevelingen en voorstellen voor relevante activiteiten.</w:t>
            </w:r>
            <w:r>
              <w:rPr>
                <w:noProof/>
              </w:rPr>
              <w:t xml:space="preserve"> </w:t>
            </w:r>
            <w:r>
              <w:rPr>
                <w:noProof/>
              </w:rPr>
              <w:br/>
            </w:r>
            <w:r>
              <w:rPr>
                <w:rFonts w:ascii="Times New Roman" w:hAnsi="Times New Roman"/>
                <w:noProof/>
                <w:color w:val="000000" w:themeColor="text1"/>
                <w:sz w:val="18"/>
              </w:rPr>
              <w:t xml:space="preserve">• Test- en implementatiefunctie </w:t>
            </w:r>
            <w:r>
              <w:rPr>
                <w:noProof/>
              </w:rPr>
              <w:t xml:space="preserve"> </w:t>
            </w:r>
            <w:r>
              <w:rPr>
                <w:noProof/>
              </w:rPr>
              <w:br/>
              <w:t xml:space="preserve"> </w:t>
            </w:r>
            <w:r>
              <w:rPr>
                <w:rFonts w:ascii="Times New Roman" w:hAnsi="Times New Roman"/>
                <w:noProof/>
                <w:color w:val="000000" w:themeColor="text1"/>
                <w:sz w:val="18"/>
              </w:rPr>
              <w:t xml:space="preserve">Deze functie omvat tests in de vorm van proefprojecten en de uitvoering van de meest waardevolle en veelbelovende oplossingen, aanbevelingen en voorstellen die voortvloeien uit de proefprojecten en de verwezenlijking van de onderzoeks- en analysefunctie. </w:t>
            </w:r>
            <w:r>
              <w:rPr>
                <w:noProof/>
              </w:rPr>
              <w:t xml:space="preserve"> </w:t>
            </w:r>
            <w:r>
              <w:rPr>
                <w:noProof/>
              </w:rPr>
              <w:br/>
            </w:r>
            <w:r>
              <w:rPr>
                <w:rFonts w:ascii="Times New Roman" w:hAnsi="Times New Roman"/>
                <w:noProof/>
                <w:color w:val="000000" w:themeColor="text1"/>
                <w:sz w:val="18"/>
              </w:rPr>
              <w:t xml:space="preserve">• Onderwijs en popularisering. </w:t>
            </w:r>
            <w:r>
              <w:rPr>
                <w:noProof/>
              </w:rPr>
              <w:t xml:space="preserve"> </w:t>
            </w:r>
            <w:r>
              <w:rPr>
                <w:noProof/>
              </w:rPr>
              <w:br/>
            </w:r>
            <w:r>
              <w:rPr>
                <w:rFonts w:ascii="Times New Roman" w:hAnsi="Times New Roman"/>
                <w:noProof/>
                <w:color w:val="000000" w:themeColor="text1"/>
                <w:sz w:val="18"/>
              </w:rPr>
              <w:t>Deze functie omvat activiteiten zoals advies, mentoring, seminars, opleiding en cursussen, alsook de verspreiding van de resultaten van de acties van het Centrum via een informatieportaal met analyses/normen/regelingen/goede praktijken met betrekking tot de ontwikkeling van digitale vaardigheden.</w:t>
            </w:r>
          </w:p>
        </w:tc>
      </w:tr>
      <w:tr w:rsidR="00480F1C" w14:paraId="0B85974A"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705F89A" w14:textId="2115B09B"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C19G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80B023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C2.1.3 e-competenties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1F3FD8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462218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T1 — Aanvullende mensen die zijn opgeleid in digitale vaardigheden, met inbegrip van digitale geletterdheid</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A063C8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DBB6EE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495D7CD" w14:textId="5B5701CB"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3643DB" w14:textId="39752C95"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161 500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B8E1AE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505B61C"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2024</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989FBE8" w14:textId="318AA31D"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Ten minste 161 500 mensen hebben een opleiding voltooid in het kader van de uitvoering van projecten die gericht zijn op de ontwikkeling (verwerving of ontwikkeling) van digitale competenties. </w:t>
            </w:r>
          </w:p>
          <w:p w14:paraId="432C6157" w14:textId="09C076A0"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Personen die een opleiding op het gebied van digitale competenties volgen, omvatten op min of meer gelijke wijze de volgende categorieën:</w:t>
            </w:r>
          </w:p>
          <w:p w14:paraId="1534A7F4" w14:textId="09C076A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40 % van de burgers heeft behoefte aan digitale basisvaardigheden;</w:t>
            </w:r>
          </w:p>
          <w:p w14:paraId="6DF6B6DE" w14:textId="789C4B53"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 20 % ambtenaren;</w:t>
            </w:r>
            <w:r>
              <w:rPr>
                <w:noProof/>
              </w:rPr>
              <w:t xml:space="preserve"> </w:t>
            </w:r>
            <w:r>
              <w:rPr>
                <w:noProof/>
              </w:rPr>
              <w:br/>
            </w:r>
            <w:r>
              <w:rPr>
                <w:rFonts w:ascii="Times New Roman" w:hAnsi="Times New Roman"/>
                <w:noProof/>
                <w:color w:val="000000" w:themeColor="text1"/>
                <w:sz w:val="18"/>
              </w:rPr>
              <w:t>— 20 % opvoeders en leerkrachten;</w:t>
            </w:r>
            <w:r>
              <w:rPr>
                <w:noProof/>
              </w:rPr>
              <w:t xml:space="preserve"> </w:t>
            </w:r>
            <w:r>
              <w:rPr>
                <w:noProof/>
              </w:rPr>
              <w:br/>
            </w:r>
            <w:r>
              <w:rPr>
                <w:rFonts w:ascii="Times New Roman" w:hAnsi="Times New Roman"/>
                <w:noProof/>
                <w:color w:val="000000" w:themeColor="text1"/>
                <w:sz w:val="18"/>
              </w:rPr>
              <w:t xml:space="preserve">— 20 % van de personen die uitgesloten zijn en het risico lopen te worden uitgesloten. </w:t>
            </w:r>
          </w:p>
          <w:p w14:paraId="2FCC372D" w14:textId="5ED1FC50"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r>
      <w:tr w:rsidR="00480F1C" w14:paraId="0EEEDC8B"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F5909ED" w14:textId="5824E2E1"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C20G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77BF62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C2.1.3 e-competenties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F4BF6E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BBF62A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T2 — Aanvullende mensen die zijn opgeleid in digitale vaardigheden, met inbegrip van digitale geletterdheid</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54BCA1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CADD20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870D752" w14:textId="485D24DC"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161 500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7F54E99" w14:textId="5CE0C94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323 000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F6190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F59890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9D5DF1F" w14:textId="259B8BEC"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Ten minste 323,000 mensen hebben een opleiding voltooid in het kader van de uitvoering van projecten die gericht zijn op de ontwikkeling (verwerving of ontwikkeling) van digitale competenties. </w:t>
            </w:r>
          </w:p>
          <w:p w14:paraId="5DAAD89A" w14:textId="09C076A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Personen die een opleiding op het gebied van digitale competenties volgen, omvatten op min of meer gelijke wijze de volgende categorieën:</w:t>
            </w:r>
          </w:p>
          <w:p w14:paraId="4832B62B" w14:textId="09C076A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40 % van de burgers heeft behoefte aan digitale basisvaardigheden;</w:t>
            </w:r>
          </w:p>
          <w:p w14:paraId="5C837226" w14:textId="1F02B068"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 20 % ambtenaren;</w:t>
            </w:r>
            <w:r>
              <w:rPr>
                <w:noProof/>
              </w:rPr>
              <w:t xml:space="preserve"> </w:t>
            </w:r>
            <w:r>
              <w:rPr>
                <w:noProof/>
              </w:rPr>
              <w:br/>
            </w:r>
            <w:r>
              <w:rPr>
                <w:rFonts w:ascii="Times New Roman" w:hAnsi="Times New Roman"/>
                <w:noProof/>
                <w:color w:val="000000" w:themeColor="text1"/>
                <w:sz w:val="18"/>
              </w:rPr>
              <w:t>— 20 % opvoeders en leerkrachten;</w:t>
            </w:r>
            <w:r>
              <w:rPr>
                <w:noProof/>
              </w:rPr>
              <w:t xml:space="preserve"> </w:t>
            </w:r>
            <w:r>
              <w:rPr>
                <w:noProof/>
              </w:rPr>
              <w:br/>
            </w:r>
            <w:r>
              <w:rPr>
                <w:rFonts w:ascii="Times New Roman" w:hAnsi="Times New Roman"/>
                <w:noProof/>
                <w:color w:val="000000" w:themeColor="text1"/>
                <w:sz w:val="18"/>
              </w:rPr>
              <w:t xml:space="preserve">— 20 % van de personen die uitgesloten zijn en het risico lopen te worden uitgesloten. </w:t>
            </w:r>
          </w:p>
          <w:p w14:paraId="4178DC52" w14:textId="35C1F2DB"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r>
      <w:tr w:rsidR="00480F1C" w14:paraId="0500A9C4"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AD4F915" w14:textId="1A20B0E6"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C21G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3715981" w14:textId="7E769EF2"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C3.1 Verbetering van de cyberbeveiliging van informatiesystemen, versterking van de infrastructuur voor gegevensverwerking en optimalisering van de infrastructuur van de rechtshandhavingsdiensten</w:t>
            </w:r>
          </w:p>
          <w:p w14:paraId="4F85792B" w14:textId="1333D72A"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C1854F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34E9C2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Wijziging van de wet van 5 juli 2018 betreffende het nationale cyberbeveiligingssysteem, tot uitvoering van de NIS-richtlijn en tot vaststelling van een alomvattende wettelijke en organisatorische basis voor cyberbeveiliging voor een nationaal cyberbeveiligingssysteem</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D69D681" w14:textId="202576F6"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Bepaling in de wijziging van de wet met vermelding van de inwerkingtreding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1A1ED5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A260C7C"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31121D9"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DDB210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E035F1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E24031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wijzigingen van de wet inzake het nationale cyberbeveiligingssysteem. Dit maakt onder meer de oprichting mogelijk van sectorale netwerken van computerbeveiligings- en incidentenresponsteams (CSIRT), de oprichting van centra voor informatie-uitwisseling en -analyse (ISAC) en versterkt de samenwerkingsmechanismen tussen de overheid en de lokale overheidseenheden op het gebied van de respons op beveiligingsincidenten. De wet op het nationale cyberbeveiligingssysteem is ook noodzakelijk in verband met de noodzaak om de zogenaamde 5G-toolbox ten uitvoer te leggen. De kanselarij van de minister-president is verantwoordelijk voor de voorbereiding en vaststelling van deze gewijzigde wet.</w:t>
            </w:r>
          </w:p>
        </w:tc>
      </w:tr>
      <w:tr w:rsidR="00480F1C" w14:paraId="3E2AA849"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42DAC0B" w14:textId="732F3541"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C22G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D28AC71" w14:textId="0CB4AF13"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C3.1 Verbetering van de cyberbeveiliging van informatiesystemen, versterking van de infrastructuur voor gegevensverwerking en optimalisering van de infrastructuur van de rechtshandhavingsdiensten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87DB22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734B39C" w14:textId="453645FF"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Wijziging van de verordening van de ministerraad van 11 september 2018 betreffende de lijst van essentiële diensten en de drempels voor het verstorende effect van een incident voor de verlening van essentiële diensten</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537A195" w14:textId="067C035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wijziging van de verordening waarin de inwerkingtreding wordt aangegeven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9D0A51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8417E4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E6911C1"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D4F3C3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4F941C4"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2023</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C922165" w14:textId="4E2814AA"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Inwerkingtreding van een wijziging van de verordening van de Raad van Ministers van 11 september 2018 betreffende de lijst van essentiële diensten en de drempels voor het verstorende effect van een incident voor de verlening van essentiële diensten. De drempels/criteria voor de identificatie van aanbieders van essentiële diensten, voornamelijk in de gezondheidssector, worden gewijzigd om de huidige kwaliteitscriteria te verbeteren, zodat essentiële entiteiten/ziekenhuizen in de gezondheidssector kunnen worden geïdentificeerd.</w:t>
            </w:r>
          </w:p>
        </w:tc>
      </w:tr>
      <w:tr w:rsidR="00480F1C" w14:paraId="3BE49638"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30C6128" w14:textId="751AE650"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C23G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BB4425" w14:textId="2D9129CF"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C3.1.1 CyberPL, infrastructuur voor gegevensverwerking en optimalisering van de infrastructuur van rechtshandhavingsdiensten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B195C1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8A50436" w14:textId="5144F705"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Fonts w:ascii="Times New Roman" w:hAnsi="Times New Roman"/>
                <w:noProof/>
                <w:color w:val="000000" w:themeColor="text1"/>
                <w:sz w:val="18"/>
              </w:rPr>
              <w:t>Projecten op het gebied van cyberbeveiliging (CyberPL) in het kader van</w:t>
            </w:r>
            <w:r>
              <w:rPr>
                <w:noProof/>
              </w:rPr>
              <w:t xml:space="preserve"> </w:t>
            </w:r>
            <w:r>
              <w:rPr>
                <w:noProof/>
              </w:rPr>
              <w:br/>
            </w:r>
            <w:r>
              <w:rPr>
                <w:rFonts w:ascii="Times New Roman" w:hAnsi="Times New Roman"/>
                <w:noProof/>
                <w:color w:val="000000" w:themeColor="text1"/>
                <w:sz w:val="18"/>
              </w:rPr>
              <w:t>het programma ter verbetering van de doeltreffendheid van het nationale cyberbeveiligingssysteem (KSC-PL)</w:t>
            </w:r>
            <w:r>
              <w:rPr>
                <w:noProof/>
              </w:rPr>
              <w:t xml:space="preserve"> </w:t>
            </w:r>
            <w:r>
              <w:rPr>
                <w:noProof/>
              </w:rPr>
              <w:br/>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76D59D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7EC6BF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39BF1F3"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09B8484" w14:textId="253B3F2D"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4</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9C43906" w14:textId="52B1A075"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FA7412" w14:textId="03659CF2"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9BA04A5" w14:textId="68B11CF5"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Aantal voltooide projecten onder de paraplu cyberbeveiliging, bestaande uit:  </w:t>
            </w:r>
          </w:p>
          <w:p w14:paraId="46D19F94" w14:textId="602DC85B" w:rsidR="00480F1C" w:rsidRDefault="00A201F6">
            <w:pPr>
              <w:pStyle w:val="P68B1DB1-Normal011"/>
              <w:pBdr>
                <w:top w:val="nil"/>
                <w:left w:val="nil"/>
                <w:bottom w:val="nil"/>
                <w:right w:val="nil"/>
                <w:between w:val="nil"/>
              </w:pBdr>
              <w:spacing w:after="120" w:line="240" w:lineRule="auto"/>
              <w:rPr>
                <w:rFonts w:eastAsia="Times New Roman" w:cs="Times New Roman"/>
                <w:noProof/>
              </w:rPr>
            </w:pPr>
            <w:r>
              <w:rPr>
                <w:noProof/>
              </w:rPr>
              <w:t>— Het opzetten van een netwerk van 5 sectorale computerbeveiligingsteams voor incidenten (CSIRT’s);</w:t>
            </w:r>
          </w:p>
          <w:p w14:paraId="18D38C36" w14:textId="26FFB5D3" w:rsidR="00480F1C" w:rsidRDefault="00A201F6">
            <w:pPr>
              <w:pStyle w:val="P68B1DB1-Normal011"/>
              <w:pBdr>
                <w:top w:val="nil"/>
                <w:left w:val="nil"/>
                <w:bottom w:val="nil"/>
                <w:right w:val="nil"/>
                <w:between w:val="nil"/>
              </w:pBdr>
              <w:spacing w:after="120" w:line="240" w:lineRule="auto"/>
              <w:rPr>
                <w:rFonts w:eastAsia="Times New Roman" w:cs="Times New Roman"/>
                <w:noProof/>
              </w:rPr>
            </w:pPr>
            <w:r>
              <w:rPr>
                <w:noProof/>
              </w:rPr>
              <w:t xml:space="preserve">— 385 nationale cyberbeveiligingsentiteiten verbinden met een geïntegreerd beheersysteem voor cyberbeveiliging; </w:t>
            </w:r>
          </w:p>
          <w:p w14:paraId="2FCA9878" w14:textId="6F6D57C2" w:rsidR="00480F1C" w:rsidRDefault="00A201F6">
            <w:pPr>
              <w:pStyle w:val="P68B1DB1-Normal011"/>
              <w:pBdr>
                <w:top w:val="nil"/>
                <w:left w:val="nil"/>
                <w:bottom w:val="nil"/>
                <w:right w:val="nil"/>
                <w:between w:val="nil"/>
              </w:pBdr>
              <w:spacing w:after="120" w:line="240" w:lineRule="auto"/>
              <w:rPr>
                <w:rFonts w:eastAsia="Times New Roman" w:cs="Times New Roman"/>
                <w:noProof/>
              </w:rPr>
            </w:pPr>
            <w:r>
              <w:rPr>
                <w:noProof/>
              </w:rPr>
              <w:t xml:space="preserve">— Ondersteuning van 500 entiteiten bij de modernisering en uitbreiding van infrastructuur voor cyberbeveiliging met gebruikmaking van informatietechnologie en operationele technologie; </w:t>
            </w:r>
          </w:p>
          <w:p w14:paraId="54D3A350" w14:textId="2B40FA44" w:rsidR="00480F1C" w:rsidRDefault="00A201F6">
            <w:pPr>
              <w:pStyle w:val="P68B1DB1-Normal010"/>
              <w:pBdr>
                <w:top w:val="nil"/>
                <w:left w:val="nil"/>
                <w:bottom w:val="nil"/>
                <w:right w:val="nil"/>
                <w:between w:val="nil"/>
              </w:pBdr>
              <w:spacing w:after="0" w:line="240" w:lineRule="auto"/>
              <w:rPr>
                <w:rFonts w:eastAsia="Times New Roman" w:cs="Times New Roman"/>
                <w:noProof/>
                <w:color w:val="000000"/>
              </w:rPr>
            </w:pPr>
            <w:r>
              <w:rPr>
                <w:noProof/>
                <w:color w:val="000000" w:themeColor="text1"/>
              </w:rPr>
              <w:t xml:space="preserve">— Oprichting van een netwerk van cyberbeveiligingsspecialisten op het niveau van de provincies om overheidsinstanties te ondersteunen bij het behandelen van incidenten en het herstellen van gegevens, en het verstrekken van bewustmakingsactiviteiten op het gebied van cyberbeveiliging. </w:t>
            </w:r>
            <w:r>
              <w:rPr>
                <w:noProof/>
              </w:rPr>
              <w:t xml:space="preserve"> </w:t>
            </w:r>
          </w:p>
        </w:tc>
      </w:tr>
      <w:tr w:rsidR="00480F1C" w14:paraId="74D913B6"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3FF1E03" w14:textId="6E5D0E9F"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C24G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D2F091F" w14:textId="50A6D661"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C3.1.1 CyberPL, infrastructuur voor gegevensverwerking en optimalisering van de infrastructuur van rechtshandhavingsdiensten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07DAE4C" w14:textId="5D7EFACA"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09470C1" w14:textId="6C0FD52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Ontvangst van de bouwvergunningen voor de gebouwen van de gestandaardiseerde datacentrumfaciliteiten</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9B6591B" w14:textId="294D7B16"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Ontvangst van bouwvergunningen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85351B"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8531902"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6F35783"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0712B1C" w14:textId="38587B66"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08FA7F1" w14:textId="3A79E6E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2024</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2A8910" w14:textId="144F5895"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De bouwvergunningen voor de bouw van de drie gestandaardiseerde datacentra moeten zijn ontvangen.  </w:t>
            </w:r>
          </w:p>
        </w:tc>
      </w:tr>
      <w:tr w:rsidR="00480F1C" w14:paraId="22004AEC"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019787" w14:textId="3E0A79DC"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C25G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A686622" w14:textId="32F1C1F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C3.1.1 CyberPL, infrastructuur voor gegevensverwerking en optimalisering van de infrastructuur van rechtshandhavingsdiensten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471B8D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0CDC0F4" w14:textId="44619F1D"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Oprichting van gestandaardiseerde dataverwerkingscentra voor energie-efficiënte infrastructuur</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038FBA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838863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3E3A27B"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7AB7477"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3</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01139F3" w14:textId="5E4A19FA"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DD065A8" w14:textId="585D112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0B885B0" w14:textId="29270955"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Aantal operationele gestandaardiseerde datacentra in termen van veronderstelde energie-efficiëntieparameters die gebruikmaken van hernieuwbare energie, rekenvermogensdichtheid en verbonden zijn met de „Constructed fibre Optic loop” die twee onafhankelijke communicatieroutes bieden tussen een geselecteerd paar dataverwerkingscentra. </w:t>
            </w:r>
          </w:p>
          <w:p w14:paraId="2B600910" w14:textId="6F83EAF3"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De datacentra voldoen aan de Europese gedragscode inzake energie-efficiëntie in datacentra.</w:t>
            </w:r>
          </w:p>
          <w:p w14:paraId="4894EEA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De investering wordt uitgevoerd in volledige overeenstemming met de technische richtsnoeren inzake het beginsel „geen ernstige afbreuk doen aan” (2021/C 58/01), met name wat betreft de vereisten in verband met energie-efficiëntie, afvalbeheer en milieurisicobeoordeling.</w:t>
            </w:r>
          </w:p>
        </w:tc>
      </w:tr>
      <w:tr w:rsidR="00480F1C" w14:paraId="453A1BA5"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B5ACE85" w14:textId="1092349E"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C26G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A7D7B75" w14:textId="53F9586E"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C3.1.1 CyberPL, infrastructuur voor gegevensverwerking en optimalisering van de infrastructuur van rechtshandhavingsdiensten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26C837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B320E38" w14:textId="1E9B1E3A"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Mobiele infrastructuur voor het crisisbeheersingssysteem</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818E8F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DB4977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69908A7"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BF28497" w14:textId="4A2341E2" w:rsidR="00480F1C" w:rsidRDefault="00A201F6">
            <w:pPr>
              <w:pStyle w:val="P68B1DB1-Normal010"/>
              <w:spacing w:after="0" w:line="240" w:lineRule="auto"/>
              <w:jc w:val="right"/>
              <w:rPr>
                <w:rFonts w:cs="Times New Roman"/>
                <w:noProof/>
              </w:rPr>
            </w:pPr>
            <w:r>
              <w:rPr>
                <w:noProof/>
              </w:rPr>
              <w:t xml:space="preserve">17 721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38BEE8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F4DFA5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2025</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E266DB8" w14:textId="23F04090"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Fonts w:ascii="Times New Roman" w:hAnsi="Times New Roman"/>
                <w:noProof/>
                <w:color w:val="000000" w:themeColor="text1"/>
                <w:sz w:val="18"/>
              </w:rPr>
              <w:t xml:space="preserve">De indicatorwaarde bestaat uit de volgende elementen: </w:t>
            </w:r>
            <w:r>
              <w:rPr>
                <w:noProof/>
              </w:rPr>
              <w:t xml:space="preserve"> </w:t>
            </w:r>
            <w:r>
              <w:rPr>
                <w:noProof/>
              </w:rPr>
              <w:br/>
            </w:r>
            <w:r>
              <w:rPr>
                <w:rFonts w:ascii="Times New Roman" w:hAnsi="Times New Roman"/>
                <w:noProof/>
                <w:color w:val="000000" w:themeColor="text1"/>
                <w:sz w:val="18"/>
              </w:rPr>
              <w:t>— 4 060 gemoderniseerde alarm- en waarschuwingssystemen voor de bevolking, waaronder het vervangen van analoge alarmsirenen door digitale, het uitrusten van de gekozen punten met compatibele hardware en software, de aankoop van apparatuur voor de versleuteling van radio- en IP-transmissie;</w:t>
            </w:r>
            <w:r>
              <w:rPr>
                <w:noProof/>
              </w:rPr>
              <w:t xml:space="preserve"> </w:t>
            </w:r>
            <w:r>
              <w:rPr>
                <w:noProof/>
              </w:rPr>
              <w:br/>
            </w:r>
            <w:r>
              <w:rPr>
                <w:rFonts w:ascii="Times New Roman" w:hAnsi="Times New Roman"/>
                <w:noProof/>
                <w:color w:val="000000" w:themeColor="text1"/>
                <w:sz w:val="18"/>
              </w:rPr>
              <w:t xml:space="preserve">— 13 630 hoogwaardige mobiele gegevensterminals (MDT), aangepast aan nieuwe systeemfuncties voor politiefunctionarissen (aankoop van apparatuur, software en licenties); </w:t>
            </w:r>
            <w:r>
              <w:rPr>
                <w:noProof/>
              </w:rPr>
              <w:t xml:space="preserve"> </w:t>
            </w:r>
            <w:r>
              <w:rPr>
                <w:noProof/>
              </w:rPr>
              <w:br/>
            </w:r>
            <w:r>
              <w:rPr>
                <w:rFonts w:ascii="Times New Roman" w:hAnsi="Times New Roman"/>
                <w:noProof/>
                <w:color w:val="000000" w:themeColor="text1"/>
                <w:sz w:val="18"/>
              </w:rPr>
              <w:t>— 30 mobiele punten gecreëerd om een veilige verbinding binnen en tussen rechtshandhavingsdiensten mogelijk te maken;</w:t>
            </w:r>
          </w:p>
          <w:p w14:paraId="0D6028A3" w14:textId="04544495"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één zelfvoorzienend mobiel medisch punt voor medische, biochemische, radiologische en natuurrampen.</w:t>
            </w:r>
          </w:p>
        </w:tc>
      </w:tr>
      <w:tr w:rsidR="00480F1C" w14:paraId="1B734366"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143B1B0" w14:textId="1FC2554C"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C27G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BA4CC9F" w14:textId="1449DB0A"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C3.1.1 CyberPL, infrastructuur voor gegevensverwerking en optimalisering van de infrastructuur van rechtshandhavingsdiensten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0B8ECE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34790B8" w14:textId="0258C2B9"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Belangrijk project van gemeenschappelijk Europees belang (IPCEI): Selectie van cloudprojecten van de volgende generatie en ondertekening van contracten</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95F79C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Ondertekening van contracten met geselecteerde entiteiten</w:t>
            </w:r>
          </w:p>
          <w:p w14:paraId="314EE24A"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6614669"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7590049"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C5B615A"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86814C6" w14:textId="2FD7B0BE"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9BB372B" w14:textId="24FF1775"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2023</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A31DB25" w14:textId="493CB03C"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Selectie van projecten en ondertekening van contracten na de publicatie van de oproep tot het indienen van projectvoorstellen ter ondersteuning van de ontwikkeling van cloudoplossingen van de volgende generatie in Polen.</w:t>
            </w:r>
          </w:p>
        </w:tc>
      </w:tr>
      <w:tr w:rsidR="00480F1C" w14:paraId="2EC72A8F"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A89157D" w14:textId="594858E5"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C28G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D2F1297" w14:textId="47873CF5"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C3.1.1 CyberPL, infrastructuur voor gegevensverwerking en optimalisering van de infrastructuur van rechtshandhavingsdiensten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160376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2BD863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Belangrijk project van gemeenschappelijk Europees belang (IPCEI): Nationale oplossingen voor gegevensverwerking op het gebied van infrastructuur/diensten ontwikkeld</w:t>
            </w:r>
          </w:p>
        </w:tc>
        <w:tc>
          <w:tcPr>
            <w:tcW w:w="13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843405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605550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1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E83114B"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9DE7E4"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5</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A35D149" w14:textId="4B749452"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3449B74" w14:textId="61784E26"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2025</w:t>
            </w:r>
          </w:p>
        </w:tc>
        <w:tc>
          <w:tcPr>
            <w:tcW w:w="29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92F1AA2" w14:textId="5B92783B"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Ten minste vijf nieuwe oplossingen voor de verwerking van nationale infrastructuur/diensten, ontwikkeld door geselecteerde bedrijven en start van de operationaliseringsfase voor elk project.</w:t>
            </w:r>
          </w:p>
        </w:tc>
      </w:tr>
    </w:tbl>
    <w:p w14:paraId="6BB2CBDC" w14:textId="6EDBA374" w:rsidR="00480F1C" w:rsidRDefault="00480F1C">
      <w:pPr>
        <w:rPr>
          <w:noProof/>
        </w:rPr>
      </w:pPr>
    </w:p>
    <w:p w14:paraId="1E36812C" w14:textId="256B1210" w:rsidR="00480F1C" w:rsidRDefault="00480F1C">
      <w:pPr>
        <w:rPr>
          <w:noProof/>
        </w:rPr>
      </w:pPr>
    </w:p>
    <w:p w14:paraId="1A499DFC" w14:textId="77777777" w:rsidR="00480F1C" w:rsidRDefault="00480F1C">
      <w:pPr>
        <w:pStyle w:val="Normal0"/>
        <w:pBdr>
          <w:top w:val="nil"/>
          <w:left w:val="nil"/>
          <w:bottom w:val="nil"/>
          <w:right w:val="nil"/>
          <w:between w:val="nil"/>
        </w:pBdr>
        <w:spacing w:before="120" w:after="120" w:line="240" w:lineRule="auto"/>
        <w:ind w:left="709"/>
        <w:jc w:val="both"/>
        <w:rPr>
          <w:rFonts w:ascii="Times New Roman" w:eastAsia="Times New Roman" w:hAnsi="Times New Roman" w:cs="Times New Roman"/>
          <w:i/>
          <w:noProof/>
          <w:color w:val="4F81BD"/>
          <w:sz w:val="24"/>
        </w:rPr>
        <w:sectPr w:rsidR="00480F1C" w:rsidSect="009B6BB9">
          <w:headerReference w:type="even" r:id="rId85"/>
          <w:headerReference w:type="default" r:id="rId86"/>
          <w:footerReference w:type="even" r:id="rId87"/>
          <w:footerReference w:type="default" r:id="rId88"/>
          <w:headerReference w:type="first" r:id="rId89"/>
          <w:footerReference w:type="first" r:id="rId90"/>
          <w:pgSz w:w="16839" w:h="11907" w:orient="landscape"/>
          <w:pgMar w:top="720" w:right="720" w:bottom="720" w:left="720" w:header="709" w:footer="709" w:gutter="0"/>
          <w:cols w:space="720"/>
          <w:docGrid w:linePitch="299"/>
        </w:sectPr>
      </w:pPr>
    </w:p>
    <w:p w14:paraId="51812062" w14:textId="04D7B10B" w:rsidR="00480F1C" w:rsidRDefault="00A201F6">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i/>
          <w:noProof/>
          <w:color w:val="4F81BD"/>
          <w:sz w:val="24"/>
        </w:rPr>
      </w:pPr>
      <w:r>
        <w:rPr>
          <w:rFonts w:ascii="Times New Roman" w:hAnsi="Times New Roman"/>
          <w:b/>
          <w:noProof/>
          <w:color w:val="000000" w:themeColor="text1"/>
          <w:sz w:val="24"/>
        </w:rPr>
        <w:t xml:space="preserve">C.3. </w:t>
      </w:r>
      <w:r>
        <w:rPr>
          <w:noProof/>
        </w:rPr>
        <w:tab/>
      </w:r>
      <w:r>
        <w:rPr>
          <w:rFonts w:ascii="Times New Roman" w:hAnsi="Times New Roman"/>
          <w:b/>
          <w:noProof/>
          <w:color w:val="000000" w:themeColor="text1"/>
          <w:sz w:val="24"/>
        </w:rPr>
        <w:t>Beschrijving van de hervormingen en investeringen voor de lening</w:t>
      </w:r>
    </w:p>
    <w:p w14:paraId="5E7E3C41"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44218F88"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C1.2 Verbetering van de toegankelijkheid en het gebruik van moderne draadloze en bedrade communicatie voor sociale en economische behoeften</w:t>
      </w:r>
    </w:p>
    <w:p w14:paraId="0DB1BD95" w14:textId="26CCD4D5" w:rsidR="00480F1C" w:rsidRDefault="00A201F6">
      <w:pPr>
        <w:pStyle w:val="P68B1DB1-Normal05"/>
        <w:pBdr>
          <w:top w:val="nil"/>
          <w:left w:val="nil"/>
          <w:bottom w:val="nil"/>
          <w:right w:val="nil"/>
          <w:between w:val="nil"/>
        </w:pBdr>
        <w:spacing w:before="120" w:after="120" w:line="240" w:lineRule="auto"/>
        <w:jc w:val="both"/>
        <w:rPr>
          <w:noProof/>
          <w:color w:val="000000"/>
        </w:rPr>
      </w:pPr>
      <w:r>
        <w:rPr>
          <w:noProof/>
        </w:rPr>
        <w:t>De hervorming verbetert het wetgevingskader voor de ontwikkeling van mobiele netwerken door bestaande belemmeringen voor de uitrol van 5G weg te nemen, rekening houdend met de EU-toolbox voor connectiviteit.</w:t>
      </w:r>
    </w:p>
    <w:p w14:paraId="2AC57CB0" w14:textId="03EC612A" w:rsidR="00480F1C" w:rsidRDefault="00A201F6">
      <w:pPr>
        <w:pStyle w:val="P68B1DB1-Normal05"/>
        <w:pBdr>
          <w:top w:val="nil"/>
          <w:left w:val="nil"/>
          <w:bottom w:val="nil"/>
          <w:right w:val="nil"/>
          <w:between w:val="nil"/>
        </w:pBdr>
        <w:spacing w:before="120" w:after="120" w:line="240" w:lineRule="auto"/>
        <w:jc w:val="both"/>
        <w:rPr>
          <w:noProof/>
          <w:color w:val="000000"/>
        </w:rPr>
      </w:pPr>
      <w:r>
        <w:rPr>
          <w:noProof/>
        </w:rPr>
        <w:t>De uitvoering van de hervorming wordt uiterlijk op 31 december 2023 voltooid.</w:t>
      </w:r>
    </w:p>
    <w:p w14:paraId="17C4670F" w14:textId="79417EDA" w:rsidR="00480F1C" w:rsidRDefault="00480F1C">
      <w:pPr>
        <w:pStyle w:val="Normal0"/>
        <w:pBdr>
          <w:top w:val="nil"/>
          <w:left w:val="nil"/>
          <w:bottom w:val="nil"/>
          <w:right w:val="nil"/>
          <w:between w:val="nil"/>
        </w:pBdr>
        <w:spacing w:before="120" w:after="120" w:line="240" w:lineRule="auto"/>
        <w:jc w:val="both"/>
        <w:rPr>
          <w:rFonts w:ascii="Times New Roman" w:hAnsi="Times New Roman"/>
          <w:noProof/>
          <w:color w:val="000000" w:themeColor="text1"/>
          <w:sz w:val="24"/>
        </w:rPr>
      </w:pPr>
    </w:p>
    <w:p w14:paraId="276C4F31" w14:textId="195F8FDC"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C2.2 Hervorming van de grondslagen van de digitalisering van het onderwijsstelsel</w:t>
      </w:r>
    </w:p>
    <w:p w14:paraId="7AD82501"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hervorming legt de basis voor de digitalisering van het onderwijsstelsel via de vaststelling van het digitaliseringsbeleid voor onderwijs, teneinde kinderen en jongeren voor te bereiden op de informatiemaatschappij. De doelstellingen van dit strategisch document zijn gericht op een efficiënte en zinvolle integratie van nieuwe technologieën in het onderwijzen, leren en beoordelen en worden ontwikkeld volgens een participatieve aanpak.</w:t>
      </w:r>
    </w:p>
    <w:p w14:paraId="13BD78F1" w14:textId="310DA99A"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 uitvoering van de hervorming wordt uiterlijk op 30 september 2022 voltooid. </w:t>
      </w:r>
    </w:p>
    <w:p w14:paraId="5186B13D"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sz w:val="24"/>
        </w:rPr>
      </w:pPr>
    </w:p>
    <w:p w14:paraId="427CC5C7" w14:textId="021EAAD7" w:rsidR="00480F1C" w:rsidRDefault="00A201F6">
      <w:pPr>
        <w:pStyle w:val="P68B1DB1-Normal016"/>
        <w:pBdr>
          <w:top w:val="nil"/>
          <w:left w:val="nil"/>
          <w:bottom w:val="nil"/>
          <w:right w:val="nil"/>
          <w:between w:val="nil"/>
        </w:pBdr>
        <w:spacing w:before="120" w:after="120" w:line="240" w:lineRule="auto"/>
        <w:jc w:val="both"/>
        <w:rPr>
          <w:rFonts w:eastAsia="Times New Roman" w:cs="Times New Roman"/>
          <w:b/>
          <w:noProof/>
          <w:color w:val="000000"/>
        </w:rPr>
      </w:pPr>
      <w:r>
        <w:rPr>
          <w:b/>
          <w:noProof/>
        </w:rPr>
        <w:t>C2.2.1 Scholen/instellingen uitrusten met adequate ICT-apparatuur en -infrastructuur om de algemene prestaties van het onderwijssysteem te verbeteren</w:t>
      </w:r>
      <w:r>
        <w:rPr>
          <w:noProof/>
        </w:rPr>
        <w:t xml:space="preserve"> </w:t>
      </w:r>
    </w:p>
    <w:p w14:paraId="1339B4E9" w14:textId="12796CEA"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rPr>
      </w:pPr>
      <w:r>
        <w:rPr>
          <w:noProof/>
        </w:rPr>
        <w:t xml:space="preserve">Deze investering is erop gericht het niveau van digitale ICT-apparatuur en -infrastructuur op scholen te verhogen tot boven de minimumnormen. </w:t>
      </w:r>
    </w:p>
    <w:p w14:paraId="70DEFD52"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rPr>
      </w:pPr>
      <w:r>
        <w:rPr>
          <w:noProof/>
        </w:rPr>
        <w:t xml:space="preserve">De maatregel omvat: </w:t>
      </w:r>
    </w:p>
    <w:p w14:paraId="52E145A4" w14:textId="369CA712" w:rsidR="00480F1C" w:rsidRDefault="00A201F6">
      <w:pPr>
        <w:pStyle w:val="P68B1DB1-Normal05"/>
        <w:numPr>
          <w:ilvl w:val="0"/>
          <w:numId w:val="20"/>
        </w:numPr>
        <w:pBdr>
          <w:top w:val="nil"/>
          <w:left w:val="nil"/>
          <w:bottom w:val="nil"/>
          <w:right w:val="nil"/>
          <w:between w:val="nil"/>
        </w:pBdr>
        <w:spacing w:before="120" w:after="120" w:line="240" w:lineRule="auto"/>
        <w:jc w:val="both"/>
        <w:rPr>
          <w:rFonts w:eastAsia="Times New Roman" w:cs="Times New Roman"/>
          <w:noProof/>
          <w:color w:val="000000"/>
        </w:rPr>
      </w:pPr>
      <w:r>
        <w:rPr>
          <w:noProof/>
        </w:rPr>
        <w:t>levering van een IT-kit voor onderwijs op afstand voor 100 000 klaslokalen;</w:t>
      </w:r>
    </w:p>
    <w:p w14:paraId="6B59C00C" w14:textId="3587485D" w:rsidR="00480F1C" w:rsidRDefault="00A201F6">
      <w:pPr>
        <w:pStyle w:val="P68B1DB1-Normal05"/>
        <w:numPr>
          <w:ilvl w:val="0"/>
          <w:numId w:val="20"/>
        </w:numPr>
        <w:pBdr>
          <w:top w:val="nil"/>
          <w:left w:val="nil"/>
          <w:bottom w:val="nil"/>
          <w:right w:val="nil"/>
          <w:between w:val="nil"/>
        </w:pBdr>
        <w:spacing w:before="120" w:after="120" w:line="240" w:lineRule="auto"/>
        <w:jc w:val="both"/>
        <w:rPr>
          <w:rFonts w:eastAsia="Times New Roman" w:cs="Times New Roman"/>
          <w:noProof/>
          <w:color w:val="000000"/>
        </w:rPr>
      </w:pPr>
      <w:r>
        <w:rPr>
          <w:noProof/>
        </w:rPr>
        <w:t>levering van laboratoria voor kunstmatige intelligentie (AI) en wetenschap, technologie, engineering en wiskunde (STEM) aan 16 000 scholen, zowel in het basis- als in het secundair onderwijs;</w:t>
      </w:r>
    </w:p>
    <w:p w14:paraId="1E77C707" w14:textId="19326E0A" w:rsidR="00480F1C" w:rsidRDefault="00A201F6">
      <w:pPr>
        <w:pStyle w:val="P68B1DB1-Normal05"/>
        <w:numPr>
          <w:ilvl w:val="0"/>
          <w:numId w:val="20"/>
        </w:numPr>
        <w:spacing w:before="120" w:after="120" w:line="240" w:lineRule="auto"/>
        <w:jc w:val="both"/>
        <w:rPr>
          <w:rFonts w:eastAsia="Times New Roman" w:cs="Times New Roman"/>
          <w:noProof/>
        </w:rPr>
      </w:pPr>
      <w:r>
        <w:rPr>
          <w:noProof/>
        </w:rPr>
        <w:t>digitalisering van het examensysteem, met name de reorganisatie en modernisering van centrale en regionale examencommissies, en digitalisering van het e-IT-onderwijscentrum.</w:t>
      </w:r>
    </w:p>
    <w:p w14:paraId="1195C8F1" w14:textId="7280D94C" w:rsidR="00480F1C" w:rsidRDefault="00A201F6">
      <w:pPr>
        <w:pStyle w:val="P68B1DB1-Normal05"/>
        <w:spacing w:before="120" w:after="120" w:line="240" w:lineRule="auto"/>
        <w:jc w:val="both"/>
        <w:rPr>
          <w:rFonts w:eastAsia="Times New Roman" w:cs="Times New Roman"/>
          <w:noProof/>
        </w:rPr>
      </w:pPr>
      <w:r>
        <w:rPr>
          <w:noProof/>
        </w:rPr>
        <w:t>De IT-kits voor afstandsonderwijs en de AI- en STEM-laboratoria worden gelijkelijk over scholen verdeeld, op basis van bevolkingsdichtheid en geografische dekking.</w:t>
      </w:r>
    </w:p>
    <w:p w14:paraId="6F868EE5" w14:textId="02E46CCA"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Er vindt een open, eerlijke en transparante procedure plaats voor de selectie van entiteiten die netwerkinfrastructuur of ITC-apparatuur leveren. </w:t>
      </w:r>
    </w:p>
    <w:p w14:paraId="452B9DD9" w14:textId="5336A495"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rPr>
      </w:pPr>
      <w:r>
        <w:rPr>
          <w:noProof/>
        </w:rPr>
        <w:t xml:space="preserve">Om te voldoen aan DNSH-voorwaarden moet de ICT-apparatuur voldoen aan de energiegerelateerde eisen en de materiaalefficiëntie-eisen die overeenkomstig Richtlijn 2009/125/EG zijn vastgesteld voor servers en gegevensopslag, of computers en computerservers of elektronische beeldschermen. Bovendien mag de ICT-apparatuur geen stoffen bevatten waarvoor beperkingen gelden die zijn opgenomen in bijlage II bij Richtlijn 2011/65/EU. </w:t>
      </w:r>
    </w:p>
    <w:p w14:paraId="3170CF85"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rPr>
      </w:pPr>
      <w:r>
        <w:rPr>
          <w:noProof/>
        </w:rPr>
        <w:t xml:space="preserve">Er wordt een afvalbeheersplan opgesteld om te zorgen voor maximale recycling aan het einde van de levensduur van elektrische en elektronische apparatuur, onder meer door middel van contractuele overeenkomsten met recyclingpartners, reflectie in financiële prognoses of officiële projectdocumentatie. Aan het einde van haar levensduur wordt de apparatuur voorbereid voor hergebruik, nuttige toepassing of recycling, of een passende behandeling ondergaan, met inbegrip van de verwijdering van alle vloeistoffen en een selectieve behandeling overeenkomstig bijlage VII bij Richtlijn 2012/19/EU. </w:t>
      </w:r>
    </w:p>
    <w:p w14:paraId="0E62D955"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uitvoering van de investering moet uiterlijk op 31 december 2025 zijn voltooid.</w:t>
      </w:r>
    </w:p>
    <w:p w14:paraId="1A32BBD7" w14:textId="0C2C0006"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themeColor="text1"/>
          <w:sz w:val="24"/>
        </w:rPr>
      </w:pPr>
    </w:p>
    <w:p w14:paraId="6A67E7B0" w14:textId="0ED555CA" w:rsidR="00480F1C" w:rsidRDefault="00A201F6">
      <w:pPr>
        <w:pStyle w:val="P68B1DB1-Normal13"/>
        <w:spacing w:before="120" w:after="160" w:line="257" w:lineRule="auto"/>
        <w:jc w:val="both"/>
        <w:rPr>
          <w:rFonts w:eastAsia="Times New Roman" w:cs="Times New Roman"/>
          <w:noProof/>
          <w:color w:val="000000" w:themeColor="text1"/>
        </w:rPr>
      </w:pPr>
      <w:r>
        <w:rPr>
          <w:noProof/>
        </w:rPr>
        <w:t>C4.1.1 Ondersteuning van de digitale transformatie van bedrijven door het gebruik van cloud computing</w:t>
      </w:r>
    </w:p>
    <w:p w14:paraId="1526DE27" w14:textId="67EEE27A" w:rsidR="00480F1C" w:rsidRDefault="00A201F6">
      <w:pPr>
        <w:pStyle w:val="P68B1DB1-Normal15"/>
        <w:spacing w:before="120" w:after="160" w:line="259" w:lineRule="auto"/>
        <w:jc w:val="both"/>
        <w:rPr>
          <w:rFonts w:eastAsia="Times New Roman" w:cs="Times New Roman"/>
          <w:noProof/>
        </w:rPr>
      </w:pPr>
      <w:r>
        <w:rPr>
          <w:noProof/>
        </w:rPr>
        <w:t>Deze maatregel bestaat uit een overheidsinvesteringen in een faciliteit, het fonds ter ondersteuning van cloud computing van PL, om particuliere investeringen te stimuleren en de toegang tot financiering te verbeteren ter ondersteuning van de digitale transformatie en de strategische autonomie van de Poolse bedrijven. De faciliteit functioneert door rechtstreeks leningen te verstrekken aan de particuliere sector. Op basis van de investeringen in het kader van de herstel- en veerkrachtfaciliteit beoogt de faciliteit in eerste instantie ten minste 6 500 000 000 EUR aan financiering te verstrekken.</w:t>
      </w:r>
    </w:p>
    <w:p w14:paraId="2E21DCB7" w14:textId="6B0E7FA7" w:rsidR="00480F1C" w:rsidRDefault="00A201F6">
      <w:pPr>
        <w:pStyle w:val="P68B1DB1-Normal15"/>
        <w:spacing w:before="120" w:after="160" w:line="259" w:lineRule="auto"/>
        <w:jc w:val="both"/>
        <w:rPr>
          <w:rFonts w:eastAsia="Times New Roman" w:cs="Times New Roman"/>
          <w:noProof/>
        </w:rPr>
      </w:pPr>
      <w:r>
        <w:rPr>
          <w:noProof/>
        </w:rPr>
        <w:t>De faciliteit wordt beheerd door Bank Gospodarstwa Krajowego (BGK) als uitvoerende partner. De faciliteit omvat de volgende productlijn:</w:t>
      </w:r>
    </w:p>
    <w:p w14:paraId="55CA7C08" w14:textId="6B9DA4FC" w:rsidR="00480F1C" w:rsidRDefault="00A201F6">
      <w:pPr>
        <w:pStyle w:val="P68B1DB1-ListParagraph29"/>
        <w:numPr>
          <w:ilvl w:val="0"/>
          <w:numId w:val="2"/>
        </w:numPr>
        <w:spacing w:before="120" w:after="0"/>
        <w:jc w:val="both"/>
        <w:rPr>
          <w:rFonts w:eastAsia="Times New Roman" w:cs="Times New Roman"/>
          <w:noProof/>
        </w:rPr>
      </w:pPr>
      <w:r>
        <w:rPr>
          <w:noProof/>
        </w:rPr>
        <w:t xml:space="preserve">Rechtstreekse financiering BGK: deze lijn verstrekt rechtstreekse leningen aan meerdere ondernemingen van verschillende omvang om de kosten van cloudinfrastructuur en -diensten te dekken, ter ondersteuning van de digitale transformatie en de strategische autonomie van bedrijven in Polen. </w:t>
      </w:r>
    </w:p>
    <w:p w14:paraId="2939074F" w14:textId="0C94C6F6" w:rsidR="00480F1C" w:rsidRDefault="00A201F6">
      <w:pPr>
        <w:pStyle w:val="P68B1DB1-Normal15"/>
        <w:spacing w:before="120" w:after="160" w:line="259" w:lineRule="auto"/>
        <w:jc w:val="both"/>
        <w:rPr>
          <w:rFonts w:eastAsia="Times New Roman" w:cs="Times New Roman"/>
          <w:noProof/>
        </w:rPr>
      </w:pPr>
      <w:r>
        <w:rPr>
          <w:noProof/>
        </w:rPr>
        <w:t xml:space="preserve">De steun via leningen kan alleen worden toegekend aan projecten voor digitale transformatie waarbij ten minste 30 % van de totale in aanmerking komende kosten cloudinfrastructuur en -diensten dekt. De resterende kosten houden ook rechtstreeks verband met de digitale transformatie van de economische activiteit, bv. de invoering van andere slimme oplossingen, waaronder met name het internet der dingen, AI, VR/AR, blockchain, 3D, digitale tweeling, edgecomputing, backbonenetwerken, HPC/5G enz. Een maximum van 5 % van de totale financiering die door de faciliteit moet worden verstrekt, kan aan één enkele begunstigde worden toegewezen. Elke begunstigde kan slechts één lening krijgen in het kader van de faciliteit. </w:t>
      </w:r>
    </w:p>
    <w:p w14:paraId="2DCC004C" w14:textId="1E79CFFA" w:rsidR="00480F1C" w:rsidRDefault="00A201F6">
      <w:pPr>
        <w:pStyle w:val="P68B1DB1-Normal15"/>
        <w:spacing w:before="120" w:after="160" w:line="259" w:lineRule="auto"/>
        <w:jc w:val="both"/>
        <w:rPr>
          <w:rFonts w:eastAsia="Times New Roman" w:cs="Times New Roman"/>
          <w:noProof/>
        </w:rPr>
      </w:pPr>
      <w:r>
        <w:rPr>
          <w:noProof/>
        </w:rPr>
        <w:t>Met het oog op de uitvoering van de investering in de faciliteit ondertekenen Polen en BGK een uitvoeringsovereenkomst die de volgende inhoud bevat:</w:t>
      </w:r>
    </w:p>
    <w:p w14:paraId="3C22D65E" w14:textId="1CC177B4" w:rsidR="00480F1C" w:rsidRDefault="00A201F6">
      <w:pPr>
        <w:pStyle w:val="P68B1DB1-ListParagraph29"/>
        <w:numPr>
          <w:ilvl w:val="0"/>
          <w:numId w:val="1"/>
        </w:numPr>
        <w:spacing w:before="120" w:after="0" w:line="257" w:lineRule="auto"/>
        <w:jc w:val="both"/>
        <w:rPr>
          <w:rFonts w:eastAsia="Times New Roman" w:cs="Times New Roman"/>
          <w:noProof/>
        </w:rPr>
      </w:pPr>
      <w:r>
        <w:rPr>
          <w:noProof/>
        </w:rPr>
        <w:t>Beschrijving van het besluitvormingsproces van de faciliteit: Het definitieve investeringsbesluit van de faciliteit wordt genomen door een investeringscomité of een ander relevant gelijkwaardig bestuursorgaan en goedgekeurd met een meerderheid van stemmen van leden die onafhankelijk zijn van de regering.</w:t>
      </w:r>
    </w:p>
    <w:p w14:paraId="6FF91586" w14:textId="25B7BCFD" w:rsidR="00480F1C" w:rsidRDefault="00A201F6">
      <w:pPr>
        <w:pStyle w:val="P68B1DB1-ListParagraph29"/>
        <w:numPr>
          <w:ilvl w:val="0"/>
          <w:numId w:val="1"/>
        </w:numPr>
        <w:spacing w:before="120" w:after="0" w:line="257" w:lineRule="auto"/>
        <w:jc w:val="both"/>
        <w:rPr>
          <w:rFonts w:eastAsia="Times New Roman" w:cs="Times New Roman"/>
          <w:noProof/>
        </w:rPr>
      </w:pPr>
      <w:r>
        <w:rPr>
          <w:noProof/>
        </w:rPr>
        <w:t>De belangrijkste vereisten van het bijbehorende beleggingsbeleid, waaronder:</w:t>
      </w:r>
    </w:p>
    <w:p w14:paraId="7071C01B" w14:textId="10440456" w:rsidR="00480F1C" w:rsidRDefault="00A201F6">
      <w:pPr>
        <w:pStyle w:val="P68B1DB1-ListParagraph29"/>
        <w:numPr>
          <w:ilvl w:val="1"/>
          <w:numId w:val="1"/>
        </w:numPr>
        <w:spacing w:before="120" w:after="0" w:line="257" w:lineRule="auto"/>
        <w:jc w:val="both"/>
        <w:rPr>
          <w:rFonts w:eastAsia="Times New Roman" w:cs="Times New Roman"/>
          <w:noProof/>
        </w:rPr>
      </w:pPr>
      <w:r>
        <w:rPr>
          <w:noProof/>
        </w:rPr>
        <w:t>De beschrijving van het financiële product en de in aanmerking komende eindbegunstigden.</w:t>
      </w:r>
    </w:p>
    <w:p w14:paraId="0DA7F569" w14:textId="35B5402A" w:rsidR="00480F1C" w:rsidRDefault="00A201F6">
      <w:pPr>
        <w:pStyle w:val="P68B1DB1-ListParagraph29"/>
        <w:numPr>
          <w:ilvl w:val="1"/>
          <w:numId w:val="1"/>
        </w:numPr>
        <w:spacing w:before="120" w:after="0" w:line="257" w:lineRule="auto"/>
        <w:jc w:val="both"/>
        <w:rPr>
          <w:rFonts w:eastAsia="Times New Roman" w:cs="Times New Roman"/>
          <w:noProof/>
        </w:rPr>
      </w:pPr>
      <w:r>
        <w:rPr>
          <w:noProof/>
        </w:rPr>
        <w:t>De eis dat alle gesteunde investeringen economisch levensvatbaar moeten zijn.</w:t>
      </w:r>
    </w:p>
    <w:p w14:paraId="3D4F38DA" w14:textId="608381EB" w:rsidR="00480F1C" w:rsidRDefault="00A201F6">
      <w:pPr>
        <w:pStyle w:val="ListParagraph"/>
        <w:numPr>
          <w:ilvl w:val="1"/>
          <w:numId w:val="1"/>
        </w:numPr>
        <w:spacing w:before="120" w:after="0" w:line="257" w:lineRule="auto"/>
        <w:jc w:val="both"/>
        <w:rPr>
          <w:rFonts w:ascii="Times New Roman" w:eastAsia="Times New Roman" w:hAnsi="Times New Roman" w:cs="Times New Roman"/>
          <w:noProof/>
          <w:color w:val="000000" w:themeColor="text1"/>
          <w:sz w:val="24"/>
        </w:rPr>
      </w:pPr>
      <w:r>
        <w:rPr>
          <w:rFonts w:ascii="Times New Roman" w:hAnsi="Times New Roman"/>
          <w:noProof/>
          <w:color w:val="000000" w:themeColor="text1"/>
          <w:sz w:val="24"/>
        </w:rPr>
        <w:t>Het vereiste om te voldoen aan het beginsel „geen ernstige afbreuk doen”, zoals uiteengezet in de technische richtsnoeren inzake het beginsel „geen ernstige afbreuk doen” (2021/C58/01). Het beleggingsbeleid sluit met name de volgende lijst</w:t>
      </w:r>
      <w:r>
        <w:rPr>
          <w:rFonts w:ascii="Times New Roman" w:eastAsia="Times New Roman" w:hAnsi="Times New Roman" w:cs="Times New Roman"/>
          <w:noProof/>
          <w:sz w:val="24"/>
        </w:rPr>
        <w:t xml:space="preserve"> van activiteiten en activa uit van het in aanmerking komen: I) activiteiten en activa in verband met fossiele brandstoffen, met inbegrip van downstreamgebruik</w:t>
      </w:r>
      <w:r>
        <w:rPr>
          <w:rStyle w:val="FootnoteReference"/>
          <w:rFonts w:ascii="Times New Roman" w:eastAsia="Times New Roman" w:hAnsi="Times New Roman" w:cs="Times New Roman"/>
          <w:noProof/>
          <w:sz w:val="24"/>
        </w:rPr>
        <w:footnoteReference w:id="29"/>
      </w:r>
      <w:r>
        <w:rPr>
          <w:rFonts w:ascii="Times New Roman" w:eastAsia="Times New Roman" w:hAnsi="Times New Roman" w:cs="Times New Roman"/>
          <w:noProof/>
          <w:sz w:val="24"/>
        </w:rPr>
        <w:t>, ii) activiteiten en activa in het kader van het emissiehandelssysteem van de EU (ETS) die leiden tot verwachte broeikasgasemissies die niet lager zijn dan de relevante benchmarks</w:t>
      </w:r>
      <w:r>
        <w:rPr>
          <w:rStyle w:val="FootnoteReference"/>
          <w:rFonts w:ascii="Times New Roman" w:eastAsia="Times New Roman" w:hAnsi="Times New Roman" w:cs="Times New Roman"/>
          <w:noProof/>
          <w:sz w:val="24"/>
        </w:rPr>
        <w:footnoteReference w:id="30"/>
      </w:r>
      <w:r>
        <w:rPr>
          <w:rFonts w:ascii="Times New Roman" w:eastAsia="Times New Roman" w:hAnsi="Times New Roman" w:cs="Times New Roman"/>
          <w:noProof/>
          <w:sz w:val="24"/>
        </w:rPr>
        <w:t>, iii) activiteiten en activa in verband met stortplaatsen voor afval, verbrandingsinstallaties en installaties voor mechanische biologische behandeling</w:t>
      </w:r>
      <w:r>
        <w:rPr>
          <w:rFonts w:ascii="Times New Roman" w:hAnsi="Times New Roman"/>
          <w:noProof/>
          <w:color w:val="000000" w:themeColor="text1"/>
          <w:sz w:val="24"/>
        </w:rPr>
        <w:t>. Voorts vereist het investeringsbeleid dat de</w:t>
      </w:r>
      <w:r>
        <w:rPr>
          <w:rFonts w:ascii="Times New Roman" w:hAnsi="Times New Roman"/>
          <w:b/>
          <w:noProof/>
          <w:color w:val="000000" w:themeColor="text1"/>
          <w:sz w:val="24"/>
        </w:rPr>
        <w:t xml:space="preserve"> </w:t>
      </w:r>
      <w:r>
        <w:rPr>
          <w:rFonts w:ascii="Times New Roman" w:hAnsi="Times New Roman"/>
          <w:noProof/>
          <w:color w:val="000000" w:themeColor="text1"/>
          <w:sz w:val="24"/>
        </w:rPr>
        <w:t>eindbegunstigden van de faciliteit voldoen aan de relevante EU- en nationale milieuwetgeving.</w:t>
      </w:r>
    </w:p>
    <w:p w14:paraId="0526C32F" w14:textId="27861CE1" w:rsidR="00480F1C" w:rsidRDefault="00A201F6">
      <w:pPr>
        <w:pStyle w:val="P68B1DB1-ListParagraph29"/>
        <w:numPr>
          <w:ilvl w:val="1"/>
          <w:numId w:val="1"/>
        </w:numPr>
        <w:spacing w:before="120" w:after="0" w:line="257" w:lineRule="auto"/>
        <w:jc w:val="both"/>
        <w:rPr>
          <w:rFonts w:eastAsia="Times New Roman" w:cs="Times New Roman"/>
          <w:noProof/>
        </w:rPr>
      </w:pPr>
      <w:r>
        <w:rPr>
          <w:noProof/>
        </w:rPr>
        <w:t>De eis dat eindbegunstigden van de faciliteit geen steun uit andere instrumenten van de Unie ontvangen om dezelfde kosten te dekken.</w:t>
      </w:r>
    </w:p>
    <w:p w14:paraId="5026DEC7" w14:textId="0241BD23" w:rsidR="00480F1C" w:rsidRDefault="00A201F6">
      <w:pPr>
        <w:pStyle w:val="P68B1DB1-ListParagraph29"/>
        <w:numPr>
          <w:ilvl w:val="0"/>
          <w:numId w:val="1"/>
        </w:numPr>
        <w:spacing w:before="120" w:after="0" w:line="257" w:lineRule="auto"/>
        <w:jc w:val="both"/>
        <w:rPr>
          <w:rFonts w:eastAsia="Times New Roman" w:cs="Times New Roman"/>
          <w:noProof/>
        </w:rPr>
      </w:pPr>
      <w:r>
        <w:rPr>
          <w:noProof/>
        </w:rPr>
        <w:t>Het bedrag dat onder de uitvoeringsovereenkomst valt, de vergoedingsstructuur voor de uitvoerende partner en de vereiste om eventuele terugvloeiende middelen te herinvesteren overeenkomstig het investeringsbeleid van de faciliteit, tenzij deze worden gebruikt voor de aflossing van leningen in het kader van de faciliteit voor herstel en veerkracht.</w:t>
      </w:r>
    </w:p>
    <w:p w14:paraId="1AD706B2" w14:textId="4ECAE981" w:rsidR="00480F1C" w:rsidRDefault="00A201F6">
      <w:pPr>
        <w:pStyle w:val="P68B1DB1-ListParagraph29"/>
        <w:numPr>
          <w:ilvl w:val="0"/>
          <w:numId w:val="1"/>
        </w:numPr>
        <w:spacing w:before="120" w:after="0" w:line="257" w:lineRule="auto"/>
        <w:jc w:val="both"/>
        <w:rPr>
          <w:rFonts w:eastAsia="Times New Roman" w:cs="Times New Roman"/>
          <w:noProof/>
        </w:rPr>
      </w:pPr>
      <w:r>
        <w:rPr>
          <w:noProof/>
        </w:rPr>
        <w:t>Monitoring-, audit- en controlevereisten, met inbegrip van:</w:t>
      </w:r>
    </w:p>
    <w:p w14:paraId="7352DFF8" w14:textId="02D56D74" w:rsidR="00480F1C" w:rsidRDefault="00A201F6">
      <w:pPr>
        <w:pStyle w:val="P68B1DB1-ListParagraph29"/>
        <w:numPr>
          <w:ilvl w:val="1"/>
          <w:numId w:val="1"/>
        </w:numPr>
        <w:spacing w:before="120" w:after="0"/>
        <w:jc w:val="both"/>
        <w:rPr>
          <w:rFonts w:eastAsia="Times New Roman" w:cs="Times New Roman"/>
          <w:noProof/>
        </w:rPr>
      </w:pPr>
      <w:r>
        <w:rPr>
          <w:noProof/>
        </w:rPr>
        <w:t>De beschrijving van het monitoringsysteem van de uitvoerende partner om verslag uit te brengen over de gemobiliseerde investeringen.</w:t>
      </w:r>
    </w:p>
    <w:p w14:paraId="187B8F4E" w14:textId="490F36FA" w:rsidR="00480F1C" w:rsidRDefault="00A201F6">
      <w:pPr>
        <w:pStyle w:val="P68B1DB1-ListParagraph29"/>
        <w:numPr>
          <w:ilvl w:val="1"/>
          <w:numId w:val="1"/>
        </w:numPr>
        <w:spacing w:before="120" w:after="0" w:line="257" w:lineRule="auto"/>
        <w:jc w:val="both"/>
        <w:rPr>
          <w:rFonts w:eastAsia="Times New Roman" w:cs="Times New Roman"/>
          <w:noProof/>
        </w:rPr>
      </w:pPr>
      <w:r>
        <w:rPr>
          <w:noProof/>
        </w:rPr>
        <w:t xml:space="preserve">De beschrijving van de procedures van de uitvoerende partner om fraude, corruptie en belangenconflicten te voorkomen, op te sporen en te corrigeren. </w:t>
      </w:r>
    </w:p>
    <w:p w14:paraId="3D5647A6" w14:textId="18E59AD8" w:rsidR="00480F1C" w:rsidRDefault="00A201F6">
      <w:pPr>
        <w:pStyle w:val="P68B1DB1-ListParagraph29"/>
        <w:numPr>
          <w:ilvl w:val="1"/>
          <w:numId w:val="1"/>
        </w:numPr>
        <w:spacing w:before="120" w:after="0" w:line="257" w:lineRule="auto"/>
        <w:jc w:val="both"/>
        <w:rPr>
          <w:rFonts w:eastAsia="Times New Roman" w:cs="Times New Roman"/>
          <w:noProof/>
        </w:rPr>
      </w:pPr>
      <w:r>
        <w:rPr>
          <w:noProof/>
        </w:rPr>
        <w:t>De verplichting om na te gaan of elke concrete actie voor financiering in aanmerking komt overeenkomstig de vereisten van de uitvoeringsovereenkomst, alvorens zich ertoe te verbinden een concrete actie te financieren.</w:t>
      </w:r>
    </w:p>
    <w:p w14:paraId="61B8AB33" w14:textId="6BB9FCE3" w:rsidR="00480F1C" w:rsidRDefault="00A201F6">
      <w:pPr>
        <w:pStyle w:val="P68B1DB1-ListParagraph29"/>
        <w:numPr>
          <w:ilvl w:val="1"/>
          <w:numId w:val="1"/>
        </w:numPr>
        <w:spacing w:before="120" w:after="0"/>
        <w:jc w:val="both"/>
        <w:rPr>
          <w:rFonts w:eastAsia="Times New Roman" w:cs="Times New Roman"/>
          <w:noProof/>
        </w:rPr>
      </w:pPr>
      <w:r>
        <w:rPr>
          <w:noProof/>
        </w:rPr>
        <w:t xml:space="preserve">De verplichting om risicogebaseerde controles achteraf uit te voeren overeenkomstig een auditplan van de BGK. Bij deze audits wordt nagegaan i) of de controlesystemen doeltreffend zijn, met inbegrip van de opsporing van fraude, corruptie en belangenconflicten; naleving van het beginsel „geen ernstige afbreuk doen aan”, de staatssteunregels en de vereisten inzake digitale streefcijfers; en iii) dat wordt voldaan aan het vereiste dat de eindbegunstigden van de faciliteit geen steun uit andere instrumenten van de Unie hebben ontvangen om dezelfde kosten te dekken. Bij de audits wordt ook nagegaan of de transacties wettig zijn en of de voorwaarden van de toepasselijke uitvoeringsovereenkomst worden nageleefd. </w:t>
      </w:r>
    </w:p>
    <w:p w14:paraId="0D837EA6" w14:textId="2DB412AE" w:rsidR="00480F1C" w:rsidRDefault="00480F1C">
      <w:pPr>
        <w:spacing w:before="120" w:after="0" w:line="259" w:lineRule="auto"/>
        <w:jc w:val="both"/>
        <w:rPr>
          <w:rFonts w:ascii="Times New Roman" w:eastAsia="Times New Roman" w:hAnsi="Times New Roman" w:cs="Times New Roman"/>
          <w:noProof/>
          <w:color w:val="000000" w:themeColor="text1"/>
          <w:sz w:val="24"/>
        </w:rPr>
      </w:pPr>
    </w:p>
    <w:p w14:paraId="041F5D14" w14:textId="7C0CEF43" w:rsidR="00480F1C" w:rsidRDefault="00A201F6">
      <w:pPr>
        <w:pStyle w:val="P68B1DB1-Normal05"/>
        <w:spacing w:before="120" w:after="120" w:line="240" w:lineRule="auto"/>
        <w:jc w:val="both"/>
        <w:rPr>
          <w:rFonts w:eastAsia="Times New Roman" w:cs="Times New Roman"/>
          <w:noProof/>
        </w:rPr>
      </w:pPr>
      <w:r>
        <w:rPr>
          <w:noProof/>
        </w:rPr>
        <w:t>De maatregel omvat ook de publicatie van een gids over de digitale transformatie van bedrijven die gebruikmaken van cloud computing. Deze gids is een compendium van kennis (met inbegrip van veelgestelde vragen), richtsnoeren en voorbeelden van het gebruik van moderne technologieën, met name cloud computing, bij de digitale transformatie van bedrijven. De gids heeft onder meer betrekking op de volgende aspecten: juridische aspecten van de transformatie van een bedrijf dat gebruikmaakt van cloudcomputing en moderne cloudtechnologieën, cyberbeveiliging, energie-efficiëntie en de ontwikkeling van digitale competenties en cloudvaardigheden in het bijzonder. De gids ondersteunt ook de promotie van de faciliteit en verstrekt ondernemingen de informatie die nodig is om zich voor te bereiden op de aanvraag van steun via leningen in het kader van de faciliteit. In de gids worden de mechanismen beschreven voor de overdracht van relevante kennis en knowhow, ook aan ondernemers die niet in aanmerking komen voor steun via leningen in het kader van de faciliteit en aan kleine ondernemingen.</w:t>
      </w:r>
    </w:p>
    <w:p w14:paraId="2718F792" w14:textId="1F3626E8"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themeColor="text1"/>
          <w:sz w:val="24"/>
        </w:rPr>
      </w:pPr>
    </w:p>
    <w:p w14:paraId="6C57C439"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5692820A"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i/>
          <w:noProof/>
          <w:color w:val="000000"/>
          <w:sz w:val="24"/>
        </w:rPr>
        <w:sectPr w:rsidR="00480F1C">
          <w:headerReference w:type="even" r:id="rId91"/>
          <w:headerReference w:type="default" r:id="rId92"/>
          <w:footerReference w:type="even" r:id="rId93"/>
          <w:footerReference w:type="default" r:id="rId94"/>
          <w:headerReference w:type="first" r:id="rId95"/>
          <w:footerReference w:type="first" r:id="rId96"/>
          <w:pgSz w:w="11907" w:h="16839"/>
          <w:pgMar w:top="1134" w:right="1417" w:bottom="1134" w:left="1417" w:header="709" w:footer="709" w:gutter="0"/>
          <w:cols w:space="720"/>
        </w:sectPr>
      </w:pPr>
    </w:p>
    <w:p w14:paraId="3D404BC9" w14:textId="17CBB931" w:rsidR="00480F1C" w:rsidRDefault="00A201F6">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i/>
          <w:noProof/>
          <w:color w:val="000000"/>
          <w:sz w:val="24"/>
        </w:rPr>
      </w:pPr>
      <w:r>
        <w:rPr>
          <w:rFonts w:ascii="Times New Roman" w:hAnsi="Times New Roman"/>
          <w:b/>
          <w:noProof/>
          <w:color w:val="000000" w:themeColor="text1"/>
          <w:sz w:val="24"/>
        </w:rPr>
        <w:t xml:space="preserve">C.4. </w:t>
      </w:r>
      <w:r>
        <w:rPr>
          <w:noProof/>
        </w:rPr>
        <w:tab/>
      </w:r>
      <w:r>
        <w:rPr>
          <w:rFonts w:ascii="Times New Roman" w:hAnsi="Times New Roman"/>
          <w:b/>
          <w:noProof/>
          <w:color w:val="000000" w:themeColor="text1"/>
          <w:sz w:val="24"/>
        </w:rPr>
        <w:t>Mijlpalen, streefdoelen, indicatoren en tijdschema voor de monitoring en uitvoering voor de lening</w:t>
      </w:r>
    </w:p>
    <w:tbl>
      <w:tblPr>
        <w:tblW w:w="15593"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115" w:type="dxa"/>
          <w:right w:w="115" w:type="dxa"/>
        </w:tblCellMar>
        <w:tblLook w:val="0400" w:firstRow="0" w:lastRow="0" w:firstColumn="0" w:lastColumn="0" w:noHBand="0" w:noVBand="1"/>
      </w:tblPr>
      <w:tblGrid>
        <w:gridCol w:w="846"/>
        <w:gridCol w:w="2126"/>
        <w:gridCol w:w="1134"/>
        <w:gridCol w:w="2415"/>
        <w:gridCol w:w="1559"/>
        <w:gridCol w:w="992"/>
        <w:gridCol w:w="993"/>
        <w:gridCol w:w="845"/>
        <w:gridCol w:w="992"/>
        <w:gridCol w:w="851"/>
        <w:gridCol w:w="2840"/>
      </w:tblGrid>
      <w:tr w:rsidR="00480F1C" w14:paraId="20553490" w14:textId="77777777">
        <w:trPr>
          <w:trHeight w:val="939"/>
          <w:tblHeader/>
          <w:jc w:val="center"/>
        </w:trPr>
        <w:tc>
          <w:tcPr>
            <w:tcW w:w="84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2ADDDA64" w14:textId="3522F6B3"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Volgende NR.</w:t>
            </w:r>
          </w:p>
        </w:tc>
        <w:tc>
          <w:tcPr>
            <w:tcW w:w="212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008C2D9B"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Gerelateerde maatregel (hervorming of investering)</w:t>
            </w:r>
          </w:p>
        </w:tc>
        <w:tc>
          <w:tcPr>
            <w:tcW w:w="113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395E9546"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Mijlpaal/Doelstelling</w:t>
            </w:r>
          </w:p>
        </w:tc>
        <w:tc>
          <w:tcPr>
            <w:tcW w:w="241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03B9116E"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Naam</w:t>
            </w:r>
          </w:p>
        </w:tc>
        <w:tc>
          <w:tcPr>
            <w:tcW w:w="15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2ED7D3CA"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sz w:val="18"/>
              </w:rPr>
              <w:t>Kwalitatieve indicatoren</w:t>
            </w:r>
            <w:r>
              <w:rPr>
                <w:noProof/>
              </w:rPr>
              <w:t xml:space="preserve"> </w:t>
            </w:r>
            <w:r>
              <w:rPr>
                <w:noProof/>
              </w:rPr>
              <w:br/>
            </w:r>
            <w:r>
              <w:rPr>
                <w:rFonts w:ascii="Times New Roman" w:hAnsi="Times New Roman"/>
                <w:b/>
                <w:noProof/>
                <w:color w:val="000000"/>
                <w:sz w:val="18"/>
              </w:rPr>
              <w:t>(voor mijlpalen)</w:t>
            </w:r>
          </w:p>
        </w:tc>
        <w:tc>
          <w:tcPr>
            <w:tcW w:w="283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187CA6E5"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sz w:val="18"/>
              </w:rPr>
              <w:t>Kwantitatieve indicatoren</w:t>
            </w:r>
            <w:r>
              <w:rPr>
                <w:noProof/>
              </w:rPr>
              <w:t xml:space="preserve"> </w:t>
            </w:r>
            <w:r>
              <w:rPr>
                <w:noProof/>
              </w:rPr>
              <w:br/>
            </w:r>
            <w:r>
              <w:rPr>
                <w:rFonts w:ascii="Times New Roman" w:hAnsi="Times New Roman"/>
                <w:b/>
                <w:noProof/>
                <w:color w:val="000000"/>
                <w:sz w:val="18"/>
              </w:rPr>
              <w:t>(voor streefcijfers)</w:t>
            </w: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2B8A3CEB"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Indicatieve termijn voor voltooiing </w:t>
            </w:r>
          </w:p>
        </w:tc>
        <w:tc>
          <w:tcPr>
            <w:tcW w:w="284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45F81A50"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Beschrijving van elke mijlpaal en doelstelling</w:t>
            </w:r>
          </w:p>
        </w:tc>
      </w:tr>
      <w:tr w:rsidR="00480F1C" w14:paraId="7DA79544" w14:textId="77777777">
        <w:trPr>
          <w:trHeight w:val="1027"/>
          <w:jc w:val="center"/>
        </w:trPr>
        <w:tc>
          <w:tcPr>
            <w:tcW w:w="846" w:type="dxa"/>
            <w:vMerge/>
            <w:vAlign w:val="center"/>
          </w:tcPr>
          <w:p w14:paraId="31A560F4"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2126" w:type="dxa"/>
            <w:vMerge/>
            <w:vAlign w:val="center"/>
          </w:tcPr>
          <w:p w14:paraId="70DF735C"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134" w:type="dxa"/>
            <w:vMerge/>
            <w:vAlign w:val="center"/>
          </w:tcPr>
          <w:p w14:paraId="3A413BF6"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2415" w:type="dxa"/>
            <w:vMerge/>
            <w:vAlign w:val="center"/>
          </w:tcPr>
          <w:p w14:paraId="33D28B4B"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559" w:type="dxa"/>
            <w:vMerge/>
            <w:vAlign w:val="center"/>
          </w:tcPr>
          <w:p w14:paraId="37EFA3E3"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625D6124"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Eenheid</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73D2CD02"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Basislijn </w:t>
            </w:r>
          </w:p>
        </w:tc>
        <w:tc>
          <w:tcPr>
            <w:tcW w:w="8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0CB8A499"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Doelstelling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4907727A"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Kwartaal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36831318"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Jaar</w:t>
            </w:r>
          </w:p>
        </w:tc>
        <w:tc>
          <w:tcPr>
            <w:tcW w:w="2840" w:type="dxa"/>
            <w:vMerge/>
            <w:vAlign w:val="center"/>
          </w:tcPr>
          <w:p w14:paraId="41C6AC2A"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r>
      <w:tr w:rsidR="00480F1C" w14:paraId="0AB32230"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0904971" w14:textId="102E2EB8"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C1L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C74271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C1.2 Verbetering van de toegankelijkheid en het gebruik van moderne draadloze en bedrade communicatie voor sociale en economische behoeften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0CF9DD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5D3A6A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Wijziging van de verordening van 17 februari 2020 betreffende de bewaking van de emissie van elektromagnetische velden in het milieu</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5D3E70B" w14:textId="74CDA6D1"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Bepaling tot wijziging van de verordening met vermelding van de inwerkingtreding ervan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DA0893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578DB2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8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F88FFA9"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D8C55F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9C7AB9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5E49536" w14:textId="7E64FCB1"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Inwerkingtreding van een wijziging van de verordening van 17 februari 2020 betreffende de methoden voor het meten van elektromagnetische veldemissies in het milieu. </w:t>
            </w:r>
          </w:p>
        </w:tc>
      </w:tr>
      <w:tr w:rsidR="00480F1C" w14:paraId="14E3C55C"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E34955E" w14:textId="56C2F833"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C2L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CE7C8E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C1.2 Verbetering van de toegankelijkheid en het gebruik van moderne draadloze en bedrade communicatie voor sociale en economische behoeften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FF4DD3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0FF738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Wijziging van de verordening van de Raad van Ministers van 10 september 2019 betreffende de milieueffectbeoordeling</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49F32B6" w14:textId="280F286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Bepaling in de wijziging van de verordening waarin de inwerkingtreding ervan wordt aangegeven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A00BD0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0F8886C"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8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8F2943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39B3AC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297CBA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68B645F" w14:textId="5CEA454D"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Inwerkingtreding van een wijziging van de verordening betreffende projecten die een aanzienlijk effect op het milieu kunnen hebben, waarbij investeringen in radiocommunicatie worden uitgesloten van de lijst van projecten waarvoor een milieueffectbeoordeling vereist is. </w:t>
            </w:r>
          </w:p>
        </w:tc>
      </w:tr>
      <w:tr w:rsidR="00480F1C" w14:paraId="2AD764E0"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ECBAF40" w14:textId="10B8A594"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C3L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D78053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C1.2 Verbetering van de toegankelijkheid en het gebruik van moderne draadloze en bedrade communicatie voor sociale en economische behoeften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E7C474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28DCAB5" w14:textId="441A908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Nieuwe rechtshandeling (en) om belemmeringen voor de uitvoering van het 5G-netwerk weg te nemen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0831AC2" w14:textId="4F46788C"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Bepaling in de rechtshandeling (en) die de inwerkingtreding ervan aangeeft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4FE01A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9264DCC"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8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996775"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F72B8DF"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A7F294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2023</w:t>
            </w:r>
          </w:p>
        </w:tc>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5403CB4" w14:textId="12E13E22"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Inwerkingtreding van de rechtshandeling (en) die de belemmeringen voor de invoering van 5G-netwerken moet wegnemen.</w:t>
            </w:r>
          </w:p>
        </w:tc>
      </w:tr>
      <w:tr w:rsidR="00480F1C" w14:paraId="75E3ADAD"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03F67C8" w14:textId="56F5AFBE"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C8L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B7D2BE5" w14:textId="4892E2D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C2.2 Hervorming van de grondslagen van de digitalisering van het onderwijsstelsel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C099834" w14:textId="257EF31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720DC94" w14:textId="12406E42"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Vaststelling van een nieuw digitaliseringsbeleid voor onderwijs, dat de basis vormt voor veranderingen in het onderwijsstelsel en de uitvoering van investeringen in ICT en de richting van digitalisering van het onderwijssysteem op korte en lange termijn bepaalt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BB03DD" w14:textId="4CD29698"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Vaststelling van het beleid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B9016EB" w14:textId="45E81D09"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1CC02DA" w14:textId="74AEB79C"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8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A9611A2" w14:textId="6DC6D79A"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A2F1C51" w14:textId="004A1993"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C5E1D31" w14:textId="35C3BBCC"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2022</w:t>
            </w:r>
          </w:p>
        </w:tc>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192C030" w14:textId="13A5B3F6"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Aanneming door de ministerraad van een resolutie over het digitaliseringsbeleid op onderwijsgebied, met de aard van een programma en een strategisch document, waarin het kader wordt geschetst voor het overheidsbeleid en de activiteiten op het gebied van digitalisering van het onderwijs op korte, middellange en lange termijn. Dit document vormt de basis voor de activiteiten van belanghebbenden en actors-deelnemers en definieert de instrumenten voor de totstandbrenging van een volledig gedigitaliseerd onderwijssysteem dat is aangepast aan de hedendaagse uitdagingen van de voorschoolse omgeving en de algemene onderwijsomgeving. Het beleid omvat het uitvoeringsplan, de evaluatie- en toezichtmaatregelen en het wordt ontwikkeld volgens een participatieve aanpak. </w:t>
            </w:r>
          </w:p>
        </w:tc>
      </w:tr>
      <w:tr w:rsidR="00480F1C" w14:paraId="24658D48" w14:textId="77777777">
        <w:trPr>
          <w:trHeight w:val="269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1E2122F" w14:textId="06F5C48D" w:rsidR="00480F1C" w:rsidRDefault="00A201F6">
            <w:pPr>
              <w:pStyle w:val="P68B1DB1-Normal010"/>
              <w:spacing w:line="240" w:lineRule="auto"/>
              <w:jc w:val="center"/>
              <w:rPr>
                <w:rFonts w:cs="Times New Roman"/>
                <w:noProof/>
              </w:rPr>
            </w:pPr>
            <w:r>
              <w:rPr>
                <w:noProof/>
              </w:rPr>
              <w:t>C9L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E0234B4" w14:textId="46141C41" w:rsidR="00480F1C" w:rsidRDefault="00A201F6">
            <w:pPr>
              <w:pStyle w:val="P68B1DB1-Normal011"/>
              <w:spacing w:line="240" w:lineRule="auto"/>
              <w:rPr>
                <w:rFonts w:eastAsia="Times New Roman" w:cs="Times New Roman"/>
                <w:noProof/>
                <w:color w:val="000000" w:themeColor="text1"/>
              </w:rPr>
            </w:pPr>
            <w:r>
              <w:rPr>
                <w:noProof/>
              </w:rPr>
              <w:t>C2.2.1 Scholen/instellingen uitrusten met adequate ICT-apparatuur en -infrastructuur om de algemene prestaties van het onderwijssysteem te verbeteren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5AF3BF" w14:textId="795E22E0" w:rsidR="00480F1C" w:rsidRDefault="00A201F6">
            <w:pPr>
              <w:pStyle w:val="P68B1DB1-Normal011"/>
              <w:spacing w:line="240" w:lineRule="auto"/>
              <w:rPr>
                <w:rFonts w:eastAsia="Times New Roman" w:cs="Times New Roman"/>
                <w:noProof/>
                <w:color w:val="000000" w:themeColor="text1"/>
              </w:rPr>
            </w:pPr>
            <w:r>
              <w:rPr>
                <w:noProof/>
              </w:rPr>
              <w:t>Mijlpaal</w:t>
            </w: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B75FD1E" w14:textId="2F4BA24D" w:rsidR="00480F1C" w:rsidRDefault="00A201F6">
            <w:pPr>
              <w:pStyle w:val="P68B1DB1-Normal011"/>
              <w:spacing w:line="240" w:lineRule="auto"/>
              <w:rPr>
                <w:rFonts w:eastAsia="Times New Roman" w:cs="Times New Roman"/>
                <w:noProof/>
                <w:color w:val="000000" w:themeColor="text1"/>
              </w:rPr>
            </w:pPr>
            <w:r>
              <w:rPr>
                <w:noProof/>
              </w:rPr>
              <w:t>Openbare raadpleging over het kader tot vaststelling van de procedures voor de distributie van ICT-apparatuur en voor de verstrekking van infrastructuur aan scholen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40F38B7" w14:textId="3FB40297" w:rsidR="00480F1C" w:rsidRDefault="00A201F6">
            <w:pPr>
              <w:pStyle w:val="P68B1DB1-Normal011"/>
              <w:spacing w:line="240" w:lineRule="auto"/>
              <w:rPr>
                <w:rFonts w:eastAsia="Times New Roman" w:cs="Times New Roman"/>
                <w:noProof/>
                <w:color w:val="000000" w:themeColor="text1"/>
              </w:rPr>
            </w:pPr>
            <w:r>
              <w:rPr>
                <w:noProof/>
              </w:rPr>
              <w:t xml:space="preserve">Verslag met een samenvatting van de resultaten van de openbare raadpleging en de volgende reactie van de regering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F0F8D0A" w14:textId="7D445891"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4E8146F" w14:textId="3288E3F1"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8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EC5389D" w14:textId="5896CC49"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50A1BCB" w14:textId="43DB302C" w:rsidR="00480F1C" w:rsidRDefault="00A201F6">
            <w:pPr>
              <w:pStyle w:val="P68B1DB1-Normal011"/>
              <w:spacing w:line="240" w:lineRule="auto"/>
              <w:jc w:val="center"/>
              <w:rPr>
                <w:rFonts w:eastAsia="Times New Roman" w:cs="Times New Roman"/>
                <w:noProof/>
                <w:color w:val="000000" w:themeColor="text1"/>
              </w:rPr>
            </w:pPr>
            <w:r>
              <w:rPr>
                <w:noProof/>
              </w:rPr>
              <w:t>KWARTAAL 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B130820" w14:textId="257C4BC9" w:rsidR="00480F1C" w:rsidRDefault="00A201F6">
            <w:pPr>
              <w:pStyle w:val="P68B1DB1-Normal011"/>
              <w:spacing w:line="240" w:lineRule="auto"/>
              <w:jc w:val="center"/>
              <w:rPr>
                <w:rFonts w:eastAsia="Times New Roman" w:cs="Times New Roman"/>
                <w:noProof/>
                <w:color w:val="000000" w:themeColor="text1"/>
              </w:rPr>
            </w:pPr>
            <w:r>
              <w:rPr>
                <w:noProof/>
              </w:rPr>
              <w:t>2022</w:t>
            </w:r>
          </w:p>
        </w:tc>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DCF4AC0" w14:textId="688DE80B" w:rsidR="00480F1C" w:rsidRDefault="00A201F6">
            <w:pPr>
              <w:pStyle w:val="P68B1DB1-Normal12"/>
              <w:spacing w:line="240" w:lineRule="auto"/>
              <w:rPr>
                <w:rFonts w:eastAsia="Times New Roman" w:cs="Times New Roman"/>
                <w:noProof/>
              </w:rPr>
            </w:pPr>
            <w:r>
              <w:rPr>
                <w:noProof/>
              </w:rPr>
              <w:t xml:space="preserve">Openbare raadpleging van verschillende belanghebbenden en sociale partners over het kader voor de distributie van ICT-apparatuur (IT-kit voor afstandsonderwijs) en voor de levering van infrastructuur (LAN-verbinding, STEM- en AI-laboratoria) aan scholen. </w:t>
            </w:r>
          </w:p>
          <w:p w14:paraId="4A9AB89F" w14:textId="0CD28DD4" w:rsidR="00480F1C" w:rsidRDefault="00A201F6">
            <w:pPr>
              <w:pStyle w:val="P68B1DB1-Normal12"/>
              <w:spacing w:after="0" w:line="240" w:lineRule="auto"/>
              <w:rPr>
                <w:rFonts w:eastAsia="Times New Roman" w:cs="Times New Roman"/>
                <w:noProof/>
              </w:rPr>
            </w:pPr>
            <w:r>
              <w:rPr>
                <w:noProof/>
              </w:rPr>
              <w:t>De resultaten van de raadpleging worden samengevat in een verslag met de belangrijkste opmerkingen van belanghebbenden en sociale partners en de follow-up van deze opmerkingen door de regering.</w:t>
            </w:r>
          </w:p>
        </w:tc>
      </w:tr>
      <w:tr w:rsidR="00480F1C" w14:paraId="0152567C"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B81864F" w14:textId="0B5CB53C"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C10L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B97ACF8" w14:textId="0C8CC986"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C2.2.1 Scholen/instellingen uitrusten met adequate ICT-apparatuur en -infrastructuur om de algemene prestaties van het onderwijssysteem te verbeteren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4411E0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7CEAD62" w14:textId="7EA18560" w:rsidR="00480F1C" w:rsidRDefault="00A201F6">
            <w:pPr>
              <w:pStyle w:val="P68B1DB1-Normal011"/>
              <w:pBdr>
                <w:top w:val="nil"/>
                <w:left w:val="nil"/>
                <w:bottom w:val="nil"/>
                <w:right w:val="nil"/>
                <w:between w:val="nil"/>
              </w:pBdr>
              <w:spacing w:after="0" w:line="240" w:lineRule="auto"/>
              <w:rPr>
                <w:rFonts w:eastAsia="Times New Roman" w:cs="Times New Roman"/>
                <w:noProof/>
                <w:highlight w:val="yellow"/>
              </w:rPr>
            </w:pPr>
            <w:r>
              <w:rPr>
                <w:noProof/>
              </w:rPr>
              <w:t>Kader tot vaststelling van de procedures voor de distributie van ICT-apparatuur en voor de verstrekking van infrastructuur aan scholen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3002A53" w14:textId="6D61242B"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Goedkeuring door het ministerie van Onderwijs en Wetenschap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FFCBC07"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728B4D0"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highlight w:val="yellow"/>
              </w:rPr>
            </w:pPr>
          </w:p>
        </w:tc>
        <w:tc>
          <w:tcPr>
            <w:tcW w:w="8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4959D4B"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7BAA5A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9683A1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2023</w:t>
            </w:r>
          </w:p>
        </w:tc>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AD2D3D6" w14:textId="0497AE59" w:rsidR="00480F1C" w:rsidRDefault="00A201F6">
            <w:pPr>
              <w:pStyle w:val="P68B1DB1-Normal12"/>
              <w:spacing w:after="0" w:line="240" w:lineRule="auto"/>
              <w:rPr>
                <w:rFonts w:eastAsia="Times New Roman" w:cs="Times New Roman"/>
                <w:noProof/>
              </w:rPr>
            </w:pPr>
            <w:r>
              <w:rPr>
                <w:noProof/>
              </w:rPr>
              <w:t xml:space="preserve">In het kader worden de minimumvoorwaarden vastgesteld voor de distributie van ICT-apparatuur en voor de verstrekking van infrastructuur aan de begunstigde scholen, zoals blijkt uit de voorafgaande openbare raadpleging van verschillende belanghebbenden en sociale partners. </w:t>
            </w:r>
          </w:p>
          <w:p w14:paraId="6F6AADFC" w14:textId="1822FA8C" w:rsidR="00480F1C" w:rsidRDefault="00A201F6">
            <w:pPr>
              <w:pStyle w:val="P68B1DB1-Normal12"/>
              <w:spacing w:after="0" w:line="240" w:lineRule="auto"/>
              <w:rPr>
                <w:rFonts w:eastAsia="Times New Roman" w:cs="Times New Roman"/>
                <w:noProof/>
              </w:rPr>
            </w:pPr>
            <w:r>
              <w:rPr>
                <w:noProof/>
              </w:rPr>
              <w:t xml:space="preserve"> </w:t>
            </w:r>
          </w:p>
          <w:p w14:paraId="6AA1933B" w14:textId="7C057913" w:rsidR="00480F1C" w:rsidRDefault="00A201F6">
            <w:pPr>
              <w:pStyle w:val="P68B1DB1-Normal12"/>
              <w:spacing w:after="0" w:line="240" w:lineRule="auto"/>
              <w:rPr>
                <w:rFonts w:eastAsia="Times New Roman" w:cs="Times New Roman"/>
                <w:noProof/>
              </w:rPr>
            </w:pPr>
            <w:r>
              <w:rPr>
                <w:noProof/>
              </w:rPr>
              <w:t xml:space="preserve">Het kader bevat duidelijke criteria voor de selectie van de begunstigde scholen, rekening houdend met de behoeften aan ICT-apparatuur en -infrastructuur, zoals laboratoria, en hun potentiële impact op de onderwijsprestaties van de scholen.  </w:t>
            </w:r>
          </w:p>
          <w:p w14:paraId="539A33D8" w14:textId="77777777" w:rsidR="00480F1C" w:rsidRDefault="00480F1C">
            <w:pPr>
              <w:spacing w:after="0" w:line="240" w:lineRule="auto"/>
              <w:rPr>
                <w:rFonts w:ascii="Times New Roman" w:eastAsia="Times New Roman" w:hAnsi="Times New Roman" w:cs="Times New Roman"/>
                <w:noProof/>
                <w:color w:val="000000" w:themeColor="text1"/>
                <w:sz w:val="18"/>
              </w:rPr>
            </w:pPr>
          </w:p>
          <w:p w14:paraId="2598F88D" w14:textId="6370B4B1" w:rsidR="00480F1C" w:rsidRDefault="00A201F6">
            <w:pPr>
              <w:pStyle w:val="P68B1DB1-Normal12"/>
              <w:spacing w:after="0" w:line="240" w:lineRule="auto"/>
              <w:rPr>
                <w:rFonts w:eastAsia="Times New Roman" w:cs="Times New Roman"/>
                <w:noProof/>
              </w:rPr>
            </w:pPr>
            <w:r>
              <w:rPr>
                <w:noProof/>
              </w:rPr>
              <w:t>Rekening houdend met de behoeften van de verschillende begunstigde scholen moet de volgende aanbesteding voor de levering van infrastructuur en ICT-apparatuur gelijk, open, transparant en billijk zijn en zorgen voor een evenwichtige verdeling tussen scholen in het hele land, op basis van zowel de bevolking als de geografische dekking.</w:t>
            </w:r>
          </w:p>
        </w:tc>
      </w:tr>
      <w:tr w:rsidR="00480F1C" w14:paraId="518BE6AA"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A6DDB2F" w14:textId="26F737DB"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C12L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7E7C88" w14:textId="187A2819"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C2.2.1 Scholen/instellingen uitrusten met adequate ICT-apparatuur en -infrastructuur om de algemene prestaties van het onderwijssysteem te verbeteren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67C3ACE" w14:textId="798A70BD"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6E8E307" w14:textId="1652E7BC" w:rsidR="00480F1C" w:rsidRDefault="00A201F6">
            <w:pPr>
              <w:pStyle w:val="P68B1DB1-Normal011"/>
              <w:pBdr>
                <w:top w:val="nil"/>
                <w:left w:val="nil"/>
                <w:bottom w:val="nil"/>
                <w:right w:val="nil"/>
                <w:between w:val="nil"/>
              </w:pBdr>
              <w:spacing w:after="0" w:line="240" w:lineRule="auto"/>
              <w:rPr>
                <w:rFonts w:eastAsia="Times New Roman" w:cs="Times New Roman"/>
                <w:noProof/>
                <w:highlight w:val="yellow"/>
              </w:rPr>
            </w:pPr>
            <w:r>
              <w:rPr>
                <w:noProof/>
              </w:rPr>
              <w:t>Klaslokalen in beroepsscholen en instellingen voor algemeen onderwijs die zijn uitgerust met IT-instrumenten om onderwijs op afstand mogelijk te maken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F5A567C"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7B4D62B" w14:textId="1988FF59"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F892B07" w14:textId="203CE683"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8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C448BAC" w14:textId="37311D7E"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100 000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CAF477C" w14:textId="18DBD1A3"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B563F95" w14:textId="4094DF74"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D697409" w14:textId="016DFD06"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Aantal klaslokalen in beroepsscholen en instellingen voor algemeen onderwijs dat wordt uitgerust met een aantal IT-instrumenten, zodat leerkrachten lessen op afstand uit de gebouwen kunnen geven. Hieronder vallen ook computerrandapparatuur en mobiele apparaten, maar niet laptops.</w:t>
            </w:r>
          </w:p>
          <w:p w14:paraId="4B2445CF" w14:textId="01102C02"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p w14:paraId="6474FA54" w14:textId="1F516E3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De selectie van verkopers geschiedt op een eerlijke, concurrerende en transparante wijze, in overeenstemming met het kader van mijlpaal C10L.</w:t>
            </w:r>
          </w:p>
          <w:p w14:paraId="491894CA"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p w14:paraId="56D20162" w14:textId="330961B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De eindontvangers of de lokale overheden betalen de Poolse regering in geen enkele vorm terug.</w:t>
            </w:r>
          </w:p>
        </w:tc>
      </w:tr>
      <w:tr w:rsidR="00480F1C" w14:paraId="721A0D02"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CB8798E" w14:textId="54EFEAB6"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C13L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C1C2856" w14:textId="21610D4B"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C2.2.1 Scholen/instellingen uitrusten met adequate ICT-apparatuur en -infrastructuur om de algemene prestaties van het onderwijssysteem te verbeteren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F44265C" w14:textId="4F14003D"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4807D54" w14:textId="09F71EE0" w:rsidR="00480F1C" w:rsidRDefault="00A201F6">
            <w:pPr>
              <w:pStyle w:val="P68B1DB1-Normal011"/>
              <w:pBdr>
                <w:top w:val="nil"/>
                <w:left w:val="nil"/>
                <w:bottom w:val="nil"/>
                <w:right w:val="nil"/>
                <w:between w:val="nil"/>
              </w:pBdr>
              <w:spacing w:after="0" w:line="240" w:lineRule="auto"/>
              <w:rPr>
                <w:rFonts w:eastAsia="Times New Roman" w:cs="Times New Roman"/>
                <w:noProof/>
                <w:highlight w:val="yellow"/>
              </w:rPr>
            </w:pPr>
            <w:r>
              <w:rPr>
                <w:noProof/>
              </w:rPr>
              <w:t>Laboratoria voor kunstmatige intelligentie (AI) en STEM-laboratoria (wetenschap, technologie, engineering en wiskunde) in scholen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054B431"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C9189E0" w14:textId="37B8C9CE"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6633A8E" w14:textId="02DD30D4"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highlight w:val="yellow"/>
              </w:rPr>
            </w:pPr>
            <w:r>
              <w:rPr>
                <w:noProof/>
              </w:rPr>
              <w:t>0</w:t>
            </w:r>
          </w:p>
        </w:tc>
        <w:tc>
          <w:tcPr>
            <w:tcW w:w="8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7CA2DCE" w14:textId="686825FA"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highlight w:val="yellow"/>
              </w:rPr>
            </w:pPr>
            <w:r>
              <w:rPr>
                <w:noProof/>
              </w:rPr>
              <w:t>16 000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24C17F8" w14:textId="79B8D0BC"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3</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C4060A9" w14:textId="19DC1E76"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23E985A" w14:textId="7E85E745"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 scholen dat is uitgerust met laboratoria voor kunstmatige intelligentie (AI) en/of wetenschap, technologie, engineering en wiskunde (STEM).</w:t>
            </w:r>
          </w:p>
          <w:p w14:paraId="07B8A779" w14:textId="21667E3D"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p w14:paraId="7405A1FB" w14:textId="75C42B6D"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Met name 4000 middelbare scholen moeten zijn uitgerust met STEM-laboratoria, terwijl 12000 scholen moeten zijn uitgerust met AI-laboratoria, waarvan 8000 basisscholen en 4000 middelbare scholen.</w:t>
            </w:r>
          </w:p>
          <w:p w14:paraId="3A5B363E"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p w14:paraId="66818692" w14:textId="72064124" w:rsidR="00480F1C" w:rsidRDefault="00A201F6">
            <w:pPr>
              <w:pStyle w:val="P68B1DB1-paragraph30"/>
              <w:spacing w:before="0" w:beforeAutospacing="0" w:after="0" w:afterAutospacing="0"/>
              <w:textAlignment w:val="baseline"/>
              <w:rPr>
                <w:noProof/>
              </w:rPr>
            </w:pPr>
            <w:r>
              <w:rPr>
                <w:noProof/>
              </w:rPr>
              <w:t>Er wordt voorzien in een voldoende aantal gekwalificeerde leerkrachten computerwetenschappen om activiteiten uit te voeren waarbij gebruik wordt gemaakt van KI- en STEM-laboratoria.</w:t>
            </w:r>
          </w:p>
          <w:p w14:paraId="00F621CE"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p w14:paraId="6CC8E585" w14:textId="12DA7B5D"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De leveringen worden op eerlijke en transparante wijze in overleg met de lokale overheden verdeeld en worden door de eindontvangers of de lokale overheden in geen enkele vorm aan de Poolse regering terugbetaald.</w:t>
            </w:r>
          </w:p>
        </w:tc>
      </w:tr>
      <w:tr w:rsidR="00480F1C" w14:paraId="66027981"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198E7F0" w14:textId="4901E869"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C14L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06D606" w14:textId="2347B14B"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C2.2.1 Scholen/instellingen uitrusten met adequate ICT-apparatuur en -infrastructuur om de algemene prestaties van het onderwijssysteem te verbeteren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B4D9D58" w14:textId="24B751E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B99E181" w14:textId="2827D9D6"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Digitalisering van het examensysteem</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6CF5F8" w14:textId="266734C1"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Verslag over de succesvolle voltooiing van de digitalisering van het examensysteem</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424F859"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582C3A"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highlight w:val="yellow"/>
              </w:rPr>
            </w:pPr>
          </w:p>
        </w:tc>
        <w:tc>
          <w:tcPr>
            <w:tcW w:w="8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6A561E5"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highlight w:val="yellow"/>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1A96A33" w14:textId="4A5E5E1E"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4</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B5C28D5" w14:textId="1C5FA949"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2025</w:t>
            </w:r>
          </w:p>
        </w:tc>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997220F" w14:textId="17EBE1CF"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Het examensysteem wordt gereorganiseerd en verbeterd zodat examens op afstand kunnen worden afgelegd. De digitalisering van het huidige examensysteem omvat de reorganisatie en modernisering van de centrale en regionale onderzoekscommissies en het IT-Onderwijscentrum.</w:t>
            </w:r>
          </w:p>
        </w:tc>
      </w:tr>
      <w:tr w:rsidR="00480F1C" w14:paraId="4008674A"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FC75BA9" w14:textId="730EDB34" w:rsidR="00480F1C" w:rsidRDefault="00A201F6">
            <w:pPr>
              <w:pStyle w:val="P68B1DB1-Normal010"/>
              <w:spacing w:line="240" w:lineRule="auto"/>
              <w:jc w:val="center"/>
              <w:rPr>
                <w:rFonts w:cs="Times New Roman"/>
                <w:noProof/>
              </w:rPr>
            </w:pPr>
            <w:r>
              <w:rPr>
                <w:noProof/>
              </w:rPr>
              <w:t>C15L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6D676C3" w14:textId="55D14B3A" w:rsidR="00480F1C" w:rsidRDefault="00A201F6">
            <w:pPr>
              <w:pStyle w:val="P68B1DB1-Normal011"/>
              <w:spacing w:line="240" w:lineRule="auto"/>
              <w:rPr>
                <w:rFonts w:eastAsia="Times New Roman" w:cs="Times New Roman"/>
                <w:noProof/>
                <w:color w:val="000000" w:themeColor="text1"/>
              </w:rPr>
            </w:pPr>
            <w:r>
              <w:rPr>
                <w:noProof/>
              </w:rPr>
              <w:t xml:space="preserve">C4.1.1 Ondersteuning van de digitale transformatie van bedrijven door het gebruik van cloud computing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2895945" w14:textId="7B1F75A1" w:rsidR="00480F1C" w:rsidRDefault="00A201F6">
            <w:pPr>
              <w:pStyle w:val="P68B1DB1-Normal011"/>
              <w:spacing w:line="240" w:lineRule="auto"/>
              <w:rPr>
                <w:rFonts w:eastAsia="Times New Roman" w:cs="Times New Roman"/>
                <w:noProof/>
                <w:color w:val="000000" w:themeColor="text1"/>
              </w:rPr>
            </w:pPr>
            <w:r>
              <w:rPr>
                <w:noProof/>
              </w:rPr>
              <w:t>Mijlpaal</w:t>
            </w: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BD76FA8" w14:textId="30F9955B" w:rsidR="00480F1C" w:rsidRDefault="00A201F6">
            <w:pPr>
              <w:pStyle w:val="P68B1DB1-Normal011"/>
              <w:spacing w:line="240" w:lineRule="auto"/>
              <w:rPr>
                <w:rFonts w:eastAsia="Times New Roman" w:cs="Times New Roman"/>
                <w:noProof/>
                <w:color w:val="000000" w:themeColor="text1"/>
              </w:rPr>
            </w:pPr>
            <w:r>
              <w:rPr>
                <w:noProof/>
              </w:rPr>
              <w:t xml:space="preserve">Gids voor de digitale transformatie van ondernemers die cloudcomputing gebruiken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DB50C16" w14:textId="408B538F" w:rsidR="00480F1C" w:rsidRDefault="00A201F6">
            <w:pPr>
              <w:pStyle w:val="P68B1DB1-Normal011"/>
              <w:spacing w:after="0" w:line="240" w:lineRule="auto"/>
              <w:rPr>
                <w:noProof/>
              </w:rPr>
            </w:pPr>
            <w:r>
              <w:rPr>
                <w:noProof/>
              </w:rPr>
              <w:t>Publicatie op de website van het ministerie dat verantwoordelijk is voor automatisering</w:t>
            </w:r>
          </w:p>
          <w:p w14:paraId="4C8033A4" w14:textId="1E2A80DC"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74F3C30" w14:textId="7A807A8F"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48D1E91" w14:textId="6A1577B0" w:rsidR="00480F1C" w:rsidRDefault="00480F1C">
            <w:pPr>
              <w:pStyle w:val="Normal0"/>
              <w:spacing w:line="240" w:lineRule="auto"/>
              <w:rPr>
                <w:rFonts w:ascii="Times New Roman" w:eastAsia="Times New Roman" w:hAnsi="Times New Roman" w:cs="Times New Roman"/>
                <w:noProof/>
                <w:color w:val="000000" w:themeColor="text1"/>
                <w:sz w:val="18"/>
                <w:highlight w:val="yellow"/>
              </w:rPr>
            </w:pPr>
          </w:p>
        </w:tc>
        <w:tc>
          <w:tcPr>
            <w:tcW w:w="8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EAD671" w14:textId="249307ED" w:rsidR="00480F1C" w:rsidRDefault="00480F1C">
            <w:pPr>
              <w:pStyle w:val="Normal0"/>
              <w:spacing w:line="240" w:lineRule="auto"/>
              <w:rPr>
                <w:rFonts w:ascii="Times New Roman" w:eastAsia="Times New Roman" w:hAnsi="Times New Roman" w:cs="Times New Roman"/>
                <w:noProof/>
                <w:color w:val="000000" w:themeColor="text1"/>
                <w:sz w:val="18"/>
                <w:highlight w:val="yellow"/>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D14D327" w14:textId="074382C7" w:rsidR="00480F1C" w:rsidRDefault="00A201F6">
            <w:pPr>
              <w:pStyle w:val="P68B1DB1-Normal011"/>
              <w:spacing w:line="240" w:lineRule="auto"/>
              <w:jc w:val="center"/>
              <w:rPr>
                <w:rFonts w:eastAsia="Times New Roman" w:cs="Times New Roman"/>
                <w:noProof/>
                <w:color w:val="000000" w:themeColor="text1"/>
              </w:rPr>
            </w:pPr>
            <w:r>
              <w:rPr>
                <w:noProof/>
              </w:rPr>
              <w:t>KWARTAAL 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DEE578D" w14:textId="5A8C14F3" w:rsidR="00480F1C" w:rsidRDefault="00A201F6">
            <w:pPr>
              <w:pStyle w:val="P68B1DB1-Normal011"/>
              <w:spacing w:line="240" w:lineRule="auto"/>
              <w:jc w:val="center"/>
              <w:rPr>
                <w:rFonts w:eastAsia="Times New Roman" w:cs="Times New Roman"/>
                <w:noProof/>
                <w:color w:val="000000" w:themeColor="text1"/>
              </w:rPr>
            </w:pPr>
            <w:r>
              <w:rPr>
                <w:noProof/>
              </w:rPr>
              <w:t>2024</w:t>
            </w:r>
          </w:p>
        </w:tc>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E38BC89" w14:textId="46FA333F" w:rsidR="00480F1C" w:rsidRDefault="00A201F6">
            <w:pPr>
              <w:pStyle w:val="Normal0"/>
              <w:spacing w:after="0" w:line="240" w:lineRule="auto"/>
              <w:rPr>
                <w:noProof/>
              </w:rPr>
            </w:pPr>
            <w:r>
              <w:rPr>
                <w:rFonts w:ascii="Times New Roman" w:hAnsi="Times New Roman"/>
                <w:noProof/>
                <w:color w:val="000000" w:themeColor="text1"/>
                <w:sz w:val="18"/>
              </w:rPr>
              <w:t xml:space="preserve">Publicatie op de webpagina van het verantwoordelijke ministerie van een gids over de digitale transformatie van bedrijven die gebruikmaken van cloud computing. Deze gids is een compendium van kennis (met inbegrip van veelgestelde vragen), richtsnoeren en voorbeelden van het gebruik van moderne technologieën, met name cloud computing, bij de digitale transformatie van bedrijven. De voor automatisering bevoegde minister is belast met de voorbereiding van de documenten. </w:t>
            </w:r>
            <w:r>
              <w:rPr>
                <w:noProof/>
              </w:rPr>
              <w:t xml:space="preserve"> </w:t>
            </w:r>
          </w:p>
          <w:p w14:paraId="21C9D95A" w14:textId="6AA5959D" w:rsidR="00480F1C" w:rsidRDefault="00480F1C">
            <w:pPr>
              <w:pStyle w:val="Normal0"/>
              <w:spacing w:line="240" w:lineRule="auto"/>
              <w:rPr>
                <w:rFonts w:ascii="Times New Roman" w:eastAsia="Times New Roman" w:hAnsi="Times New Roman" w:cs="Times New Roman"/>
                <w:noProof/>
                <w:color w:val="000000" w:themeColor="text1"/>
                <w:sz w:val="18"/>
              </w:rPr>
            </w:pPr>
          </w:p>
        </w:tc>
      </w:tr>
      <w:tr w:rsidR="00480F1C" w14:paraId="78B9A43C"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36D4D6F" w14:textId="3708956C" w:rsidR="00480F1C" w:rsidRDefault="00A201F6">
            <w:pPr>
              <w:pStyle w:val="P68B1DB1-Normal010"/>
              <w:spacing w:line="240" w:lineRule="auto"/>
              <w:jc w:val="center"/>
              <w:rPr>
                <w:rFonts w:cs="Times New Roman"/>
                <w:noProof/>
              </w:rPr>
            </w:pPr>
            <w:r>
              <w:rPr>
                <w:noProof/>
              </w:rPr>
              <w:t>C16L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B0DE7ED" w14:textId="46DBA956" w:rsidR="00480F1C" w:rsidRDefault="00A201F6">
            <w:pPr>
              <w:pStyle w:val="P68B1DB1-Normal011"/>
              <w:spacing w:line="240" w:lineRule="auto"/>
              <w:rPr>
                <w:rFonts w:eastAsia="Times New Roman" w:cs="Times New Roman"/>
                <w:noProof/>
                <w:color w:val="000000" w:themeColor="text1"/>
              </w:rPr>
            </w:pPr>
            <w:r>
              <w:rPr>
                <w:noProof/>
              </w:rPr>
              <w:t xml:space="preserve">C4.1.1 Ondersteuning van de digitale transformatie van bedrijven door het gebruik van cloud computing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C9400A7" w14:textId="6C7C4FF1" w:rsidR="00480F1C" w:rsidRDefault="00A201F6">
            <w:pPr>
              <w:pStyle w:val="P68B1DB1-Normal011"/>
              <w:spacing w:line="240" w:lineRule="auto"/>
              <w:rPr>
                <w:rFonts w:eastAsia="Times New Roman" w:cs="Times New Roman"/>
                <w:noProof/>
                <w:color w:val="000000" w:themeColor="text1"/>
              </w:rPr>
            </w:pPr>
            <w:r>
              <w:rPr>
                <w:noProof/>
              </w:rPr>
              <w:t>Mijlpaal</w:t>
            </w: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077ACDF" w14:textId="0C1FB486" w:rsidR="00480F1C" w:rsidRDefault="00A201F6">
            <w:pPr>
              <w:pStyle w:val="P68B1DB1-Normal011"/>
              <w:spacing w:after="0" w:line="240" w:lineRule="auto"/>
              <w:rPr>
                <w:noProof/>
              </w:rPr>
            </w:pPr>
            <w:r>
              <w:rPr>
                <w:noProof/>
              </w:rPr>
              <w:t>Uitwerkingsovereenkomst</w:t>
            </w:r>
          </w:p>
          <w:p w14:paraId="1E1743FD" w14:textId="3F0ECC7B"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EDC8744" w14:textId="2D63D592" w:rsidR="00480F1C" w:rsidRDefault="00A201F6">
            <w:pPr>
              <w:pStyle w:val="P68B1DB1-Normal011"/>
              <w:spacing w:after="0" w:line="240" w:lineRule="auto"/>
              <w:rPr>
                <w:noProof/>
              </w:rPr>
            </w:pPr>
            <w:r>
              <w:rPr>
                <w:noProof/>
              </w:rPr>
              <w:t>Inwerkingtreding van de uitvoeringsovereenkomst tussen de minister bevoegd voor automatisering en Bank Gospodarstwa Krajowego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E808C8F" w14:textId="567121DD"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0D9B1BB" w14:textId="3ECBC96B" w:rsidR="00480F1C" w:rsidRDefault="00480F1C">
            <w:pPr>
              <w:pStyle w:val="Normal0"/>
              <w:spacing w:line="240" w:lineRule="auto"/>
              <w:rPr>
                <w:rFonts w:ascii="Times New Roman" w:eastAsia="Times New Roman" w:hAnsi="Times New Roman" w:cs="Times New Roman"/>
                <w:noProof/>
                <w:color w:val="000000" w:themeColor="text1"/>
                <w:sz w:val="18"/>
                <w:highlight w:val="yellow"/>
              </w:rPr>
            </w:pPr>
          </w:p>
        </w:tc>
        <w:tc>
          <w:tcPr>
            <w:tcW w:w="8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B5DB958" w14:textId="1BCB281E" w:rsidR="00480F1C" w:rsidRDefault="00480F1C">
            <w:pPr>
              <w:pStyle w:val="Normal0"/>
              <w:spacing w:line="240" w:lineRule="auto"/>
              <w:rPr>
                <w:rFonts w:ascii="Times New Roman" w:eastAsia="Times New Roman" w:hAnsi="Times New Roman" w:cs="Times New Roman"/>
                <w:noProof/>
                <w:color w:val="000000" w:themeColor="text1"/>
                <w:sz w:val="18"/>
                <w:highlight w:val="yellow"/>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982BA74" w14:textId="6DB9B267" w:rsidR="00480F1C" w:rsidRDefault="00A201F6">
            <w:pPr>
              <w:pStyle w:val="P68B1DB1-Normal011"/>
              <w:spacing w:line="240" w:lineRule="auto"/>
              <w:jc w:val="center"/>
              <w:rPr>
                <w:rFonts w:eastAsia="Times New Roman" w:cs="Times New Roman"/>
                <w:noProof/>
                <w:color w:val="000000" w:themeColor="text1"/>
              </w:rPr>
            </w:pPr>
            <w:r>
              <w:rPr>
                <w:noProof/>
              </w:rPr>
              <w:t>KWARTAAL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C5099C5" w14:textId="1B0E1F5F" w:rsidR="00480F1C" w:rsidRDefault="00A201F6">
            <w:pPr>
              <w:pStyle w:val="P68B1DB1-Normal011"/>
              <w:spacing w:line="240" w:lineRule="auto"/>
              <w:jc w:val="center"/>
              <w:rPr>
                <w:rFonts w:eastAsia="Times New Roman" w:cs="Times New Roman"/>
                <w:noProof/>
                <w:color w:val="000000" w:themeColor="text1"/>
              </w:rPr>
            </w:pPr>
            <w:r>
              <w:rPr>
                <w:noProof/>
              </w:rPr>
              <w:t>2024</w:t>
            </w:r>
          </w:p>
        </w:tc>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6EB0652" w14:textId="7FF89167" w:rsidR="00480F1C" w:rsidRDefault="00A201F6">
            <w:pPr>
              <w:pStyle w:val="P68B1DB1-Normal011"/>
              <w:spacing w:after="0" w:line="240" w:lineRule="auto"/>
              <w:rPr>
                <w:noProof/>
              </w:rPr>
            </w:pPr>
            <w:r>
              <w:rPr>
                <w:noProof/>
              </w:rPr>
              <w:t>Inwerkingtreding van de uitvoeringsovereenkomst tussen de minister bevoegd voor automatisering en Bank Gospodarstwa Krajowego.</w:t>
            </w:r>
          </w:p>
          <w:p w14:paraId="775E5BEC" w14:textId="56A38DF0" w:rsidR="00480F1C" w:rsidRDefault="00480F1C">
            <w:pPr>
              <w:pStyle w:val="Normal0"/>
              <w:spacing w:line="240" w:lineRule="auto"/>
              <w:rPr>
                <w:rFonts w:ascii="Times New Roman" w:eastAsia="Times New Roman" w:hAnsi="Times New Roman" w:cs="Times New Roman"/>
                <w:noProof/>
                <w:color w:val="000000" w:themeColor="text1"/>
                <w:sz w:val="18"/>
              </w:rPr>
            </w:pPr>
          </w:p>
        </w:tc>
      </w:tr>
      <w:tr w:rsidR="00480F1C" w14:paraId="067F09BA"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FEE9B7A" w14:textId="0589A8BF" w:rsidR="00480F1C" w:rsidRDefault="00A201F6">
            <w:pPr>
              <w:pStyle w:val="P68B1DB1-Normal010"/>
              <w:spacing w:line="240" w:lineRule="auto"/>
              <w:jc w:val="center"/>
              <w:rPr>
                <w:rFonts w:cs="Times New Roman"/>
                <w:noProof/>
              </w:rPr>
            </w:pPr>
            <w:r>
              <w:rPr>
                <w:noProof/>
              </w:rPr>
              <w:t>C17L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EB177B3" w14:textId="56851803" w:rsidR="00480F1C" w:rsidRDefault="00A201F6">
            <w:pPr>
              <w:pStyle w:val="P68B1DB1-Normal011"/>
              <w:spacing w:line="240" w:lineRule="auto"/>
              <w:rPr>
                <w:rFonts w:eastAsia="Times New Roman" w:cs="Times New Roman"/>
                <w:noProof/>
                <w:color w:val="000000" w:themeColor="text1"/>
              </w:rPr>
            </w:pPr>
            <w:r>
              <w:rPr>
                <w:noProof/>
              </w:rPr>
              <w:t>C4.1.1 Ondersteuning van de digitale transformatie van bedrijven door het gebruik van cloud computing</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819EFB4" w14:textId="2AD1C4E6" w:rsidR="00480F1C" w:rsidRDefault="00A201F6">
            <w:pPr>
              <w:pStyle w:val="P68B1DB1-Normal011"/>
              <w:spacing w:line="240" w:lineRule="auto"/>
              <w:rPr>
                <w:rFonts w:eastAsia="Times New Roman" w:cs="Times New Roman"/>
                <w:noProof/>
                <w:color w:val="000000" w:themeColor="text1"/>
              </w:rPr>
            </w:pPr>
            <w:r>
              <w:rPr>
                <w:noProof/>
              </w:rPr>
              <w:t>Doel</w:t>
            </w: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4AE946" w14:textId="28317175" w:rsidR="00480F1C" w:rsidRDefault="00A201F6">
            <w:pPr>
              <w:pStyle w:val="P68B1DB1-Normal011"/>
              <w:spacing w:after="0" w:line="240" w:lineRule="auto"/>
              <w:rPr>
                <w:noProof/>
              </w:rPr>
            </w:pPr>
            <w:r>
              <w:rPr>
                <w:noProof/>
              </w:rPr>
              <w:t>Juridische overeenkomsten met eindbegunstigden</w:t>
            </w:r>
          </w:p>
          <w:p w14:paraId="793DDF74" w14:textId="12AF55BD"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DB6C3E4" w14:textId="09EAA1C7"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5A84EC1" w14:textId="3F6D2EB1" w:rsidR="00480F1C" w:rsidRDefault="00A201F6">
            <w:pPr>
              <w:pStyle w:val="P68B1DB1-Normal011"/>
              <w:spacing w:after="0" w:line="240" w:lineRule="auto"/>
              <w:rPr>
                <w:noProof/>
              </w:rPr>
            </w:pPr>
            <w:r>
              <w:rPr>
                <w:noProof/>
              </w:rPr>
              <w:t>%</w:t>
            </w:r>
          </w:p>
          <w:p w14:paraId="214830EA" w14:textId="155586C3"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88C29F4" w14:textId="57FB4C11" w:rsidR="00480F1C" w:rsidRDefault="00A201F6">
            <w:pPr>
              <w:pStyle w:val="P68B1DB1-Normal011"/>
              <w:spacing w:line="240" w:lineRule="auto"/>
              <w:rPr>
                <w:rFonts w:eastAsia="Times New Roman" w:cs="Times New Roman"/>
                <w:noProof/>
                <w:color w:val="000000" w:themeColor="text1"/>
              </w:rPr>
            </w:pPr>
            <w:r>
              <w:rPr>
                <w:noProof/>
              </w:rPr>
              <w:t>0</w:t>
            </w:r>
          </w:p>
        </w:tc>
        <w:tc>
          <w:tcPr>
            <w:tcW w:w="8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0A4BC0D" w14:textId="08F0D8C7" w:rsidR="00480F1C" w:rsidRDefault="00A201F6">
            <w:pPr>
              <w:pStyle w:val="P68B1DB1-Normal011"/>
              <w:spacing w:line="240" w:lineRule="auto"/>
              <w:rPr>
                <w:rFonts w:eastAsia="Times New Roman" w:cs="Times New Roman"/>
                <w:noProof/>
                <w:color w:val="000000" w:themeColor="text1"/>
              </w:rPr>
            </w:pPr>
            <w:r>
              <w:rPr>
                <w:noProof/>
              </w:rPr>
              <w:t>100 %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29E89AC" w14:textId="1E8AC059" w:rsidR="00480F1C" w:rsidRDefault="00A201F6">
            <w:pPr>
              <w:pStyle w:val="P68B1DB1-Normal011"/>
              <w:spacing w:line="240" w:lineRule="auto"/>
              <w:jc w:val="center"/>
              <w:rPr>
                <w:rFonts w:eastAsia="Times New Roman" w:cs="Times New Roman"/>
                <w:noProof/>
                <w:color w:val="000000" w:themeColor="text1"/>
              </w:rPr>
            </w:pPr>
            <w:r>
              <w:rPr>
                <w:noProof/>
              </w:rPr>
              <w:t>KWARTAAL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B5E60A9" w14:textId="43865253" w:rsidR="00480F1C" w:rsidRDefault="00A201F6">
            <w:pPr>
              <w:pStyle w:val="P68B1DB1-Normal011"/>
              <w:spacing w:line="240" w:lineRule="auto"/>
              <w:jc w:val="center"/>
              <w:rPr>
                <w:rFonts w:eastAsia="Times New Roman" w:cs="Times New Roman"/>
                <w:noProof/>
                <w:color w:val="000000" w:themeColor="text1"/>
              </w:rPr>
            </w:pPr>
            <w:r>
              <w:rPr>
                <w:noProof/>
              </w:rPr>
              <w:t>2026</w:t>
            </w:r>
          </w:p>
        </w:tc>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31AC59D" w14:textId="732B8FAB" w:rsidR="00480F1C" w:rsidRDefault="00A201F6">
            <w:pPr>
              <w:pStyle w:val="P68B1DB1-Normal011"/>
              <w:spacing w:line="240" w:lineRule="auto"/>
              <w:rPr>
                <w:rFonts w:eastAsia="Times New Roman" w:cs="Times New Roman"/>
                <w:noProof/>
                <w:color w:val="000000" w:themeColor="text1"/>
              </w:rPr>
            </w:pPr>
            <w:r>
              <w:rPr>
                <w:noProof/>
              </w:rPr>
              <w:t xml:space="preserve">Bank Gospodarstwa Krajowego zal juridische financieringsovereenkomsten met eindbegunstigden hebben gesloten voor een bedrag dat nodig is om 100 % van de RRF-investeringen in de faciliteit te gebruiken (rekening houdend met beheerskosten).  </w:t>
            </w:r>
          </w:p>
        </w:tc>
      </w:tr>
      <w:tr w:rsidR="00480F1C" w14:paraId="6E8451DC" w14:textId="77777777">
        <w:trPr>
          <w:trHeight w:val="313"/>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F8B0BC5" w14:textId="4535CEE3" w:rsidR="00480F1C" w:rsidRDefault="00A201F6">
            <w:pPr>
              <w:pStyle w:val="P68B1DB1-Normal010"/>
              <w:spacing w:line="240" w:lineRule="auto"/>
              <w:jc w:val="center"/>
              <w:rPr>
                <w:rFonts w:cs="Times New Roman"/>
                <w:noProof/>
              </w:rPr>
            </w:pPr>
            <w:r>
              <w:rPr>
                <w:noProof/>
              </w:rPr>
              <w:t>C18L</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497FC33" w14:textId="3C18A0FC" w:rsidR="00480F1C" w:rsidRDefault="00A201F6">
            <w:pPr>
              <w:pStyle w:val="P68B1DB1-Normal011"/>
              <w:spacing w:line="240" w:lineRule="auto"/>
              <w:rPr>
                <w:rFonts w:eastAsia="Times New Roman" w:cs="Times New Roman"/>
                <w:noProof/>
                <w:color w:val="000000" w:themeColor="text1"/>
              </w:rPr>
            </w:pPr>
            <w:r>
              <w:rPr>
                <w:noProof/>
              </w:rPr>
              <w:t>C4.1.1 Ondersteuning van de digitale transformatie van bedrijven door het gebruik van cloud computing</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A90ED93" w14:textId="2B0F15DE" w:rsidR="00480F1C" w:rsidRDefault="00A201F6">
            <w:pPr>
              <w:pStyle w:val="P68B1DB1-Normal011"/>
              <w:spacing w:line="240" w:lineRule="auto"/>
              <w:rPr>
                <w:rFonts w:eastAsia="Times New Roman" w:cs="Times New Roman"/>
                <w:noProof/>
                <w:color w:val="000000" w:themeColor="text1"/>
              </w:rPr>
            </w:pPr>
            <w:r>
              <w:rPr>
                <w:noProof/>
              </w:rPr>
              <w:t>Mijlpaal</w:t>
            </w:r>
          </w:p>
        </w:tc>
        <w:tc>
          <w:tcPr>
            <w:tcW w:w="24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C49CC8F" w14:textId="7D515697" w:rsidR="00480F1C" w:rsidRDefault="00A201F6">
            <w:pPr>
              <w:pStyle w:val="P68B1DB1-Normal011"/>
              <w:spacing w:after="0" w:line="240" w:lineRule="auto"/>
              <w:rPr>
                <w:noProof/>
              </w:rPr>
            </w:pPr>
            <w:r>
              <w:rPr>
                <w:noProof/>
              </w:rPr>
              <w:t>Ministerie heeft de investering voltooid</w:t>
            </w:r>
          </w:p>
          <w:p w14:paraId="714D3829" w14:textId="66AF6EB5"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58E3BC" w14:textId="05FFF14D" w:rsidR="00480F1C" w:rsidRDefault="00A201F6">
            <w:pPr>
              <w:pStyle w:val="P68B1DB1-Normal011"/>
              <w:spacing w:after="0" w:line="240" w:lineRule="auto"/>
              <w:rPr>
                <w:noProof/>
              </w:rPr>
            </w:pPr>
            <w:r>
              <w:rPr>
                <w:noProof/>
              </w:rPr>
              <w:t>Overdrachtscertificaat</w:t>
            </w:r>
          </w:p>
          <w:p w14:paraId="52B66A9F" w14:textId="21CECAAE"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7C1A291" w14:textId="6C8D2D09"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E47ACBE" w14:textId="6C42A5BF" w:rsidR="00480F1C" w:rsidRDefault="00480F1C">
            <w:pPr>
              <w:pStyle w:val="Normal0"/>
              <w:spacing w:line="240" w:lineRule="auto"/>
              <w:rPr>
                <w:rFonts w:ascii="Times New Roman" w:eastAsia="Times New Roman" w:hAnsi="Times New Roman" w:cs="Times New Roman"/>
                <w:noProof/>
                <w:color w:val="000000" w:themeColor="text1"/>
                <w:sz w:val="18"/>
                <w:highlight w:val="yellow"/>
              </w:rPr>
            </w:pPr>
          </w:p>
        </w:tc>
        <w:tc>
          <w:tcPr>
            <w:tcW w:w="8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CB27932" w14:textId="75019B00" w:rsidR="00480F1C" w:rsidRDefault="00480F1C">
            <w:pPr>
              <w:pStyle w:val="Normal0"/>
              <w:spacing w:line="240" w:lineRule="auto"/>
              <w:rPr>
                <w:rFonts w:ascii="Times New Roman" w:eastAsia="Times New Roman" w:hAnsi="Times New Roman" w:cs="Times New Roman"/>
                <w:noProof/>
                <w:color w:val="000000" w:themeColor="text1"/>
                <w:sz w:val="18"/>
                <w:highlight w:val="yellow"/>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A1B67AB" w14:textId="5A478CA9" w:rsidR="00480F1C" w:rsidRDefault="00A201F6">
            <w:pPr>
              <w:pStyle w:val="P68B1DB1-Normal011"/>
              <w:spacing w:line="240" w:lineRule="auto"/>
              <w:jc w:val="center"/>
              <w:rPr>
                <w:rFonts w:eastAsia="Times New Roman" w:cs="Times New Roman"/>
                <w:noProof/>
                <w:color w:val="000000" w:themeColor="text1"/>
              </w:rPr>
            </w:pPr>
            <w:r>
              <w:rPr>
                <w:noProof/>
              </w:rPr>
              <w:t>KWARTAAL 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BD41BD9" w14:textId="1C367D46" w:rsidR="00480F1C" w:rsidRDefault="00A201F6">
            <w:pPr>
              <w:pStyle w:val="P68B1DB1-Normal011"/>
              <w:spacing w:line="240" w:lineRule="auto"/>
              <w:jc w:val="center"/>
              <w:rPr>
                <w:rFonts w:eastAsia="Times New Roman" w:cs="Times New Roman"/>
                <w:noProof/>
                <w:color w:val="000000" w:themeColor="text1"/>
              </w:rPr>
            </w:pPr>
            <w:r>
              <w:rPr>
                <w:noProof/>
              </w:rPr>
              <w:t>2026</w:t>
            </w:r>
          </w:p>
        </w:tc>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09F9C50" w14:textId="5ED67A98" w:rsidR="00480F1C" w:rsidRDefault="00A201F6">
            <w:pPr>
              <w:pStyle w:val="P68B1DB1-Normal011"/>
              <w:spacing w:after="0" w:line="240" w:lineRule="auto"/>
              <w:rPr>
                <w:noProof/>
              </w:rPr>
            </w:pPr>
            <w:r>
              <w:rPr>
                <w:noProof/>
              </w:rPr>
              <w:t>Polen draagt 650 000 000 EUR over aan Bank Gospodarstwa Krajowego voor de faciliteit.</w:t>
            </w:r>
          </w:p>
          <w:p w14:paraId="39D95624" w14:textId="7DD4D4F8" w:rsidR="00480F1C" w:rsidRDefault="00480F1C">
            <w:pPr>
              <w:pStyle w:val="Normal0"/>
              <w:spacing w:line="240" w:lineRule="auto"/>
              <w:rPr>
                <w:rFonts w:ascii="Times New Roman" w:eastAsia="Times New Roman" w:hAnsi="Times New Roman" w:cs="Times New Roman"/>
                <w:noProof/>
                <w:color w:val="000000" w:themeColor="text1"/>
                <w:sz w:val="18"/>
              </w:rPr>
            </w:pPr>
          </w:p>
        </w:tc>
      </w:tr>
    </w:tbl>
    <w:p w14:paraId="7BD58BA2"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sectPr w:rsidR="00480F1C" w:rsidSect="009B6BB9">
          <w:headerReference w:type="even" r:id="rId97"/>
          <w:headerReference w:type="default" r:id="rId98"/>
          <w:footerReference w:type="even" r:id="rId99"/>
          <w:footerReference w:type="default" r:id="rId100"/>
          <w:headerReference w:type="first" r:id="rId101"/>
          <w:footerReference w:type="first" r:id="rId102"/>
          <w:pgSz w:w="16839" w:h="11907" w:orient="landscape"/>
          <w:pgMar w:top="720" w:right="720" w:bottom="720" w:left="720" w:header="709" w:footer="709" w:gutter="0"/>
          <w:cols w:space="720"/>
          <w:docGrid w:linePitch="299"/>
        </w:sectPr>
      </w:pPr>
    </w:p>
    <w:p w14:paraId="53144A02" w14:textId="77777777" w:rsidR="00480F1C" w:rsidRDefault="00A201F6">
      <w:pPr>
        <w:pStyle w:val="P68B1DB1-Normal08"/>
        <w:pBdr>
          <w:top w:val="nil"/>
          <w:left w:val="nil"/>
          <w:bottom w:val="nil"/>
          <w:right w:val="nil"/>
          <w:between w:val="nil"/>
        </w:pBdr>
        <w:spacing w:before="120" w:after="120" w:line="240" w:lineRule="auto"/>
        <w:jc w:val="both"/>
        <w:rPr>
          <w:rFonts w:eastAsia="Times New Roman" w:cs="Times New Roman"/>
          <w:smallCaps/>
          <w:noProof/>
        </w:rPr>
      </w:pPr>
      <w:r>
        <w:rPr>
          <w:noProof/>
        </w:rPr>
        <w:t>D. CO</w:t>
      </w:r>
      <w:r>
        <w:rPr>
          <w:smallCaps/>
          <w:noProof/>
        </w:rPr>
        <w:t>MPONENT D: „DOELTREFFENDHEID, TOEGANKELIJKHEID EN KWALITEIT VAN HET GEZONDHEIDSSTELSEL”</w:t>
      </w:r>
    </w:p>
    <w:p w14:paraId="1BC08902" w14:textId="5BBDC939" w:rsidR="00480F1C" w:rsidRDefault="00A201F6">
      <w:pPr>
        <w:pStyle w:val="P68B1DB1-Normal05"/>
        <w:pBdr>
          <w:top w:val="nil"/>
          <w:left w:val="nil"/>
          <w:bottom w:val="nil"/>
          <w:right w:val="nil"/>
          <w:between w:val="nil"/>
        </w:pBdr>
        <w:spacing w:before="120" w:after="120" w:line="257" w:lineRule="auto"/>
        <w:jc w:val="both"/>
        <w:rPr>
          <w:rFonts w:eastAsia="Times New Roman" w:cs="Times New Roman"/>
          <w:noProof/>
          <w:color w:val="000000"/>
        </w:rPr>
      </w:pPr>
      <w:r>
        <w:rPr>
          <w:noProof/>
        </w:rPr>
        <w:t>Het onderdeel heeft betrekking op verschillende uitdagingen waarmee het Poolse gezondheidszorgstelsel momenteel wordt geconfronteerd. De verschuiving naar eerstelijnszorg en ambulante zorg is van bijzonder belang, aangezien de uitgaven voor gezondheidszorg naar verwachting op de middellange tot lange termijn aanzienlijk zullen stijgen, waardoor de druk op de overheidsfinanciën zal toenemen. De ziekenhuissector moet dringend worden hervormd, aangevuld met gerichte investeringen. Sommige ziekenhuizen hebben aanzienlijke schulden en een lage bezettingsgraad, terwijl veel medische procedures die momenteel in ziekenhuizen worden uitgevoerd, tegen lagere zorgniveaus en lagere kosten kunnen worden uitgevoerd. Het stelsel van eerstelijnszorg is ondergefinancierd, onderbemand en overbelast zijn diensten. Tegelijkertijd heeft het ziekenhuisstelsel te kampen met chronische onderfinanciering, met name op het gebied van personele middelen. Als gevolg van ongunstige omstandigheden, zoals lage lonen, zijn medische beroepen niet populair en is er sprake van een aanzienlijke „braindrain”. Het tekort aan personele middelen plaatst Polen op de laagste plaats in vergelijking met andere lidstaten en maakt het noodzakelijk om ervoor te zorgen dat beroepsbeoefenaren hun pensioengerechtigde leeftijd niet hebben bereikt. De toegang tot zorg verschilt per regio. E-gezondheidszorg en moderne beheerspraktijken worden onderbenut.</w:t>
      </w:r>
    </w:p>
    <w:p w14:paraId="7CEB1380" w14:textId="77777777" w:rsidR="00480F1C" w:rsidRDefault="00A201F6">
      <w:pPr>
        <w:pStyle w:val="P68B1DB1-Normal05"/>
        <w:pBdr>
          <w:top w:val="nil"/>
          <w:left w:val="nil"/>
          <w:bottom w:val="nil"/>
          <w:right w:val="nil"/>
          <w:between w:val="nil"/>
        </w:pBdr>
        <w:spacing w:before="120" w:after="120" w:line="257" w:lineRule="auto"/>
        <w:jc w:val="both"/>
        <w:rPr>
          <w:rFonts w:eastAsia="Times New Roman" w:cs="Times New Roman"/>
          <w:noProof/>
          <w:color w:val="000000"/>
        </w:rPr>
      </w:pPr>
      <w:r>
        <w:rPr>
          <w:noProof/>
        </w:rPr>
        <w:t>De doelstellingen van de component zijn multidimensionaal: hervorming en ondersteuning met investeringen van de ziekenhuissector in overeenstemming met de noodzaak om de piramide van de gezondheidszorg te rationaliseren, de digitale transformatie van de gezondheidszorg te versnellen, ondersteunende voorwaarden te scheppen voor een toename van het aantal medisch personeel, de ontwikkeling van onderzoek op het gebied van medische wetenschappen en gezondheidswetenschappen te ondersteunen en een gunstig klimaat te scheppen voor de ontwikkeling van de productie van geneesmiddelen in Polen.</w:t>
      </w:r>
    </w:p>
    <w:p w14:paraId="34A2857A" w14:textId="62BB5076" w:rsidR="00480F1C" w:rsidRDefault="00A201F6">
      <w:pPr>
        <w:pStyle w:val="P68B1DB1-Normal05"/>
        <w:pBdr>
          <w:top w:val="nil"/>
          <w:left w:val="nil"/>
          <w:bottom w:val="nil"/>
          <w:right w:val="nil"/>
          <w:between w:val="nil"/>
        </w:pBdr>
        <w:spacing w:before="120" w:after="120" w:line="257" w:lineRule="auto"/>
        <w:jc w:val="both"/>
        <w:rPr>
          <w:rFonts w:eastAsia="Times New Roman" w:cs="Times New Roman"/>
          <w:noProof/>
          <w:color w:val="000000"/>
        </w:rPr>
      </w:pPr>
      <w:r>
        <w:rPr>
          <w:noProof/>
        </w:rPr>
        <w:t xml:space="preserve">De component draagt bij tot de uitvoering van de landspecifieke aanbeveling om de veerkracht, toegankelijkheid en doeltreffendheid van het gezondheidsstelsel te verbeteren, onder meer door voldoende middelen ter beschikking te stellen en de uitrol van e-gezondheidsdiensten te versnellen (landspecifieke aanbeveling 1 2020). </w:t>
      </w:r>
    </w:p>
    <w:p w14:paraId="0394D839" w14:textId="77777777" w:rsidR="00480F1C" w:rsidRDefault="00A201F6">
      <w:pPr>
        <w:pStyle w:val="P68B1DB1-Normal05"/>
        <w:pBdr>
          <w:top w:val="nil"/>
          <w:left w:val="nil"/>
          <w:bottom w:val="nil"/>
          <w:right w:val="nil"/>
          <w:between w:val="nil"/>
        </w:pBdr>
        <w:spacing w:before="120" w:after="120" w:line="257" w:lineRule="auto"/>
        <w:jc w:val="both"/>
        <w:rPr>
          <w:rFonts w:eastAsia="Times New Roman" w:cs="Times New Roman"/>
          <w:noProof/>
        </w:rPr>
      </w:pPr>
      <w:r>
        <w:rPr>
          <w:noProof/>
        </w:rPr>
        <w:t xml:space="preserve">Verwacht wordt dat geen enkele maatregel in deze component ernstige afbreuk doet aan milieudoelstellingen in de zin van artikel 17 van Verordening (EU) 2020/852, rekening houdend met de beschrijving van de maatregelen en de risicobeperkende stappen in het herstel- en veerkrachtplan overeenkomstig de technische richtsnoeren inzake het beginsel „geen ernstige afbreuk doen aan” (2021/C 58/01). </w:t>
      </w:r>
    </w:p>
    <w:p w14:paraId="4357A966" w14:textId="77777777" w:rsidR="00480F1C" w:rsidRDefault="00480F1C">
      <w:pPr>
        <w:pStyle w:val="Normal0"/>
        <w:pBdr>
          <w:top w:val="nil"/>
          <w:left w:val="nil"/>
          <w:bottom w:val="nil"/>
          <w:right w:val="nil"/>
          <w:between w:val="nil"/>
        </w:pBdr>
        <w:spacing w:before="120" w:after="120" w:line="240" w:lineRule="auto"/>
        <w:ind w:left="720"/>
        <w:jc w:val="both"/>
        <w:rPr>
          <w:rFonts w:ascii="Times New Roman" w:eastAsia="Times New Roman" w:hAnsi="Times New Roman" w:cs="Times New Roman"/>
          <w:noProof/>
          <w:color w:val="000000"/>
          <w:sz w:val="24"/>
        </w:rPr>
      </w:pPr>
    </w:p>
    <w:p w14:paraId="75A2EEF8" w14:textId="1D7B9BDB" w:rsidR="00480F1C" w:rsidRDefault="00A201F6">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u w:val="single"/>
        </w:rPr>
      </w:pPr>
      <w:r>
        <w:rPr>
          <w:rFonts w:ascii="Times New Roman" w:hAnsi="Times New Roman"/>
          <w:b/>
          <w:noProof/>
          <w:color w:val="000000" w:themeColor="text1"/>
          <w:sz w:val="24"/>
        </w:rPr>
        <w:t xml:space="preserve">D.1. </w:t>
      </w:r>
      <w:r>
        <w:rPr>
          <w:noProof/>
        </w:rPr>
        <w:tab/>
      </w:r>
      <w:r>
        <w:rPr>
          <w:rFonts w:ascii="Times New Roman" w:hAnsi="Times New Roman"/>
          <w:b/>
          <w:noProof/>
          <w:color w:val="000000" w:themeColor="text1"/>
          <w:sz w:val="24"/>
        </w:rPr>
        <w:t>Beschrijving van de hervormingen en investeringen voor niet-terugbetaalbare financiële steun</w:t>
      </w:r>
    </w:p>
    <w:p w14:paraId="44690661"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sz w:val="24"/>
        </w:rPr>
      </w:pPr>
    </w:p>
    <w:p w14:paraId="16440E8E"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D1.1 Verbetering van de doeltreffendheid, toegankelijkheid en kwaliteit van gezondheidsdiensten</w:t>
      </w:r>
    </w:p>
    <w:p w14:paraId="3EE4104E"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Doel van de hervorming is alomvattende maatregelen in te voeren die bestaan uit de herstructurering van openbare ziekenhuizen. De hervorming moet zorgen voor een blijvende verbetering van de veerkracht, doeltreffendheid, kwaliteit en toegankelijkheid van gezondheidszorg en langdurige zorg, de financiële situatie van openbare ziekenhuizen en de processen voor toezicht op en beheer van deze entiteiten. De hervorming heeft betrekking op de hele ziekenhuissector die gezondheidsdiensten verleent die uit publieke bronnen worden gefinancierd.</w:t>
      </w:r>
    </w:p>
    <w:p w14:paraId="72D401FD"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 hervorming moet ook aanleiding geven tot maatregelen om de piramide van de gezondheidszorg te rationaliseren, </w:t>
      </w:r>
      <w:r>
        <w:rPr>
          <w:i/>
          <w:noProof/>
        </w:rPr>
        <w:t>onder meer</w:t>
      </w:r>
      <w:r>
        <w:rPr>
          <w:noProof/>
        </w:rPr>
        <w:t xml:space="preserve"> door de invoering van nieuwe bepalingen van de wet inzake eerstelijnsgezondheidszorg.</w:t>
      </w:r>
    </w:p>
    <w:p w14:paraId="7834828A" w14:textId="057C91D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 hervorming van de ziekenhuissector wordt ingevoerd door middel van één enkele nieuwe wet, die echter wijzigingen kan aanbrengen in bestaande besluiten, zoals de wet inzake medische activiteiten of de wet op de gezondheidszorg die met overheidsmiddelen wordt gefinancierd. De belangrijkste bepalingen van de hervorming zijn: </w:t>
      </w:r>
    </w:p>
    <w:p w14:paraId="495D48EB" w14:textId="0FA4922E"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herstructurering van de ziekenhuissector door consolidering, herprofilering en wijziging van het toepassingsgebied en de structuur van de door ziekenhuizen verleende gezondheidsdiensten, op basis van de nationale en regionale transformatieplannen en de kaart van de gezondheidsbehoeften, en de dienovereenkomstige actualisering van het ziekenhuisnetwerk. In het herstructureringsproces wordt rekening gehouden met de behoeften van ziekenhuizen die onder toezicht staan van de minister van Nationale Defensie of de minister van Binnenlandse Zaken in verband met de gevolgen van de oorlog in Oekraïne;</w:t>
      </w:r>
    </w:p>
    <w:p w14:paraId="2E9A9DCB"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basis voor maatregelen om de piramide van de gezondheidszorg te rationaliseren door bepaalde gezondheidsdiensten te verschuiven van ziekenhuizen naar lagere zorgniveaus (eerstelijnszorg, ambulante zorg), met dienovereenkomstige herziene bepalingen voor de jaarlijkse financieringsplannen van het NFZ (Nationaal Gezondheidsfonds); en het</w:t>
      </w:r>
    </w:p>
    <w:p w14:paraId="66808C47" w14:textId="559E139A"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veranderingen in het systeem voor ziekenhuisfinanciering die zorgen voor een doeltreffende en duurzame herstructurering, met inbegrip van het op duurzame wijze aanpakken van de schuldverlichting van ziekenhuizen, op basis van transparante en empirisch onderbouwde criteria en een degelijk systeem voor ziekenhuisfinanciering, het stimuleren van goede zorgverlening en het verhogen van de efficiëntie en de kwaliteit van de zorg; en het opzetten van een professioneel systeem voor toezicht op ziekenhuizen, het versterken van het leidinggevend personeel en het stimuleren van het gebruik van moderne systemen, instrumenten en managementmethoden in de gezondheidszorg.</w:t>
      </w:r>
    </w:p>
    <w:p w14:paraId="0B7B3277" w14:textId="23D1ABAF"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 hervorming van de ziekenhuissector moet worden aangevuld met de hervormingen van het nationaal oncologisch netwerk en het nationale cardiologische netwerk, alsook met de kwaliteit van de gezondheidszorg en de patiëntveiligheid. Het doel van deze hervormingen is de toegang tot en de kwaliteit van de oncologische en cardiologische zorg te verbeteren. Het doel van de hervorming inzake de kwaliteit van de gezondheidszorg en de veiligheid van patiënten is de invoering van systemische oplossingen voor de kwaliteitsnormen voor gezondheidszorg en de daaropvolgende monitoring van de duurzame resultaten van de hervorming. </w:t>
      </w:r>
    </w:p>
    <w:p w14:paraId="1F8D5F9D" w14:textId="77777777" w:rsidR="00480F1C" w:rsidRDefault="00A201F6">
      <w:pPr>
        <w:pStyle w:val="P68B1DB1-Normal15"/>
        <w:pBdr>
          <w:top w:val="nil"/>
          <w:left w:val="nil"/>
          <w:bottom w:val="nil"/>
          <w:right w:val="nil"/>
          <w:between w:val="nil"/>
        </w:pBdr>
        <w:tabs>
          <w:tab w:val="left" w:pos="3500"/>
          <w:tab w:val="left" w:pos="3901"/>
        </w:tabs>
        <w:spacing w:before="120" w:after="120" w:line="240" w:lineRule="auto"/>
        <w:jc w:val="both"/>
        <w:rPr>
          <w:rFonts w:eastAsia="Times New Roman" w:cs="Times New Roman"/>
          <w:noProof/>
          <w:color w:val="000000"/>
        </w:rPr>
      </w:pPr>
      <w:r>
        <w:rPr>
          <w:noProof/>
        </w:rPr>
        <w:t>De hervorming bestaat ook uit een wetgevingspakket voor de lancering van nationale e-gezondheidsdiensten en de integratie daarvan in bestaande/beschikbare e-gezondheidsstelsels op nationaal en regionaal niveau.</w:t>
      </w:r>
    </w:p>
    <w:p w14:paraId="5DA92445" w14:textId="4D0003B2" w:rsidR="00480F1C" w:rsidRDefault="00A201F6">
      <w:pPr>
        <w:pStyle w:val="P68B1DB1-Normal05"/>
        <w:pBdr>
          <w:top w:val="nil"/>
          <w:left w:val="nil"/>
          <w:bottom w:val="nil"/>
          <w:right w:val="nil"/>
          <w:between w:val="nil"/>
        </w:pBdr>
        <w:spacing w:before="60" w:after="120" w:line="240" w:lineRule="auto"/>
        <w:jc w:val="both"/>
        <w:rPr>
          <w:rFonts w:eastAsia="Times New Roman" w:cs="Times New Roman"/>
          <w:noProof/>
          <w:color w:val="000000"/>
        </w:rPr>
      </w:pPr>
      <w:r>
        <w:rPr>
          <w:noProof/>
        </w:rPr>
        <w:t>De uitvoering van de hervorming wordt uiterlijk op 31 maart 2026 voltooid.</w:t>
      </w:r>
    </w:p>
    <w:p w14:paraId="74539910" w14:textId="77777777" w:rsidR="00480F1C" w:rsidRDefault="00480F1C">
      <w:pPr>
        <w:pStyle w:val="Normal0"/>
        <w:pBdr>
          <w:top w:val="nil"/>
          <w:left w:val="nil"/>
          <w:bottom w:val="nil"/>
          <w:right w:val="nil"/>
          <w:between w:val="nil"/>
        </w:pBdr>
        <w:spacing w:before="60" w:after="120" w:line="240" w:lineRule="auto"/>
        <w:jc w:val="both"/>
        <w:rPr>
          <w:rFonts w:ascii="Times New Roman" w:eastAsia="Times New Roman" w:hAnsi="Times New Roman" w:cs="Times New Roman"/>
          <w:noProof/>
          <w:color w:val="000000"/>
          <w:sz w:val="24"/>
        </w:rPr>
      </w:pPr>
    </w:p>
    <w:p w14:paraId="76C2A75C" w14:textId="77777777" w:rsidR="00480F1C" w:rsidRDefault="00A201F6">
      <w:pPr>
        <w:pStyle w:val="P68B1DB1-Normal016"/>
        <w:pBdr>
          <w:top w:val="nil"/>
          <w:left w:val="nil"/>
          <w:bottom w:val="nil"/>
          <w:right w:val="nil"/>
          <w:between w:val="nil"/>
        </w:pBdr>
        <w:spacing w:before="120" w:after="120" w:line="240" w:lineRule="auto"/>
        <w:jc w:val="both"/>
        <w:rPr>
          <w:rFonts w:eastAsia="Times New Roman" w:cs="Times New Roman"/>
          <w:b/>
          <w:noProof/>
          <w:color w:val="000000"/>
        </w:rPr>
      </w:pPr>
      <w:r>
        <w:rPr>
          <w:b/>
          <w:noProof/>
        </w:rPr>
        <w:t>D1.1.1 Ontwikkeling en modernisering van de infrastructuur van zeer gespecialiseerde zorgcentra</w:t>
      </w:r>
      <w:r>
        <w:rPr>
          <w:noProof/>
        </w:rPr>
        <w:t xml:space="preserve"> </w:t>
      </w:r>
      <w:r>
        <w:rPr>
          <w:b/>
          <w:noProof/>
        </w:rPr>
        <w:t>en andere zorgaanbieders</w:t>
      </w:r>
    </w:p>
    <w:p w14:paraId="3446A8FC" w14:textId="6BB38E6B"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Het doel van de investering is ziekenhuizen te ondersteunen met investeringsbehoeften die voortvloeien uit de hervormingsprocessen, met inbegrip van consolidatie, herprofilering en transformatie tot entiteiten voor langdurige zorg. De passende investeringsinterventie in het kader van de herstel- en veerkrachtfaciliteit is alleen bedoeld om ziekenhuizen te ondersteunen wanneer investeringsbehoeften zijn vastgesteld en als gevolg van de hervormingsprocessen in het kader van hervorming D.1.1. Medische entiteiten die voor steun in aanmerking komen, zijn ziekenhuizen in de zin van de Wet Medische Activiteiten van 15 april 2011. De steun heeft uitsluitend betrekking op activiteiten die verband houden met de verlening van gezondheidsdiensten die worden gefinancierd door het Nationaal Gezondheidsfonds, en niet op de commerciële activiteiten. De criteria voor financiële steun worden afgestemd op de belangrijkste actiegebieden van de hervorming, waaronder: I) dekking (zoals gedekte bevolking, gedekte uitkeringen en tijdige toegang tot zorg), ii) eigen vermogen (zoals eigen vermogen in financiering, eigen vermogen in verstrekking en gebruik en rechtvaardigheid in gezondheidsresultaten), iii) efficiëntie, met inbegrip van operationele activiteiten (efficiëntie bij het verstrekken van resultaten, efficiëntie bij het inzamelen van middelen), iv) kwaliteit van de zorg en v) beschikbaarheid van middelen (zoals personele en financiële middelen).</w:t>
      </w:r>
    </w:p>
    <w:p w14:paraId="6F7DED5A" w14:textId="494CC961"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 belangrijkste categorieën van investeringsprojecten bestaan uit investeringen in nieuwe medische uitrusting en infrastructuur en bouwwerkzaamheden. </w:t>
      </w:r>
    </w:p>
    <w:p w14:paraId="39A3E2A5"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uitvoering van de investering moet uiterlijk op 30 juni 2026 zijn voltooid.</w:t>
      </w:r>
    </w:p>
    <w:p w14:paraId="5A7E0CF2"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16EA372A" w14:textId="77777777" w:rsidR="00480F1C" w:rsidRDefault="00A201F6">
      <w:pPr>
        <w:pStyle w:val="P68B1DB1-Normal016"/>
        <w:pageBreakBefore/>
        <w:pBdr>
          <w:top w:val="nil"/>
          <w:left w:val="nil"/>
          <w:bottom w:val="nil"/>
          <w:right w:val="nil"/>
          <w:between w:val="nil"/>
        </w:pBdr>
        <w:spacing w:before="120" w:after="120" w:line="240" w:lineRule="auto"/>
        <w:jc w:val="both"/>
        <w:rPr>
          <w:rFonts w:eastAsia="Times New Roman" w:cs="Times New Roman"/>
          <w:b/>
          <w:noProof/>
          <w:color w:val="000000"/>
        </w:rPr>
      </w:pPr>
      <w:r>
        <w:rPr>
          <w:b/>
          <w:noProof/>
        </w:rPr>
        <w:t>D1.1.2 Versnellen van de digitale transformatie van de gezondheid door de verdere ontwikkeling van digitale gezondheidsdiensten</w:t>
      </w:r>
      <w:r>
        <w:rPr>
          <w:noProof/>
        </w:rPr>
        <w:t xml:space="preserve"> </w:t>
      </w:r>
    </w:p>
    <w:p w14:paraId="3C2CB7B6" w14:textId="77777777" w:rsidR="00480F1C" w:rsidRDefault="00A201F6">
      <w:pPr>
        <w:pStyle w:val="P68B1DB1-Normal026"/>
        <w:pBdr>
          <w:top w:val="nil"/>
          <w:left w:val="nil"/>
          <w:bottom w:val="nil"/>
          <w:right w:val="nil"/>
          <w:between w:val="nil"/>
        </w:pBdr>
        <w:spacing w:before="120" w:after="120" w:line="240" w:lineRule="auto"/>
        <w:jc w:val="both"/>
        <w:rPr>
          <w:rFonts w:eastAsia="Times New Roman" w:cs="Times New Roman"/>
          <w:noProof/>
          <w:color w:val="000000"/>
          <w:sz w:val="24"/>
        </w:rPr>
      </w:pPr>
      <w:r>
        <w:rPr>
          <w:noProof/>
          <w:sz w:val="24"/>
        </w:rPr>
        <w:t xml:space="preserve">Het doel van de investering is de digitale transformatie van de gezondheid te versnellen door nieuwe digitale gezondheidsdiensten in te voeren en bestaande digitale diensten verder te ontwikkelen. De investering bestaat uit de lancering van nieuwe e-diensten, met inbegrip van: </w:t>
      </w:r>
    </w:p>
    <w:p w14:paraId="41E88125" w14:textId="215EBC9F" w:rsidR="00480F1C" w:rsidRDefault="00A201F6">
      <w:pPr>
        <w:pStyle w:val="P68B1DB1-Normal05"/>
        <w:numPr>
          <w:ilvl w:val="0"/>
          <w:numId w:val="9"/>
        </w:numPr>
        <w:pBdr>
          <w:top w:val="nil"/>
          <w:left w:val="nil"/>
          <w:bottom w:val="nil"/>
          <w:right w:val="nil"/>
          <w:between w:val="nil"/>
        </w:pBdr>
        <w:spacing w:before="120" w:after="120" w:line="240" w:lineRule="auto"/>
        <w:jc w:val="both"/>
        <w:rPr>
          <w:rFonts w:eastAsia="Times New Roman" w:cs="Times New Roman"/>
          <w:noProof/>
          <w:color w:val="000000"/>
        </w:rPr>
      </w:pPr>
      <w:r>
        <w:rPr>
          <w:noProof/>
        </w:rPr>
        <w:t>een instrument voor patiëntenanalyse ter ondersteuning van de analyse van de gezondheidstoestand van de patiënt,</w:t>
      </w:r>
    </w:p>
    <w:p w14:paraId="1D75A048" w14:textId="77777777" w:rsidR="00480F1C" w:rsidRDefault="00A201F6">
      <w:pPr>
        <w:pStyle w:val="P68B1DB1-Normal05"/>
        <w:numPr>
          <w:ilvl w:val="0"/>
          <w:numId w:val="9"/>
        </w:numPr>
        <w:pBdr>
          <w:top w:val="nil"/>
          <w:left w:val="nil"/>
          <w:bottom w:val="nil"/>
          <w:right w:val="nil"/>
          <w:between w:val="nil"/>
        </w:pBdr>
        <w:spacing w:before="120" w:after="120" w:line="240" w:lineRule="auto"/>
        <w:jc w:val="both"/>
        <w:rPr>
          <w:rFonts w:eastAsia="Times New Roman" w:cs="Times New Roman"/>
          <w:noProof/>
          <w:color w:val="000000"/>
        </w:rPr>
      </w:pPr>
      <w:r>
        <w:rPr>
          <w:noProof/>
        </w:rPr>
        <w:t>een instrument ter ondersteuning van de besluitvorming voor artsen op basis van AI-algoritmen en een centraal register van medische gegevens dat is geïntegreerd met andere belangrijke gezondheidszorgstelsels, en</w:t>
      </w:r>
    </w:p>
    <w:p w14:paraId="2E906F5D" w14:textId="77777777" w:rsidR="00480F1C" w:rsidRDefault="00A201F6">
      <w:pPr>
        <w:pStyle w:val="P68B1DB1-Normal05"/>
        <w:numPr>
          <w:ilvl w:val="0"/>
          <w:numId w:val="9"/>
        </w:numPr>
        <w:pBdr>
          <w:top w:val="nil"/>
          <w:left w:val="nil"/>
          <w:bottom w:val="nil"/>
          <w:right w:val="nil"/>
          <w:between w:val="nil"/>
        </w:pBdr>
        <w:spacing w:before="120" w:after="120" w:line="240" w:lineRule="auto"/>
        <w:jc w:val="both"/>
        <w:rPr>
          <w:rFonts w:eastAsia="Times New Roman" w:cs="Times New Roman"/>
          <w:noProof/>
          <w:color w:val="000000"/>
        </w:rPr>
      </w:pPr>
      <w:r>
        <w:rPr>
          <w:noProof/>
        </w:rPr>
        <w:t>een centraal register van medische gegevens dat is geïntegreerd met andere belangrijke gezondheidszorgstelsels.</w:t>
      </w:r>
    </w:p>
    <w:p w14:paraId="56F59D10"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Er wordt ook een operationeel beveiligingscentrum (SOC) bij het e-gezondheidscentrum opgericht. Het Centrum draagt bij tot de versterking van de IT-middelen van het e-gezondheidscentrum en de aanpassing ervan aan de toenemende behoeften op het gebied van cyberbeveiliging. </w:t>
      </w:r>
    </w:p>
    <w:p w14:paraId="67917374"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uitvoering van de investering moet uiterlijk op 31 maart 2026 zijn voltooid.</w:t>
      </w:r>
    </w:p>
    <w:p w14:paraId="1AC5CDBE"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u w:val="single"/>
        </w:rPr>
      </w:pPr>
    </w:p>
    <w:p w14:paraId="24BF7C14"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D2.1 De juiste voorwaarden scheppen voor een toename van het aantal medisch personeel</w:t>
      </w:r>
    </w:p>
    <w:p w14:paraId="10C1ADB3" w14:textId="77777777" w:rsidR="00480F1C" w:rsidRDefault="00A201F6">
      <w:pPr>
        <w:pStyle w:val="P68B1DB1-Normal05"/>
        <w:pBdr>
          <w:top w:val="nil"/>
          <w:left w:val="nil"/>
          <w:bottom w:val="nil"/>
          <w:right w:val="nil"/>
          <w:between w:val="nil"/>
        </w:pBdr>
        <w:spacing w:before="60" w:after="120" w:line="240" w:lineRule="auto"/>
        <w:jc w:val="both"/>
        <w:rPr>
          <w:rFonts w:eastAsia="Times New Roman" w:cs="Times New Roman"/>
          <w:noProof/>
          <w:color w:val="000000"/>
        </w:rPr>
      </w:pPr>
      <w:r>
        <w:rPr>
          <w:noProof/>
        </w:rPr>
        <w:t xml:space="preserve">Het doel van de hervorming is bij te dragen tot een betere afstemming tussen de behoeften en de beschikbaarheid van medisch personeel in Polen. </w:t>
      </w:r>
    </w:p>
    <w:p w14:paraId="1C81E123" w14:textId="21D6763E" w:rsidR="00480F1C" w:rsidRDefault="00A201F6">
      <w:pPr>
        <w:pStyle w:val="P68B1DB1-Normal05"/>
        <w:pBdr>
          <w:top w:val="nil"/>
          <w:left w:val="nil"/>
          <w:bottom w:val="nil"/>
          <w:right w:val="nil"/>
          <w:between w:val="nil"/>
        </w:pBdr>
        <w:spacing w:before="60" w:after="120" w:line="240" w:lineRule="auto"/>
        <w:jc w:val="both"/>
        <w:rPr>
          <w:rFonts w:eastAsia="Times New Roman" w:cs="Times New Roman"/>
          <w:noProof/>
          <w:color w:val="000000"/>
        </w:rPr>
      </w:pPr>
      <w:r>
        <w:rPr>
          <w:noProof/>
        </w:rPr>
        <w:t>De hervorming bestaat uit initiatieven die erop gericht zijn jongeren te stimuleren om in Polen medische studies te volgen en voort te zetten en vervolgens de geneeskunde uit te oefenen. Het omvat i) de invoering van een regeling voor het verstrekken van leningen aan studenten geneeskunde, met inbegrip van financiële prikkels om na afloop van hun studie in Polen hun beroep uit te oefenen, en ii) het opzetten van studies van de tweede cyclus voor medische hulpverleners, hetgeen zal leiden tot meer kwalificaties en inkomsten voor de betrokken beroepsbeoefenaars.</w:t>
      </w:r>
    </w:p>
    <w:p w14:paraId="6D26946E" w14:textId="77777777" w:rsidR="00480F1C" w:rsidRDefault="00A201F6">
      <w:pPr>
        <w:pStyle w:val="P68B1DB1-Normal05"/>
        <w:pBdr>
          <w:top w:val="nil"/>
          <w:left w:val="nil"/>
          <w:bottom w:val="nil"/>
          <w:right w:val="nil"/>
          <w:between w:val="nil"/>
        </w:pBdr>
        <w:spacing w:before="60" w:after="120" w:line="240" w:lineRule="auto"/>
        <w:jc w:val="both"/>
        <w:rPr>
          <w:rFonts w:eastAsia="Times New Roman" w:cs="Times New Roman"/>
          <w:noProof/>
          <w:color w:val="000000"/>
        </w:rPr>
      </w:pPr>
      <w:r>
        <w:rPr>
          <w:noProof/>
        </w:rPr>
        <w:t xml:space="preserve">De hervorming omvat ook de invoering van wetgeving om medische beroepen aantrekkelijker te maken en de arbeidsomstandigheden van medische beroepsbeoefenaren te verbeteren. Deze wetgeving zal de flexibiliteit van de postdoctorale opleiding vergroten, onder meer door artsen in staat te stellen een nieuw getuigschrift van vakbekwaamheid op verschillende gespecialiseerde gebieden te verkrijgen. Zij verhoogt ook het laagste basissalaris voor een breed scala aan medische beroepsbeoefenaren en reorganiseert de toewijzing van bepaalde competenties tussen artsen en gespecialiseerde medische specialisten, medisch personeel in noodgevallen, verpleegkundigen en andere zorgverleners, na een passende opleiding te hebben verstrekt. </w:t>
      </w:r>
    </w:p>
    <w:p w14:paraId="4675729F" w14:textId="77777777" w:rsidR="00480F1C" w:rsidRDefault="00A201F6">
      <w:pPr>
        <w:pStyle w:val="P68B1DB1-Normal05"/>
        <w:pBdr>
          <w:top w:val="nil"/>
          <w:left w:val="nil"/>
          <w:bottom w:val="nil"/>
          <w:right w:val="nil"/>
          <w:between w:val="nil"/>
        </w:pBdr>
        <w:spacing w:before="60" w:after="120" w:line="240" w:lineRule="auto"/>
        <w:jc w:val="both"/>
        <w:rPr>
          <w:rFonts w:eastAsia="Times New Roman" w:cs="Times New Roman"/>
          <w:noProof/>
          <w:color w:val="000000"/>
        </w:rPr>
      </w:pPr>
      <w:r>
        <w:rPr>
          <w:noProof/>
        </w:rPr>
        <w:t>De uitvoering van de hervorming wordt uiterlijk op 30 juni 2026 voltooid.</w:t>
      </w:r>
    </w:p>
    <w:p w14:paraId="342D4C27" w14:textId="77777777" w:rsidR="00480F1C" w:rsidRDefault="00480F1C">
      <w:pPr>
        <w:pStyle w:val="Normal0"/>
        <w:pBdr>
          <w:top w:val="nil"/>
          <w:left w:val="nil"/>
          <w:bottom w:val="nil"/>
          <w:right w:val="nil"/>
          <w:between w:val="nil"/>
        </w:pBdr>
        <w:spacing w:before="60" w:after="120" w:line="240" w:lineRule="auto"/>
        <w:jc w:val="both"/>
        <w:rPr>
          <w:rFonts w:ascii="Times New Roman" w:eastAsia="Times New Roman" w:hAnsi="Times New Roman" w:cs="Times New Roman"/>
          <w:noProof/>
          <w:color w:val="000000"/>
          <w:sz w:val="24"/>
        </w:rPr>
      </w:pPr>
    </w:p>
    <w:p w14:paraId="534B5041" w14:textId="77777777" w:rsidR="00480F1C" w:rsidRDefault="00A201F6">
      <w:pPr>
        <w:pStyle w:val="P68B1DB1-Normal016"/>
        <w:pBdr>
          <w:top w:val="nil"/>
          <w:left w:val="nil"/>
          <w:bottom w:val="nil"/>
          <w:right w:val="nil"/>
          <w:between w:val="nil"/>
        </w:pBdr>
        <w:spacing w:before="120" w:after="120" w:line="240" w:lineRule="auto"/>
        <w:jc w:val="both"/>
        <w:rPr>
          <w:rFonts w:eastAsia="Times New Roman" w:cs="Times New Roman"/>
          <w:b/>
          <w:noProof/>
          <w:color w:val="000000"/>
        </w:rPr>
      </w:pPr>
      <w:r>
        <w:rPr>
          <w:b/>
          <w:noProof/>
        </w:rPr>
        <w:t>D2.1.1 Investeringen in verband met de modernisering en aanpassing van onderwijsvoorzieningen met het oog op eenverhoging van de toelatingsgrenzen voor medische studies</w:t>
      </w:r>
    </w:p>
    <w:p w14:paraId="0BB9BF31" w14:textId="77777777" w:rsidR="00480F1C" w:rsidRDefault="00A201F6">
      <w:pPr>
        <w:pStyle w:val="P68B1DB1-Normal05"/>
        <w:pBdr>
          <w:top w:val="nil"/>
          <w:left w:val="nil"/>
          <w:bottom w:val="nil"/>
          <w:right w:val="nil"/>
          <w:between w:val="nil"/>
        </w:pBdr>
        <w:spacing w:before="60" w:after="120" w:line="240" w:lineRule="auto"/>
        <w:jc w:val="both"/>
        <w:rPr>
          <w:rFonts w:eastAsia="Times New Roman" w:cs="Times New Roman"/>
          <w:noProof/>
          <w:color w:val="000000"/>
        </w:rPr>
      </w:pPr>
      <w:r>
        <w:rPr>
          <w:noProof/>
        </w:rPr>
        <w:t xml:space="preserve">Het doel van de investering is het vergroten van de capaciteit van medische onderwijsfaciliteiten en het ondersteunen van studenten die deelnemen aan medische studies. </w:t>
      </w:r>
    </w:p>
    <w:p w14:paraId="1305FD10" w14:textId="77777777" w:rsidR="00480F1C" w:rsidRDefault="00A201F6">
      <w:pPr>
        <w:pStyle w:val="P68B1DB1-Normal05"/>
        <w:pBdr>
          <w:top w:val="nil"/>
          <w:left w:val="nil"/>
          <w:bottom w:val="nil"/>
          <w:right w:val="nil"/>
          <w:between w:val="nil"/>
        </w:pBdr>
        <w:spacing w:before="60" w:after="120" w:line="240" w:lineRule="auto"/>
        <w:jc w:val="both"/>
        <w:rPr>
          <w:rFonts w:eastAsia="Times New Roman" w:cs="Times New Roman"/>
          <w:noProof/>
          <w:color w:val="000000"/>
        </w:rPr>
      </w:pPr>
      <w:r>
        <w:rPr>
          <w:noProof/>
        </w:rPr>
        <w:t>Het bestaat uit aanvullende subinvesteringen die gericht zijn op i) de invoering van een tijdelijk systeem van stimulansen om geselecteerde medische cursussen te volgen en voort te zetten, ii) de onderwijsbasis voor preklinische opleidingen te moderniseren, iii) nieuwe leerregelingen op basis van digitale technologieën in te voeren, iv) de klinische basis voor onderwijs in centrale klinische ziekenhuizen aan te passen en te verbeteren, v) opleidingsprogramma’s en stimuleringsregelingen voor onderwijzend personeel uit te voeren, vi) bibliotheken van medische universiteiten, studentenaccommodatie en IT-systemen te moderniseren, en vii) de administratieve processen voor het beheer en het bestuur van medische universiteiten te digitaliseren.</w:t>
      </w:r>
    </w:p>
    <w:p w14:paraId="4D8B9E12"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uitvoering van de investering moet uiterlijk op 30 juni 2026 zijn voltooid.</w:t>
      </w:r>
    </w:p>
    <w:p w14:paraId="62D82DC8" w14:textId="77777777" w:rsidR="00480F1C" w:rsidRDefault="00A201F6">
      <w:pPr>
        <w:pStyle w:val="P68B1DB1-Normal016"/>
        <w:pBdr>
          <w:top w:val="nil"/>
          <w:left w:val="nil"/>
          <w:bottom w:val="nil"/>
          <w:right w:val="nil"/>
          <w:between w:val="nil"/>
        </w:pBdr>
        <w:spacing w:before="120" w:after="120" w:line="240" w:lineRule="auto"/>
        <w:jc w:val="both"/>
        <w:rPr>
          <w:rFonts w:eastAsia="Times New Roman" w:cs="Times New Roman"/>
          <w:b/>
          <w:noProof/>
          <w:color w:val="000000"/>
        </w:rPr>
      </w:pPr>
      <w:r>
        <w:rPr>
          <w:b/>
          <w:noProof/>
        </w:rPr>
        <w:t>D3.1 Verbetering van de efficiëntie en kwaliteit van het gezondheidszorgstelsel door ondersteuning van het Poolse</w:t>
      </w:r>
      <w:r>
        <w:rPr>
          <w:noProof/>
        </w:rPr>
        <w:t xml:space="preserve"> </w:t>
      </w:r>
      <w:r>
        <w:rPr>
          <w:b/>
          <w:noProof/>
        </w:rPr>
        <w:t>onderzoeks- en ontwikkelingspotentieel op het gebied van medische en gezondheidswetenschappen</w:t>
      </w:r>
    </w:p>
    <w:p w14:paraId="01404654" w14:textId="77777777" w:rsidR="00480F1C" w:rsidRDefault="00A201F6">
      <w:pPr>
        <w:pStyle w:val="P68B1DB1-Normal05"/>
        <w:pBdr>
          <w:top w:val="nil"/>
          <w:left w:val="nil"/>
          <w:bottom w:val="nil"/>
          <w:right w:val="nil"/>
          <w:between w:val="nil"/>
        </w:pBdr>
        <w:spacing w:before="60" w:after="120" w:line="240" w:lineRule="auto"/>
        <w:jc w:val="both"/>
        <w:rPr>
          <w:rFonts w:eastAsia="Times New Roman" w:cs="Times New Roman"/>
          <w:noProof/>
          <w:color w:val="000000"/>
        </w:rPr>
      </w:pPr>
      <w:r>
        <w:rPr>
          <w:noProof/>
        </w:rPr>
        <w:t>Het doel van de hervorming is bij te dragen tot de verbetering van de kwaliteit en de efficiëntie van het gezondheidszorgstelsel door onderzoek en ontwikkeling op medisch en gezondheidsgebied te ondersteunen.</w:t>
      </w:r>
    </w:p>
    <w:p w14:paraId="23380319" w14:textId="77777777" w:rsidR="00480F1C" w:rsidRDefault="00A201F6">
      <w:pPr>
        <w:pStyle w:val="P68B1DB1-Normal05"/>
        <w:pBdr>
          <w:top w:val="nil"/>
          <w:left w:val="nil"/>
          <w:bottom w:val="nil"/>
          <w:right w:val="nil"/>
          <w:between w:val="nil"/>
        </w:pBdr>
        <w:spacing w:before="60" w:after="120" w:line="240" w:lineRule="auto"/>
        <w:jc w:val="both"/>
        <w:rPr>
          <w:rFonts w:eastAsia="Times New Roman" w:cs="Times New Roman"/>
          <w:noProof/>
          <w:color w:val="000000"/>
        </w:rPr>
      </w:pPr>
      <w:r>
        <w:rPr>
          <w:noProof/>
        </w:rPr>
        <w:t>De hervorming omvat nieuwe wetgeving op het gebied van klinische proeven met geneesmiddelen voor menselijk gebruik, met inbegrip van een transparant systeem en minder administratieve en juridische belemmeringen. Het omvat ook het opstellen en uitvoeren van een strategisch plan voor de ontwikkeling van de biomedische sector in Polen, op basis van een beoordeling van de behoeften van de Poolse biomedische sector, van de bestaande belemmeringen voor de ontwikkeling ervan en van gebieden met een potentieel concurrentievoordeel.</w:t>
      </w:r>
    </w:p>
    <w:p w14:paraId="5E8F5EC1" w14:textId="77777777" w:rsidR="00480F1C" w:rsidRDefault="00A201F6">
      <w:pPr>
        <w:pStyle w:val="P68B1DB1-Normal05"/>
        <w:pBdr>
          <w:top w:val="nil"/>
          <w:left w:val="nil"/>
          <w:bottom w:val="nil"/>
          <w:right w:val="nil"/>
          <w:between w:val="nil"/>
        </w:pBdr>
        <w:spacing w:before="60" w:after="120" w:line="240" w:lineRule="auto"/>
        <w:jc w:val="both"/>
        <w:rPr>
          <w:rFonts w:eastAsia="Times New Roman" w:cs="Times New Roman"/>
          <w:noProof/>
          <w:color w:val="000000"/>
        </w:rPr>
      </w:pPr>
      <w:r>
        <w:rPr>
          <w:noProof/>
        </w:rPr>
        <w:t xml:space="preserve">De uitvoering van de hervorming wordt uiterlijk op 31 december 2022 voltooid. </w:t>
      </w:r>
    </w:p>
    <w:p w14:paraId="6CEB15CE" w14:textId="77777777" w:rsidR="00480F1C" w:rsidRDefault="00480F1C">
      <w:pPr>
        <w:pStyle w:val="Normal0"/>
        <w:pBdr>
          <w:top w:val="nil"/>
          <w:left w:val="nil"/>
          <w:bottom w:val="nil"/>
          <w:right w:val="nil"/>
          <w:between w:val="nil"/>
        </w:pBdr>
        <w:spacing w:before="60" w:after="120" w:line="240" w:lineRule="auto"/>
        <w:jc w:val="both"/>
        <w:rPr>
          <w:rFonts w:ascii="Times New Roman" w:eastAsia="Times New Roman" w:hAnsi="Times New Roman" w:cs="Times New Roman"/>
          <w:noProof/>
          <w:color w:val="000000"/>
          <w:sz w:val="24"/>
        </w:rPr>
      </w:pPr>
    </w:p>
    <w:p w14:paraId="7F06B03C" w14:textId="77777777" w:rsidR="00480F1C" w:rsidRDefault="00A201F6">
      <w:pPr>
        <w:pStyle w:val="P68B1DB1-Normal016"/>
        <w:pBdr>
          <w:top w:val="nil"/>
          <w:left w:val="nil"/>
          <w:bottom w:val="nil"/>
          <w:right w:val="nil"/>
          <w:between w:val="nil"/>
        </w:pBdr>
        <w:spacing w:before="120" w:after="120" w:line="240" w:lineRule="auto"/>
        <w:jc w:val="both"/>
        <w:rPr>
          <w:rFonts w:eastAsia="Times New Roman" w:cs="Times New Roman"/>
          <w:b/>
          <w:noProof/>
          <w:color w:val="000000"/>
        </w:rPr>
      </w:pPr>
      <w:r>
        <w:rPr>
          <w:b/>
          <w:noProof/>
        </w:rPr>
        <w:t>D3.1.1 Algemene ontwikkeling van onderzoek op het gebied van medische en gezondheidswetenschappen</w:t>
      </w:r>
      <w:r>
        <w:rPr>
          <w:noProof/>
        </w:rPr>
        <w:t xml:space="preserve"> </w:t>
      </w:r>
    </w:p>
    <w:p w14:paraId="0A53A9A1" w14:textId="77777777" w:rsidR="00480F1C" w:rsidRDefault="00A201F6">
      <w:pPr>
        <w:pStyle w:val="P68B1DB1-Normal05"/>
        <w:pBdr>
          <w:top w:val="nil"/>
          <w:left w:val="nil"/>
          <w:bottom w:val="nil"/>
          <w:right w:val="nil"/>
          <w:between w:val="nil"/>
        </w:pBdr>
        <w:spacing w:before="60" w:after="120" w:line="240" w:lineRule="auto"/>
        <w:jc w:val="both"/>
        <w:rPr>
          <w:rFonts w:eastAsia="Times New Roman" w:cs="Times New Roman"/>
          <w:noProof/>
          <w:color w:val="000000"/>
        </w:rPr>
      </w:pPr>
      <w:r>
        <w:rPr>
          <w:noProof/>
        </w:rPr>
        <w:t>Het doel van de investering is de veerkracht van het gezondheidszorgstelsel te versterken door onderzoek en ontwikkeling op medisch en gezondheidsgebied te ondersteunen.</w:t>
      </w:r>
    </w:p>
    <w:p w14:paraId="77001C23" w14:textId="77777777" w:rsidR="00480F1C" w:rsidRDefault="00A201F6">
      <w:pPr>
        <w:pStyle w:val="P68B1DB1-Normal05"/>
        <w:pBdr>
          <w:top w:val="nil"/>
          <w:left w:val="nil"/>
          <w:bottom w:val="nil"/>
          <w:right w:val="nil"/>
          <w:between w:val="nil"/>
        </w:pBdr>
        <w:spacing w:before="60" w:after="120" w:line="240" w:lineRule="auto"/>
        <w:jc w:val="both"/>
        <w:rPr>
          <w:rFonts w:eastAsia="Times New Roman" w:cs="Times New Roman"/>
          <w:noProof/>
          <w:color w:val="000000"/>
        </w:rPr>
      </w:pPr>
      <w:r>
        <w:rPr>
          <w:noProof/>
        </w:rPr>
        <w:t>De investering bestaat uit de volgende activiteiten:</w:t>
      </w:r>
    </w:p>
    <w:p w14:paraId="4F856028" w14:textId="77777777" w:rsidR="00480F1C" w:rsidRDefault="00A201F6">
      <w:pPr>
        <w:pStyle w:val="P68B1DB1-Normal05"/>
        <w:numPr>
          <w:ilvl w:val="0"/>
          <w:numId w:val="12"/>
        </w:numPr>
        <w:pBdr>
          <w:top w:val="nil"/>
          <w:left w:val="nil"/>
          <w:bottom w:val="nil"/>
          <w:right w:val="nil"/>
          <w:between w:val="nil"/>
        </w:pBdr>
        <w:spacing w:before="120" w:after="120" w:line="240" w:lineRule="auto"/>
        <w:jc w:val="both"/>
        <w:rPr>
          <w:rFonts w:eastAsia="Times New Roman" w:cs="Times New Roman"/>
          <w:noProof/>
          <w:color w:val="000000"/>
        </w:rPr>
      </w:pPr>
      <w:r>
        <w:rPr>
          <w:noProof/>
        </w:rPr>
        <w:t>Subsidiewedstrijden voor de financiering van onderzoeks- en ontwikkelingsactiviteiten die gericht zijn op productinnovaties, zoals geneesmiddelen, de ontwikkeling van medische hulpmiddelen, met name voor mobiel gebruik, en de ontwikkeling en toepassing van ICT-instrumenten voor medische en gezondheidsdoeleinden;</w:t>
      </w:r>
    </w:p>
    <w:p w14:paraId="6654CDEB" w14:textId="77777777" w:rsidR="00480F1C" w:rsidRDefault="00A201F6">
      <w:pPr>
        <w:pStyle w:val="P68B1DB1-Normal05"/>
        <w:numPr>
          <w:ilvl w:val="0"/>
          <w:numId w:val="12"/>
        </w:numPr>
        <w:pBdr>
          <w:top w:val="nil"/>
          <w:left w:val="nil"/>
          <w:bottom w:val="nil"/>
          <w:right w:val="nil"/>
          <w:between w:val="nil"/>
        </w:pBdr>
        <w:spacing w:before="120" w:after="120" w:line="240" w:lineRule="auto"/>
        <w:jc w:val="both"/>
        <w:rPr>
          <w:rFonts w:eastAsia="Times New Roman" w:cs="Times New Roman"/>
          <w:noProof/>
          <w:color w:val="000000"/>
        </w:rPr>
      </w:pPr>
      <w:r>
        <w:rPr>
          <w:noProof/>
        </w:rPr>
        <w:t>Ontwikkeling van aanvullende ondersteuningscentra voor klinisch onderzoek die belast zijn met onderzoeksactiviteiten op het gebied van klinische proeven, oprichting van een elektronisch communicatieplatform voor het Poolse netwerk voor klinisch onderzoek en van een zoekmachine voor klinische proeven, alsmede bewustmakingsactiviteiten op dit gebied;</w:t>
      </w:r>
    </w:p>
    <w:p w14:paraId="3A9E953E" w14:textId="77777777" w:rsidR="00480F1C" w:rsidRDefault="00A201F6">
      <w:pPr>
        <w:pStyle w:val="P68B1DB1-Normal05"/>
        <w:numPr>
          <w:ilvl w:val="0"/>
          <w:numId w:val="12"/>
        </w:numPr>
        <w:pBdr>
          <w:top w:val="nil"/>
          <w:left w:val="nil"/>
          <w:bottom w:val="nil"/>
          <w:right w:val="nil"/>
          <w:between w:val="nil"/>
        </w:pBdr>
        <w:spacing w:before="120" w:after="120" w:line="240" w:lineRule="auto"/>
        <w:jc w:val="both"/>
        <w:rPr>
          <w:rFonts w:eastAsia="Times New Roman" w:cs="Times New Roman"/>
          <w:noProof/>
          <w:color w:val="000000"/>
        </w:rPr>
      </w:pPr>
      <w:r>
        <w:rPr>
          <w:noProof/>
        </w:rPr>
        <w:t>Andere ondersteunende activiteiten in de biomedische sector, met inbegrip van studies over de sector en steun voor universiteiten en technologische starterscentra, en</w:t>
      </w:r>
    </w:p>
    <w:p w14:paraId="1C88DBB6" w14:textId="26EB35EA" w:rsidR="00480F1C" w:rsidRDefault="00A201F6">
      <w:pPr>
        <w:pStyle w:val="P68B1DB1-Normal05"/>
        <w:numPr>
          <w:ilvl w:val="0"/>
          <w:numId w:val="12"/>
        </w:numPr>
        <w:pBdr>
          <w:top w:val="nil"/>
          <w:left w:val="nil"/>
          <w:bottom w:val="nil"/>
          <w:right w:val="nil"/>
          <w:between w:val="nil"/>
        </w:pBdr>
        <w:spacing w:before="120" w:after="120" w:line="240" w:lineRule="auto"/>
        <w:jc w:val="both"/>
        <w:rPr>
          <w:rFonts w:eastAsia="Times New Roman" w:cs="Times New Roman"/>
          <w:noProof/>
          <w:color w:val="000000"/>
        </w:rPr>
      </w:pPr>
      <w:r>
        <w:rPr>
          <w:noProof/>
        </w:rPr>
        <w:t>Oprichting van een onderzoeks- en analysecentrum binnen het National Institute of Public Health NIH — National Research Institute, dat in de eerste plaats belast is met de monitoring van een groot aantal risico’s voor de menselijke gezondheid en van de gezondheidssituatie en -behoeften van de bevolking. De bijbehorende infrastructuur bestaat ook uit laboratoria met een breed scala aan biobeveiligingsniveaus, waaronder tot het BSL-3 ± niveau, en uit een campus voor opleidings- en onderwijsactiviteiten.</w:t>
      </w:r>
    </w:p>
    <w:p w14:paraId="47245435" w14:textId="77777777" w:rsidR="00480F1C" w:rsidRDefault="00A201F6">
      <w:pPr>
        <w:pStyle w:val="P68B1DB1-Normal05"/>
        <w:pBdr>
          <w:top w:val="nil"/>
          <w:left w:val="nil"/>
          <w:bottom w:val="nil"/>
          <w:right w:val="nil"/>
          <w:between w:val="nil"/>
        </w:pBdr>
        <w:spacing w:before="60" w:after="120" w:line="240" w:lineRule="auto"/>
        <w:jc w:val="both"/>
        <w:rPr>
          <w:rFonts w:eastAsia="Times New Roman" w:cs="Times New Roman"/>
          <w:noProof/>
          <w:color w:val="000000"/>
        </w:rPr>
        <w:sectPr w:rsidR="00480F1C" w:rsidSect="00387C8F">
          <w:headerReference w:type="even" r:id="rId103"/>
          <w:headerReference w:type="default" r:id="rId104"/>
          <w:footerReference w:type="even" r:id="rId105"/>
          <w:footerReference w:type="default" r:id="rId106"/>
          <w:headerReference w:type="first" r:id="rId107"/>
          <w:footerReference w:type="first" r:id="rId108"/>
          <w:pgSz w:w="11907" w:h="16839"/>
          <w:pgMar w:top="1134" w:right="1418" w:bottom="1134" w:left="1418" w:header="709" w:footer="709" w:gutter="0"/>
          <w:cols w:space="720"/>
        </w:sectPr>
      </w:pPr>
      <w:r>
        <w:rPr>
          <w:noProof/>
        </w:rPr>
        <w:t>De uitvoering van de investering moet uiterlijk op 30 juni 2026 zijn voltooid.</w:t>
      </w:r>
    </w:p>
    <w:p w14:paraId="5753B035" w14:textId="754B25D2" w:rsidR="00480F1C" w:rsidRDefault="00A201F6">
      <w:pPr>
        <w:pStyle w:val="Normal0"/>
        <w:pBdr>
          <w:top w:val="nil"/>
          <w:left w:val="nil"/>
          <w:bottom w:val="nil"/>
          <w:right w:val="nil"/>
          <w:between w:val="nil"/>
        </w:pBdr>
        <w:spacing w:before="60" w:after="120" w:line="240" w:lineRule="auto"/>
        <w:jc w:val="both"/>
        <w:rPr>
          <w:rFonts w:ascii="Times New Roman" w:eastAsia="Times New Roman" w:hAnsi="Times New Roman" w:cs="Times New Roman"/>
          <w:noProof/>
          <w:color w:val="000000"/>
          <w:sz w:val="24"/>
        </w:rPr>
      </w:pPr>
      <w:r>
        <w:rPr>
          <w:rFonts w:ascii="Times New Roman" w:hAnsi="Times New Roman"/>
          <w:b/>
          <w:noProof/>
          <w:color w:val="000000"/>
          <w:sz w:val="24"/>
        </w:rPr>
        <w:t xml:space="preserve">D.2. </w:t>
      </w:r>
      <w:r>
        <w:rPr>
          <w:noProof/>
        </w:rPr>
        <w:tab/>
      </w:r>
      <w:r>
        <w:rPr>
          <w:rFonts w:ascii="Times New Roman" w:hAnsi="Times New Roman"/>
          <w:b/>
          <w:noProof/>
          <w:color w:val="000000"/>
          <w:sz w:val="24"/>
        </w:rPr>
        <w:t>Mijlpalen, streefdoelen, indicatoren en tijdschema voor de monitoring en uitvoering voor niet-terugbetaalbare financiële steun</w:t>
      </w:r>
    </w:p>
    <w:tbl>
      <w:tblPr>
        <w:tblW w:w="15451"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115" w:type="dxa"/>
          <w:right w:w="115" w:type="dxa"/>
        </w:tblCellMar>
        <w:tblLook w:val="0400" w:firstRow="0" w:lastRow="0" w:firstColumn="0" w:lastColumn="0" w:noHBand="0" w:noVBand="1"/>
      </w:tblPr>
      <w:tblGrid>
        <w:gridCol w:w="696"/>
        <w:gridCol w:w="2069"/>
        <w:gridCol w:w="1026"/>
        <w:gridCol w:w="1738"/>
        <w:gridCol w:w="1520"/>
        <w:gridCol w:w="1217"/>
        <w:gridCol w:w="1245"/>
        <w:gridCol w:w="832"/>
        <w:gridCol w:w="970"/>
        <w:gridCol w:w="694"/>
        <w:gridCol w:w="3444"/>
      </w:tblGrid>
      <w:tr w:rsidR="00480F1C" w14:paraId="0E748055" w14:textId="77777777">
        <w:trPr>
          <w:trHeight w:val="939"/>
          <w:tblHeader/>
        </w:trPr>
        <w:tc>
          <w:tcPr>
            <w:tcW w:w="709" w:type="dxa"/>
            <w:vMerge w:val="restart"/>
            <w:shd w:val="clear" w:color="auto" w:fill="BDD7EE"/>
            <w:vAlign w:val="center"/>
          </w:tcPr>
          <w:p w14:paraId="36286FED" w14:textId="146665F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Volgende NR.</w:t>
            </w:r>
          </w:p>
        </w:tc>
        <w:tc>
          <w:tcPr>
            <w:tcW w:w="2126" w:type="dxa"/>
            <w:vMerge w:val="restart"/>
            <w:shd w:val="clear" w:color="auto" w:fill="BDD7EE"/>
            <w:vAlign w:val="center"/>
          </w:tcPr>
          <w:p w14:paraId="3B20702A"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Gerelateerde maatregel (hervorming of investering)</w:t>
            </w:r>
          </w:p>
        </w:tc>
        <w:tc>
          <w:tcPr>
            <w:tcW w:w="1050" w:type="dxa"/>
            <w:vMerge w:val="restart"/>
            <w:shd w:val="clear" w:color="auto" w:fill="BDD7EE"/>
            <w:vAlign w:val="center"/>
          </w:tcPr>
          <w:p w14:paraId="0E73BAB9"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Mijlpaal/Doelstelling</w:t>
            </w:r>
          </w:p>
        </w:tc>
        <w:tc>
          <w:tcPr>
            <w:tcW w:w="1785" w:type="dxa"/>
            <w:vMerge w:val="restart"/>
            <w:shd w:val="clear" w:color="auto" w:fill="BDD7EE"/>
            <w:vAlign w:val="center"/>
          </w:tcPr>
          <w:p w14:paraId="0100A987"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Naam</w:t>
            </w:r>
          </w:p>
        </w:tc>
        <w:tc>
          <w:tcPr>
            <w:tcW w:w="1560" w:type="dxa"/>
            <w:vMerge w:val="restart"/>
            <w:shd w:val="clear" w:color="auto" w:fill="BDD7EE"/>
            <w:vAlign w:val="center"/>
          </w:tcPr>
          <w:p w14:paraId="35671211"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themeColor="text1"/>
                <w:sz w:val="18"/>
              </w:rPr>
              <w:t>Kwalitatieve indicatoren</w:t>
            </w:r>
            <w:r>
              <w:rPr>
                <w:noProof/>
              </w:rPr>
              <w:t xml:space="preserve"> </w:t>
            </w:r>
            <w:r>
              <w:rPr>
                <w:noProof/>
              </w:rPr>
              <w:br/>
            </w:r>
            <w:r>
              <w:rPr>
                <w:rFonts w:ascii="Times New Roman" w:hAnsi="Times New Roman"/>
                <w:b/>
                <w:noProof/>
                <w:color w:val="000000" w:themeColor="text1"/>
                <w:sz w:val="18"/>
              </w:rPr>
              <w:t>(voor mijlpalen)</w:t>
            </w:r>
          </w:p>
        </w:tc>
        <w:tc>
          <w:tcPr>
            <w:tcW w:w="2976" w:type="dxa"/>
            <w:gridSpan w:val="3"/>
            <w:shd w:val="clear" w:color="auto" w:fill="BDD7EE"/>
            <w:vAlign w:val="center"/>
          </w:tcPr>
          <w:p w14:paraId="12B4FCE4"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themeColor="text1"/>
                <w:sz w:val="18"/>
              </w:rPr>
              <w:t>Kwantitatieve indicatoren</w:t>
            </w:r>
            <w:r>
              <w:rPr>
                <w:noProof/>
              </w:rPr>
              <w:t xml:space="preserve"> </w:t>
            </w:r>
            <w:r>
              <w:rPr>
                <w:noProof/>
              </w:rPr>
              <w:br/>
            </w:r>
            <w:r>
              <w:rPr>
                <w:rFonts w:ascii="Times New Roman" w:hAnsi="Times New Roman"/>
                <w:b/>
                <w:noProof/>
                <w:color w:val="000000" w:themeColor="text1"/>
                <w:sz w:val="18"/>
              </w:rPr>
              <w:t>(voor streefcijfers)</w:t>
            </w:r>
          </w:p>
        </w:tc>
        <w:tc>
          <w:tcPr>
            <w:tcW w:w="1701" w:type="dxa"/>
            <w:gridSpan w:val="2"/>
            <w:shd w:val="clear" w:color="auto" w:fill="BDD7EE"/>
            <w:vAlign w:val="center"/>
          </w:tcPr>
          <w:p w14:paraId="0F6AA94A"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Indicatieve termijn voor voltooiing </w:t>
            </w:r>
          </w:p>
        </w:tc>
        <w:tc>
          <w:tcPr>
            <w:tcW w:w="3544" w:type="dxa"/>
            <w:vMerge w:val="restart"/>
            <w:shd w:val="clear" w:color="auto" w:fill="BDD7EE"/>
            <w:vAlign w:val="center"/>
          </w:tcPr>
          <w:p w14:paraId="1FA168C9"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Beschrijving van elke mijlpaal en doelstelling</w:t>
            </w:r>
          </w:p>
        </w:tc>
      </w:tr>
      <w:tr w:rsidR="00480F1C" w14:paraId="589F7CEC" w14:textId="77777777">
        <w:trPr>
          <w:trHeight w:val="1027"/>
        </w:trPr>
        <w:tc>
          <w:tcPr>
            <w:tcW w:w="709" w:type="dxa"/>
            <w:vMerge/>
            <w:vAlign w:val="center"/>
          </w:tcPr>
          <w:p w14:paraId="10FDAA0E"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2126" w:type="dxa"/>
            <w:vMerge/>
            <w:vAlign w:val="center"/>
          </w:tcPr>
          <w:p w14:paraId="774AF2BF"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050" w:type="dxa"/>
            <w:vMerge/>
            <w:vAlign w:val="center"/>
          </w:tcPr>
          <w:p w14:paraId="7A292896"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785" w:type="dxa"/>
            <w:vMerge/>
            <w:vAlign w:val="center"/>
          </w:tcPr>
          <w:p w14:paraId="2191599E"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560" w:type="dxa"/>
            <w:vMerge/>
            <w:vAlign w:val="center"/>
          </w:tcPr>
          <w:p w14:paraId="7673E5AE"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247" w:type="dxa"/>
            <w:shd w:val="clear" w:color="auto" w:fill="BDD7EE"/>
            <w:vAlign w:val="center"/>
          </w:tcPr>
          <w:p w14:paraId="45673889"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Eenheid</w:t>
            </w:r>
          </w:p>
        </w:tc>
        <w:tc>
          <w:tcPr>
            <w:tcW w:w="1276" w:type="dxa"/>
            <w:shd w:val="clear" w:color="auto" w:fill="BDD7EE"/>
            <w:vAlign w:val="center"/>
          </w:tcPr>
          <w:p w14:paraId="26CBA2F5" w14:textId="29210A03"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Basislijn </w:t>
            </w:r>
          </w:p>
        </w:tc>
        <w:tc>
          <w:tcPr>
            <w:tcW w:w="850" w:type="dxa"/>
            <w:shd w:val="clear" w:color="auto" w:fill="BDD7EE"/>
            <w:vAlign w:val="center"/>
          </w:tcPr>
          <w:p w14:paraId="498E2A4F"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Doelstelling</w:t>
            </w:r>
          </w:p>
        </w:tc>
        <w:tc>
          <w:tcPr>
            <w:tcW w:w="993" w:type="dxa"/>
            <w:shd w:val="clear" w:color="auto" w:fill="BDD7EE"/>
            <w:vAlign w:val="center"/>
          </w:tcPr>
          <w:p w14:paraId="3E7658C2"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Kwartaal</w:t>
            </w:r>
          </w:p>
        </w:tc>
        <w:tc>
          <w:tcPr>
            <w:tcW w:w="708" w:type="dxa"/>
            <w:shd w:val="clear" w:color="auto" w:fill="BDD7EE"/>
            <w:vAlign w:val="center"/>
          </w:tcPr>
          <w:p w14:paraId="6A32D50D"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Jaar</w:t>
            </w:r>
          </w:p>
        </w:tc>
        <w:tc>
          <w:tcPr>
            <w:tcW w:w="3544" w:type="dxa"/>
            <w:vMerge/>
            <w:vAlign w:val="center"/>
          </w:tcPr>
          <w:p w14:paraId="041D98D7"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r>
      <w:tr w:rsidR="00480F1C" w14:paraId="78D2D074" w14:textId="77777777">
        <w:trPr>
          <w:trHeight w:val="739"/>
        </w:trPr>
        <w:tc>
          <w:tcPr>
            <w:tcW w:w="709" w:type="dxa"/>
            <w:shd w:val="clear" w:color="auto" w:fill="C6EFCE"/>
          </w:tcPr>
          <w:p w14:paraId="64507562" w14:textId="470AA91E"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D1G</w:t>
            </w:r>
          </w:p>
        </w:tc>
        <w:tc>
          <w:tcPr>
            <w:tcW w:w="2126" w:type="dxa"/>
            <w:shd w:val="clear" w:color="auto" w:fill="C6EFCE"/>
          </w:tcPr>
          <w:p w14:paraId="2CD91D8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D1.1 Verbetering van de doeltreffendheid, toegankelijkheid en kwaliteit van gezondheidsdiensten</w:t>
            </w:r>
          </w:p>
        </w:tc>
        <w:tc>
          <w:tcPr>
            <w:tcW w:w="1050" w:type="dxa"/>
            <w:shd w:val="clear" w:color="auto" w:fill="C6EFCE"/>
          </w:tcPr>
          <w:p w14:paraId="2F69FD4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785" w:type="dxa"/>
            <w:shd w:val="clear" w:color="auto" w:fill="C6EFCE"/>
          </w:tcPr>
          <w:p w14:paraId="4F3F4E04" w14:textId="1A82990A"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Style w:val="normaltextrun"/>
                <w:rFonts w:ascii="Times New Roman" w:hAnsi="Times New Roman"/>
                <w:noProof/>
                <w:color w:val="000000" w:themeColor="text1"/>
                <w:sz w:val="18"/>
              </w:rPr>
              <w:t xml:space="preserve">Inwerkingtreding van de wet inzake de modernisering en verbetering van de efficiëntie van ziekenhuizen </w:t>
            </w:r>
          </w:p>
        </w:tc>
        <w:tc>
          <w:tcPr>
            <w:tcW w:w="1560" w:type="dxa"/>
            <w:shd w:val="clear" w:color="auto" w:fill="C6EFCE"/>
          </w:tcPr>
          <w:p w14:paraId="38B13BEC" w14:textId="799F4E83"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Bepaling in de wet betreffende de inwerkingtreding ervan</w:t>
            </w:r>
          </w:p>
        </w:tc>
        <w:tc>
          <w:tcPr>
            <w:tcW w:w="1247" w:type="dxa"/>
            <w:shd w:val="clear" w:color="auto" w:fill="C6EFCE"/>
          </w:tcPr>
          <w:p w14:paraId="49F15541" w14:textId="27B130DD"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p>
        </w:tc>
        <w:tc>
          <w:tcPr>
            <w:tcW w:w="1276" w:type="dxa"/>
            <w:shd w:val="clear" w:color="auto" w:fill="C6EFCE"/>
          </w:tcPr>
          <w:p w14:paraId="0A6C1A37"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850" w:type="dxa"/>
            <w:shd w:val="clear" w:color="auto" w:fill="C6EFCE"/>
          </w:tcPr>
          <w:p w14:paraId="3BA6614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3" w:type="dxa"/>
            <w:shd w:val="clear" w:color="auto" w:fill="C6EFCE"/>
          </w:tcPr>
          <w:p w14:paraId="5F22C449" w14:textId="28801A51"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3</w:t>
            </w:r>
          </w:p>
        </w:tc>
        <w:tc>
          <w:tcPr>
            <w:tcW w:w="708" w:type="dxa"/>
            <w:shd w:val="clear" w:color="auto" w:fill="C6EFCE"/>
          </w:tcPr>
          <w:p w14:paraId="1438688F"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3544" w:type="dxa"/>
            <w:shd w:val="clear" w:color="auto" w:fill="C6EFCE"/>
          </w:tcPr>
          <w:p w14:paraId="62ED4A29" w14:textId="3D775248" w:rsidR="00480F1C" w:rsidRDefault="00A201F6">
            <w:pPr>
              <w:pStyle w:val="paragraph"/>
              <w:spacing w:before="0" w:beforeAutospacing="0" w:after="0" w:afterAutospacing="0"/>
              <w:textAlignment w:val="baseline"/>
              <w:rPr>
                <w:noProof/>
                <w:color w:val="000000" w:themeColor="text1"/>
                <w:sz w:val="18"/>
              </w:rPr>
            </w:pPr>
            <w:r>
              <w:rPr>
                <w:rStyle w:val="normaltextrun"/>
                <w:noProof/>
                <w:color w:val="000000" w:themeColor="text1"/>
                <w:sz w:val="18"/>
              </w:rPr>
              <w:t xml:space="preserve">Inwerkingtreding van de wet inzake de modernisering en verbetering van de efficiëntie van ziekenhuizen, die voorziet in het volgende: </w:t>
            </w:r>
            <w:r>
              <w:rPr>
                <w:noProof/>
              </w:rPr>
              <w:t xml:space="preserve"> </w:t>
            </w:r>
            <w:r>
              <w:rPr>
                <w:noProof/>
              </w:rPr>
              <w:br/>
            </w:r>
            <w:r>
              <w:rPr>
                <w:rStyle w:val="normaltextrun"/>
                <w:noProof/>
                <w:color w:val="000000" w:themeColor="text1"/>
                <w:sz w:val="18"/>
              </w:rPr>
              <w:t xml:space="preserve">— herstructurering van de ziekenhuissector door consolidatie, herprofilering en wijziging van het toepassingsgebied en de structuur van de door ziekenhuizen verleende gezondheidsdiensten, op basis van de nationale en regionale transformatieplannen en de kaart van de gezondheidsbehoeften op zowel nationaal als regionaal niveau, en de dienovereenkomstige actualisering van het ziekenhuisnetwerk. In het herstructureringsproces wordt rekening gehouden met de behoeften van ziekenhuizen die onder toezicht staan van de minister van Nationale Defensie of de minister van Binnenlandse Zaken in verband met de gevolgen van de oorlog in Oekraïne;  </w:t>
            </w:r>
            <w:r>
              <w:rPr>
                <w:noProof/>
              </w:rPr>
              <w:t xml:space="preserve"> </w:t>
            </w:r>
            <w:r>
              <w:rPr>
                <w:noProof/>
              </w:rPr>
              <w:br/>
            </w:r>
            <w:r>
              <w:rPr>
                <w:rStyle w:val="normaltextrun"/>
                <w:noProof/>
                <w:color w:val="000000" w:themeColor="text1"/>
                <w:sz w:val="18"/>
              </w:rPr>
              <w:t xml:space="preserve">— basis voor maatregelen om de piramide van de gezondheidszorg te rationaliseren door bepaalde gezondheidsdiensten te verschuiven van ziekenhuizen naar lagere zorgniveaus (eerstelijnszorg, ambulante zorg), met dienovereenkomstige herziene bepalingen voor de jaarlijkse financieringsplannen van het NFZ (Nationaal Gezondheidsfonds); </w:t>
            </w:r>
            <w:r>
              <w:rPr>
                <w:noProof/>
              </w:rPr>
              <w:t xml:space="preserve"> </w:t>
            </w:r>
            <w:r>
              <w:rPr>
                <w:noProof/>
              </w:rPr>
              <w:br/>
            </w:r>
            <w:r>
              <w:rPr>
                <w:rStyle w:val="normaltextrun"/>
                <w:noProof/>
                <w:color w:val="000000" w:themeColor="text1"/>
                <w:sz w:val="18"/>
              </w:rPr>
              <w:t xml:space="preserve">— hervorming van het systeem voor de financiering van ziekenhuizen om te zorgen voor een doeltreffende en duurzame herstructurering, onder meer door de schuldverlichting van ziekenhuizen op duurzame wijze aan te pakken, op basis van transparante en empirisch onderbouwde criteria, en het stimuleren van goede zorgverlening en het verhogen van de efficiëntie en de kwaliteit van de zorg; </w:t>
            </w:r>
            <w:r>
              <w:rPr>
                <w:noProof/>
              </w:rPr>
              <w:t xml:space="preserve"> </w:t>
            </w:r>
            <w:r>
              <w:rPr>
                <w:noProof/>
              </w:rPr>
              <w:br/>
            </w:r>
            <w:r>
              <w:rPr>
                <w:rStyle w:val="normaltextrun"/>
                <w:noProof/>
                <w:color w:val="000000" w:themeColor="text1"/>
                <w:sz w:val="18"/>
              </w:rPr>
              <w:t xml:space="preserve">— het opzetten van een professioneel systeem voor toezicht op ziekenhuizen, het versterken van het leidinggevend personeel en het stimuleren van het gebruik van moderne systemen, instrumenten en managementmethoden in de gezondheidszorg. </w:t>
            </w:r>
          </w:p>
        </w:tc>
      </w:tr>
      <w:tr w:rsidR="00480F1C" w14:paraId="6A24184E" w14:textId="77777777">
        <w:trPr>
          <w:trHeight w:val="313"/>
        </w:trPr>
        <w:tc>
          <w:tcPr>
            <w:tcW w:w="709" w:type="dxa"/>
            <w:shd w:val="clear" w:color="auto" w:fill="C6EFCE"/>
          </w:tcPr>
          <w:p w14:paraId="4BD2DB98" w14:textId="7F06AD1A" w:rsidR="00480F1C" w:rsidRDefault="00A201F6">
            <w:pPr>
              <w:pStyle w:val="P68B1DB1-Normal010"/>
              <w:pBdr>
                <w:top w:val="nil"/>
                <w:left w:val="nil"/>
                <w:bottom w:val="nil"/>
                <w:right w:val="nil"/>
                <w:between w:val="nil"/>
              </w:pBdr>
              <w:spacing w:line="240" w:lineRule="auto"/>
              <w:jc w:val="center"/>
              <w:rPr>
                <w:rFonts w:eastAsia="Times New Roman" w:cs="Times New Roman"/>
                <w:b/>
                <w:noProof/>
                <w:color w:val="000000"/>
              </w:rPr>
            </w:pPr>
            <w:r>
              <w:rPr>
                <w:noProof/>
              </w:rPr>
              <w:t>D2G</w:t>
            </w:r>
          </w:p>
        </w:tc>
        <w:tc>
          <w:tcPr>
            <w:tcW w:w="2126" w:type="dxa"/>
            <w:shd w:val="clear" w:color="auto" w:fill="C6EFCE"/>
          </w:tcPr>
          <w:p w14:paraId="76E5744B" w14:textId="77777777" w:rsidR="00480F1C" w:rsidRDefault="00A201F6">
            <w:pPr>
              <w:pStyle w:val="P68B1DB1-Normal011"/>
              <w:pBdr>
                <w:top w:val="nil"/>
                <w:left w:val="nil"/>
                <w:bottom w:val="nil"/>
                <w:right w:val="nil"/>
                <w:between w:val="nil"/>
              </w:pBdr>
              <w:spacing w:line="240" w:lineRule="auto"/>
              <w:rPr>
                <w:rFonts w:eastAsia="Times New Roman" w:cs="Times New Roman"/>
                <w:noProof/>
              </w:rPr>
            </w:pPr>
            <w:r>
              <w:rPr>
                <w:noProof/>
              </w:rPr>
              <w:t>D1.1 Verbetering van de doeltreffendheid, toegankelijkheid en kwaliteit van gezondheidsdiensten</w:t>
            </w:r>
          </w:p>
        </w:tc>
        <w:tc>
          <w:tcPr>
            <w:tcW w:w="1050" w:type="dxa"/>
            <w:shd w:val="clear" w:color="auto" w:fill="C6EFCE"/>
          </w:tcPr>
          <w:p w14:paraId="646575E8" w14:textId="77777777" w:rsidR="00480F1C" w:rsidRDefault="00A201F6">
            <w:pPr>
              <w:pStyle w:val="P68B1DB1-Normal011"/>
              <w:pBdr>
                <w:top w:val="nil"/>
                <w:left w:val="nil"/>
                <w:bottom w:val="nil"/>
                <w:right w:val="nil"/>
                <w:between w:val="nil"/>
              </w:pBdr>
              <w:spacing w:line="240" w:lineRule="auto"/>
              <w:rPr>
                <w:rFonts w:eastAsia="Times New Roman" w:cs="Times New Roman"/>
                <w:noProof/>
              </w:rPr>
            </w:pPr>
            <w:r>
              <w:rPr>
                <w:noProof/>
              </w:rPr>
              <w:t>Mijlpaal</w:t>
            </w:r>
          </w:p>
        </w:tc>
        <w:tc>
          <w:tcPr>
            <w:tcW w:w="1785" w:type="dxa"/>
            <w:shd w:val="clear" w:color="auto" w:fill="C6EFCE"/>
          </w:tcPr>
          <w:p w14:paraId="7B7D2F5B" w14:textId="0F094F65"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Style w:val="normaltextrun"/>
                <w:rFonts w:ascii="Times New Roman" w:hAnsi="Times New Roman"/>
                <w:noProof/>
                <w:color w:val="000000" w:themeColor="text1"/>
                <w:sz w:val="18"/>
              </w:rPr>
              <w:t xml:space="preserve">Inwerkingtreding van het besluit van de voorzitter van het Nationaal Gezondheidsfonds (NFZ) inzake de versterking van de eerstelijnszorg en gecoördineerde zorg, gevolgd door financiële bepalingen (met inbegrip van wijzigingen van contracten), waardoor uitvoering op nationaal niveau mogelijk wordt </w:t>
            </w:r>
          </w:p>
        </w:tc>
        <w:tc>
          <w:tcPr>
            <w:tcW w:w="1560" w:type="dxa"/>
            <w:shd w:val="clear" w:color="auto" w:fill="C6EFCE"/>
          </w:tcPr>
          <w:p w14:paraId="2AA9D7B0" w14:textId="234D2E01" w:rsidR="00480F1C" w:rsidRDefault="00A201F6">
            <w:pPr>
              <w:pStyle w:val="P68B1DB1-Normal011"/>
              <w:pBdr>
                <w:top w:val="nil"/>
                <w:left w:val="nil"/>
                <w:bottom w:val="nil"/>
                <w:right w:val="nil"/>
                <w:between w:val="nil"/>
              </w:pBdr>
              <w:spacing w:line="240" w:lineRule="auto"/>
              <w:rPr>
                <w:rFonts w:eastAsia="Times New Roman" w:cs="Times New Roman"/>
                <w:noProof/>
              </w:rPr>
            </w:pPr>
            <w:r>
              <w:rPr>
                <w:noProof/>
              </w:rPr>
              <w:t>Bepaling in de ordonnantie met vermelding van de inwerkingtreding</w:t>
            </w:r>
          </w:p>
        </w:tc>
        <w:tc>
          <w:tcPr>
            <w:tcW w:w="1247" w:type="dxa"/>
            <w:shd w:val="clear" w:color="auto" w:fill="C6EFCE"/>
          </w:tcPr>
          <w:p w14:paraId="55B33694" w14:textId="77777777" w:rsidR="00480F1C" w:rsidRDefault="00480F1C">
            <w:pPr>
              <w:pStyle w:val="Normal0"/>
              <w:pBdr>
                <w:top w:val="nil"/>
                <w:left w:val="nil"/>
                <w:bottom w:val="nil"/>
                <w:right w:val="nil"/>
                <w:between w:val="nil"/>
              </w:pBdr>
              <w:spacing w:line="240" w:lineRule="auto"/>
              <w:rPr>
                <w:rFonts w:ascii="Times New Roman" w:eastAsia="Times New Roman" w:hAnsi="Times New Roman" w:cs="Times New Roman"/>
                <w:noProof/>
                <w:color w:val="000000"/>
                <w:sz w:val="18"/>
              </w:rPr>
            </w:pPr>
          </w:p>
        </w:tc>
        <w:tc>
          <w:tcPr>
            <w:tcW w:w="1276" w:type="dxa"/>
            <w:shd w:val="clear" w:color="auto" w:fill="C6EFCE"/>
          </w:tcPr>
          <w:p w14:paraId="4455F193" w14:textId="77777777" w:rsidR="00480F1C" w:rsidRDefault="00480F1C">
            <w:pPr>
              <w:pStyle w:val="Normal0"/>
              <w:pBdr>
                <w:top w:val="nil"/>
                <w:left w:val="nil"/>
                <w:bottom w:val="nil"/>
                <w:right w:val="nil"/>
                <w:between w:val="nil"/>
              </w:pBdr>
              <w:spacing w:line="240" w:lineRule="auto"/>
              <w:jc w:val="right"/>
              <w:rPr>
                <w:rFonts w:ascii="Times New Roman" w:eastAsia="Times New Roman" w:hAnsi="Times New Roman" w:cs="Times New Roman"/>
                <w:noProof/>
                <w:color w:val="000000"/>
                <w:sz w:val="18"/>
              </w:rPr>
            </w:pPr>
          </w:p>
        </w:tc>
        <w:tc>
          <w:tcPr>
            <w:tcW w:w="850" w:type="dxa"/>
            <w:shd w:val="clear" w:color="auto" w:fill="C6EFCE"/>
          </w:tcPr>
          <w:p w14:paraId="1C2776EB" w14:textId="77777777" w:rsidR="00480F1C" w:rsidRDefault="00480F1C">
            <w:pPr>
              <w:pStyle w:val="Normal0"/>
              <w:pBdr>
                <w:top w:val="nil"/>
                <w:left w:val="nil"/>
                <w:bottom w:val="nil"/>
                <w:right w:val="nil"/>
                <w:between w:val="nil"/>
              </w:pBdr>
              <w:spacing w:line="240" w:lineRule="auto"/>
              <w:jc w:val="right"/>
              <w:rPr>
                <w:rFonts w:ascii="Times New Roman" w:eastAsia="Times New Roman" w:hAnsi="Times New Roman" w:cs="Times New Roman"/>
                <w:noProof/>
                <w:color w:val="000000"/>
                <w:sz w:val="18"/>
              </w:rPr>
            </w:pPr>
          </w:p>
        </w:tc>
        <w:tc>
          <w:tcPr>
            <w:tcW w:w="993" w:type="dxa"/>
            <w:shd w:val="clear" w:color="auto" w:fill="C6EFCE"/>
          </w:tcPr>
          <w:p w14:paraId="6E7A7A39" w14:textId="73378D83" w:rsidR="00480F1C" w:rsidRDefault="00A201F6">
            <w:pPr>
              <w:pStyle w:val="P68B1DB1-Normal011"/>
              <w:pBdr>
                <w:top w:val="nil"/>
                <w:left w:val="nil"/>
                <w:bottom w:val="nil"/>
                <w:right w:val="nil"/>
                <w:between w:val="nil"/>
              </w:pBdr>
              <w:spacing w:line="240" w:lineRule="auto"/>
              <w:jc w:val="center"/>
              <w:rPr>
                <w:rFonts w:eastAsia="Times New Roman" w:cs="Times New Roman"/>
                <w:noProof/>
              </w:rPr>
            </w:pPr>
            <w:r>
              <w:rPr>
                <w:noProof/>
              </w:rPr>
              <w:t>KWARTAAL 3</w:t>
            </w:r>
          </w:p>
        </w:tc>
        <w:tc>
          <w:tcPr>
            <w:tcW w:w="708" w:type="dxa"/>
            <w:shd w:val="clear" w:color="auto" w:fill="C6EFCE"/>
          </w:tcPr>
          <w:p w14:paraId="4F2C266B" w14:textId="77777777" w:rsidR="00480F1C" w:rsidRDefault="00A201F6">
            <w:pPr>
              <w:pStyle w:val="P68B1DB1-Normal011"/>
              <w:pBdr>
                <w:top w:val="nil"/>
                <w:left w:val="nil"/>
                <w:bottom w:val="nil"/>
                <w:right w:val="nil"/>
                <w:between w:val="nil"/>
              </w:pBdr>
              <w:spacing w:line="240" w:lineRule="auto"/>
              <w:jc w:val="center"/>
              <w:rPr>
                <w:rFonts w:eastAsia="Times New Roman" w:cs="Times New Roman"/>
                <w:noProof/>
              </w:rPr>
            </w:pPr>
            <w:r>
              <w:rPr>
                <w:noProof/>
              </w:rPr>
              <w:t>2022</w:t>
            </w:r>
          </w:p>
        </w:tc>
        <w:tc>
          <w:tcPr>
            <w:tcW w:w="3544" w:type="dxa"/>
            <w:shd w:val="clear" w:color="auto" w:fill="C6EFCE"/>
          </w:tcPr>
          <w:p w14:paraId="3CDFAC00" w14:textId="4B27AD33" w:rsidR="00480F1C" w:rsidRDefault="00A201F6">
            <w:pPr>
              <w:pStyle w:val="paragraph"/>
              <w:spacing w:before="0" w:beforeAutospacing="0" w:after="0" w:afterAutospacing="0"/>
              <w:textAlignment w:val="baseline"/>
              <w:rPr>
                <w:noProof/>
                <w:sz w:val="18"/>
              </w:rPr>
            </w:pPr>
            <w:r>
              <w:rPr>
                <w:rStyle w:val="normaltextrun"/>
                <w:noProof/>
                <w:color w:val="000000" w:themeColor="text1"/>
                <w:sz w:val="18"/>
              </w:rPr>
              <w:t xml:space="preserve">Inwerkingtreding van het besluit van de voorzitter van het Nationaal Gezondheidsfonds (NFZ) ter versterking van de eerstelijnszorg en gecoördineerde zorg, waardoor uitvoering op nationaal niveau mogelijk is en betrekking heeft op: </w:t>
            </w:r>
          </w:p>
          <w:p w14:paraId="6BD660ED" w14:textId="77777777" w:rsidR="00480F1C" w:rsidRDefault="00A201F6">
            <w:pPr>
              <w:pStyle w:val="paragraph"/>
              <w:spacing w:before="0" w:beforeAutospacing="0" w:after="0" w:afterAutospacing="0"/>
              <w:textAlignment w:val="baseline"/>
              <w:rPr>
                <w:noProof/>
                <w:sz w:val="18"/>
              </w:rPr>
            </w:pPr>
            <w:r>
              <w:rPr>
                <w:rStyle w:val="normaltextrun"/>
                <w:noProof/>
                <w:color w:val="000000"/>
                <w:sz w:val="18"/>
              </w:rPr>
              <w:t xml:space="preserve">— preventieve gezondheidszorg (takenvergoeding); </w:t>
            </w:r>
          </w:p>
          <w:p w14:paraId="1A5157A4" w14:textId="0A1ABFEE" w:rsidR="00480F1C" w:rsidRDefault="00A201F6">
            <w:pPr>
              <w:pStyle w:val="paragraph"/>
              <w:spacing w:before="0" w:beforeAutospacing="0" w:after="0" w:afterAutospacing="0"/>
              <w:textAlignment w:val="baseline"/>
              <w:rPr>
                <w:noProof/>
                <w:sz w:val="18"/>
              </w:rPr>
            </w:pPr>
            <w:r>
              <w:rPr>
                <w:rStyle w:val="normaltextrun"/>
                <w:noProof/>
                <w:color w:val="000000" w:themeColor="text1"/>
                <w:sz w:val="18"/>
              </w:rPr>
              <w:t xml:space="preserve">— verwachte gezondheidsresultaten en kwaliteit van de zorg (invoering van stimulansen); en het </w:t>
            </w:r>
          </w:p>
          <w:p w14:paraId="3D9BE5A7" w14:textId="500BA48D" w:rsidR="00480F1C" w:rsidRDefault="00A201F6">
            <w:pPr>
              <w:pStyle w:val="paragraph"/>
              <w:spacing w:before="0" w:beforeAutospacing="0" w:after="0" w:afterAutospacing="0"/>
              <w:textAlignment w:val="baseline"/>
              <w:rPr>
                <w:noProof/>
                <w:sz w:val="18"/>
              </w:rPr>
            </w:pPr>
            <w:r>
              <w:rPr>
                <w:rStyle w:val="normaltextrun"/>
                <w:noProof/>
                <w:color w:val="000000" w:themeColor="text1"/>
                <w:sz w:val="18"/>
              </w:rPr>
              <w:t xml:space="preserve">— het programma voor de beheersing van chronische zorgziekten en de zorgcoördinator. </w:t>
            </w:r>
          </w:p>
          <w:p w14:paraId="76BC9B45" w14:textId="50509516" w:rsidR="00480F1C" w:rsidRDefault="00A201F6">
            <w:pPr>
              <w:pStyle w:val="paragraph"/>
              <w:spacing w:before="0" w:beforeAutospacing="0" w:after="0" w:afterAutospacing="0"/>
              <w:textAlignment w:val="baseline"/>
              <w:rPr>
                <w:noProof/>
                <w:sz w:val="18"/>
              </w:rPr>
            </w:pPr>
            <w:r>
              <w:rPr>
                <w:rStyle w:val="normaltextrun"/>
                <w:noProof/>
                <w:color w:val="000000"/>
                <w:sz w:val="18"/>
              </w:rPr>
              <w:t>Het besluit voert financiële regelingen in die voorzien in aanvullende financiële middelen voor de primaire zorgovereenkomsten, met uitzondering van nacht- en vakantiezorg.</w:t>
            </w:r>
            <w:r>
              <w:rPr>
                <w:rStyle w:val="normaltextrun"/>
                <w:noProof/>
                <w:sz w:val="18"/>
              </w:rPr>
              <w:t xml:space="preserve"> </w:t>
            </w:r>
          </w:p>
        </w:tc>
      </w:tr>
      <w:tr w:rsidR="00480F1C" w14:paraId="40055B3A" w14:textId="77777777">
        <w:trPr>
          <w:trHeight w:val="313"/>
        </w:trPr>
        <w:tc>
          <w:tcPr>
            <w:tcW w:w="709" w:type="dxa"/>
            <w:shd w:val="clear" w:color="auto" w:fill="C6EFCE"/>
          </w:tcPr>
          <w:p w14:paraId="484EB49F" w14:textId="061D7BAA"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D3G</w:t>
            </w:r>
          </w:p>
        </w:tc>
        <w:tc>
          <w:tcPr>
            <w:tcW w:w="2126" w:type="dxa"/>
            <w:shd w:val="clear" w:color="auto" w:fill="C6EFCE"/>
          </w:tcPr>
          <w:p w14:paraId="5EFBF91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D1.1 Verbetering van de doeltreffendheid, toegankelijkheid en kwaliteit van gezondheidsdiensten</w:t>
            </w:r>
          </w:p>
        </w:tc>
        <w:tc>
          <w:tcPr>
            <w:tcW w:w="1050" w:type="dxa"/>
            <w:shd w:val="clear" w:color="auto" w:fill="C6EFCE"/>
          </w:tcPr>
          <w:p w14:paraId="5E4235A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785" w:type="dxa"/>
            <w:shd w:val="clear" w:color="auto" w:fill="C6EFCE"/>
          </w:tcPr>
          <w:p w14:paraId="135FBE31" w14:textId="68A1FD1B"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Style w:val="normaltextrun"/>
                <w:rFonts w:ascii="Times New Roman" w:hAnsi="Times New Roman"/>
                <w:noProof/>
                <w:color w:val="000000"/>
                <w:sz w:val="18"/>
              </w:rPr>
              <w:t xml:space="preserve">Inwerkingtreding van de Wet kwaliteit gezondheidszorg en patiëntveiligheid, samen met de nodige uitvoeringsregelingen </w:t>
            </w:r>
          </w:p>
        </w:tc>
        <w:tc>
          <w:tcPr>
            <w:tcW w:w="1560" w:type="dxa"/>
            <w:shd w:val="clear" w:color="auto" w:fill="C6EFCE"/>
          </w:tcPr>
          <w:p w14:paraId="7881A0ED" w14:textId="5F13CC6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Bepaling in de handeling die de inwerkingtreding ervan aangeeft </w:t>
            </w:r>
          </w:p>
        </w:tc>
        <w:tc>
          <w:tcPr>
            <w:tcW w:w="1247" w:type="dxa"/>
            <w:shd w:val="clear" w:color="auto" w:fill="C6EFCE"/>
          </w:tcPr>
          <w:p w14:paraId="5B10199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76" w:type="dxa"/>
            <w:shd w:val="clear" w:color="auto" w:fill="C6EFCE"/>
          </w:tcPr>
          <w:p w14:paraId="3AF5D26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50" w:type="dxa"/>
            <w:shd w:val="clear" w:color="auto" w:fill="C6EFCE"/>
          </w:tcPr>
          <w:p w14:paraId="1592C48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shd w:val="clear" w:color="auto" w:fill="C6EFCE"/>
          </w:tcPr>
          <w:p w14:paraId="1B37B511" w14:textId="4C2C635B"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3</w:t>
            </w:r>
          </w:p>
        </w:tc>
        <w:tc>
          <w:tcPr>
            <w:tcW w:w="708" w:type="dxa"/>
            <w:shd w:val="clear" w:color="auto" w:fill="C6EFCE"/>
          </w:tcPr>
          <w:p w14:paraId="116D4EA9" w14:textId="507F4CD8"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2022</w:t>
            </w:r>
          </w:p>
        </w:tc>
        <w:tc>
          <w:tcPr>
            <w:tcW w:w="3544" w:type="dxa"/>
            <w:shd w:val="clear" w:color="auto" w:fill="C6EFCE"/>
          </w:tcPr>
          <w:p w14:paraId="04E1832E" w14:textId="4EEC02D5" w:rsidR="00480F1C" w:rsidRDefault="00A201F6">
            <w:pPr>
              <w:pStyle w:val="paragraph"/>
              <w:spacing w:before="0" w:beforeAutospacing="0" w:after="0" w:afterAutospacing="0"/>
              <w:textAlignment w:val="baseline"/>
              <w:rPr>
                <w:noProof/>
                <w:sz w:val="18"/>
              </w:rPr>
            </w:pPr>
            <w:r>
              <w:rPr>
                <w:rStyle w:val="normaltextrun"/>
                <w:noProof/>
                <w:color w:val="000000" w:themeColor="text1"/>
                <w:sz w:val="18"/>
              </w:rPr>
              <w:t xml:space="preserve">Inwerkingtreding van de Wet kwaliteit gezondheidszorg en patiëntveiligheid, die bepalingen bevat over de volgende elementen: </w:t>
            </w:r>
            <w:r>
              <w:rPr>
                <w:noProof/>
              </w:rPr>
              <w:t xml:space="preserve"> </w:t>
            </w:r>
            <w:r>
              <w:rPr>
                <w:noProof/>
              </w:rPr>
              <w:br/>
            </w:r>
            <w:r>
              <w:rPr>
                <w:rStyle w:val="normaltextrun"/>
                <w:noProof/>
                <w:color w:val="000000" w:themeColor="text1"/>
                <w:sz w:val="18"/>
              </w:rPr>
              <w:t xml:space="preserve">1) vergunning: een systeem voor de beoordeling van entiteiten die medische activiteiten verrichten, zoals ziekenhuisdiensten, in het licht van hun naleving van de eisen van het ministerie van Volksgezondheid en het Nationaal Fonds voor Volksgezondheid (zogenaamde „mandvereisten”); </w:t>
            </w:r>
            <w:r>
              <w:rPr>
                <w:noProof/>
              </w:rPr>
              <w:t xml:space="preserve"> </w:t>
            </w:r>
            <w:r>
              <w:rPr>
                <w:noProof/>
              </w:rPr>
              <w:br/>
            </w:r>
            <w:r>
              <w:rPr>
                <w:rStyle w:val="normaltextrun"/>
                <w:noProof/>
                <w:color w:val="000000" w:themeColor="text1"/>
                <w:sz w:val="18"/>
              </w:rPr>
              <w:t>2) accreditatie: een kader voor de externe evaluatie van de kwaliteit van de gezondheidszorg en de patiëntveiligheid in ziekenhuizen</w:t>
            </w:r>
            <w:r>
              <w:rPr>
                <w:noProof/>
              </w:rPr>
              <w:t xml:space="preserve"> </w:t>
            </w:r>
            <w:r>
              <w:rPr>
                <w:noProof/>
              </w:rPr>
              <w:br/>
              <w:t xml:space="preserve"> </w:t>
            </w:r>
            <w:r>
              <w:rPr>
                <w:rStyle w:val="normaltextrun"/>
                <w:noProof/>
                <w:color w:val="000000" w:themeColor="text1"/>
                <w:sz w:val="18"/>
              </w:rPr>
              <w:t xml:space="preserve">3) monitoring van ongewenste voorvallen: een kader voor activiteiten die door medische entiteiten worden uitgevoerd, met name bestaande uit het melden van ongewenste voorvallen, het uitvoeren van hun systematische analyse en het uitvoeren van conclusies uit die analyse, teneinde te voorkomen dat zich in de toekomst soortgelijke ongewenste voorvallen voordoen; </w:t>
            </w:r>
            <w:r>
              <w:rPr>
                <w:noProof/>
              </w:rPr>
              <w:t xml:space="preserve"> </w:t>
            </w:r>
            <w:r>
              <w:rPr>
                <w:noProof/>
              </w:rPr>
              <w:br/>
            </w:r>
            <w:r>
              <w:rPr>
                <w:rStyle w:val="normaltextrun"/>
                <w:noProof/>
                <w:color w:val="000000" w:themeColor="text1"/>
                <w:sz w:val="18"/>
              </w:rPr>
              <w:t xml:space="preserve">4) medische registers: het toezicht op het bijhouden van medische registers te versterken en de regels voor de oprichting en financiering ervan vast te stellen; </w:t>
            </w:r>
            <w:r>
              <w:rPr>
                <w:noProof/>
              </w:rPr>
              <w:t xml:space="preserve"> </w:t>
            </w:r>
            <w:r>
              <w:rPr>
                <w:noProof/>
              </w:rPr>
              <w:br/>
            </w:r>
            <w:r>
              <w:rPr>
                <w:rStyle w:val="normaltextrun"/>
                <w:noProof/>
                <w:color w:val="000000" w:themeColor="text1"/>
                <w:sz w:val="18"/>
              </w:rPr>
              <w:t xml:space="preserve">5) ervaring van patiënten: vaststelling van een kader voor het meten van de ervaring van patiënten met betrekking tot de contractbepalingen voor NFZ; en het </w:t>
            </w:r>
          </w:p>
          <w:p w14:paraId="6817658B" w14:textId="580843EC"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Style w:val="normaltextrun"/>
                <w:rFonts w:ascii="Times New Roman" w:hAnsi="Times New Roman"/>
                <w:noProof/>
                <w:color w:val="000000"/>
                <w:sz w:val="18"/>
              </w:rPr>
              <w:t xml:space="preserve">6) heropname in een ziekenhuis: een kader voor het volgen en analyseren van de terugnamepercentages van 30 dagen in verband met de contractbepalingen van de NFZ (via een uitvoeringsverordening). </w:t>
            </w:r>
          </w:p>
        </w:tc>
      </w:tr>
      <w:tr w:rsidR="00480F1C" w14:paraId="4CD99052"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66"/>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D619A73" w14:textId="341DD50B" w:rsidR="00480F1C" w:rsidRDefault="00A201F6">
            <w:pPr>
              <w:pStyle w:val="P68B1DB1-Normal010"/>
              <w:pBdr>
                <w:top w:val="nil"/>
                <w:left w:val="nil"/>
                <w:bottom w:val="nil"/>
                <w:right w:val="nil"/>
                <w:between w:val="nil"/>
              </w:pBdr>
              <w:spacing w:line="240" w:lineRule="auto"/>
              <w:jc w:val="center"/>
              <w:rPr>
                <w:rFonts w:eastAsia="Times New Roman" w:cs="Times New Roman"/>
                <w:b/>
                <w:noProof/>
                <w:color w:val="000000"/>
              </w:rPr>
            </w:pPr>
            <w:r>
              <w:rPr>
                <w:noProof/>
              </w:rPr>
              <w:t>D4G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78C0D27" w14:textId="77777777" w:rsidR="00480F1C" w:rsidRDefault="00A201F6">
            <w:pPr>
              <w:pStyle w:val="P68B1DB1-Normal011"/>
              <w:pBdr>
                <w:top w:val="nil"/>
                <w:left w:val="nil"/>
                <w:bottom w:val="nil"/>
                <w:right w:val="nil"/>
                <w:between w:val="nil"/>
              </w:pBdr>
              <w:spacing w:line="240" w:lineRule="auto"/>
              <w:rPr>
                <w:rFonts w:eastAsia="Times New Roman" w:cs="Times New Roman"/>
                <w:noProof/>
              </w:rPr>
            </w:pPr>
            <w:r>
              <w:rPr>
                <w:noProof/>
              </w:rPr>
              <w:t>D1.1 Verbetering van de doeltreffendheid, toegankelijkheid en kwaliteit van gezondheidsdiensten</w:t>
            </w: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D9AB36D" w14:textId="77777777" w:rsidR="00480F1C" w:rsidRDefault="00A201F6">
            <w:pPr>
              <w:pStyle w:val="P68B1DB1-Normal011"/>
              <w:pBdr>
                <w:top w:val="nil"/>
                <w:left w:val="nil"/>
                <w:bottom w:val="nil"/>
                <w:right w:val="nil"/>
                <w:between w:val="nil"/>
              </w:pBdr>
              <w:spacing w:line="240" w:lineRule="auto"/>
              <w:rPr>
                <w:rFonts w:eastAsia="Times New Roman" w:cs="Times New Roman"/>
                <w:noProof/>
              </w:rPr>
            </w:pPr>
            <w:r>
              <w:rPr>
                <w:noProof/>
              </w:rPr>
              <w:t xml:space="preserve">Mijlpaal </w:t>
            </w:r>
          </w:p>
        </w:tc>
        <w:tc>
          <w:tcPr>
            <w:tcW w:w="1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D30BB56" w14:textId="4F359339" w:rsidR="00480F1C" w:rsidRDefault="00A201F6">
            <w:pPr>
              <w:pStyle w:val="Normal0"/>
              <w:pBdr>
                <w:top w:val="nil"/>
                <w:left w:val="nil"/>
                <w:bottom w:val="nil"/>
                <w:right w:val="nil"/>
                <w:between w:val="nil"/>
              </w:pBdr>
              <w:spacing w:line="240" w:lineRule="auto"/>
              <w:rPr>
                <w:rFonts w:ascii="Times New Roman" w:eastAsia="Times New Roman" w:hAnsi="Times New Roman" w:cs="Times New Roman"/>
                <w:noProof/>
                <w:color w:val="000000"/>
                <w:sz w:val="18"/>
              </w:rPr>
            </w:pPr>
            <w:r>
              <w:rPr>
                <w:rStyle w:val="normaltextrun"/>
                <w:rFonts w:ascii="Times New Roman" w:hAnsi="Times New Roman"/>
                <w:noProof/>
                <w:color w:val="000000" w:themeColor="text1"/>
                <w:sz w:val="18"/>
              </w:rPr>
              <w:t xml:space="preserve">Inwerkingtreding van de wet inzake het nationaal oncologisch netwerk tot vaststelling van de regels voor de werking van het netwerk door de invoering van een nieuwe structuur en een nieuw model voor kankerzorg   </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F2FEF40" w14:textId="77777777" w:rsidR="00480F1C" w:rsidRDefault="00A201F6">
            <w:pPr>
              <w:pStyle w:val="P68B1DB1-Normal011"/>
              <w:pBdr>
                <w:top w:val="nil"/>
                <w:left w:val="nil"/>
                <w:bottom w:val="nil"/>
                <w:right w:val="nil"/>
                <w:between w:val="nil"/>
              </w:pBdr>
              <w:spacing w:line="240" w:lineRule="auto"/>
              <w:rPr>
                <w:rFonts w:eastAsia="Times New Roman" w:cs="Times New Roman"/>
                <w:noProof/>
              </w:rPr>
            </w:pPr>
            <w:r>
              <w:rPr>
                <w:noProof/>
              </w:rPr>
              <w:t xml:space="preserve">Bepaling in de handeling die de inwerkingtreding aangeeft  </w:t>
            </w:r>
          </w:p>
        </w:tc>
        <w:tc>
          <w:tcPr>
            <w:tcW w:w="12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D62D461" w14:textId="77777777" w:rsidR="00480F1C" w:rsidRDefault="00480F1C">
            <w:pPr>
              <w:pStyle w:val="Normal0"/>
              <w:pBdr>
                <w:top w:val="nil"/>
                <w:left w:val="nil"/>
                <w:bottom w:val="nil"/>
                <w:right w:val="nil"/>
                <w:between w:val="nil"/>
              </w:pBdr>
              <w:spacing w:line="240" w:lineRule="auto"/>
              <w:rPr>
                <w:rFonts w:ascii="Times New Roman" w:eastAsia="Times New Roman" w:hAnsi="Times New Roman" w:cs="Times New Roman"/>
                <w:noProof/>
                <w:color w:val="000000"/>
                <w:sz w:val="18"/>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78B034E" w14:textId="77777777" w:rsidR="00480F1C" w:rsidRDefault="00480F1C">
            <w:pPr>
              <w:pStyle w:val="Normal0"/>
              <w:pBdr>
                <w:top w:val="nil"/>
                <w:left w:val="nil"/>
                <w:bottom w:val="nil"/>
                <w:right w:val="nil"/>
                <w:between w:val="nil"/>
              </w:pBdr>
              <w:spacing w:line="240" w:lineRule="auto"/>
              <w:rPr>
                <w:rFonts w:ascii="Times New Roman" w:eastAsia="Times New Roman" w:hAnsi="Times New Roman" w:cs="Times New Roman"/>
                <w:noProof/>
                <w:color w:val="000000"/>
                <w:sz w:val="18"/>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92506DD" w14:textId="77777777" w:rsidR="00480F1C" w:rsidRDefault="00480F1C">
            <w:pPr>
              <w:pStyle w:val="Normal0"/>
              <w:pBdr>
                <w:top w:val="nil"/>
                <w:left w:val="nil"/>
                <w:bottom w:val="nil"/>
                <w:right w:val="nil"/>
                <w:between w:val="nil"/>
              </w:pBdr>
              <w:spacing w:line="240" w:lineRule="auto"/>
              <w:rPr>
                <w:rFonts w:ascii="Times New Roman" w:eastAsia="Times New Roman" w:hAnsi="Times New Roman" w:cs="Times New Roman"/>
                <w:noProof/>
                <w:color w:val="000000"/>
                <w:sz w:val="18"/>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230B7E7" w14:textId="5DEC6E20" w:rsidR="00480F1C" w:rsidRDefault="00A201F6">
            <w:pPr>
              <w:pStyle w:val="P68B1DB1-Normal011"/>
              <w:pBdr>
                <w:top w:val="nil"/>
                <w:left w:val="nil"/>
                <w:bottom w:val="nil"/>
                <w:right w:val="nil"/>
                <w:between w:val="nil"/>
              </w:pBdr>
              <w:spacing w:line="240" w:lineRule="auto"/>
              <w:jc w:val="center"/>
              <w:rPr>
                <w:rFonts w:eastAsia="Times New Roman" w:cs="Times New Roman"/>
                <w:noProof/>
              </w:rPr>
            </w:pPr>
            <w:r>
              <w:rPr>
                <w:noProof/>
              </w:rPr>
              <w:t>KWARTAAL 3</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1817D66" w14:textId="77777777" w:rsidR="00480F1C" w:rsidRDefault="00A201F6">
            <w:pPr>
              <w:pStyle w:val="P68B1DB1-Normal011"/>
              <w:pBdr>
                <w:top w:val="nil"/>
                <w:left w:val="nil"/>
                <w:bottom w:val="nil"/>
                <w:right w:val="nil"/>
                <w:between w:val="nil"/>
              </w:pBdr>
              <w:spacing w:line="240" w:lineRule="auto"/>
              <w:jc w:val="center"/>
              <w:rPr>
                <w:rFonts w:eastAsia="Times New Roman" w:cs="Times New Roman"/>
                <w:noProof/>
              </w:rPr>
            </w:pPr>
            <w:r>
              <w:rPr>
                <w:noProof/>
              </w:rPr>
              <w:t>2022</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0769E7F" w14:textId="53AC67F9"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Style w:val="normaltextrun"/>
                <w:rFonts w:ascii="Times New Roman" w:hAnsi="Times New Roman"/>
                <w:noProof/>
                <w:color w:val="000000" w:themeColor="text1"/>
                <w:sz w:val="18"/>
              </w:rPr>
              <w:t xml:space="preserve">Inwerkingtreding van de wet inzake nationaal oncologisch netwerk, die ervoor moet zorgen dat alle patiënten, ongeacht hun woonplaats, oncologische zorg krijgen op basis van dezelfde diagnostische en therapeutische normen.  </w:t>
            </w:r>
            <w:r>
              <w:rPr>
                <w:noProof/>
              </w:rPr>
              <w:t xml:space="preserve"> </w:t>
            </w:r>
            <w:r>
              <w:rPr>
                <w:noProof/>
              </w:rPr>
              <w:br/>
            </w:r>
            <w:r>
              <w:rPr>
                <w:rStyle w:val="normaltextrun"/>
                <w:rFonts w:ascii="Times New Roman" w:hAnsi="Times New Roman"/>
                <w:noProof/>
                <w:color w:val="000000" w:themeColor="text1"/>
                <w:sz w:val="18"/>
              </w:rPr>
              <w:t xml:space="preserve">De handeling is gericht op:   </w:t>
            </w:r>
            <w:r>
              <w:rPr>
                <w:noProof/>
              </w:rPr>
              <w:t xml:space="preserve"> </w:t>
            </w:r>
            <w:r>
              <w:rPr>
                <w:noProof/>
              </w:rPr>
              <w:br/>
            </w:r>
            <w:r>
              <w:rPr>
                <w:rStyle w:val="normaltextrun"/>
                <w:rFonts w:ascii="Times New Roman" w:hAnsi="Times New Roman"/>
                <w:noProof/>
                <w:color w:val="000000" w:themeColor="text1"/>
                <w:sz w:val="18"/>
              </w:rPr>
              <w:t xml:space="preserve">— verbetering van de organisatie van het oncologische zorgstelsel door patiënten toegang te bieden tot de diagnostische en therapeutische processen van de hoogste kwaliteit en alomvattende zorg op het gebied van eerstelijnszorg, gespecialiseerde extramurale gezondheidszorg, ziekenhuisbehandeling en revalidatie;  </w:t>
            </w:r>
            <w:r>
              <w:rPr>
                <w:noProof/>
              </w:rPr>
              <w:t xml:space="preserve"> </w:t>
            </w:r>
            <w:r>
              <w:rPr>
                <w:noProof/>
              </w:rPr>
              <w:br/>
            </w:r>
            <w:r>
              <w:rPr>
                <w:rStyle w:val="normaltextrun"/>
                <w:rFonts w:ascii="Times New Roman" w:hAnsi="Times New Roman"/>
                <w:noProof/>
                <w:color w:val="000000" w:themeColor="text1"/>
                <w:sz w:val="18"/>
              </w:rPr>
              <w:t xml:space="preserve">— Het opzetten van een nieuwe organisatiestructuur en een nieuw model voor het beheer van kankerzorg, met inbegrip van de controlecentra; </w:t>
            </w:r>
          </w:p>
          <w:p w14:paraId="7ED0614C" w14:textId="3F67D0E1" w:rsidR="00480F1C" w:rsidRDefault="00A201F6">
            <w:pPr>
              <w:pStyle w:val="Normal0"/>
              <w:pBdr>
                <w:top w:val="nil"/>
                <w:left w:val="nil"/>
                <w:bottom w:val="nil"/>
                <w:right w:val="nil"/>
                <w:between w:val="nil"/>
              </w:pBdr>
              <w:spacing w:after="0" w:line="240" w:lineRule="auto"/>
              <w:rPr>
                <w:rStyle w:val="eop"/>
                <w:rFonts w:ascii="Times New Roman" w:hAnsi="Times New Roman" w:cs="Times New Roman"/>
                <w:noProof/>
                <w:color w:val="000000"/>
                <w:sz w:val="18"/>
              </w:rPr>
            </w:pPr>
            <w:r>
              <w:rPr>
                <w:rStyle w:val="normaltextrun"/>
                <w:rFonts w:ascii="Times New Roman" w:hAnsi="Times New Roman"/>
                <w:noProof/>
                <w:color w:val="000000" w:themeColor="text1"/>
                <w:sz w:val="18"/>
              </w:rPr>
              <w:t>— verbetering van de levenskwaliteit van patiënten tijdens en na oncologische behandeling.</w:t>
            </w:r>
          </w:p>
        </w:tc>
      </w:tr>
      <w:tr w:rsidR="00480F1C" w14:paraId="46073544" w14:textId="77777777">
        <w:trPr>
          <w:trHeight w:val="313"/>
        </w:trPr>
        <w:tc>
          <w:tcPr>
            <w:tcW w:w="709" w:type="dxa"/>
            <w:shd w:val="clear" w:color="auto" w:fill="C6EFCE"/>
          </w:tcPr>
          <w:p w14:paraId="71A6816C" w14:textId="7782C7E2"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D5G</w:t>
            </w:r>
          </w:p>
        </w:tc>
        <w:tc>
          <w:tcPr>
            <w:tcW w:w="2126" w:type="dxa"/>
            <w:shd w:val="clear" w:color="auto" w:fill="C6EFCE"/>
          </w:tcPr>
          <w:p w14:paraId="0349810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D1.1 Verbetering van de doeltreffendheid, toegankelijkheid en kwaliteit van gezondheidsdiensten</w:t>
            </w:r>
          </w:p>
        </w:tc>
        <w:tc>
          <w:tcPr>
            <w:tcW w:w="1050" w:type="dxa"/>
            <w:shd w:val="clear" w:color="auto" w:fill="C6EFCE"/>
          </w:tcPr>
          <w:p w14:paraId="6F03D32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785" w:type="dxa"/>
            <w:shd w:val="clear" w:color="auto" w:fill="C6EFCE"/>
          </w:tcPr>
          <w:p w14:paraId="39E528F6" w14:textId="2033CAC4"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themeColor="text1"/>
                <w:sz w:val="18"/>
              </w:rPr>
              <w:t xml:space="preserve">Inwerkingtreding van de wet inzake het nationale cardiologische netwerk tot vaststelling van de regels voor de exploitatie van het netwerk door de invoering van een nieuwe structuur en een nieuw model voor cardiologische zorg  </w:t>
            </w:r>
          </w:p>
        </w:tc>
        <w:tc>
          <w:tcPr>
            <w:tcW w:w="1560" w:type="dxa"/>
            <w:shd w:val="clear" w:color="auto" w:fill="C6EFCE"/>
          </w:tcPr>
          <w:p w14:paraId="76ECEC8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handeling die de inwerkingtreding aangeeft</w:t>
            </w:r>
          </w:p>
        </w:tc>
        <w:tc>
          <w:tcPr>
            <w:tcW w:w="1247" w:type="dxa"/>
            <w:shd w:val="clear" w:color="auto" w:fill="C6EFCE"/>
          </w:tcPr>
          <w:p w14:paraId="6F35629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76" w:type="dxa"/>
            <w:shd w:val="clear" w:color="auto" w:fill="C6EFCE"/>
          </w:tcPr>
          <w:p w14:paraId="74D4F69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50" w:type="dxa"/>
            <w:shd w:val="clear" w:color="auto" w:fill="C6EFCE"/>
          </w:tcPr>
          <w:p w14:paraId="6EB27A1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shd w:val="clear" w:color="auto" w:fill="C6EFCE"/>
          </w:tcPr>
          <w:p w14:paraId="481278E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1</w:t>
            </w:r>
          </w:p>
        </w:tc>
        <w:tc>
          <w:tcPr>
            <w:tcW w:w="708" w:type="dxa"/>
            <w:shd w:val="clear" w:color="auto" w:fill="C6EFCE"/>
          </w:tcPr>
          <w:p w14:paraId="3E200CF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2024</w:t>
            </w:r>
          </w:p>
        </w:tc>
        <w:tc>
          <w:tcPr>
            <w:tcW w:w="3544" w:type="dxa"/>
            <w:shd w:val="clear" w:color="auto" w:fill="C6EFCE"/>
          </w:tcPr>
          <w:p w14:paraId="6819DD36" w14:textId="20AC4A91"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themeColor="text1"/>
                <w:sz w:val="18"/>
              </w:rPr>
              <w:t xml:space="preserve">Inwerkingtreding van de wet inzake het nationale cardiologische netwerk, die ervoor moet zorgen dat alle patiënten, ongeacht hun woonplaats, cardiologische zorg krijgen op basis van dezelfde diagnostische en therapeutische normen, d.w.z. uniform gedefinieerde trajecten, en dat het systeem flexibel aan hun behoeften beantwoordt. </w:t>
            </w:r>
            <w:r>
              <w:rPr>
                <w:noProof/>
              </w:rPr>
              <w:t xml:space="preserve"> </w:t>
            </w:r>
            <w:r>
              <w:rPr>
                <w:noProof/>
              </w:rPr>
              <w:br/>
            </w:r>
            <w:r>
              <w:rPr>
                <w:rStyle w:val="normaltextrun"/>
                <w:rFonts w:ascii="Times New Roman" w:hAnsi="Times New Roman"/>
                <w:noProof/>
                <w:color w:val="000000" w:themeColor="text1"/>
                <w:sz w:val="18"/>
              </w:rPr>
              <w:t xml:space="preserve">De hervorming is gericht op: </w:t>
            </w:r>
            <w:r>
              <w:rPr>
                <w:noProof/>
              </w:rPr>
              <w:t xml:space="preserve"> </w:t>
            </w:r>
            <w:r>
              <w:rPr>
                <w:noProof/>
              </w:rPr>
              <w:br/>
            </w:r>
            <w:r>
              <w:rPr>
                <w:rStyle w:val="normaltextrun"/>
                <w:rFonts w:ascii="Times New Roman" w:hAnsi="Times New Roman"/>
                <w:noProof/>
                <w:color w:val="000000" w:themeColor="text1"/>
                <w:sz w:val="18"/>
              </w:rPr>
              <w:t xml:space="preserve">— verbetering van de organisatie van het cardiologische zorgstelsel door patiënten toegang te bieden tot de diagnostische en therapeutische processen van de hoogste kwaliteit en alomvattende zorg op het gebied van eerstelijnszorg, gespecialiseerde extramurale gezondheidszorg, ziekenhuisbehandeling en revalidatie; </w:t>
            </w:r>
            <w:r>
              <w:rPr>
                <w:noProof/>
              </w:rPr>
              <w:t xml:space="preserve"> </w:t>
            </w:r>
            <w:r>
              <w:rPr>
                <w:noProof/>
              </w:rPr>
              <w:br/>
            </w:r>
            <w:r>
              <w:rPr>
                <w:rStyle w:val="normaltextrun"/>
                <w:rFonts w:ascii="Times New Roman" w:hAnsi="Times New Roman"/>
                <w:noProof/>
                <w:color w:val="000000" w:themeColor="text1"/>
                <w:sz w:val="18"/>
              </w:rPr>
              <w:t>— Invoering van een nieuwe organisatiestructuur en een nieuw model voor cardiologische zorg</w:t>
            </w:r>
          </w:p>
          <w:p w14:paraId="45AE8DB4" w14:textId="157CB64D"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themeColor="text1"/>
                <w:sz w:val="18"/>
              </w:rPr>
              <w:t xml:space="preserve">— verbetering van de levenskwaliteit van patiënten tijdens en na cardiologische behandeling. </w:t>
            </w:r>
          </w:p>
        </w:tc>
      </w:tr>
      <w:tr w:rsidR="00480F1C" w14:paraId="44FE5A25" w14:textId="77777777">
        <w:trPr>
          <w:trHeight w:val="313"/>
        </w:trPr>
        <w:tc>
          <w:tcPr>
            <w:tcW w:w="709" w:type="dxa"/>
            <w:shd w:val="clear" w:color="auto" w:fill="C6EFCE"/>
          </w:tcPr>
          <w:p w14:paraId="211DE1D2" w14:textId="6F3B0E7A"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D6G</w:t>
            </w:r>
          </w:p>
        </w:tc>
        <w:tc>
          <w:tcPr>
            <w:tcW w:w="2126" w:type="dxa"/>
            <w:shd w:val="clear" w:color="auto" w:fill="C6EFCE"/>
          </w:tcPr>
          <w:p w14:paraId="70906D6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D1.1 Verbetering van de doeltreffendheid, toegankelijkheid en kwaliteit van gezondheidsdiensten</w:t>
            </w:r>
          </w:p>
        </w:tc>
        <w:tc>
          <w:tcPr>
            <w:tcW w:w="1050" w:type="dxa"/>
            <w:shd w:val="clear" w:color="auto" w:fill="C6EFCE"/>
          </w:tcPr>
          <w:p w14:paraId="6390AE9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785" w:type="dxa"/>
            <w:shd w:val="clear" w:color="auto" w:fill="C6EFCE"/>
          </w:tcPr>
          <w:p w14:paraId="3DE5AC53" w14:textId="1E22CE69"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themeColor="text1"/>
                <w:sz w:val="18"/>
              </w:rPr>
              <w:t xml:space="preserve">Inwerkingtreding van een wetgevingspakket betreffende de lancering van nationale e-gezondheidsdiensten en de integratie daarvan in bestaande/beschikbare e-gezondheidsstelsels op nationaal en regionaal niveau </w:t>
            </w:r>
          </w:p>
        </w:tc>
        <w:tc>
          <w:tcPr>
            <w:tcW w:w="1560" w:type="dxa"/>
            <w:shd w:val="clear" w:color="auto" w:fill="C6EFCE"/>
          </w:tcPr>
          <w:p w14:paraId="39D6948D" w14:textId="07AEB4A0"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Bepaling in het wetgevingspakket met vermelding van de inwerkingtreding</w:t>
            </w:r>
          </w:p>
        </w:tc>
        <w:tc>
          <w:tcPr>
            <w:tcW w:w="1247" w:type="dxa"/>
            <w:shd w:val="clear" w:color="auto" w:fill="C6EFCE"/>
          </w:tcPr>
          <w:p w14:paraId="2E1AE02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76" w:type="dxa"/>
            <w:shd w:val="clear" w:color="auto" w:fill="C6EFCE"/>
          </w:tcPr>
          <w:p w14:paraId="0DAA224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50" w:type="dxa"/>
            <w:shd w:val="clear" w:color="auto" w:fill="C6EFCE"/>
          </w:tcPr>
          <w:p w14:paraId="56EBE4A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shd w:val="clear" w:color="auto" w:fill="C6EFCE"/>
          </w:tcPr>
          <w:p w14:paraId="6DD5C92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1</w:t>
            </w:r>
          </w:p>
        </w:tc>
        <w:tc>
          <w:tcPr>
            <w:tcW w:w="708" w:type="dxa"/>
            <w:shd w:val="clear" w:color="auto" w:fill="C6EFCE"/>
          </w:tcPr>
          <w:p w14:paraId="30A77F8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544" w:type="dxa"/>
            <w:shd w:val="clear" w:color="auto" w:fill="C6EFCE"/>
          </w:tcPr>
          <w:p w14:paraId="6AC79FF4" w14:textId="7ABE5BA0"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themeColor="text1"/>
                <w:sz w:val="18"/>
              </w:rPr>
              <w:t xml:space="preserve">Inwerkingtreding van een wetgevingspakket dat voorziet in de passende juridische en administratieve omgeving voor de lancering van nationale e-gezondheidsdiensten (instrumenten voor analyse van de gezondheid van patiënten, instrument ter ondersteuning van de besluitvorming voor artsen op basis van AI-algoritmen, centraal register van medische gegevens) en de integratie daarvan in bestaande/beschikbare e-gezondheidssystemen op nationaal en regionaal niveau. </w:t>
            </w:r>
          </w:p>
        </w:tc>
      </w:tr>
      <w:tr w:rsidR="00480F1C" w14:paraId="7DE50D7F" w14:textId="77777777">
        <w:trPr>
          <w:trHeight w:val="313"/>
        </w:trPr>
        <w:tc>
          <w:tcPr>
            <w:tcW w:w="709" w:type="dxa"/>
            <w:shd w:val="clear" w:color="auto" w:fill="C6EFCE"/>
          </w:tcPr>
          <w:p w14:paraId="3E2D3828" w14:textId="47A75562"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D7G</w:t>
            </w:r>
          </w:p>
        </w:tc>
        <w:tc>
          <w:tcPr>
            <w:tcW w:w="2126" w:type="dxa"/>
            <w:shd w:val="clear" w:color="auto" w:fill="C6EFCE"/>
          </w:tcPr>
          <w:p w14:paraId="41A8605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D1.1 Verbetering van de doeltreffendheid, toegankelijkheid en kwaliteit van gezondheidsdiensten</w:t>
            </w:r>
          </w:p>
        </w:tc>
        <w:tc>
          <w:tcPr>
            <w:tcW w:w="1050" w:type="dxa"/>
            <w:shd w:val="clear" w:color="auto" w:fill="C6EFCE"/>
          </w:tcPr>
          <w:p w14:paraId="3FE0CE5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785" w:type="dxa"/>
            <w:shd w:val="clear" w:color="auto" w:fill="C6EFCE"/>
          </w:tcPr>
          <w:p w14:paraId="15BA93CD" w14:textId="6A7961EF"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Style w:val="normaltextrun"/>
                <w:rFonts w:ascii="Times New Roman" w:hAnsi="Times New Roman"/>
                <w:noProof/>
                <w:color w:val="000000" w:themeColor="text1"/>
                <w:sz w:val="18"/>
              </w:rPr>
              <w:t xml:space="preserve">Inwerkingtreding van de verordening betreffende de lijst van centra voor toezicht op de wojewodschappen van het oncologisch netwerk </w:t>
            </w:r>
          </w:p>
        </w:tc>
        <w:tc>
          <w:tcPr>
            <w:tcW w:w="1560" w:type="dxa"/>
            <w:shd w:val="clear" w:color="auto" w:fill="C6EFCE"/>
          </w:tcPr>
          <w:p w14:paraId="440C505C" w14:textId="173DACD1"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Bepaling in de verordening betreffende de inwerkingtreding</w:t>
            </w:r>
          </w:p>
        </w:tc>
        <w:tc>
          <w:tcPr>
            <w:tcW w:w="1247" w:type="dxa"/>
            <w:shd w:val="clear" w:color="auto" w:fill="C6EFCE"/>
          </w:tcPr>
          <w:p w14:paraId="4E12A9D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76" w:type="dxa"/>
            <w:shd w:val="clear" w:color="auto" w:fill="C6EFCE"/>
          </w:tcPr>
          <w:p w14:paraId="5D52CDD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50" w:type="dxa"/>
            <w:shd w:val="clear" w:color="auto" w:fill="C6EFCE"/>
          </w:tcPr>
          <w:p w14:paraId="601CC18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shd w:val="clear" w:color="auto" w:fill="C6EFCE"/>
          </w:tcPr>
          <w:p w14:paraId="0903ED26" w14:textId="5249BA2F"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1</w:t>
            </w:r>
          </w:p>
        </w:tc>
        <w:tc>
          <w:tcPr>
            <w:tcW w:w="708" w:type="dxa"/>
            <w:shd w:val="clear" w:color="auto" w:fill="C6EFCE"/>
          </w:tcPr>
          <w:p w14:paraId="769FF201" w14:textId="717880E0"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2023</w:t>
            </w:r>
          </w:p>
        </w:tc>
        <w:tc>
          <w:tcPr>
            <w:tcW w:w="3544" w:type="dxa"/>
            <w:shd w:val="clear" w:color="auto" w:fill="C6EFCE"/>
          </w:tcPr>
          <w:p w14:paraId="4AA7D636" w14:textId="4840D617" w:rsidR="00480F1C" w:rsidRDefault="00A201F6">
            <w:pPr>
              <w:pStyle w:val="paragraph"/>
              <w:spacing w:before="0" w:beforeAutospacing="0" w:after="0" w:afterAutospacing="0"/>
              <w:textAlignment w:val="baseline"/>
              <w:rPr>
                <w:noProof/>
                <w:color w:val="000000" w:themeColor="text1"/>
                <w:sz w:val="18"/>
              </w:rPr>
            </w:pPr>
            <w:r>
              <w:rPr>
                <w:rStyle w:val="normaltextrun"/>
                <w:noProof/>
                <w:color w:val="000000" w:themeColor="text1"/>
                <w:sz w:val="18"/>
              </w:rPr>
              <w:t>De verordening treedt in werking en voorziet in de oprichting van centra voor toezicht op de provincies, die medische entiteiten zijn die worden geselecteerd uit het oncologische netwerk in elk van de 16 provincies, die gespecialiseerd zijn in oncologische zorg en die voorzien in alomvattende oncologische behandeling en monitoring.</w:t>
            </w:r>
          </w:p>
        </w:tc>
      </w:tr>
      <w:tr w:rsidR="00480F1C" w14:paraId="1A44EA85" w14:textId="77777777">
        <w:trPr>
          <w:trHeight w:val="313"/>
        </w:trPr>
        <w:tc>
          <w:tcPr>
            <w:tcW w:w="709" w:type="dxa"/>
            <w:shd w:val="clear" w:color="auto" w:fill="C6EFCE"/>
          </w:tcPr>
          <w:p w14:paraId="52EEBFBF" w14:textId="2C18D378"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D8G</w:t>
            </w:r>
          </w:p>
        </w:tc>
        <w:tc>
          <w:tcPr>
            <w:tcW w:w="2126" w:type="dxa"/>
            <w:shd w:val="clear" w:color="auto" w:fill="C6EFCE"/>
          </w:tcPr>
          <w:p w14:paraId="5E496E0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D1.1 Verbetering van de doeltreffendheid, toegankelijkheid en kwaliteit van gezondheidsdiensten</w:t>
            </w:r>
          </w:p>
        </w:tc>
        <w:tc>
          <w:tcPr>
            <w:tcW w:w="1050" w:type="dxa"/>
            <w:shd w:val="clear" w:color="auto" w:fill="C6EFCE"/>
          </w:tcPr>
          <w:p w14:paraId="1C8828A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785" w:type="dxa"/>
            <w:shd w:val="clear" w:color="auto" w:fill="C6EFCE"/>
          </w:tcPr>
          <w:p w14:paraId="48700766" w14:textId="7344DDCB"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Evaluatie van het oncologische zorgnetwerk </w:t>
            </w:r>
          </w:p>
        </w:tc>
        <w:tc>
          <w:tcPr>
            <w:tcW w:w="1560" w:type="dxa"/>
            <w:shd w:val="clear" w:color="auto" w:fill="C6EFCE"/>
          </w:tcPr>
          <w:p w14:paraId="5B504BB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Publicatie van het verslag</w:t>
            </w:r>
          </w:p>
        </w:tc>
        <w:tc>
          <w:tcPr>
            <w:tcW w:w="1247" w:type="dxa"/>
            <w:shd w:val="clear" w:color="auto" w:fill="C6EFCE"/>
          </w:tcPr>
          <w:p w14:paraId="178F587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76" w:type="dxa"/>
            <w:shd w:val="clear" w:color="auto" w:fill="C6EFCE"/>
          </w:tcPr>
          <w:p w14:paraId="08B2108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50" w:type="dxa"/>
            <w:shd w:val="clear" w:color="auto" w:fill="C6EFCE"/>
          </w:tcPr>
          <w:p w14:paraId="4EA71FC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shd w:val="clear" w:color="auto" w:fill="C6EFCE"/>
          </w:tcPr>
          <w:p w14:paraId="3447A234"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708" w:type="dxa"/>
            <w:shd w:val="clear" w:color="auto" w:fill="C6EFCE"/>
          </w:tcPr>
          <w:p w14:paraId="3B29AB3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2025</w:t>
            </w:r>
          </w:p>
        </w:tc>
        <w:tc>
          <w:tcPr>
            <w:tcW w:w="3544" w:type="dxa"/>
            <w:shd w:val="clear" w:color="auto" w:fill="C6EFCE"/>
          </w:tcPr>
          <w:p w14:paraId="2FF9F379" w14:textId="58DC3B1F"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Verslag over de evaluatie van het oncologische zorgnetwerk, met inbegrip</w:t>
            </w:r>
            <w:r>
              <w:rPr>
                <w:noProof/>
              </w:rPr>
              <w:t>van</w:t>
            </w:r>
            <w:r>
              <w:rPr>
                <w:rFonts w:ascii="Times New Roman" w:hAnsi="Times New Roman"/>
                <w:noProof/>
                <w:sz w:val="18"/>
              </w:rPr>
              <w:t>indicatoren voor de kwaliteit van</w:t>
            </w:r>
            <w:r>
              <w:rPr>
                <w:rStyle w:val="scxw147420095"/>
                <w:noProof/>
              </w:rPr>
              <w:t xml:space="preserve"> </w:t>
            </w:r>
            <w:r>
              <w:rPr>
                <w:rFonts w:ascii="Times New Roman" w:hAnsi="Times New Roman"/>
                <w:noProof/>
                <w:sz w:val="18"/>
              </w:rPr>
              <w:t>oncologische zorg.</w:t>
            </w:r>
            <w:r>
              <w:rPr>
                <w:noProof/>
              </w:rPr>
              <w:t xml:space="preserve">   </w:t>
            </w:r>
            <w:r>
              <w:rPr>
                <w:noProof/>
              </w:rPr>
              <w:br/>
            </w:r>
          </w:p>
        </w:tc>
      </w:tr>
      <w:tr w:rsidR="00480F1C" w14:paraId="5E22CA02" w14:textId="77777777">
        <w:trPr>
          <w:trHeight w:val="313"/>
        </w:trPr>
        <w:tc>
          <w:tcPr>
            <w:tcW w:w="709" w:type="dxa"/>
            <w:shd w:val="clear" w:color="auto" w:fill="C6EFCE"/>
          </w:tcPr>
          <w:p w14:paraId="4782196D" w14:textId="4F757FCE"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D9G</w:t>
            </w:r>
          </w:p>
        </w:tc>
        <w:tc>
          <w:tcPr>
            <w:tcW w:w="2126" w:type="dxa"/>
            <w:shd w:val="clear" w:color="auto" w:fill="C6EFCE"/>
          </w:tcPr>
          <w:p w14:paraId="03AF9B0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D1.1.1 Ontwikkeling en modernisering van de infrastructuur van zeer gespecialiseerde zorgcentra en andere zorgaanbieders </w:t>
            </w:r>
          </w:p>
        </w:tc>
        <w:tc>
          <w:tcPr>
            <w:tcW w:w="1050" w:type="dxa"/>
            <w:shd w:val="clear" w:color="auto" w:fill="C6EFCE"/>
          </w:tcPr>
          <w:p w14:paraId="7A36C3B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785" w:type="dxa"/>
            <w:shd w:val="clear" w:color="auto" w:fill="C6EFCE"/>
          </w:tcPr>
          <w:p w14:paraId="7B54CE31" w14:textId="7DF152EF"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Style w:val="normaltextrun"/>
                <w:rFonts w:ascii="Times New Roman" w:hAnsi="Times New Roman"/>
                <w:noProof/>
                <w:color w:val="000000" w:themeColor="text1"/>
                <w:sz w:val="18"/>
              </w:rPr>
              <w:t xml:space="preserve">Inwerkingtreding van een rechtshandeling betreffende de lijst van precieze criteria om ziekenhuizen in aanmerking te laten komen voor specifieke categorieën om de investeringsbehoeften als gevolg van de hervorming te helpen bepalen </w:t>
            </w:r>
          </w:p>
        </w:tc>
        <w:tc>
          <w:tcPr>
            <w:tcW w:w="1560" w:type="dxa"/>
            <w:shd w:val="clear" w:color="auto" w:fill="C6EFCE"/>
          </w:tcPr>
          <w:p w14:paraId="73DFB200" w14:textId="22C5E53F"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in de rechtshandeling die de inwerkingtreding aangeeft</w:t>
            </w:r>
          </w:p>
        </w:tc>
        <w:tc>
          <w:tcPr>
            <w:tcW w:w="1247" w:type="dxa"/>
            <w:shd w:val="clear" w:color="auto" w:fill="C6EFCE"/>
          </w:tcPr>
          <w:p w14:paraId="742F3C0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76" w:type="dxa"/>
            <w:shd w:val="clear" w:color="auto" w:fill="C6EFCE"/>
          </w:tcPr>
          <w:p w14:paraId="6CD9938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50" w:type="dxa"/>
            <w:shd w:val="clear" w:color="auto" w:fill="C6EFCE"/>
          </w:tcPr>
          <w:p w14:paraId="3CF3987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shd w:val="clear" w:color="auto" w:fill="C6EFCE"/>
          </w:tcPr>
          <w:p w14:paraId="1212D14C" w14:textId="5BF4E902"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708" w:type="dxa"/>
            <w:shd w:val="clear" w:color="auto" w:fill="C6EFCE"/>
          </w:tcPr>
          <w:p w14:paraId="0E5F051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3544" w:type="dxa"/>
            <w:shd w:val="clear" w:color="auto" w:fill="C6EFCE"/>
          </w:tcPr>
          <w:p w14:paraId="2A48FCD8" w14:textId="5B576A0D"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Style w:val="normaltextrun"/>
                <w:rFonts w:ascii="Times New Roman" w:hAnsi="Times New Roman"/>
                <w:noProof/>
                <w:color w:val="000000" w:themeColor="text1"/>
                <w:sz w:val="18"/>
              </w:rPr>
              <w:t>Inwerkingtreding van een rechtshandeling</w:t>
            </w:r>
            <w:r>
              <w:rPr>
                <w:noProof/>
              </w:rPr>
              <w:t>tot</w:t>
            </w:r>
            <w:r>
              <w:rPr>
                <w:rFonts w:ascii="Times New Roman" w:hAnsi="Times New Roman"/>
                <w:noProof/>
                <w:sz w:val="18"/>
              </w:rPr>
              <w:t xml:space="preserve"> </w:t>
            </w:r>
            <w:r>
              <w:rPr>
                <w:rStyle w:val="normaltextrun"/>
                <w:rFonts w:ascii="Times New Roman" w:hAnsi="Times New Roman"/>
                <w:noProof/>
                <w:color w:val="000000" w:themeColor="text1"/>
                <w:sz w:val="18"/>
              </w:rPr>
              <w:t xml:space="preserve">vaststelling van de lijst van criteria op basis waarvan ziekenhuizen in specifieke categorieën worden ingedeeld. Deze categorieën helpen bij het bepalen van de investeringsbehoeften die voortvloeien uit de modernisering van ziekenhuizen en de verbetering van de efficiëntie van de hervorming. </w:t>
            </w:r>
            <w:r>
              <w:rPr>
                <w:noProof/>
              </w:rPr>
              <w:t xml:space="preserve"> </w:t>
            </w:r>
            <w:r>
              <w:rPr>
                <w:noProof/>
              </w:rPr>
              <w:br/>
            </w:r>
            <w:r>
              <w:rPr>
                <w:rStyle w:val="normaltextrun"/>
                <w:rFonts w:ascii="Times New Roman" w:hAnsi="Times New Roman"/>
                <w:noProof/>
                <w:color w:val="000000" w:themeColor="text1"/>
                <w:sz w:val="18"/>
              </w:rPr>
              <w:t xml:space="preserve">De indelingscriteria zijn gebaseerd op: </w:t>
            </w:r>
            <w:r>
              <w:rPr>
                <w:noProof/>
              </w:rPr>
              <w:t xml:space="preserve"> </w:t>
            </w:r>
            <w:r>
              <w:rPr>
                <w:noProof/>
              </w:rPr>
              <w:br/>
            </w:r>
            <w:r>
              <w:rPr>
                <w:rStyle w:val="normaltextrun"/>
                <w:rFonts w:ascii="Times New Roman" w:hAnsi="Times New Roman"/>
                <w:noProof/>
                <w:color w:val="000000" w:themeColor="text1"/>
                <w:sz w:val="18"/>
              </w:rPr>
              <w:t xml:space="preserve">— dekking (zoals de bestreken bevolking; gedekte uitkeringen; behoefte aan tijdige toegang tot zorg); </w:t>
            </w:r>
            <w:r>
              <w:rPr>
                <w:noProof/>
              </w:rPr>
              <w:t xml:space="preserve"> </w:t>
            </w:r>
            <w:r>
              <w:rPr>
                <w:noProof/>
              </w:rPr>
              <w:br/>
            </w:r>
            <w:r>
              <w:rPr>
                <w:rStyle w:val="normaltextrun"/>
                <w:rFonts w:ascii="Times New Roman" w:hAnsi="Times New Roman"/>
                <w:noProof/>
                <w:color w:val="000000" w:themeColor="text1"/>
                <w:sz w:val="18"/>
              </w:rPr>
              <w:t xml:space="preserve">— eigen vermogen (zoals eigen vermogen in financiering; gelijkheid in levering en gebruik; kansengelijkheid in gezondheidsresultaten); </w:t>
            </w:r>
            <w:r>
              <w:rPr>
                <w:noProof/>
              </w:rPr>
              <w:t xml:space="preserve"> </w:t>
            </w:r>
            <w:r>
              <w:rPr>
                <w:noProof/>
              </w:rPr>
              <w:br/>
            </w:r>
            <w:r>
              <w:rPr>
                <w:rStyle w:val="normaltextrun"/>
                <w:rFonts w:ascii="Times New Roman" w:hAnsi="Times New Roman"/>
                <w:noProof/>
                <w:color w:val="000000" w:themeColor="text1"/>
                <w:sz w:val="18"/>
              </w:rPr>
              <w:t xml:space="preserve">— efficiëntie, met inbegrip van operationele activiteiten (efficiëntie bij het behalen van resultaten; efficiëntie bij het verzamelen van middelen); </w:t>
            </w:r>
            <w:r>
              <w:rPr>
                <w:noProof/>
              </w:rPr>
              <w:t xml:space="preserve"> </w:t>
            </w:r>
            <w:r>
              <w:rPr>
                <w:noProof/>
              </w:rPr>
              <w:br/>
            </w:r>
            <w:r>
              <w:rPr>
                <w:rStyle w:val="normaltextrun"/>
                <w:rFonts w:ascii="Times New Roman" w:hAnsi="Times New Roman"/>
                <w:noProof/>
                <w:color w:val="000000" w:themeColor="text1"/>
                <w:sz w:val="18"/>
              </w:rPr>
              <w:t xml:space="preserve">— kwaliteit van de zorg; en het </w:t>
            </w:r>
            <w:r>
              <w:rPr>
                <w:noProof/>
              </w:rPr>
              <w:t xml:space="preserve"> </w:t>
            </w:r>
            <w:r>
              <w:rPr>
                <w:noProof/>
              </w:rPr>
              <w:br/>
              <w:t xml:space="preserve"> </w:t>
            </w:r>
            <w:r>
              <w:rPr>
                <w:rStyle w:val="normaltextrun"/>
                <w:rFonts w:ascii="Times New Roman" w:hAnsi="Times New Roman"/>
                <w:noProof/>
                <w:color w:val="000000" w:themeColor="text1"/>
                <w:sz w:val="18"/>
              </w:rPr>
              <w:t xml:space="preserve">— beschikbaarheid van middelen (zoals personele en financiële middelen).  </w:t>
            </w:r>
          </w:p>
        </w:tc>
      </w:tr>
      <w:tr w:rsidR="00480F1C" w14:paraId="25C8B922" w14:textId="77777777">
        <w:trPr>
          <w:trHeight w:val="313"/>
        </w:trPr>
        <w:tc>
          <w:tcPr>
            <w:tcW w:w="709" w:type="dxa"/>
            <w:shd w:val="clear" w:color="auto" w:fill="C6EFCE"/>
          </w:tcPr>
          <w:p w14:paraId="16559417" w14:textId="69B4DA2D"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D10G</w:t>
            </w:r>
          </w:p>
        </w:tc>
        <w:tc>
          <w:tcPr>
            <w:tcW w:w="2126" w:type="dxa"/>
            <w:shd w:val="clear" w:color="auto" w:fill="C6EFCE"/>
          </w:tcPr>
          <w:p w14:paraId="79FD700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D1.1.1 Ontwikkeling en modernisering van de infrastructuur van zeer gespecialiseerde zorgcentra en andere zorgaanbieders </w:t>
            </w:r>
          </w:p>
        </w:tc>
        <w:tc>
          <w:tcPr>
            <w:tcW w:w="1050" w:type="dxa"/>
            <w:shd w:val="clear" w:color="auto" w:fill="C6EFCE"/>
          </w:tcPr>
          <w:p w14:paraId="5117A43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785" w:type="dxa"/>
            <w:shd w:val="clear" w:color="auto" w:fill="C6EFCE"/>
          </w:tcPr>
          <w:p w14:paraId="08509C27" w14:textId="530B3BF1" w:rsidR="00480F1C" w:rsidRDefault="00A201F6">
            <w:pPr>
              <w:pStyle w:val="paragraph"/>
              <w:spacing w:before="0" w:beforeAutospacing="0" w:after="0" w:afterAutospacing="0"/>
              <w:textAlignment w:val="baseline"/>
              <w:rPr>
                <w:noProof/>
                <w:sz w:val="18"/>
              </w:rPr>
            </w:pPr>
            <w:r>
              <w:rPr>
                <w:rStyle w:val="normaltextrun"/>
                <w:noProof/>
                <w:color w:val="000000" w:themeColor="text1"/>
                <w:sz w:val="18"/>
              </w:rPr>
              <w:t xml:space="preserve">Eerste oproep tot het indienen van voorstellen voor ziekenhuizen die financiering aanvragen </w:t>
            </w:r>
          </w:p>
          <w:p w14:paraId="7FD8715F" w14:textId="1783407D"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Style w:val="eop"/>
                <w:rFonts w:ascii="Times New Roman" w:hAnsi="Times New Roman"/>
                <w:noProof/>
                <w:color w:val="000000"/>
                <w:sz w:val="18"/>
              </w:rPr>
              <w:t xml:space="preserve"> </w:t>
            </w:r>
          </w:p>
        </w:tc>
        <w:tc>
          <w:tcPr>
            <w:tcW w:w="1560" w:type="dxa"/>
            <w:shd w:val="clear" w:color="auto" w:fill="C6EFCE"/>
          </w:tcPr>
          <w:p w14:paraId="613393B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Publicatie van de eerste oproep tot het indienen van voorstellen </w:t>
            </w:r>
          </w:p>
        </w:tc>
        <w:tc>
          <w:tcPr>
            <w:tcW w:w="1247" w:type="dxa"/>
            <w:shd w:val="clear" w:color="auto" w:fill="C6EFCE"/>
          </w:tcPr>
          <w:p w14:paraId="6BDFDFC2"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p>
        </w:tc>
        <w:tc>
          <w:tcPr>
            <w:tcW w:w="1276" w:type="dxa"/>
            <w:shd w:val="clear" w:color="auto" w:fill="C6EFCE"/>
          </w:tcPr>
          <w:p w14:paraId="41F9AE5E"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themeColor="text1"/>
                <w:sz w:val="18"/>
              </w:rPr>
            </w:pPr>
          </w:p>
        </w:tc>
        <w:tc>
          <w:tcPr>
            <w:tcW w:w="850" w:type="dxa"/>
            <w:shd w:val="clear" w:color="auto" w:fill="C6EFCE"/>
          </w:tcPr>
          <w:p w14:paraId="00F03A6D"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themeColor="text1"/>
                <w:sz w:val="18"/>
              </w:rPr>
            </w:pPr>
          </w:p>
        </w:tc>
        <w:tc>
          <w:tcPr>
            <w:tcW w:w="993" w:type="dxa"/>
            <w:shd w:val="clear" w:color="auto" w:fill="C6EFCE"/>
          </w:tcPr>
          <w:p w14:paraId="2B258E0F" w14:textId="35BC44CB"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1</w:t>
            </w:r>
          </w:p>
        </w:tc>
        <w:tc>
          <w:tcPr>
            <w:tcW w:w="708" w:type="dxa"/>
            <w:shd w:val="clear" w:color="auto" w:fill="C6EFCE"/>
          </w:tcPr>
          <w:p w14:paraId="7C3C69C4" w14:textId="12A7DEB0"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2023</w:t>
            </w:r>
          </w:p>
        </w:tc>
        <w:tc>
          <w:tcPr>
            <w:tcW w:w="3544" w:type="dxa"/>
            <w:shd w:val="clear" w:color="auto" w:fill="C6EFCE"/>
          </w:tcPr>
          <w:p w14:paraId="37D2D016" w14:textId="2EAB867B" w:rsidR="00480F1C" w:rsidRDefault="00A201F6">
            <w:pPr>
              <w:pStyle w:val="paragraph"/>
              <w:spacing w:before="0" w:beforeAutospacing="0" w:after="0" w:afterAutospacing="0"/>
              <w:textAlignment w:val="baseline"/>
              <w:rPr>
                <w:rStyle w:val="normaltextrun"/>
                <w:rFonts w:eastAsia="Calibri"/>
                <w:noProof/>
                <w:color w:val="000000" w:themeColor="text1"/>
                <w:sz w:val="18"/>
              </w:rPr>
            </w:pPr>
            <w:r>
              <w:rPr>
                <w:rStyle w:val="normaltextrun"/>
                <w:noProof/>
                <w:color w:val="000000" w:themeColor="text1"/>
                <w:sz w:val="18"/>
              </w:rPr>
              <w:t>De eerste oproep tot het indienen van voorstellen voor ziekenhuizen voor de financiering van de aanschaf of modernisering van uitrusting of infrastructuur wordt gepubliceerd. Deze oproep en alle daaropvolgende oproepen worden gebaseerd op de categorisatiecriteria en duidelijke en transparante procedures</w:t>
            </w:r>
            <w:r>
              <w:rPr>
                <w:rStyle w:val="normaltextrun"/>
                <w:noProof/>
                <w:sz w:val="18"/>
              </w:rPr>
              <w:t>.</w:t>
            </w:r>
          </w:p>
          <w:p w14:paraId="2D85AD71" w14:textId="77777777" w:rsidR="00480F1C" w:rsidRDefault="00A201F6">
            <w:pPr>
              <w:pStyle w:val="paragraph"/>
              <w:spacing w:before="0" w:beforeAutospacing="0" w:after="0" w:afterAutospacing="0"/>
              <w:textAlignment w:val="baseline"/>
              <w:rPr>
                <w:rStyle w:val="normaltextrun"/>
                <w:rFonts w:eastAsia="Calibri"/>
                <w:noProof/>
                <w:color w:val="000000" w:themeColor="text1"/>
                <w:sz w:val="18"/>
              </w:rPr>
            </w:pPr>
            <w:r>
              <w:rPr>
                <w:rStyle w:val="normaltextrun"/>
                <w:noProof/>
                <w:color w:val="000000" w:themeColor="text1"/>
                <w:sz w:val="18"/>
              </w:rPr>
              <w:t xml:space="preserve"> </w:t>
            </w:r>
          </w:p>
          <w:p w14:paraId="7C5B8C88" w14:textId="3C799E39" w:rsidR="00480F1C" w:rsidRDefault="00A201F6">
            <w:pPr>
              <w:pStyle w:val="paragraph"/>
              <w:spacing w:before="0" w:beforeAutospacing="0" w:after="0" w:afterAutospacing="0"/>
              <w:textAlignment w:val="baseline"/>
              <w:rPr>
                <w:rStyle w:val="normaltextrun"/>
                <w:rFonts w:eastAsia="Calibri"/>
                <w:noProof/>
                <w:sz w:val="18"/>
              </w:rPr>
            </w:pPr>
            <w:r>
              <w:rPr>
                <w:rStyle w:val="normaltextrun"/>
                <w:noProof/>
                <w:color w:val="000000" w:themeColor="text1"/>
                <w:sz w:val="18"/>
              </w:rPr>
              <w:t>De verbetering van de medische uitrusting en de infrastructuur dragen bij tot de verbetering van de kwaliteit van de zorg, de beschikbaarheid van middelen en het waarborgen van tijdige en volledige toegang tot intramurale zorg.</w:t>
            </w:r>
            <w:r>
              <w:rPr>
                <w:rStyle w:val="normaltextrun"/>
                <w:noProof/>
                <w:sz w:val="18"/>
              </w:rPr>
              <w:t xml:space="preserve"> </w:t>
            </w:r>
          </w:p>
          <w:p w14:paraId="5F2B3E5B" w14:textId="77777777" w:rsidR="00480F1C" w:rsidRDefault="00A201F6">
            <w:pPr>
              <w:pStyle w:val="paragraph"/>
              <w:spacing w:before="0" w:beforeAutospacing="0" w:after="0" w:afterAutospacing="0"/>
              <w:textAlignment w:val="baseline"/>
              <w:rPr>
                <w:rStyle w:val="normaltextrun"/>
                <w:rFonts w:eastAsia="Calibri"/>
                <w:noProof/>
                <w:color w:val="000000" w:themeColor="text1"/>
                <w:sz w:val="18"/>
              </w:rPr>
            </w:pPr>
            <w:r>
              <w:rPr>
                <w:rStyle w:val="normaltextrun"/>
                <w:noProof/>
                <w:color w:val="000000" w:themeColor="text1"/>
                <w:sz w:val="18"/>
              </w:rPr>
              <w:t xml:space="preserve"> </w:t>
            </w:r>
          </w:p>
          <w:p w14:paraId="12F40E89" w14:textId="181DA58F" w:rsidR="00480F1C" w:rsidRDefault="00A201F6">
            <w:pPr>
              <w:pStyle w:val="paragraph"/>
              <w:spacing w:before="0" w:beforeAutospacing="0" w:after="0" w:afterAutospacing="0"/>
              <w:textAlignment w:val="baseline"/>
              <w:rPr>
                <w:noProof/>
                <w:sz w:val="18"/>
              </w:rPr>
            </w:pPr>
            <w:r>
              <w:rPr>
                <w:rStyle w:val="normaltextrun"/>
                <w:noProof/>
                <w:color w:val="000000" w:themeColor="text1"/>
                <w:sz w:val="18"/>
              </w:rPr>
              <w:t xml:space="preserve">De steun heeft uitsluitend betrekking op activiteiten die verband houden met de verlening van gezondheidsdiensten die worden gefinancierd door het Nationaal Gezondheidsfonds, en niet op de commerciële activiteiten.  </w:t>
            </w:r>
          </w:p>
        </w:tc>
      </w:tr>
      <w:tr w:rsidR="00480F1C" w14:paraId="3384C83D" w14:textId="77777777">
        <w:trPr>
          <w:trHeight w:val="313"/>
        </w:trPr>
        <w:tc>
          <w:tcPr>
            <w:tcW w:w="709" w:type="dxa"/>
            <w:shd w:val="clear" w:color="auto" w:fill="C6EFCE"/>
          </w:tcPr>
          <w:p w14:paraId="75056D19" w14:textId="5A22D01B"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D11G</w:t>
            </w:r>
          </w:p>
        </w:tc>
        <w:tc>
          <w:tcPr>
            <w:tcW w:w="2126" w:type="dxa"/>
            <w:shd w:val="clear" w:color="auto" w:fill="C6EFCE"/>
          </w:tcPr>
          <w:p w14:paraId="0128E68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D1.1.1 Ontwikkeling en modernisering van de infrastructuur van zeer gespecialiseerde zorgcentra en andere zorgaanbieders </w:t>
            </w:r>
          </w:p>
        </w:tc>
        <w:tc>
          <w:tcPr>
            <w:tcW w:w="1050" w:type="dxa"/>
            <w:shd w:val="clear" w:color="auto" w:fill="C6EFCE"/>
          </w:tcPr>
          <w:p w14:paraId="1360B3A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785" w:type="dxa"/>
            <w:shd w:val="clear" w:color="auto" w:fill="C6EFCE"/>
          </w:tcPr>
          <w:p w14:paraId="6F878B85" w14:textId="2E07A3DF"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themeColor="text1"/>
                <w:sz w:val="18"/>
              </w:rPr>
              <w:t xml:space="preserve">T1 — contracten tussen ziekenhuizen en het ministerie van Volksgezondheid voor de aankoop van medische uitrusting of voor investeringen in infrastructuur </w:t>
            </w:r>
          </w:p>
        </w:tc>
        <w:tc>
          <w:tcPr>
            <w:tcW w:w="1560" w:type="dxa"/>
            <w:shd w:val="clear" w:color="auto" w:fill="C6EFCE"/>
          </w:tcPr>
          <w:p w14:paraId="4B7865E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47" w:type="dxa"/>
            <w:shd w:val="clear" w:color="auto" w:fill="C6EFCE"/>
          </w:tcPr>
          <w:p w14:paraId="4C3D7FE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276" w:type="dxa"/>
            <w:shd w:val="clear" w:color="auto" w:fill="C6EFCE"/>
          </w:tcPr>
          <w:p w14:paraId="61F2810F"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850" w:type="dxa"/>
            <w:shd w:val="clear" w:color="auto" w:fill="C6EFCE"/>
          </w:tcPr>
          <w:p w14:paraId="4797A2A5" w14:textId="13D4EE2E"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61</w:t>
            </w:r>
          </w:p>
        </w:tc>
        <w:tc>
          <w:tcPr>
            <w:tcW w:w="993" w:type="dxa"/>
            <w:shd w:val="clear" w:color="auto" w:fill="C6EFCE"/>
          </w:tcPr>
          <w:p w14:paraId="0E9FCC4D" w14:textId="4D16CF9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708" w:type="dxa"/>
            <w:shd w:val="clear" w:color="auto" w:fill="C6EFCE"/>
          </w:tcPr>
          <w:p w14:paraId="37FA5ABA" w14:textId="3EB3CDDD"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2023</w:t>
            </w:r>
          </w:p>
        </w:tc>
        <w:tc>
          <w:tcPr>
            <w:tcW w:w="3544" w:type="dxa"/>
            <w:shd w:val="clear" w:color="auto" w:fill="C6EFCE"/>
          </w:tcPr>
          <w:p w14:paraId="38CA62A8" w14:textId="76555153" w:rsidR="00480F1C" w:rsidRDefault="00A201F6">
            <w:pPr>
              <w:pStyle w:val="paragraph"/>
              <w:spacing w:before="0" w:beforeAutospacing="0" w:after="0" w:afterAutospacing="0"/>
              <w:textAlignment w:val="baseline"/>
              <w:rPr>
                <w:noProof/>
                <w:sz w:val="18"/>
              </w:rPr>
            </w:pPr>
            <w:r>
              <w:rPr>
                <w:rStyle w:val="normaltextrun"/>
                <w:noProof/>
                <w:color w:val="000000" w:themeColor="text1"/>
                <w:sz w:val="18"/>
              </w:rPr>
              <w:t xml:space="preserve">Aantal ondertekende contracten tussen ziekenhuizen en het ministerie van Volksgezondheid (of een andere door het ministerie aangewezen instelling) voor aangekochte medische uitrusting of infrastructuur. </w:t>
            </w:r>
          </w:p>
          <w:p w14:paraId="39D61732" w14:textId="5FAC37BC" w:rsidR="00480F1C" w:rsidRDefault="00A201F6">
            <w:pPr>
              <w:pStyle w:val="paragraph"/>
              <w:spacing w:before="0" w:beforeAutospacing="0" w:after="0" w:afterAutospacing="0"/>
              <w:textAlignment w:val="baseline"/>
              <w:rPr>
                <w:noProof/>
                <w:sz w:val="18"/>
              </w:rPr>
            </w:pPr>
            <w:r>
              <w:rPr>
                <w:rStyle w:val="normaltextrun"/>
                <w:noProof/>
                <w:color w:val="000000" w:themeColor="text1"/>
                <w:sz w:val="18"/>
              </w:rPr>
              <w:t xml:space="preserve">De medische uitrusting draagt bij tot de verbetering van de kwaliteit van de zorg, de beschikbaarheid van middelen en het waarborgen van tijdige en volledige toegang tot intramurale zorg.  </w:t>
            </w:r>
          </w:p>
          <w:p w14:paraId="17A25E64" w14:textId="639BD730" w:rsidR="00480F1C" w:rsidRDefault="00A201F6">
            <w:pPr>
              <w:pStyle w:val="paragraph"/>
              <w:spacing w:before="0" w:beforeAutospacing="0" w:after="0" w:afterAutospacing="0"/>
              <w:textAlignment w:val="baseline"/>
              <w:rPr>
                <w:noProof/>
                <w:sz w:val="18"/>
              </w:rPr>
            </w:pPr>
            <w:r>
              <w:rPr>
                <w:rStyle w:val="normaltextrun"/>
                <w:noProof/>
                <w:color w:val="000000" w:themeColor="text1"/>
                <w:sz w:val="18"/>
              </w:rPr>
              <w:t xml:space="preserve">De verbetering van de infrastructuur draagt bij tot de verbetering van de kwaliteit van de zorg, de beschikbaarheid van middelen en het waarborgen van tijdige en volledige toegang tot intramurale zorg.  </w:t>
            </w:r>
          </w:p>
          <w:p w14:paraId="608DEACE" w14:textId="7F26C2E5" w:rsidR="00480F1C" w:rsidRDefault="00A201F6">
            <w:pPr>
              <w:pStyle w:val="paragraph"/>
              <w:spacing w:before="0" w:beforeAutospacing="0" w:after="0" w:afterAutospacing="0"/>
              <w:textAlignment w:val="baseline"/>
              <w:rPr>
                <w:noProof/>
                <w:sz w:val="18"/>
              </w:rPr>
            </w:pPr>
            <w:r>
              <w:rPr>
                <w:rStyle w:val="normaltextrun"/>
                <w:noProof/>
                <w:color w:val="000000" w:themeColor="text1"/>
                <w:sz w:val="18"/>
              </w:rPr>
              <w:t xml:space="preserve">De steun heeft uitsluitend betrekking op activiteiten die verband houden met de verlening van gezondheidsdiensten die worden gefinancierd door het Nationaal Gezondheidsfonds, en niet op de commerciële activiteiten.  </w:t>
            </w:r>
          </w:p>
        </w:tc>
      </w:tr>
      <w:tr w:rsidR="00480F1C" w14:paraId="011F8629" w14:textId="77777777">
        <w:trPr>
          <w:trHeight w:val="313"/>
        </w:trPr>
        <w:tc>
          <w:tcPr>
            <w:tcW w:w="709" w:type="dxa"/>
            <w:shd w:val="clear" w:color="auto" w:fill="C6EFCE"/>
          </w:tcPr>
          <w:p w14:paraId="1DCDD72D" w14:textId="04967AE6"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D12G</w:t>
            </w:r>
          </w:p>
        </w:tc>
        <w:tc>
          <w:tcPr>
            <w:tcW w:w="2126" w:type="dxa"/>
            <w:shd w:val="clear" w:color="auto" w:fill="C6EFCE"/>
          </w:tcPr>
          <w:p w14:paraId="2996568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D1.1.1 Ontwikkeling en modernisering van de infrastructuur van zeer gespecialiseerde zorgcentra en andere zorgaanbieders </w:t>
            </w:r>
          </w:p>
        </w:tc>
        <w:tc>
          <w:tcPr>
            <w:tcW w:w="1050" w:type="dxa"/>
            <w:shd w:val="clear" w:color="auto" w:fill="C6EFCE"/>
          </w:tcPr>
          <w:p w14:paraId="7359FBE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785" w:type="dxa"/>
            <w:shd w:val="clear" w:color="auto" w:fill="C6EFCE"/>
          </w:tcPr>
          <w:p w14:paraId="449FE34C" w14:textId="76265E07"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Style w:val="normaltextrun"/>
                <w:rFonts w:ascii="Times New Roman" w:hAnsi="Times New Roman"/>
                <w:noProof/>
                <w:color w:val="000000" w:themeColor="text1"/>
                <w:sz w:val="18"/>
              </w:rPr>
              <w:t xml:space="preserve">T2 — contracten tussen ziekenhuizen en het ministerie van Volksgezondheid voor de aankoop van medische uitrusting of voor investeringen in infrastructuur </w:t>
            </w:r>
          </w:p>
        </w:tc>
        <w:tc>
          <w:tcPr>
            <w:tcW w:w="1560" w:type="dxa"/>
            <w:shd w:val="clear" w:color="auto" w:fill="C6EFCE"/>
          </w:tcPr>
          <w:p w14:paraId="6012895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47" w:type="dxa"/>
            <w:shd w:val="clear" w:color="auto" w:fill="C6EFCE"/>
          </w:tcPr>
          <w:p w14:paraId="6F6CD65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276" w:type="dxa"/>
            <w:shd w:val="clear" w:color="auto" w:fill="C6EFCE"/>
          </w:tcPr>
          <w:p w14:paraId="54532059" w14:textId="0E148250"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61</w:t>
            </w:r>
          </w:p>
        </w:tc>
        <w:tc>
          <w:tcPr>
            <w:tcW w:w="850" w:type="dxa"/>
            <w:shd w:val="clear" w:color="auto" w:fill="C6EFCE"/>
          </w:tcPr>
          <w:p w14:paraId="58573FDA" w14:textId="15415894"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249 </w:t>
            </w:r>
          </w:p>
        </w:tc>
        <w:tc>
          <w:tcPr>
            <w:tcW w:w="993" w:type="dxa"/>
            <w:shd w:val="clear" w:color="auto" w:fill="C6EFCE"/>
          </w:tcPr>
          <w:p w14:paraId="32FC261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708" w:type="dxa"/>
            <w:shd w:val="clear" w:color="auto" w:fill="C6EFCE"/>
          </w:tcPr>
          <w:p w14:paraId="3F4625D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2024</w:t>
            </w:r>
          </w:p>
        </w:tc>
        <w:tc>
          <w:tcPr>
            <w:tcW w:w="3544" w:type="dxa"/>
            <w:shd w:val="clear" w:color="auto" w:fill="C6EFCE"/>
          </w:tcPr>
          <w:p w14:paraId="6971AD0A" w14:textId="2522E937" w:rsidR="00480F1C" w:rsidRDefault="00A201F6">
            <w:pPr>
              <w:pStyle w:val="paragraph"/>
              <w:spacing w:before="0" w:beforeAutospacing="0" w:after="0" w:afterAutospacing="0"/>
              <w:textAlignment w:val="baseline"/>
              <w:rPr>
                <w:noProof/>
                <w:color w:val="000000" w:themeColor="text1"/>
                <w:sz w:val="18"/>
              </w:rPr>
            </w:pPr>
            <w:r>
              <w:rPr>
                <w:rStyle w:val="normaltextrun"/>
                <w:noProof/>
                <w:color w:val="000000" w:themeColor="text1"/>
                <w:sz w:val="18"/>
              </w:rPr>
              <w:t xml:space="preserve">Aantal ondertekende contracten tussen het ziekenhuis en het ministerie van Volksgezondheid (of een andere door het ministerie aangewezen instelling) voor de aankoop van medische apparatuur of voor infrastructuurverbetering.   </w:t>
            </w:r>
          </w:p>
          <w:p w14:paraId="5F536647" w14:textId="1A1C1A65" w:rsidR="00480F1C" w:rsidRDefault="00A201F6">
            <w:pPr>
              <w:pStyle w:val="paragraph"/>
              <w:spacing w:before="0" w:beforeAutospacing="0" w:after="0" w:afterAutospacing="0"/>
              <w:textAlignment w:val="baseline"/>
              <w:rPr>
                <w:noProof/>
                <w:sz w:val="18"/>
              </w:rPr>
            </w:pPr>
            <w:r>
              <w:rPr>
                <w:rStyle w:val="normaltextrun"/>
                <w:noProof/>
                <w:color w:val="000000"/>
                <w:sz w:val="18"/>
              </w:rPr>
              <w:t xml:space="preserve">De medische uitrusting draagt bij tot de verbetering van de kwaliteit van de zorg, de beschikbaarheid van middelen en het waarborgen van tijdige en volledige toegang tot gezondheidszorg. </w:t>
            </w:r>
          </w:p>
          <w:p w14:paraId="04DC446B" w14:textId="396FCBF8" w:rsidR="00480F1C" w:rsidRDefault="00A201F6">
            <w:pPr>
              <w:pStyle w:val="paragraph"/>
              <w:spacing w:before="0" w:beforeAutospacing="0" w:after="0" w:afterAutospacing="0"/>
              <w:textAlignment w:val="baseline"/>
              <w:rPr>
                <w:noProof/>
                <w:sz w:val="18"/>
              </w:rPr>
            </w:pPr>
            <w:r>
              <w:rPr>
                <w:rStyle w:val="normaltextrun"/>
                <w:noProof/>
                <w:color w:val="000000"/>
                <w:sz w:val="18"/>
              </w:rPr>
              <w:t>De verbetering van de infrastructuur draagt bij tot de verbetering van de kwaliteit van de zorg, de beschikbaarheid van middelen en het waarborgen van tijdige en volledige toegang tot gezondheidszorg. </w:t>
            </w:r>
          </w:p>
          <w:p w14:paraId="20E36DAB" w14:textId="503B090D" w:rsidR="00480F1C" w:rsidRDefault="00A201F6">
            <w:pPr>
              <w:pStyle w:val="paragraph"/>
              <w:spacing w:before="0" w:beforeAutospacing="0" w:after="0" w:afterAutospacing="0"/>
              <w:textAlignment w:val="baseline"/>
              <w:rPr>
                <w:noProof/>
                <w:color w:val="000000" w:themeColor="text1"/>
                <w:sz w:val="18"/>
              </w:rPr>
            </w:pPr>
            <w:r>
              <w:rPr>
                <w:rStyle w:val="normaltextrun"/>
                <w:noProof/>
                <w:color w:val="000000" w:themeColor="text1"/>
                <w:sz w:val="18"/>
              </w:rPr>
              <w:t xml:space="preserve">De steun heeft uitsluitend betrekking op activiteiten die verband houden met de verlening van gezondheidsdiensten die worden gefinancierd door het Nationaal Gezondheidsfonds, en niet op de commerciële activiteiten. </w:t>
            </w:r>
          </w:p>
        </w:tc>
      </w:tr>
      <w:tr w:rsidR="00480F1C" w14:paraId="5B834A54" w14:textId="77777777">
        <w:trPr>
          <w:trHeight w:val="313"/>
        </w:trPr>
        <w:tc>
          <w:tcPr>
            <w:tcW w:w="709" w:type="dxa"/>
            <w:shd w:val="clear" w:color="auto" w:fill="C6EFCE"/>
          </w:tcPr>
          <w:p w14:paraId="0DBE0C47" w14:textId="124AA0BA"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D13G</w:t>
            </w:r>
          </w:p>
        </w:tc>
        <w:tc>
          <w:tcPr>
            <w:tcW w:w="2126" w:type="dxa"/>
            <w:shd w:val="clear" w:color="auto" w:fill="C6EFCE"/>
          </w:tcPr>
          <w:p w14:paraId="4EE9B691" w14:textId="24ABE4F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D1.1.1 Ontwikkeling en modernisering van de infrastructuur van zeer gespecialiseerde zorgcentra en andere zorgaanbieders</w:t>
            </w:r>
          </w:p>
        </w:tc>
        <w:tc>
          <w:tcPr>
            <w:tcW w:w="1050" w:type="dxa"/>
            <w:shd w:val="clear" w:color="auto" w:fill="C6EFCE"/>
          </w:tcPr>
          <w:p w14:paraId="717BA7C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p w14:paraId="770DAA0B"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1785" w:type="dxa"/>
            <w:shd w:val="clear" w:color="auto" w:fill="C6EFCE"/>
          </w:tcPr>
          <w:p w14:paraId="2FDF70A7" w14:textId="77777777" w:rsidR="00480F1C" w:rsidRDefault="00A201F6">
            <w:pPr>
              <w:pStyle w:val="paragraph"/>
              <w:spacing w:before="0" w:beforeAutospacing="0" w:after="0" w:afterAutospacing="0"/>
              <w:textAlignment w:val="baseline"/>
              <w:rPr>
                <w:noProof/>
                <w:sz w:val="18"/>
              </w:rPr>
            </w:pPr>
            <w:r>
              <w:rPr>
                <w:rStyle w:val="normaltextrun"/>
                <w:noProof/>
                <w:color w:val="000000" w:themeColor="text1"/>
                <w:sz w:val="18"/>
              </w:rPr>
              <w:t xml:space="preserve">Ziekenhuizen met nieuwe medische apparatuur die zijn aangeschaft in verband met hun herstructurering of de invoering ervan in het Nationaal Oncologisch Netwerk </w:t>
            </w:r>
          </w:p>
          <w:p w14:paraId="6241723D" w14:textId="29F192E8" w:rsidR="00480F1C" w:rsidRDefault="00A201F6">
            <w:pPr>
              <w:pStyle w:val="Normal0"/>
              <w:pBdr>
                <w:top w:val="nil"/>
                <w:left w:val="nil"/>
                <w:bottom w:val="nil"/>
                <w:right w:val="nil"/>
                <w:between w:val="nil"/>
              </w:pBdr>
              <w:spacing w:after="0" w:line="240" w:lineRule="auto"/>
              <w:rPr>
                <w:rStyle w:val="normaltextrun"/>
                <w:rFonts w:ascii="Times New Roman" w:hAnsi="Times New Roman" w:cs="Times New Roman"/>
                <w:noProof/>
                <w:color w:val="000000" w:themeColor="text1"/>
                <w:sz w:val="18"/>
              </w:rPr>
            </w:pPr>
            <w:r>
              <w:rPr>
                <w:rStyle w:val="eop"/>
                <w:rFonts w:ascii="Times New Roman" w:hAnsi="Times New Roman"/>
                <w:noProof/>
                <w:color w:val="000000"/>
                <w:sz w:val="18"/>
              </w:rPr>
              <w:t xml:space="preserve"> </w:t>
            </w:r>
          </w:p>
        </w:tc>
        <w:tc>
          <w:tcPr>
            <w:tcW w:w="1560" w:type="dxa"/>
            <w:shd w:val="clear" w:color="auto" w:fill="C6EFCE"/>
          </w:tcPr>
          <w:p w14:paraId="03C86CF3"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1247" w:type="dxa"/>
            <w:shd w:val="clear" w:color="auto" w:fill="C6EFCE"/>
          </w:tcPr>
          <w:p w14:paraId="339D98C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p w14:paraId="3B085123"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1276" w:type="dxa"/>
            <w:shd w:val="clear" w:color="auto" w:fill="C6EFCE"/>
          </w:tcPr>
          <w:p w14:paraId="3FFA397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p w14:paraId="491D81A8"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850" w:type="dxa"/>
            <w:shd w:val="clear" w:color="auto" w:fill="C6EFCE"/>
          </w:tcPr>
          <w:p w14:paraId="7D7AA4A0" w14:textId="2B98EBF0" w:rsidR="00480F1C" w:rsidRDefault="00A201F6">
            <w:pPr>
              <w:pStyle w:val="P68B1DB1-Normal011"/>
              <w:pBdr>
                <w:top w:val="nil"/>
                <w:left w:val="nil"/>
                <w:bottom w:val="nil"/>
                <w:right w:val="nil"/>
                <w:between w:val="nil"/>
              </w:pBdr>
              <w:spacing w:after="0" w:line="240" w:lineRule="auto"/>
              <w:jc w:val="right"/>
              <w:rPr>
                <w:noProof/>
                <w:color w:val="000000" w:themeColor="text1"/>
              </w:rPr>
            </w:pPr>
            <w:r>
              <w:rPr>
                <w:noProof/>
              </w:rPr>
              <w:t>226</w:t>
            </w:r>
          </w:p>
          <w:p w14:paraId="0C03F0FC"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993" w:type="dxa"/>
            <w:shd w:val="clear" w:color="auto" w:fill="C6EFCE"/>
          </w:tcPr>
          <w:p w14:paraId="650A82A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p w14:paraId="0E40BD0E" w14:textId="77777777" w:rsidR="00480F1C" w:rsidRDefault="00480F1C">
            <w:pPr>
              <w:pStyle w:val="Normal0"/>
              <w:pBdr>
                <w:top w:val="nil"/>
                <w:left w:val="nil"/>
                <w:bottom w:val="nil"/>
                <w:right w:val="nil"/>
                <w:between w:val="nil"/>
              </w:pBdr>
              <w:spacing w:after="0" w:line="240" w:lineRule="auto"/>
              <w:jc w:val="center"/>
              <w:rPr>
                <w:rFonts w:ascii="Times New Roman" w:eastAsia="Times New Roman" w:hAnsi="Times New Roman" w:cs="Times New Roman"/>
                <w:noProof/>
                <w:color w:val="000000"/>
                <w:sz w:val="18"/>
              </w:rPr>
            </w:pPr>
          </w:p>
        </w:tc>
        <w:tc>
          <w:tcPr>
            <w:tcW w:w="708" w:type="dxa"/>
            <w:shd w:val="clear" w:color="auto" w:fill="C6EFCE"/>
          </w:tcPr>
          <w:p w14:paraId="5F42927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p w14:paraId="64A17CD4" w14:textId="77777777" w:rsidR="00480F1C" w:rsidRDefault="00480F1C">
            <w:pPr>
              <w:pStyle w:val="Normal0"/>
              <w:pBdr>
                <w:top w:val="nil"/>
                <w:left w:val="nil"/>
                <w:bottom w:val="nil"/>
                <w:right w:val="nil"/>
                <w:between w:val="nil"/>
              </w:pBdr>
              <w:spacing w:after="0" w:line="240" w:lineRule="auto"/>
              <w:jc w:val="center"/>
              <w:rPr>
                <w:rFonts w:ascii="Times New Roman" w:eastAsia="Times New Roman" w:hAnsi="Times New Roman" w:cs="Times New Roman"/>
                <w:noProof/>
                <w:color w:val="000000"/>
                <w:sz w:val="18"/>
              </w:rPr>
            </w:pPr>
          </w:p>
        </w:tc>
        <w:tc>
          <w:tcPr>
            <w:tcW w:w="3544" w:type="dxa"/>
            <w:shd w:val="clear" w:color="auto" w:fill="C6EFCE"/>
          </w:tcPr>
          <w:p w14:paraId="17F8A9C2" w14:textId="77777777" w:rsidR="00480F1C" w:rsidRDefault="00A201F6">
            <w:pPr>
              <w:pStyle w:val="paragraph"/>
              <w:spacing w:before="0" w:beforeAutospacing="0" w:after="0" w:afterAutospacing="0"/>
              <w:textAlignment w:val="baseline"/>
              <w:rPr>
                <w:noProof/>
                <w:sz w:val="18"/>
              </w:rPr>
            </w:pPr>
            <w:r>
              <w:rPr>
                <w:rStyle w:val="normaltextrun"/>
                <w:noProof/>
                <w:color w:val="000000" w:themeColor="text1"/>
                <w:sz w:val="18"/>
              </w:rPr>
              <w:t xml:space="preserve">Aantal ziekenhuizen met nieuwe medische apparatuur die zijn aangekocht in verband met hun herstructurering of hun invoering in het Nationaal Oncologisch Netwerk. </w:t>
            </w:r>
          </w:p>
          <w:p w14:paraId="39952D80" w14:textId="77777777" w:rsidR="00480F1C" w:rsidRDefault="00A201F6">
            <w:pPr>
              <w:pStyle w:val="paragraph"/>
              <w:spacing w:before="0" w:beforeAutospacing="0" w:after="0" w:afterAutospacing="0"/>
              <w:jc w:val="both"/>
              <w:textAlignment w:val="baseline"/>
              <w:rPr>
                <w:noProof/>
                <w:sz w:val="18"/>
              </w:rPr>
            </w:pPr>
            <w:r>
              <w:rPr>
                <w:rStyle w:val="normaltextrun"/>
                <w:noProof/>
                <w:color w:val="000000" w:themeColor="text1"/>
                <w:sz w:val="18"/>
              </w:rPr>
              <w:t xml:space="preserve">De aangekochte medische uitrusting draagt bij tot de verbetering van de kwaliteit van de zorg, de beschikbaarheid van middelen en het waarborgen van tijdige en volledige toegang tot gezondheidszorg. </w:t>
            </w:r>
          </w:p>
          <w:p w14:paraId="223EBA71" w14:textId="5C7F14B7" w:rsidR="00480F1C" w:rsidRDefault="00A201F6">
            <w:pPr>
              <w:pStyle w:val="paragraph"/>
              <w:spacing w:before="0" w:beforeAutospacing="0" w:after="0" w:afterAutospacing="0"/>
              <w:textAlignment w:val="baseline"/>
              <w:rPr>
                <w:rStyle w:val="normaltextrun"/>
                <w:noProof/>
                <w:color w:val="000000" w:themeColor="text1"/>
                <w:sz w:val="18"/>
              </w:rPr>
            </w:pPr>
            <w:r>
              <w:rPr>
                <w:rStyle w:val="normaltextrun"/>
                <w:noProof/>
                <w:color w:val="000000" w:themeColor="text1"/>
                <w:sz w:val="18"/>
              </w:rPr>
              <w:t xml:space="preserve">De steun heeft uitsluitend betrekking op activiteiten die verband houden met de verlening van gezondheidsdiensten die worden gefinancierd door het Nationaal Gezondheidsfonds, en niet op de commerciële activiteiten. </w:t>
            </w:r>
          </w:p>
        </w:tc>
      </w:tr>
      <w:tr w:rsidR="00480F1C" w14:paraId="0203F46C" w14:textId="77777777">
        <w:trPr>
          <w:trHeight w:val="313"/>
        </w:trPr>
        <w:tc>
          <w:tcPr>
            <w:tcW w:w="709" w:type="dxa"/>
            <w:shd w:val="clear" w:color="auto" w:fill="C6EFCE"/>
          </w:tcPr>
          <w:p w14:paraId="082C48EB" w14:textId="6D05F044" w:rsidR="00480F1C" w:rsidRDefault="00A201F6">
            <w:pPr>
              <w:pStyle w:val="P68B1DB1-Normal010"/>
              <w:spacing w:after="0" w:line="240" w:lineRule="auto"/>
              <w:jc w:val="center"/>
              <w:rPr>
                <w:rFonts w:eastAsia="Times New Roman" w:cs="Times New Roman"/>
                <w:noProof/>
                <w:color w:val="000000" w:themeColor="text1"/>
              </w:rPr>
            </w:pPr>
            <w:r>
              <w:rPr>
                <w:noProof/>
              </w:rPr>
              <w:t>D14G</w:t>
            </w:r>
          </w:p>
        </w:tc>
        <w:tc>
          <w:tcPr>
            <w:tcW w:w="2126" w:type="dxa"/>
            <w:shd w:val="clear" w:color="auto" w:fill="C6EFCE"/>
          </w:tcPr>
          <w:p w14:paraId="560A724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D1.1.1 Ontwikkeling en modernisering van de infrastructuur van zeer gespecialiseerde zorgcentra en andere zorgaanbieders </w:t>
            </w:r>
          </w:p>
        </w:tc>
        <w:tc>
          <w:tcPr>
            <w:tcW w:w="1050" w:type="dxa"/>
            <w:shd w:val="clear" w:color="auto" w:fill="C6EFCE"/>
          </w:tcPr>
          <w:p w14:paraId="302B440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785" w:type="dxa"/>
            <w:shd w:val="clear" w:color="auto" w:fill="C6EFCE"/>
          </w:tcPr>
          <w:p w14:paraId="4A0384C9" w14:textId="552EE6BA"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themeColor="text1"/>
                <w:sz w:val="18"/>
              </w:rPr>
              <w:t>Ziekenhuizen met verbeterde infrastructuur in verband met hun herstructurering of hun invoering in het Nationaal Oncologisch Netwerk</w:t>
            </w:r>
          </w:p>
        </w:tc>
        <w:tc>
          <w:tcPr>
            <w:tcW w:w="1560" w:type="dxa"/>
            <w:shd w:val="clear" w:color="auto" w:fill="C6EFCE"/>
          </w:tcPr>
          <w:p w14:paraId="137E181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47" w:type="dxa"/>
            <w:shd w:val="clear" w:color="auto" w:fill="C6EFCE"/>
          </w:tcPr>
          <w:p w14:paraId="04DEF2F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276" w:type="dxa"/>
            <w:shd w:val="clear" w:color="auto" w:fill="C6EFCE"/>
          </w:tcPr>
          <w:p w14:paraId="3940899A"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850" w:type="dxa"/>
            <w:shd w:val="clear" w:color="auto" w:fill="C6EFCE"/>
          </w:tcPr>
          <w:p w14:paraId="0E0408DF" w14:textId="589EF2D8"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 xml:space="preserve">211 </w:t>
            </w:r>
          </w:p>
        </w:tc>
        <w:tc>
          <w:tcPr>
            <w:tcW w:w="993" w:type="dxa"/>
            <w:shd w:val="clear" w:color="auto" w:fill="C6EFCE"/>
          </w:tcPr>
          <w:p w14:paraId="221950D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708" w:type="dxa"/>
            <w:shd w:val="clear" w:color="auto" w:fill="C6EFCE"/>
          </w:tcPr>
          <w:p w14:paraId="3EDC4CE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544" w:type="dxa"/>
            <w:shd w:val="clear" w:color="auto" w:fill="C6EFCE"/>
          </w:tcPr>
          <w:p w14:paraId="00FCC4F9" w14:textId="727AD093" w:rsidR="00480F1C" w:rsidRDefault="00A201F6">
            <w:pPr>
              <w:pStyle w:val="P68B1DB1-paragraph30"/>
              <w:spacing w:before="0" w:beforeAutospacing="0" w:after="0" w:afterAutospacing="0"/>
              <w:textAlignment w:val="baseline"/>
              <w:rPr>
                <w:noProof/>
              </w:rPr>
            </w:pPr>
            <w:r>
              <w:rPr>
                <w:noProof/>
              </w:rPr>
              <w:t xml:space="preserve">Aantal ziekenhuizen met verhoogde infrastructuurinvesteringen in verband met hun herstructurering of hun invoering in het Nationaal Oncologisch Netwerk.  </w:t>
            </w:r>
          </w:p>
          <w:p w14:paraId="7C1D2A4B" w14:textId="77777777" w:rsidR="00480F1C" w:rsidRDefault="00A201F6">
            <w:pPr>
              <w:pStyle w:val="paragraph"/>
              <w:spacing w:before="0" w:beforeAutospacing="0" w:after="0" w:afterAutospacing="0"/>
              <w:jc w:val="both"/>
              <w:textAlignment w:val="baseline"/>
              <w:rPr>
                <w:noProof/>
                <w:sz w:val="18"/>
              </w:rPr>
            </w:pPr>
            <w:r>
              <w:rPr>
                <w:rStyle w:val="normaltextrun"/>
                <w:noProof/>
                <w:color w:val="000000"/>
                <w:sz w:val="18"/>
              </w:rPr>
              <w:t xml:space="preserve">De verbeterde infrastructuur draagt bij tot de verbetering van de kwaliteit van de zorg, de beschikbaarheid van middelen en het waarborgen van tijdige en volledige toegang tot gezondheidszorg. </w:t>
            </w:r>
          </w:p>
          <w:p w14:paraId="7332107B" w14:textId="218AD768" w:rsidR="00480F1C" w:rsidRDefault="00A201F6">
            <w:pPr>
              <w:pStyle w:val="paragraph"/>
              <w:spacing w:before="0" w:beforeAutospacing="0" w:after="0" w:afterAutospacing="0"/>
              <w:jc w:val="both"/>
              <w:textAlignment w:val="baseline"/>
              <w:rPr>
                <w:noProof/>
                <w:sz w:val="18"/>
              </w:rPr>
            </w:pPr>
            <w:r>
              <w:rPr>
                <w:rStyle w:val="normaltextrun"/>
                <w:noProof/>
                <w:color w:val="000000" w:themeColor="text1"/>
                <w:sz w:val="18"/>
              </w:rPr>
              <w:t xml:space="preserve">De steun heeft uitsluitend betrekking op activiteiten die verband houden met de verlening van gezondheidsdiensten die worden gefinancierd door het Nationaal Gezondheidsfonds, en niet op de commerciële activiteiten. </w:t>
            </w:r>
          </w:p>
        </w:tc>
      </w:tr>
      <w:tr w:rsidR="00480F1C" w14:paraId="0153C413" w14:textId="77777777">
        <w:trPr>
          <w:trHeight w:val="313"/>
        </w:trPr>
        <w:tc>
          <w:tcPr>
            <w:tcW w:w="709" w:type="dxa"/>
            <w:shd w:val="clear" w:color="auto" w:fill="C6EFCE"/>
          </w:tcPr>
          <w:p w14:paraId="2186202D" w14:textId="17DF56A5"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D15G</w:t>
            </w:r>
          </w:p>
        </w:tc>
        <w:tc>
          <w:tcPr>
            <w:tcW w:w="2126" w:type="dxa"/>
            <w:shd w:val="clear" w:color="auto" w:fill="C6EFCE"/>
          </w:tcPr>
          <w:p w14:paraId="2FEAC11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D1.1.2 Versnellen van de digitale transformatie van de gezondheid door de verdere ontwikkeling van digitale gezondheidsdiensten</w:t>
            </w:r>
          </w:p>
        </w:tc>
        <w:tc>
          <w:tcPr>
            <w:tcW w:w="1050" w:type="dxa"/>
            <w:shd w:val="clear" w:color="auto" w:fill="C6EFCE"/>
          </w:tcPr>
          <w:p w14:paraId="1F6AA11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785" w:type="dxa"/>
            <w:shd w:val="clear" w:color="auto" w:fill="C6EFCE"/>
          </w:tcPr>
          <w:p w14:paraId="4FAF13AE" w14:textId="6CF0DDA9"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Lancering van nieuwe e-diensten, met inbegrip van:  </w:t>
            </w:r>
            <w:r>
              <w:rPr>
                <w:noProof/>
              </w:rPr>
              <w:t xml:space="preserve"> </w:t>
            </w:r>
            <w:r>
              <w:rPr>
                <w:noProof/>
              </w:rPr>
              <w:br/>
            </w:r>
            <w:r>
              <w:rPr>
                <w:rStyle w:val="normaltextrun"/>
                <w:rFonts w:ascii="Times New Roman" w:hAnsi="Times New Roman"/>
                <w:noProof/>
                <w:color w:val="000000"/>
                <w:sz w:val="18"/>
              </w:rPr>
              <w:t xml:space="preserve">— de instrumenten voor de analyse van de gezondheid van patiënten; </w:t>
            </w:r>
            <w:r>
              <w:rPr>
                <w:noProof/>
              </w:rPr>
              <w:t xml:space="preserve"> </w:t>
            </w:r>
            <w:r>
              <w:rPr>
                <w:noProof/>
              </w:rPr>
              <w:br/>
            </w:r>
            <w:r>
              <w:rPr>
                <w:rStyle w:val="normaltextrun"/>
                <w:rFonts w:ascii="Times New Roman" w:hAnsi="Times New Roman"/>
                <w:noProof/>
                <w:color w:val="000000"/>
                <w:sz w:val="18"/>
              </w:rPr>
              <w:t xml:space="preserve">— instrument ter ondersteuning van de besluitvorming voor artsen op basis van AI-algoritmen; en het </w:t>
            </w:r>
            <w:r>
              <w:rPr>
                <w:noProof/>
              </w:rPr>
              <w:t xml:space="preserve"> </w:t>
            </w:r>
            <w:r>
              <w:rPr>
                <w:noProof/>
              </w:rPr>
              <w:br/>
              <w:t xml:space="preserve"> </w:t>
            </w:r>
            <w:r>
              <w:rPr>
                <w:rStyle w:val="normaltextrun"/>
                <w:rFonts w:ascii="Times New Roman" w:hAnsi="Times New Roman"/>
                <w:noProof/>
                <w:color w:val="000000"/>
                <w:sz w:val="18"/>
              </w:rPr>
              <w:t xml:space="preserve">— centrale databank van medische gegevens die geïntegreerd zijn met andere belangrijke gezondheidszorgstelsels </w:t>
            </w:r>
          </w:p>
        </w:tc>
        <w:tc>
          <w:tcPr>
            <w:tcW w:w="1560" w:type="dxa"/>
            <w:shd w:val="clear" w:color="auto" w:fill="C6EFCE"/>
          </w:tcPr>
          <w:p w14:paraId="79D8C41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Begin van de volledige exploitatie</w:t>
            </w:r>
          </w:p>
        </w:tc>
        <w:tc>
          <w:tcPr>
            <w:tcW w:w="1247" w:type="dxa"/>
            <w:shd w:val="clear" w:color="auto" w:fill="C6EFCE"/>
          </w:tcPr>
          <w:p w14:paraId="541E854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76" w:type="dxa"/>
            <w:shd w:val="clear" w:color="auto" w:fill="C6EFCE"/>
          </w:tcPr>
          <w:p w14:paraId="5D7F005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50" w:type="dxa"/>
            <w:shd w:val="clear" w:color="auto" w:fill="C6EFCE"/>
          </w:tcPr>
          <w:p w14:paraId="3B4C7F6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shd w:val="clear" w:color="auto" w:fill="C6EFCE"/>
          </w:tcPr>
          <w:p w14:paraId="310250E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1</w:t>
            </w:r>
          </w:p>
        </w:tc>
        <w:tc>
          <w:tcPr>
            <w:tcW w:w="708" w:type="dxa"/>
            <w:shd w:val="clear" w:color="auto" w:fill="C6EFCE"/>
          </w:tcPr>
          <w:p w14:paraId="7456D02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544" w:type="dxa"/>
            <w:shd w:val="clear" w:color="auto" w:fill="C6EFCE"/>
          </w:tcPr>
          <w:p w14:paraId="22270625" w14:textId="190FE6DA"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Diensten om het gebruik van moderne technologieën en de verdere ontwikkeling van e-gezondheid te vergroten, worden gelanceerd en operationeel. Genoemd kunnen worden: </w:t>
            </w:r>
            <w:r>
              <w:rPr>
                <w:noProof/>
              </w:rPr>
              <w:t xml:space="preserve"> </w:t>
            </w:r>
            <w:r>
              <w:rPr>
                <w:noProof/>
              </w:rPr>
              <w:br/>
            </w:r>
            <w:r>
              <w:rPr>
                <w:rStyle w:val="normaltextrun"/>
                <w:rFonts w:ascii="Times New Roman" w:hAnsi="Times New Roman"/>
                <w:noProof/>
                <w:color w:val="000000"/>
                <w:sz w:val="18"/>
              </w:rPr>
              <w:t>— instrumenten ter ondersteuning van de analyse van de gezondheidstoestand van de patiënt;</w:t>
            </w:r>
            <w:r>
              <w:rPr>
                <w:noProof/>
              </w:rPr>
              <w:t xml:space="preserve"> </w:t>
            </w:r>
            <w:r>
              <w:rPr>
                <w:noProof/>
              </w:rPr>
              <w:br/>
            </w:r>
            <w:r>
              <w:rPr>
                <w:rStyle w:val="normaltextrun"/>
                <w:rFonts w:ascii="Times New Roman" w:hAnsi="Times New Roman"/>
                <w:noProof/>
                <w:color w:val="000000"/>
                <w:sz w:val="18"/>
              </w:rPr>
              <w:t xml:space="preserve">— instrumenten die gericht zijn op het samenvoegen van gegevens van verschillende hulpmiddelen die medische metingen of metingen met betrekking tot de levensstijl van de patiënt uitvoeren, die vervolgens worden overgebracht naar de internetrekening van de patiënt (IKP), alsook door de uitvoering van het project dat gericht is op de ontwikkeling van algoritmen voor artificiële intelligentie; en het </w:t>
            </w:r>
            <w:r>
              <w:rPr>
                <w:noProof/>
              </w:rPr>
              <w:t xml:space="preserve"> </w:t>
            </w:r>
            <w:r>
              <w:rPr>
                <w:noProof/>
              </w:rPr>
              <w:br/>
              <w:t xml:space="preserve"> </w:t>
            </w:r>
            <w:r>
              <w:rPr>
                <w:rStyle w:val="normaltextrun"/>
                <w:rFonts w:ascii="Times New Roman" w:hAnsi="Times New Roman"/>
                <w:noProof/>
                <w:color w:val="000000"/>
                <w:sz w:val="18"/>
              </w:rPr>
              <w:t xml:space="preserve">— ondersteuning van het besluitvormingsproces van de arts.  </w:t>
            </w:r>
            <w:r>
              <w:rPr>
                <w:noProof/>
              </w:rPr>
              <w:t xml:space="preserve"> </w:t>
            </w:r>
            <w:r>
              <w:rPr>
                <w:noProof/>
              </w:rPr>
              <w:br/>
            </w:r>
            <w:r>
              <w:rPr>
                <w:rStyle w:val="normaltextrun"/>
                <w:rFonts w:ascii="Times New Roman" w:hAnsi="Times New Roman"/>
                <w:noProof/>
                <w:color w:val="000000"/>
                <w:sz w:val="18"/>
              </w:rPr>
              <w:t xml:space="preserve">Het omvat ook het opzetten van een centraal register van medische gegevens en het opzetten en verstrekken van een elektronische bank (register) van medische gegevens (medische documentatie). </w:t>
            </w:r>
          </w:p>
        </w:tc>
      </w:tr>
      <w:tr w:rsidR="00480F1C" w14:paraId="2921DF9E" w14:textId="77777777">
        <w:trPr>
          <w:trHeight w:val="313"/>
        </w:trPr>
        <w:tc>
          <w:tcPr>
            <w:tcW w:w="709" w:type="dxa"/>
            <w:shd w:val="clear" w:color="auto" w:fill="C6EFCE"/>
          </w:tcPr>
          <w:p w14:paraId="54D2F54B" w14:textId="6E0BA7D1"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D16G</w:t>
            </w:r>
          </w:p>
        </w:tc>
        <w:tc>
          <w:tcPr>
            <w:tcW w:w="2126" w:type="dxa"/>
            <w:shd w:val="clear" w:color="auto" w:fill="C6EFCE"/>
          </w:tcPr>
          <w:p w14:paraId="1C2D1A0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D1.1.2 Versnellen van de digitale transformatie van de gezondheid door de verdere ontwikkeling van digitale gezondheidsdiensten</w:t>
            </w:r>
          </w:p>
        </w:tc>
        <w:tc>
          <w:tcPr>
            <w:tcW w:w="1050" w:type="dxa"/>
            <w:shd w:val="clear" w:color="auto" w:fill="C6EFCE"/>
          </w:tcPr>
          <w:p w14:paraId="5995947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785" w:type="dxa"/>
            <w:shd w:val="clear" w:color="auto" w:fill="C6EFCE"/>
          </w:tcPr>
          <w:p w14:paraId="3C43D4FB" w14:textId="65163741"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Centrum voor beveiligingsoperaties (SOC) van het e-gezondheidscentrum </w:t>
            </w:r>
          </w:p>
        </w:tc>
        <w:tc>
          <w:tcPr>
            <w:tcW w:w="1560" w:type="dxa"/>
            <w:shd w:val="clear" w:color="auto" w:fill="C6EFCE"/>
          </w:tcPr>
          <w:p w14:paraId="70072D9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Begin van de volledige exploitatie</w:t>
            </w:r>
          </w:p>
        </w:tc>
        <w:tc>
          <w:tcPr>
            <w:tcW w:w="1247" w:type="dxa"/>
            <w:shd w:val="clear" w:color="auto" w:fill="C6EFCE"/>
          </w:tcPr>
          <w:p w14:paraId="2849A64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76" w:type="dxa"/>
            <w:shd w:val="clear" w:color="auto" w:fill="C6EFCE"/>
          </w:tcPr>
          <w:p w14:paraId="49AF2CB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50" w:type="dxa"/>
            <w:shd w:val="clear" w:color="auto" w:fill="C6EFCE"/>
          </w:tcPr>
          <w:p w14:paraId="532BFAF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shd w:val="clear" w:color="auto" w:fill="C6EFCE"/>
          </w:tcPr>
          <w:p w14:paraId="3702CC8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708" w:type="dxa"/>
            <w:shd w:val="clear" w:color="auto" w:fill="C6EFCE"/>
          </w:tcPr>
          <w:p w14:paraId="4E96F87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2025</w:t>
            </w:r>
          </w:p>
        </w:tc>
        <w:tc>
          <w:tcPr>
            <w:tcW w:w="3544" w:type="dxa"/>
            <w:shd w:val="clear" w:color="auto" w:fill="C6EFCE"/>
          </w:tcPr>
          <w:p w14:paraId="67D6FCAC" w14:textId="1674CD2C"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Style w:val="normaltextrun"/>
                <w:rFonts w:ascii="Times New Roman" w:hAnsi="Times New Roman"/>
                <w:noProof/>
                <w:color w:val="000000"/>
                <w:sz w:val="18"/>
              </w:rPr>
              <w:t>De actie versterkt de IT-middelen van het e-gezondheidscentrum en past deze aan aan de toenemende behoeften op het gebied van cyberbeveiliging door: </w:t>
            </w:r>
          </w:p>
          <w:p w14:paraId="3F9F4A5B" w14:textId="6F047634"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Style w:val="normaltextrun"/>
                <w:rFonts w:ascii="Times New Roman" w:hAnsi="Times New Roman"/>
                <w:noProof/>
                <w:color w:val="000000"/>
                <w:sz w:val="18"/>
              </w:rPr>
              <w:t xml:space="preserve">— uitvoering van het geïntegreerd beheersysteem, uitbreiding van de beveiligingssystemen; </w:t>
            </w:r>
          </w:p>
          <w:p w14:paraId="4AD397D1" w14:textId="1A867875"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Style w:val="normaltextrun"/>
                <w:rFonts w:ascii="Times New Roman" w:hAnsi="Times New Roman"/>
                <w:noProof/>
                <w:color w:val="000000"/>
                <w:sz w:val="18"/>
              </w:rPr>
              <w:t xml:space="preserve">— uitvoering van een beveiligingsprogramma voor ontwerp- en ontwikkelingswerkzaamheden op het gebied van IT-systemen; </w:t>
            </w:r>
          </w:p>
          <w:p w14:paraId="05D194AD" w14:textId="7EFCDBC6"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rStyle w:val="normaltextrun"/>
                <w:rFonts w:ascii="Times New Roman" w:hAnsi="Times New Roman"/>
                <w:noProof/>
                <w:color w:val="000000"/>
                <w:sz w:val="18"/>
              </w:rPr>
              <w:t xml:space="preserve">— bouw van het centrum voor beveiligingsoperaties in het e-gezondheidscentrum. </w:t>
            </w:r>
          </w:p>
        </w:tc>
      </w:tr>
      <w:tr w:rsidR="00480F1C" w14:paraId="75577E9C" w14:textId="77777777">
        <w:trPr>
          <w:trHeight w:val="313"/>
        </w:trPr>
        <w:tc>
          <w:tcPr>
            <w:tcW w:w="709" w:type="dxa"/>
            <w:shd w:val="clear" w:color="auto" w:fill="C6EFCE"/>
          </w:tcPr>
          <w:p w14:paraId="238CF87A" w14:textId="5031FFC0"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D17G</w:t>
            </w:r>
          </w:p>
        </w:tc>
        <w:tc>
          <w:tcPr>
            <w:tcW w:w="2126" w:type="dxa"/>
            <w:shd w:val="clear" w:color="auto" w:fill="C6EFCE"/>
          </w:tcPr>
          <w:p w14:paraId="236A5FC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D1.1.2 Versnellen van de digitale transformatie van de gezondheid door de verdere ontwikkeling van digitale gezondheidsdiensten</w:t>
            </w:r>
          </w:p>
        </w:tc>
        <w:tc>
          <w:tcPr>
            <w:tcW w:w="1050" w:type="dxa"/>
            <w:shd w:val="clear" w:color="auto" w:fill="C6EFCE"/>
          </w:tcPr>
          <w:p w14:paraId="79481B0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785" w:type="dxa"/>
            <w:shd w:val="clear" w:color="auto" w:fill="C6EFCE"/>
          </w:tcPr>
          <w:p w14:paraId="0B15E2EF" w14:textId="1D755F09"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Centrum voor digitale medische documentatie </w:t>
            </w:r>
          </w:p>
        </w:tc>
        <w:tc>
          <w:tcPr>
            <w:tcW w:w="1560" w:type="dxa"/>
            <w:shd w:val="clear" w:color="auto" w:fill="C6EFCE"/>
          </w:tcPr>
          <w:p w14:paraId="6966198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Begin van de volledige exploitatie</w:t>
            </w:r>
          </w:p>
        </w:tc>
        <w:tc>
          <w:tcPr>
            <w:tcW w:w="1247" w:type="dxa"/>
            <w:shd w:val="clear" w:color="auto" w:fill="C6EFCE"/>
          </w:tcPr>
          <w:p w14:paraId="489253F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76" w:type="dxa"/>
            <w:shd w:val="clear" w:color="auto" w:fill="C6EFCE"/>
          </w:tcPr>
          <w:p w14:paraId="2521216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50" w:type="dxa"/>
            <w:shd w:val="clear" w:color="auto" w:fill="C6EFCE"/>
          </w:tcPr>
          <w:p w14:paraId="4634E8B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shd w:val="clear" w:color="auto" w:fill="C6EFCE"/>
          </w:tcPr>
          <w:p w14:paraId="35B5C190" w14:textId="07D2D67F"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3</w:t>
            </w:r>
          </w:p>
        </w:tc>
        <w:tc>
          <w:tcPr>
            <w:tcW w:w="708" w:type="dxa"/>
            <w:shd w:val="clear" w:color="auto" w:fill="C6EFCE"/>
          </w:tcPr>
          <w:p w14:paraId="06937799" w14:textId="278D292F"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2025</w:t>
            </w:r>
          </w:p>
        </w:tc>
        <w:tc>
          <w:tcPr>
            <w:tcW w:w="3544" w:type="dxa"/>
            <w:shd w:val="clear" w:color="auto" w:fill="C6EFCE"/>
          </w:tcPr>
          <w:p w14:paraId="71FA2F02" w14:textId="72CEA32B"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Het Centrum voor de digitalisering van medische documentatie wordt opgericht, met als kerntaak het structureren en overdragen van medische documentatie naar bruikbaar elektronisch patiëntendossier (HER). </w:t>
            </w:r>
          </w:p>
        </w:tc>
      </w:tr>
      <w:tr w:rsidR="00480F1C" w14:paraId="28A3F1F0" w14:textId="77777777">
        <w:trPr>
          <w:trHeight w:val="313"/>
        </w:trPr>
        <w:tc>
          <w:tcPr>
            <w:tcW w:w="709" w:type="dxa"/>
            <w:shd w:val="clear" w:color="auto" w:fill="C6EFCE"/>
          </w:tcPr>
          <w:p w14:paraId="77A01D7C" w14:textId="292D4849"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D18G</w:t>
            </w:r>
          </w:p>
        </w:tc>
        <w:tc>
          <w:tcPr>
            <w:tcW w:w="2126" w:type="dxa"/>
            <w:shd w:val="clear" w:color="auto" w:fill="C6EFCE"/>
          </w:tcPr>
          <w:p w14:paraId="40DF9D9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D1.1.2 Versnellen van de digitale transformatie van de gezondheid door de verdere ontwikkeling van digitale gezondheidsdiensten</w:t>
            </w:r>
          </w:p>
        </w:tc>
        <w:tc>
          <w:tcPr>
            <w:tcW w:w="1050" w:type="dxa"/>
            <w:shd w:val="clear" w:color="auto" w:fill="C6EFCE"/>
          </w:tcPr>
          <w:p w14:paraId="0CCDDE6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785" w:type="dxa"/>
            <w:shd w:val="clear" w:color="auto" w:fill="C6EFCE"/>
          </w:tcPr>
          <w:p w14:paraId="367307F4" w14:textId="30C34820"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Geschiedenis van de interactie van patiënten met gezondheidszorg in gedigitaliseerde medische faciliteiten  </w:t>
            </w:r>
          </w:p>
        </w:tc>
        <w:tc>
          <w:tcPr>
            <w:tcW w:w="1560" w:type="dxa"/>
            <w:shd w:val="clear" w:color="auto" w:fill="C6EFCE"/>
          </w:tcPr>
          <w:p w14:paraId="27ED360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47" w:type="dxa"/>
            <w:shd w:val="clear" w:color="auto" w:fill="C6EFCE"/>
          </w:tcPr>
          <w:p w14:paraId="6F8564BC" w14:textId="44651A38"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(percentage)</w:t>
            </w:r>
          </w:p>
        </w:tc>
        <w:tc>
          <w:tcPr>
            <w:tcW w:w="1276" w:type="dxa"/>
            <w:shd w:val="clear" w:color="auto" w:fill="C6EFCE"/>
          </w:tcPr>
          <w:p w14:paraId="0DB21CA6"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850" w:type="dxa"/>
            <w:shd w:val="clear" w:color="auto" w:fill="C6EFCE"/>
          </w:tcPr>
          <w:p w14:paraId="219897C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30</w:t>
            </w:r>
          </w:p>
        </w:tc>
        <w:tc>
          <w:tcPr>
            <w:tcW w:w="993" w:type="dxa"/>
            <w:shd w:val="clear" w:color="auto" w:fill="C6EFCE"/>
          </w:tcPr>
          <w:p w14:paraId="624F58C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1</w:t>
            </w:r>
          </w:p>
        </w:tc>
        <w:tc>
          <w:tcPr>
            <w:tcW w:w="708" w:type="dxa"/>
            <w:shd w:val="clear" w:color="auto" w:fill="C6EFCE"/>
          </w:tcPr>
          <w:p w14:paraId="7499A3E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544" w:type="dxa"/>
            <w:shd w:val="clear" w:color="auto" w:fill="C6EFCE"/>
          </w:tcPr>
          <w:p w14:paraId="3234264A" w14:textId="48C74CF5"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themeColor="text1"/>
                <w:sz w:val="18"/>
              </w:rPr>
              <w:t>Deel van de geschiedenis van de interactie van patiënten met gezondheidszorg</w:t>
            </w:r>
            <w:r>
              <w:rPr>
                <w:noProof/>
              </w:rPr>
              <w:t xml:space="preserve"> </w:t>
            </w:r>
            <w:r>
              <w:rPr>
                <w:noProof/>
              </w:rPr>
              <w:br/>
            </w:r>
            <w:r>
              <w:rPr>
                <w:rStyle w:val="normaltextrun"/>
                <w:rFonts w:ascii="Times New Roman" w:hAnsi="Times New Roman"/>
                <w:noProof/>
                <w:color w:val="000000" w:themeColor="text1"/>
                <w:sz w:val="18"/>
              </w:rPr>
              <w:t>worden bewaard in gedigitaliseerde medische faciliteiten, met het oog op de digitale weergave van de documenten in het individuele elektronische patiëntendossier (EPD), met een gestructureerde presentatie van de gegevens die verdere verwerking mogelijk maken. </w:t>
            </w:r>
            <w:r>
              <w:rPr>
                <w:rStyle w:val="normaltextrun"/>
                <w:rFonts w:ascii="Times New Roman" w:hAnsi="Times New Roman"/>
                <w:noProof/>
                <w:sz w:val="18"/>
              </w:rPr>
              <w:t xml:space="preserve"> </w:t>
            </w:r>
            <w:r>
              <w:rPr>
                <w:noProof/>
              </w:rPr>
              <w:t xml:space="preserve"> </w:t>
            </w:r>
            <w:r>
              <w:rPr>
                <w:noProof/>
              </w:rPr>
              <w:br/>
            </w:r>
            <w:r>
              <w:rPr>
                <w:rStyle w:val="normaltextrun"/>
                <w:rFonts w:ascii="Times New Roman" w:hAnsi="Times New Roman"/>
                <w:noProof/>
                <w:color w:val="000000" w:themeColor="text1"/>
                <w:sz w:val="18"/>
              </w:rPr>
              <w:t xml:space="preserve">De doelstelling heeft betrekking op de papieren documentatie die door de zorginstellingen wordt opgeslagen.  </w:t>
            </w:r>
          </w:p>
        </w:tc>
      </w:tr>
      <w:tr w:rsidR="00480F1C" w14:paraId="30CE0A47" w14:textId="77777777">
        <w:trPr>
          <w:trHeight w:val="313"/>
        </w:trPr>
        <w:tc>
          <w:tcPr>
            <w:tcW w:w="709" w:type="dxa"/>
            <w:shd w:val="clear" w:color="auto" w:fill="C6EFCE"/>
          </w:tcPr>
          <w:p w14:paraId="01687A06" w14:textId="493AE2B3"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D19G</w:t>
            </w:r>
          </w:p>
        </w:tc>
        <w:tc>
          <w:tcPr>
            <w:tcW w:w="2126" w:type="dxa"/>
            <w:shd w:val="clear" w:color="auto" w:fill="C6EFCE"/>
          </w:tcPr>
          <w:p w14:paraId="7E7B527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D1.1.2 Versnellen van de digitale transformatie van de gezondheid door de verdere ontwikkeling van digitale gezondheidsdiensten</w:t>
            </w:r>
          </w:p>
        </w:tc>
        <w:tc>
          <w:tcPr>
            <w:tcW w:w="1050" w:type="dxa"/>
            <w:shd w:val="clear" w:color="auto" w:fill="C6EFCE"/>
          </w:tcPr>
          <w:p w14:paraId="3710F48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785" w:type="dxa"/>
            <w:shd w:val="clear" w:color="auto" w:fill="C6EFCE"/>
          </w:tcPr>
          <w:p w14:paraId="17D4D6CC" w14:textId="3B44EE21"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T1 — Medische documenten gedigitaliseerd  </w:t>
            </w:r>
          </w:p>
        </w:tc>
        <w:tc>
          <w:tcPr>
            <w:tcW w:w="1560" w:type="dxa"/>
            <w:shd w:val="clear" w:color="auto" w:fill="C6EFCE"/>
          </w:tcPr>
          <w:p w14:paraId="7F48A2E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47" w:type="dxa"/>
            <w:shd w:val="clear" w:color="auto" w:fill="C6EFCE"/>
          </w:tcPr>
          <w:p w14:paraId="7933AD2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(percentage)</w:t>
            </w:r>
          </w:p>
        </w:tc>
        <w:tc>
          <w:tcPr>
            <w:tcW w:w="1276" w:type="dxa"/>
            <w:shd w:val="clear" w:color="auto" w:fill="C6EFCE"/>
          </w:tcPr>
          <w:p w14:paraId="0FA5DB3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10</w:t>
            </w:r>
          </w:p>
        </w:tc>
        <w:tc>
          <w:tcPr>
            <w:tcW w:w="850" w:type="dxa"/>
            <w:shd w:val="clear" w:color="auto" w:fill="C6EFCE"/>
          </w:tcPr>
          <w:p w14:paraId="60DA3216"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30</w:t>
            </w:r>
          </w:p>
        </w:tc>
        <w:tc>
          <w:tcPr>
            <w:tcW w:w="993" w:type="dxa"/>
            <w:shd w:val="clear" w:color="auto" w:fill="C6EFCE"/>
          </w:tcPr>
          <w:p w14:paraId="3BF43DB5" w14:textId="3E7B8141"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1</w:t>
            </w:r>
          </w:p>
        </w:tc>
        <w:tc>
          <w:tcPr>
            <w:tcW w:w="708" w:type="dxa"/>
            <w:shd w:val="clear" w:color="auto" w:fill="C6EFCE"/>
          </w:tcPr>
          <w:p w14:paraId="4373604A" w14:textId="231A8085"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2025</w:t>
            </w:r>
          </w:p>
        </w:tc>
        <w:tc>
          <w:tcPr>
            <w:tcW w:w="3544" w:type="dxa"/>
            <w:shd w:val="clear" w:color="auto" w:fill="C6EFCE"/>
          </w:tcPr>
          <w:p w14:paraId="2B8EB0BF" w14:textId="0EBC92F0"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30 % van het totale aantal soorten medische documenten wordt gedigitaliseerd.</w:t>
            </w:r>
          </w:p>
        </w:tc>
      </w:tr>
      <w:tr w:rsidR="00480F1C" w14:paraId="0AEC7F2D" w14:textId="77777777">
        <w:trPr>
          <w:trHeight w:val="313"/>
        </w:trPr>
        <w:tc>
          <w:tcPr>
            <w:tcW w:w="709" w:type="dxa"/>
            <w:shd w:val="clear" w:color="auto" w:fill="C6EFCE"/>
          </w:tcPr>
          <w:p w14:paraId="11F852C4" w14:textId="7317C01F"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D20G</w:t>
            </w:r>
          </w:p>
        </w:tc>
        <w:tc>
          <w:tcPr>
            <w:tcW w:w="2126" w:type="dxa"/>
            <w:shd w:val="clear" w:color="auto" w:fill="C6EFCE"/>
          </w:tcPr>
          <w:p w14:paraId="5643A4D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D1.1.2 Versnellen van de digitale transformatie van de gezondheid door de verdere ontwikkeling van digitale gezondheidsdiensten</w:t>
            </w:r>
          </w:p>
        </w:tc>
        <w:tc>
          <w:tcPr>
            <w:tcW w:w="1050" w:type="dxa"/>
            <w:shd w:val="clear" w:color="auto" w:fill="C6EFCE"/>
          </w:tcPr>
          <w:p w14:paraId="3359C64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785" w:type="dxa"/>
            <w:shd w:val="clear" w:color="auto" w:fill="C6EFCE"/>
          </w:tcPr>
          <w:p w14:paraId="1BC281A2" w14:textId="127AC0A0"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T2 — Medische documenten gedigitaliseerd  </w:t>
            </w:r>
          </w:p>
        </w:tc>
        <w:tc>
          <w:tcPr>
            <w:tcW w:w="1560" w:type="dxa"/>
            <w:shd w:val="clear" w:color="auto" w:fill="C6EFCE"/>
          </w:tcPr>
          <w:p w14:paraId="3137074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47" w:type="dxa"/>
            <w:shd w:val="clear" w:color="auto" w:fill="C6EFCE"/>
          </w:tcPr>
          <w:p w14:paraId="3D00797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(percentage)</w:t>
            </w:r>
          </w:p>
        </w:tc>
        <w:tc>
          <w:tcPr>
            <w:tcW w:w="1276" w:type="dxa"/>
            <w:shd w:val="clear" w:color="auto" w:fill="C6EFCE"/>
          </w:tcPr>
          <w:p w14:paraId="18E8C380"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30</w:t>
            </w:r>
          </w:p>
        </w:tc>
        <w:tc>
          <w:tcPr>
            <w:tcW w:w="850" w:type="dxa"/>
            <w:shd w:val="clear" w:color="auto" w:fill="C6EFCE"/>
          </w:tcPr>
          <w:p w14:paraId="3F48C20F"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60</w:t>
            </w:r>
          </w:p>
        </w:tc>
        <w:tc>
          <w:tcPr>
            <w:tcW w:w="993" w:type="dxa"/>
            <w:shd w:val="clear" w:color="auto" w:fill="C6EFCE"/>
          </w:tcPr>
          <w:p w14:paraId="50B8EFB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1</w:t>
            </w:r>
          </w:p>
        </w:tc>
        <w:tc>
          <w:tcPr>
            <w:tcW w:w="708" w:type="dxa"/>
            <w:shd w:val="clear" w:color="auto" w:fill="C6EFCE"/>
          </w:tcPr>
          <w:p w14:paraId="68368DD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544" w:type="dxa"/>
            <w:shd w:val="clear" w:color="auto" w:fill="C6EFCE"/>
          </w:tcPr>
          <w:p w14:paraId="5C786572" w14:textId="6B05C527"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60 % van het totale aantal soorten medische documenten wordt gedigitaliseerd.</w:t>
            </w:r>
          </w:p>
        </w:tc>
      </w:tr>
      <w:tr w:rsidR="00480F1C" w14:paraId="5F48FFF7" w14:textId="77777777">
        <w:trPr>
          <w:trHeight w:val="313"/>
        </w:trPr>
        <w:tc>
          <w:tcPr>
            <w:tcW w:w="709" w:type="dxa"/>
            <w:shd w:val="clear" w:color="auto" w:fill="C6EFCE"/>
          </w:tcPr>
          <w:p w14:paraId="324D8258" w14:textId="71324FF5"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D21G</w:t>
            </w:r>
          </w:p>
        </w:tc>
        <w:tc>
          <w:tcPr>
            <w:tcW w:w="2126" w:type="dxa"/>
            <w:shd w:val="clear" w:color="auto" w:fill="C6EFCE"/>
          </w:tcPr>
          <w:p w14:paraId="08ECAEB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D1.1.2 Versnellen van de digitale transformatie van de gezondheid door de verdere ontwikkeling van digitale gezondheidsdiensten</w:t>
            </w:r>
          </w:p>
        </w:tc>
        <w:tc>
          <w:tcPr>
            <w:tcW w:w="1050" w:type="dxa"/>
            <w:shd w:val="clear" w:color="auto" w:fill="C6EFCE"/>
          </w:tcPr>
          <w:p w14:paraId="380174F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785" w:type="dxa"/>
            <w:shd w:val="clear" w:color="auto" w:fill="C6EFCE"/>
          </w:tcPr>
          <w:p w14:paraId="1A0E3DE0" w14:textId="49B8D077"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Centrale/regionale zorgaanbieders die verbonden zijn met het centrale register van medische gegevens en centrale/regionale zorgaanbieders die zijn uitgerust met het op AI gebaseerde besluitvormingsinstrument </w:t>
            </w:r>
          </w:p>
        </w:tc>
        <w:tc>
          <w:tcPr>
            <w:tcW w:w="1560" w:type="dxa"/>
            <w:shd w:val="clear" w:color="auto" w:fill="C6EFCE"/>
          </w:tcPr>
          <w:p w14:paraId="6152B5C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47" w:type="dxa"/>
            <w:shd w:val="clear" w:color="auto" w:fill="C6EFCE"/>
          </w:tcPr>
          <w:p w14:paraId="4686C8D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(percentage)</w:t>
            </w:r>
          </w:p>
        </w:tc>
        <w:tc>
          <w:tcPr>
            <w:tcW w:w="1276" w:type="dxa"/>
            <w:shd w:val="clear" w:color="auto" w:fill="C6EFCE"/>
          </w:tcPr>
          <w:p w14:paraId="3F941064"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850" w:type="dxa"/>
            <w:shd w:val="clear" w:color="auto" w:fill="C6EFCE"/>
          </w:tcPr>
          <w:p w14:paraId="46B40F80"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30</w:t>
            </w:r>
          </w:p>
        </w:tc>
        <w:tc>
          <w:tcPr>
            <w:tcW w:w="993" w:type="dxa"/>
            <w:shd w:val="clear" w:color="auto" w:fill="C6EFCE"/>
          </w:tcPr>
          <w:p w14:paraId="0F8E741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1</w:t>
            </w:r>
          </w:p>
        </w:tc>
        <w:tc>
          <w:tcPr>
            <w:tcW w:w="708" w:type="dxa"/>
            <w:shd w:val="clear" w:color="auto" w:fill="C6EFCE"/>
          </w:tcPr>
          <w:p w14:paraId="7B68489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544" w:type="dxa"/>
            <w:shd w:val="clear" w:color="auto" w:fill="C6EFCE"/>
          </w:tcPr>
          <w:p w14:paraId="48166FE3" w14:textId="7E80F12C" w:rsidR="00480F1C" w:rsidRDefault="00A201F6">
            <w:pPr>
              <w:pStyle w:val="paragraph"/>
              <w:spacing w:before="0" w:beforeAutospacing="0" w:after="0" w:afterAutospacing="0"/>
              <w:textAlignment w:val="baseline"/>
              <w:rPr>
                <w:noProof/>
                <w:sz w:val="18"/>
              </w:rPr>
            </w:pPr>
            <w:r>
              <w:rPr>
                <w:rStyle w:val="normaltextrun"/>
                <w:noProof/>
                <w:color w:val="000000" w:themeColor="text1"/>
                <w:sz w:val="18"/>
              </w:rPr>
              <w:t xml:space="preserve">30 % van de zorgaanbieders (op centraal of regionaal niveau) die verbonden zijn met het centrale elektronische register van medische gegevens, met inbegrip van: </w:t>
            </w:r>
          </w:p>
          <w:p w14:paraId="3F3BE604" w14:textId="4B7A13E6"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30 % van de zorgaanbieders (op centraal of regionaal niveau) wordt uitgerust met het op AI gebaseerde ondersteuningsinstrument voor besluitvorming.   </w:t>
            </w:r>
          </w:p>
        </w:tc>
      </w:tr>
      <w:tr w:rsidR="00480F1C" w14:paraId="30B106E8" w14:textId="77777777">
        <w:trPr>
          <w:trHeight w:val="313"/>
        </w:trPr>
        <w:tc>
          <w:tcPr>
            <w:tcW w:w="709" w:type="dxa"/>
            <w:shd w:val="clear" w:color="auto" w:fill="C6EFCE"/>
          </w:tcPr>
          <w:p w14:paraId="013F9C16" w14:textId="32325D05"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D22G</w:t>
            </w:r>
          </w:p>
        </w:tc>
        <w:tc>
          <w:tcPr>
            <w:tcW w:w="2126" w:type="dxa"/>
            <w:shd w:val="clear" w:color="auto" w:fill="C6EFCE"/>
          </w:tcPr>
          <w:p w14:paraId="227979B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D1.1.2 Versnellen van de digitale transformatie van de gezondheid door de verdere ontwikkeling van digitale gezondheidsdiensten</w:t>
            </w:r>
          </w:p>
        </w:tc>
        <w:tc>
          <w:tcPr>
            <w:tcW w:w="1050" w:type="dxa"/>
            <w:shd w:val="clear" w:color="auto" w:fill="C6EFCE"/>
          </w:tcPr>
          <w:p w14:paraId="1EA3F18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785" w:type="dxa"/>
            <w:shd w:val="clear" w:color="auto" w:fill="C6EFCE"/>
          </w:tcPr>
          <w:p w14:paraId="413F8284" w14:textId="05C673A1"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Volwassen patiënten die onder de Patient Health Analysis Tool vallen </w:t>
            </w:r>
          </w:p>
        </w:tc>
        <w:tc>
          <w:tcPr>
            <w:tcW w:w="1560" w:type="dxa"/>
            <w:shd w:val="clear" w:color="auto" w:fill="C6EFCE"/>
          </w:tcPr>
          <w:p w14:paraId="45C46E1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47" w:type="dxa"/>
            <w:shd w:val="clear" w:color="auto" w:fill="C6EFCE"/>
          </w:tcPr>
          <w:p w14:paraId="4066589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(percentage)</w:t>
            </w:r>
          </w:p>
        </w:tc>
        <w:tc>
          <w:tcPr>
            <w:tcW w:w="1276" w:type="dxa"/>
            <w:shd w:val="clear" w:color="auto" w:fill="C6EFCE"/>
          </w:tcPr>
          <w:p w14:paraId="46400BC5"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850" w:type="dxa"/>
            <w:shd w:val="clear" w:color="auto" w:fill="C6EFCE"/>
          </w:tcPr>
          <w:p w14:paraId="7DAAF83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70</w:t>
            </w:r>
          </w:p>
        </w:tc>
        <w:tc>
          <w:tcPr>
            <w:tcW w:w="993" w:type="dxa"/>
            <w:shd w:val="clear" w:color="auto" w:fill="C6EFCE"/>
          </w:tcPr>
          <w:p w14:paraId="410BF90F"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1</w:t>
            </w:r>
          </w:p>
        </w:tc>
        <w:tc>
          <w:tcPr>
            <w:tcW w:w="708" w:type="dxa"/>
            <w:shd w:val="clear" w:color="auto" w:fill="C6EFCE"/>
          </w:tcPr>
          <w:p w14:paraId="3D38FA5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544" w:type="dxa"/>
            <w:shd w:val="clear" w:color="auto" w:fill="C6EFCE"/>
          </w:tcPr>
          <w:p w14:paraId="51B2F0A7" w14:textId="6BEF31B4"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70 % van de volwassen patiënten wordt gedekt door het instrument voor patiëntenanalyse. </w:t>
            </w:r>
          </w:p>
        </w:tc>
      </w:tr>
      <w:tr w:rsidR="00480F1C" w14:paraId="4D97DF95" w14:textId="77777777">
        <w:trPr>
          <w:trHeight w:val="313"/>
        </w:trPr>
        <w:tc>
          <w:tcPr>
            <w:tcW w:w="709" w:type="dxa"/>
            <w:shd w:val="clear" w:color="auto" w:fill="C6EFCE"/>
          </w:tcPr>
          <w:p w14:paraId="6696E785" w14:textId="51275BC3"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D23G</w:t>
            </w:r>
          </w:p>
        </w:tc>
        <w:tc>
          <w:tcPr>
            <w:tcW w:w="2126" w:type="dxa"/>
            <w:shd w:val="clear" w:color="auto" w:fill="C6EFCE"/>
          </w:tcPr>
          <w:p w14:paraId="2D994AA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D2.1 De juiste voorwaarden scheppen voor een toename van het aantal medisch personeel</w:t>
            </w:r>
          </w:p>
        </w:tc>
        <w:tc>
          <w:tcPr>
            <w:tcW w:w="1050" w:type="dxa"/>
            <w:shd w:val="clear" w:color="auto" w:fill="C6EFCE"/>
          </w:tcPr>
          <w:p w14:paraId="2DFF2B7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785" w:type="dxa"/>
            <w:shd w:val="clear" w:color="auto" w:fill="C6EFCE"/>
          </w:tcPr>
          <w:p w14:paraId="02CEA90B" w14:textId="4956737C"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Wijziging van de wet op het hoger onderwijs en de wetenschappen en op de beroepen van arts en tandarts om te voorzien in een rechtsgrondslag voor financiële steun vanaf het academisch jaar 2021/2022 voor studenten op het gebied van geneeskunde in Polen  </w:t>
            </w:r>
          </w:p>
        </w:tc>
        <w:tc>
          <w:tcPr>
            <w:tcW w:w="1560" w:type="dxa"/>
            <w:shd w:val="clear" w:color="auto" w:fill="C6EFCE"/>
          </w:tcPr>
          <w:p w14:paraId="73AE6613" w14:textId="781B2ABF"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wijziging van de wet op het hoger onderwijs en de wetenschappen en op de beroepen van arts en tandarts om te voorzien in een rechtsgrondslag voor financiële steun vanaf het academisch jaar 2021/2022 voor studenten op het gebied van geneeskunde in Polen op universitair niveau (met inbegrip van studenten die vóór het academisch jaar 2021/2022 met hun studie zijn begonnen), met vermelding van de inwerkingtreding ervan</w:t>
            </w:r>
          </w:p>
        </w:tc>
        <w:tc>
          <w:tcPr>
            <w:tcW w:w="1247" w:type="dxa"/>
            <w:shd w:val="clear" w:color="auto" w:fill="C6EFCE"/>
          </w:tcPr>
          <w:p w14:paraId="3C347B8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76" w:type="dxa"/>
            <w:shd w:val="clear" w:color="auto" w:fill="C6EFCE"/>
          </w:tcPr>
          <w:p w14:paraId="548DED9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50" w:type="dxa"/>
            <w:shd w:val="clear" w:color="auto" w:fill="C6EFCE"/>
          </w:tcPr>
          <w:p w14:paraId="5D54FA7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shd w:val="clear" w:color="auto" w:fill="C6EFCE"/>
          </w:tcPr>
          <w:p w14:paraId="622A3A4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708" w:type="dxa"/>
            <w:shd w:val="clear" w:color="auto" w:fill="C6EFCE"/>
          </w:tcPr>
          <w:p w14:paraId="7351E70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2021</w:t>
            </w:r>
          </w:p>
        </w:tc>
        <w:tc>
          <w:tcPr>
            <w:tcW w:w="3544" w:type="dxa"/>
            <w:shd w:val="clear" w:color="auto" w:fill="C6EFCE"/>
          </w:tcPr>
          <w:p w14:paraId="5636F4F3" w14:textId="2BC030FC"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Style w:val="normaltextrun"/>
                <w:rFonts w:ascii="Times New Roman" w:hAnsi="Times New Roman"/>
                <w:noProof/>
                <w:color w:val="000000" w:themeColor="text1"/>
                <w:sz w:val="18"/>
              </w:rPr>
              <w:t xml:space="preserve">De wet treedt in werking en voorziet in de mogelijkheid om gebruik te maken van financiële steun in de vorm van een lening voor studenten met betaalde studies op het gebied van geneeskunde op universitair niveau. De student kan verzoeken om vervroegde aflossing van de lening of om verlenging van de aflossingsperiode.  </w:t>
            </w:r>
            <w:r>
              <w:rPr>
                <w:rStyle w:val="scxw147420095"/>
                <w:rFonts w:ascii="Times New Roman" w:hAnsi="Times New Roman"/>
                <w:noProof/>
                <w:sz w:val="18"/>
              </w:rPr>
              <w:t xml:space="preserve"> </w:t>
            </w:r>
            <w:r>
              <w:rPr>
                <w:noProof/>
              </w:rPr>
              <w:t xml:space="preserve"> </w:t>
            </w:r>
            <w:r>
              <w:rPr>
                <w:noProof/>
              </w:rPr>
              <w:br/>
            </w:r>
            <w:r>
              <w:rPr>
                <w:rStyle w:val="normaltextrun"/>
                <w:rFonts w:ascii="Times New Roman" w:hAnsi="Times New Roman"/>
                <w:noProof/>
                <w:color w:val="000000" w:themeColor="text1"/>
                <w:sz w:val="18"/>
              </w:rPr>
              <w:t xml:space="preserve">Na te hebben voldaan aan bepaalde in de wet gestelde voorwaarden, kan de student om gedeeltelijke of volledige kwijtschelding van de lening voor medische studies verzoeken.  </w:t>
            </w:r>
            <w:r>
              <w:rPr>
                <w:noProof/>
              </w:rPr>
              <w:t xml:space="preserve"> </w:t>
            </w:r>
            <w:r>
              <w:rPr>
                <w:noProof/>
              </w:rPr>
              <w:br/>
            </w:r>
            <w:r>
              <w:rPr>
                <w:rStyle w:val="normaltextrun"/>
                <w:rFonts w:ascii="Times New Roman" w:hAnsi="Times New Roman"/>
                <w:noProof/>
                <w:color w:val="000000" w:themeColor="text1"/>
                <w:sz w:val="18"/>
              </w:rPr>
              <w:t xml:space="preserve">Studenten die van de steun gebruikmaken, kunnen een volledige kwijtschelding van de lening aanvragen indien zij aan de volgende voorwaarden voldoen: </w:t>
            </w:r>
            <w:r>
              <w:rPr>
                <w:noProof/>
              </w:rPr>
              <w:t xml:space="preserve"> </w:t>
            </w:r>
            <w:r>
              <w:rPr>
                <w:noProof/>
              </w:rPr>
              <w:br/>
            </w:r>
            <w:r>
              <w:rPr>
                <w:rStyle w:val="normaltextrun"/>
                <w:rFonts w:ascii="Times New Roman" w:hAnsi="Times New Roman"/>
                <w:noProof/>
                <w:color w:val="000000" w:themeColor="text1"/>
                <w:sz w:val="18"/>
              </w:rPr>
              <w:t>— arbeid na afstuderen gedurende ten minste 10 jaar binnen 12 opeenvolgende jaren, gerekend vanaf de datum van afstuderen, bij entiteiten die medische werkzaamheden op het grondgebied van de Republiek Polen verrichten en die uit overheidsmiddelen gefinancierde gezondheidsdiensten verlenen, en</w:t>
            </w:r>
            <w:r>
              <w:rPr>
                <w:rStyle w:val="normaltextrun"/>
                <w:rFonts w:ascii="Times New Roman" w:hAnsi="Times New Roman"/>
                <w:noProof/>
                <w:sz w:val="18"/>
              </w:rPr>
              <w:t xml:space="preserve"> </w:t>
            </w:r>
            <w:r>
              <w:rPr>
                <w:noProof/>
              </w:rPr>
              <w:t xml:space="preserve"> </w:t>
            </w:r>
            <w:r>
              <w:rPr>
                <w:noProof/>
              </w:rPr>
              <w:br/>
              <w:t xml:space="preserve"> </w:t>
            </w:r>
            <w:r>
              <w:rPr>
                <w:rStyle w:val="normaltextrun"/>
                <w:rFonts w:ascii="Times New Roman" w:hAnsi="Times New Roman"/>
                <w:noProof/>
                <w:color w:val="000000" w:themeColor="text1"/>
                <w:sz w:val="18"/>
              </w:rPr>
              <w:t xml:space="preserve">— binnen bovengenoemde periode de titel van specialist verkrijgen op een medisch gebied dat als prioritair wordt erkend op de dag waarop de arts de specialisatieopleiding begint. </w:t>
            </w:r>
            <w:r>
              <w:rPr>
                <w:noProof/>
              </w:rPr>
              <w:t xml:space="preserve"> </w:t>
            </w:r>
            <w:r>
              <w:rPr>
                <w:noProof/>
              </w:rPr>
              <w:br/>
            </w:r>
            <w:r>
              <w:rPr>
                <w:rStyle w:val="normaltextrun"/>
                <w:rFonts w:ascii="Times New Roman" w:hAnsi="Times New Roman"/>
                <w:noProof/>
                <w:color w:val="000000" w:themeColor="text1"/>
                <w:sz w:val="18"/>
              </w:rPr>
              <w:t xml:space="preserve">Personen die aan deze twee voorwaarden voldoen, hoeven de lening voor medische studies niet terug te betalen. De gedetailleerde voorwaarden en procedure voor de opzegging van de lening worden vastgesteld in de wetgevingshandeling. </w:t>
            </w:r>
          </w:p>
        </w:tc>
      </w:tr>
      <w:tr w:rsidR="00480F1C" w14:paraId="0FEBA561" w14:textId="77777777">
        <w:trPr>
          <w:trHeight w:val="313"/>
        </w:trPr>
        <w:tc>
          <w:tcPr>
            <w:tcW w:w="709" w:type="dxa"/>
            <w:shd w:val="clear" w:color="auto" w:fill="C6EFCE"/>
          </w:tcPr>
          <w:p w14:paraId="40805059" w14:textId="6DF82499"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D24G</w:t>
            </w:r>
          </w:p>
        </w:tc>
        <w:tc>
          <w:tcPr>
            <w:tcW w:w="2126" w:type="dxa"/>
            <w:shd w:val="clear" w:color="auto" w:fill="C6EFCE"/>
          </w:tcPr>
          <w:p w14:paraId="088F39B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D2.1 De juiste voorwaarden scheppen voor een toename van het aantal medisch personeel</w:t>
            </w:r>
          </w:p>
        </w:tc>
        <w:tc>
          <w:tcPr>
            <w:tcW w:w="1050" w:type="dxa"/>
            <w:shd w:val="clear" w:color="auto" w:fill="C6EFCE"/>
          </w:tcPr>
          <w:p w14:paraId="7CECD32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785" w:type="dxa"/>
            <w:shd w:val="clear" w:color="auto" w:fill="C6EFCE"/>
          </w:tcPr>
          <w:p w14:paraId="3E4CA140" w14:textId="5CDF426D"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themeColor="text1"/>
                <w:sz w:val="18"/>
              </w:rPr>
              <w:t xml:space="preserve">Aantal studenten aan medische universiteiten die financiële steun hebben ontvangen overeenkomstig de Wet op het hoger onderwijs en de wetenschappen en op de beroepen van arts en tandarts  </w:t>
            </w:r>
          </w:p>
        </w:tc>
        <w:tc>
          <w:tcPr>
            <w:tcW w:w="1560" w:type="dxa"/>
            <w:shd w:val="clear" w:color="auto" w:fill="C6EFCE"/>
          </w:tcPr>
          <w:p w14:paraId="2C321B3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47" w:type="dxa"/>
            <w:shd w:val="clear" w:color="auto" w:fill="C6EFCE"/>
          </w:tcPr>
          <w:p w14:paraId="0BD69BC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276" w:type="dxa"/>
            <w:shd w:val="clear" w:color="auto" w:fill="C6EFCE"/>
          </w:tcPr>
          <w:p w14:paraId="562729E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850" w:type="dxa"/>
            <w:shd w:val="clear" w:color="auto" w:fill="C6EFCE"/>
          </w:tcPr>
          <w:p w14:paraId="71AE6B87" w14:textId="23B78024"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9 947</w:t>
            </w:r>
          </w:p>
        </w:tc>
        <w:tc>
          <w:tcPr>
            <w:tcW w:w="993" w:type="dxa"/>
            <w:shd w:val="clear" w:color="auto" w:fill="C6EFCE"/>
          </w:tcPr>
          <w:p w14:paraId="47A9D4C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708" w:type="dxa"/>
            <w:shd w:val="clear" w:color="auto" w:fill="C6EFCE"/>
          </w:tcPr>
          <w:p w14:paraId="1AEDEA9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544" w:type="dxa"/>
            <w:shd w:val="clear" w:color="auto" w:fill="C6EFCE"/>
          </w:tcPr>
          <w:p w14:paraId="4E39AB12" w14:textId="781B2ABF"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themeColor="text1"/>
                <w:sz w:val="18"/>
              </w:rPr>
              <w:t xml:space="preserve">9 947 studenten moeten financiële steun hebben ontvangen in de vorm van een lening voor studenten met betaalde studies in het Pools op het gebied van geneeskunde, op basis van de wijziging van de wet op het hoger onderwijs en de wetenschappen en de beroepen van arts en tandarts.  </w:t>
            </w:r>
          </w:p>
        </w:tc>
      </w:tr>
      <w:tr w:rsidR="00480F1C" w14:paraId="02DD8C33" w14:textId="77777777">
        <w:trPr>
          <w:trHeight w:val="313"/>
        </w:trPr>
        <w:tc>
          <w:tcPr>
            <w:tcW w:w="709" w:type="dxa"/>
            <w:shd w:val="clear" w:color="auto" w:fill="C6EFCE"/>
          </w:tcPr>
          <w:p w14:paraId="60F564E8" w14:textId="63A0FCD6"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D25G</w:t>
            </w:r>
          </w:p>
        </w:tc>
        <w:tc>
          <w:tcPr>
            <w:tcW w:w="2126" w:type="dxa"/>
            <w:shd w:val="clear" w:color="auto" w:fill="C6EFCE"/>
          </w:tcPr>
          <w:p w14:paraId="4742A30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D2.1 De juiste voorwaarden scheppen voor een toename van het aantal medisch personeel</w:t>
            </w:r>
          </w:p>
        </w:tc>
        <w:tc>
          <w:tcPr>
            <w:tcW w:w="1050" w:type="dxa"/>
            <w:shd w:val="clear" w:color="auto" w:fill="C6EFCE"/>
          </w:tcPr>
          <w:p w14:paraId="64444FF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785" w:type="dxa"/>
            <w:shd w:val="clear" w:color="auto" w:fill="C6EFCE"/>
          </w:tcPr>
          <w:p w14:paraId="680B2CEB" w14:textId="6D550F43"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Inwerkingtreding van de wetgevingswet betreffende het beroep van paramedisch en zelfbestuur van paramedisch personeel, waardoor de mogelijkheid wordt ingevoerd om programma’s van de tweede cyclus op te zetten op het gebied van de voorbereiding van het beroep van paramediaan  </w:t>
            </w:r>
          </w:p>
        </w:tc>
        <w:tc>
          <w:tcPr>
            <w:tcW w:w="1560" w:type="dxa"/>
            <w:shd w:val="clear" w:color="auto" w:fill="C6EFCE"/>
          </w:tcPr>
          <w:p w14:paraId="1B1B0BD3" w14:textId="3F53E428"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wetgevingswet betreffende het beroep van paramedisch en zelfbestuur van paramedisch personeel waaruit blijkt dat deze wet in werking is getreden</w:t>
            </w:r>
          </w:p>
        </w:tc>
        <w:tc>
          <w:tcPr>
            <w:tcW w:w="1247" w:type="dxa"/>
            <w:shd w:val="clear" w:color="auto" w:fill="C6EFCE"/>
          </w:tcPr>
          <w:p w14:paraId="6FCE0CF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76" w:type="dxa"/>
            <w:shd w:val="clear" w:color="auto" w:fill="C6EFCE"/>
          </w:tcPr>
          <w:p w14:paraId="6E4FF05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50" w:type="dxa"/>
            <w:shd w:val="clear" w:color="auto" w:fill="C6EFCE"/>
          </w:tcPr>
          <w:p w14:paraId="2209894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shd w:val="clear" w:color="auto" w:fill="C6EFCE"/>
          </w:tcPr>
          <w:p w14:paraId="0D7DCDA0" w14:textId="4AC122FE"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3</w:t>
            </w:r>
          </w:p>
        </w:tc>
        <w:tc>
          <w:tcPr>
            <w:tcW w:w="708" w:type="dxa"/>
            <w:shd w:val="clear" w:color="auto" w:fill="C6EFCE"/>
          </w:tcPr>
          <w:p w14:paraId="22C3637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3544" w:type="dxa"/>
            <w:shd w:val="clear" w:color="auto" w:fill="C6EFCE"/>
          </w:tcPr>
          <w:p w14:paraId="14738A08" w14:textId="6D71B156"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themeColor="text1"/>
                <w:sz w:val="18"/>
              </w:rPr>
              <w:t xml:space="preserve">Om de competenties van paramedici te verbeteren, treedt een wetgevingshandeling in werking en maakt het mogelijk programma’s van de tweede cyclus op het gebied van paramedisch onderzoek op te zetten, gedefinieerd als tweejarige studies die eindigen met het behalen van een masterdiploma. Het verkrijgen van de titel van specialist moet paramedisch personeel in staat stellen aanvullende kwalificaties te verwerven, die tot doel hebben zich te vertalen in een hogere rang in de salariscategorie. </w:t>
            </w:r>
          </w:p>
        </w:tc>
      </w:tr>
      <w:tr w:rsidR="00480F1C" w14:paraId="24E958F2" w14:textId="77777777">
        <w:trPr>
          <w:trHeight w:val="85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3E5FE62" w14:textId="3210964E"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D26G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4DFD59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D2.1 De juiste voorwaarden scheppen voor een toename van het aantal medisch personeel</w:t>
            </w: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9DDF0E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75C22CD" w14:textId="6E683859"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Aantal paramedicijnen die hun masterdiploma hebben afgerond  </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2E7769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143B7F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23F4A41"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8F8D6AF" w14:textId="3DAD1219"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1 250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36EF57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C334BF4"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2025</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9EFAAF5" w14:textId="0941FA68"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themeColor="text1"/>
                <w:sz w:val="18"/>
              </w:rPr>
              <w:t xml:space="preserve">1 250 paramedicijnen moeten hun studie van de tweede cyclus op het gebied van medische spoedhulp hebben afgerond. </w:t>
            </w:r>
          </w:p>
        </w:tc>
      </w:tr>
      <w:tr w:rsidR="00480F1C" w14:paraId="1D3DE6FA" w14:textId="77777777">
        <w:trPr>
          <w:trHeight w:val="313"/>
        </w:trPr>
        <w:tc>
          <w:tcPr>
            <w:tcW w:w="709" w:type="dxa"/>
            <w:shd w:val="clear" w:color="auto" w:fill="C6EFCE"/>
          </w:tcPr>
          <w:p w14:paraId="50B4F369" w14:textId="4162EBC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D27G</w:t>
            </w:r>
          </w:p>
        </w:tc>
        <w:tc>
          <w:tcPr>
            <w:tcW w:w="2126" w:type="dxa"/>
            <w:shd w:val="clear" w:color="auto" w:fill="C6EFCE"/>
          </w:tcPr>
          <w:p w14:paraId="2B41DFD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D2.1 De juiste voorwaarden scheppen voor een toename van het aantal medisch personeel</w:t>
            </w:r>
          </w:p>
        </w:tc>
        <w:tc>
          <w:tcPr>
            <w:tcW w:w="1050" w:type="dxa"/>
            <w:shd w:val="clear" w:color="auto" w:fill="C6EFCE"/>
          </w:tcPr>
          <w:p w14:paraId="02F459E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785" w:type="dxa"/>
            <w:shd w:val="clear" w:color="auto" w:fill="C6EFCE"/>
          </w:tcPr>
          <w:p w14:paraId="217FD1DD" w14:textId="57696ADE"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themeColor="text1"/>
                <w:sz w:val="18"/>
              </w:rPr>
              <w:t xml:space="preserve">Inwerkingtreding van rechtshandelingen die tot doel hebben medische banen en arbeidsomstandigheden voor medisch personeel aantrekkelijker te maken </w:t>
            </w:r>
          </w:p>
        </w:tc>
        <w:tc>
          <w:tcPr>
            <w:tcW w:w="1560" w:type="dxa"/>
            <w:shd w:val="clear" w:color="auto" w:fill="C6EFCE"/>
          </w:tcPr>
          <w:p w14:paraId="199D6A0D" w14:textId="02A2BD9E"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Bepalingen in de rechtshandelingen die de inwerkingtreding ervan aangeven </w:t>
            </w:r>
          </w:p>
        </w:tc>
        <w:tc>
          <w:tcPr>
            <w:tcW w:w="1247" w:type="dxa"/>
            <w:shd w:val="clear" w:color="auto" w:fill="C6EFCE"/>
          </w:tcPr>
          <w:p w14:paraId="7A4AC70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76" w:type="dxa"/>
            <w:shd w:val="clear" w:color="auto" w:fill="C6EFCE"/>
          </w:tcPr>
          <w:p w14:paraId="247833C9"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850" w:type="dxa"/>
            <w:shd w:val="clear" w:color="auto" w:fill="C6EFCE"/>
          </w:tcPr>
          <w:p w14:paraId="330658F9"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3" w:type="dxa"/>
            <w:shd w:val="clear" w:color="auto" w:fill="C6EFCE"/>
          </w:tcPr>
          <w:p w14:paraId="638E572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708" w:type="dxa"/>
            <w:shd w:val="clear" w:color="auto" w:fill="C6EFCE"/>
          </w:tcPr>
          <w:p w14:paraId="2765A41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3544" w:type="dxa"/>
            <w:shd w:val="clear" w:color="auto" w:fill="C6EFCE"/>
          </w:tcPr>
          <w:p w14:paraId="3C252123" w14:textId="41DF9994"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themeColor="text1"/>
                <w:sz w:val="18"/>
              </w:rPr>
              <w:t xml:space="preserve">Een pakket rechtshandelingen treedt in werking en bestaat uit een verordening betreffende de beroepsbekwaamheid van artsen en tandartsen, een wijziging van de verordening inzake postdoctorale stages voor artsen en tandartsen, een wijziging van de verordening betreffende het kerncurriculum voor het onderwijs in beroepen in het beroepsonderwijs, een wijziging van de wet inzake de methode voor de vaststelling van het laagste basissalaris van bepaalde werknemers die werkzaam zijn in gezondheidszorginstellingen, met inbegrip van bepalingen inzake: </w:t>
            </w:r>
            <w:r>
              <w:rPr>
                <w:noProof/>
              </w:rPr>
              <w:t xml:space="preserve"> </w:t>
            </w:r>
            <w:r>
              <w:rPr>
                <w:noProof/>
              </w:rPr>
              <w:br/>
            </w:r>
            <w:r>
              <w:rPr>
                <w:rStyle w:val="normaltextrun"/>
                <w:rFonts w:ascii="Times New Roman" w:hAnsi="Times New Roman"/>
                <w:noProof/>
                <w:color w:val="000000" w:themeColor="text1"/>
                <w:sz w:val="18"/>
              </w:rPr>
              <w:t xml:space="preserve">1) de flexibiliteit van het postdoctorale medische onderwijs vergroten door het aantal specialisaties ten gunste van gecertificeerde medische vaardigheden te verminderen en het postdoctorale stageprogramma te wijzigen; </w:t>
            </w:r>
            <w:r>
              <w:rPr>
                <w:noProof/>
              </w:rPr>
              <w:t xml:space="preserve"> </w:t>
            </w:r>
            <w:r>
              <w:rPr>
                <w:noProof/>
              </w:rPr>
              <w:br/>
              <w:t xml:space="preserve"> </w:t>
            </w:r>
            <w:r>
              <w:rPr>
                <w:rStyle w:val="normaltextrun"/>
                <w:rFonts w:ascii="Times New Roman" w:hAnsi="Times New Roman"/>
                <w:noProof/>
                <w:color w:val="000000" w:themeColor="text1"/>
                <w:sz w:val="18"/>
              </w:rPr>
              <w:t xml:space="preserve">2) invoering van een centraal systeem voor het in aanmerking nemen en toewijzen van specialisatieplaatsen; </w:t>
            </w:r>
            <w:r>
              <w:rPr>
                <w:noProof/>
              </w:rPr>
              <w:t xml:space="preserve"> </w:t>
            </w:r>
            <w:r>
              <w:rPr>
                <w:noProof/>
              </w:rPr>
              <w:br/>
              <w:t xml:space="preserve"> </w:t>
            </w:r>
            <w:r>
              <w:rPr>
                <w:rStyle w:val="normaltextrun"/>
                <w:rFonts w:ascii="Times New Roman" w:hAnsi="Times New Roman"/>
                <w:noProof/>
                <w:color w:val="000000" w:themeColor="text1"/>
                <w:sz w:val="18"/>
              </w:rPr>
              <w:t xml:space="preserve">3) verlichting van artsen door het organiseren van gespecialiseerde opleidingen op het gebied van operationele steun voor verpleegkundigen en paramedisch personeel; </w:t>
            </w:r>
            <w:r>
              <w:rPr>
                <w:noProof/>
              </w:rPr>
              <w:t xml:space="preserve"> </w:t>
            </w:r>
            <w:r>
              <w:rPr>
                <w:noProof/>
              </w:rPr>
              <w:br/>
              <w:t xml:space="preserve"> </w:t>
            </w:r>
            <w:r>
              <w:rPr>
                <w:rStyle w:val="normaltextrun"/>
                <w:rFonts w:ascii="Times New Roman" w:hAnsi="Times New Roman"/>
                <w:noProof/>
                <w:color w:val="000000" w:themeColor="text1"/>
                <w:sz w:val="18"/>
              </w:rPr>
              <w:t xml:space="preserve">4) aanpassing van het laagste basissalaris van werknemers in de gezondheidszorg door verhoging van de arbeidsdeelname voor alle beroepsgroepen als bedoeld in de wet van 8 juni 2017, en door de eis dat alle medische instellingen met een half jaar moeten voldoen aan de wettelijk gegarandeerde basissalarissen van medisch personeel: artsen, tandartsen, artsen in opleiding en tandartsen, verpleegkundigen, verloskundigen, laboratoriumdiagnostici, fysiotherapeuten, apothekers en andere medische beroepsbeoefenaren, en </w:t>
            </w:r>
            <w:r>
              <w:rPr>
                <w:noProof/>
              </w:rPr>
              <w:t xml:space="preserve"> </w:t>
            </w:r>
            <w:r>
              <w:rPr>
                <w:noProof/>
              </w:rPr>
              <w:br/>
              <w:t xml:space="preserve"> </w:t>
            </w:r>
            <w:r>
              <w:rPr>
                <w:rStyle w:val="normaltextrun"/>
                <w:rFonts w:ascii="Times New Roman" w:hAnsi="Times New Roman"/>
                <w:noProof/>
                <w:color w:val="000000" w:themeColor="text1"/>
                <w:sz w:val="18"/>
              </w:rPr>
              <w:t xml:space="preserve">5) overdracht van bepaalde competenties van verpleegkundigen naar medische zorgverleners. </w:t>
            </w:r>
          </w:p>
        </w:tc>
      </w:tr>
      <w:tr w:rsidR="00480F1C" w14:paraId="74629431" w14:textId="77777777">
        <w:trPr>
          <w:trHeight w:val="313"/>
        </w:trPr>
        <w:tc>
          <w:tcPr>
            <w:tcW w:w="709" w:type="dxa"/>
            <w:shd w:val="clear" w:color="auto" w:fill="C6EFCE"/>
          </w:tcPr>
          <w:p w14:paraId="2FFB8B9D" w14:textId="0AFC090A"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D28G</w:t>
            </w:r>
          </w:p>
        </w:tc>
        <w:tc>
          <w:tcPr>
            <w:tcW w:w="2126" w:type="dxa"/>
            <w:shd w:val="clear" w:color="auto" w:fill="C6EFCE"/>
          </w:tcPr>
          <w:p w14:paraId="04286F1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D2.1 De juiste voorwaarden scheppen voor een toename van het aantal medisch personeel</w:t>
            </w:r>
          </w:p>
        </w:tc>
        <w:tc>
          <w:tcPr>
            <w:tcW w:w="1050" w:type="dxa"/>
            <w:shd w:val="clear" w:color="auto" w:fill="C6EFCE"/>
          </w:tcPr>
          <w:p w14:paraId="674DC5D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785" w:type="dxa"/>
            <w:shd w:val="clear" w:color="auto" w:fill="C6EFCE"/>
          </w:tcPr>
          <w:p w14:paraId="3FADA98F" w14:textId="749CB07A"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Aantal artsen en tandartsen die een certificaat hebben verkregen waarin hun medische beroepsbekwaamheid wordt bevestigd  </w:t>
            </w:r>
          </w:p>
        </w:tc>
        <w:tc>
          <w:tcPr>
            <w:tcW w:w="1560" w:type="dxa"/>
            <w:shd w:val="clear" w:color="auto" w:fill="C6EFCE"/>
          </w:tcPr>
          <w:p w14:paraId="5614715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47" w:type="dxa"/>
            <w:shd w:val="clear" w:color="auto" w:fill="C6EFCE"/>
          </w:tcPr>
          <w:p w14:paraId="07CA32F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276" w:type="dxa"/>
            <w:shd w:val="clear" w:color="auto" w:fill="C6EFCE"/>
          </w:tcPr>
          <w:p w14:paraId="37047F10"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850" w:type="dxa"/>
            <w:shd w:val="clear" w:color="auto" w:fill="C6EFCE"/>
          </w:tcPr>
          <w:p w14:paraId="1DEE1267"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54 000</w:t>
            </w:r>
          </w:p>
        </w:tc>
        <w:tc>
          <w:tcPr>
            <w:tcW w:w="993" w:type="dxa"/>
            <w:shd w:val="clear" w:color="auto" w:fill="C6EFCE"/>
          </w:tcPr>
          <w:p w14:paraId="523348DD" w14:textId="43302F7D"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708" w:type="dxa"/>
            <w:shd w:val="clear" w:color="auto" w:fill="C6EFCE"/>
          </w:tcPr>
          <w:p w14:paraId="526E180C" w14:textId="2A9AA1BB"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544" w:type="dxa"/>
            <w:shd w:val="clear" w:color="auto" w:fill="C6EFCE"/>
          </w:tcPr>
          <w:p w14:paraId="6998F739" w14:textId="08D0EF8F"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54 000 artsen en tandartsen ontvangen een certificaat waarin hun aanvullende medische beroepsbekwaamheid wordt bevestigd. Het getuigschrift van beroepskwalificaties wordt afgegeven door een nationale wetenschappelijke vereniging of een staatsonderzoeksinstelling die geschikt is voor een bepaalde beroepsbekwaamheid en is ingeschreven in het register dat wordt bijgehouden door de directeur van het Medisch Centrum voor postdoctoraal onderwijs.  </w:t>
            </w:r>
          </w:p>
        </w:tc>
      </w:tr>
      <w:tr w:rsidR="00480F1C" w14:paraId="0B684F56" w14:textId="77777777">
        <w:trPr>
          <w:trHeight w:val="313"/>
        </w:trPr>
        <w:tc>
          <w:tcPr>
            <w:tcW w:w="709" w:type="dxa"/>
            <w:shd w:val="clear" w:color="auto" w:fill="C6EFCE"/>
          </w:tcPr>
          <w:p w14:paraId="6F789D83" w14:textId="01F36CA6"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D29G</w:t>
            </w:r>
          </w:p>
        </w:tc>
        <w:tc>
          <w:tcPr>
            <w:tcW w:w="2126" w:type="dxa"/>
            <w:shd w:val="clear" w:color="auto" w:fill="C6EFCE"/>
          </w:tcPr>
          <w:p w14:paraId="09147DC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D2.1.1 Investeringen in verband met de modernisering en aanpassing van onderwijsvoorzieningen met het oog op een verhoging van de toelatingsgrenzen voor medische studies</w:t>
            </w:r>
          </w:p>
        </w:tc>
        <w:tc>
          <w:tcPr>
            <w:tcW w:w="1050" w:type="dxa"/>
            <w:shd w:val="clear" w:color="auto" w:fill="C6EFCE"/>
          </w:tcPr>
          <w:p w14:paraId="5F01984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785" w:type="dxa"/>
            <w:shd w:val="clear" w:color="auto" w:fill="C6EFCE"/>
          </w:tcPr>
          <w:p w14:paraId="3DFCDAD6" w14:textId="4A431C7C"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themeColor="text1"/>
                <w:sz w:val="18"/>
              </w:rPr>
              <w:t xml:space="preserve">Inwerkingtreding van een rechtshandeling tot vaststelling van een systeem van stimulansen voor het volgen en voortzetten van studies in geselecteerde medische faculteiten door middel van studiebeurzen, studiefinanciering en mentorschap </w:t>
            </w:r>
          </w:p>
        </w:tc>
        <w:tc>
          <w:tcPr>
            <w:tcW w:w="1560" w:type="dxa"/>
            <w:shd w:val="clear" w:color="auto" w:fill="C6EFCE"/>
          </w:tcPr>
          <w:p w14:paraId="508CBEEF" w14:textId="765D6B91"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Bepaling in de rechtshandeling die de inwerkingtreding ervan aangeeft</w:t>
            </w:r>
          </w:p>
        </w:tc>
        <w:tc>
          <w:tcPr>
            <w:tcW w:w="1247" w:type="dxa"/>
            <w:shd w:val="clear" w:color="auto" w:fill="C6EFCE"/>
          </w:tcPr>
          <w:p w14:paraId="4D701FE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76" w:type="dxa"/>
            <w:shd w:val="clear" w:color="auto" w:fill="C6EFCE"/>
          </w:tcPr>
          <w:p w14:paraId="54774FB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50" w:type="dxa"/>
            <w:shd w:val="clear" w:color="auto" w:fill="C6EFCE"/>
          </w:tcPr>
          <w:p w14:paraId="656676E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shd w:val="clear" w:color="auto" w:fill="C6EFCE"/>
          </w:tcPr>
          <w:p w14:paraId="7A63770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708" w:type="dxa"/>
            <w:shd w:val="clear" w:color="auto" w:fill="C6EFCE"/>
          </w:tcPr>
          <w:p w14:paraId="1C1FF50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3544" w:type="dxa"/>
            <w:shd w:val="clear" w:color="auto" w:fill="C6EFCE"/>
          </w:tcPr>
          <w:p w14:paraId="38FF936F" w14:textId="119A6110" w:rsidR="00480F1C" w:rsidRDefault="00A201F6">
            <w:pPr>
              <w:pStyle w:val="Normal0"/>
              <w:pBdr>
                <w:top w:val="nil"/>
                <w:left w:val="nil"/>
                <w:bottom w:val="nil"/>
                <w:right w:val="nil"/>
                <w:between w:val="nil"/>
              </w:pBdr>
              <w:spacing w:after="0" w:line="240" w:lineRule="auto"/>
              <w:rPr>
                <w:rFonts w:ascii="Times New Roman" w:hAnsi="Times New Roman" w:cs="Times New Roman"/>
                <w:noProof/>
                <w:color w:val="000000" w:themeColor="text1"/>
                <w:sz w:val="18"/>
              </w:rPr>
            </w:pPr>
            <w:r>
              <w:rPr>
                <w:rStyle w:val="normaltextrun"/>
                <w:rFonts w:ascii="Times New Roman" w:hAnsi="Times New Roman"/>
                <w:noProof/>
                <w:color w:val="000000" w:themeColor="text1"/>
                <w:sz w:val="18"/>
              </w:rPr>
              <w:t xml:space="preserve">De rechtshandeling tot invoering van het tijdelijke systeem van stimulansen om medische studies aantrekkelijker te maken, omvat de mogelijkheid om: </w:t>
            </w:r>
            <w:r>
              <w:rPr>
                <w:noProof/>
              </w:rPr>
              <w:t xml:space="preserve"> </w:t>
            </w:r>
            <w:r>
              <w:rPr>
                <w:noProof/>
              </w:rPr>
              <w:br/>
            </w:r>
            <w:r>
              <w:rPr>
                <w:rStyle w:val="normaltextrun"/>
                <w:rFonts w:ascii="Times New Roman" w:hAnsi="Times New Roman"/>
                <w:noProof/>
                <w:color w:val="000000" w:themeColor="text1"/>
                <w:sz w:val="18"/>
              </w:rPr>
              <w:t>— toekenning van beurzen, medefinanciering van betaalde studies en financiering van mentorschap voor studenten verpleegkundige, verloskundige en medische spoedhulp; en het</w:t>
            </w:r>
            <w:r>
              <w:rPr>
                <w:noProof/>
              </w:rPr>
              <w:t xml:space="preserve"> </w:t>
            </w:r>
            <w:r>
              <w:rPr>
                <w:noProof/>
              </w:rPr>
              <w:br/>
              <w:t xml:space="preserve"> </w:t>
            </w:r>
            <w:r>
              <w:rPr>
                <w:rStyle w:val="normaltextrun"/>
                <w:rFonts w:ascii="Times New Roman" w:hAnsi="Times New Roman"/>
                <w:noProof/>
                <w:color w:val="000000" w:themeColor="text1"/>
                <w:sz w:val="18"/>
              </w:rPr>
              <w:t xml:space="preserve">— toekenning van beurzen voor studenten op het gebied van geneeskunde, geneeskunde en tandheelkunde, medische analyse, farmacie en fysiotherapie. </w:t>
            </w:r>
            <w:r>
              <w:rPr>
                <w:noProof/>
              </w:rPr>
              <w:t xml:space="preserve"> </w:t>
            </w:r>
            <w:r>
              <w:rPr>
                <w:noProof/>
              </w:rPr>
              <w:br/>
            </w:r>
            <w:r>
              <w:rPr>
                <w:rStyle w:val="normaltextrun"/>
                <w:rFonts w:ascii="Times New Roman" w:hAnsi="Times New Roman"/>
                <w:noProof/>
                <w:color w:val="000000" w:themeColor="text1"/>
                <w:sz w:val="18"/>
              </w:rPr>
              <w:t xml:space="preserve">De rechtshandeling tot invoering van het systeem bevat een verplichting om de prestaties van het systeem aan het einde van de RRF-periode te evalueren en het effect van de uitgevoerde stimuleringsregeling op het aantal studenten in het onderwijs te analyseren, teneinde een besluit te nemen over de eventuele hervatting ervan. </w:t>
            </w:r>
          </w:p>
        </w:tc>
      </w:tr>
      <w:tr w:rsidR="00480F1C" w14:paraId="1628D8B8" w14:textId="77777777">
        <w:trPr>
          <w:trHeight w:val="313"/>
        </w:trPr>
        <w:tc>
          <w:tcPr>
            <w:tcW w:w="709" w:type="dxa"/>
            <w:shd w:val="clear" w:color="auto" w:fill="C6EFCE"/>
          </w:tcPr>
          <w:p w14:paraId="1685C624" w14:textId="729BCFA1"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D30G</w:t>
            </w:r>
          </w:p>
        </w:tc>
        <w:tc>
          <w:tcPr>
            <w:tcW w:w="2126" w:type="dxa"/>
            <w:shd w:val="clear" w:color="auto" w:fill="C6EFCE"/>
          </w:tcPr>
          <w:p w14:paraId="6F974A8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D2.1.1 Investeringen in verband met de modernisering en aanpassing van onderwijsvoorzieningen met het oog op een verhoging van de toelatingsgrenzen voor medische studies</w:t>
            </w:r>
          </w:p>
        </w:tc>
        <w:tc>
          <w:tcPr>
            <w:tcW w:w="1050" w:type="dxa"/>
            <w:shd w:val="clear" w:color="auto" w:fill="C6EFCE"/>
          </w:tcPr>
          <w:p w14:paraId="45ED570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785" w:type="dxa"/>
            <w:shd w:val="clear" w:color="auto" w:fill="C6EFCE"/>
          </w:tcPr>
          <w:p w14:paraId="225D49DA" w14:textId="3270FAD2"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Aantal studenten verpleegkunde, verloskundige, spoedeisende medische diensten, geneeskunde, tandheelkunde, medische analyse, fysiotherapie en farmacie die een beurs hebben ontvangen en studenten of afgestudeerden van verpleegkundige, verloskundige, medische nooddiensten die onder een beurs, medefinanciering of mentoring vallen </w:t>
            </w:r>
          </w:p>
        </w:tc>
        <w:tc>
          <w:tcPr>
            <w:tcW w:w="1560" w:type="dxa"/>
            <w:shd w:val="clear" w:color="auto" w:fill="C6EFCE"/>
          </w:tcPr>
          <w:p w14:paraId="0D5A459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47" w:type="dxa"/>
            <w:shd w:val="clear" w:color="auto" w:fill="C6EFCE"/>
          </w:tcPr>
          <w:p w14:paraId="7F113AA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276" w:type="dxa"/>
            <w:shd w:val="clear" w:color="auto" w:fill="C6EFCE"/>
          </w:tcPr>
          <w:p w14:paraId="68C27B80"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850" w:type="dxa"/>
            <w:shd w:val="clear" w:color="auto" w:fill="C6EFCE"/>
          </w:tcPr>
          <w:p w14:paraId="4578083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25 400</w:t>
            </w:r>
          </w:p>
        </w:tc>
        <w:tc>
          <w:tcPr>
            <w:tcW w:w="993" w:type="dxa"/>
            <w:shd w:val="clear" w:color="auto" w:fill="C6EFCE"/>
          </w:tcPr>
          <w:p w14:paraId="0F5698A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708" w:type="dxa"/>
            <w:shd w:val="clear" w:color="auto" w:fill="C6EFCE"/>
          </w:tcPr>
          <w:p w14:paraId="3F3B07B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544" w:type="dxa"/>
            <w:shd w:val="clear" w:color="auto" w:fill="C6EFCE"/>
          </w:tcPr>
          <w:p w14:paraId="71AC6EAD" w14:textId="77777777" w:rsidR="00480F1C" w:rsidRDefault="00A201F6">
            <w:pPr>
              <w:pStyle w:val="paragraph"/>
              <w:spacing w:before="0" w:beforeAutospacing="0" w:after="0" w:afterAutospacing="0"/>
              <w:textAlignment w:val="baseline"/>
              <w:rPr>
                <w:rStyle w:val="scxw147420095"/>
                <w:noProof/>
                <w:color w:val="000000" w:themeColor="text1"/>
                <w:sz w:val="18"/>
              </w:rPr>
            </w:pPr>
            <w:r>
              <w:rPr>
                <w:rStyle w:val="normaltextrun"/>
                <w:noProof/>
                <w:color w:val="000000" w:themeColor="text1"/>
                <w:sz w:val="18"/>
              </w:rPr>
              <w:t xml:space="preserve">25 400 studenten en afgestudeerden hebben steun ontvangen op basis van het „Systeem van stimulansen voor het volgen en voortzetten van studies in geselecteerde medische faculteiten door middel van beurzen, studiefinanciering en mentorschap”, in de vorm van ten minste een van de volgende vormen: </w:t>
            </w:r>
            <w:r>
              <w:rPr>
                <w:noProof/>
              </w:rPr>
              <w:t xml:space="preserve"> </w:t>
            </w:r>
            <w:r>
              <w:rPr>
                <w:noProof/>
              </w:rPr>
              <w:br/>
            </w:r>
            <w:r>
              <w:rPr>
                <w:rStyle w:val="normaltextrun"/>
                <w:noProof/>
                <w:color w:val="000000" w:themeColor="text1"/>
                <w:sz w:val="18"/>
              </w:rPr>
              <w:t xml:space="preserve">— een beurs voor een voltooide studiecyclus van drie jaar, medefinanciering voor een voltooide eerste studiecyclus of aanstelling van een mentor, voor studenten verpleegkunde, verloskundigen en medische noodstudenten, of </w:t>
            </w:r>
          </w:p>
          <w:p w14:paraId="3D8DBB06" w14:textId="0123E484" w:rsidR="00480F1C" w:rsidRDefault="00A201F6">
            <w:pPr>
              <w:pStyle w:val="paragraph"/>
              <w:spacing w:before="0" w:beforeAutospacing="0" w:after="0" w:afterAutospacing="0"/>
              <w:textAlignment w:val="baseline"/>
              <w:rPr>
                <w:noProof/>
                <w:sz w:val="18"/>
              </w:rPr>
            </w:pPr>
            <w:r>
              <w:rPr>
                <w:noProof/>
                <w:sz w:val="18"/>
              </w:rPr>
              <w:t>— aanstelling van een mentor voor afgestudeerden in de verpleegkunde, verloskunde en paramedicijnen, of</w:t>
            </w:r>
            <w:r>
              <w:rPr>
                <w:noProof/>
              </w:rPr>
              <w:t xml:space="preserve"> </w:t>
            </w:r>
            <w:r>
              <w:rPr>
                <w:noProof/>
              </w:rPr>
              <w:br/>
            </w:r>
            <w:r>
              <w:rPr>
                <w:rStyle w:val="normaltextrun"/>
                <w:noProof/>
                <w:color w:val="000000" w:themeColor="text1"/>
                <w:sz w:val="18"/>
              </w:rPr>
              <w:t xml:space="preserve">— een beurs voor een voltooide studieperiode van drie jaar voor studenten geneeskunde, tandheelkunde, medisch analist, fysiotherapie en farmacie. </w:t>
            </w:r>
            <w:r>
              <w:rPr>
                <w:noProof/>
              </w:rPr>
              <w:t xml:space="preserve"> </w:t>
            </w:r>
            <w:r>
              <w:rPr>
                <w:noProof/>
              </w:rPr>
              <w:br/>
            </w:r>
            <w:r>
              <w:rPr>
                <w:rStyle w:val="eop"/>
                <w:noProof/>
                <w:color w:val="000000" w:themeColor="text1"/>
                <w:sz w:val="18"/>
              </w:rPr>
              <w:t xml:space="preserve"> </w:t>
            </w:r>
          </w:p>
          <w:p w14:paraId="39497298" w14:textId="70FDE194"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4 400 studenten komen in aanmerking voor medefinanciering van studies in overeenstemming met het bovenstaande.  </w:t>
            </w:r>
            <w:r>
              <w:rPr>
                <w:noProof/>
              </w:rPr>
              <w:t xml:space="preserve"> </w:t>
            </w:r>
            <w:r>
              <w:rPr>
                <w:noProof/>
              </w:rPr>
              <w:br/>
            </w:r>
            <w:r>
              <w:rPr>
                <w:rStyle w:val="normaltextrun"/>
                <w:rFonts w:ascii="Times New Roman" w:hAnsi="Times New Roman"/>
                <w:noProof/>
                <w:color w:val="000000"/>
                <w:sz w:val="18"/>
              </w:rPr>
              <w:t xml:space="preserve">6 000 studenten komen in aanmerking voor een beurs in overeenstemming met het bovenstaande. </w:t>
            </w:r>
            <w:r>
              <w:rPr>
                <w:noProof/>
              </w:rPr>
              <w:t xml:space="preserve"> </w:t>
            </w:r>
            <w:r>
              <w:rPr>
                <w:noProof/>
              </w:rPr>
              <w:br/>
            </w:r>
            <w:r>
              <w:rPr>
                <w:rStyle w:val="normaltextrun"/>
                <w:rFonts w:ascii="Times New Roman" w:hAnsi="Times New Roman"/>
                <w:noProof/>
                <w:color w:val="000000"/>
                <w:sz w:val="18"/>
              </w:rPr>
              <w:t xml:space="preserve">Ten minste 15 000 studenten of afgestudeerden krijgen een mentor toegewezen in overeenstemming met het bovenstaande.  </w:t>
            </w:r>
          </w:p>
        </w:tc>
      </w:tr>
      <w:tr w:rsidR="00480F1C" w14:paraId="74AA8EDF" w14:textId="77777777">
        <w:trPr>
          <w:trHeight w:val="567"/>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6886912" w14:textId="5E793D96"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D31G</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436FD4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D2.1.1 Investeringen in verband met de modernisering en aanpassing van onderwijsvoorzieningen met het oog op een verhoging van de toelatingsgrenzen voor medische studies</w:t>
            </w:r>
          </w:p>
        </w:tc>
        <w:tc>
          <w:tcPr>
            <w:tcW w:w="10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6DFB46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EB695AE" w14:textId="27C32DF0"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Aantal gemoderniseerde onderwijsfaciliteiten voor preklinisch onderwijs (met inbegrip van medische simulatiecentra), aangepaste faciliteiten van de klinische basis die in het onderwijs in centrale klinische ziekenhuizen wordt gebruikt, gemoderniseerde bibliotheekinfrastructuur en studentenslaapzalen aan medische universiteiten </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D464CE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8076B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846B226"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A790F9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212</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FBA80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68E366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2025</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4E919A9" w14:textId="77777777" w:rsidR="00480F1C" w:rsidRDefault="00A201F6">
            <w:pPr>
              <w:pStyle w:val="paragraph"/>
              <w:spacing w:before="0" w:beforeAutospacing="0" w:after="0" w:afterAutospacing="0"/>
              <w:textAlignment w:val="baseline"/>
              <w:rPr>
                <w:noProof/>
                <w:sz w:val="18"/>
              </w:rPr>
            </w:pPr>
            <w:r>
              <w:rPr>
                <w:rStyle w:val="normaltextrun"/>
                <w:noProof/>
                <w:color w:val="000000"/>
                <w:sz w:val="18"/>
              </w:rPr>
              <w:t xml:space="preserve">212 projecten moeten worden voltooid, waaronder: </w:t>
            </w:r>
            <w:r>
              <w:rPr>
                <w:noProof/>
              </w:rPr>
              <w:t xml:space="preserve"> </w:t>
            </w:r>
            <w:r>
              <w:rPr>
                <w:noProof/>
              </w:rPr>
              <w:br/>
            </w:r>
            <w:r>
              <w:rPr>
                <w:rStyle w:val="normaltextrun"/>
                <w:noProof/>
                <w:color w:val="000000"/>
                <w:sz w:val="18"/>
              </w:rPr>
              <w:t xml:space="preserve">— renovatie, aanpassing van de didactische basis die wordt gebruikt voor preklinisch onderwijs en oprichting van nieuwe faciliteiten (waaronder medische simulatiecentra). 140 faciliteiten worden ondersteund (met inbegrip van de bouw van nieuwe); </w:t>
            </w:r>
          </w:p>
          <w:p w14:paraId="5D8A53C4" w14:textId="77777777" w:rsidR="00480F1C" w:rsidRDefault="00A201F6">
            <w:pPr>
              <w:pStyle w:val="paragraph"/>
              <w:spacing w:before="0" w:beforeAutospacing="0" w:after="0" w:afterAutospacing="0"/>
              <w:textAlignment w:val="baseline"/>
              <w:rPr>
                <w:noProof/>
                <w:sz w:val="18"/>
              </w:rPr>
            </w:pPr>
            <w:r>
              <w:rPr>
                <w:rStyle w:val="normaltextrun"/>
                <w:noProof/>
                <w:color w:val="000000"/>
                <w:sz w:val="18"/>
              </w:rPr>
              <w:t xml:space="preserve">— modernisering of totstandbrenging van een klinische basis voor de opleiding van studenten in centrale klinische ziekenhuizen (aanpassing van de werking van deze basis aan epidemiologische risicoomstandigheden, aansluiting van klinieken in andere medische entiteiten met centrale klinische ziekenhuizen, ontwikkeling van noodzakelijke klinieken in gebieden met een tekort, zoals infectieziekten en oncologie). 42 faciliteiten worden ondersteund; </w:t>
            </w:r>
          </w:p>
          <w:p w14:paraId="1EBC6B35" w14:textId="454BEAA3" w:rsidR="00480F1C" w:rsidRDefault="00A201F6">
            <w:pPr>
              <w:pStyle w:val="paragraph"/>
              <w:spacing w:before="0" w:beforeAutospacing="0" w:after="0" w:afterAutospacing="0"/>
              <w:textAlignment w:val="baseline"/>
              <w:rPr>
                <w:noProof/>
                <w:sz w:val="18"/>
              </w:rPr>
            </w:pPr>
            <w:r>
              <w:rPr>
                <w:rStyle w:val="normaltextrun"/>
                <w:noProof/>
                <w:color w:val="000000"/>
                <w:sz w:val="18"/>
              </w:rPr>
              <w:t xml:space="preserve">— renovatie van bibliotheken aan medische universiteiten om te zorgen voor contactvrij gebruik van bibliotheekmiddelen en veilige plaatsen voor zelfstudie. 3 projecten voor de renovatie van bibliotheken worden ondersteund; en het </w:t>
            </w:r>
            <w:r>
              <w:rPr>
                <w:noProof/>
              </w:rPr>
              <w:t xml:space="preserve"> </w:t>
            </w:r>
            <w:r>
              <w:rPr>
                <w:noProof/>
              </w:rPr>
              <w:br/>
            </w:r>
            <w:r>
              <w:rPr>
                <w:rStyle w:val="normaltextrun"/>
                <w:noProof/>
                <w:color w:val="000000"/>
                <w:sz w:val="18"/>
              </w:rPr>
              <w:t xml:space="preserve">— renovatie van studentenslaapzalen aan medische universiteiten om zich aan te passen aan de behoeften die voortvloeien uit de sanitaire eisen. 27 projecten voor de renovatie van studentenslaapzalen worden ondersteund.  </w:t>
            </w:r>
          </w:p>
          <w:p w14:paraId="3D69A466" w14:textId="77777777" w:rsidR="00480F1C" w:rsidRDefault="00A201F6">
            <w:pPr>
              <w:pStyle w:val="paragraph"/>
              <w:spacing w:before="0" w:beforeAutospacing="0" w:after="0" w:afterAutospacing="0"/>
              <w:textAlignment w:val="baseline"/>
              <w:rPr>
                <w:noProof/>
                <w:sz w:val="18"/>
              </w:rPr>
            </w:pPr>
            <w:r>
              <w:rPr>
                <w:rStyle w:val="eop"/>
                <w:noProof/>
                <w:color w:val="000000"/>
                <w:sz w:val="18"/>
              </w:rPr>
              <w:t xml:space="preserve"> </w:t>
            </w:r>
          </w:p>
          <w:p w14:paraId="18D4B639" w14:textId="77777777" w:rsidR="00480F1C" w:rsidRDefault="00A201F6">
            <w:pPr>
              <w:pStyle w:val="paragraph"/>
              <w:spacing w:before="0" w:beforeAutospacing="0" w:after="0" w:afterAutospacing="0"/>
              <w:textAlignment w:val="baseline"/>
              <w:rPr>
                <w:noProof/>
                <w:sz w:val="18"/>
              </w:rPr>
            </w:pPr>
            <w:r>
              <w:rPr>
                <w:rStyle w:val="normaltextrun"/>
                <w:noProof/>
                <w:color w:val="000000"/>
                <w:sz w:val="18"/>
              </w:rPr>
              <w:t xml:space="preserve">Er wordt geen rekening gehouden met de aankoop van grond. De projecten worden uitgevoerd op basis van aanbestedingen of open subsidiewedstrijden. De ontvangers worden op transparante en objectieve wijze geselecteerd. </w:t>
            </w:r>
          </w:p>
          <w:p w14:paraId="335F6207" w14:textId="77777777" w:rsidR="00480F1C" w:rsidRDefault="00A201F6">
            <w:pPr>
              <w:pStyle w:val="paragraph"/>
              <w:spacing w:before="0" w:beforeAutospacing="0" w:after="0" w:afterAutospacing="0"/>
              <w:textAlignment w:val="baseline"/>
              <w:rPr>
                <w:noProof/>
                <w:sz w:val="18"/>
              </w:rPr>
            </w:pPr>
            <w:r>
              <w:rPr>
                <w:rStyle w:val="eop"/>
                <w:noProof/>
                <w:color w:val="000000"/>
                <w:sz w:val="18"/>
              </w:rPr>
              <w:t xml:space="preserve"> </w:t>
            </w:r>
          </w:p>
          <w:p w14:paraId="7D6EAF54" w14:textId="59E60A16"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Style w:val="normaltextrun"/>
                <w:rFonts w:ascii="Times New Roman" w:hAnsi="Times New Roman"/>
                <w:noProof/>
                <w:color w:val="000000"/>
                <w:sz w:val="18"/>
              </w:rPr>
              <w:t xml:space="preserve">Elke subsidieovereenkomst bevat het ontvangen financiële bedrag en de details van het project. </w:t>
            </w:r>
          </w:p>
        </w:tc>
      </w:tr>
      <w:tr w:rsidR="00480F1C" w14:paraId="52BFD005" w14:textId="77777777">
        <w:trPr>
          <w:trHeight w:val="313"/>
        </w:trPr>
        <w:tc>
          <w:tcPr>
            <w:tcW w:w="709" w:type="dxa"/>
            <w:shd w:val="clear" w:color="auto" w:fill="C6EFCE"/>
          </w:tcPr>
          <w:p w14:paraId="71777008" w14:textId="6C3C9C33"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D32G</w:t>
            </w:r>
          </w:p>
        </w:tc>
        <w:tc>
          <w:tcPr>
            <w:tcW w:w="2126" w:type="dxa"/>
            <w:shd w:val="clear" w:color="auto" w:fill="C6EFCE"/>
          </w:tcPr>
          <w:p w14:paraId="45FA3F6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D3.1 Verbetering van de efficiëntie en kwaliteit van het gezondheidszorgstelsel door ondersteuning van het Poolse onderzoeks- en ontwikkelingspotentieel op het gebied van medische en gezondheidswetenschappen</w:t>
            </w:r>
          </w:p>
        </w:tc>
        <w:tc>
          <w:tcPr>
            <w:tcW w:w="1050" w:type="dxa"/>
            <w:shd w:val="clear" w:color="auto" w:fill="C6EFCE"/>
          </w:tcPr>
          <w:p w14:paraId="1EDA711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785" w:type="dxa"/>
            <w:shd w:val="clear" w:color="auto" w:fill="C6EFCE"/>
          </w:tcPr>
          <w:p w14:paraId="59B9E84F" w14:textId="1D782987"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Inwerkingtreding van de Wet klinische proeven geneesmiddelen voor menselijk gebruik </w:t>
            </w:r>
          </w:p>
        </w:tc>
        <w:tc>
          <w:tcPr>
            <w:tcW w:w="1560" w:type="dxa"/>
            <w:shd w:val="clear" w:color="auto" w:fill="C6EFCE"/>
          </w:tcPr>
          <w:p w14:paraId="26850E5C" w14:textId="54D0853E"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Bepaling in de wet betreffende de inwerkingtreding ervan </w:t>
            </w:r>
          </w:p>
        </w:tc>
        <w:tc>
          <w:tcPr>
            <w:tcW w:w="1247" w:type="dxa"/>
            <w:shd w:val="clear" w:color="auto" w:fill="C6EFCE"/>
          </w:tcPr>
          <w:p w14:paraId="5373853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76" w:type="dxa"/>
            <w:shd w:val="clear" w:color="auto" w:fill="C6EFCE"/>
          </w:tcPr>
          <w:p w14:paraId="5BE9AB8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50" w:type="dxa"/>
            <w:shd w:val="clear" w:color="auto" w:fill="C6EFCE"/>
          </w:tcPr>
          <w:p w14:paraId="08FC9E8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shd w:val="clear" w:color="auto" w:fill="C6EFCE"/>
          </w:tcPr>
          <w:p w14:paraId="4E1F1B2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708" w:type="dxa"/>
            <w:shd w:val="clear" w:color="auto" w:fill="C6EFCE"/>
          </w:tcPr>
          <w:p w14:paraId="3A69788C"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3544" w:type="dxa"/>
            <w:shd w:val="clear" w:color="auto" w:fill="C6EFCE"/>
          </w:tcPr>
          <w:p w14:paraId="376649D6" w14:textId="49439A9F" w:rsidR="00480F1C" w:rsidRDefault="00A201F6">
            <w:pPr>
              <w:pStyle w:val="paragraph"/>
              <w:spacing w:before="0" w:beforeAutospacing="0" w:after="0" w:afterAutospacing="0"/>
              <w:textAlignment w:val="baseline"/>
              <w:rPr>
                <w:noProof/>
                <w:sz w:val="18"/>
              </w:rPr>
            </w:pPr>
            <w:r>
              <w:rPr>
                <w:rStyle w:val="normaltextrun"/>
                <w:noProof/>
                <w:color w:val="000000"/>
                <w:sz w:val="18"/>
              </w:rPr>
              <w:t xml:space="preserve">De Wet klinische proeven geneesmiddelen voor menselijk gebruik treedt in werking en omvat:  </w:t>
            </w:r>
            <w:r>
              <w:rPr>
                <w:noProof/>
              </w:rPr>
              <w:t xml:space="preserve"> </w:t>
            </w:r>
            <w:r>
              <w:rPr>
                <w:noProof/>
              </w:rPr>
              <w:br/>
            </w:r>
            <w:r>
              <w:rPr>
                <w:rStyle w:val="normaltextrun"/>
                <w:noProof/>
                <w:color w:val="000000"/>
                <w:sz w:val="18"/>
              </w:rPr>
              <w:t xml:space="preserve">— transparante regels, en </w:t>
            </w:r>
            <w:r>
              <w:rPr>
                <w:noProof/>
              </w:rPr>
              <w:t xml:space="preserve"> </w:t>
            </w:r>
            <w:r>
              <w:rPr>
                <w:noProof/>
              </w:rPr>
              <w:br/>
              <w:t xml:space="preserve"> </w:t>
            </w:r>
            <w:r>
              <w:rPr>
                <w:rStyle w:val="normaltextrun"/>
                <w:noProof/>
                <w:color w:val="000000"/>
                <w:sz w:val="18"/>
              </w:rPr>
              <w:t xml:space="preserve">— Aanvullende faciliteiten en mechanismen om klinische proeven in Polen aan te moedigen en de kwaliteit en stroomlijning van klinische proeven in Polen te verbeteren.  </w:t>
            </w:r>
          </w:p>
          <w:p w14:paraId="239C8723" w14:textId="2C110A9B" w:rsidR="00480F1C" w:rsidRDefault="00A201F6">
            <w:pPr>
              <w:pStyle w:val="paragraph"/>
              <w:spacing w:before="0" w:beforeAutospacing="0" w:after="0" w:afterAutospacing="0"/>
              <w:textAlignment w:val="baseline"/>
              <w:rPr>
                <w:noProof/>
                <w:color w:val="006100"/>
                <w:sz w:val="18"/>
              </w:rPr>
            </w:pPr>
            <w:r>
              <w:rPr>
                <w:rStyle w:val="normaltextrun"/>
                <w:noProof/>
                <w:color w:val="000000"/>
                <w:sz w:val="18"/>
              </w:rPr>
              <w:t xml:space="preserve">Deze wet actualiseert tevens het rechtskader voor de biomedische sector in Polen in het algemeen, met inbegrip van onderzoek en ontwikkeling, voor zover een dergelijke actualisering noodzakelijk wordt geacht in het strategisch plan van de regering voor de ontwikkeling van de biomedische sector in Polen. </w:t>
            </w:r>
          </w:p>
        </w:tc>
      </w:tr>
      <w:tr w:rsidR="00480F1C" w14:paraId="03F7DDD2" w14:textId="77777777">
        <w:trPr>
          <w:trHeight w:val="313"/>
        </w:trPr>
        <w:tc>
          <w:tcPr>
            <w:tcW w:w="709" w:type="dxa"/>
            <w:shd w:val="clear" w:color="auto" w:fill="C6EFCE"/>
          </w:tcPr>
          <w:p w14:paraId="79B6DC27" w14:textId="62AC941F"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D33G</w:t>
            </w:r>
          </w:p>
        </w:tc>
        <w:tc>
          <w:tcPr>
            <w:tcW w:w="2126" w:type="dxa"/>
            <w:shd w:val="clear" w:color="auto" w:fill="C6EFCE"/>
          </w:tcPr>
          <w:p w14:paraId="1BC6E36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D3.1 Verbetering van de efficiëntie en kwaliteit van het gezondheidszorgstelsel door ondersteuning van het Poolse onderzoeks- en ontwikkelingspotentieel op het gebied van medische en gezondheidswetenschappen</w:t>
            </w:r>
          </w:p>
        </w:tc>
        <w:tc>
          <w:tcPr>
            <w:tcW w:w="1050" w:type="dxa"/>
            <w:shd w:val="clear" w:color="auto" w:fill="C6EFCE"/>
          </w:tcPr>
          <w:p w14:paraId="5E453D8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785" w:type="dxa"/>
            <w:shd w:val="clear" w:color="auto" w:fill="C6EFCE"/>
          </w:tcPr>
          <w:p w14:paraId="2E42DBAD" w14:textId="4E2FF723"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Inwerkingtreding of uitvoering van de kernacties die zijn gespecificeerd in het strategisch plan voor de ontwikkeling van de biomedische sector van de regering, overeenkomstig het tijdschema van het strategisch plan </w:t>
            </w:r>
          </w:p>
        </w:tc>
        <w:tc>
          <w:tcPr>
            <w:tcW w:w="1560" w:type="dxa"/>
            <w:shd w:val="clear" w:color="auto" w:fill="C6EFCE"/>
          </w:tcPr>
          <w:p w14:paraId="7114167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Bepalingen in de onderliggende documenten waaruit de inwerkingtreding of de uitvoering ervan blijkt, afhankelijk van het soort kernacties dat in het strategisch plan is vastgesteld </w:t>
            </w:r>
          </w:p>
        </w:tc>
        <w:tc>
          <w:tcPr>
            <w:tcW w:w="1247" w:type="dxa"/>
            <w:shd w:val="clear" w:color="auto" w:fill="C6EFCE"/>
          </w:tcPr>
          <w:p w14:paraId="73A0376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76" w:type="dxa"/>
            <w:shd w:val="clear" w:color="auto" w:fill="C6EFCE"/>
          </w:tcPr>
          <w:p w14:paraId="24813A6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50" w:type="dxa"/>
            <w:shd w:val="clear" w:color="auto" w:fill="C6EFCE"/>
          </w:tcPr>
          <w:p w14:paraId="6EB7940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shd w:val="clear" w:color="auto" w:fill="C6EFCE"/>
          </w:tcPr>
          <w:p w14:paraId="4FA61C73" w14:textId="12ED777F"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708" w:type="dxa"/>
            <w:shd w:val="clear" w:color="auto" w:fill="C6EFCE"/>
          </w:tcPr>
          <w:p w14:paraId="552515F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3544" w:type="dxa"/>
            <w:shd w:val="clear" w:color="auto" w:fill="C6EFCE"/>
          </w:tcPr>
          <w:p w14:paraId="001F98EC" w14:textId="408854F0"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Acties die in het strategisch plan als „kernacties” zijn aangemerkt, treden in werking of worden uitgevoerd overeenkomstig het tijdschema in het strategisch plan en in de mate als bepaald in het strategisch plan. De aanneming van het strategisch plan zelf in de vorm van een resolutie van de ministerraad vindt plaats in 2022. De kernactiviteiten omvatten het ontwerp van het beheersysteem voor sectorale ontwikkeling, de eerste wedstrijden voor subsidies op prioritaire gebieden en de permanente monitoring van de Poolse biomedische markt. </w:t>
            </w:r>
          </w:p>
        </w:tc>
      </w:tr>
      <w:tr w:rsidR="00480F1C" w14:paraId="20435E28" w14:textId="77777777">
        <w:trPr>
          <w:trHeight w:val="313"/>
        </w:trPr>
        <w:tc>
          <w:tcPr>
            <w:tcW w:w="709" w:type="dxa"/>
            <w:shd w:val="clear" w:color="auto" w:fill="C6EFCE"/>
          </w:tcPr>
          <w:p w14:paraId="22AF83E7" w14:textId="11BB59E2"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D34G</w:t>
            </w:r>
          </w:p>
        </w:tc>
        <w:tc>
          <w:tcPr>
            <w:tcW w:w="2126" w:type="dxa"/>
            <w:shd w:val="clear" w:color="auto" w:fill="C6EFCE"/>
          </w:tcPr>
          <w:p w14:paraId="5261DEA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D3.1.1 Algemene ontwikkeling van onderzoek op het gebied van medische en gezondheidswetenschappen </w:t>
            </w:r>
          </w:p>
        </w:tc>
        <w:tc>
          <w:tcPr>
            <w:tcW w:w="1050" w:type="dxa"/>
            <w:shd w:val="clear" w:color="auto" w:fill="C6EFCE"/>
          </w:tcPr>
          <w:p w14:paraId="78E2078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785" w:type="dxa"/>
            <w:shd w:val="clear" w:color="auto" w:fill="C6EFCE"/>
          </w:tcPr>
          <w:p w14:paraId="7D9F5668" w14:textId="37AD3039"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Ingebruikneming van een elektronisch platform voor het Poolse netwerk van centra voor klinisch onderzoek </w:t>
            </w:r>
          </w:p>
        </w:tc>
        <w:tc>
          <w:tcPr>
            <w:tcW w:w="1560" w:type="dxa"/>
            <w:shd w:val="clear" w:color="auto" w:fill="C6EFCE"/>
          </w:tcPr>
          <w:p w14:paraId="0AC783A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Ingebruikneming van het platform voor het Poolse netwerk van centra voor klinisch onderzoek</w:t>
            </w:r>
          </w:p>
        </w:tc>
        <w:tc>
          <w:tcPr>
            <w:tcW w:w="1247" w:type="dxa"/>
            <w:shd w:val="clear" w:color="auto" w:fill="C6EFCE"/>
          </w:tcPr>
          <w:p w14:paraId="51F5F09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76" w:type="dxa"/>
            <w:shd w:val="clear" w:color="auto" w:fill="C6EFCE"/>
          </w:tcPr>
          <w:p w14:paraId="066B52B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50" w:type="dxa"/>
            <w:shd w:val="clear" w:color="auto" w:fill="C6EFCE"/>
          </w:tcPr>
          <w:p w14:paraId="0D4C31B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shd w:val="clear" w:color="auto" w:fill="C6EFCE"/>
          </w:tcPr>
          <w:p w14:paraId="019399A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708" w:type="dxa"/>
            <w:shd w:val="clear" w:color="auto" w:fill="C6EFCE"/>
          </w:tcPr>
          <w:p w14:paraId="49C0658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3544" w:type="dxa"/>
            <w:shd w:val="clear" w:color="auto" w:fill="C6EFCE"/>
          </w:tcPr>
          <w:p w14:paraId="2F5F1A62" w14:textId="39FDC24E"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Het elektronische platform wordt operationeel om de communicatie tussen de leden van het netwerk, met inbegrip van commerciële en niet-commerciële klinische onderzoekscentra, te vergemakkelijken. Het platform omvat instrumenten voor de coördinatie van de netwerkexploitatie, een centraal register voor klinische proeven die in Polen worden uitgevoerd, een zoekmachine waarmee klinische proeven kunnen worden geïdentificeerd, een website die gebruik maakt van bovengenoemde zoekmachine voor patiënten die de mogelijkheid zoeken om deel te nemen aan klinische proeven, en een zoekmachine voor professionals die klinische proeven ontwikkelen of uitvoeren. </w:t>
            </w:r>
          </w:p>
        </w:tc>
      </w:tr>
      <w:tr w:rsidR="00480F1C" w14:paraId="4E3AA948" w14:textId="77777777">
        <w:trPr>
          <w:trHeight w:val="313"/>
        </w:trPr>
        <w:tc>
          <w:tcPr>
            <w:tcW w:w="709" w:type="dxa"/>
            <w:shd w:val="clear" w:color="auto" w:fill="C6EFCE"/>
          </w:tcPr>
          <w:p w14:paraId="27F47661" w14:textId="5B73E6CD"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D35G</w:t>
            </w:r>
          </w:p>
        </w:tc>
        <w:tc>
          <w:tcPr>
            <w:tcW w:w="2126" w:type="dxa"/>
            <w:shd w:val="clear" w:color="auto" w:fill="C6EFCE"/>
          </w:tcPr>
          <w:p w14:paraId="7E22B60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D3.1.1 Algemene ontwikkeling van onderzoek op het gebied van medische en gezondheidswetenschappen </w:t>
            </w:r>
          </w:p>
        </w:tc>
        <w:tc>
          <w:tcPr>
            <w:tcW w:w="1050" w:type="dxa"/>
            <w:shd w:val="clear" w:color="auto" w:fill="C6EFCE"/>
          </w:tcPr>
          <w:p w14:paraId="227B542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785" w:type="dxa"/>
            <w:shd w:val="clear" w:color="auto" w:fill="C6EFCE"/>
          </w:tcPr>
          <w:p w14:paraId="69C1BF6D" w14:textId="00412685"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Oprichting van een gespecialiseerd centrum voor onderzoek en analyse  </w:t>
            </w:r>
          </w:p>
        </w:tc>
        <w:tc>
          <w:tcPr>
            <w:tcW w:w="1560" w:type="dxa"/>
            <w:shd w:val="clear" w:color="auto" w:fill="C6EFCE"/>
          </w:tcPr>
          <w:p w14:paraId="62B8F7B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Eindverslag over de voltooiing van de bouw van het onderzoeks- en analysecentrum, met inbegrip van ten minste 41 biobeveiligingslaboratoria en een opleidingsgebied met een campus</w:t>
            </w:r>
          </w:p>
        </w:tc>
        <w:tc>
          <w:tcPr>
            <w:tcW w:w="1247" w:type="dxa"/>
            <w:shd w:val="clear" w:color="auto" w:fill="C6EFCE"/>
          </w:tcPr>
          <w:p w14:paraId="0CA2BED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76" w:type="dxa"/>
            <w:shd w:val="clear" w:color="auto" w:fill="C6EFCE"/>
          </w:tcPr>
          <w:p w14:paraId="57122C1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850" w:type="dxa"/>
            <w:shd w:val="clear" w:color="auto" w:fill="C6EFCE"/>
          </w:tcPr>
          <w:p w14:paraId="06F04CA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shd w:val="clear" w:color="auto" w:fill="C6EFCE"/>
          </w:tcPr>
          <w:p w14:paraId="1F155D4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708" w:type="dxa"/>
            <w:shd w:val="clear" w:color="auto" w:fill="C6EFCE"/>
          </w:tcPr>
          <w:p w14:paraId="1BE16FE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544" w:type="dxa"/>
            <w:shd w:val="clear" w:color="auto" w:fill="C6EFCE"/>
          </w:tcPr>
          <w:p w14:paraId="5E089D11" w14:textId="77777777" w:rsidR="00480F1C" w:rsidRDefault="00A201F6">
            <w:pPr>
              <w:pStyle w:val="paragraph"/>
              <w:spacing w:before="0" w:beforeAutospacing="0" w:after="0" w:afterAutospacing="0"/>
              <w:textAlignment w:val="baseline"/>
              <w:rPr>
                <w:noProof/>
                <w:sz w:val="18"/>
              </w:rPr>
            </w:pPr>
            <w:r>
              <w:rPr>
                <w:rStyle w:val="normaltextrun"/>
                <w:noProof/>
                <w:color w:val="000000"/>
                <w:sz w:val="18"/>
              </w:rPr>
              <w:t xml:space="preserve">De aanleg van de infrastructuur van het onderzoeks- en analysecentrum wordt voltooid. De voltooiing volgt op de bevestiging dat is voldaan aan de technische specificaties en contractuele verplichtingen van het overeenkomstig de nationale wet inzake overheidsopdrachten uitgevoerde project.  </w:t>
            </w:r>
          </w:p>
          <w:p w14:paraId="0B7E70E4" w14:textId="77777777" w:rsidR="00480F1C" w:rsidRDefault="00A201F6">
            <w:pPr>
              <w:pStyle w:val="paragraph"/>
              <w:spacing w:before="0" w:beforeAutospacing="0" w:after="0" w:afterAutospacing="0"/>
              <w:textAlignment w:val="baseline"/>
              <w:rPr>
                <w:noProof/>
                <w:sz w:val="18"/>
              </w:rPr>
            </w:pPr>
            <w:r>
              <w:rPr>
                <w:rStyle w:val="eop"/>
                <w:noProof/>
                <w:color w:val="000000"/>
                <w:sz w:val="18"/>
              </w:rPr>
              <w:t xml:space="preserve"> </w:t>
            </w:r>
          </w:p>
          <w:p w14:paraId="0CBD9AE5" w14:textId="7F8B40E6" w:rsidR="00480F1C" w:rsidRDefault="00A201F6">
            <w:pPr>
              <w:pStyle w:val="paragraph"/>
              <w:spacing w:before="0" w:beforeAutospacing="0" w:after="0" w:afterAutospacing="0"/>
              <w:textAlignment w:val="baseline"/>
              <w:rPr>
                <w:noProof/>
                <w:color w:val="000000"/>
                <w:sz w:val="18"/>
              </w:rPr>
            </w:pPr>
            <w:r>
              <w:rPr>
                <w:rStyle w:val="normaltextrun"/>
                <w:noProof/>
                <w:color w:val="000000"/>
                <w:sz w:val="18"/>
              </w:rPr>
              <w:t xml:space="preserve">De geleverde infrastructuur omvat: </w:t>
            </w:r>
            <w:r>
              <w:rPr>
                <w:noProof/>
              </w:rPr>
              <w:t xml:space="preserve"> </w:t>
            </w:r>
            <w:r>
              <w:rPr>
                <w:noProof/>
              </w:rPr>
              <w:br/>
            </w:r>
            <w:r>
              <w:rPr>
                <w:rStyle w:val="normaltextrun"/>
                <w:noProof/>
                <w:color w:val="000000"/>
                <w:sz w:val="18"/>
              </w:rPr>
              <w:t xml:space="preserve">— het centrum voor onderzoek en analyse, met de status van staatsonderzoeksinstituut van klasse A, dat eigendom is van het Nationaal Instituut voor Volksgezondheid NIH — Nationaal onderzoeksinstituut te ul. Powsińska 61/63 in Warschau, </w:t>
            </w:r>
          </w:p>
          <w:p w14:paraId="60EC0248" w14:textId="77777777" w:rsidR="00480F1C" w:rsidRDefault="00A201F6">
            <w:pPr>
              <w:pStyle w:val="paragraph"/>
              <w:spacing w:before="0" w:beforeAutospacing="0" w:after="0" w:afterAutospacing="0"/>
              <w:textAlignment w:val="baseline"/>
              <w:rPr>
                <w:noProof/>
                <w:sz w:val="18"/>
              </w:rPr>
            </w:pPr>
            <w:r>
              <w:rPr>
                <w:rStyle w:val="normaltextrun"/>
                <w:noProof/>
                <w:color w:val="000000"/>
                <w:sz w:val="18"/>
              </w:rPr>
              <w:t xml:space="preserve">— ten minste 41 laboratoria met bioveiligheidsniveaus, waaronder 20 BSL-1-laboratoria, 19 BSL-2-laboratoria, één BSL-3-laboratorium voor milieuonderzoek en één BSL-3 + laboratorium voor onderzoek naar menselijk materiaal, ook voor diagnostische doeleinden. Er wordt een samenwerkingsovereenkomst gesloten met een Europees biobeveiligingslaboratorium voor de capaciteitsopbouw van de nationale technische laboratoriumdeskundigen, en </w:t>
            </w:r>
          </w:p>
          <w:p w14:paraId="6810F0D1" w14:textId="416F7FE2" w:rsidR="00480F1C" w:rsidRDefault="00A201F6">
            <w:pPr>
              <w:pStyle w:val="paragraph"/>
              <w:spacing w:before="0" w:beforeAutospacing="0" w:after="0" w:afterAutospacing="0"/>
              <w:textAlignment w:val="baseline"/>
              <w:rPr>
                <w:noProof/>
                <w:color w:val="000000" w:themeColor="text1"/>
                <w:sz w:val="18"/>
              </w:rPr>
            </w:pPr>
            <w:r>
              <w:rPr>
                <w:rStyle w:val="normaltextrun"/>
                <w:noProof/>
                <w:color w:val="000000"/>
                <w:sz w:val="18"/>
              </w:rPr>
              <w:t> een campus van ongeveer 3 000 m</w:t>
            </w:r>
            <w:r>
              <w:rPr>
                <w:rStyle w:val="normaltextrun"/>
                <w:noProof/>
                <w:color w:val="000000"/>
                <w:sz w:val="18"/>
                <w:vertAlign w:val="superscript"/>
              </w:rPr>
              <w:t>2</w:t>
            </w:r>
            <w:r>
              <w:rPr>
                <w:rStyle w:val="normaltextrun"/>
                <w:noProof/>
                <w:color w:val="000000"/>
                <w:sz w:val="18"/>
              </w:rPr>
              <w:t xml:space="preserve"> voor opleiding. </w:t>
            </w:r>
          </w:p>
        </w:tc>
      </w:tr>
      <w:tr w:rsidR="00480F1C" w14:paraId="7E077E3A" w14:textId="77777777">
        <w:trPr>
          <w:trHeight w:val="313"/>
        </w:trPr>
        <w:tc>
          <w:tcPr>
            <w:tcW w:w="709" w:type="dxa"/>
            <w:shd w:val="clear" w:color="auto" w:fill="C6EFCE"/>
          </w:tcPr>
          <w:p w14:paraId="3A7F104C" w14:textId="4ACAC49C"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D36G</w:t>
            </w:r>
          </w:p>
        </w:tc>
        <w:tc>
          <w:tcPr>
            <w:tcW w:w="2126" w:type="dxa"/>
            <w:shd w:val="clear" w:color="auto" w:fill="C6EFCE"/>
          </w:tcPr>
          <w:p w14:paraId="0A522A0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D3.1.1 Algemene ontwikkeling van onderzoek op het gebied van medische en gezondheidswetenschappen </w:t>
            </w:r>
          </w:p>
        </w:tc>
        <w:tc>
          <w:tcPr>
            <w:tcW w:w="1050" w:type="dxa"/>
            <w:shd w:val="clear" w:color="auto" w:fill="C6EFCE"/>
          </w:tcPr>
          <w:p w14:paraId="15EAB80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785" w:type="dxa"/>
            <w:shd w:val="clear" w:color="auto" w:fill="C6EFCE"/>
          </w:tcPr>
          <w:p w14:paraId="3E5CD168" w14:textId="75907FDD"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Aantal gefinancierde projecten voor onderzoekseenheden en ondernemers in de biomedische sector </w:t>
            </w:r>
          </w:p>
        </w:tc>
        <w:tc>
          <w:tcPr>
            <w:tcW w:w="1560" w:type="dxa"/>
            <w:shd w:val="clear" w:color="auto" w:fill="C6EFCE"/>
          </w:tcPr>
          <w:p w14:paraId="285D5BE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47" w:type="dxa"/>
            <w:shd w:val="clear" w:color="auto" w:fill="C6EFCE"/>
          </w:tcPr>
          <w:p w14:paraId="77E2DDE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276" w:type="dxa"/>
            <w:shd w:val="clear" w:color="auto" w:fill="C6EFCE"/>
          </w:tcPr>
          <w:p w14:paraId="687C6CF4"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850" w:type="dxa"/>
            <w:shd w:val="clear" w:color="auto" w:fill="C6EFCE"/>
          </w:tcPr>
          <w:p w14:paraId="0AAF667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80</w:t>
            </w:r>
          </w:p>
        </w:tc>
        <w:tc>
          <w:tcPr>
            <w:tcW w:w="993" w:type="dxa"/>
            <w:shd w:val="clear" w:color="auto" w:fill="C6EFCE"/>
          </w:tcPr>
          <w:p w14:paraId="791C77D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708" w:type="dxa"/>
            <w:shd w:val="clear" w:color="auto" w:fill="C6EFCE"/>
          </w:tcPr>
          <w:p w14:paraId="3E61268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544" w:type="dxa"/>
            <w:shd w:val="clear" w:color="auto" w:fill="C6EFCE"/>
          </w:tcPr>
          <w:p w14:paraId="6779E37F" w14:textId="77777777" w:rsidR="00480F1C" w:rsidRDefault="00A201F6">
            <w:pPr>
              <w:pStyle w:val="paragraph"/>
              <w:spacing w:before="0" w:beforeAutospacing="0" w:after="0" w:afterAutospacing="0"/>
              <w:textAlignment w:val="baseline"/>
              <w:rPr>
                <w:noProof/>
                <w:sz w:val="18"/>
              </w:rPr>
            </w:pPr>
            <w:r>
              <w:rPr>
                <w:rStyle w:val="normaltextrun"/>
                <w:noProof/>
                <w:color w:val="000000"/>
                <w:sz w:val="18"/>
              </w:rPr>
              <w:t xml:space="preserve">De eindverslagen over de uitvoering van 80 ondersteunde projecten worden goedgekeurd. Er wordt steun verleend aan onderzoekseenheden en ondernemers op het gebied van farmaceutische innovaties, medische hulpmiddelen en IT-oplossingen, overeenkomstig het strategisch plan voor de ontwikkeling van de biomedische sector in Polen.  </w:t>
            </w:r>
            <w:r>
              <w:rPr>
                <w:noProof/>
              </w:rPr>
              <w:t xml:space="preserve"> </w:t>
            </w:r>
            <w:r>
              <w:rPr>
                <w:noProof/>
              </w:rPr>
              <w:br/>
            </w:r>
            <w:r>
              <w:rPr>
                <w:rStyle w:val="normaltextrun"/>
                <w:noProof/>
                <w:color w:val="000000"/>
                <w:sz w:val="18"/>
              </w:rPr>
              <w:t xml:space="preserve">De wedstrijden richten zich op productinnovaties, zoals geneesmiddelen, de ontwikkeling van medische hulpmiddelen, met name voor mobiel gebruik, en de ontwikkeling en toepassing van ICT-instrumenten voor medische en gezondheidsdoeleinden.  </w:t>
            </w:r>
          </w:p>
          <w:p w14:paraId="38012948" w14:textId="3A5AE4D9"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noProof/>
              </w:rPr>
              <w:t>De</w:t>
            </w:r>
            <w:r>
              <w:rPr>
                <w:rStyle w:val="normaltextrun"/>
                <w:rFonts w:ascii="Times New Roman" w:hAnsi="Times New Roman"/>
                <w:noProof/>
                <w:color w:val="000000"/>
                <w:sz w:val="18"/>
              </w:rPr>
              <w:t>projecten worden geselecteerd door middel van openbare en in opdracht gegeven subsidiewedstrijden. </w:t>
            </w:r>
            <w:r>
              <w:rPr>
                <w:rStyle w:val="normaltextrun"/>
                <w:rFonts w:ascii="Times New Roman" w:hAnsi="Times New Roman"/>
                <w:noProof/>
                <w:sz w:val="18"/>
              </w:rPr>
              <w:t xml:space="preserve"> </w:t>
            </w:r>
            <w:r>
              <w:rPr>
                <w:noProof/>
              </w:rPr>
              <w:t xml:space="preserve"> </w:t>
            </w:r>
            <w:r>
              <w:rPr>
                <w:noProof/>
              </w:rPr>
              <w:br/>
            </w:r>
            <w:r>
              <w:rPr>
                <w:rStyle w:val="normaltextrun"/>
                <w:rFonts w:ascii="Times New Roman" w:hAnsi="Times New Roman"/>
                <w:noProof/>
                <w:color w:val="000000"/>
                <w:sz w:val="18"/>
              </w:rPr>
              <w:t xml:space="preserve">Elke subsidieovereenkomst bevat het ontvangen financiële bedrag en de details van het project.  </w:t>
            </w:r>
          </w:p>
        </w:tc>
      </w:tr>
      <w:tr w:rsidR="00480F1C" w14:paraId="1E04069A" w14:textId="77777777">
        <w:trPr>
          <w:trHeight w:val="313"/>
        </w:trPr>
        <w:tc>
          <w:tcPr>
            <w:tcW w:w="709" w:type="dxa"/>
            <w:shd w:val="clear" w:color="auto" w:fill="C6EFCE"/>
          </w:tcPr>
          <w:p w14:paraId="63E8C4AE" w14:textId="5FE57733"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D37G</w:t>
            </w:r>
          </w:p>
        </w:tc>
        <w:tc>
          <w:tcPr>
            <w:tcW w:w="2126" w:type="dxa"/>
            <w:shd w:val="clear" w:color="auto" w:fill="C6EFCE"/>
          </w:tcPr>
          <w:p w14:paraId="30935DC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D3.1.1 Algemene ontwikkeling van onderzoek op het gebied van medische en gezondheidswetenschappen </w:t>
            </w:r>
          </w:p>
        </w:tc>
        <w:tc>
          <w:tcPr>
            <w:tcW w:w="1050" w:type="dxa"/>
            <w:shd w:val="clear" w:color="auto" w:fill="C6EFCE"/>
          </w:tcPr>
          <w:p w14:paraId="1E8961D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785" w:type="dxa"/>
            <w:shd w:val="clear" w:color="auto" w:fill="C6EFCE"/>
          </w:tcPr>
          <w:p w14:paraId="0B681316" w14:textId="0E5203C4"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Style w:val="normaltextrun"/>
                <w:rFonts w:ascii="Times New Roman" w:hAnsi="Times New Roman"/>
                <w:noProof/>
                <w:color w:val="000000"/>
                <w:sz w:val="18"/>
              </w:rPr>
              <w:t xml:space="preserve">Aantal opgerichte ondersteuningscentra voor klinische proeven  </w:t>
            </w:r>
          </w:p>
        </w:tc>
        <w:tc>
          <w:tcPr>
            <w:tcW w:w="1560" w:type="dxa"/>
            <w:shd w:val="clear" w:color="auto" w:fill="C6EFCE"/>
          </w:tcPr>
          <w:p w14:paraId="4B8697E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247" w:type="dxa"/>
            <w:shd w:val="clear" w:color="auto" w:fill="C6EFCE"/>
          </w:tcPr>
          <w:p w14:paraId="503467A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1276" w:type="dxa"/>
            <w:shd w:val="clear" w:color="auto" w:fill="C6EFCE"/>
          </w:tcPr>
          <w:p w14:paraId="5E8FBDAF"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10</w:t>
            </w:r>
          </w:p>
        </w:tc>
        <w:tc>
          <w:tcPr>
            <w:tcW w:w="850" w:type="dxa"/>
            <w:shd w:val="clear" w:color="auto" w:fill="C6EFCE"/>
          </w:tcPr>
          <w:p w14:paraId="5E431150" w14:textId="6FF657DF"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43</w:t>
            </w:r>
          </w:p>
        </w:tc>
        <w:tc>
          <w:tcPr>
            <w:tcW w:w="993" w:type="dxa"/>
            <w:shd w:val="clear" w:color="auto" w:fill="C6EFCE"/>
          </w:tcPr>
          <w:p w14:paraId="22E2049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708" w:type="dxa"/>
            <w:shd w:val="clear" w:color="auto" w:fill="C6EFCE"/>
          </w:tcPr>
          <w:p w14:paraId="5F4A7F6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3544" w:type="dxa"/>
            <w:shd w:val="clear" w:color="auto" w:fill="C6EFCE"/>
          </w:tcPr>
          <w:p w14:paraId="4967E184" w14:textId="5895F2A8" w:rsidR="00480F1C" w:rsidRDefault="00A201F6">
            <w:pPr>
              <w:pStyle w:val="paragraph"/>
              <w:spacing w:before="0" w:beforeAutospacing="0" w:after="0" w:afterAutospacing="0"/>
              <w:textAlignment w:val="baseline"/>
              <w:rPr>
                <w:noProof/>
                <w:sz w:val="18"/>
              </w:rPr>
            </w:pPr>
            <w:r>
              <w:rPr>
                <w:rStyle w:val="normaltextrun"/>
                <w:noProof/>
                <w:color w:val="000000" w:themeColor="text1"/>
                <w:sz w:val="18"/>
              </w:rPr>
              <w:t xml:space="preserve">De oprichting van 33 extra ondersteuningscentra voor klinische proeven (CTSC) wordt voltooid. Zij bevinden zich in de structuur van kleinere en lokale gezondheidszorginstellingen, die een centrale rol spelen bij het verlenen van professionele ondersteuning (van de kant van het ziekenhuis) aan organisaties voor klinisch onderzoek en opdrachtgevers voor klinische proeven (farmaceutische bedrijven) ter bevordering van onderhandelingen over, het sluiten van contracten voor en het starten van klinische proeven (CT).  </w:t>
            </w:r>
            <w:r>
              <w:rPr>
                <w:noProof/>
              </w:rPr>
              <w:t xml:space="preserve"> </w:t>
            </w:r>
            <w:r>
              <w:rPr>
                <w:noProof/>
              </w:rPr>
              <w:br/>
            </w:r>
            <w:r>
              <w:rPr>
                <w:rStyle w:val="normaltextrun"/>
                <w:noProof/>
                <w:color w:val="000000" w:themeColor="text1"/>
                <w:sz w:val="18"/>
              </w:rPr>
              <w:t xml:space="preserve">De CTSC verkrijgt middelen voor investeringen en institutionele ontwikkeling. Zij zijn verplicht opleiding te geven aan medisch personeel en activiteiten te verrichten die gericht zijn op het vergroten van het bewustzijn van patiënten op het gebied van terrorismebestrijding. </w:t>
            </w:r>
          </w:p>
          <w:p w14:paraId="3E5DD7CC" w14:textId="07C5DA04"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noProof/>
              </w:rPr>
              <w:t xml:space="preserve"> </w:t>
            </w:r>
            <w:r>
              <w:rPr>
                <w:noProof/>
              </w:rPr>
              <w:br/>
            </w:r>
            <w:r>
              <w:rPr>
                <w:rStyle w:val="normaltextrun"/>
                <w:rFonts w:ascii="Times New Roman" w:hAnsi="Times New Roman"/>
                <w:noProof/>
                <w:color w:val="000000"/>
                <w:sz w:val="18"/>
              </w:rPr>
              <w:t xml:space="preserve">Elke subsidieovereenkomst bevat het ontvangen financiële bedrag en de details van het project.  </w:t>
            </w:r>
          </w:p>
        </w:tc>
      </w:tr>
    </w:tbl>
    <w:p w14:paraId="74E797DC"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i/>
          <w:noProof/>
          <w:color w:val="4F81BD"/>
          <w:sz w:val="24"/>
        </w:rPr>
        <w:sectPr w:rsidR="00480F1C" w:rsidSect="009B6BB9">
          <w:headerReference w:type="even" r:id="rId109"/>
          <w:headerReference w:type="default" r:id="rId110"/>
          <w:footerReference w:type="even" r:id="rId111"/>
          <w:footerReference w:type="default" r:id="rId112"/>
          <w:headerReference w:type="first" r:id="rId113"/>
          <w:footerReference w:type="first" r:id="rId114"/>
          <w:pgSz w:w="16839" w:h="11907" w:orient="landscape"/>
          <w:pgMar w:top="720" w:right="720" w:bottom="720" w:left="720" w:header="709" w:footer="709" w:gutter="0"/>
          <w:cols w:space="720"/>
          <w:docGrid w:linePitch="299"/>
        </w:sectPr>
      </w:pPr>
    </w:p>
    <w:p w14:paraId="187F72A2" w14:textId="35541E12" w:rsidR="00480F1C" w:rsidRDefault="00A201F6">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i/>
          <w:noProof/>
          <w:color w:val="000000"/>
          <w:sz w:val="24"/>
        </w:rPr>
      </w:pPr>
      <w:r>
        <w:rPr>
          <w:rFonts w:ascii="Times New Roman" w:hAnsi="Times New Roman"/>
          <w:b/>
          <w:noProof/>
          <w:color w:val="000000" w:themeColor="text1"/>
          <w:sz w:val="24"/>
        </w:rPr>
        <w:t xml:space="preserve">D.3. </w:t>
      </w:r>
      <w:r>
        <w:rPr>
          <w:noProof/>
        </w:rPr>
        <w:tab/>
      </w:r>
      <w:r>
        <w:rPr>
          <w:rFonts w:ascii="Times New Roman" w:hAnsi="Times New Roman"/>
          <w:b/>
          <w:noProof/>
          <w:color w:val="000000" w:themeColor="text1"/>
          <w:sz w:val="24"/>
        </w:rPr>
        <w:t>Beschrijving van de hervormingen en investeringen voor de lening</w:t>
      </w:r>
    </w:p>
    <w:p w14:paraId="25AF7EAE"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i/>
          <w:noProof/>
          <w:color w:val="000000"/>
          <w:sz w:val="24"/>
        </w:rPr>
      </w:pPr>
    </w:p>
    <w:p w14:paraId="5128C476"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D1.2 Verbetering van de efficiëntie, beschikbaarheid en kwaliteit van langdurige zorgdiensten van zorgaanbieders op districtsniveau</w:t>
      </w:r>
    </w:p>
    <w:p w14:paraId="60932A32" w14:textId="27E8C06C" w:rsidR="00480F1C" w:rsidRDefault="00A201F6">
      <w:pPr>
        <w:pStyle w:val="P68B1DB1-Normal05"/>
        <w:pBdr>
          <w:top w:val="nil"/>
          <w:left w:val="nil"/>
          <w:bottom w:val="nil"/>
          <w:right w:val="nil"/>
          <w:between w:val="nil"/>
        </w:pBdr>
        <w:spacing w:before="120" w:after="0" w:line="240" w:lineRule="auto"/>
        <w:jc w:val="both"/>
        <w:rPr>
          <w:rFonts w:eastAsia="Times New Roman" w:cs="Times New Roman"/>
          <w:noProof/>
          <w:color w:val="000000"/>
        </w:rPr>
      </w:pPr>
      <w:r>
        <w:rPr>
          <w:noProof/>
        </w:rPr>
        <w:t>Het doel van de hervorming is de omvorming van districtsziekenhuizen tot eenheden of centra voor langdurige zorg en geriatrische zorg te ondersteunen. De hervorming is wettelijk gebaseerd op een specifieke wetgevingshandeling die voortbouwt op de conclusies van een evaluatie van het potentieel voor de oprichting van eenheden/centra voor langdurige zorg en geriatrische zorg in districtsziekenhuizen in Polen. De hervorming moet ook in overeenstemming zijn met de door het ministerie van Volksgezondheid opgestelde strategie voor deïnstitutionalisering (bijlage bij het „Strategisch kader voor de ontwikkeling van gezondheidszorgstelsels in Polen 2021-27 — Een gezonde toekomst”).</w:t>
      </w:r>
    </w:p>
    <w:p w14:paraId="1E819EF6" w14:textId="77CD26D5" w:rsidR="00480F1C" w:rsidRDefault="00A201F6">
      <w:pPr>
        <w:pStyle w:val="P68B1DB1-Normal05"/>
        <w:pBdr>
          <w:top w:val="nil"/>
          <w:left w:val="nil"/>
          <w:bottom w:val="nil"/>
          <w:right w:val="nil"/>
          <w:between w:val="nil"/>
        </w:pBdr>
        <w:spacing w:before="120" w:after="120" w:line="240" w:lineRule="auto"/>
        <w:jc w:val="both"/>
        <w:rPr>
          <w:rStyle w:val="normaltextrun"/>
          <w:noProof/>
          <w:color w:val="000000"/>
          <w:sz w:val="18"/>
        </w:rPr>
      </w:pPr>
      <w:r>
        <w:rPr>
          <w:noProof/>
        </w:rPr>
        <w:t>De uitvoering van de hervorming wordt uiterlijk op 30 september 2022 voltooid.</w:t>
      </w:r>
    </w:p>
    <w:p w14:paraId="2633CEB9"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noProof/>
          <w:color w:val="000000"/>
          <w:sz w:val="24"/>
        </w:rPr>
      </w:pPr>
    </w:p>
    <w:p w14:paraId="27020553"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D1.2.1 Ontwikkeling van langdurige zorg door modernisering van de infrastructuur van medische entiteiten op districtsniveau</w:t>
      </w:r>
    </w:p>
    <w:p w14:paraId="4FC9F4CC" w14:textId="46A7A043" w:rsidR="00480F1C" w:rsidRDefault="00A201F6">
      <w:pPr>
        <w:pStyle w:val="P68B1DB1-Normal05"/>
        <w:pBdr>
          <w:top w:val="nil"/>
          <w:left w:val="nil"/>
          <w:bottom w:val="nil"/>
          <w:right w:val="nil"/>
          <w:between w:val="nil"/>
        </w:pBdr>
        <w:spacing w:after="0" w:line="240" w:lineRule="auto"/>
        <w:jc w:val="both"/>
        <w:rPr>
          <w:rFonts w:eastAsia="Times New Roman" w:cs="Times New Roman"/>
          <w:noProof/>
          <w:color w:val="000000"/>
        </w:rPr>
      </w:pPr>
      <w:r>
        <w:rPr>
          <w:noProof/>
        </w:rPr>
        <w:t xml:space="preserve">De investering ondersteunt projecten voor noodzakelijke bouw- of renovatiewerkzaamheden en voor de aankoop van uitrusting voor districtsziekenhuizen die in het kader van de transformatieplannen eenheden of centra voor langdurige zorg en geriatrische zorg oprichten. De investeringscontracten worden toegewezen op basis van transparante en duidelijke bepalingen en in overeenstemming met de doelstellingen van hervorming D.1.2. De investering wordt gedaan op basis van kwaliteitsborgingsmechanismen voor de geïntegreerde zorgdiensten, waarbij toegankelijkheids- en betaalbaarheidskwesties worden aangepakt. </w:t>
      </w:r>
    </w:p>
    <w:p w14:paraId="4B1D477B" w14:textId="77777777" w:rsidR="00480F1C" w:rsidRDefault="00480F1C">
      <w:pPr>
        <w:pStyle w:val="Normal0"/>
        <w:spacing w:after="0" w:line="240" w:lineRule="auto"/>
        <w:jc w:val="both"/>
        <w:rPr>
          <w:rFonts w:ascii="Times New Roman" w:eastAsia="Times New Roman" w:hAnsi="Times New Roman" w:cs="Times New Roman"/>
          <w:noProof/>
          <w:color w:val="000000" w:themeColor="text1"/>
          <w:sz w:val="24"/>
        </w:rPr>
      </w:pPr>
    </w:p>
    <w:p w14:paraId="4B4CFCCF" w14:textId="77777777" w:rsidR="00480F1C" w:rsidRDefault="00A201F6">
      <w:pPr>
        <w:pStyle w:val="P68B1DB1-Normal05"/>
        <w:pBdr>
          <w:top w:val="nil"/>
          <w:left w:val="nil"/>
          <w:bottom w:val="nil"/>
          <w:right w:val="nil"/>
          <w:between w:val="nil"/>
        </w:pBdr>
        <w:spacing w:line="240" w:lineRule="auto"/>
        <w:jc w:val="both"/>
        <w:rPr>
          <w:rFonts w:eastAsia="Times New Roman" w:cs="Times New Roman"/>
          <w:noProof/>
          <w:color w:val="000000"/>
        </w:rPr>
      </w:pPr>
      <w:r>
        <w:rPr>
          <w:noProof/>
        </w:rPr>
        <w:t>De uitvoering van de investering moet uiterlijk op 30 juni 2026 zijn voltooid.</w:t>
      </w:r>
    </w:p>
    <w:p w14:paraId="65BE1F1D" w14:textId="77777777" w:rsidR="00480F1C" w:rsidRDefault="00480F1C">
      <w:pPr>
        <w:pStyle w:val="Normal0"/>
        <w:pBdr>
          <w:top w:val="nil"/>
          <w:left w:val="nil"/>
          <w:bottom w:val="nil"/>
          <w:right w:val="nil"/>
          <w:between w:val="nil"/>
        </w:pBdr>
        <w:spacing w:after="0" w:line="240" w:lineRule="auto"/>
        <w:jc w:val="both"/>
        <w:rPr>
          <w:rFonts w:ascii="Times New Roman" w:eastAsia="Times New Roman" w:hAnsi="Times New Roman" w:cs="Times New Roman"/>
          <w:noProof/>
          <w:color w:val="000000"/>
          <w:sz w:val="24"/>
        </w:rPr>
      </w:pPr>
    </w:p>
    <w:p w14:paraId="2A8F24A3" w14:textId="77777777" w:rsidR="00480F1C" w:rsidRDefault="00A201F6">
      <w:pPr>
        <w:pStyle w:val="P68B1DB1-Normal016"/>
        <w:pBdr>
          <w:top w:val="nil"/>
          <w:left w:val="nil"/>
          <w:bottom w:val="nil"/>
          <w:right w:val="nil"/>
          <w:between w:val="nil"/>
        </w:pBdr>
        <w:spacing w:before="120" w:after="120" w:line="240" w:lineRule="auto"/>
        <w:jc w:val="both"/>
        <w:rPr>
          <w:rFonts w:eastAsia="Times New Roman" w:cs="Times New Roman"/>
          <w:b/>
          <w:noProof/>
          <w:color w:val="000000"/>
        </w:rPr>
      </w:pPr>
      <w:r>
        <w:rPr>
          <w:b/>
          <w:noProof/>
        </w:rPr>
        <w:t>D3.2 Bevordering van gunstige voorwaarden voor de ontwikkeling van de sector geneesmiddelen en medische hulpmiddelen</w:t>
      </w:r>
    </w:p>
    <w:p w14:paraId="24F8FE32" w14:textId="12B14574"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Doel van de hervorming is een regelgevingskader in te voeren dat het aantrekken en opvoeren van de productie van geneesmiddelen en werkzame farmaceutische bestanddelen in Polen vergemakkelijkt. Dit zal bijdragen tot een grotere veiligheid van de geneesmiddelenvoorziening in Polen. Het nieuwe kader versterkt het analytische kader voor het in kaart brengen van de lacunes en kwetsbaarheden van het aanbod van API’s in Polen. Het ondersteunt ook ondernemers die besluiten de geneesmiddelen te produceren die te maken hebben met potentiële leveringstekorten in Polen.</w:t>
      </w:r>
    </w:p>
    <w:p w14:paraId="2C5CC340" w14:textId="77777777" w:rsidR="00480F1C" w:rsidRDefault="00A201F6">
      <w:pPr>
        <w:pStyle w:val="P68B1DB1-Normal05"/>
        <w:pBdr>
          <w:top w:val="nil"/>
          <w:left w:val="nil"/>
          <w:bottom w:val="nil"/>
          <w:right w:val="nil"/>
          <w:between w:val="nil"/>
        </w:pBdr>
        <w:spacing w:before="120" w:after="120" w:line="240" w:lineRule="auto"/>
        <w:jc w:val="both"/>
        <w:rPr>
          <w:rFonts w:cs="Times New Roman"/>
          <w:noProof/>
        </w:rPr>
      </w:pPr>
      <w:r>
        <w:rPr>
          <w:noProof/>
        </w:rPr>
        <w:t xml:space="preserve">De hervorming wordt gekoppeld aan de uitvoering van de farmaceutische strategie voor Europa op het niveau van de Unie. </w:t>
      </w:r>
    </w:p>
    <w:p w14:paraId="7B6E1984" w14:textId="77F587A3" w:rsidR="00480F1C" w:rsidRDefault="00A201F6">
      <w:pPr>
        <w:pStyle w:val="P68B1DB1-Normal05"/>
        <w:pBdr>
          <w:top w:val="nil"/>
          <w:left w:val="nil"/>
          <w:bottom w:val="nil"/>
          <w:right w:val="nil"/>
          <w:between w:val="nil"/>
        </w:pBdr>
        <w:spacing w:before="120" w:after="120" w:line="240" w:lineRule="auto"/>
        <w:jc w:val="both"/>
        <w:rPr>
          <w:rFonts w:cs="Times New Roman"/>
          <w:noProof/>
          <w:color w:val="000000"/>
        </w:rPr>
      </w:pPr>
      <w:r>
        <w:rPr>
          <w:noProof/>
        </w:rPr>
        <w:t>De uitvoering van de hervorming wordt uiterlijk op 30 juni 2023 voltooid.</w:t>
      </w:r>
    </w:p>
    <w:p w14:paraId="6AFAB436" w14:textId="77777777" w:rsidR="00480F1C" w:rsidRDefault="00480F1C">
      <w:pPr>
        <w:pStyle w:val="Normal0"/>
        <w:pBdr>
          <w:top w:val="nil"/>
          <w:left w:val="nil"/>
          <w:bottom w:val="nil"/>
          <w:right w:val="nil"/>
          <w:between w:val="nil"/>
        </w:pBdr>
        <w:spacing w:before="120" w:after="120" w:line="240" w:lineRule="auto"/>
        <w:ind w:left="284" w:hanging="284"/>
        <w:jc w:val="both"/>
        <w:rPr>
          <w:rFonts w:ascii="Times New Roman" w:eastAsia="Times New Roman" w:hAnsi="Times New Roman" w:cs="Times New Roman"/>
          <w:noProof/>
          <w:color w:val="000000"/>
          <w:sz w:val="24"/>
          <w:u w:val="single"/>
        </w:rPr>
      </w:pPr>
    </w:p>
    <w:p w14:paraId="45C4AB64" w14:textId="20EE2A5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highlight w:val="yellow"/>
        </w:rPr>
      </w:pPr>
      <w:r>
        <w:rPr>
          <w:noProof/>
        </w:rPr>
        <w:t xml:space="preserve">D3.2.1 Ontwikkeling van het potentieel van de sector geneesmiddelen en medische hulpmiddelen — investeringen in verband met de productie van werkzame farmaceutische bestanddelen in Polen </w:t>
      </w:r>
    </w:p>
    <w:p w14:paraId="4B37AEE7" w14:textId="1E3E4631" w:rsidR="00480F1C" w:rsidRDefault="00A201F6">
      <w:pPr>
        <w:pStyle w:val="P68B1DB1-Normal05"/>
        <w:pBdr>
          <w:top w:val="nil"/>
          <w:left w:val="nil"/>
          <w:bottom w:val="nil"/>
          <w:right w:val="nil"/>
          <w:between w:val="nil"/>
        </w:pBdr>
        <w:spacing w:before="120" w:after="120" w:line="240" w:lineRule="auto"/>
        <w:jc w:val="both"/>
        <w:rPr>
          <w:rFonts w:cs="Times New Roman"/>
          <w:noProof/>
          <w:color w:val="000000"/>
        </w:rPr>
      </w:pPr>
      <w:r>
        <w:rPr>
          <w:noProof/>
        </w:rPr>
        <w:t>Het doel van de investering is steun te verlenen aan projecten op het gebied van de ontwikkeling van API’s. De steun draagt bij tot de ontwikkeling van API’s (met inbegrip van propriëtaire, biosimilaire en generieke API’s) en bijbehorende productielijnen voor medische hulpmiddelen, met inbegrip van de bouw/uitbreiding van de nodige infrastructuur. Op dit gebied moeten ten minste 11 API’s worden ondersteund.</w:t>
      </w:r>
    </w:p>
    <w:p w14:paraId="02FA8E39" w14:textId="2161799E"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uitvoering van de investering moet uiterlijk op 31 december 2023 zijn voltooid.</w:t>
      </w:r>
    </w:p>
    <w:p w14:paraId="74DCF38B"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sz w:val="24"/>
        </w:rPr>
        <w:sectPr w:rsidR="00480F1C">
          <w:headerReference w:type="even" r:id="rId115"/>
          <w:headerReference w:type="default" r:id="rId116"/>
          <w:footerReference w:type="even" r:id="rId117"/>
          <w:footerReference w:type="default" r:id="rId118"/>
          <w:headerReference w:type="first" r:id="rId119"/>
          <w:footerReference w:type="first" r:id="rId120"/>
          <w:pgSz w:w="11907" w:h="16839"/>
          <w:pgMar w:top="1134" w:right="1417" w:bottom="1134" w:left="1417" w:header="709" w:footer="709" w:gutter="0"/>
          <w:cols w:space="720"/>
        </w:sectPr>
      </w:pPr>
    </w:p>
    <w:p w14:paraId="042C5D41" w14:textId="3DBA5EEE" w:rsidR="00480F1C" w:rsidRDefault="00A201F6">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sz w:val="24"/>
        </w:rPr>
      </w:pPr>
      <w:r>
        <w:rPr>
          <w:rFonts w:ascii="Times New Roman" w:hAnsi="Times New Roman"/>
          <w:b/>
          <w:noProof/>
          <w:color w:val="000000" w:themeColor="text1"/>
          <w:sz w:val="24"/>
        </w:rPr>
        <w:t xml:space="preserve">D.4. </w:t>
      </w:r>
      <w:r>
        <w:rPr>
          <w:noProof/>
        </w:rPr>
        <w:tab/>
      </w:r>
      <w:r>
        <w:rPr>
          <w:rFonts w:ascii="Times New Roman" w:hAnsi="Times New Roman"/>
          <w:b/>
          <w:noProof/>
          <w:color w:val="000000" w:themeColor="text1"/>
          <w:sz w:val="24"/>
        </w:rPr>
        <w:t>Mijlpalen, streefdoelen, indicatoren en tijdschema voor de monitoring en uitvoering voor de lening</w:t>
      </w:r>
    </w:p>
    <w:tbl>
      <w:tblPr>
        <w:tblW w:w="15309"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115" w:type="dxa"/>
          <w:right w:w="115" w:type="dxa"/>
        </w:tblCellMar>
        <w:tblLook w:val="0400" w:firstRow="0" w:lastRow="0" w:firstColumn="0" w:lastColumn="0" w:noHBand="0" w:noVBand="1"/>
      </w:tblPr>
      <w:tblGrid>
        <w:gridCol w:w="709"/>
        <w:gridCol w:w="1985"/>
        <w:gridCol w:w="1134"/>
        <w:gridCol w:w="1842"/>
        <w:gridCol w:w="1276"/>
        <w:gridCol w:w="992"/>
        <w:gridCol w:w="993"/>
        <w:gridCol w:w="708"/>
        <w:gridCol w:w="993"/>
        <w:gridCol w:w="850"/>
        <w:gridCol w:w="3827"/>
      </w:tblGrid>
      <w:tr w:rsidR="00480F1C" w14:paraId="41B1E524" w14:textId="77777777">
        <w:trPr>
          <w:trHeight w:val="939"/>
          <w:tblHeader/>
        </w:trPr>
        <w:tc>
          <w:tcPr>
            <w:tcW w:w="70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3F16C5A5" w14:textId="259D0D59"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Volgende NR.</w:t>
            </w:r>
          </w:p>
        </w:tc>
        <w:tc>
          <w:tcPr>
            <w:tcW w:w="198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160E4090"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Gerelateerde maatregel (hervorming of investering)</w:t>
            </w:r>
          </w:p>
        </w:tc>
        <w:tc>
          <w:tcPr>
            <w:tcW w:w="113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1BB03AA8"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Mijlpaal/Doelstelling</w:t>
            </w:r>
          </w:p>
        </w:tc>
        <w:tc>
          <w:tcPr>
            <w:tcW w:w="184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43775D93"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Naam</w:t>
            </w:r>
          </w:p>
        </w:tc>
        <w:tc>
          <w:tcPr>
            <w:tcW w:w="12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7E8E68DE"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themeColor="text1"/>
                <w:sz w:val="18"/>
              </w:rPr>
              <w:t>Kwalitatieve indicatoren</w:t>
            </w:r>
            <w:r>
              <w:rPr>
                <w:noProof/>
              </w:rPr>
              <w:t xml:space="preserve"> </w:t>
            </w:r>
            <w:r>
              <w:rPr>
                <w:noProof/>
              </w:rPr>
              <w:br/>
            </w:r>
            <w:r>
              <w:rPr>
                <w:rFonts w:ascii="Times New Roman" w:hAnsi="Times New Roman"/>
                <w:b/>
                <w:noProof/>
                <w:color w:val="000000" w:themeColor="text1"/>
                <w:sz w:val="18"/>
              </w:rPr>
              <w:t>(voor mijlpalen)</w:t>
            </w:r>
          </w:p>
        </w:tc>
        <w:tc>
          <w:tcPr>
            <w:tcW w:w="269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0BDFEBE5"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themeColor="text1"/>
                <w:sz w:val="18"/>
              </w:rPr>
              <w:t>Kwantitatieve indicatoren</w:t>
            </w:r>
            <w:r>
              <w:rPr>
                <w:noProof/>
              </w:rPr>
              <w:t xml:space="preserve"> </w:t>
            </w:r>
            <w:r>
              <w:rPr>
                <w:noProof/>
              </w:rPr>
              <w:br/>
            </w:r>
            <w:r>
              <w:rPr>
                <w:rFonts w:ascii="Times New Roman" w:hAnsi="Times New Roman"/>
                <w:b/>
                <w:noProof/>
                <w:color w:val="000000" w:themeColor="text1"/>
                <w:sz w:val="18"/>
              </w:rPr>
              <w:t>(voor streefcijfers)</w:t>
            </w: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50367129"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Indicatieve termijn voor voltooiing </w:t>
            </w:r>
          </w:p>
        </w:tc>
        <w:tc>
          <w:tcPr>
            <w:tcW w:w="382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26E10174"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Beschrijving van elke mijlpaal en doelstelling</w:t>
            </w:r>
          </w:p>
        </w:tc>
      </w:tr>
      <w:tr w:rsidR="00480F1C" w14:paraId="7C60732D" w14:textId="77777777">
        <w:trPr>
          <w:trHeight w:val="1027"/>
        </w:trPr>
        <w:tc>
          <w:tcPr>
            <w:tcW w:w="709" w:type="dxa"/>
            <w:vMerge/>
            <w:vAlign w:val="center"/>
          </w:tcPr>
          <w:p w14:paraId="4D2E12B8"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985" w:type="dxa"/>
            <w:vMerge/>
            <w:vAlign w:val="center"/>
          </w:tcPr>
          <w:p w14:paraId="308F224F"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134" w:type="dxa"/>
            <w:vMerge/>
            <w:vAlign w:val="center"/>
          </w:tcPr>
          <w:p w14:paraId="5E6D6F63"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842" w:type="dxa"/>
            <w:vMerge/>
            <w:vAlign w:val="center"/>
          </w:tcPr>
          <w:p w14:paraId="7B969857"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276" w:type="dxa"/>
            <w:vMerge/>
            <w:vAlign w:val="center"/>
          </w:tcPr>
          <w:p w14:paraId="0FE634FD"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46FC7D89"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Eenheid</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7E5D7B35"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Basislijn </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32489BEF"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Doelstelling</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31CCBDDF"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Kwartaal</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DD7EE"/>
            <w:vAlign w:val="center"/>
          </w:tcPr>
          <w:p w14:paraId="5252C6C6"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Jaar</w:t>
            </w:r>
          </w:p>
        </w:tc>
        <w:tc>
          <w:tcPr>
            <w:tcW w:w="3827" w:type="dxa"/>
            <w:vMerge/>
            <w:vAlign w:val="center"/>
          </w:tcPr>
          <w:p w14:paraId="62A1F980"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r>
      <w:tr w:rsidR="00480F1C" w14:paraId="41CB191C" w14:textId="77777777">
        <w:trPr>
          <w:trHeight w:val="313"/>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15E2E81" w14:textId="011ADA44"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D1L</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F19F04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D1.2 Verbetering van de efficiëntie, beschikbaarheid en kwaliteit van langdurige zorgdiensten van zorgaanbieders op districtsniveau</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570380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C6B6AC6" w14:textId="433605CA"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Style w:val="normaltextrun"/>
                <w:rFonts w:ascii="Times New Roman" w:hAnsi="Times New Roman"/>
                <w:noProof/>
                <w:color w:val="000000" w:themeColor="text1"/>
                <w:sz w:val="18"/>
              </w:rPr>
              <w:t xml:space="preserve">Evaluatie van het potentieel voor de oprichting van eenheden/centra voor langdurige zorg en geriatrische zorg in districtsziekenhuizen in Polen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989BA5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Publicatie</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B6071E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A24BB67"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C1FA51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467D810" w14:textId="3A39116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2D5D9F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12665BB" w14:textId="3BA91C8E" w:rsidR="00480F1C" w:rsidRDefault="00A201F6">
            <w:pPr>
              <w:pStyle w:val="paragraph"/>
              <w:spacing w:before="0" w:beforeAutospacing="0" w:after="0" w:afterAutospacing="0"/>
              <w:textAlignment w:val="baseline"/>
              <w:rPr>
                <w:noProof/>
                <w:sz w:val="18"/>
              </w:rPr>
            </w:pPr>
            <w:r>
              <w:rPr>
                <w:rStyle w:val="normaltextrun"/>
                <w:noProof/>
                <w:color w:val="000000" w:themeColor="text1"/>
                <w:sz w:val="18"/>
              </w:rPr>
              <w:t xml:space="preserve">Publicatie van een evaluatie, als onderdeel van de algemene strategische analyse van langdurige zorg in Polen in het kader van component A, over het potentieel voor de oprichting van eenheden/centra voor langdurige zorg en geriatrische zorg in districtsziekenhuizen (met inbegrip van de transformatie van delen van districtsziekenhuizen). Bij de evaluatie worden met name de mogelijkheden onderzocht om: </w:t>
            </w:r>
            <w:r>
              <w:rPr>
                <w:noProof/>
              </w:rPr>
              <w:t xml:space="preserve"> </w:t>
            </w:r>
            <w:r>
              <w:rPr>
                <w:noProof/>
              </w:rPr>
              <w:br/>
            </w:r>
            <w:r>
              <w:rPr>
                <w:rStyle w:val="normaltextrun"/>
                <w:noProof/>
                <w:color w:val="000000" w:themeColor="text1"/>
                <w:sz w:val="18"/>
              </w:rPr>
              <w:t xml:space="preserve">— de beschikbaarheid van langdurige gezondheidszorg vergroten door vastgestelde lacunes in de verlening van langdurige zorg aan te pakken, met name op districtsniveau; </w:t>
            </w:r>
            <w:r>
              <w:rPr>
                <w:noProof/>
              </w:rPr>
              <w:t xml:space="preserve"> </w:t>
            </w:r>
            <w:r>
              <w:rPr>
                <w:noProof/>
              </w:rPr>
              <w:br/>
            </w:r>
            <w:r>
              <w:rPr>
                <w:rStyle w:val="normaltextrun"/>
                <w:noProof/>
                <w:color w:val="000000" w:themeColor="text1"/>
                <w:sz w:val="18"/>
              </w:rPr>
              <w:t xml:space="preserve">— Ongelijkheden in de toegang tot langdurige gezondheidszorg op te heffen; </w:t>
            </w:r>
            <w:r>
              <w:rPr>
                <w:noProof/>
              </w:rPr>
              <w:t xml:space="preserve"> </w:t>
            </w:r>
            <w:r>
              <w:rPr>
                <w:noProof/>
              </w:rPr>
              <w:br/>
            </w:r>
            <w:r>
              <w:rPr>
                <w:rStyle w:val="normaltextrun"/>
                <w:noProof/>
                <w:color w:val="000000" w:themeColor="text1"/>
                <w:sz w:val="18"/>
              </w:rPr>
              <w:t xml:space="preserve">— verbetering van de arbeidsomstandigheden van medisch personeel; en het </w:t>
            </w:r>
            <w:r>
              <w:rPr>
                <w:noProof/>
              </w:rPr>
              <w:t xml:space="preserve"> </w:t>
            </w:r>
            <w:r>
              <w:rPr>
                <w:noProof/>
              </w:rPr>
              <w:br/>
              <w:t xml:space="preserve"> </w:t>
            </w:r>
            <w:r>
              <w:rPr>
                <w:rStyle w:val="normaltextrun"/>
                <w:noProof/>
                <w:color w:val="000000" w:themeColor="text1"/>
                <w:sz w:val="18"/>
              </w:rPr>
              <w:t xml:space="preserve">— de kwaliteit van de langdurige zorg verbeteren. </w:t>
            </w:r>
          </w:p>
        </w:tc>
      </w:tr>
      <w:tr w:rsidR="00480F1C" w14:paraId="131C4A67" w14:textId="77777777">
        <w:trPr>
          <w:trHeight w:val="313"/>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A17E941" w14:textId="23165E11"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D2L</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557744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D1.2 Verbetering van de efficiëntie, beschikbaarheid en kwaliteit van langdurige zorgdiensten van zorgaanbieders op districtsniveau</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3CC04E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189877" w14:textId="7889D554"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themeColor="text1"/>
                <w:sz w:val="18"/>
              </w:rPr>
              <w:t xml:space="preserve">Inwerkingtreding van een wetgevingshandeling inzake steun voor de oprichting van eenheden/centra voor langdurige zorg en geriatrische zorg in districtsziekenhuizen, op basis van de resultaten van de evaluatie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867AEB2" w14:textId="30ABEAE8"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wetgevingshandeling die de inwerkingtreding aangeeft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41CB72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8AA7D2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2A23B7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02FF15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E3062E1" w14:textId="211A4A05"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2022</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C181F5B" w14:textId="69C609EF" w:rsidR="00480F1C" w:rsidRDefault="00A201F6">
            <w:pPr>
              <w:pStyle w:val="Normal0"/>
              <w:pBdr>
                <w:top w:val="nil"/>
                <w:left w:val="nil"/>
                <w:bottom w:val="nil"/>
                <w:right w:val="nil"/>
                <w:between w:val="nil"/>
              </w:pBdr>
              <w:spacing w:after="0" w:line="240" w:lineRule="auto"/>
              <w:rPr>
                <w:rStyle w:val="eop"/>
                <w:rFonts w:ascii="Times New Roman" w:hAnsi="Times New Roman" w:cs="Times New Roman"/>
                <w:noProof/>
                <w:color w:val="000000" w:themeColor="text1"/>
                <w:sz w:val="18"/>
              </w:rPr>
            </w:pPr>
            <w:r>
              <w:rPr>
                <w:rStyle w:val="normaltextrun"/>
                <w:rFonts w:ascii="Times New Roman" w:hAnsi="Times New Roman"/>
                <w:noProof/>
                <w:color w:val="000000" w:themeColor="text1"/>
                <w:sz w:val="18"/>
              </w:rPr>
              <w:t xml:space="preserve">Inwerkingtreding van een wetgevingshandeling op basis van de resultaten van de evaluatie van het potentieel voor de oprichting van eenheden/centra voor langdurige zorg en geriatrische zorg in districtsziekenhuizen in Polen. In de handeling wordt gespecificeerd hoe de steun voor de oprichting van eenheden voor langdurige zorg en geriatrische eenheden en/of centra in districtsziekenhuizen de verstrekking van zorg aan onder meer senioren op lokaal niveau verbetert.  </w:t>
            </w:r>
          </w:p>
          <w:p w14:paraId="323CC72B" w14:textId="2C80CC6E"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De wetgevingshandeling is in overeenstemming met het „Strategisch kader voor de ontwikkeling van gezondheidszorgstelsels in Polen 2021-27 — Een gezonde toekomst”.</w:t>
            </w:r>
          </w:p>
        </w:tc>
      </w:tr>
      <w:tr w:rsidR="00480F1C" w14:paraId="42539413" w14:textId="77777777">
        <w:trPr>
          <w:trHeight w:val="313"/>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153FF3A" w14:textId="69077AE9"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D3L</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95DD28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D1.2.1 Ontwikkeling van langdurige zorg door modernisering van de infrastructuur van medische entiteiten op districtsniveau</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6F371D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63BFC0C" w14:textId="26F9946D"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themeColor="text1"/>
                <w:sz w:val="18"/>
              </w:rPr>
              <w:t xml:space="preserve">Lijst van districtsziekenhuizen die zijn geselecteerd voor de aanvullende steun voor de aanleg van langetermijn- en geriatrische bedden, op basis van specifieke selectiecriteria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D660D2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Publicatie van de lijst van geselecteerde ziekenhuizen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7F35E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75EC67C"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325A8CB"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2F1349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4D07E1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2023</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6F0B5AC" w14:textId="5FC86FB6" w:rsidR="00480F1C" w:rsidRDefault="00A201F6">
            <w:pPr>
              <w:pStyle w:val="Normal0"/>
              <w:pBdr>
                <w:top w:val="nil"/>
                <w:left w:val="nil"/>
                <w:bottom w:val="nil"/>
                <w:right w:val="nil"/>
                <w:between w:val="nil"/>
              </w:pBdr>
              <w:spacing w:after="0" w:line="240" w:lineRule="auto"/>
              <w:rPr>
                <w:rStyle w:val="normaltextrun"/>
                <w:rFonts w:ascii="Times New Roman" w:hAnsi="Times New Roman" w:cs="Times New Roman"/>
                <w:noProof/>
                <w:color w:val="000000"/>
                <w:sz w:val="18"/>
              </w:rPr>
            </w:pPr>
            <w:r>
              <w:rPr>
                <w:noProof/>
              </w:rPr>
              <w:t>Er wordt</w:t>
            </w:r>
            <w:r>
              <w:rPr>
                <w:rStyle w:val="normaltextrun"/>
                <w:rFonts w:ascii="Times New Roman" w:hAnsi="Times New Roman"/>
                <w:noProof/>
                <w:color w:val="000000" w:themeColor="text1"/>
                <w:sz w:val="18"/>
              </w:rPr>
              <w:t xml:space="preserve">een lijst verstrekt van districtsziekenhuizen die zijn geselecteerd voor aanvullende steun voor de aanleg van langdurige en geriatrische bedden. De selectie geschiedt op basis van een reeks duidelijke en transparante criteria. Deze criteria omvatten plaatselijke omstandigheden voor: </w:t>
            </w:r>
            <w:r>
              <w:rPr>
                <w:noProof/>
              </w:rPr>
              <w:t xml:space="preserve"> </w:t>
            </w:r>
            <w:r>
              <w:rPr>
                <w:noProof/>
              </w:rPr>
              <w:br/>
            </w:r>
            <w:r>
              <w:rPr>
                <w:rStyle w:val="normaltextrun"/>
                <w:rFonts w:ascii="Times New Roman" w:hAnsi="Times New Roman"/>
                <w:noProof/>
                <w:color w:val="000000" w:themeColor="text1"/>
                <w:sz w:val="18"/>
              </w:rPr>
              <w:t xml:space="preserve">— demografische ontwikkelingen, </w:t>
            </w:r>
            <w:r>
              <w:rPr>
                <w:noProof/>
              </w:rPr>
              <w:t xml:space="preserve"> </w:t>
            </w:r>
            <w:r>
              <w:rPr>
                <w:noProof/>
              </w:rPr>
              <w:br/>
              <w:t xml:space="preserve"> </w:t>
            </w:r>
            <w:r>
              <w:rPr>
                <w:rStyle w:val="normaltextrun"/>
                <w:rFonts w:ascii="Times New Roman" w:hAnsi="Times New Roman"/>
                <w:noProof/>
                <w:color w:val="000000" w:themeColor="text1"/>
                <w:sz w:val="18"/>
              </w:rPr>
              <w:t xml:space="preserve">— bevolkingsdichtheid, </w:t>
            </w:r>
            <w:r>
              <w:rPr>
                <w:noProof/>
              </w:rPr>
              <w:t xml:space="preserve"> </w:t>
            </w:r>
            <w:r>
              <w:rPr>
                <w:noProof/>
              </w:rPr>
              <w:br/>
              <w:t xml:space="preserve"> </w:t>
            </w:r>
            <w:r>
              <w:rPr>
                <w:rStyle w:val="normaltextrun"/>
                <w:rFonts w:ascii="Times New Roman" w:hAnsi="Times New Roman"/>
                <w:noProof/>
                <w:color w:val="000000" w:themeColor="text1"/>
                <w:sz w:val="18"/>
              </w:rPr>
              <w:t xml:space="preserve">— behoeften aan langdurige zorg, </w:t>
            </w:r>
            <w:r>
              <w:rPr>
                <w:noProof/>
              </w:rPr>
              <w:t xml:space="preserve"> </w:t>
            </w:r>
            <w:r>
              <w:rPr>
                <w:noProof/>
              </w:rPr>
              <w:br/>
              <w:t xml:space="preserve"> </w:t>
            </w:r>
            <w:r>
              <w:rPr>
                <w:rStyle w:val="normaltextrun"/>
                <w:rFonts w:ascii="Times New Roman" w:hAnsi="Times New Roman"/>
                <w:noProof/>
                <w:color w:val="000000" w:themeColor="text1"/>
                <w:sz w:val="18"/>
              </w:rPr>
              <w:t xml:space="preserve">verzadiging van langdurige zorg/geriatrische diensten, </w:t>
            </w:r>
            <w:r>
              <w:rPr>
                <w:noProof/>
              </w:rPr>
              <w:t xml:space="preserve"> </w:t>
            </w:r>
            <w:r>
              <w:rPr>
                <w:noProof/>
              </w:rPr>
              <w:br/>
              <w:t xml:space="preserve"> </w:t>
            </w:r>
            <w:r>
              <w:rPr>
                <w:rStyle w:val="normaltextrun"/>
                <w:rFonts w:ascii="Times New Roman" w:hAnsi="Times New Roman"/>
                <w:noProof/>
                <w:color w:val="000000" w:themeColor="text1"/>
                <w:sz w:val="18"/>
              </w:rPr>
              <w:t xml:space="preserve">— kwaliteit van de zorg, en </w:t>
            </w:r>
            <w:r>
              <w:rPr>
                <w:noProof/>
              </w:rPr>
              <w:t xml:space="preserve"> </w:t>
            </w:r>
            <w:r>
              <w:rPr>
                <w:noProof/>
              </w:rPr>
              <w:br/>
              <w:t xml:space="preserve"> </w:t>
            </w:r>
            <w:r>
              <w:rPr>
                <w:rStyle w:val="normaltextrun"/>
                <w:rFonts w:ascii="Times New Roman" w:hAnsi="Times New Roman"/>
                <w:noProof/>
                <w:color w:val="000000" w:themeColor="text1"/>
                <w:sz w:val="18"/>
              </w:rPr>
              <w:t>— naleving van herstructureringsplannen of gelijkwaardige documenten voor een bepaald ziekenhuis. Een gelijkwaardig document bevat ten minste: informatie over maatregelen om een gezonde financiële toestand van de</w:t>
            </w:r>
          </w:p>
          <w:p w14:paraId="2B765496" w14:textId="3425E603" w:rsidR="00480F1C" w:rsidRDefault="00A201F6">
            <w:pPr>
              <w:pStyle w:val="Normal0"/>
              <w:pBdr>
                <w:top w:val="nil"/>
                <w:left w:val="nil"/>
                <w:bottom w:val="nil"/>
                <w:right w:val="nil"/>
                <w:between w:val="nil"/>
              </w:pBdr>
              <w:spacing w:after="0" w:line="240" w:lineRule="auto"/>
              <w:rPr>
                <w:rStyle w:val="normaltextrun"/>
                <w:rFonts w:ascii="Times New Roman" w:hAnsi="Times New Roman" w:cs="Times New Roman"/>
                <w:noProof/>
                <w:color w:val="000000"/>
                <w:sz w:val="18"/>
              </w:rPr>
            </w:pPr>
            <w:r>
              <w:rPr>
                <w:rStyle w:val="normaltextrun"/>
                <w:rFonts w:ascii="Times New Roman" w:hAnsi="Times New Roman"/>
                <w:noProof/>
                <w:color w:val="000000" w:themeColor="text1"/>
                <w:sz w:val="18"/>
              </w:rPr>
              <w:t>betrokken ziekenhuis, met inbegrip van details over de aard van deze maatregelen, het tijdschema, de kosten en de verwachte kosten ervan</w:t>
            </w:r>
          </w:p>
          <w:p w14:paraId="7E2841AF" w14:textId="4394B3B0" w:rsidR="00480F1C" w:rsidRDefault="00A201F6">
            <w:pPr>
              <w:pStyle w:val="Normal0"/>
              <w:pBdr>
                <w:top w:val="nil"/>
                <w:left w:val="nil"/>
                <w:bottom w:val="nil"/>
                <w:right w:val="nil"/>
                <w:between w:val="nil"/>
              </w:pBdr>
              <w:spacing w:after="0" w:line="240" w:lineRule="auto"/>
              <w:rPr>
                <w:rStyle w:val="eop"/>
                <w:rFonts w:ascii="Times New Roman" w:hAnsi="Times New Roman" w:cs="Times New Roman"/>
                <w:noProof/>
                <w:color w:val="000000" w:themeColor="text1"/>
                <w:sz w:val="18"/>
              </w:rPr>
            </w:pPr>
            <w:r>
              <w:rPr>
                <w:rStyle w:val="normaltextrun"/>
                <w:rFonts w:ascii="Times New Roman" w:hAnsi="Times New Roman"/>
                <w:noProof/>
                <w:color w:val="000000" w:themeColor="text1"/>
                <w:sz w:val="18"/>
              </w:rPr>
              <w:t>financiële resultaten, de instantie die verantwoordelijk is voor de uitvoering van deze maatregelen en de toezichtregelingen.</w:t>
            </w:r>
          </w:p>
        </w:tc>
      </w:tr>
      <w:tr w:rsidR="00480F1C" w14:paraId="4A112EFD" w14:textId="77777777">
        <w:trPr>
          <w:trHeight w:val="313"/>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9D04761" w14:textId="5F0326BE"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D4L</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CE657A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D1.2.1 Ontwikkeling van langdurige zorg door modernisering van de infrastructuur van medische entiteiten op districtsniveau</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7A6F39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89FCB3C" w14:textId="38CDC210"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sz w:val="18"/>
              </w:rPr>
              <w:t xml:space="preserve">Ondertekende contracten tussen districtsziekenhuizen en het ministerie van Volksgezondheid (of een andere door het ministerie aangewezen instelling) voor investeringssteun bij de oprichting van eenheden/centra voor langdurige zorg en geriatrische zorg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7B3178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B851DD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298C3B7"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AB6555B"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50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D2D87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5709DD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2023</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70CD3DC" w14:textId="77777777" w:rsidR="00480F1C" w:rsidRDefault="00A201F6">
            <w:pPr>
              <w:pStyle w:val="paragraph"/>
              <w:spacing w:before="0" w:beforeAutospacing="0" w:after="0" w:afterAutospacing="0"/>
              <w:textAlignment w:val="baseline"/>
              <w:rPr>
                <w:noProof/>
                <w:sz w:val="18"/>
              </w:rPr>
            </w:pPr>
            <w:r>
              <w:rPr>
                <w:rStyle w:val="normaltextrun"/>
                <w:noProof/>
                <w:color w:val="000000"/>
                <w:sz w:val="18"/>
              </w:rPr>
              <w:t xml:space="preserve">Aantal ondertekende contracten voor investeringsactiviteiten. Het contract wordt ondertekend tussen het ziekenhuis en het ministerie van Volksgezondheid (of een andere door het ministerie aangewezen instelling). </w:t>
            </w:r>
          </w:p>
          <w:p w14:paraId="59380833" w14:textId="6454074B"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themeColor="text1"/>
                <w:sz w:val="18"/>
              </w:rPr>
            </w:pPr>
            <w:r>
              <w:rPr>
                <w:noProof/>
              </w:rPr>
              <w:t xml:space="preserve"> </w:t>
            </w:r>
            <w:r>
              <w:rPr>
                <w:noProof/>
              </w:rPr>
              <w:br/>
            </w:r>
            <w:r>
              <w:rPr>
                <w:rStyle w:val="normaltextrun"/>
                <w:rFonts w:ascii="Times New Roman" w:hAnsi="Times New Roman"/>
                <w:noProof/>
                <w:color w:val="000000"/>
                <w:sz w:val="18"/>
              </w:rPr>
              <w:t xml:space="preserve">De contracten zijn gebaseerd op transparante en duidelijke bepalingen en dragen bij tot de doelstelling om langdurige zorg en geriatrische zorg te ontwikkelen. De investering dient ter ondersteuning van de noodzakelijke bouw- of renovatiewerkzaamheden en de aankoop van uitrusting.   </w:t>
            </w:r>
          </w:p>
        </w:tc>
      </w:tr>
      <w:tr w:rsidR="00480F1C" w14:paraId="6A865040" w14:textId="77777777">
        <w:trPr>
          <w:trHeight w:val="313"/>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123EB3D" w14:textId="16F228A8"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D5L</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98961D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D1.2.1 Ontwikkeling van langdurige zorg door modernisering van de infrastructuur van medische entiteiten op districtsniveau</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67824C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Doel</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6359A7A" w14:textId="71F6972A"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r>
              <w:rPr>
                <w:rStyle w:val="normaltextrun"/>
                <w:rFonts w:ascii="Times New Roman" w:hAnsi="Times New Roman"/>
                <w:noProof/>
                <w:color w:val="000000"/>
                <w:sz w:val="18"/>
              </w:rPr>
              <w:t xml:space="preserve">Afgeronde projecten voor de ontwikkeling van langdurige zorg en geriatrische zorg in districtsziekenhuizen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38555F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837DB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Aantal</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D19A2F3"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0</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A8E4E1"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50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3E41BBF"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E4F88C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427EA5" w14:textId="675964C2" w:rsidR="00480F1C" w:rsidRDefault="00A201F6">
            <w:pPr>
              <w:pStyle w:val="paragraph"/>
              <w:spacing w:before="0" w:beforeAutospacing="0" w:after="0" w:afterAutospacing="0"/>
              <w:textAlignment w:val="baseline"/>
              <w:rPr>
                <w:noProof/>
                <w:color w:val="000000"/>
                <w:sz w:val="18"/>
              </w:rPr>
            </w:pPr>
            <w:r>
              <w:rPr>
                <w:rStyle w:val="normaltextrun"/>
                <w:noProof/>
                <w:color w:val="000000"/>
                <w:sz w:val="18"/>
              </w:rPr>
              <w:t xml:space="preserve">Ten minste 50 projecten op basis van ondertekende contracten worden afgerond.  </w:t>
            </w:r>
          </w:p>
          <w:p w14:paraId="2BAC6FC9" w14:textId="60A74BA5" w:rsidR="00480F1C" w:rsidRDefault="00A201F6">
            <w:pPr>
              <w:pStyle w:val="paragraph"/>
              <w:spacing w:before="0" w:beforeAutospacing="0" w:after="0" w:afterAutospacing="0"/>
              <w:textAlignment w:val="baseline"/>
              <w:rPr>
                <w:noProof/>
                <w:color w:val="000000" w:themeColor="text1"/>
                <w:sz w:val="18"/>
              </w:rPr>
            </w:pPr>
            <w:r>
              <w:rPr>
                <w:rStyle w:val="normaltextrun"/>
                <w:noProof/>
                <w:color w:val="000000"/>
                <w:sz w:val="18"/>
              </w:rPr>
              <w:t xml:space="preserve">De projecten dragen bij tot de doelstelling om langdurige zorg en geriatrische zorg in districtsziekenhuizen te ontwikkelen door de beschikbaarheid ervan te vergroten, volledige toegang te bevorderen en de kwaliteit te verbeteren. De projecten ondersteunen de noodzakelijke bouw- of renovatiewerkzaamheden en de aankoop van uitrusting. </w:t>
            </w:r>
          </w:p>
        </w:tc>
      </w:tr>
      <w:tr w:rsidR="00480F1C" w14:paraId="482A8129" w14:textId="77777777">
        <w:trPr>
          <w:trHeight w:val="313"/>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FFA43A6" w14:textId="0638B520"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themeColor="text1"/>
              </w:rPr>
            </w:pPr>
            <w:r>
              <w:rPr>
                <w:noProof/>
              </w:rPr>
              <w:t>D6L</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6F95854" w14:textId="6B7B650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D3.2 Bevordering van gunstige voorwaarden voor de ontwikkeling van de sector geneesmiddelen en medische hulpmiddelen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34834F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8EE2255" w14:textId="61B94628"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themeColor="text1"/>
                <w:sz w:val="18"/>
              </w:rPr>
              <w:t xml:space="preserve">Inwerkingtreding van een wetgevingshandeling die de zekerheid van de geneesmiddelenvoorziening waarborgt, met inbegrip van oplossingen om geneesmiddelentekorten en belangrijke kwetsbaarheden in de toeleveringsketens aan te pakken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013C20" w14:textId="488FFF9F"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wetgevingshandeling die de inwerkingtreding aangeeft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C32700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75AC9E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713E07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335A5DF" w14:textId="58A9489D"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64CBC82" w14:textId="71538281"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2023</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3C510F9" w14:textId="3E818B58" w:rsidR="00480F1C" w:rsidRDefault="00A201F6">
            <w:pPr>
              <w:pStyle w:val="paragraph"/>
              <w:spacing w:before="0" w:beforeAutospacing="0" w:after="0" w:afterAutospacing="0"/>
              <w:textAlignment w:val="baseline"/>
              <w:rPr>
                <w:noProof/>
                <w:sz w:val="18"/>
              </w:rPr>
            </w:pPr>
            <w:r>
              <w:rPr>
                <w:noProof/>
                <w:sz w:val="18"/>
              </w:rPr>
              <w:t>Inwerkingtreding van een wetgevingshandeling</w:t>
            </w:r>
            <w:r>
              <w:rPr>
                <w:noProof/>
              </w:rPr>
              <w:t xml:space="preserve"> </w:t>
            </w:r>
            <w:r>
              <w:rPr>
                <w:noProof/>
                <w:sz w:val="18"/>
              </w:rPr>
              <w:t>tot invoering</w:t>
            </w:r>
            <w:r>
              <w:rPr>
                <w:noProof/>
              </w:rPr>
              <w:t xml:space="preserve"> van </w:t>
            </w:r>
            <w:r>
              <w:rPr>
                <w:noProof/>
                <w:sz w:val="18"/>
              </w:rPr>
              <w:t xml:space="preserve">een regelgevingskader om de productie van geneesmiddelen en werkzame farmaceutische stoffen (API’s) in Polen te verhogen. Dit draagt bij tot een grotere voorzieningszekerheid van kritieke geneesmiddelen. </w:t>
            </w:r>
          </w:p>
          <w:p w14:paraId="5FD612F7" w14:textId="66E39481" w:rsidR="00480F1C" w:rsidRDefault="00A201F6">
            <w:pPr>
              <w:pStyle w:val="paragraph"/>
              <w:spacing w:before="0" w:beforeAutospacing="0" w:after="0" w:afterAutospacing="0"/>
              <w:textAlignment w:val="baseline"/>
              <w:rPr>
                <w:noProof/>
                <w:color w:val="000000" w:themeColor="text1"/>
                <w:sz w:val="18"/>
              </w:rPr>
            </w:pPr>
            <w:r>
              <w:rPr>
                <w:noProof/>
                <w:sz w:val="18"/>
              </w:rPr>
              <w:t>Het besluit bevat:</w:t>
            </w:r>
            <w:r>
              <w:rPr>
                <w:rStyle w:val="scxw256459143"/>
                <w:noProof/>
                <w:color w:val="000000" w:themeColor="text1"/>
                <w:sz w:val="12"/>
              </w:rPr>
              <w:t xml:space="preserve"> </w:t>
            </w:r>
            <w:r>
              <w:rPr>
                <w:noProof/>
              </w:rPr>
              <w:t xml:space="preserve"> </w:t>
            </w:r>
            <w:r>
              <w:rPr>
                <w:noProof/>
              </w:rPr>
              <w:br/>
            </w:r>
            <w:r>
              <w:rPr>
                <w:rStyle w:val="normaltextrun"/>
                <w:noProof/>
                <w:color w:val="000000" w:themeColor="text1"/>
                <w:sz w:val="18"/>
              </w:rPr>
              <w:t>— Een versterking van het analytische kader voor het in kaart brengen van de lacunes en kwetsbaarheden van het aanbod van kritieke API’s in Polen, met inbegrip van de werkzaamheden van het API-taakteam;</w:t>
            </w:r>
          </w:p>
          <w:p w14:paraId="1A5C1FCB" w14:textId="333753FB" w:rsidR="00480F1C" w:rsidRDefault="00A201F6">
            <w:pPr>
              <w:pStyle w:val="paragraph"/>
              <w:spacing w:before="0" w:beforeAutospacing="0" w:after="0" w:afterAutospacing="0"/>
              <w:textAlignment w:val="baseline"/>
              <w:rPr>
                <w:noProof/>
                <w:color w:val="006100"/>
              </w:rPr>
            </w:pPr>
            <w:r>
              <w:rPr>
                <w:rStyle w:val="normaltextrun"/>
                <w:noProof/>
                <w:color w:val="000000" w:themeColor="text1"/>
                <w:sz w:val="18"/>
              </w:rPr>
              <w:t>- de bevoegde minister te machtigen om door middel van een verordening een lijst vast te stellen van de kritieke API’s (met inbegrip van die welke worden gebruikt in farmaceutische specialiteiten, biosimilars en generieke geneesmiddelen) die moeten worden ontwikkeld; en het</w:t>
            </w:r>
            <w:r>
              <w:rPr>
                <w:noProof/>
              </w:rPr>
              <w:t xml:space="preserve"> </w:t>
            </w:r>
            <w:r>
              <w:rPr>
                <w:noProof/>
              </w:rPr>
              <w:br/>
            </w:r>
            <w:r>
              <w:rPr>
                <w:rStyle w:val="normaltextrun"/>
                <w:noProof/>
                <w:color w:val="000000" w:themeColor="text1"/>
                <w:sz w:val="18"/>
              </w:rPr>
              <w:t xml:space="preserve">— Een kader voor stimulansen voor ondernemers die geneesmiddelen vervaardigen in Polen. Deze stimulansen en steun moeten gebaseerd zijn op duidelijke, transparante en niet-discriminerende criteria. </w:t>
            </w:r>
            <w:r>
              <w:rPr>
                <w:noProof/>
              </w:rPr>
              <w:t xml:space="preserve"> </w:t>
            </w:r>
            <w:r>
              <w:rPr>
                <w:noProof/>
              </w:rPr>
              <w:br/>
            </w:r>
            <w:r>
              <w:rPr>
                <w:rStyle w:val="normaltextrun"/>
                <w:noProof/>
                <w:color w:val="000000"/>
                <w:sz w:val="18"/>
              </w:rPr>
              <w:t xml:space="preserve">De handeling draagt bij tot de uitvoering van de farmaceutische strategie voor Europa, met name wat betreft de verbetering van de strategische autonomie voor de beschikbaarheid van geneesmiddelen in de EU. </w:t>
            </w:r>
          </w:p>
        </w:tc>
      </w:tr>
      <w:tr w:rsidR="00480F1C" w14:paraId="2548A0A6" w14:textId="77777777">
        <w:trPr>
          <w:trHeight w:val="313"/>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8F550FB" w14:textId="4889335D"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themeColor="text1"/>
              </w:rPr>
            </w:pPr>
            <w:r>
              <w:rPr>
                <w:noProof/>
              </w:rPr>
              <w:t>D7L</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60C6DF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D3.2.1 Ontwikkeling van het potentieel van de sector geneesmiddelen en medische hulpmiddelen — investeringen in verband met de productie van werkzame farmaceutische bestanddelen in Polen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5A4003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BE2C0FA" w14:textId="48CF05DA"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Style w:val="normaltextrun"/>
                <w:rFonts w:ascii="Times New Roman" w:hAnsi="Times New Roman"/>
                <w:noProof/>
                <w:color w:val="000000" w:themeColor="text1"/>
                <w:sz w:val="18"/>
              </w:rPr>
              <w:t xml:space="preserve">Selectie van te ondersteunen projecten voor API-productie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1C8456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Publicatie van de lijst van geselecteerde projecten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97746A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C3D763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C4984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D52167B" w14:textId="6C9D8691"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E6A961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2023</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7332578" w14:textId="1F0B603E" w:rsidR="00480F1C" w:rsidRDefault="00A201F6">
            <w:pPr>
              <w:pStyle w:val="paragraph"/>
              <w:spacing w:before="0" w:beforeAutospacing="0" w:after="0" w:afterAutospacing="0"/>
              <w:rPr>
                <w:noProof/>
                <w:sz w:val="18"/>
              </w:rPr>
            </w:pPr>
            <w:r>
              <w:rPr>
                <w:rStyle w:val="eop"/>
                <w:noProof/>
                <w:color w:val="000000" w:themeColor="text1"/>
                <w:sz w:val="18"/>
              </w:rPr>
              <w:t>De lijst van geselecteerde projecten voor het creëren of uitbreiden van productiecapaciteit op het gebied van API’s (met inbegrip van propriëtaire, biosimilaire en generieke API’s) en aanverwante medische hulpmiddelen wordt geselecteerd na een oproep tot het indienen van voorstellen.</w:t>
            </w:r>
          </w:p>
          <w:p w14:paraId="1C8D046E" w14:textId="08F4C9EB" w:rsidR="00480F1C" w:rsidRDefault="00480F1C">
            <w:pPr>
              <w:pStyle w:val="paragraph"/>
              <w:spacing w:before="0" w:beforeAutospacing="0" w:after="0" w:afterAutospacing="0"/>
              <w:jc w:val="both"/>
              <w:rPr>
                <w:rStyle w:val="eop"/>
                <w:noProof/>
                <w:color w:val="000000" w:themeColor="text1"/>
                <w:sz w:val="18"/>
              </w:rPr>
            </w:pPr>
          </w:p>
          <w:p w14:paraId="0557E30A" w14:textId="4007D5D4" w:rsidR="00480F1C" w:rsidRDefault="00A201F6">
            <w:pPr>
              <w:pStyle w:val="paragraph"/>
              <w:spacing w:before="0" w:beforeAutospacing="0" w:after="0" w:afterAutospacing="0"/>
              <w:jc w:val="both"/>
              <w:rPr>
                <w:noProof/>
                <w:sz w:val="18"/>
              </w:rPr>
            </w:pPr>
            <w:r>
              <w:rPr>
                <w:rStyle w:val="eop"/>
                <w:noProof/>
                <w:color w:val="000000" w:themeColor="text1"/>
                <w:sz w:val="18"/>
              </w:rPr>
              <w:t xml:space="preserve">De in de oproep tot het indienen van voorstellen opgenomen selectiecriteria moeten niet-discriminerend en transparant zijn. Zij omvatten de eis dat projecten bijdragen aan de productie van kritieke API’s. Daartoe wordt voorafgaand aan de oproep tot het indienen van voorstellen een lijst van kritieke API’s opgesteld op basis van het analytische kader voor het identificeren van de lacunes en kwetsbaarheden van het aanbod van kritieke API’s in Polen. </w:t>
            </w:r>
          </w:p>
          <w:p w14:paraId="38EF9A66" w14:textId="26C86F34" w:rsidR="00480F1C" w:rsidRDefault="00480F1C">
            <w:pPr>
              <w:pStyle w:val="paragraph"/>
              <w:spacing w:before="0" w:beforeAutospacing="0" w:after="0" w:afterAutospacing="0"/>
              <w:jc w:val="both"/>
              <w:rPr>
                <w:rStyle w:val="eop"/>
                <w:noProof/>
                <w:color w:val="000000" w:themeColor="text1"/>
                <w:sz w:val="18"/>
              </w:rPr>
            </w:pPr>
          </w:p>
          <w:p w14:paraId="6287FEC7" w14:textId="175CD233" w:rsidR="00480F1C" w:rsidRDefault="00A201F6">
            <w:pPr>
              <w:spacing w:after="120" w:line="240" w:lineRule="auto"/>
              <w:rPr>
                <w:rStyle w:val="eop"/>
                <w:rFonts w:ascii="Times New Roman" w:hAnsi="Times New Roman" w:cs="Times New Roman"/>
                <w:noProof/>
                <w:color w:val="000000" w:themeColor="text1"/>
                <w:sz w:val="18"/>
              </w:rPr>
            </w:pPr>
            <w:r>
              <w:rPr>
                <w:rStyle w:val="eop"/>
                <w:rFonts w:ascii="Times New Roman" w:hAnsi="Times New Roman"/>
                <w:noProof/>
                <w:color w:val="000000" w:themeColor="text1"/>
                <w:sz w:val="18"/>
              </w:rPr>
              <w:t>De selectie van de projecten moet aan de volgende voorwaarden voldoen:</w:t>
            </w:r>
          </w:p>
          <w:p w14:paraId="2B8DA36D" w14:textId="52844D1A" w:rsidR="00480F1C" w:rsidRDefault="00A201F6">
            <w:pPr>
              <w:spacing w:after="120" w:line="240" w:lineRule="auto"/>
              <w:rPr>
                <w:rStyle w:val="eop"/>
                <w:rFonts w:ascii="Times New Roman" w:hAnsi="Times New Roman" w:cs="Times New Roman"/>
                <w:noProof/>
                <w:color w:val="000000" w:themeColor="text1"/>
                <w:sz w:val="18"/>
              </w:rPr>
            </w:pPr>
            <w:r>
              <w:rPr>
                <w:rStyle w:val="eop"/>
                <w:rFonts w:ascii="Times New Roman" w:hAnsi="Times New Roman"/>
                <w:noProof/>
                <w:color w:val="000000" w:themeColor="text1"/>
                <w:sz w:val="18"/>
              </w:rPr>
              <w:t>— een project ondersteunt een API die is vermeld op de lijst van de kritieke API’s;</w:t>
            </w:r>
          </w:p>
          <w:p w14:paraId="1B064226" w14:textId="7B20B10F" w:rsidR="00480F1C" w:rsidRDefault="00A201F6">
            <w:pPr>
              <w:spacing w:after="120" w:line="240" w:lineRule="auto"/>
              <w:rPr>
                <w:rStyle w:val="eop"/>
                <w:rFonts w:ascii="Times New Roman" w:hAnsi="Times New Roman" w:cs="Times New Roman"/>
                <w:noProof/>
                <w:color w:val="000000" w:themeColor="text1"/>
                <w:sz w:val="18"/>
              </w:rPr>
            </w:pPr>
            <w:r>
              <w:rPr>
                <w:rStyle w:val="eop"/>
                <w:rFonts w:ascii="Times New Roman" w:hAnsi="Times New Roman"/>
                <w:noProof/>
                <w:color w:val="000000" w:themeColor="text1"/>
                <w:sz w:val="18"/>
              </w:rPr>
              <w:t>— een project toont aan hoe het bijdraagt tot de doelstellingen om de geneesmiddelenvoorziening veilig te stellen of van cruciaal belang is voor de veiligheid van kritieke geneesmiddelenvoorziening, zoals gedefinieerd in de wetgevingshandeling inzake het veiligstellen van de geneesmiddelenvoorziening;</w:t>
            </w:r>
          </w:p>
          <w:p w14:paraId="522F3B84" w14:textId="6742F6FA" w:rsidR="00480F1C" w:rsidRDefault="00A201F6">
            <w:pPr>
              <w:spacing w:after="0" w:line="240" w:lineRule="auto"/>
              <w:rPr>
                <w:rStyle w:val="eop"/>
                <w:rFonts w:ascii="Times New Roman" w:hAnsi="Times New Roman" w:cs="Times New Roman"/>
                <w:noProof/>
                <w:color w:val="000000" w:themeColor="text1"/>
                <w:sz w:val="18"/>
              </w:rPr>
            </w:pPr>
            <w:r>
              <w:rPr>
                <w:rStyle w:val="eop"/>
                <w:rFonts w:ascii="Times New Roman" w:hAnsi="Times New Roman"/>
                <w:noProof/>
                <w:color w:val="000000" w:themeColor="text1"/>
                <w:sz w:val="18"/>
              </w:rPr>
              <w:t>— een project heeft een duidelijk tijdschema, met vermelding van de data van de belangrijkste mijlpalen.</w:t>
            </w:r>
          </w:p>
        </w:tc>
      </w:tr>
      <w:tr w:rsidR="00480F1C" w14:paraId="7EEA1F57" w14:textId="77777777">
        <w:trPr>
          <w:trHeight w:val="313"/>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631BB6C" w14:textId="0F09D088"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D8L</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F85875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D3.2.1 Ontwikkeling van het potentieel van de sector geneesmiddelen en medische hulpmiddelen — investeringen in verband met de productie van werkzame farmaceutische bestanddelen in Polen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A55469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6BEE082" w14:textId="13BC7D12" w:rsidR="00480F1C" w:rsidRDefault="00A201F6">
            <w:pPr>
              <w:pStyle w:val="Normal0"/>
              <w:pBdr>
                <w:top w:val="nil"/>
                <w:left w:val="nil"/>
                <w:bottom w:val="nil"/>
                <w:right w:val="nil"/>
                <w:between w:val="nil"/>
              </w:pBdr>
              <w:spacing w:after="0" w:line="240" w:lineRule="auto"/>
              <w:rPr>
                <w:rStyle w:val="eop"/>
                <w:rFonts w:ascii="Times New Roman" w:hAnsi="Times New Roman" w:cs="Times New Roman"/>
                <w:noProof/>
                <w:color w:val="000000" w:themeColor="text1"/>
                <w:sz w:val="18"/>
              </w:rPr>
            </w:pPr>
            <w:r>
              <w:rPr>
                <w:rStyle w:val="normaltextrun"/>
                <w:rFonts w:ascii="Times New Roman" w:hAnsi="Times New Roman"/>
                <w:noProof/>
                <w:color w:val="000000" w:themeColor="text1"/>
                <w:sz w:val="18"/>
              </w:rPr>
              <w:t xml:space="preserve">Aantal ondersteunde kritieke werkzame farmaceutische bestanddelen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48EB89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021125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81AA89C"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7A8282F" w14:textId="0D53592D"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11</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59D3F6D" w14:textId="5E7C4289"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221D3CB" w14:textId="4987BF7F"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2023</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D75A139" w14:textId="4C187790" w:rsidR="00480F1C" w:rsidRDefault="00A201F6">
            <w:pPr>
              <w:pStyle w:val="paragraph"/>
              <w:spacing w:before="0" w:beforeAutospacing="0" w:after="0" w:afterAutospacing="0"/>
              <w:textAlignment w:val="baseline"/>
              <w:rPr>
                <w:noProof/>
                <w:sz w:val="18"/>
              </w:rPr>
            </w:pPr>
            <w:r>
              <w:rPr>
                <w:rStyle w:val="normaltextrun"/>
                <w:noProof/>
                <w:color w:val="000000" w:themeColor="text1"/>
                <w:sz w:val="18"/>
              </w:rPr>
              <w:t xml:space="preserve">Aantal kritieke werkzame farmaceutische bestanddelen (API’s) (met inbegrip van merkgebonden, biosimilaire en generieke API’s) en medische hulpmiddelen, ondersteund door de door de herstel- en veerkrachtfaciliteit gefinancierde projecten.  </w:t>
            </w:r>
          </w:p>
          <w:p w14:paraId="47918361" w14:textId="65DA488D" w:rsidR="00480F1C" w:rsidRDefault="00A201F6">
            <w:pPr>
              <w:pStyle w:val="paragraph"/>
              <w:spacing w:before="0" w:beforeAutospacing="0" w:after="0" w:afterAutospacing="0"/>
              <w:textAlignment w:val="baseline"/>
              <w:rPr>
                <w:noProof/>
                <w:sz w:val="18"/>
              </w:rPr>
            </w:pPr>
            <w:r>
              <w:rPr>
                <w:rStyle w:val="normaltextrun"/>
                <w:noProof/>
                <w:color w:val="000000"/>
                <w:sz w:val="18"/>
              </w:rPr>
              <w:t xml:space="preserve">De projectdocumentatie omvat: </w:t>
            </w:r>
          </w:p>
          <w:p w14:paraId="61E09289" w14:textId="56BE3E2F" w:rsidR="00480F1C" w:rsidRDefault="00A201F6">
            <w:pPr>
              <w:pStyle w:val="paragraph"/>
              <w:spacing w:before="0" w:beforeAutospacing="0" w:after="0" w:afterAutospacing="0"/>
              <w:textAlignment w:val="baseline"/>
              <w:rPr>
                <w:noProof/>
                <w:sz w:val="18"/>
              </w:rPr>
            </w:pPr>
            <w:r>
              <w:rPr>
                <w:rStyle w:val="eop"/>
                <w:noProof/>
                <w:color w:val="000000"/>
                <w:sz w:val="18"/>
              </w:rPr>
              <w:t xml:space="preserve">— Identificatie van potentiële begunstigden met bijbehorende uitgaven;  </w:t>
            </w:r>
          </w:p>
          <w:p w14:paraId="6D7A29DB" w14:textId="30358310" w:rsidR="00480F1C" w:rsidRDefault="00A201F6">
            <w:pPr>
              <w:pStyle w:val="paragraph"/>
              <w:numPr>
                <w:ilvl w:val="0"/>
                <w:numId w:val="12"/>
              </w:numPr>
              <w:spacing w:before="0" w:beforeAutospacing="0" w:after="0" w:afterAutospacing="0"/>
              <w:ind w:left="0"/>
              <w:textAlignment w:val="baseline"/>
              <w:rPr>
                <w:noProof/>
                <w:sz w:val="18"/>
              </w:rPr>
            </w:pPr>
            <w:r>
              <w:rPr>
                <w:rStyle w:val="normaltextrun"/>
                <w:noProof/>
                <w:color w:val="000000" w:themeColor="text1"/>
                <w:sz w:val="18"/>
              </w:rPr>
              <w:t xml:space="preserve">— De lijst van kritieke API’s (met inbegrip van propriëtaire, biosimilaire en generieke API’s) die elk project beoogt te ondersteunen; </w:t>
            </w:r>
          </w:p>
          <w:p w14:paraId="25DACE4B" w14:textId="0B8AFF8F" w:rsidR="00480F1C" w:rsidRDefault="00A201F6">
            <w:pPr>
              <w:pStyle w:val="paragraph"/>
              <w:spacing w:before="0" w:beforeAutospacing="0" w:after="0" w:afterAutospacing="0"/>
              <w:textAlignment w:val="baseline"/>
              <w:rPr>
                <w:noProof/>
                <w:color w:val="000000" w:themeColor="text1"/>
                <w:sz w:val="18"/>
              </w:rPr>
            </w:pPr>
            <w:r>
              <w:rPr>
                <w:rStyle w:val="normaltextrun"/>
                <w:noProof/>
                <w:color w:val="000000" w:themeColor="text1"/>
                <w:sz w:val="18"/>
              </w:rPr>
              <w:t xml:space="preserve">— De analyse van de wijze waarop het project bijdraagt tot de doelstelling om de voorzieningszekerheid van kritieke geneesmiddelen te vergroten. </w:t>
            </w:r>
          </w:p>
        </w:tc>
      </w:tr>
    </w:tbl>
    <w:p w14:paraId="299D8616" w14:textId="78AD8A7C"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i/>
          <w:noProof/>
          <w:color w:val="4F81BD"/>
          <w:sz w:val="24"/>
        </w:rPr>
        <w:sectPr w:rsidR="00480F1C" w:rsidSect="009B6BB9">
          <w:headerReference w:type="even" r:id="rId121"/>
          <w:headerReference w:type="default" r:id="rId122"/>
          <w:footerReference w:type="even" r:id="rId123"/>
          <w:footerReference w:type="default" r:id="rId124"/>
          <w:headerReference w:type="first" r:id="rId125"/>
          <w:footerReference w:type="first" r:id="rId126"/>
          <w:pgSz w:w="16839" w:h="11907" w:orient="landscape"/>
          <w:pgMar w:top="720" w:right="720" w:bottom="720" w:left="720" w:header="709" w:footer="709" w:gutter="0"/>
          <w:cols w:space="720"/>
          <w:docGrid w:linePitch="299"/>
        </w:sectPr>
      </w:pPr>
    </w:p>
    <w:p w14:paraId="59A5EB6B" w14:textId="77777777" w:rsidR="00480F1C" w:rsidRDefault="00A201F6">
      <w:pPr>
        <w:pStyle w:val="P68B1DB1-Normal018"/>
        <w:keepNext/>
        <w:pBdr>
          <w:top w:val="nil"/>
          <w:left w:val="nil"/>
          <w:bottom w:val="nil"/>
          <w:right w:val="nil"/>
          <w:between w:val="nil"/>
        </w:pBdr>
        <w:tabs>
          <w:tab w:val="left" w:pos="850"/>
        </w:tabs>
        <w:spacing w:before="360" w:after="120" w:line="240" w:lineRule="auto"/>
        <w:ind w:left="850" w:hanging="850"/>
        <w:jc w:val="both"/>
        <w:rPr>
          <w:rFonts w:eastAsia="Times New Roman" w:cs="Times New Roman"/>
          <w:noProof/>
        </w:rPr>
      </w:pPr>
      <w:r>
        <w:rPr>
          <w:noProof/>
        </w:rPr>
        <w:t>E. COMPONENT E: GROENE, SLIMME MOBILITEIT</w:t>
      </w:r>
    </w:p>
    <w:p w14:paraId="5A9030EE" w14:textId="61AFBE22" w:rsidR="00480F1C" w:rsidRDefault="00A201F6">
      <w:pPr>
        <w:pStyle w:val="P68B1DB1-Normal05"/>
        <w:pBdr>
          <w:top w:val="nil"/>
          <w:left w:val="nil"/>
          <w:bottom w:val="nil"/>
          <w:right w:val="nil"/>
          <w:between w:val="nil"/>
        </w:pBdr>
        <w:spacing w:after="120" w:line="240" w:lineRule="auto"/>
        <w:jc w:val="both"/>
        <w:rPr>
          <w:rFonts w:eastAsia="Times New Roman" w:cs="Times New Roman"/>
          <w:noProof/>
          <w:color w:val="000000"/>
        </w:rPr>
      </w:pPr>
      <w:r>
        <w:rPr>
          <w:noProof/>
        </w:rPr>
        <w:t>Het onderdeel van het Poolse herstel- en veerkrachtplan is in de eerste plaats gericht op de uitdagingen van de Poolse vervoerssector op het gebied van decarbonisatie en luchtverontreiniging. Sinds 1990 zijn de emissies van het vervoer met 214 % toegenomen, voornamelijk als gevolg van een aanzienlijke toename van het wegvervoer. Tussen 2005 en 2019 is het wegverkeer bijna verdrievoudigd, terwijl de overeenkomstige toename bij het spoor slechts 9 % bedroeg. De component streeft naar synergieën tussen de decarbonisatieagenda en de industriële agenda. Gezien het aanhoudend hoge aantal verkeersdoden in het land is de verkeersveiligheid een andere uitdaging die door het onderdeel wordt aangepakt. De component heeft ook betrekking op de uitsluiting van bepaalde gebieden van een levensvatbaar openbaarvervoeraanbod.</w:t>
      </w:r>
    </w:p>
    <w:p w14:paraId="7724F607" w14:textId="77777777" w:rsidR="00480F1C" w:rsidRDefault="00A201F6">
      <w:pPr>
        <w:pStyle w:val="P68B1DB1-Normal05"/>
        <w:pBdr>
          <w:top w:val="nil"/>
          <w:left w:val="nil"/>
          <w:bottom w:val="nil"/>
          <w:right w:val="nil"/>
          <w:between w:val="nil"/>
        </w:pBdr>
        <w:spacing w:before="120" w:after="120" w:line="257" w:lineRule="auto"/>
        <w:jc w:val="both"/>
        <w:rPr>
          <w:rFonts w:eastAsia="Times New Roman" w:cs="Times New Roman"/>
          <w:noProof/>
          <w:color w:val="000000"/>
        </w:rPr>
      </w:pPr>
      <w:r>
        <w:rPr>
          <w:noProof/>
        </w:rPr>
        <w:t xml:space="preserve">Het belangrijkste doel van de component is dus hervormingen en investeringen in te voeren ter bevordering van duurzaam vervoer, via openbaar stadsvervoer, schone voertuigen en de bijbehorende infrastructuur, modal shift van weg naar spoor en intermodaal vervoer. Concurrentieaspecten worden aangepakt door middel van investeringssteun aan bedrijven voor de ontwikkeling van koolstofvrije vervoerstechnologieën. De verkeersveiligheid is gericht op een uitgebreide reeks hervormingen en investeringen om de veiligheid van specifieke weggedeelten te verbeteren. Investeringen in openbaar vervoer op het platteland zijn erop gericht van dergelijk vervoer een levensvatbaar alternatief voor auto’s te maken en de economische en sociale cohesie en inclusie te bevorderen. </w:t>
      </w:r>
    </w:p>
    <w:p w14:paraId="30F04CC4" w14:textId="3EBD5C39" w:rsidR="00480F1C" w:rsidRDefault="00A201F6">
      <w:pPr>
        <w:pStyle w:val="P68B1DB1-Normal05"/>
        <w:pBdr>
          <w:top w:val="nil"/>
          <w:left w:val="nil"/>
          <w:bottom w:val="nil"/>
          <w:right w:val="nil"/>
          <w:between w:val="nil"/>
        </w:pBdr>
        <w:spacing w:before="120" w:after="120" w:line="257" w:lineRule="auto"/>
        <w:jc w:val="both"/>
        <w:rPr>
          <w:rFonts w:eastAsia="Times New Roman" w:cs="Times New Roman"/>
          <w:noProof/>
          <w:color w:val="000000"/>
        </w:rPr>
      </w:pPr>
      <w:r>
        <w:rPr>
          <w:noProof/>
        </w:rPr>
        <w:t>De component draagt bij tot de uitvoering van de landspecifieke aanbeveling om het investeringsgerelateerd economisch beleid toe te spitsen op innovatie, vervoer, met name op duurzaamheid, digitale en energie-infrastructuur, gezondheidszorg en schonere energie, rekening houdend met regionale verschillen (landspecifieke aanbeveling 3 2019) en om de investeringen te richten op de groene en de digitale transitie, met name digitale infrastructuur, schone en efficiënte energieproductie en -gebruik en duurzaam vervoer, die zullen bijdragen tot de geleidelijke decarbonisatie van de economie, ook in steenkoolregio’s (landspecifieke aanbeveling 3 2020).</w:t>
      </w:r>
    </w:p>
    <w:p w14:paraId="79BCFB91" w14:textId="14DBE99C" w:rsidR="00480F1C" w:rsidRDefault="00A201F6">
      <w:pPr>
        <w:pStyle w:val="P68B1DB1-Normal05"/>
        <w:pBdr>
          <w:top w:val="nil"/>
          <w:left w:val="nil"/>
          <w:bottom w:val="nil"/>
          <w:right w:val="nil"/>
          <w:between w:val="nil"/>
        </w:pBdr>
        <w:spacing w:before="120" w:after="120" w:line="257" w:lineRule="auto"/>
        <w:jc w:val="both"/>
        <w:rPr>
          <w:rFonts w:eastAsia="Times New Roman" w:cs="Times New Roman"/>
          <w:noProof/>
          <w:color w:val="000000"/>
        </w:rPr>
      </w:pPr>
      <w:r>
        <w:rPr>
          <w:noProof/>
        </w:rPr>
        <w:t>Verwacht wordt dat geen enkele maatregel in deze component ernstige afbreuk doet aan milieudoelstellingen in de zin van artikel 17 van Verordening (EU) 2020/852, rekening houdend met de beschrijving van de maatregelen en de risicobeperkende stappen in het herstel- en veerkrachtplan overeenkomstig de technische richtsnoeren inzake het beginsel „geen ernstige afbreuk doen aan” (2021/C 58/01). Alle in het kader van dit onderdeel gefinancierde investeringsprojecten waarvoor een besluit inzake een milieueffectbeoordeling (MEB) vereist is, moeten in overeenstemming zijn met Richtlijn 2011/92/EU, zoals gewijzigd bij Richtlijn 2014/52/EU. Met name moeten alle nieuwe projecten waarvoor een MEB vereist is, worden goedgekeurd krachtens de</w:t>
      </w:r>
      <w:r>
        <w:rPr>
          <w:i/>
          <w:noProof/>
        </w:rPr>
        <w:t xml:space="preserve"> Wet op de verstrekking van informatie over het milieu en de bescherming daarvan, inspraak van het publiek in milieubescherming en milieueffectbeoordelingen, zoals gewijzigd bij de wet van 30 maart 2021 tot wijziging van die wet en bepaalde andere wetten</w:t>
      </w:r>
      <w:r>
        <w:rPr>
          <w:noProof/>
        </w:rPr>
        <w:t>. Bij de uitvoering van alle investeringsprojecten waarvoor een milieubesluit of een bouw- of ontwikkelingsvergunning is aangevraagd of afgegeven vóór de inwerkingtreding van de wet van 30 maart 2021, wordt rekening gehouden met de bepalingen van de „Richtsnoeren voor corrigerende maatregelen voor projecten die worden medegefinancierd door EU-fondsen die getroffen zijn door inbreuk 2016/2046”, zoals meegedeeld aan Polen op 23 februari 2021 (ref. Ares (2021) 1423319).</w:t>
      </w:r>
    </w:p>
    <w:p w14:paraId="47EE4D1F" w14:textId="77777777" w:rsidR="00480F1C" w:rsidRDefault="00A201F6">
      <w:pPr>
        <w:pStyle w:val="Normal0"/>
        <w:pageBreakBefore/>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themeColor="text1"/>
          <w:sz w:val="24"/>
        </w:rPr>
      </w:pPr>
      <w:r>
        <w:rPr>
          <w:rFonts w:ascii="Times New Roman" w:hAnsi="Times New Roman"/>
          <w:b/>
          <w:noProof/>
          <w:color w:val="000000" w:themeColor="text1"/>
          <w:sz w:val="24"/>
        </w:rPr>
        <w:t xml:space="preserve">E.1. </w:t>
      </w:r>
      <w:r>
        <w:rPr>
          <w:noProof/>
        </w:rPr>
        <w:tab/>
      </w:r>
      <w:r>
        <w:rPr>
          <w:rFonts w:ascii="Times New Roman" w:hAnsi="Times New Roman"/>
          <w:b/>
          <w:noProof/>
          <w:color w:val="000000" w:themeColor="text1"/>
          <w:sz w:val="24"/>
        </w:rPr>
        <w:t>Beschrijving van de hervormingen en investeringen voor niet-terugbetaalbare financiële steun</w:t>
      </w:r>
    </w:p>
    <w:p w14:paraId="6F5CD9ED"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i/>
          <w:noProof/>
          <w:color w:val="000000"/>
          <w:sz w:val="24"/>
        </w:rPr>
      </w:pPr>
    </w:p>
    <w:p w14:paraId="5EF90BB6"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E1.1 Verhoging van het gebruik van milieuvriendelijk vervoer</w:t>
      </w:r>
    </w:p>
    <w:p w14:paraId="6E223EAA"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Het doel van de hervorming is de uitstoot van broeikasgassen en luchtverontreinigende stoffen door het vervoer te verminderen en het aandeel alternatieve brandstoffen te vergroten door middel van een breed scala aan regelgevende en niet-regelgevende maatregelen die worden ingezet in het kader van een alomvattende langetermijnstrategie voor het koolstofvrij maken van het vervoer.</w:t>
      </w:r>
    </w:p>
    <w:p w14:paraId="013C6093" w14:textId="3036E1C8"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Ten eerste moet deze doelstelling van de hervorming worden verwezenlijkt door regionale en lokale overheden te verplichten om vanaf 2025 uitsluitend emissiearme en emissievrije bussen aan te schaffen in steden met meer dan 100,000 inwoners. Deze hervorming wordt uiterlijk op 31 december 2022 voltooid.</w:t>
      </w:r>
    </w:p>
    <w:p w14:paraId="037F87AE" w14:textId="5B6471E1"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Ten tweede wordt het gebruik van milieuvriendelijk vervoer aangemoedigd door middel van een reeks maatregelen ter ondersteuning van lokale overheden bij het opstellen en uitvoeren van duurzame stedelijke mobiliteitsplannen („SUMP’s”). Uiterlijk op 31 maart 2023 wordt een naar behoren gefinancierde administratieve structuur opgezet om technische en financiële steun te verlenen voor de ontwikkeling van lokale SUMP’s. De voortgang wordt getoetst aan een duidelijk omschreven doelstelling. </w:t>
      </w:r>
    </w:p>
    <w:p w14:paraId="121B5272"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Het derde element van deze hervorming bestaat in de invoering tegen juni 2026 van een registratie- en eigendomsbelasting voor emissiegerelateerde voertuigen overeenkomstig het beginsel „de vervuiler betaalt”. Het effect van deze hervorming, in combinatie met andere maatregelen, op het gebruik van schone voertuigen wordt gemeten aan de hand van een specifieke doelstelling om het aandeel elektrische voertuigen te verhogen. </w:t>
      </w:r>
    </w:p>
    <w:p w14:paraId="4A66DB38"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Er wordt ook een specifieke doelstelling vastgesteld voor het aantal buslijnen dat wordt ondersteund door het fonds voor openbaar vervoer om de beschikbaarheid van openbaar vervoer te bevorderen. </w:t>
      </w:r>
    </w:p>
    <w:p w14:paraId="4EF7FBD7" w14:textId="2613453B" w:rsidR="00480F1C" w:rsidRDefault="00A201F6">
      <w:pPr>
        <w:pStyle w:val="P68B1DB1-Normal05"/>
        <w:spacing w:before="120" w:after="120" w:line="240" w:lineRule="auto"/>
        <w:jc w:val="both"/>
        <w:rPr>
          <w:rFonts w:eastAsia="Times New Roman" w:cs="Times New Roman"/>
          <w:noProof/>
        </w:rPr>
      </w:pPr>
      <w:r>
        <w:rPr>
          <w:noProof/>
        </w:rPr>
        <w:t>De uitvoering van de hervorming wordt uiterlijk op 30 juni 2026 voltooid.</w:t>
      </w:r>
    </w:p>
    <w:p w14:paraId="27F045BF" w14:textId="77777777" w:rsidR="00480F1C" w:rsidRDefault="00480F1C">
      <w:pPr>
        <w:pStyle w:val="Normal0"/>
        <w:spacing w:before="120" w:after="120" w:line="240" w:lineRule="auto"/>
        <w:jc w:val="both"/>
        <w:rPr>
          <w:rFonts w:ascii="Times New Roman" w:eastAsia="Times New Roman" w:hAnsi="Times New Roman" w:cs="Times New Roman"/>
          <w:noProof/>
          <w:sz w:val="24"/>
          <w:u w:val="single"/>
        </w:rPr>
      </w:pPr>
    </w:p>
    <w:p w14:paraId="5931D26E"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E1.1.1 Steun voor een koolstofarme economie</w:t>
      </w:r>
    </w:p>
    <w:p w14:paraId="2E791449" w14:textId="23243934"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algemene doelstelling van de investering is bij te dragen tot de ontwikkeling van een koolstofarme en koolstofvrije economie door de industrie voor schone mobiliteit en energie te ondersteunen. De specifieke doelstelling van de investering is het vergroten van het potentieel van geselecteerde sectoren om emissievrije en koolstofarme productoplossingen te ontwikkelen.</w:t>
      </w:r>
    </w:p>
    <w:p w14:paraId="577E048B" w14:textId="597DEFCE" w:rsidR="00480F1C" w:rsidRDefault="00A201F6">
      <w:pPr>
        <w:pStyle w:val="Normal0"/>
        <w:spacing w:before="120" w:after="120" w:line="240" w:lineRule="auto"/>
        <w:jc w:val="both"/>
        <w:rPr>
          <w:rFonts w:ascii="Times New Roman" w:eastAsia="Times New Roman" w:hAnsi="Times New Roman" w:cs="Times New Roman"/>
          <w:noProof/>
          <w:color w:val="000000" w:themeColor="text1"/>
          <w:sz w:val="24"/>
        </w:rPr>
      </w:pPr>
      <w:r>
        <w:rPr>
          <w:rFonts w:ascii="Times New Roman" w:hAnsi="Times New Roman"/>
          <w:noProof/>
          <w:color w:val="000000" w:themeColor="text1"/>
          <w:sz w:val="24"/>
        </w:rPr>
        <w:t>Deze doelstellingen worden nagestreefd door de oprichting van een specifiek financieringsinstrument (fonds) voor bovengenoemde industriële projecten. Ondersteunde producten en technologieën kunnen met name onderzoeks- en innovatieprocessen, technologieoverdracht en samenwerking tussen ondernemingen omvatten die gericht zijn op de koolstofarme economie, met de nadruk op emissiearme en emissievrije innovatieve oplossingen op het gebied van duurzame mobiliteit en emissievrije en emissiearme energiebronnen. Begunstigden zijn in de eerste plaats kmo’s en midcaps. Dat fonds wordt, samen met zijn beleggingsstrategie, uiterlijk op 30 juni 2022 opgericht. De prestaties van het fonds ten opzichte van zijn doelstellingen worden gemonitord aan de hand van specifieke streefcijfers met betrekking tot de productiecapaciteit van nieuwe emissievrije voertuigen en de productie- en opslagcapaciteit van jaarlijks geproduceerde emissievrije/emissiearme opslagfaciliteiten, alsook oplossingen voor duurzame mobiliteit en emissievrije en emissiearme energiebronnen (met uitzondering van gecomprimeerd aardgas en vloeibaar aardgas). Om ervoor te zorgen dat de maatregel voldoet aan de technische richtsnoeren „geen ernstige afbreuk doen” (2021/C 58/01), worden de volgende activiteiten uitgesloten van de selectiecriteria van het financieringsinstrument: I) activiteiten in verband met fossiele brandstoffen, met inbegrip van downstreamgebruik</w:t>
      </w:r>
      <w:r>
        <w:rPr>
          <w:rStyle w:val="FootnoteReference"/>
          <w:rFonts w:ascii="Times New Roman" w:eastAsia="Times New Roman" w:hAnsi="Times New Roman" w:cs="Times New Roman"/>
          <w:noProof/>
          <w:color w:val="000000" w:themeColor="text1"/>
          <w:sz w:val="24"/>
        </w:rPr>
        <w:footnoteReference w:id="31"/>
      </w:r>
      <w:r>
        <w:rPr>
          <w:rFonts w:ascii="Times New Roman" w:hAnsi="Times New Roman"/>
          <w:noProof/>
          <w:color w:val="000000" w:themeColor="text1"/>
          <w:sz w:val="24"/>
        </w:rPr>
        <w:t>; II) activiteiten in het kader van het EU-emissiehandelssysteem (ETS) waarmee de verwachte broeikasgasemissies niet lager zijn dan de relevante benchmarks</w:t>
      </w:r>
      <w:r>
        <w:rPr>
          <w:rStyle w:val="FootnoteReference"/>
          <w:rFonts w:ascii="Times New Roman" w:eastAsia="Times New Roman" w:hAnsi="Times New Roman" w:cs="Times New Roman"/>
          <w:noProof/>
          <w:color w:val="000000" w:themeColor="text1"/>
          <w:sz w:val="24"/>
        </w:rPr>
        <w:footnoteReference w:id="32"/>
      </w:r>
      <w:r>
        <w:rPr>
          <w:rFonts w:ascii="Times New Roman" w:hAnsi="Times New Roman"/>
          <w:noProof/>
          <w:color w:val="000000" w:themeColor="text1"/>
          <w:sz w:val="24"/>
        </w:rPr>
        <w:t>; III) activiteiten in verband met stortplaatsen voor afval, verbrandingsinstallaties</w:t>
      </w:r>
      <w:r>
        <w:rPr>
          <w:rStyle w:val="FootnoteReference"/>
          <w:rFonts w:ascii="Times New Roman" w:eastAsia="Times New Roman" w:hAnsi="Times New Roman" w:cs="Times New Roman"/>
          <w:noProof/>
          <w:color w:val="000000" w:themeColor="text1"/>
          <w:sz w:val="24"/>
        </w:rPr>
        <w:footnoteReference w:id="33"/>
      </w:r>
      <w:r>
        <w:rPr>
          <w:rFonts w:ascii="Times New Roman" w:hAnsi="Times New Roman"/>
          <w:noProof/>
          <w:color w:val="000000" w:themeColor="text1"/>
          <w:sz w:val="24"/>
        </w:rPr>
        <w:t xml:space="preserve"> en installaties voor mechanische biologische behandeling</w:t>
      </w:r>
      <w:r>
        <w:rPr>
          <w:rStyle w:val="FootnoteReference"/>
          <w:rFonts w:ascii="Times New Roman" w:eastAsia="Times New Roman" w:hAnsi="Times New Roman" w:cs="Times New Roman"/>
          <w:noProof/>
          <w:color w:val="000000" w:themeColor="text1"/>
          <w:sz w:val="24"/>
        </w:rPr>
        <w:footnoteReference w:id="34"/>
      </w:r>
      <w:r>
        <w:rPr>
          <w:rFonts w:ascii="Times New Roman" w:hAnsi="Times New Roman"/>
          <w:noProof/>
          <w:color w:val="000000" w:themeColor="text1"/>
          <w:sz w:val="24"/>
        </w:rPr>
        <w:t>; en iv) activiteiten waarbij de langdurige verwijdering van afval schade kan toebrengen aan het milieu. In de taakomschrijving wordt bovendien bepaald dat alleen activiteiten mogen worden geselecteerd die voldoen aan de relevante EU- en nationale milieuwetgeving.</w:t>
      </w:r>
    </w:p>
    <w:p w14:paraId="61EDFBD2" w14:textId="2F436F8E" w:rsidR="00480F1C" w:rsidRDefault="00A201F6">
      <w:pPr>
        <w:pStyle w:val="P68B1DB1-Normal05"/>
        <w:spacing w:before="120" w:after="0" w:line="240" w:lineRule="auto"/>
        <w:jc w:val="both"/>
        <w:rPr>
          <w:rFonts w:eastAsia="Times New Roman" w:cs="Times New Roman"/>
          <w:noProof/>
        </w:rPr>
      </w:pPr>
      <w:r>
        <w:rPr>
          <w:noProof/>
        </w:rPr>
        <w:t>De uitvoering van de investering moet uiterlijk op 30 juni 2026 zijn voltooid.</w:t>
      </w:r>
    </w:p>
    <w:p w14:paraId="405D1947" w14:textId="77777777" w:rsidR="00480F1C" w:rsidRDefault="00480F1C">
      <w:pPr>
        <w:pStyle w:val="Normal0"/>
        <w:spacing w:before="120" w:after="0" w:line="240" w:lineRule="auto"/>
        <w:jc w:val="both"/>
        <w:rPr>
          <w:rFonts w:ascii="Times New Roman" w:eastAsia="Times New Roman" w:hAnsi="Times New Roman" w:cs="Times New Roman"/>
          <w:noProof/>
          <w:sz w:val="24"/>
          <w:u w:val="single"/>
        </w:rPr>
      </w:pPr>
    </w:p>
    <w:p w14:paraId="4A7069F5" w14:textId="7219C6D6" w:rsidR="00480F1C" w:rsidRDefault="00A201F6">
      <w:pPr>
        <w:pStyle w:val="P68B1DB1-Normal014"/>
        <w:spacing w:before="120" w:after="120" w:line="240" w:lineRule="auto"/>
        <w:jc w:val="both"/>
        <w:rPr>
          <w:rFonts w:eastAsia="Times New Roman" w:cs="Times New Roman"/>
          <w:noProof/>
        </w:rPr>
      </w:pPr>
      <w:r>
        <w:rPr>
          <w:noProof/>
        </w:rPr>
        <w:t>E1.1.2 Zero en emissiearm collectief vervoer (bussen)</w:t>
      </w:r>
    </w:p>
    <w:p w14:paraId="63ED9FAD"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investering is bedoeld om het openbaar vervoer schoner te maken en aantrekkelijker te maken ten opzichte van particuliere auto’s.</w:t>
      </w:r>
    </w:p>
    <w:p w14:paraId="6163D786" w14:textId="7582E8F5"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rPr>
      </w:pPr>
      <w:r>
        <w:rPr>
          <w:noProof/>
        </w:rPr>
        <w:t>De investering bestaat uit de aankoop van 579 schone bussen voor interstedelijk (emissievrij en emissiearm) vervoer tegen 30 juni 2026.</w:t>
      </w:r>
    </w:p>
    <w:p w14:paraId="036B6B03" w14:textId="1C14335D"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 aangekochte voertuigen maken collectief vervoer mogelijk in gebieden buiten de stad die tot dusver van vervoer zijn uitgesloten. Er worden verschillende soorten technologieën overwogen voor het aandrijven van emissievrije en emissiearme bussen (elektrische batterijen, klassieke hybriden en plug-in, voor gas: met inbegrip van LNG, LPG, CNG en andere typen, die allemaal voldoen aan de EURO VI-norm). </w:t>
      </w:r>
    </w:p>
    <w:p w14:paraId="02D254A9" w14:textId="5026AF41"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Dit zal leiden tot het gebruik van technologieën voor alternatieve brandstoffen om de uitrol van alternatieve brandstoffen in andere vervoersgebieden te versnellen. De actie moet voertuigen ondersteunen die voldoen aan alle vereiste en actuele normen voor eenheden die een bepaald type brandstof en aandrijving gebruiken.</w:t>
      </w:r>
    </w:p>
    <w:p w14:paraId="15C78039" w14:textId="3A739442" w:rsidR="00480F1C" w:rsidRDefault="00480F1C">
      <w:pPr>
        <w:pStyle w:val="Normal0"/>
        <w:pBdr>
          <w:top w:val="nil"/>
          <w:left w:val="nil"/>
          <w:bottom w:val="nil"/>
          <w:right w:val="nil"/>
          <w:between w:val="nil"/>
        </w:pBdr>
        <w:spacing w:before="120" w:after="0" w:line="240" w:lineRule="auto"/>
        <w:jc w:val="both"/>
        <w:rPr>
          <w:rFonts w:ascii="Times New Roman" w:eastAsia="Times New Roman" w:hAnsi="Times New Roman" w:cs="Times New Roman"/>
          <w:noProof/>
          <w:color w:val="000000"/>
          <w:sz w:val="24"/>
        </w:rPr>
      </w:pPr>
    </w:p>
    <w:p w14:paraId="7F0B7526" w14:textId="77777777" w:rsidR="006B4966" w:rsidRDefault="006B4966">
      <w:pPr>
        <w:pStyle w:val="Normal0"/>
        <w:pBdr>
          <w:top w:val="nil"/>
          <w:left w:val="nil"/>
          <w:bottom w:val="nil"/>
          <w:right w:val="nil"/>
          <w:between w:val="nil"/>
        </w:pBdr>
        <w:spacing w:before="120" w:after="0" w:line="240" w:lineRule="auto"/>
        <w:jc w:val="both"/>
        <w:rPr>
          <w:rFonts w:ascii="Times New Roman" w:eastAsia="Times New Roman" w:hAnsi="Times New Roman" w:cs="Times New Roman"/>
          <w:noProof/>
          <w:color w:val="000000"/>
          <w:sz w:val="24"/>
        </w:rPr>
      </w:pPr>
    </w:p>
    <w:p w14:paraId="2F5D6B87"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E2.1 Versterking van het concurrentievermogen van de spoorwegsector</w:t>
      </w:r>
    </w:p>
    <w:p w14:paraId="4D1E3AEC"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 modernisering van de spoorwegen wordt uitgevoerd door middel van een combinatie van hervormingen en investeringen. De hervorming is gericht op het vergroten van de veerkracht van spoorwegexploitanten en het vergroten van het concurrentievermogen en de efficiëntie van de spoorwegsector in de Poolse vervoerssector. </w:t>
      </w:r>
    </w:p>
    <w:p w14:paraId="36082E90" w14:textId="40BE64D6"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Dit wordt bereikt door prioriteiten voor intermodaal vervoer vast te stellen en de capaciteit voor de planning en uitrol van spoorwegvervoersprojecten te verbeteren. Dit wordt ook bereikt door infrastructuurbeheerders in staat te stellen de vergoedingen voor de toegang tot de infrastructuur te verlagen en infrastructuurbeheerders te compenseren voor de verlaging van die rechten. De hervorming verlaagt de kosten voor vervoersexploitanten en zorgt ervoor dat de capaciteit in stand wordt gehouden in een periode van verminderde vraag naar diensten, zorgt ervoor dat het spoorvervoer concurrerend blijft en voorkomt dat het aandeel van de sector in het vervoer tijdens noodsituaties, epidemieën of epidemieën afneemt. </w:t>
      </w:r>
    </w:p>
    <w:p w14:paraId="239FB76C"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hervorming wordt uiterlijk op 31 december 2022 voltooid.</w:t>
      </w:r>
    </w:p>
    <w:p w14:paraId="116CAAAD" w14:textId="77777777" w:rsidR="00480F1C" w:rsidRDefault="00A201F6">
      <w:pPr>
        <w:pStyle w:val="P68B1DB1-Normal05"/>
        <w:pBdr>
          <w:top w:val="nil"/>
          <w:left w:val="nil"/>
          <w:bottom w:val="nil"/>
          <w:right w:val="nil"/>
          <w:between w:val="nil"/>
        </w:pBdr>
        <w:spacing w:after="0" w:line="240" w:lineRule="auto"/>
        <w:jc w:val="both"/>
        <w:rPr>
          <w:rFonts w:eastAsia="Times New Roman" w:cs="Times New Roman"/>
          <w:noProof/>
          <w:color w:val="000000"/>
        </w:rPr>
      </w:pPr>
      <w:r>
        <w:rPr>
          <w:noProof/>
        </w:rPr>
        <w:t>De levensvatbaarheid van het spoor ten opzichte van andere vervoerswijzen moet ook worden verbeterd door het tolheffingssysteem uit te breiden tot nog eens 1 400 km snelwegen en autosnelwegen.</w:t>
      </w:r>
    </w:p>
    <w:p w14:paraId="527D639D" w14:textId="77777777" w:rsidR="00480F1C" w:rsidRDefault="00480F1C">
      <w:pPr>
        <w:pStyle w:val="Normal0"/>
        <w:pBdr>
          <w:top w:val="nil"/>
          <w:left w:val="nil"/>
          <w:bottom w:val="nil"/>
          <w:right w:val="nil"/>
          <w:between w:val="nil"/>
        </w:pBdr>
        <w:spacing w:before="120" w:after="0" w:line="240" w:lineRule="auto"/>
        <w:jc w:val="both"/>
        <w:rPr>
          <w:rFonts w:ascii="Times New Roman" w:eastAsia="Times New Roman" w:hAnsi="Times New Roman" w:cs="Times New Roman"/>
          <w:noProof/>
          <w:color w:val="000000"/>
          <w:sz w:val="24"/>
        </w:rPr>
      </w:pPr>
    </w:p>
    <w:p w14:paraId="44158554" w14:textId="4AC5398A"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E2.1.1 Spoorwegen</w:t>
      </w:r>
    </w:p>
    <w:p w14:paraId="689F1200" w14:textId="41418340"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Deze investering heeft tot doel de capaciteit en snelheid voor zowel het vracht- als het passagiersvervoer te verhogen.</w:t>
      </w:r>
    </w:p>
    <w:p w14:paraId="0AC9D3D3"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 investering bestaat uit de modernisering van 478 km spoorlijnen, waaronder 300 km met TEN-T-normen, uiterlijk op 30 juni 2026. De desbetreffende financiële overeenkomsten worden uiterlijk op 31 december 2024 ondertekend. </w:t>
      </w:r>
    </w:p>
    <w:p w14:paraId="5101B52C" w14:textId="77777777" w:rsidR="00480F1C" w:rsidRDefault="00480F1C">
      <w:pPr>
        <w:pStyle w:val="Normal0"/>
        <w:pBdr>
          <w:top w:val="nil"/>
          <w:left w:val="nil"/>
          <w:bottom w:val="nil"/>
          <w:right w:val="nil"/>
          <w:between w:val="nil"/>
        </w:pBdr>
        <w:spacing w:before="120" w:after="0" w:line="240" w:lineRule="auto"/>
        <w:jc w:val="both"/>
        <w:rPr>
          <w:rFonts w:ascii="Times New Roman" w:eastAsia="Times New Roman" w:hAnsi="Times New Roman" w:cs="Times New Roman"/>
          <w:noProof/>
          <w:color w:val="000000"/>
          <w:sz w:val="24"/>
        </w:rPr>
      </w:pPr>
    </w:p>
    <w:p w14:paraId="494BBFDA"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E2.1.2 Spoorwegen reizigerstreinen</w:t>
      </w:r>
    </w:p>
    <w:p w14:paraId="527914F9"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 investering is gericht op het vergroten van de aantrekkelijkheid en de levensvatbaarheid van het spoorvervoer. </w:t>
      </w:r>
    </w:p>
    <w:p w14:paraId="2BD60BAC" w14:textId="0514CA4F"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Dit moet worden bereikt door de aankoop van rollend materieel voor langeafstands- en regionaal gebruik. Rollend materieel moet emissievrij/elektrisch zijn en zijn uitgerust met het Europees beheersysteem voor het spoorverkeer: 77 eenheden voor regionale lijnen en 304 eenheden (56 nieuwe locomotieven en 248 gemoderniseerde wagons) voor lijnen over lange afstand (in het kader van openbaredienstcontracten). De investering moet uiterlijk op 30 juni 2026 zijn voltooid. De desbetreffende financiële overeenkomsten worden uiterlijk op 31 maart 2024 ondertekend.</w:t>
      </w:r>
    </w:p>
    <w:p w14:paraId="3C8EC45C" w14:textId="77777777" w:rsidR="00480F1C" w:rsidRDefault="00480F1C">
      <w:pPr>
        <w:pStyle w:val="Normal0"/>
        <w:pBdr>
          <w:top w:val="nil"/>
          <w:left w:val="nil"/>
          <w:bottom w:val="nil"/>
          <w:right w:val="nil"/>
          <w:between w:val="nil"/>
        </w:pBdr>
        <w:spacing w:before="120" w:after="0" w:line="240" w:lineRule="auto"/>
        <w:jc w:val="both"/>
        <w:rPr>
          <w:rFonts w:ascii="Times New Roman" w:eastAsia="Times New Roman" w:hAnsi="Times New Roman" w:cs="Times New Roman"/>
          <w:noProof/>
          <w:color w:val="000000"/>
          <w:sz w:val="24"/>
        </w:rPr>
      </w:pPr>
    </w:p>
    <w:p w14:paraId="12BBF11E"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E2.1.3 Intermodale projecten</w:t>
      </w:r>
    </w:p>
    <w:p w14:paraId="095D56F7"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investering is gericht op de ondersteuning van intermodaal vervoer door middel van passende investeringen.</w:t>
      </w:r>
    </w:p>
    <w:p w14:paraId="76380612" w14:textId="5E206685"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investering bestaat uit het vergroten van de capaciteit van intermodale overslagterminals, waarbij de nadruk ligt op overslagterminals voor weg- en spoorvervoer en rollend materieel. De desbetreffende financiële overeenkomsten worden uiterlijk op 31 december 2024 ondertekend. Het effect van de investering wordt gemeten aan de hand van een streefcijfer dat is geformuleerd in termen van de relatieve toename van de overslagcapaciteit van terminals die in het kader van het herstel- en veerkrachtplan worden ondersteund.</w:t>
      </w:r>
    </w:p>
    <w:p w14:paraId="326DC100" w14:textId="77777777" w:rsidR="00480F1C" w:rsidRDefault="00480F1C">
      <w:pPr>
        <w:pStyle w:val="Normal0"/>
        <w:pBdr>
          <w:top w:val="nil"/>
          <w:left w:val="nil"/>
          <w:bottom w:val="nil"/>
          <w:right w:val="nil"/>
          <w:between w:val="nil"/>
        </w:pBdr>
        <w:spacing w:before="120" w:after="0" w:line="240" w:lineRule="auto"/>
        <w:jc w:val="both"/>
        <w:rPr>
          <w:rFonts w:ascii="Times New Roman" w:eastAsia="Times New Roman" w:hAnsi="Times New Roman" w:cs="Times New Roman"/>
          <w:noProof/>
          <w:color w:val="000000"/>
          <w:sz w:val="24"/>
        </w:rPr>
      </w:pPr>
    </w:p>
    <w:p w14:paraId="13A756E7"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E2.2 Verbetering van de veiligheid van het vervoer</w:t>
      </w:r>
    </w:p>
    <w:p w14:paraId="25D296D1"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 hervorming is gericht op het verhogen van de veiligheid van het vervoer, met bijzondere aandacht voor de veiligheid van kwetsbare vervoergebruikers. </w:t>
      </w:r>
    </w:p>
    <w:p w14:paraId="66BC9851" w14:textId="77777777" w:rsidR="006B4966" w:rsidRDefault="00A201F6" w:rsidP="006B4966">
      <w:pPr>
        <w:pStyle w:val="P68B1DB1-Normal05"/>
        <w:pBdr>
          <w:top w:val="nil"/>
          <w:left w:val="nil"/>
          <w:bottom w:val="nil"/>
          <w:right w:val="nil"/>
          <w:between w:val="nil"/>
        </w:pBdr>
        <w:spacing w:before="120" w:after="120" w:line="240" w:lineRule="auto"/>
        <w:jc w:val="both"/>
        <w:rPr>
          <w:noProof/>
        </w:rPr>
      </w:pPr>
      <w:r>
        <w:rPr>
          <w:noProof/>
        </w:rPr>
        <w:t>De hervorming bestaat uit een reeks wetswijzigingen waarbij prioriteit wordt gegeven aan voetgangers op kruisingen, uniforme snelheid in bebouwde gebieden en minimumafstand tussen voertuigen. Deze wetswijzigingen moesten uiterlijk op 31 december 2021 in werking treden. De voortgang van de hervorming moet worden afgezet tegen een verkeersveiligheidsdoelstelling inzake een relatieve daling van het aantal doden en zwaargewonden, in overeenstemming met de doelstellingen van de EU en de lidstaten op het gebied van verkeersveiligheid.</w:t>
      </w:r>
    </w:p>
    <w:p w14:paraId="77BF1AF7" w14:textId="77777777" w:rsidR="006B4966" w:rsidRDefault="006B4966" w:rsidP="006B4966">
      <w:pPr>
        <w:pStyle w:val="P68B1DB1-Normal05"/>
        <w:pBdr>
          <w:top w:val="nil"/>
          <w:left w:val="nil"/>
          <w:bottom w:val="nil"/>
          <w:right w:val="nil"/>
          <w:between w:val="nil"/>
        </w:pBdr>
        <w:spacing w:before="120" w:after="120" w:line="240" w:lineRule="auto"/>
        <w:jc w:val="both"/>
        <w:rPr>
          <w:noProof/>
        </w:rPr>
      </w:pPr>
    </w:p>
    <w:p w14:paraId="6D4FEDDE" w14:textId="6C2C3A22" w:rsidR="00480F1C" w:rsidRPr="006B4966" w:rsidRDefault="00A201F6" w:rsidP="006B4966">
      <w:pPr>
        <w:pStyle w:val="P68B1DB1-Normal05"/>
        <w:pBdr>
          <w:top w:val="nil"/>
          <w:left w:val="nil"/>
          <w:bottom w:val="nil"/>
          <w:right w:val="nil"/>
          <w:between w:val="nil"/>
        </w:pBdr>
        <w:spacing w:before="120" w:after="120" w:line="240" w:lineRule="auto"/>
        <w:jc w:val="both"/>
        <w:rPr>
          <w:rFonts w:eastAsia="Times New Roman" w:cs="Times New Roman"/>
          <w:b/>
          <w:bCs/>
          <w:noProof/>
          <w:color w:val="000000"/>
          <w:u w:val="single"/>
        </w:rPr>
      </w:pPr>
      <w:r w:rsidRPr="006B4966">
        <w:rPr>
          <w:b/>
          <w:bCs/>
          <w:noProof/>
          <w:u w:val="single"/>
        </w:rPr>
        <w:t>E2.2.1 Investeringen in de veiligheid van het vervoer</w:t>
      </w:r>
    </w:p>
    <w:p w14:paraId="32F57F18"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 investering is gericht op het verhogen van de veiligheid van het wegvervoer. </w:t>
      </w:r>
    </w:p>
    <w:p w14:paraId="38284F94"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rPr>
      </w:pPr>
      <w:r>
        <w:rPr>
          <w:noProof/>
        </w:rPr>
        <w:t xml:space="preserve">Die investering bestaat uit de modernisering van 305 gevaarlijke wegen black/hotspots, 90 km lange ringwegen die zijn aangelegd om zwarte/hotspots te verwijderen, en 128 automatische wegbewakingsapparatuur. </w:t>
      </w:r>
    </w:p>
    <w:p w14:paraId="1BFB6461" w14:textId="6307AA9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De investeringen moeten uiterlijk op 30 juni 2026 zijn voltooid.</w:t>
      </w:r>
    </w:p>
    <w:p w14:paraId="66FDCF4E" w14:textId="77777777" w:rsidR="00480F1C" w:rsidRDefault="00480F1C">
      <w:pPr>
        <w:pStyle w:val="Normal0"/>
        <w:pBdr>
          <w:top w:val="nil"/>
          <w:left w:val="nil"/>
          <w:bottom w:val="nil"/>
          <w:right w:val="nil"/>
          <w:between w:val="nil"/>
        </w:pBdr>
        <w:spacing w:before="120" w:after="0" w:line="240" w:lineRule="auto"/>
        <w:jc w:val="both"/>
        <w:rPr>
          <w:rFonts w:ascii="Times New Roman" w:eastAsia="Times New Roman" w:hAnsi="Times New Roman" w:cs="Times New Roman"/>
          <w:noProof/>
          <w:color w:val="000000"/>
          <w:sz w:val="24"/>
        </w:rPr>
      </w:pPr>
    </w:p>
    <w:p w14:paraId="0E7E0800" w14:textId="77777777" w:rsidR="00480F1C" w:rsidRDefault="00A201F6">
      <w:pPr>
        <w:pStyle w:val="P68B1DB1-Normal014"/>
        <w:pBdr>
          <w:top w:val="nil"/>
          <w:left w:val="nil"/>
          <w:bottom w:val="nil"/>
          <w:right w:val="nil"/>
          <w:between w:val="nil"/>
        </w:pBdr>
        <w:spacing w:before="120" w:after="120" w:line="240" w:lineRule="auto"/>
        <w:jc w:val="both"/>
        <w:rPr>
          <w:rFonts w:eastAsia="Times New Roman" w:cs="Times New Roman"/>
          <w:noProof/>
          <w:color w:val="000000"/>
        </w:rPr>
      </w:pPr>
      <w:r>
        <w:rPr>
          <w:noProof/>
        </w:rPr>
        <w:t>E2.2.2 Digitalisering van het vervoer</w:t>
      </w:r>
    </w:p>
    <w:p w14:paraId="5C39EA61" w14:textId="77777777" w:rsidR="00480F1C" w:rsidRDefault="00A201F6">
      <w:pPr>
        <w:pStyle w:val="P68B1DB1-Normal05"/>
        <w:pBdr>
          <w:top w:val="nil"/>
          <w:left w:val="nil"/>
          <w:bottom w:val="nil"/>
          <w:right w:val="nil"/>
          <w:between w:val="nil"/>
        </w:pBdr>
        <w:spacing w:before="120" w:after="120" w:line="240" w:lineRule="auto"/>
        <w:jc w:val="both"/>
        <w:rPr>
          <w:rFonts w:eastAsia="Times New Roman" w:cs="Times New Roman"/>
          <w:noProof/>
          <w:color w:val="000000"/>
        </w:rPr>
      </w:pPr>
      <w:r>
        <w:rPr>
          <w:noProof/>
        </w:rPr>
        <w:t xml:space="preserve">De maatregel heeft tot doel de spoorwegen en het openbaar vervoer aantrekkelijker en efficiënter te maken door de invoering van digitale oplossingen. </w:t>
      </w:r>
    </w:p>
    <w:p w14:paraId="3BEE236D" w14:textId="77777777" w:rsidR="00480F1C" w:rsidRDefault="00480F1C">
      <w:pPr>
        <w:pStyle w:val="Normal0"/>
        <w:pBdr>
          <w:top w:val="nil"/>
          <w:left w:val="nil"/>
          <w:bottom w:val="nil"/>
          <w:right w:val="nil"/>
          <w:between w:val="nil"/>
        </w:pBdr>
        <w:spacing w:after="0" w:line="240" w:lineRule="auto"/>
        <w:jc w:val="both"/>
        <w:rPr>
          <w:rFonts w:ascii="Times New Roman" w:eastAsia="Times New Roman" w:hAnsi="Times New Roman" w:cs="Times New Roman"/>
          <w:noProof/>
          <w:color w:val="000000"/>
          <w:sz w:val="24"/>
        </w:rPr>
      </w:pPr>
    </w:p>
    <w:p w14:paraId="54065544" w14:textId="4FFCCB3E" w:rsidR="00480F1C" w:rsidRDefault="00A201F6">
      <w:pPr>
        <w:pStyle w:val="P68B1DB1-Normal05"/>
        <w:pBdr>
          <w:top w:val="nil"/>
          <w:left w:val="nil"/>
          <w:bottom w:val="nil"/>
          <w:right w:val="nil"/>
          <w:between w:val="nil"/>
        </w:pBdr>
        <w:spacing w:after="0" w:line="240" w:lineRule="auto"/>
        <w:jc w:val="both"/>
        <w:rPr>
          <w:rFonts w:eastAsia="Times New Roman" w:cs="Times New Roman"/>
          <w:noProof/>
          <w:color w:val="000000"/>
        </w:rPr>
      </w:pPr>
      <w:r>
        <w:rPr>
          <w:noProof/>
        </w:rPr>
        <w:t>De maatregel omvat investeringen in:</w:t>
      </w:r>
    </w:p>
    <w:p w14:paraId="36FFD098" w14:textId="290FAA6B" w:rsidR="00480F1C" w:rsidRDefault="00A201F6">
      <w:pPr>
        <w:pStyle w:val="P68B1DB1-Normal05"/>
        <w:numPr>
          <w:ilvl w:val="0"/>
          <w:numId w:val="16"/>
        </w:numPr>
        <w:pBdr>
          <w:top w:val="nil"/>
          <w:left w:val="nil"/>
          <w:bottom w:val="nil"/>
          <w:right w:val="nil"/>
          <w:between w:val="nil"/>
        </w:pBdr>
        <w:spacing w:after="0" w:line="240" w:lineRule="auto"/>
        <w:jc w:val="both"/>
        <w:rPr>
          <w:rFonts w:eastAsia="Times New Roman" w:cs="Times New Roman"/>
          <w:noProof/>
          <w:color w:val="000000"/>
        </w:rPr>
      </w:pPr>
      <w:r>
        <w:rPr>
          <w:noProof/>
        </w:rPr>
        <w:t>aankoop en installatie van 160 ERTMS-boordapparatuur;</w:t>
      </w:r>
    </w:p>
    <w:p w14:paraId="0C2FDF94" w14:textId="77777777" w:rsidR="00480F1C" w:rsidRDefault="00A201F6">
      <w:pPr>
        <w:pStyle w:val="P68B1DB1-Normal05"/>
        <w:numPr>
          <w:ilvl w:val="0"/>
          <w:numId w:val="16"/>
        </w:numPr>
        <w:pBdr>
          <w:top w:val="nil"/>
          <w:left w:val="nil"/>
          <w:bottom w:val="nil"/>
          <w:right w:val="nil"/>
          <w:between w:val="nil"/>
        </w:pBdr>
        <w:spacing w:after="0" w:line="240" w:lineRule="auto"/>
        <w:jc w:val="both"/>
        <w:rPr>
          <w:rFonts w:eastAsia="Times New Roman" w:cs="Times New Roman"/>
          <w:noProof/>
          <w:color w:val="000000"/>
        </w:rPr>
      </w:pPr>
      <w:r>
        <w:rPr>
          <w:noProof/>
        </w:rPr>
        <w:t>invoering van afstandsbediening op 35 treinstations;</w:t>
      </w:r>
    </w:p>
    <w:p w14:paraId="0391A202" w14:textId="77777777" w:rsidR="00480F1C" w:rsidRDefault="00A201F6">
      <w:pPr>
        <w:pStyle w:val="P68B1DB1-Normal05"/>
        <w:numPr>
          <w:ilvl w:val="0"/>
          <w:numId w:val="16"/>
        </w:numPr>
        <w:pBdr>
          <w:top w:val="nil"/>
          <w:left w:val="nil"/>
          <w:bottom w:val="nil"/>
          <w:right w:val="nil"/>
          <w:between w:val="nil"/>
        </w:pBdr>
        <w:spacing w:after="0" w:line="240" w:lineRule="auto"/>
        <w:jc w:val="both"/>
        <w:rPr>
          <w:rFonts w:eastAsia="Times New Roman" w:cs="Times New Roman"/>
          <w:noProof/>
          <w:color w:val="000000"/>
        </w:rPr>
      </w:pPr>
      <w:r>
        <w:rPr>
          <w:noProof/>
        </w:rPr>
        <w:t>modernisering van de spoorwegsystemen op 45 locaties;</w:t>
      </w:r>
    </w:p>
    <w:p w14:paraId="4A5E45A5" w14:textId="77777777" w:rsidR="00480F1C" w:rsidRDefault="00A201F6">
      <w:pPr>
        <w:pStyle w:val="P68B1DB1-Normal05"/>
        <w:numPr>
          <w:ilvl w:val="0"/>
          <w:numId w:val="16"/>
        </w:numPr>
        <w:pBdr>
          <w:top w:val="nil"/>
          <w:left w:val="nil"/>
          <w:bottom w:val="nil"/>
          <w:right w:val="nil"/>
          <w:between w:val="nil"/>
        </w:pBdr>
        <w:spacing w:after="0" w:line="240" w:lineRule="auto"/>
        <w:jc w:val="both"/>
        <w:rPr>
          <w:rFonts w:eastAsia="Times New Roman" w:cs="Times New Roman"/>
          <w:noProof/>
          <w:color w:val="000000"/>
        </w:rPr>
      </w:pPr>
      <w:r>
        <w:rPr>
          <w:noProof/>
        </w:rPr>
        <w:t>bouw en renovatie van plaatselijke controlecentra en investeringen in verkeersbeheer;</w:t>
      </w:r>
    </w:p>
    <w:p w14:paraId="0CCC0888" w14:textId="77777777" w:rsidR="00480F1C" w:rsidRDefault="00480F1C">
      <w:pPr>
        <w:pStyle w:val="Normal0"/>
        <w:pBdr>
          <w:top w:val="nil"/>
          <w:left w:val="nil"/>
          <w:bottom w:val="nil"/>
          <w:right w:val="nil"/>
          <w:between w:val="nil"/>
        </w:pBdr>
        <w:spacing w:after="0" w:line="240" w:lineRule="auto"/>
        <w:jc w:val="both"/>
        <w:rPr>
          <w:rFonts w:ascii="Times New Roman" w:eastAsia="Times New Roman" w:hAnsi="Times New Roman" w:cs="Times New Roman"/>
          <w:noProof/>
          <w:color w:val="000000"/>
          <w:sz w:val="24"/>
        </w:rPr>
      </w:pPr>
    </w:p>
    <w:p w14:paraId="7C11670D" w14:textId="59099F8A" w:rsidR="00480F1C" w:rsidRDefault="00A201F6">
      <w:pPr>
        <w:pStyle w:val="P68B1DB1-Normal05"/>
        <w:pBdr>
          <w:top w:val="nil"/>
          <w:left w:val="nil"/>
          <w:bottom w:val="nil"/>
          <w:right w:val="nil"/>
          <w:between w:val="nil"/>
        </w:pBdr>
        <w:spacing w:after="0" w:line="240" w:lineRule="auto"/>
        <w:jc w:val="both"/>
        <w:rPr>
          <w:rFonts w:eastAsia="Times New Roman" w:cs="Times New Roman"/>
          <w:noProof/>
          <w:color w:val="000000"/>
        </w:rPr>
      </w:pPr>
      <w:r>
        <w:rPr>
          <w:noProof/>
        </w:rPr>
        <w:t xml:space="preserve">uiterlijk op 30 juni 2026 af te ronden en uiterlijk op 31 maart 2025 de bouw van SDIP (Dynamic Passenger Information System) en andere systemen op 55 locaties. </w:t>
      </w:r>
    </w:p>
    <w:p w14:paraId="10AD3B2E" w14:textId="77777777" w:rsidR="00480F1C" w:rsidRDefault="00480F1C">
      <w:pPr>
        <w:pStyle w:val="Normal0"/>
        <w:pBdr>
          <w:top w:val="nil"/>
          <w:left w:val="nil"/>
          <w:bottom w:val="nil"/>
          <w:right w:val="nil"/>
          <w:between w:val="nil"/>
        </w:pBdr>
        <w:spacing w:after="0" w:line="240" w:lineRule="auto"/>
        <w:jc w:val="both"/>
        <w:rPr>
          <w:rFonts w:ascii="Times New Roman" w:eastAsia="Times New Roman" w:hAnsi="Times New Roman" w:cs="Times New Roman"/>
          <w:noProof/>
          <w:color w:val="000000"/>
          <w:sz w:val="24"/>
        </w:rPr>
        <w:sectPr w:rsidR="00480F1C">
          <w:headerReference w:type="even" r:id="rId127"/>
          <w:headerReference w:type="default" r:id="rId128"/>
          <w:footerReference w:type="even" r:id="rId129"/>
          <w:footerReference w:type="default" r:id="rId130"/>
          <w:headerReference w:type="first" r:id="rId131"/>
          <w:footerReference w:type="first" r:id="rId132"/>
          <w:pgSz w:w="11907" w:h="16839"/>
          <w:pgMar w:top="1134" w:right="1417" w:bottom="1134" w:left="1417" w:header="709" w:footer="709" w:gutter="0"/>
          <w:cols w:space="720"/>
        </w:sectPr>
      </w:pPr>
    </w:p>
    <w:p w14:paraId="4A990D24" w14:textId="2E8A5347" w:rsidR="00480F1C" w:rsidRDefault="00A201F6">
      <w:pPr>
        <w:pStyle w:val="Normal0"/>
        <w:pBdr>
          <w:top w:val="nil"/>
          <w:left w:val="nil"/>
          <w:bottom w:val="nil"/>
          <w:right w:val="nil"/>
          <w:between w:val="nil"/>
        </w:pBdr>
        <w:spacing w:after="0" w:line="240" w:lineRule="auto"/>
        <w:jc w:val="both"/>
        <w:rPr>
          <w:rFonts w:ascii="Times New Roman" w:eastAsia="Times New Roman" w:hAnsi="Times New Roman" w:cs="Times New Roman"/>
          <w:noProof/>
          <w:color w:val="000000"/>
          <w:sz w:val="24"/>
        </w:rPr>
      </w:pPr>
      <w:r>
        <w:rPr>
          <w:rFonts w:ascii="Times New Roman" w:hAnsi="Times New Roman"/>
          <w:b/>
          <w:noProof/>
          <w:color w:val="000000"/>
          <w:sz w:val="24"/>
        </w:rPr>
        <w:t xml:space="preserve">E.2. </w:t>
      </w:r>
      <w:r>
        <w:rPr>
          <w:noProof/>
        </w:rPr>
        <w:tab/>
      </w:r>
      <w:r>
        <w:rPr>
          <w:rFonts w:ascii="Times New Roman" w:hAnsi="Times New Roman"/>
          <w:b/>
          <w:noProof/>
          <w:color w:val="000000"/>
          <w:sz w:val="24"/>
        </w:rPr>
        <w:t>Mijlpalen, streefdoelen, indicatoren en tijdschema voor de monitoring en uitvoering voor niet-terugbetaalbare financiële steun</w:t>
      </w:r>
    </w:p>
    <w:p w14:paraId="128A8B0E" w14:textId="1326CAD4" w:rsidR="00480F1C" w:rsidRDefault="00480F1C">
      <w:pPr>
        <w:pStyle w:val="Normal0"/>
        <w:pBdr>
          <w:top w:val="nil"/>
          <w:left w:val="nil"/>
          <w:bottom w:val="nil"/>
          <w:right w:val="nil"/>
          <w:between w:val="nil"/>
        </w:pBdr>
        <w:spacing w:after="0" w:line="240" w:lineRule="auto"/>
        <w:jc w:val="both"/>
        <w:rPr>
          <w:rFonts w:ascii="Times New Roman" w:eastAsia="Times New Roman" w:hAnsi="Times New Roman" w:cs="Times New Roman"/>
          <w:noProof/>
          <w:color w:val="000000"/>
          <w:sz w:val="24"/>
        </w:rPr>
      </w:pPr>
    </w:p>
    <w:tbl>
      <w:tblPr>
        <w:tblW w:w="15451"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115" w:type="dxa"/>
          <w:right w:w="115" w:type="dxa"/>
        </w:tblCellMar>
        <w:tblLook w:val="0400" w:firstRow="0" w:lastRow="0" w:firstColumn="0" w:lastColumn="0" w:noHBand="0" w:noVBand="1"/>
      </w:tblPr>
      <w:tblGrid>
        <w:gridCol w:w="655"/>
        <w:gridCol w:w="1280"/>
        <w:gridCol w:w="1027"/>
        <w:gridCol w:w="2029"/>
        <w:gridCol w:w="1279"/>
        <w:gridCol w:w="1221"/>
        <w:gridCol w:w="1016"/>
        <w:gridCol w:w="1416"/>
        <w:gridCol w:w="992"/>
        <w:gridCol w:w="851"/>
        <w:gridCol w:w="3685"/>
      </w:tblGrid>
      <w:tr w:rsidR="00480F1C" w14:paraId="3AECB42C" w14:textId="77777777">
        <w:trPr>
          <w:trHeight w:val="927"/>
          <w:tblHeader/>
        </w:trPr>
        <w:tc>
          <w:tcPr>
            <w:tcW w:w="655" w:type="dxa"/>
            <w:vMerge w:val="restart"/>
            <w:shd w:val="clear" w:color="auto" w:fill="BDD7EE"/>
            <w:vAlign w:val="center"/>
          </w:tcPr>
          <w:p w14:paraId="082BC4BA" w14:textId="75C6C4A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Volgende NR.</w:t>
            </w:r>
          </w:p>
        </w:tc>
        <w:tc>
          <w:tcPr>
            <w:tcW w:w="1280" w:type="dxa"/>
            <w:vMerge w:val="restart"/>
            <w:shd w:val="clear" w:color="auto" w:fill="BDD7EE"/>
            <w:vAlign w:val="center"/>
          </w:tcPr>
          <w:p w14:paraId="170A6B5D"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Gerelateerde maatregel (hervorming of investering)</w:t>
            </w:r>
          </w:p>
        </w:tc>
        <w:tc>
          <w:tcPr>
            <w:tcW w:w="1027" w:type="dxa"/>
            <w:vMerge w:val="restart"/>
            <w:shd w:val="clear" w:color="auto" w:fill="BDD7EE"/>
            <w:vAlign w:val="center"/>
          </w:tcPr>
          <w:p w14:paraId="31F2519E"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Mijlpaal/Doelstelling</w:t>
            </w:r>
          </w:p>
        </w:tc>
        <w:tc>
          <w:tcPr>
            <w:tcW w:w="2029" w:type="dxa"/>
            <w:vMerge w:val="restart"/>
            <w:shd w:val="clear" w:color="auto" w:fill="BDD7EE"/>
            <w:vAlign w:val="center"/>
          </w:tcPr>
          <w:p w14:paraId="5EDE3703"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Naam</w:t>
            </w:r>
          </w:p>
        </w:tc>
        <w:tc>
          <w:tcPr>
            <w:tcW w:w="1279" w:type="dxa"/>
            <w:vMerge w:val="restart"/>
            <w:shd w:val="clear" w:color="auto" w:fill="BDD7EE"/>
            <w:vAlign w:val="center"/>
          </w:tcPr>
          <w:p w14:paraId="5C11EE00"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themeColor="text1"/>
                <w:sz w:val="18"/>
              </w:rPr>
              <w:t>Kwalitatieve indicatoren</w:t>
            </w:r>
            <w:r>
              <w:rPr>
                <w:noProof/>
              </w:rPr>
              <w:t xml:space="preserve"> </w:t>
            </w:r>
            <w:r>
              <w:rPr>
                <w:noProof/>
              </w:rPr>
              <w:br/>
            </w:r>
            <w:r>
              <w:rPr>
                <w:rFonts w:ascii="Times New Roman" w:hAnsi="Times New Roman"/>
                <w:b/>
                <w:noProof/>
                <w:color w:val="000000" w:themeColor="text1"/>
                <w:sz w:val="18"/>
              </w:rPr>
              <w:t>(voor mijlpalen)</w:t>
            </w:r>
          </w:p>
        </w:tc>
        <w:tc>
          <w:tcPr>
            <w:tcW w:w="3653" w:type="dxa"/>
            <w:gridSpan w:val="3"/>
            <w:shd w:val="clear" w:color="auto" w:fill="BDD7EE"/>
            <w:vAlign w:val="center"/>
          </w:tcPr>
          <w:p w14:paraId="1B96B1E6"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themeColor="text1"/>
                <w:sz w:val="18"/>
              </w:rPr>
              <w:t>Kwantitatieve indicatoren</w:t>
            </w:r>
            <w:r>
              <w:rPr>
                <w:noProof/>
              </w:rPr>
              <w:t xml:space="preserve"> </w:t>
            </w:r>
            <w:r>
              <w:rPr>
                <w:noProof/>
              </w:rPr>
              <w:br/>
            </w:r>
            <w:r>
              <w:rPr>
                <w:rFonts w:ascii="Times New Roman" w:hAnsi="Times New Roman"/>
                <w:b/>
                <w:noProof/>
                <w:color w:val="000000" w:themeColor="text1"/>
                <w:sz w:val="18"/>
              </w:rPr>
              <w:t>(voor streefcijfers)</w:t>
            </w:r>
          </w:p>
        </w:tc>
        <w:tc>
          <w:tcPr>
            <w:tcW w:w="1843" w:type="dxa"/>
            <w:gridSpan w:val="2"/>
            <w:shd w:val="clear" w:color="auto" w:fill="BDD7EE"/>
            <w:vAlign w:val="center"/>
          </w:tcPr>
          <w:p w14:paraId="79F0030E"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Indicatieve termijn voor voltooiing</w:t>
            </w:r>
          </w:p>
        </w:tc>
        <w:tc>
          <w:tcPr>
            <w:tcW w:w="3685" w:type="dxa"/>
            <w:vMerge w:val="restart"/>
            <w:shd w:val="clear" w:color="auto" w:fill="BDD7EE"/>
            <w:vAlign w:val="center"/>
          </w:tcPr>
          <w:p w14:paraId="370146CB"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Beschrijving van elke mijlpaal en doelstelling</w:t>
            </w:r>
          </w:p>
          <w:p w14:paraId="4DAC6CA9" w14:textId="02775A9A" w:rsidR="00480F1C" w:rsidRDefault="00480F1C">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p>
        </w:tc>
      </w:tr>
      <w:tr w:rsidR="00480F1C" w14:paraId="154BEFBD" w14:textId="77777777">
        <w:trPr>
          <w:trHeight w:val="927"/>
        </w:trPr>
        <w:tc>
          <w:tcPr>
            <w:tcW w:w="655" w:type="dxa"/>
            <w:vMerge/>
            <w:vAlign w:val="center"/>
          </w:tcPr>
          <w:p w14:paraId="3859399C" w14:textId="77777777" w:rsidR="00480F1C" w:rsidRDefault="00480F1C">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p>
        </w:tc>
        <w:tc>
          <w:tcPr>
            <w:tcW w:w="1280" w:type="dxa"/>
            <w:vMerge/>
            <w:vAlign w:val="center"/>
          </w:tcPr>
          <w:p w14:paraId="5203E758" w14:textId="77777777" w:rsidR="00480F1C" w:rsidRDefault="00480F1C">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p>
        </w:tc>
        <w:tc>
          <w:tcPr>
            <w:tcW w:w="1027" w:type="dxa"/>
            <w:vMerge/>
            <w:vAlign w:val="center"/>
          </w:tcPr>
          <w:p w14:paraId="7ACEF45B" w14:textId="77777777" w:rsidR="00480F1C" w:rsidRDefault="00480F1C">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p>
        </w:tc>
        <w:tc>
          <w:tcPr>
            <w:tcW w:w="2029" w:type="dxa"/>
            <w:vMerge/>
            <w:vAlign w:val="center"/>
          </w:tcPr>
          <w:p w14:paraId="70813BA5" w14:textId="77777777" w:rsidR="00480F1C" w:rsidRDefault="00480F1C">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p>
        </w:tc>
        <w:tc>
          <w:tcPr>
            <w:tcW w:w="1279" w:type="dxa"/>
            <w:vMerge/>
            <w:vAlign w:val="center"/>
          </w:tcPr>
          <w:p w14:paraId="28DA1B0F" w14:textId="77777777" w:rsidR="00480F1C" w:rsidRDefault="00480F1C">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themeColor="text1"/>
                <w:sz w:val="18"/>
              </w:rPr>
            </w:pPr>
          </w:p>
        </w:tc>
        <w:tc>
          <w:tcPr>
            <w:tcW w:w="1221" w:type="dxa"/>
            <w:shd w:val="clear" w:color="auto" w:fill="BDD7EE"/>
            <w:vAlign w:val="center"/>
          </w:tcPr>
          <w:p w14:paraId="50150F9F" w14:textId="16795758"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color w:val="000000" w:themeColor="text1"/>
              </w:rPr>
            </w:pPr>
            <w:r>
              <w:rPr>
                <w:noProof/>
              </w:rPr>
              <w:t>Eenheid</w:t>
            </w:r>
          </w:p>
        </w:tc>
        <w:tc>
          <w:tcPr>
            <w:tcW w:w="1016" w:type="dxa"/>
            <w:shd w:val="clear" w:color="auto" w:fill="BDD7EE"/>
            <w:vAlign w:val="center"/>
          </w:tcPr>
          <w:p w14:paraId="53052DDD" w14:textId="48E4D7DC"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color w:val="000000" w:themeColor="text1"/>
              </w:rPr>
            </w:pPr>
            <w:r>
              <w:rPr>
                <w:noProof/>
              </w:rPr>
              <w:t xml:space="preserve">Basislijn </w:t>
            </w:r>
          </w:p>
        </w:tc>
        <w:tc>
          <w:tcPr>
            <w:tcW w:w="1416" w:type="dxa"/>
            <w:shd w:val="clear" w:color="auto" w:fill="BDD7EE"/>
            <w:vAlign w:val="center"/>
          </w:tcPr>
          <w:p w14:paraId="524CDA80" w14:textId="0E39E486"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color w:val="000000" w:themeColor="text1"/>
              </w:rPr>
            </w:pPr>
            <w:r>
              <w:rPr>
                <w:noProof/>
              </w:rPr>
              <w:t xml:space="preserve">Doelstelling </w:t>
            </w:r>
          </w:p>
        </w:tc>
        <w:tc>
          <w:tcPr>
            <w:tcW w:w="992" w:type="dxa"/>
            <w:shd w:val="clear" w:color="auto" w:fill="BDD7EE"/>
            <w:vAlign w:val="center"/>
          </w:tcPr>
          <w:p w14:paraId="69674859" w14:textId="5C01C69A"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Kwartaal</w:t>
            </w:r>
          </w:p>
        </w:tc>
        <w:tc>
          <w:tcPr>
            <w:tcW w:w="851" w:type="dxa"/>
            <w:shd w:val="clear" w:color="auto" w:fill="BDD7EE"/>
            <w:vAlign w:val="center"/>
          </w:tcPr>
          <w:p w14:paraId="49A964DC" w14:textId="5397BA66"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Jaar</w:t>
            </w:r>
          </w:p>
        </w:tc>
        <w:tc>
          <w:tcPr>
            <w:tcW w:w="3685" w:type="dxa"/>
            <w:vMerge/>
            <w:vAlign w:val="center"/>
          </w:tcPr>
          <w:p w14:paraId="3A4F7518" w14:textId="02EC98AA" w:rsidR="00480F1C" w:rsidRDefault="00480F1C">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p>
        </w:tc>
      </w:tr>
      <w:tr w:rsidR="00480F1C" w14:paraId="2FEBB4B5" w14:textId="77777777">
        <w:tc>
          <w:tcPr>
            <w:tcW w:w="655" w:type="dxa"/>
            <w:shd w:val="clear" w:color="auto" w:fill="C6EFCE"/>
          </w:tcPr>
          <w:p w14:paraId="5970A88E" w14:textId="300DE05E" w:rsidR="00480F1C" w:rsidRDefault="00A201F6">
            <w:pPr>
              <w:pStyle w:val="P68B1DB1-Normal010"/>
              <w:spacing w:after="0" w:line="240" w:lineRule="auto"/>
              <w:jc w:val="center"/>
              <w:rPr>
                <w:rFonts w:cs="Times New Roman"/>
                <w:noProof/>
              </w:rPr>
            </w:pPr>
            <w:r>
              <w:rPr>
                <w:noProof/>
              </w:rPr>
              <w:t>E1G</w:t>
            </w:r>
          </w:p>
        </w:tc>
        <w:tc>
          <w:tcPr>
            <w:tcW w:w="1280" w:type="dxa"/>
            <w:shd w:val="clear" w:color="auto" w:fill="C6EFCE"/>
          </w:tcPr>
          <w:p w14:paraId="7420773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E1.1 Verhoging van het gebruik van milieuvriendelijk vervoer</w:t>
            </w:r>
          </w:p>
        </w:tc>
        <w:tc>
          <w:tcPr>
            <w:tcW w:w="1027" w:type="dxa"/>
            <w:shd w:val="clear" w:color="auto" w:fill="C6EFCE"/>
          </w:tcPr>
          <w:p w14:paraId="71803CD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029" w:type="dxa"/>
            <w:shd w:val="clear" w:color="auto" w:fill="C6EFCE"/>
          </w:tcPr>
          <w:p w14:paraId="0C76425A" w14:textId="53D5DFC2"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Inwerkingtreding van een wet die de verplichting oplegt om vanaf 100,000 uitsluitend emissiearme en emissievrije bussen te kopen in steden met meer dan 2025 inwoners</w:t>
            </w:r>
          </w:p>
        </w:tc>
        <w:tc>
          <w:tcPr>
            <w:tcW w:w="1279" w:type="dxa"/>
            <w:shd w:val="clear" w:color="auto" w:fill="C6EFCE"/>
          </w:tcPr>
          <w:p w14:paraId="6661B5CF" w14:textId="756A164E"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een wet die de inwerkingtreding ervan aangeeft</w:t>
            </w:r>
          </w:p>
        </w:tc>
        <w:tc>
          <w:tcPr>
            <w:tcW w:w="1221" w:type="dxa"/>
            <w:shd w:val="clear" w:color="auto" w:fill="C6EFCE"/>
          </w:tcPr>
          <w:p w14:paraId="2DA5FC3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016" w:type="dxa"/>
            <w:shd w:val="clear" w:color="auto" w:fill="C6EFCE"/>
          </w:tcPr>
          <w:p w14:paraId="43EC8E6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416" w:type="dxa"/>
            <w:shd w:val="clear" w:color="auto" w:fill="C6EFCE"/>
          </w:tcPr>
          <w:p w14:paraId="09BF906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shd w:val="clear" w:color="auto" w:fill="C6EFCE"/>
          </w:tcPr>
          <w:p w14:paraId="046AE39D" w14:textId="0458A474"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1" w:type="dxa"/>
            <w:shd w:val="clear" w:color="auto" w:fill="C6EFCE"/>
          </w:tcPr>
          <w:p w14:paraId="0B3299D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3685" w:type="dxa"/>
            <w:shd w:val="clear" w:color="auto" w:fill="C6EFCE"/>
          </w:tcPr>
          <w:p w14:paraId="4D754A46" w14:textId="01C3327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In een wet wordt een verplichting vastgesteld om de drempel voor emissiearme en emissievrije bussen in uitgeschreven aanbestedingen na te leven, waarbij in specifieke gevallen alleen de aankoop van dergelijke voertuigtypen is toegestaan. De wet legt steden met meer dan 100 000 inwoners ook de wettelijke verplichting op om vanaf 2025 alleen vervoerscontracten te gunnen aan entiteiten die uitsluitend emissievrije en emissiearme bussen (elektrische en waterstof) gebruiken.</w:t>
            </w:r>
          </w:p>
        </w:tc>
      </w:tr>
      <w:tr w:rsidR="00480F1C" w14:paraId="301AE423" w14:textId="77777777">
        <w:tc>
          <w:tcPr>
            <w:tcW w:w="655" w:type="dxa"/>
            <w:shd w:val="clear" w:color="auto" w:fill="C6EFCE"/>
          </w:tcPr>
          <w:p w14:paraId="3A8D7CCB" w14:textId="636B49D8"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rPr>
            </w:pPr>
            <w:r>
              <w:rPr>
                <w:noProof/>
              </w:rPr>
              <w:t>E2G</w:t>
            </w:r>
          </w:p>
        </w:tc>
        <w:tc>
          <w:tcPr>
            <w:tcW w:w="1280" w:type="dxa"/>
            <w:shd w:val="clear" w:color="auto" w:fill="C6EFCE"/>
          </w:tcPr>
          <w:p w14:paraId="53101CC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E1.1 Verhoging van het gebruik van milieuvriendelijk vervoer</w:t>
            </w:r>
          </w:p>
        </w:tc>
        <w:tc>
          <w:tcPr>
            <w:tcW w:w="1027" w:type="dxa"/>
            <w:shd w:val="clear" w:color="auto" w:fill="C6EFCE"/>
          </w:tcPr>
          <w:p w14:paraId="5D4BBE0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2029" w:type="dxa"/>
            <w:shd w:val="clear" w:color="auto" w:fill="C6EFCE"/>
          </w:tcPr>
          <w:p w14:paraId="06B0DDF8" w14:textId="5C41450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Maatregelen ter ondersteuning van de ontwikkeling van duurzame stedelijke mobiliteitsplannen (SUMP’s) en goedkeuring van stimulansen voor de uitvoering van SUMP’s, waarbij technische en financiële steun wordt verleend aan alle functionele stedelijke gebieden door het ministerie van Infrastructuur</w:t>
            </w:r>
          </w:p>
        </w:tc>
        <w:tc>
          <w:tcPr>
            <w:tcW w:w="1279" w:type="dxa"/>
            <w:shd w:val="clear" w:color="auto" w:fill="C6EFCE"/>
          </w:tcPr>
          <w:p w14:paraId="140229D3" w14:textId="6118AF20"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Bepaling betreffende de inwerkingtreding</w:t>
            </w:r>
          </w:p>
        </w:tc>
        <w:tc>
          <w:tcPr>
            <w:tcW w:w="1221" w:type="dxa"/>
            <w:shd w:val="clear" w:color="auto" w:fill="C6EFCE"/>
          </w:tcPr>
          <w:p w14:paraId="6DD623C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016" w:type="dxa"/>
            <w:shd w:val="clear" w:color="auto" w:fill="C6EFCE"/>
          </w:tcPr>
          <w:p w14:paraId="7EBE26A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1416" w:type="dxa"/>
            <w:shd w:val="clear" w:color="auto" w:fill="C6EFCE"/>
          </w:tcPr>
          <w:p w14:paraId="58821F0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w:t>
            </w:r>
          </w:p>
        </w:tc>
        <w:tc>
          <w:tcPr>
            <w:tcW w:w="992" w:type="dxa"/>
            <w:shd w:val="clear" w:color="auto" w:fill="C6EFCE"/>
          </w:tcPr>
          <w:p w14:paraId="08601BD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1</w:t>
            </w:r>
          </w:p>
        </w:tc>
        <w:tc>
          <w:tcPr>
            <w:tcW w:w="851" w:type="dxa"/>
            <w:shd w:val="clear" w:color="auto" w:fill="C6EFCE"/>
          </w:tcPr>
          <w:p w14:paraId="57AA7494"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2023</w:t>
            </w:r>
          </w:p>
        </w:tc>
        <w:tc>
          <w:tcPr>
            <w:tcW w:w="3685" w:type="dxa"/>
            <w:shd w:val="clear" w:color="auto" w:fill="C6EFCE"/>
          </w:tcPr>
          <w:p w14:paraId="6E4FDF8D" w14:textId="2A1801D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Invoering van maatregelen ter ondersteuning van de ontwikkeling en uitvoering van duurzame stedelijke mobiliteitsplannen (SUMP’s); </w:t>
            </w:r>
          </w:p>
          <w:p w14:paraId="06332424" w14:textId="1DD2C949" w:rsidR="00480F1C" w:rsidRDefault="00A201F6">
            <w:pPr>
              <w:pStyle w:val="P68B1DB1-Normal011"/>
              <w:pBdr>
                <w:top w:val="nil"/>
                <w:left w:val="nil"/>
                <w:bottom w:val="nil"/>
                <w:right w:val="nil"/>
                <w:between w:val="nil"/>
              </w:pBdr>
              <w:spacing w:after="120" w:line="240" w:lineRule="auto"/>
              <w:rPr>
                <w:rFonts w:cs="Times New Roman"/>
                <w:noProof/>
              </w:rPr>
            </w:pPr>
            <w:r>
              <w:rPr>
                <w:noProof/>
              </w:rPr>
              <w:t>Deze maatregelen omvatten:</w:t>
            </w:r>
          </w:p>
          <w:p w14:paraId="05531A12" w14:textId="3A80C6E4" w:rsidR="00480F1C" w:rsidRDefault="00A201F6">
            <w:pPr>
              <w:pStyle w:val="P68B1DB1-Normal011"/>
              <w:numPr>
                <w:ilvl w:val="0"/>
                <w:numId w:val="12"/>
              </w:numPr>
              <w:pBdr>
                <w:top w:val="nil"/>
                <w:left w:val="nil"/>
                <w:bottom w:val="nil"/>
                <w:right w:val="nil"/>
                <w:between w:val="nil"/>
              </w:pBdr>
              <w:spacing w:after="120" w:line="240" w:lineRule="auto"/>
              <w:ind w:left="357" w:hanging="357"/>
              <w:rPr>
                <w:rFonts w:eastAsia="Times New Roman" w:cs="Times New Roman"/>
                <w:noProof/>
                <w:color w:val="000000" w:themeColor="text1"/>
              </w:rPr>
            </w:pPr>
            <w:r>
              <w:rPr>
                <w:noProof/>
              </w:rPr>
              <w:t xml:space="preserve">een nieuwe structuur voor ondersteuning van de uitvoering van SUMP’s met een SUMP-stuurgroep om de ontwikkeling en uitvoering van SUMP’s te stimuleren. </w:t>
            </w:r>
          </w:p>
          <w:p w14:paraId="5399DAF6" w14:textId="036C8C1D" w:rsidR="00480F1C" w:rsidRDefault="00A201F6">
            <w:pPr>
              <w:pStyle w:val="P68B1DB1-Normal011"/>
              <w:numPr>
                <w:ilvl w:val="0"/>
                <w:numId w:val="12"/>
              </w:numPr>
              <w:pBdr>
                <w:top w:val="nil"/>
                <w:left w:val="nil"/>
                <w:bottom w:val="nil"/>
                <w:right w:val="nil"/>
                <w:between w:val="nil"/>
              </w:pBdr>
              <w:spacing w:after="120" w:line="240" w:lineRule="auto"/>
              <w:ind w:left="357" w:hanging="357"/>
              <w:rPr>
                <w:rFonts w:eastAsia="Times New Roman" w:cs="Times New Roman"/>
                <w:noProof/>
                <w:color w:val="000000" w:themeColor="text1"/>
              </w:rPr>
            </w:pPr>
            <w:r>
              <w:rPr>
                <w:noProof/>
              </w:rPr>
              <w:t xml:space="preserve">een SUMP-kenniscentrum binnen het ministerie van Infrastructuur, dat advies en financiële steun verleent aan lokale overheidseenheden. </w:t>
            </w:r>
          </w:p>
          <w:p w14:paraId="6EF33324" w14:textId="61FD5E21" w:rsidR="00480F1C" w:rsidRDefault="00A201F6">
            <w:pPr>
              <w:pStyle w:val="P68B1DB1-Normal011"/>
              <w:numPr>
                <w:ilvl w:val="0"/>
                <w:numId w:val="12"/>
              </w:numPr>
              <w:spacing w:after="120" w:line="240" w:lineRule="auto"/>
              <w:ind w:left="357" w:hanging="357"/>
              <w:rPr>
                <w:rFonts w:eastAsia="Times New Roman" w:cs="Times New Roman"/>
                <w:noProof/>
                <w:color w:val="000000" w:themeColor="text1"/>
              </w:rPr>
            </w:pPr>
            <w:r>
              <w:rPr>
                <w:noProof/>
              </w:rPr>
              <w:t xml:space="preserve">de gevolmachtigde voor SUMP in het ministerie van Infrastructuur. </w:t>
            </w:r>
          </w:p>
          <w:p w14:paraId="45046772" w14:textId="494C9E25"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Het nieuwe kader maakt het mogelijk passende technische en financiële steun te verlenen aan entiteiten die geïnteresseerd zijn in de voorbereiding van de SUMP’s en verbetert de activiteiten die op dit gebied door de centrale overheid worden ondernomen.</w:t>
            </w:r>
          </w:p>
        </w:tc>
      </w:tr>
      <w:tr w:rsidR="00480F1C" w14:paraId="3A7B49F2" w14:textId="77777777">
        <w:tc>
          <w:tcPr>
            <w:tcW w:w="655" w:type="dxa"/>
            <w:shd w:val="clear" w:color="auto" w:fill="C6EFCE"/>
          </w:tcPr>
          <w:p w14:paraId="719026AC" w14:textId="1B5BCA9C"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E3G</w:t>
            </w:r>
          </w:p>
        </w:tc>
        <w:tc>
          <w:tcPr>
            <w:tcW w:w="1280" w:type="dxa"/>
            <w:shd w:val="clear" w:color="auto" w:fill="C6EFCE"/>
          </w:tcPr>
          <w:p w14:paraId="01F40B3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E1.1 Verhoging van het gebruik van milieuvriendelijk vervoer</w:t>
            </w:r>
          </w:p>
        </w:tc>
        <w:tc>
          <w:tcPr>
            <w:tcW w:w="1027" w:type="dxa"/>
            <w:shd w:val="clear" w:color="auto" w:fill="C6EFCE"/>
          </w:tcPr>
          <w:p w14:paraId="11D0FCF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029" w:type="dxa"/>
            <w:shd w:val="clear" w:color="auto" w:fill="C6EFCE"/>
          </w:tcPr>
          <w:p w14:paraId="3768E220" w14:textId="491E34DC"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Inwerkingtreding van een rechtshandeling tot invoering van een registratievergoeding voor emissiegerelateerde voertuigen overeenkomstig het beginsel „de vervuiler betaalt”</w:t>
            </w:r>
          </w:p>
        </w:tc>
        <w:tc>
          <w:tcPr>
            <w:tcW w:w="1279" w:type="dxa"/>
            <w:shd w:val="clear" w:color="auto" w:fill="C6EFCE"/>
          </w:tcPr>
          <w:p w14:paraId="20B73554" w14:textId="26DEC2CD"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rechtshandeling die de inwerkingtreding ervan aangeeft</w:t>
            </w:r>
          </w:p>
        </w:tc>
        <w:tc>
          <w:tcPr>
            <w:tcW w:w="1221" w:type="dxa"/>
            <w:shd w:val="clear" w:color="auto" w:fill="C6EFCE"/>
          </w:tcPr>
          <w:p w14:paraId="4242892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016" w:type="dxa"/>
            <w:shd w:val="clear" w:color="auto" w:fill="C6EFCE"/>
          </w:tcPr>
          <w:p w14:paraId="07F3DC0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416" w:type="dxa"/>
            <w:shd w:val="clear" w:color="auto" w:fill="C6EFCE"/>
          </w:tcPr>
          <w:p w14:paraId="2AF4030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shd w:val="clear" w:color="auto" w:fill="C6EFCE"/>
          </w:tcPr>
          <w:p w14:paraId="27D0EB8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1" w:type="dxa"/>
            <w:shd w:val="clear" w:color="auto" w:fill="C6EFCE"/>
          </w:tcPr>
          <w:p w14:paraId="158CB8C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2024</w:t>
            </w:r>
          </w:p>
        </w:tc>
        <w:tc>
          <w:tcPr>
            <w:tcW w:w="3685" w:type="dxa"/>
            <w:shd w:val="clear" w:color="auto" w:fill="C6EFCE"/>
          </w:tcPr>
          <w:p w14:paraId="0074C99A" w14:textId="459B1ABE"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Bij een rechtshandeling worden financiële en fiscale maatregelen ingevoerd om de vraag naar schonere voertuigen te stimuleren, met inbegrip van hogere registratiekosten voor voertuigen met verbrandingsmotor, en ter versterking van de maatregelen voor de versnelde afschrijving van elektrische voertuigen. De vergoeding is afhankelijk van de CO2- en/of NOx-emissies. Inkomsten uit heffingen worden gebruikt voor de vermindering van negatieve externe vervoerseffecten en de ontwikkeling van emissiearm openbaar vervoer in zowel stedelijke als plattelandsgebieden. </w:t>
            </w:r>
          </w:p>
        </w:tc>
      </w:tr>
      <w:tr w:rsidR="00480F1C" w14:paraId="118F0ABD" w14:textId="77777777">
        <w:trPr>
          <w:trHeight w:val="1430"/>
        </w:trPr>
        <w:tc>
          <w:tcPr>
            <w:tcW w:w="655" w:type="dxa"/>
            <w:shd w:val="clear" w:color="auto" w:fill="C6EFCE"/>
          </w:tcPr>
          <w:p w14:paraId="079D9DBF" w14:textId="2B787BFE" w:rsidR="00480F1C" w:rsidRDefault="00A201F6">
            <w:pPr>
              <w:pStyle w:val="P68B1DB1-Normal010"/>
              <w:spacing w:line="240" w:lineRule="auto"/>
              <w:jc w:val="center"/>
              <w:rPr>
                <w:rFonts w:cs="Times New Roman"/>
                <w:noProof/>
              </w:rPr>
            </w:pPr>
            <w:r>
              <w:rPr>
                <w:noProof/>
              </w:rPr>
              <w:t>E4G</w:t>
            </w:r>
          </w:p>
        </w:tc>
        <w:tc>
          <w:tcPr>
            <w:tcW w:w="1280" w:type="dxa"/>
            <w:shd w:val="clear" w:color="auto" w:fill="C6EFCE"/>
          </w:tcPr>
          <w:p w14:paraId="3C186A2B" w14:textId="77777777" w:rsidR="00480F1C" w:rsidRDefault="00A201F6">
            <w:pPr>
              <w:pStyle w:val="P68B1DB1-Normal011"/>
              <w:spacing w:after="0" w:line="240" w:lineRule="auto"/>
              <w:rPr>
                <w:rFonts w:eastAsia="Times New Roman" w:cs="Times New Roman"/>
                <w:noProof/>
                <w:color w:val="006100"/>
              </w:rPr>
            </w:pPr>
            <w:r>
              <w:rPr>
                <w:noProof/>
              </w:rPr>
              <w:t>E1.1 Verhoging van het gebruik van milieuvriendelijk vervoer</w:t>
            </w:r>
          </w:p>
          <w:p w14:paraId="3FD9042A" w14:textId="77777777"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1027" w:type="dxa"/>
            <w:shd w:val="clear" w:color="auto" w:fill="C6EFCE"/>
          </w:tcPr>
          <w:p w14:paraId="168773B0" w14:textId="77777777" w:rsidR="00480F1C" w:rsidRDefault="00A201F6">
            <w:pPr>
              <w:pStyle w:val="P68B1DB1-Normal011"/>
              <w:spacing w:line="240" w:lineRule="auto"/>
              <w:rPr>
                <w:rFonts w:eastAsia="Times New Roman" w:cs="Times New Roman"/>
                <w:noProof/>
                <w:color w:val="000000" w:themeColor="text1"/>
              </w:rPr>
            </w:pPr>
            <w:r>
              <w:rPr>
                <w:noProof/>
              </w:rPr>
              <w:t>Mijlpaal</w:t>
            </w:r>
          </w:p>
        </w:tc>
        <w:tc>
          <w:tcPr>
            <w:tcW w:w="2029" w:type="dxa"/>
            <w:shd w:val="clear" w:color="auto" w:fill="C6EFCE"/>
          </w:tcPr>
          <w:p w14:paraId="79707620" w14:textId="65AAD329" w:rsidR="00480F1C" w:rsidRDefault="00A201F6">
            <w:pPr>
              <w:pStyle w:val="P68B1DB1-Normal011"/>
              <w:spacing w:line="240" w:lineRule="auto"/>
              <w:rPr>
                <w:rFonts w:eastAsia="Times New Roman" w:cs="Times New Roman"/>
                <w:noProof/>
                <w:color w:val="006100"/>
              </w:rPr>
            </w:pPr>
            <w:r>
              <w:rPr>
                <w:noProof/>
              </w:rPr>
              <w:t>Inwerkingtreding van een rechtshandeling tot invoering van een eigendomsbelasting voor emissiegerelateerde voertuigen overeenkomstig het beginsel „de vervuiler betaalt”</w:t>
            </w:r>
          </w:p>
        </w:tc>
        <w:tc>
          <w:tcPr>
            <w:tcW w:w="1279" w:type="dxa"/>
            <w:shd w:val="clear" w:color="auto" w:fill="C6EFCE"/>
          </w:tcPr>
          <w:p w14:paraId="7E3E625C" w14:textId="6573CC05" w:rsidR="00480F1C" w:rsidRDefault="00A201F6">
            <w:pPr>
              <w:pStyle w:val="P68B1DB1-Normal011"/>
              <w:spacing w:line="240" w:lineRule="auto"/>
              <w:rPr>
                <w:rFonts w:eastAsia="Times New Roman" w:cs="Times New Roman"/>
                <w:noProof/>
                <w:color w:val="000000" w:themeColor="text1"/>
              </w:rPr>
            </w:pPr>
            <w:r>
              <w:rPr>
                <w:noProof/>
              </w:rPr>
              <w:t>Bepaling in de rechtshandeling die de inwerkingtreding ervan aangeeft</w:t>
            </w:r>
          </w:p>
        </w:tc>
        <w:tc>
          <w:tcPr>
            <w:tcW w:w="1221" w:type="dxa"/>
            <w:shd w:val="clear" w:color="auto" w:fill="C6EFCE"/>
          </w:tcPr>
          <w:p w14:paraId="052D4810" w14:textId="77777777"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1016" w:type="dxa"/>
            <w:shd w:val="clear" w:color="auto" w:fill="C6EFCE"/>
          </w:tcPr>
          <w:p w14:paraId="62D3F89E" w14:textId="77777777"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1416" w:type="dxa"/>
            <w:shd w:val="clear" w:color="auto" w:fill="C6EFCE"/>
          </w:tcPr>
          <w:p w14:paraId="2780AF0D" w14:textId="77777777"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992" w:type="dxa"/>
            <w:shd w:val="clear" w:color="auto" w:fill="C6EFCE"/>
          </w:tcPr>
          <w:p w14:paraId="24397BE4" w14:textId="77777777" w:rsidR="00480F1C" w:rsidRDefault="00A201F6">
            <w:pPr>
              <w:pStyle w:val="P68B1DB1-Normal011"/>
              <w:spacing w:line="240" w:lineRule="auto"/>
              <w:jc w:val="center"/>
              <w:rPr>
                <w:rFonts w:eastAsia="Times New Roman" w:cs="Times New Roman"/>
                <w:noProof/>
                <w:color w:val="000000" w:themeColor="text1"/>
              </w:rPr>
            </w:pPr>
            <w:r>
              <w:rPr>
                <w:noProof/>
              </w:rPr>
              <w:t>KWARTAAL 2</w:t>
            </w:r>
          </w:p>
        </w:tc>
        <w:tc>
          <w:tcPr>
            <w:tcW w:w="851" w:type="dxa"/>
            <w:shd w:val="clear" w:color="auto" w:fill="C6EFCE"/>
          </w:tcPr>
          <w:p w14:paraId="3DD47E7B" w14:textId="77777777" w:rsidR="00480F1C" w:rsidRDefault="00A201F6">
            <w:pPr>
              <w:pStyle w:val="P68B1DB1-Normal011"/>
              <w:spacing w:line="240" w:lineRule="auto"/>
              <w:jc w:val="center"/>
              <w:rPr>
                <w:rFonts w:eastAsia="Times New Roman" w:cs="Times New Roman"/>
                <w:noProof/>
                <w:color w:val="000000" w:themeColor="text1"/>
              </w:rPr>
            </w:pPr>
            <w:r>
              <w:rPr>
                <w:noProof/>
              </w:rPr>
              <w:t>2026</w:t>
            </w:r>
          </w:p>
        </w:tc>
        <w:tc>
          <w:tcPr>
            <w:tcW w:w="3685" w:type="dxa"/>
            <w:shd w:val="clear" w:color="auto" w:fill="C6EFCE"/>
          </w:tcPr>
          <w:p w14:paraId="46FC4A0D" w14:textId="73E089B2" w:rsidR="00480F1C" w:rsidRDefault="00A201F6">
            <w:pPr>
              <w:pStyle w:val="P68B1DB1-Normal011"/>
              <w:spacing w:after="0" w:line="240" w:lineRule="auto"/>
              <w:rPr>
                <w:rFonts w:eastAsia="Times New Roman" w:cs="Times New Roman"/>
                <w:noProof/>
                <w:color w:val="000000" w:themeColor="text1"/>
              </w:rPr>
            </w:pPr>
            <w:r>
              <w:rPr>
                <w:noProof/>
              </w:rPr>
              <w:t>Er wordt een eigendomsbelasting voor verbrandingsvoertuigen ingevoerd, die wordt gecorreleerd met de CO2- en NOx-emissie van een voertuig. De inkomsten uit de belasting worden gebruikt voor de vermindering van de negatieve externe effecten van het vervoer en voor de ontwikkeling van emissiearm openbaar vervoer in zowel stedelijke als plattelandsgebieden.</w:t>
            </w:r>
          </w:p>
        </w:tc>
      </w:tr>
      <w:tr w:rsidR="00480F1C" w14:paraId="1436708A" w14:textId="77777777">
        <w:tc>
          <w:tcPr>
            <w:tcW w:w="655" w:type="dxa"/>
            <w:shd w:val="clear" w:color="auto" w:fill="C6EFCE"/>
          </w:tcPr>
          <w:p w14:paraId="735021F9" w14:textId="6471A22E"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E5G</w:t>
            </w:r>
          </w:p>
        </w:tc>
        <w:tc>
          <w:tcPr>
            <w:tcW w:w="1280" w:type="dxa"/>
            <w:shd w:val="clear" w:color="auto" w:fill="C6EFCE"/>
          </w:tcPr>
          <w:p w14:paraId="2CBFB1C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E1.1 Verhoging van het gebruik van milieuvriendelijk vervoer</w:t>
            </w:r>
          </w:p>
        </w:tc>
        <w:tc>
          <w:tcPr>
            <w:tcW w:w="1027" w:type="dxa"/>
            <w:shd w:val="clear" w:color="auto" w:fill="C6EFCE"/>
          </w:tcPr>
          <w:p w14:paraId="50BB12E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029" w:type="dxa"/>
            <w:shd w:val="clear" w:color="auto" w:fill="C6EFCE"/>
          </w:tcPr>
          <w:p w14:paraId="334DF1F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Steden met nieuwe SUMP’s goedgekeurd</w:t>
            </w:r>
          </w:p>
        </w:tc>
        <w:tc>
          <w:tcPr>
            <w:tcW w:w="1279" w:type="dxa"/>
            <w:shd w:val="clear" w:color="auto" w:fill="C6EFCE"/>
          </w:tcPr>
          <w:p w14:paraId="2BCF74A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21" w:type="dxa"/>
            <w:shd w:val="clear" w:color="auto" w:fill="C6EFCE"/>
          </w:tcPr>
          <w:p w14:paraId="51D37CA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016" w:type="dxa"/>
            <w:shd w:val="clear" w:color="auto" w:fill="C6EFCE"/>
          </w:tcPr>
          <w:p w14:paraId="5589E8F7"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1416" w:type="dxa"/>
            <w:shd w:val="clear" w:color="auto" w:fill="C6EFCE"/>
          </w:tcPr>
          <w:p w14:paraId="2E98577D"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30</w:t>
            </w:r>
          </w:p>
        </w:tc>
        <w:tc>
          <w:tcPr>
            <w:tcW w:w="992" w:type="dxa"/>
            <w:shd w:val="clear" w:color="auto" w:fill="C6EFCE"/>
          </w:tcPr>
          <w:p w14:paraId="26F42D0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1" w:type="dxa"/>
            <w:shd w:val="clear" w:color="auto" w:fill="C6EFCE"/>
          </w:tcPr>
          <w:p w14:paraId="55C1A90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2025</w:t>
            </w:r>
          </w:p>
        </w:tc>
        <w:tc>
          <w:tcPr>
            <w:tcW w:w="3685" w:type="dxa"/>
            <w:shd w:val="clear" w:color="auto" w:fill="C6EFCE"/>
          </w:tcPr>
          <w:p w14:paraId="4BDAD4AD" w14:textId="0FD194E1"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De kwantitatieve doelstelling heeft betrekking op het aantal steden dat een nieuw SUMP goedkeurt in overeenstemming met het SUMP-concept in de nieuwe mededeling van de EU over het kader voor stedelijke mobiliteit van 2021. </w:t>
            </w:r>
          </w:p>
        </w:tc>
      </w:tr>
      <w:tr w:rsidR="00480F1C" w14:paraId="20C80965" w14:textId="77777777">
        <w:tc>
          <w:tcPr>
            <w:tcW w:w="655" w:type="dxa"/>
            <w:shd w:val="clear" w:color="auto" w:fill="C6EFCE"/>
          </w:tcPr>
          <w:p w14:paraId="4E8DAD35" w14:textId="74A8DDE0"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E6G</w:t>
            </w:r>
          </w:p>
        </w:tc>
        <w:tc>
          <w:tcPr>
            <w:tcW w:w="1280" w:type="dxa"/>
            <w:shd w:val="clear" w:color="auto" w:fill="C6EFCE"/>
          </w:tcPr>
          <w:p w14:paraId="03BABFF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E1.1 Verhoging van het gebruik van milieuvriendelijk vervoer</w:t>
            </w:r>
          </w:p>
        </w:tc>
        <w:tc>
          <w:tcPr>
            <w:tcW w:w="1027" w:type="dxa"/>
            <w:shd w:val="clear" w:color="auto" w:fill="C6EFCE"/>
          </w:tcPr>
          <w:p w14:paraId="1DF7FC3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029" w:type="dxa"/>
            <w:shd w:val="clear" w:color="auto" w:fill="C6EFCE"/>
          </w:tcPr>
          <w:p w14:paraId="6311C8B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Buslijnen met steun van het fonds voor openbaar vervoer</w:t>
            </w:r>
          </w:p>
        </w:tc>
        <w:tc>
          <w:tcPr>
            <w:tcW w:w="1279" w:type="dxa"/>
            <w:shd w:val="clear" w:color="auto" w:fill="C6EFCE"/>
          </w:tcPr>
          <w:p w14:paraId="57BA78F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21" w:type="dxa"/>
            <w:shd w:val="clear" w:color="auto" w:fill="C6EFCE"/>
          </w:tcPr>
          <w:p w14:paraId="799A060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016" w:type="dxa"/>
            <w:shd w:val="clear" w:color="auto" w:fill="C6EFCE"/>
          </w:tcPr>
          <w:p w14:paraId="2B7B82D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1416" w:type="dxa"/>
            <w:shd w:val="clear" w:color="auto" w:fill="C6EFCE"/>
          </w:tcPr>
          <w:p w14:paraId="6D59599C" w14:textId="7BACF71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4 500</w:t>
            </w:r>
          </w:p>
        </w:tc>
        <w:tc>
          <w:tcPr>
            <w:tcW w:w="992" w:type="dxa"/>
            <w:shd w:val="clear" w:color="auto" w:fill="C6EFCE"/>
          </w:tcPr>
          <w:p w14:paraId="71E3E68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1" w:type="dxa"/>
            <w:shd w:val="clear" w:color="auto" w:fill="C6EFCE"/>
          </w:tcPr>
          <w:p w14:paraId="28FC7A3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2024</w:t>
            </w:r>
          </w:p>
        </w:tc>
        <w:tc>
          <w:tcPr>
            <w:tcW w:w="3685" w:type="dxa"/>
            <w:shd w:val="clear" w:color="auto" w:fill="C6EFCE"/>
          </w:tcPr>
          <w:p w14:paraId="224FD06B" w14:textId="79E1180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De doelstelling heeft betrekking op het aantal buslijnen dat door het Public Bus Transport Fund wordt ondersteund. Het fonds ondersteunt het openbaar vervoer, dat bijdraagt tot de vermindering van het individuele vervoer en daarmee tot het verminderen van de negatieve gevolgen van het vervoer voor het milieu. Tegelijkertijd wordt in het kader van de oproep tot het indienen van voorstellen in het investeringsgedeelte een oproep tot het indienen van voorstellen gedaan voor emissievrije en emissiearme bussen in overeenstemming met het beginsel „geen ernstige afbreuk doen aan”.</w:t>
            </w:r>
          </w:p>
        </w:tc>
      </w:tr>
      <w:tr w:rsidR="00480F1C" w14:paraId="687168AA" w14:textId="77777777">
        <w:tc>
          <w:tcPr>
            <w:tcW w:w="655" w:type="dxa"/>
            <w:shd w:val="clear" w:color="auto" w:fill="C6EFCE"/>
          </w:tcPr>
          <w:p w14:paraId="5803CAFC" w14:textId="0D54C96C"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E7G</w:t>
            </w:r>
          </w:p>
        </w:tc>
        <w:tc>
          <w:tcPr>
            <w:tcW w:w="1280" w:type="dxa"/>
            <w:shd w:val="clear" w:color="auto" w:fill="C6EFCE"/>
          </w:tcPr>
          <w:p w14:paraId="30A3253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E1.1 Verhoging van het gebruik van milieuvriendelijk vervoer</w:t>
            </w:r>
          </w:p>
        </w:tc>
        <w:tc>
          <w:tcPr>
            <w:tcW w:w="1027" w:type="dxa"/>
            <w:shd w:val="clear" w:color="auto" w:fill="C6EFCE"/>
          </w:tcPr>
          <w:p w14:paraId="3674509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029" w:type="dxa"/>
            <w:shd w:val="clear" w:color="auto" w:fill="C6EFCE"/>
          </w:tcPr>
          <w:p w14:paraId="6CFC3D1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Nieuwe emissievrije voertuigen</w:t>
            </w:r>
          </w:p>
        </w:tc>
        <w:tc>
          <w:tcPr>
            <w:tcW w:w="1279" w:type="dxa"/>
            <w:shd w:val="clear" w:color="auto" w:fill="C6EFCE"/>
          </w:tcPr>
          <w:p w14:paraId="723D716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21" w:type="dxa"/>
            <w:shd w:val="clear" w:color="auto" w:fill="C6EFCE"/>
          </w:tcPr>
          <w:p w14:paraId="173F8A4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(percentage)</w:t>
            </w:r>
          </w:p>
        </w:tc>
        <w:tc>
          <w:tcPr>
            <w:tcW w:w="1016" w:type="dxa"/>
            <w:shd w:val="clear" w:color="auto" w:fill="C6EFCE"/>
          </w:tcPr>
          <w:p w14:paraId="05AF4EEF"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1416" w:type="dxa"/>
            <w:shd w:val="clear" w:color="auto" w:fill="C6EFCE"/>
          </w:tcPr>
          <w:p w14:paraId="60525613"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100</w:t>
            </w:r>
          </w:p>
        </w:tc>
        <w:tc>
          <w:tcPr>
            <w:tcW w:w="992" w:type="dxa"/>
            <w:shd w:val="clear" w:color="auto" w:fill="C6EFCE"/>
          </w:tcPr>
          <w:p w14:paraId="051C146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1" w:type="dxa"/>
            <w:shd w:val="clear" w:color="auto" w:fill="C6EFCE"/>
          </w:tcPr>
          <w:p w14:paraId="51B0596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685" w:type="dxa"/>
            <w:shd w:val="clear" w:color="auto" w:fill="C6EFCE"/>
          </w:tcPr>
          <w:p w14:paraId="017E8E55" w14:textId="10DB9F49"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Het doel is het aandeel van nieuwe emissievrije voertuigen op de markt met ten minste 100 % te verhogen (auto’s/bussen en zware bedrijfsvoertuigen).</w:t>
            </w:r>
          </w:p>
          <w:p w14:paraId="65B11663" w14:textId="4F01FB0E"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Eind 2020 waren er in Polen 10 041 elektrische voertuigen ingeschreven. </w:t>
            </w:r>
          </w:p>
          <w:p w14:paraId="2C4A422A" w14:textId="1A0915F0"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Uitgaande van het bovenstaande aantal betekent dit dat aan het einde van Q2 2026 het aantal elektrische voertuigen ten minste 20 082 bedraagt.</w:t>
            </w:r>
          </w:p>
        </w:tc>
      </w:tr>
      <w:tr w:rsidR="00480F1C" w14:paraId="49ABCA20" w14:textId="77777777">
        <w:tc>
          <w:tcPr>
            <w:tcW w:w="655" w:type="dxa"/>
            <w:shd w:val="clear" w:color="auto" w:fill="C6EFCE"/>
          </w:tcPr>
          <w:p w14:paraId="61407E9D" w14:textId="08BFEF35"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E8G</w:t>
            </w:r>
          </w:p>
        </w:tc>
        <w:tc>
          <w:tcPr>
            <w:tcW w:w="1280" w:type="dxa"/>
            <w:shd w:val="clear" w:color="auto" w:fill="C6EFCE"/>
          </w:tcPr>
          <w:p w14:paraId="4D07DE7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E1.1.1 Steun voor een koolstofarme economie</w:t>
            </w:r>
          </w:p>
        </w:tc>
        <w:tc>
          <w:tcPr>
            <w:tcW w:w="1027" w:type="dxa"/>
            <w:shd w:val="clear" w:color="auto" w:fill="C6EFCE"/>
          </w:tcPr>
          <w:p w14:paraId="0E6D5DE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029" w:type="dxa"/>
            <w:shd w:val="clear" w:color="auto" w:fill="C6EFCE"/>
          </w:tcPr>
          <w:p w14:paraId="50CAAB55" w14:textId="5C284F08"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Oprichting van een financieel instrument (fonds) voor emissievrije en emissiearme mobiliteit en energie</w:t>
            </w:r>
          </w:p>
        </w:tc>
        <w:tc>
          <w:tcPr>
            <w:tcW w:w="1279" w:type="dxa"/>
            <w:shd w:val="clear" w:color="auto" w:fill="C6EFCE"/>
          </w:tcPr>
          <w:p w14:paraId="703438A4" w14:textId="41B9B805"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Goedkeuring en registratie van het Fonds, goedkeuring van de beleggingsstrategie door de bestuursorganen van het fonds</w:t>
            </w:r>
          </w:p>
        </w:tc>
        <w:tc>
          <w:tcPr>
            <w:tcW w:w="1221" w:type="dxa"/>
            <w:shd w:val="clear" w:color="auto" w:fill="C6EFCE"/>
          </w:tcPr>
          <w:p w14:paraId="7CB1987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016" w:type="dxa"/>
            <w:shd w:val="clear" w:color="auto" w:fill="C6EFCE"/>
          </w:tcPr>
          <w:p w14:paraId="33215A2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1416" w:type="dxa"/>
            <w:shd w:val="clear" w:color="auto" w:fill="C6EFCE"/>
          </w:tcPr>
          <w:p w14:paraId="4542BD0F"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2" w:type="dxa"/>
            <w:shd w:val="clear" w:color="auto" w:fill="C6EFCE"/>
          </w:tcPr>
          <w:p w14:paraId="3A8966E0" w14:textId="64C2FCF9"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1" w:type="dxa"/>
            <w:shd w:val="clear" w:color="auto" w:fill="C6EFCE"/>
          </w:tcPr>
          <w:p w14:paraId="0054E802" w14:textId="276FD518"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3685" w:type="dxa"/>
            <w:shd w:val="clear" w:color="auto" w:fill="C6EFCE"/>
          </w:tcPr>
          <w:p w14:paraId="01366D99" w14:textId="3979B584" w:rsidR="00480F1C" w:rsidRDefault="00A201F6">
            <w:pPr>
              <w:pStyle w:val="P68B1DB1-Normal12"/>
              <w:spacing w:after="0" w:line="240" w:lineRule="auto"/>
              <w:rPr>
                <w:noProof/>
              </w:rPr>
            </w:pPr>
            <w:r>
              <w:rPr>
                <w:noProof/>
              </w:rPr>
              <w:t>Instelling van het financieringsinstrument („fonds”) ter ondersteuning van de emissiearme economie in Polen, met inbegrip van de bijbehorende investeringsstrategie/-beleidsmaatregelen. Deze richtsnoeren worden vastgesteld door de bestuursorganen van het fonds, zijn in overeenstemming met de richtsnoeren van de Commissie van 22 januari 2021 met betrekking tot financieringsinstrumenten en met selectiecriteria om ervoor te zorgen dat de in het kader van deze maatregel ondersteunde transacties worden nageleefd met de technische richtsnoeren „geen ernstige afbreuk doen” (2021/C 58/01) door gebruik te maken van duurzaamheidstoetsing, een uitsluitingslijst en de vereiste van naleving van de relevante EU- en nationale milieuwetgeving. Er moet met name voor worden gezorgd dat de gesteunde investeringen in overeenstemming zijn met de artikelen 6 (3) en 12 van de habitatrichtlijn en artikel 5 van de vogelrichtlijn en, waar nodig, een milieueffectbeoordeling (MEB) of een screening, overeenkomstig de MEB-richtlijn. Het fonds voorziet in financiële instrumenten (eigen vermogen of schuld) voor investeringsprojecten die verband houden met onderzoeks- en innovatieprocessen, technologieoverdracht en samenwerking tussen ondernemingen die gericht zijn op de koolstofarme economie, veerkracht en aanpassing aan de klimaatverandering, met de nadruk op emissiearme en emissievrije innovatieve oplossingen op het gebied van duurzame mobiliteit en emissievrije/emissiearme energiebronnen (met uitzondering van gecomprimeerd aardgas en vloeibaar aardgas), voornamelijk uitgevoerd door kmo’s en midcaps. Het beheer van het Fonds wordt toevertrouwd aan een fondsbeheerder die via een openbare aanbesteding wordt geselecteerd. Het investeringscomité van het Fonds wordt opgericht en is verantwoordelijk voor de goedkeuring van projecten van eindontvangers (waarin wordt belegd) zoals voorgesteld door de fondsbeheerder op basis van de marktbehoeften en op een open en marktconforme wijze. De structuur van het fonds maakt het mogelijk particuliere middelen aan te trekken. De onderliggende rechtshandelingen zorgen ervoor dat terugvloeiende bedragen (d.w.z. rente op de lening, rendement op eigen vermogen of afgeloste hoofdsom minus bijbehorende kosten) in verband met deze instrumenten worden gebruikt voor dezelfde beleidsdoelstellingen, ook na 2026, of om de RRF-leningen terug te betalen.</w:t>
            </w:r>
          </w:p>
        </w:tc>
      </w:tr>
      <w:tr w:rsidR="00480F1C" w14:paraId="07165A72" w14:textId="77777777">
        <w:tc>
          <w:tcPr>
            <w:tcW w:w="655" w:type="dxa"/>
            <w:shd w:val="clear" w:color="auto" w:fill="C6EFCE"/>
          </w:tcPr>
          <w:p w14:paraId="26162648" w14:textId="60D54324"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E9G</w:t>
            </w:r>
          </w:p>
        </w:tc>
        <w:tc>
          <w:tcPr>
            <w:tcW w:w="1280" w:type="dxa"/>
            <w:shd w:val="clear" w:color="auto" w:fill="C6EFCE"/>
          </w:tcPr>
          <w:p w14:paraId="3FCCFA2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E1.1.1 Steun voor een koolstofarme economie</w:t>
            </w:r>
          </w:p>
        </w:tc>
        <w:tc>
          <w:tcPr>
            <w:tcW w:w="1027" w:type="dxa"/>
            <w:shd w:val="clear" w:color="auto" w:fill="C6EFCE"/>
          </w:tcPr>
          <w:p w14:paraId="7A9B815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029" w:type="dxa"/>
            <w:shd w:val="clear" w:color="auto" w:fill="C6EFCE"/>
          </w:tcPr>
          <w:p w14:paraId="2968435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Selectie van financiële tussenpersonen</w:t>
            </w:r>
          </w:p>
        </w:tc>
        <w:tc>
          <w:tcPr>
            <w:tcW w:w="1279" w:type="dxa"/>
            <w:shd w:val="clear" w:color="auto" w:fill="C6EFCE"/>
          </w:tcPr>
          <w:p w14:paraId="7F6B2E6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Besluit van de bestuursorganen van het Fonds</w:t>
            </w:r>
          </w:p>
        </w:tc>
        <w:tc>
          <w:tcPr>
            <w:tcW w:w="1221" w:type="dxa"/>
            <w:shd w:val="clear" w:color="auto" w:fill="C6EFCE"/>
          </w:tcPr>
          <w:p w14:paraId="1CAC39B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016" w:type="dxa"/>
            <w:shd w:val="clear" w:color="auto" w:fill="C6EFCE"/>
          </w:tcPr>
          <w:p w14:paraId="3830DC7F"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 xml:space="preserve"> </w:t>
            </w:r>
          </w:p>
        </w:tc>
        <w:tc>
          <w:tcPr>
            <w:tcW w:w="1416" w:type="dxa"/>
            <w:shd w:val="clear" w:color="auto" w:fill="C6EFCE"/>
          </w:tcPr>
          <w:p w14:paraId="6A8D15C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 xml:space="preserve"> </w:t>
            </w:r>
          </w:p>
        </w:tc>
        <w:tc>
          <w:tcPr>
            <w:tcW w:w="992" w:type="dxa"/>
            <w:shd w:val="clear" w:color="auto" w:fill="C6EFCE"/>
          </w:tcPr>
          <w:p w14:paraId="46D010F5" w14:textId="0D356B30"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3</w:t>
            </w:r>
          </w:p>
        </w:tc>
        <w:tc>
          <w:tcPr>
            <w:tcW w:w="851" w:type="dxa"/>
            <w:shd w:val="clear" w:color="auto" w:fill="C6EFCE"/>
          </w:tcPr>
          <w:p w14:paraId="3FAC397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3685" w:type="dxa"/>
            <w:shd w:val="clear" w:color="auto" w:fill="C6EFCE"/>
          </w:tcPr>
          <w:p w14:paraId="640B78C4" w14:textId="707D989D"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Selectie door de fondsbeheerder van financiële intermediairs die gerechtigd zijn financiële steun uit het fonds te verlenen. De selectieprocedure volgt een open en vergelijkende procedure en leidt tot de ondertekening van contracten met de financiële intermediairs, ter ondersteuning van specifieke innovatie- en productiecapaciteit op het gebied van emissievrije/emissiearme mobiliteit en energiebronnen (met uitzondering van gecomprimeerd aardgas en vloeibaar aardgas), die openstaat voor alle soorten ondernemingen met bijzondere aandacht voor kmo’s en midcaps. In de met financiële intermediairs ondertekende contractuele overeenkomsten worden de subsidiabiliteitscriteria voor projecten gespecificeerd die de naleving van het beginsel „geen ernstige afbreuk doen aan ernstige afbreuk doen” en de afstemming op de toepasselijke klimaat- en digitale taggingcriteria van bijlage VI bij de RRF-verordening waarborgen.</w:t>
            </w:r>
          </w:p>
        </w:tc>
      </w:tr>
      <w:tr w:rsidR="00480F1C" w14:paraId="170D4582" w14:textId="77777777">
        <w:trPr>
          <w:trHeight w:val="643"/>
        </w:trPr>
        <w:tc>
          <w:tcPr>
            <w:tcW w:w="655" w:type="dxa"/>
            <w:shd w:val="clear" w:color="auto" w:fill="C6EFCE"/>
          </w:tcPr>
          <w:p w14:paraId="61297EE0" w14:textId="1D54A564"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E10G</w:t>
            </w:r>
          </w:p>
        </w:tc>
        <w:tc>
          <w:tcPr>
            <w:tcW w:w="1280" w:type="dxa"/>
            <w:shd w:val="clear" w:color="auto" w:fill="C6EFCE"/>
          </w:tcPr>
          <w:p w14:paraId="57C426A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E1.1.1 Steun voor een koolstofarme economie</w:t>
            </w:r>
          </w:p>
        </w:tc>
        <w:tc>
          <w:tcPr>
            <w:tcW w:w="1027" w:type="dxa"/>
            <w:shd w:val="clear" w:color="auto" w:fill="C6EFCE"/>
          </w:tcPr>
          <w:p w14:paraId="59C30A5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029" w:type="dxa"/>
            <w:shd w:val="clear" w:color="auto" w:fill="C6EFCE"/>
          </w:tcPr>
          <w:p w14:paraId="6B1A9BB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Productiecapaciteit van nieuwe emissievrije voertuigen</w:t>
            </w:r>
          </w:p>
        </w:tc>
        <w:tc>
          <w:tcPr>
            <w:tcW w:w="1279" w:type="dxa"/>
            <w:shd w:val="clear" w:color="auto" w:fill="C6EFCE"/>
          </w:tcPr>
          <w:p w14:paraId="22B9D3B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21" w:type="dxa"/>
            <w:shd w:val="clear" w:color="auto" w:fill="C6EFCE"/>
          </w:tcPr>
          <w:p w14:paraId="1B16A6B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016" w:type="dxa"/>
            <w:shd w:val="clear" w:color="auto" w:fill="C6EFCE"/>
          </w:tcPr>
          <w:p w14:paraId="41EC5F74"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1416" w:type="dxa"/>
            <w:shd w:val="clear" w:color="auto" w:fill="C6EFCE"/>
          </w:tcPr>
          <w:p w14:paraId="6C8C77F6" w14:textId="298B06BB"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 xml:space="preserve">  83 768</w:t>
            </w:r>
          </w:p>
        </w:tc>
        <w:tc>
          <w:tcPr>
            <w:tcW w:w="992" w:type="dxa"/>
            <w:shd w:val="clear" w:color="auto" w:fill="C6EFCE"/>
          </w:tcPr>
          <w:p w14:paraId="52BB944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1" w:type="dxa"/>
            <w:shd w:val="clear" w:color="auto" w:fill="C6EFCE"/>
          </w:tcPr>
          <w:p w14:paraId="1DCADF6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685" w:type="dxa"/>
            <w:shd w:val="clear" w:color="auto" w:fill="C6EFCE"/>
          </w:tcPr>
          <w:p w14:paraId="75E8543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De doelstelling heeft betrekking op de jaarlijkse productiecapaciteit van nieuwe emissievrije voertuigen als gevolg van de door het fonds ondersteunde investeringen.</w:t>
            </w:r>
          </w:p>
        </w:tc>
      </w:tr>
      <w:tr w:rsidR="00480F1C" w14:paraId="23354C1D" w14:textId="77777777">
        <w:trPr>
          <w:trHeight w:val="1247"/>
        </w:trPr>
        <w:tc>
          <w:tcPr>
            <w:tcW w:w="655" w:type="dxa"/>
            <w:shd w:val="clear" w:color="auto" w:fill="C6EFCE"/>
          </w:tcPr>
          <w:p w14:paraId="51EDC13C" w14:textId="5359A599"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E11G</w:t>
            </w:r>
          </w:p>
        </w:tc>
        <w:tc>
          <w:tcPr>
            <w:tcW w:w="1280" w:type="dxa"/>
            <w:shd w:val="clear" w:color="auto" w:fill="C6EFCE"/>
          </w:tcPr>
          <w:p w14:paraId="0AC12D9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E1.1.1 Steun voor een koolstofarme economie</w:t>
            </w:r>
          </w:p>
        </w:tc>
        <w:tc>
          <w:tcPr>
            <w:tcW w:w="1027" w:type="dxa"/>
            <w:shd w:val="clear" w:color="auto" w:fill="C6EFCE"/>
          </w:tcPr>
          <w:p w14:paraId="66BF63B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029" w:type="dxa"/>
            <w:shd w:val="clear" w:color="auto" w:fill="C6EFCE"/>
          </w:tcPr>
          <w:p w14:paraId="31B3521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Productie- en opslagcapaciteit voor emissievrije/emissiearme opslag en productie van alternatieve brandstoffen/energie</w:t>
            </w:r>
          </w:p>
        </w:tc>
        <w:tc>
          <w:tcPr>
            <w:tcW w:w="1279" w:type="dxa"/>
            <w:shd w:val="clear" w:color="auto" w:fill="C6EFCE"/>
          </w:tcPr>
          <w:p w14:paraId="3EB5991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21" w:type="dxa"/>
            <w:shd w:val="clear" w:color="auto" w:fill="C6EFCE"/>
          </w:tcPr>
          <w:p w14:paraId="0659AA6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016" w:type="dxa"/>
            <w:shd w:val="clear" w:color="auto" w:fill="C6EFCE"/>
          </w:tcPr>
          <w:p w14:paraId="3FF8213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1416" w:type="dxa"/>
            <w:shd w:val="clear" w:color="auto" w:fill="C6EFCE"/>
          </w:tcPr>
          <w:p w14:paraId="501703E0" w14:textId="586606BB"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838</w:t>
            </w:r>
          </w:p>
        </w:tc>
        <w:tc>
          <w:tcPr>
            <w:tcW w:w="992" w:type="dxa"/>
            <w:shd w:val="clear" w:color="auto" w:fill="C6EFCE"/>
          </w:tcPr>
          <w:p w14:paraId="5412916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1" w:type="dxa"/>
            <w:shd w:val="clear" w:color="auto" w:fill="C6EFCE"/>
          </w:tcPr>
          <w:p w14:paraId="16F78DC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685" w:type="dxa"/>
            <w:shd w:val="clear" w:color="auto" w:fill="C6EFCE"/>
          </w:tcPr>
          <w:p w14:paraId="646604C2" w14:textId="6C83F397" w:rsidR="00480F1C" w:rsidRDefault="00A201F6">
            <w:pPr>
              <w:pStyle w:val="P68B1DB1-Normal011"/>
              <w:spacing w:after="0" w:line="240" w:lineRule="auto"/>
              <w:rPr>
                <w:rFonts w:eastAsia="Times New Roman" w:cs="Times New Roman"/>
                <w:noProof/>
                <w:color w:val="000000" w:themeColor="text1"/>
              </w:rPr>
            </w:pPr>
            <w:r>
              <w:rPr>
                <w:noProof/>
              </w:rPr>
              <w:t>Het streefcijfer heeft betrekking op de productie- en geïnstalleerde opslagcapaciteit (batterijen) (in MW) van emissievrije energiebronnen die jaarlijks worden geproduceerd (met uitzondering van gecomprimeerd aardgas en vloeibaar aardgas) als gevolg van de door het fonds ondersteunde investeringen.</w:t>
            </w:r>
          </w:p>
        </w:tc>
      </w:tr>
      <w:tr w:rsidR="00480F1C" w14:paraId="5729CDC8" w14:textId="77777777">
        <w:tc>
          <w:tcPr>
            <w:tcW w:w="655" w:type="dxa"/>
            <w:shd w:val="clear" w:color="auto" w:fill="C6EFCE"/>
          </w:tcPr>
          <w:p w14:paraId="752B3F2C" w14:textId="04385D9F"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E12G</w:t>
            </w:r>
          </w:p>
        </w:tc>
        <w:tc>
          <w:tcPr>
            <w:tcW w:w="1280" w:type="dxa"/>
            <w:shd w:val="clear" w:color="auto" w:fill="C6EFCE"/>
          </w:tcPr>
          <w:p w14:paraId="5437270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E1.1.1 Steun voor een koolstofarme economie</w:t>
            </w:r>
          </w:p>
        </w:tc>
        <w:tc>
          <w:tcPr>
            <w:tcW w:w="1027" w:type="dxa"/>
            <w:shd w:val="clear" w:color="auto" w:fill="C6EFCE"/>
          </w:tcPr>
          <w:p w14:paraId="3AADA4B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029" w:type="dxa"/>
            <w:shd w:val="clear" w:color="auto" w:fill="C6EFCE"/>
          </w:tcPr>
          <w:p w14:paraId="731D6F7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Kmo’s en midcaps die worden ondersteund door de specifieke investeringen waarop het fonds is gericht</w:t>
            </w:r>
          </w:p>
        </w:tc>
        <w:tc>
          <w:tcPr>
            <w:tcW w:w="1279" w:type="dxa"/>
            <w:shd w:val="clear" w:color="auto" w:fill="C6EFCE"/>
          </w:tcPr>
          <w:p w14:paraId="0785E90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21" w:type="dxa"/>
            <w:shd w:val="clear" w:color="auto" w:fill="C6EFCE"/>
          </w:tcPr>
          <w:p w14:paraId="6DD4F01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016" w:type="dxa"/>
            <w:shd w:val="clear" w:color="auto" w:fill="C6EFCE"/>
          </w:tcPr>
          <w:p w14:paraId="0A2B7E2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1416" w:type="dxa"/>
            <w:shd w:val="clear" w:color="auto" w:fill="C6EFCE"/>
          </w:tcPr>
          <w:p w14:paraId="739EFCF0" w14:textId="5D1D2513"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126</w:t>
            </w:r>
          </w:p>
        </w:tc>
        <w:tc>
          <w:tcPr>
            <w:tcW w:w="992" w:type="dxa"/>
            <w:shd w:val="clear" w:color="auto" w:fill="C6EFCE"/>
          </w:tcPr>
          <w:p w14:paraId="3045EC2C"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1" w:type="dxa"/>
            <w:shd w:val="clear" w:color="auto" w:fill="C6EFCE"/>
          </w:tcPr>
          <w:p w14:paraId="69DAEA6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2025</w:t>
            </w:r>
          </w:p>
        </w:tc>
        <w:tc>
          <w:tcPr>
            <w:tcW w:w="3685" w:type="dxa"/>
            <w:shd w:val="clear" w:color="auto" w:fill="C6EFCE"/>
          </w:tcPr>
          <w:p w14:paraId="1C7B72E7" w14:textId="6C62D67E" w:rsidR="00480F1C" w:rsidRDefault="00A201F6">
            <w:pPr>
              <w:pStyle w:val="P68B1DB1-Normal011"/>
              <w:spacing w:after="0" w:line="240" w:lineRule="auto"/>
              <w:rPr>
                <w:rFonts w:eastAsia="Times New Roman" w:cs="Times New Roman"/>
                <w:noProof/>
                <w:color w:val="000000" w:themeColor="text1"/>
              </w:rPr>
            </w:pPr>
            <w:r>
              <w:rPr>
                <w:noProof/>
              </w:rPr>
              <w:t>De doelstelling heeft betrekking op het aantal kmo’s en midcaps dat door het fonds wordt ondersteund en producten en diensten levert voor koolstofarme/emissievrije duurzame mobiliteit en emissievrije energie.</w:t>
            </w:r>
          </w:p>
        </w:tc>
      </w:tr>
      <w:tr w:rsidR="00480F1C" w14:paraId="0556F8AB" w14:textId="77777777">
        <w:tc>
          <w:tcPr>
            <w:tcW w:w="655" w:type="dxa"/>
            <w:shd w:val="clear" w:color="auto" w:fill="C6EFCE"/>
          </w:tcPr>
          <w:p w14:paraId="02F50A30" w14:textId="7A2E299D"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E13G</w:t>
            </w:r>
          </w:p>
        </w:tc>
        <w:tc>
          <w:tcPr>
            <w:tcW w:w="1280" w:type="dxa"/>
            <w:shd w:val="clear" w:color="auto" w:fill="C6EFCE"/>
          </w:tcPr>
          <w:p w14:paraId="0D947742" w14:textId="0F39A595"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E1.1.2 Zero en emissiearm collectief vervoer (bussen)</w:t>
            </w:r>
          </w:p>
        </w:tc>
        <w:tc>
          <w:tcPr>
            <w:tcW w:w="1027" w:type="dxa"/>
            <w:shd w:val="clear" w:color="auto" w:fill="C6EFCE"/>
          </w:tcPr>
          <w:p w14:paraId="13AFCBB7" w14:textId="31920D96"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2029" w:type="dxa"/>
            <w:shd w:val="clear" w:color="auto" w:fill="C6EFCE"/>
          </w:tcPr>
          <w:p w14:paraId="5A26E074" w14:textId="4B1FFFC5"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Emissievrije en emissiearme voertuigen: selectie van begunstigden</w:t>
            </w:r>
          </w:p>
        </w:tc>
        <w:tc>
          <w:tcPr>
            <w:tcW w:w="1279" w:type="dxa"/>
            <w:shd w:val="clear" w:color="auto" w:fill="C6EFCE"/>
          </w:tcPr>
          <w:p w14:paraId="207DAC17" w14:textId="5754189E"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Ondertekende contracten </w:t>
            </w:r>
          </w:p>
        </w:tc>
        <w:tc>
          <w:tcPr>
            <w:tcW w:w="1221" w:type="dxa"/>
            <w:shd w:val="clear" w:color="auto" w:fill="C6EFCE"/>
          </w:tcPr>
          <w:p w14:paraId="103FC20E"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1016" w:type="dxa"/>
            <w:shd w:val="clear" w:color="auto" w:fill="C6EFCE"/>
          </w:tcPr>
          <w:p w14:paraId="79044270"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1416" w:type="dxa"/>
            <w:shd w:val="clear" w:color="auto" w:fill="C6EFCE"/>
          </w:tcPr>
          <w:p w14:paraId="3375BB19"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992" w:type="dxa"/>
            <w:shd w:val="clear" w:color="auto" w:fill="C6EFCE"/>
          </w:tcPr>
          <w:p w14:paraId="46978406" w14:textId="504137F8"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3</w:t>
            </w:r>
          </w:p>
        </w:tc>
        <w:tc>
          <w:tcPr>
            <w:tcW w:w="851" w:type="dxa"/>
            <w:shd w:val="clear" w:color="auto" w:fill="C6EFCE"/>
          </w:tcPr>
          <w:p w14:paraId="3DB0C122" w14:textId="710D0560"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2024</w:t>
            </w:r>
          </w:p>
        </w:tc>
        <w:tc>
          <w:tcPr>
            <w:tcW w:w="3685" w:type="dxa"/>
            <w:shd w:val="clear" w:color="auto" w:fill="C6EFCE"/>
          </w:tcPr>
          <w:p w14:paraId="78441E4D" w14:textId="2138DFB5" w:rsidR="00480F1C" w:rsidRDefault="00A201F6">
            <w:pPr>
              <w:pStyle w:val="P68B1DB1-Normal12"/>
              <w:spacing w:after="120" w:line="240" w:lineRule="auto"/>
              <w:rPr>
                <w:rFonts w:eastAsia="Times New Roman" w:cs="Times New Roman"/>
                <w:noProof/>
                <w:color w:val="000000"/>
              </w:rPr>
            </w:pPr>
            <w:r>
              <w:rPr>
                <w:noProof/>
              </w:rPr>
              <w:t>Er worden contracten ondertekend met de geselecteerde begunstigde entiteiten (lokale overheden of exploitanten van openbare diensten) voor de nieuwe emissievrije en emissiearme bussen in 579.</w:t>
            </w:r>
          </w:p>
          <w:p w14:paraId="684B6AC7" w14:textId="77777777" w:rsidR="00480F1C" w:rsidRDefault="00A201F6">
            <w:pPr>
              <w:pStyle w:val="P68B1DB1-Normal12"/>
              <w:spacing w:after="120" w:line="240" w:lineRule="auto"/>
              <w:rPr>
                <w:rFonts w:eastAsia="Times New Roman" w:cs="Times New Roman"/>
                <w:noProof/>
                <w:color w:val="000000"/>
              </w:rPr>
            </w:pPr>
            <w:r>
              <w:rPr>
                <w:noProof/>
              </w:rPr>
              <w:t xml:space="preserve">De begunstigde entiteiten worden geselecteerd via transparante en vergelijkende oproepen die openstaan voor alle lokale overheden en exploitanten van openbare diensten, voor emissievrij en emissiearm vervoer in niet-stedelijke gebieden. </w:t>
            </w:r>
          </w:p>
          <w:p w14:paraId="40EDFEDB" w14:textId="1870EF67" w:rsidR="00480F1C" w:rsidRDefault="00A201F6">
            <w:pPr>
              <w:pStyle w:val="P68B1DB1-Normal011"/>
              <w:spacing w:after="0" w:line="240" w:lineRule="auto"/>
              <w:rPr>
                <w:rFonts w:eastAsia="Times New Roman" w:cs="Times New Roman"/>
                <w:noProof/>
                <w:color w:val="000000" w:themeColor="text1"/>
              </w:rPr>
            </w:pPr>
            <w:r>
              <w:rPr>
                <w:noProof/>
              </w:rPr>
              <w:t>De criteria voor de selectie van begunstigde entiteiten weerspiegelen met name de behoeften aan schoon openbaar vervoer en het effect op de vermindering van emissies (met name voor emissievrij stadsvervoer) en congestie, steun voor uitgesloten vervoersgebieden en projecten ter ondersteuning/waarborging van de integratie van het vervoer (spoor, stad, voorstad). Een evenwichtige verdeling van voertuigen in het land wordt bevorderd door open oproepen tot het indienen van voorstellen, waarbij elke in aanmerking komende instantie een aanvraag kan indienen.</w:t>
            </w:r>
          </w:p>
        </w:tc>
      </w:tr>
      <w:tr w:rsidR="00480F1C" w14:paraId="3FFA96FA" w14:textId="77777777">
        <w:trPr>
          <w:trHeight w:val="2269"/>
        </w:trPr>
        <w:tc>
          <w:tcPr>
            <w:tcW w:w="655" w:type="dxa"/>
            <w:shd w:val="clear" w:color="auto" w:fill="C6EFCE"/>
          </w:tcPr>
          <w:p w14:paraId="7389E98A" w14:textId="038E6789"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E14G</w:t>
            </w:r>
          </w:p>
        </w:tc>
        <w:tc>
          <w:tcPr>
            <w:tcW w:w="1280" w:type="dxa"/>
            <w:shd w:val="clear" w:color="auto" w:fill="C6EFCE"/>
          </w:tcPr>
          <w:p w14:paraId="5B53C09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E1.1.2 Zero en emissiearm collectief vervoer (bussen)</w:t>
            </w:r>
          </w:p>
        </w:tc>
        <w:tc>
          <w:tcPr>
            <w:tcW w:w="1027" w:type="dxa"/>
            <w:shd w:val="clear" w:color="auto" w:fill="C6EFCE"/>
          </w:tcPr>
          <w:p w14:paraId="7ED6796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029" w:type="dxa"/>
            <w:shd w:val="clear" w:color="auto" w:fill="C6EFCE"/>
          </w:tcPr>
          <w:p w14:paraId="667798B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Nieuwe emissievrije en emissiearme voertuigen in bedrijf</w:t>
            </w:r>
          </w:p>
        </w:tc>
        <w:tc>
          <w:tcPr>
            <w:tcW w:w="1279" w:type="dxa"/>
            <w:shd w:val="clear" w:color="auto" w:fill="C6EFCE"/>
          </w:tcPr>
          <w:p w14:paraId="3C7A12C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highlight w:val="yellow"/>
              </w:rPr>
            </w:pPr>
            <w:r>
              <w:rPr>
                <w:noProof/>
              </w:rPr>
              <w:t xml:space="preserve"> </w:t>
            </w:r>
          </w:p>
        </w:tc>
        <w:tc>
          <w:tcPr>
            <w:tcW w:w="1221" w:type="dxa"/>
            <w:shd w:val="clear" w:color="auto" w:fill="C6EFCE"/>
          </w:tcPr>
          <w:p w14:paraId="7AABAAB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016" w:type="dxa"/>
            <w:shd w:val="clear" w:color="auto" w:fill="C6EFCE"/>
          </w:tcPr>
          <w:p w14:paraId="3DEAE328"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1416" w:type="dxa"/>
            <w:shd w:val="clear" w:color="auto" w:fill="C6EFCE"/>
          </w:tcPr>
          <w:p w14:paraId="609BEE78" w14:textId="5BB11510"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 xml:space="preserve"> 579</w:t>
            </w:r>
          </w:p>
        </w:tc>
        <w:tc>
          <w:tcPr>
            <w:tcW w:w="992" w:type="dxa"/>
            <w:shd w:val="clear" w:color="auto" w:fill="C6EFCE"/>
          </w:tcPr>
          <w:p w14:paraId="2FB3EB5E" w14:textId="3381F974"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1" w:type="dxa"/>
            <w:shd w:val="clear" w:color="auto" w:fill="C6EFCE"/>
          </w:tcPr>
          <w:p w14:paraId="404CF87C"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685" w:type="dxa"/>
            <w:shd w:val="clear" w:color="auto" w:fill="C6EFCE"/>
          </w:tcPr>
          <w:p w14:paraId="34CCE194" w14:textId="22889DAD" w:rsidR="00480F1C" w:rsidRDefault="00A201F6">
            <w:pPr>
              <w:pStyle w:val="P68B1DB1-Normal12"/>
              <w:spacing w:after="120" w:line="240" w:lineRule="auto"/>
              <w:rPr>
                <w:rFonts w:eastAsia="Times New Roman" w:cs="Times New Roman"/>
                <w:noProof/>
                <w:color w:val="000000"/>
              </w:rPr>
            </w:pPr>
            <w:r>
              <w:rPr>
                <w:noProof/>
              </w:rPr>
              <w:t>Nieuwe emissievrije en emissiearme bussen, zoals gedefinieerd in de beschrijving van de maatregel, die worden geleverd in het kader van door deze investering gefinancierde contracten voor openbaar vervoer voor voorstedelijk/landelijk openbaar vervoer.</w:t>
            </w:r>
          </w:p>
          <w:p w14:paraId="630EE0A3" w14:textId="20EFF093" w:rsidR="00480F1C" w:rsidRDefault="00A201F6">
            <w:pPr>
              <w:pStyle w:val="P68B1DB1-Normal12"/>
              <w:spacing w:after="120" w:line="240" w:lineRule="auto"/>
              <w:rPr>
                <w:rFonts w:eastAsia="Times New Roman" w:cs="Times New Roman"/>
                <w:noProof/>
              </w:rPr>
            </w:pPr>
            <w:r>
              <w:rPr>
                <w:noProof/>
              </w:rPr>
              <w:t>De aankoop van bussen vindt plaats via open en concurrerende aanbestedingen.</w:t>
            </w:r>
          </w:p>
          <w:p w14:paraId="77B86680" w14:textId="765C1403" w:rsidR="00480F1C" w:rsidRDefault="00A201F6">
            <w:pPr>
              <w:pStyle w:val="P68B1DB1-Normal31"/>
              <w:spacing w:after="0" w:line="240" w:lineRule="auto"/>
              <w:rPr>
                <w:rFonts w:ascii="Times New Roman" w:eastAsia="Times New Roman" w:hAnsi="Times New Roman" w:cs="Times New Roman"/>
                <w:noProof/>
                <w:color w:val="000000" w:themeColor="text1"/>
              </w:rPr>
            </w:pPr>
            <w:r>
              <w:rPr>
                <w:rFonts w:ascii="Times New Roman" w:hAnsi="Times New Roman"/>
                <w:noProof/>
                <w:color w:val="000000" w:themeColor="text1"/>
              </w:rPr>
              <w:t>Het aantal emissiearme bussen mag niet meer dan 363 eenheden bedragen</w:t>
            </w:r>
            <w:r>
              <w:rPr>
                <w:noProof/>
              </w:rPr>
              <w:t>.</w:t>
            </w:r>
          </w:p>
        </w:tc>
      </w:tr>
      <w:tr w:rsidR="00480F1C" w14:paraId="63AD4AE5" w14:textId="77777777">
        <w:tc>
          <w:tcPr>
            <w:tcW w:w="655" w:type="dxa"/>
            <w:shd w:val="clear" w:color="auto" w:fill="C6EFCE"/>
          </w:tcPr>
          <w:p w14:paraId="4BDA9431" w14:textId="2AEB5ED0"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E15G</w:t>
            </w:r>
          </w:p>
        </w:tc>
        <w:tc>
          <w:tcPr>
            <w:tcW w:w="1280" w:type="dxa"/>
            <w:shd w:val="clear" w:color="auto" w:fill="C6EFCE"/>
          </w:tcPr>
          <w:p w14:paraId="160E0470" w14:textId="29ABD4F8"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E2.1 Versterking van het concurrentievermogen van de spoorwegsector</w:t>
            </w:r>
          </w:p>
        </w:tc>
        <w:tc>
          <w:tcPr>
            <w:tcW w:w="1027" w:type="dxa"/>
            <w:shd w:val="clear" w:color="auto" w:fill="C6EFCE"/>
          </w:tcPr>
          <w:p w14:paraId="1BAB73C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029" w:type="dxa"/>
            <w:shd w:val="clear" w:color="auto" w:fill="C6EFCE"/>
          </w:tcPr>
          <w:p w14:paraId="68C50A65" w14:textId="699B6776"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Inwerkingtreding van een wet tot wijziging van de wet spoorwegvervoer om de veerkracht van spoorwegexploitanten te waarborgen. Ministerieel besluit tot vaststelling van prioriteiten voor intermodaal vervoer en over het wegwerken van knelpunten ter bevordering van de spoorwegcapaciteit</w:t>
            </w:r>
          </w:p>
        </w:tc>
        <w:tc>
          <w:tcPr>
            <w:tcW w:w="1279" w:type="dxa"/>
            <w:shd w:val="clear" w:color="auto" w:fill="C6EFCE"/>
          </w:tcPr>
          <w:p w14:paraId="68F33769" w14:textId="58FDA7FD"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Bepaling in de wet tot wijziging van de Wet spoorwegvervoer met vermelding van de inwerkingtreding ervan, en vaststelling van een besluit van de minister van Infrastructuur over knelpunten.</w:t>
            </w:r>
          </w:p>
        </w:tc>
        <w:tc>
          <w:tcPr>
            <w:tcW w:w="1221" w:type="dxa"/>
            <w:shd w:val="clear" w:color="auto" w:fill="C6EFCE"/>
          </w:tcPr>
          <w:p w14:paraId="556E7CAA"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 xml:space="preserve"> </w:t>
            </w:r>
          </w:p>
        </w:tc>
        <w:tc>
          <w:tcPr>
            <w:tcW w:w="1016" w:type="dxa"/>
            <w:shd w:val="clear" w:color="auto" w:fill="C6EFCE"/>
          </w:tcPr>
          <w:p w14:paraId="316F37B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 xml:space="preserve"> </w:t>
            </w:r>
          </w:p>
        </w:tc>
        <w:tc>
          <w:tcPr>
            <w:tcW w:w="1416" w:type="dxa"/>
            <w:shd w:val="clear" w:color="auto" w:fill="C6EFCE"/>
          </w:tcPr>
          <w:p w14:paraId="4045EC7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 xml:space="preserve"> </w:t>
            </w:r>
          </w:p>
        </w:tc>
        <w:tc>
          <w:tcPr>
            <w:tcW w:w="992" w:type="dxa"/>
            <w:shd w:val="clear" w:color="auto" w:fill="C6EFCE"/>
          </w:tcPr>
          <w:p w14:paraId="02278CD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1" w:type="dxa"/>
            <w:shd w:val="clear" w:color="auto" w:fill="C6EFCE"/>
          </w:tcPr>
          <w:p w14:paraId="5184349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3685" w:type="dxa"/>
            <w:shd w:val="clear" w:color="auto" w:fill="C6EFCE"/>
          </w:tcPr>
          <w:p w14:paraId="07107456" w14:textId="3A8FBD8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Een wetgevingshandeling tot wijziging van de wet spoorwegvervoer stelt infrastructuurbeheerders in staat de vergoedingen voor de toegang tot de infrastructuur te verlagen en infrastructuurbeheerders te compenseren voor de verlaging van de heffingen. De ontwikkeling van intermodaal vervoer wordt bevorderd door middel van de volgende maatregelen: planning, coördinatie van programma’s, innovatie en investeringen, die leiden tot een grotere intermodale capaciteit, samen met de oprichting van een intermodale eenheid in het ministerie van Infrastructuur. De netstatus wordt geanalyseerd met de nadruk op knelpunten en de minister van Infrastructuur neemt een besluit over de prioriteiten voor het wegwerken van knelpunten die leiden tot een verhoging van de spoorwegcapaciteit.</w:t>
            </w:r>
          </w:p>
        </w:tc>
      </w:tr>
      <w:tr w:rsidR="00480F1C" w14:paraId="713DE6F4" w14:textId="77777777">
        <w:tc>
          <w:tcPr>
            <w:tcW w:w="655" w:type="dxa"/>
            <w:shd w:val="clear" w:color="auto" w:fill="C6EFCE"/>
          </w:tcPr>
          <w:p w14:paraId="66A632B1" w14:textId="22A12CDD"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E16G</w:t>
            </w:r>
          </w:p>
        </w:tc>
        <w:tc>
          <w:tcPr>
            <w:tcW w:w="1280" w:type="dxa"/>
            <w:shd w:val="clear" w:color="auto" w:fill="C6EFCE"/>
          </w:tcPr>
          <w:p w14:paraId="16E0AFE9" w14:textId="238C836D"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E2.1 Versterking van het concurrentievermogen van de spoorwegsector</w:t>
            </w:r>
          </w:p>
        </w:tc>
        <w:tc>
          <w:tcPr>
            <w:tcW w:w="1027" w:type="dxa"/>
            <w:shd w:val="clear" w:color="auto" w:fill="C6EFCE"/>
          </w:tcPr>
          <w:p w14:paraId="693219D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029" w:type="dxa"/>
            <w:shd w:val="clear" w:color="auto" w:fill="C6EFCE"/>
          </w:tcPr>
          <w:p w14:paraId="63DDC601"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Invoering van een tolsysteem op nieuwe wegen </w:t>
            </w:r>
          </w:p>
        </w:tc>
        <w:tc>
          <w:tcPr>
            <w:tcW w:w="1279" w:type="dxa"/>
            <w:shd w:val="clear" w:color="auto" w:fill="C6EFCE"/>
          </w:tcPr>
          <w:p w14:paraId="0343352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21" w:type="dxa"/>
            <w:shd w:val="clear" w:color="auto" w:fill="C6EFCE"/>
          </w:tcPr>
          <w:p w14:paraId="29ACEA3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km</w:t>
            </w:r>
          </w:p>
        </w:tc>
        <w:tc>
          <w:tcPr>
            <w:tcW w:w="1016" w:type="dxa"/>
            <w:shd w:val="clear" w:color="auto" w:fill="C6EFCE"/>
          </w:tcPr>
          <w:p w14:paraId="6CED564F"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1416" w:type="dxa"/>
            <w:shd w:val="clear" w:color="auto" w:fill="C6EFCE"/>
          </w:tcPr>
          <w:p w14:paraId="6BF47E81" w14:textId="674A92BF"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1 400</w:t>
            </w:r>
          </w:p>
        </w:tc>
        <w:tc>
          <w:tcPr>
            <w:tcW w:w="992" w:type="dxa"/>
            <w:shd w:val="clear" w:color="auto" w:fill="C6EFCE"/>
          </w:tcPr>
          <w:p w14:paraId="5477E878" w14:textId="7C167DB0"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1" w:type="dxa"/>
            <w:shd w:val="clear" w:color="auto" w:fill="C6EFCE"/>
          </w:tcPr>
          <w:p w14:paraId="1762CA94" w14:textId="2B7C76B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2023</w:t>
            </w:r>
          </w:p>
        </w:tc>
        <w:tc>
          <w:tcPr>
            <w:tcW w:w="3685" w:type="dxa"/>
            <w:shd w:val="clear" w:color="auto" w:fill="C6EFCE"/>
          </w:tcPr>
          <w:p w14:paraId="7BE00AE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Lengte van nieuwe wegen waarop een tolsysteem van toepassing is, zowel snelwegen als autosnelwegen.</w:t>
            </w:r>
          </w:p>
        </w:tc>
      </w:tr>
      <w:tr w:rsidR="00480F1C" w14:paraId="0BC780DC" w14:textId="77777777">
        <w:tc>
          <w:tcPr>
            <w:tcW w:w="655" w:type="dxa"/>
            <w:shd w:val="clear" w:color="auto" w:fill="C6EFCE"/>
          </w:tcPr>
          <w:p w14:paraId="0D5B2726" w14:textId="1C42ED92"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E17G</w:t>
            </w:r>
          </w:p>
        </w:tc>
        <w:tc>
          <w:tcPr>
            <w:tcW w:w="1280" w:type="dxa"/>
            <w:shd w:val="clear" w:color="auto" w:fill="C6EFCE"/>
          </w:tcPr>
          <w:p w14:paraId="077D9E10" w14:textId="7ADEEE9D"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E2.1.1 Spoorwegen</w:t>
            </w:r>
          </w:p>
        </w:tc>
        <w:tc>
          <w:tcPr>
            <w:tcW w:w="1027" w:type="dxa"/>
            <w:shd w:val="clear" w:color="auto" w:fill="C6EFCE"/>
          </w:tcPr>
          <w:p w14:paraId="4918185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029" w:type="dxa"/>
            <w:shd w:val="clear" w:color="auto" w:fill="C6EFCE"/>
          </w:tcPr>
          <w:p w14:paraId="6632026D" w14:textId="7EF5CEB1"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Ondertekening van contracten na openbare en openbare aanbestedingen</w:t>
            </w:r>
          </w:p>
        </w:tc>
        <w:tc>
          <w:tcPr>
            <w:tcW w:w="1279" w:type="dxa"/>
            <w:shd w:val="clear" w:color="auto" w:fill="C6EFCE"/>
          </w:tcPr>
          <w:p w14:paraId="43A1D4BA" w14:textId="5CC73F10"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Ondertekende contracten </w:t>
            </w:r>
          </w:p>
        </w:tc>
        <w:tc>
          <w:tcPr>
            <w:tcW w:w="1221" w:type="dxa"/>
            <w:shd w:val="clear" w:color="auto" w:fill="C6EFCE"/>
          </w:tcPr>
          <w:p w14:paraId="3777E23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016" w:type="dxa"/>
            <w:shd w:val="clear" w:color="auto" w:fill="C6EFCE"/>
          </w:tcPr>
          <w:p w14:paraId="5CD0C12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1416" w:type="dxa"/>
            <w:shd w:val="clear" w:color="auto" w:fill="C6EFCE"/>
          </w:tcPr>
          <w:p w14:paraId="76CC0FB2"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92" w:type="dxa"/>
            <w:shd w:val="clear" w:color="auto" w:fill="C6EFCE"/>
          </w:tcPr>
          <w:p w14:paraId="3F0C8C6B" w14:textId="6E64B62A"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1" w:type="dxa"/>
            <w:shd w:val="clear" w:color="auto" w:fill="C6EFCE"/>
          </w:tcPr>
          <w:p w14:paraId="2641C54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2024</w:t>
            </w:r>
          </w:p>
        </w:tc>
        <w:tc>
          <w:tcPr>
            <w:tcW w:w="3685" w:type="dxa"/>
            <w:shd w:val="clear" w:color="auto" w:fill="C6EFCE"/>
          </w:tcPr>
          <w:p w14:paraId="11C56FDA" w14:textId="6C532A31"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Ondertekening van contracten voor de aanpassing van 478 km spoorlijnen aan de TEN-T-normen en elektrificatie. Contractanten voor de modernisering van de spoorweginfrastructuur worden geselecteerd in het kader van de regeling inzake overheidsopdrachten volgens een concurrerend model. De opdrachten hebben betrekking op de belangrijkste werkzaamheden aan de lijn.</w:t>
            </w:r>
          </w:p>
        </w:tc>
      </w:tr>
      <w:tr w:rsidR="00480F1C" w14:paraId="761B0A68" w14:textId="77777777">
        <w:tc>
          <w:tcPr>
            <w:tcW w:w="655" w:type="dxa"/>
            <w:shd w:val="clear" w:color="auto" w:fill="C6EFCE"/>
          </w:tcPr>
          <w:p w14:paraId="252A9252" w14:textId="4EA0BC9D"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E18G</w:t>
            </w:r>
          </w:p>
        </w:tc>
        <w:tc>
          <w:tcPr>
            <w:tcW w:w="1280" w:type="dxa"/>
            <w:shd w:val="clear" w:color="auto" w:fill="C6EFCE"/>
          </w:tcPr>
          <w:p w14:paraId="5BFAEB5D" w14:textId="4125D1C1"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E2.1.1 Spoorwegen</w:t>
            </w:r>
          </w:p>
        </w:tc>
        <w:tc>
          <w:tcPr>
            <w:tcW w:w="1027" w:type="dxa"/>
            <w:shd w:val="clear" w:color="auto" w:fill="C6EFCE"/>
          </w:tcPr>
          <w:p w14:paraId="2003C65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029" w:type="dxa"/>
            <w:shd w:val="clear" w:color="auto" w:fill="C6EFCE"/>
          </w:tcPr>
          <w:p w14:paraId="7EB1F2A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Modernisering van 478 km spoorlijnen, met inbegrip van 300 km volgens TEN-T-normen </w:t>
            </w:r>
          </w:p>
        </w:tc>
        <w:tc>
          <w:tcPr>
            <w:tcW w:w="1279" w:type="dxa"/>
            <w:shd w:val="clear" w:color="auto" w:fill="C6EFCE"/>
          </w:tcPr>
          <w:p w14:paraId="78BD240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21" w:type="dxa"/>
            <w:shd w:val="clear" w:color="auto" w:fill="C6EFCE"/>
          </w:tcPr>
          <w:p w14:paraId="4ADA8BF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016" w:type="dxa"/>
            <w:shd w:val="clear" w:color="auto" w:fill="C6EFCE"/>
          </w:tcPr>
          <w:p w14:paraId="55059D96"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1416" w:type="dxa"/>
            <w:shd w:val="clear" w:color="auto" w:fill="C6EFCE"/>
          </w:tcPr>
          <w:p w14:paraId="526CA199" w14:textId="18C12762"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478</w:t>
            </w:r>
          </w:p>
        </w:tc>
        <w:tc>
          <w:tcPr>
            <w:tcW w:w="992" w:type="dxa"/>
            <w:shd w:val="clear" w:color="auto" w:fill="C6EFCE"/>
          </w:tcPr>
          <w:p w14:paraId="15D0798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1" w:type="dxa"/>
            <w:shd w:val="clear" w:color="auto" w:fill="C6EFCE"/>
          </w:tcPr>
          <w:p w14:paraId="76C682F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685" w:type="dxa"/>
            <w:shd w:val="clear" w:color="auto" w:fill="C6EFCE"/>
          </w:tcPr>
          <w:p w14:paraId="6AE87DB1" w14:textId="619C2DC1"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Voltooiing van de moderniseringswerkzaamheden op 478 km spoorlijnen die 300 km aanpassen aan de eisen van het TEN-T-netwerk (waarvan 200 km op het TEN-T-kernnetwerk), 180 km lijnen moet worden aangepast voor een snelheid van 250 km/u voor passagiersverkeer, 245 km moet een snelheid van 100 km/u mogelijk maken voor goederenvervoer, 120 km lijnen geëlektrificeerd en 70 km wordt aangepast tot een snelheid van 160 km/u.</w:t>
            </w:r>
          </w:p>
        </w:tc>
      </w:tr>
      <w:tr w:rsidR="00480F1C" w14:paraId="3E963BA6" w14:textId="77777777">
        <w:tc>
          <w:tcPr>
            <w:tcW w:w="655" w:type="dxa"/>
            <w:shd w:val="clear" w:color="auto" w:fill="C6EFCE"/>
          </w:tcPr>
          <w:p w14:paraId="3E4741B9" w14:textId="0770A892"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E19G</w:t>
            </w:r>
          </w:p>
        </w:tc>
        <w:tc>
          <w:tcPr>
            <w:tcW w:w="1280" w:type="dxa"/>
            <w:shd w:val="clear" w:color="auto" w:fill="C6EFCE"/>
          </w:tcPr>
          <w:p w14:paraId="332B5D3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E2.1.2 Spoorwegen reizigerstreinen</w:t>
            </w:r>
          </w:p>
        </w:tc>
        <w:tc>
          <w:tcPr>
            <w:tcW w:w="1027" w:type="dxa"/>
            <w:shd w:val="clear" w:color="auto" w:fill="C6EFCE"/>
          </w:tcPr>
          <w:p w14:paraId="26B9D3C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029" w:type="dxa"/>
            <w:shd w:val="clear" w:color="auto" w:fill="C6EFCE"/>
          </w:tcPr>
          <w:p w14:paraId="22058B5A" w14:textId="5D1BAF9D"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Ondertekening van contracten voor reizigerstreinen</w:t>
            </w:r>
          </w:p>
        </w:tc>
        <w:tc>
          <w:tcPr>
            <w:tcW w:w="1279" w:type="dxa"/>
            <w:shd w:val="clear" w:color="auto" w:fill="C6EFCE"/>
          </w:tcPr>
          <w:p w14:paraId="11040A48" w14:textId="4EB5B692"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Ondertekende contracten</w:t>
            </w:r>
          </w:p>
        </w:tc>
        <w:tc>
          <w:tcPr>
            <w:tcW w:w="1221" w:type="dxa"/>
            <w:shd w:val="clear" w:color="auto" w:fill="C6EFCE"/>
          </w:tcPr>
          <w:p w14:paraId="6E15FBF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016" w:type="dxa"/>
            <w:shd w:val="clear" w:color="auto" w:fill="C6EFCE"/>
          </w:tcPr>
          <w:p w14:paraId="0AC27F0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 xml:space="preserve"> </w:t>
            </w:r>
          </w:p>
        </w:tc>
        <w:tc>
          <w:tcPr>
            <w:tcW w:w="1416" w:type="dxa"/>
            <w:shd w:val="clear" w:color="auto" w:fill="C6EFCE"/>
          </w:tcPr>
          <w:p w14:paraId="055F0112"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 xml:space="preserve"> </w:t>
            </w:r>
          </w:p>
        </w:tc>
        <w:tc>
          <w:tcPr>
            <w:tcW w:w="992" w:type="dxa"/>
            <w:shd w:val="clear" w:color="auto" w:fill="C6EFCE"/>
          </w:tcPr>
          <w:p w14:paraId="41B561BE" w14:textId="5901723E"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1</w:t>
            </w:r>
          </w:p>
        </w:tc>
        <w:tc>
          <w:tcPr>
            <w:tcW w:w="851" w:type="dxa"/>
            <w:shd w:val="clear" w:color="auto" w:fill="C6EFCE"/>
          </w:tcPr>
          <w:p w14:paraId="53ECD6F9" w14:textId="27888E11"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2024</w:t>
            </w:r>
          </w:p>
        </w:tc>
        <w:tc>
          <w:tcPr>
            <w:tcW w:w="3685" w:type="dxa"/>
            <w:shd w:val="clear" w:color="auto" w:fill="C6EFCE"/>
          </w:tcPr>
          <w:p w14:paraId="5CDD8882" w14:textId="00705556" w:rsidR="00480F1C" w:rsidRDefault="00A201F6">
            <w:pPr>
              <w:pStyle w:val="P68B1DB1-Normal010"/>
              <w:pBdr>
                <w:top w:val="nil"/>
                <w:left w:val="nil"/>
                <w:bottom w:val="nil"/>
                <w:right w:val="nil"/>
                <w:between w:val="nil"/>
              </w:pBdr>
              <w:spacing w:after="0" w:line="240" w:lineRule="auto"/>
              <w:rPr>
                <w:rFonts w:eastAsia="Times New Roman" w:cs="Times New Roman"/>
                <w:noProof/>
                <w:color w:val="006100"/>
              </w:rPr>
            </w:pPr>
            <w:r>
              <w:rPr>
                <w:noProof/>
              </w:rPr>
              <w:t>De</w:t>
            </w:r>
            <w:r>
              <w:rPr>
                <w:noProof/>
                <w:color w:val="000000" w:themeColor="text1"/>
              </w:rPr>
              <w:t xml:space="preserve">projecten worden geselecteerd in het kader van vergelijkende en open oproepen tot het indienen van voorstellen. Na de oproep worden de contracten met geselecteerde begunstigden ondertekend voor de levering van 71 met emissievrij/elektrisch en ERTMS-uitgerust rollend materieel voor regionaal personenvervoer per spoor. Voor nog eens 304 </w:t>
            </w:r>
            <w:r>
              <w:rPr>
                <w:noProof/>
              </w:rPr>
              <w:t>eenheden voor elektrisch rollend materieel</w:t>
            </w:r>
            <w:r>
              <w:rPr>
                <w:noProof/>
                <w:color w:val="000000" w:themeColor="text1"/>
              </w:rPr>
              <w:t xml:space="preserve"> (56 nieuwe locomotieven en 248 gemoderniseerde wagons) moeten contracten worden gesloten met de nationale Poolse spoorwegmaatschappij PKP IC — exploitant van langeafstandstreinen.</w:t>
            </w:r>
          </w:p>
        </w:tc>
      </w:tr>
      <w:tr w:rsidR="00480F1C" w14:paraId="516B4C97" w14:textId="77777777">
        <w:trPr>
          <w:trHeight w:val="300"/>
        </w:trPr>
        <w:tc>
          <w:tcPr>
            <w:tcW w:w="655" w:type="dxa"/>
            <w:shd w:val="clear" w:color="auto" w:fill="C6EFCE"/>
          </w:tcPr>
          <w:p w14:paraId="049C487D" w14:textId="79419392" w:rsidR="00480F1C" w:rsidRDefault="00A201F6">
            <w:pPr>
              <w:pStyle w:val="P68B1DB1-Normal010"/>
              <w:spacing w:line="240" w:lineRule="auto"/>
              <w:jc w:val="center"/>
              <w:rPr>
                <w:rFonts w:cs="Times New Roman"/>
                <w:noProof/>
              </w:rPr>
            </w:pPr>
            <w:r>
              <w:rPr>
                <w:noProof/>
              </w:rPr>
              <w:t>E19aG</w:t>
            </w:r>
          </w:p>
        </w:tc>
        <w:tc>
          <w:tcPr>
            <w:tcW w:w="1280" w:type="dxa"/>
            <w:shd w:val="clear" w:color="auto" w:fill="C6EFCE"/>
          </w:tcPr>
          <w:p w14:paraId="44707C7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E2.1.2 Spoorwegen reizigerstreinen</w:t>
            </w:r>
          </w:p>
          <w:p w14:paraId="76B94BFC" w14:textId="5891C99E"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1027" w:type="dxa"/>
            <w:shd w:val="clear" w:color="auto" w:fill="C6EFCE"/>
          </w:tcPr>
          <w:p w14:paraId="372DA257" w14:textId="10938C43" w:rsidR="00480F1C" w:rsidRDefault="00A201F6">
            <w:pPr>
              <w:pStyle w:val="P68B1DB1-Normal011"/>
              <w:spacing w:line="240" w:lineRule="auto"/>
              <w:rPr>
                <w:rFonts w:eastAsia="Times New Roman" w:cs="Times New Roman"/>
                <w:noProof/>
                <w:color w:val="000000" w:themeColor="text1"/>
              </w:rPr>
            </w:pPr>
            <w:r>
              <w:rPr>
                <w:noProof/>
              </w:rPr>
              <w:t>Doel</w:t>
            </w:r>
          </w:p>
        </w:tc>
        <w:tc>
          <w:tcPr>
            <w:tcW w:w="2029" w:type="dxa"/>
            <w:shd w:val="clear" w:color="auto" w:fill="C6EFCE"/>
          </w:tcPr>
          <w:p w14:paraId="1276ED8F" w14:textId="102BB86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Elektrisch en met ERTMS uitgerust rollend materieel geleverd voor spoorlijnen over lange afstand</w:t>
            </w:r>
          </w:p>
          <w:p w14:paraId="66255581" w14:textId="1AD9DCB3"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1279" w:type="dxa"/>
            <w:shd w:val="clear" w:color="auto" w:fill="C6EFCE"/>
          </w:tcPr>
          <w:p w14:paraId="5BB04A8D" w14:textId="0EB2274C" w:rsidR="00480F1C" w:rsidRDefault="00480F1C">
            <w:pPr>
              <w:pStyle w:val="Normal0"/>
              <w:spacing w:line="240" w:lineRule="auto"/>
              <w:rPr>
                <w:rFonts w:ascii="Times New Roman" w:eastAsia="Times New Roman" w:hAnsi="Times New Roman" w:cs="Times New Roman"/>
                <w:noProof/>
                <w:color w:val="000000" w:themeColor="text1"/>
                <w:sz w:val="18"/>
              </w:rPr>
            </w:pPr>
          </w:p>
        </w:tc>
        <w:tc>
          <w:tcPr>
            <w:tcW w:w="1221" w:type="dxa"/>
            <w:shd w:val="clear" w:color="auto" w:fill="C6EFCE"/>
          </w:tcPr>
          <w:p w14:paraId="4E2F6858" w14:textId="493FD407" w:rsidR="00480F1C" w:rsidRDefault="00A201F6">
            <w:pPr>
              <w:pStyle w:val="P68B1DB1-Normal011"/>
              <w:spacing w:line="240" w:lineRule="auto"/>
              <w:rPr>
                <w:rFonts w:eastAsia="Times New Roman" w:cs="Times New Roman"/>
                <w:noProof/>
                <w:color w:val="000000" w:themeColor="text1"/>
              </w:rPr>
            </w:pPr>
            <w:r>
              <w:rPr>
                <w:noProof/>
              </w:rPr>
              <w:t>Aantal</w:t>
            </w:r>
          </w:p>
        </w:tc>
        <w:tc>
          <w:tcPr>
            <w:tcW w:w="1016" w:type="dxa"/>
            <w:shd w:val="clear" w:color="auto" w:fill="C6EFCE"/>
          </w:tcPr>
          <w:p w14:paraId="36408533" w14:textId="1BB1202E" w:rsidR="00480F1C" w:rsidRDefault="00A201F6">
            <w:pPr>
              <w:pStyle w:val="P68B1DB1-Normal011"/>
              <w:spacing w:line="240" w:lineRule="auto"/>
              <w:jc w:val="center"/>
              <w:rPr>
                <w:rFonts w:eastAsia="Times New Roman" w:cs="Times New Roman"/>
                <w:noProof/>
                <w:color w:val="000000" w:themeColor="text1"/>
              </w:rPr>
            </w:pPr>
            <w:r>
              <w:rPr>
                <w:noProof/>
              </w:rPr>
              <w:t>0</w:t>
            </w:r>
          </w:p>
        </w:tc>
        <w:tc>
          <w:tcPr>
            <w:tcW w:w="1416" w:type="dxa"/>
            <w:shd w:val="clear" w:color="auto" w:fill="C6EFCE"/>
          </w:tcPr>
          <w:p w14:paraId="59407743" w14:textId="425E42AE" w:rsidR="00480F1C" w:rsidRDefault="00A201F6">
            <w:pPr>
              <w:pStyle w:val="P68B1DB1-Normal011"/>
              <w:spacing w:line="240" w:lineRule="auto"/>
              <w:jc w:val="center"/>
              <w:rPr>
                <w:rFonts w:eastAsia="Times New Roman" w:cs="Times New Roman"/>
                <w:noProof/>
                <w:color w:val="000000" w:themeColor="text1"/>
              </w:rPr>
            </w:pPr>
            <w:r>
              <w:rPr>
                <w:noProof/>
              </w:rPr>
              <w:t>199</w:t>
            </w:r>
          </w:p>
        </w:tc>
        <w:tc>
          <w:tcPr>
            <w:tcW w:w="992" w:type="dxa"/>
            <w:shd w:val="clear" w:color="auto" w:fill="C6EFCE"/>
          </w:tcPr>
          <w:p w14:paraId="2F4409D5" w14:textId="2AF2BADE" w:rsidR="00480F1C" w:rsidRDefault="00A201F6">
            <w:pPr>
              <w:pStyle w:val="P68B1DB1-Normal011"/>
              <w:spacing w:line="240" w:lineRule="auto"/>
              <w:jc w:val="center"/>
              <w:rPr>
                <w:rFonts w:eastAsia="Times New Roman" w:cs="Times New Roman"/>
                <w:noProof/>
                <w:color w:val="000000" w:themeColor="text1"/>
              </w:rPr>
            </w:pPr>
            <w:r>
              <w:rPr>
                <w:noProof/>
              </w:rPr>
              <w:t>KWARTAAL 2</w:t>
            </w:r>
          </w:p>
        </w:tc>
        <w:tc>
          <w:tcPr>
            <w:tcW w:w="851" w:type="dxa"/>
            <w:shd w:val="clear" w:color="auto" w:fill="C6EFCE"/>
          </w:tcPr>
          <w:p w14:paraId="47715760" w14:textId="2E15CA1C" w:rsidR="00480F1C" w:rsidRDefault="00A201F6">
            <w:pPr>
              <w:pStyle w:val="P68B1DB1-Normal011"/>
              <w:spacing w:line="240" w:lineRule="auto"/>
              <w:jc w:val="center"/>
              <w:rPr>
                <w:rFonts w:eastAsia="Times New Roman" w:cs="Times New Roman"/>
                <w:noProof/>
                <w:color w:val="000000" w:themeColor="text1"/>
              </w:rPr>
            </w:pPr>
            <w:r>
              <w:rPr>
                <w:noProof/>
              </w:rPr>
              <w:t>2025</w:t>
            </w:r>
          </w:p>
        </w:tc>
        <w:tc>
          <w:tcPr>
            <w:tcW w:w="3685" w:type="dxa"/>
            <w:shd w:val="clear" w:color="auto" w:fill="C6EFCE"/>
          </w:tcPr>
          <w:p w14:paraId="78A573D5" w14:textId="3340662D" w:rsidR="00480F1C" w:rsidRDefault="00A201F6">
            <w:pPr>
              <w:pStyle w:val="P68B1DB1-Normal011"/>
              <w:spacing w:line="240" w:lineRule="auto"/>
              <w:rPr>
                <w:rFonts w:eastAsia="Times New Roman" w:cs="Times New Roman"/>
                <w:noProof/>
                <w:color w:val="000000" w:themeColor="text1"/>
              </w:rPr>
            </w:pPr>
            <w:r>
              <w:rPr>
                <w:noProof/>
              </w:rPr>
              <w:t>Levering van 16 nieuwe locomotieven en 183 gemoderniseerde wagons voor langeafstandslijnen.</w:t>
            </w:r>
          </w:p>
          <w:p w14:paraId="119F1387" w14:textId="3318A171" w:rsidR="00480F1C" w:rsidRDefault="00480F1C">
            <w:pPr>
              <w:pStyle w:val="Normal0"/>
              <w:spacing w:line="240" w:lineRule="auto"/>
              <w:rPr>
                <w:rFonts w:ascii="Times New Roman" w:eastAsia="Times New Roman" w:hAnsi="Times New Roman" w:cs="Times New Roman"/>
                <w:noProof/>
                <w:color w:val="000000" w:themeColor="text1"/>
                <w:sz w:val="18"/>
              </w:rPr>
            </w:pPr>
          </w:p>
        </w:tc>
      </w:tr>
      <w:tr w:rsidR="00480F1C" w14:paraId="06565939" w14:textId="77777777">
        <w:tc>
          <w:tcPr>
            <w:tcW w:w="655" w:type="dxa"/>
            <w:shd w:val="clear" w:color="auto" w:fill="C6EFCE"/>
          </w:tcPr>
          <w:p w14:paraId="5C8738AC" w14:textId="07FF9673"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E20G</w:t>
            </w:r>
          </w:p>
        </w:tc>
        <w:tc>
          <w:tcPr>
            <w:tcW w:w="1280" w:type="dxa"/>
            <w:shd w:val="clear" w:color="auto" w:fill="C6EFCE"/>
          </w:tcPr>
          <w:p w14:paraId="6C8075A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E2.1.2 Spoorwegen reizigerstreinen</w:t>
            </w:r>
          </w:p>
        </w:tc>
        <w:tc>
          <w:tcPr>
            <w:tcW w:w="1027" w:type="dxa"/>
            <w:shd w:val="clear" w:color="auto" w:fill="C6EFCE"/>
          </w:tcPr>
          <w:p w14:paraId="570E7F9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029" w:type="dxa"/>
            <w:shd w:val="clear" w:color="auto" w:fill="C6EFCE"/>
          </w:tcPr>
          <w:p w14:paraId="7432032B" w14:textId="28B76C2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Elektrisch en met ERTMS uitgerust rollend materieel geleverd voor regionale en langeafstandsspoorlijnen</w:t>
            </w:r>
          </w:p>
        </w:tc>
        <w:tc>
          <w:tcPr>
            <w:tcW w:w="1279" w:type="dxa"/>
            <w:shd w:val="clear" w:color="auto" w:fill="C6EFCE"/>
          </w:tcPr>
          <w:p w14:paraId="1768167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21" w:type="dxa"/>
            <w:shd w:val="clear" w:color="auto" w:fill="C6EFCE"/>
          </w:tcPr>
          <w:p w14:paraId="7C769DF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016" w:type="dxa"/>
            <w:shd w:val="clear" w:color="auto" w:fill="C6EFCE"/>
          </w:tcPr>
          <w:p w14:paraId="55B3BC3C" w14:textId="541B0931"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0000" w:themeColor="text1"/>
              </w:rPr>
            </w:pPr>
            <w:r>
              <w:rPr>
                <w:noProof/>
              </w:rPr>
              <w:t>199</w:t>
            </w:r>
          </w:p>
        </w:tc>
        <w:tc>
          <w:tcPr>
            <w:tcW w:w="1416" w:type="dxa"/>
            <w:shd w:val="clear" w:color="auto" w:fill="C6EFCE"/>
          </w:tcPr>
          <w:p w14:paraId="0898F794" w14:textId="62B43515"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381</w:t>
            </w:r>
          </w:p>
        </w:tc>
        <w:tc>
          <w:tcPr>
            <w:tcW w:w="992" w:type="dxa"/>
            <w:shd w:val="clear" w:color="auto" w:fill="C6EFCE"/>
          </w:tcPr>
          <w:p w14:paraId="16176451"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1" w:type="dxa"/>
            <w:shd w:val="clear" w:color="auto" w:fill="C6EFCE"/>
          </w:tcPr>
          <w:p w14:paraId="46FD8213"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685" w:type="dxa"/>
            <w:shd w:val="clear" w:color="auto" w:fill="C6EFCE"/>
          </w:tcPr>
          <w:p w14:paraId="798A05FB" w14:textId="73799C63"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 geleverde nieuwe eenheden rollend materieel voor langeafstands- en regionaal verkeer. Rollend materieel moet emissievrij/elektrisch zijn, voldoen aan de DNSH-beginselen (bv. emissievrij) en uitgerust zijn met ERTMS: 77 eenheden voor regionale lijnen en 304 eenheden (56 nieuwe locomotieven en 248 gemoderniseerde wagons) voor lijnen over lange afstand (in het kader van openbaredienstcontracten). Het rollend materieel wordt aan het einde van het openbaredienstcontract overgedragen aan de bevoegde instantie of de volgende exploitant (tegen de marktprijs exclusief steun).</w:t>
            </w:r>
          </w:p>
        </w:tc>
      </w:tr>
      <w:tr w:rsidR="00480F1C" w14:paraId="408782DD" w14:textId="77777777">
        <w:tc>
          <w:tcPr>
            <w:tcW w:w="655" w:type="dxa"/>
            <w:shd w:val="clear" w:color="auto" w:fill="C6EFCE"/>
          </w:tcPr>
          <w:p w14:paraId="7AE99E28" w14:textId="733B7019"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E21G</w:t>
            </w:r>
          </w:p>
        </w:tc>
        <w:tc>
          <w:tcPr>
            <w:tcW w:w="1280" w:type="dxa"/>
            <w:shd w:val="clear" w:color="auto" w:fill="C6EFCE"/>
          </w:tcPr>
          <w:p w14:paraId="3F7BF6D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E2.1.3 Intermodale projecten</w:t>
            </w:r>
          </w:p>
        </w:tc>
        <w:tc>
          <w:tcPr>
            <w:tcW w:w="1027" w:type="dxa"/>
            <w:shd w:val="clear" w:color="auto" w:fill="C6EFCE"/>
          </w:tcPr>
          <w:p w14:paraId="06625BB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029" w:type="dxa"/>
            <w:shd w:val="clear" w:color="auto" w:fill="C6EFCE"/>
          </w:tcPr>
          <w:p w14:paraId="627A33FF" w14:textId="38E6C108"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Ondertekening van contracten voor intermodale vervoersprojecten</w:t>
            </w:r>
          </w:p>
        </w:tc>
        <w:tc>
          <w:tcPr>
            <w:tcW w:w="1279" w:type="dxa"/>
            <w:shd w:val="clear" w:color="auto" w:fill="C6EFCE"/>
          </w:tcPr>
          <w:p w14:paraId="28F6E653" w14:textId="4958505D"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Ondertekende contracten</w:t>
            </w:r>
          </w:p>
        </w:tc>
        <w:tc>
          <w:tcPr>
            <w:tcW w:w="1221" w:type="dxa"/>
            <w:shd w:val="clear" w:color="auto" w:fill="C6EFCE"/>
          </w:tcPr>
          <w:p w14:paraId="3BB54FD9"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016" w:type="dxa"/>
            <w:shd w:val="clear" w:color="auto" w:fill="C6EFCE"/>
          </w:tcPr>
          <w:p w14:paraId="50835483"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1416" w:type="dxa"/>
            <w:shd w:val="clear" w:color="auto" w:fill="C6EFCE"/>
          </w:tcPr>
          <w:p w14:paraId="415990F0"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 xml:space="preserve"> </w:t>
            </w:r>
          </w:p>
        </w:tc>
        <w:tc>
          <w:tcPr>
            <w:tcW w:w="992" w:type="dxa"/>
            <w:shd w:val="clear" w:color="auto" w:fill="C6EFCE"/>
          </w:tcPr>
          <w:p w14:paraId="0239B9F7" w14:textId="6072DF11"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4</w:t>
            </w:r>
          </w:p>
        </w:tc>
        <w:tc>
          <w:tcPr>
            <w:tcW w:w="851" w:type="dxa"/>
            <w:shd w:val="clear" w:color="auto" w:fill="C6EFCE"/>
          </w:tcPr>
          <w:p w14:paraId="761C5FC8" w14:textId="6FAE78D0"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2024</w:t>
            </w:r>
          </w:p>
        </w:tc>
        <w:tc>
          <w:tcPr>
            <w:tcW w:w="3685" w:type="dxa"/>
            <w:shd w:val="clear" w:color="auto" w:fill="C6EFCE"/>
          </w:tcPr>
          <w:p w14:paraId="213BE7EE" w14:textId="026576CC"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De projecten worden geselecteerd in het kader van vergelijkende en open oproepen tot het indienen van voorstellen. Na de oproep worden de contracten met geselecteerde begunstigden ondertekend ter ondersteuning van 8 intermodale terminals en de levering van 200 eenheden rollend materieel die voldoen aan de technische specificaties en de DNSH-beginselen (bv. stille remmen, emissievrij) en aan het wereldwijde systeem voor mobiele communicatie (voor locomotieven).</w:t>
            </w:r>
          </w:p>
        </w:tc>
      </w:tr>
      <w:tr w:rsidR="00480F1C" w14:paraId="70B65430" w14:textId="77777777">
        <w:trPr>
          <w:trHeight w:val="1615"/>
        </w:trPr>
        <w:tc>
          <w:tcPr>
            <w:tcW w:w="655" w:type="dxa"/>
            <w:shd w:val="clear" w:color="auto" w:fill="C6EFCE"/>
          </w:tcPr>
          <w:p w14:paraId="1C9AB277" w14:textId="4A48635F"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E22G</w:t>
            </w:r>
          </w:p>
        </w:tc>
        <w:tc>
          <w:tcPr>
            <w:tcW w:w="1280" w:type="dxa"/>
            <w:shd w:val="clear" w:color="auto" w:fill="C6EFCE"/>
          </w:tcPr>
          <w:p w14:paraId="2F0780E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E2.1.3 Intermodale projecten</w:t>
            </w:r>
          </w:p>
        </w:tc>
        <w:tc>
          <w:tcPr>
            <w:tcW w:w="1027" w:type="dxa"/>
            <w:shd w:val="clear" w:color="auto" w:fill="C6EFCE"/>
          </w:tcPr>
          <w:p w14:paraId="31A1D58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029" w:type="dxa"/>
            <w:shd w:val="clear" w:color="auto" w:fill="C6EFCE"/>
          </w:tcPr>
          <w:p w14:paraId="05BA90D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Verhoging van de overslagcapaciteit</w:t>
            </w:r>
          </w:p>
        </w:tc>
        <w:tc>
          <w:tcPr>
            <w:tcW w:w="1279" w:type="dxa"/>
            <w:shd w:val="clear" w:color="auto" w:fill="C6EFCE"/>
          </w:tcPr>
          <w:p w14:paraId="7E19E8D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21" w:type="dxa"/>
            <w:shd w:val="clear" w:color="auto" w:fill="C6EFCE"/>
          </w:tcPr>
          <w:p w14:paraId="24CA8A0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(percentage)</w:t>
            </w:r>
          </w:p>
        </w:tc>
        <w:tc>
          <w:tcPr>
            <w:tcW w:w="1016" w:type="dxa"/>
            <w:shd w:val="clear" w:color="auto" w:fill="C6EFCE"/>
          </w:tcPr>
          <w:p w14:paraId="223C8E7D" w14:textId="77777777" w:rsidR="00480F1C" w:rsidRDefault="00A201F6">
            <w:pPr>
              <w:pStyle w:val="P68B1DB1-Normal011"/>
              <w:pBdr>
                <w:top w:val="nil"/>
                <w:left w:val="nil"/>
                <w:bottom w:val="nil"/>
                <w:right w:val="nil"/>
                <w:between w:val="nil"/>
              </w:pBdr>
              <w:spacing w:after="0"/>
              <w:rPr>
                <w:rFonts w:eastAsia="Times New Roman" w:cs="Times New Roman"/>
                <w:noProof/>
              </w:rPr>
            </w:pPr>
            <w:r>
              <w:rPr>
                <w:noProof/>
              </w:rPr>
              <w:t>Uitgangswaarde 9,1 miljoen TEU/j geïnstalleerde capaciteit (ref. 2020) voor alle terminals in Polen</w:t>
            </w:r>
          </w:p>
        </w:tc>
        <w:tc>
          <w:tcPr>
            <w:tcW w:w="1416" w:type="dxa"/>
            <w:shd w:val="clear" w:color="auto" w:fill="C6EFCE"/>
          </w:tcPr>
          <w:p w14:paraId="1D0ADF7A"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rPr>
            </w:pPr>
            <w:r>
              <w:rPr>
                <w:noProof/>
              </w:rPr>
              <w:t>5</w:t>
            </w:r>
          </w:p>
        </w:tc>
        <w:tc>
          <w:tcPr>
            <w:tcW w:w="992" w:type="dxa"/>
            <w:shd w:val="clear" w:color="auto" w:fill="C6EFCE"/>
          </w:tcPr>
          <w:p w14:paraId="26574F7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851" w:type="dxa"/>
            <w:shd w:val="clear" w:color="auto" w:fill="C6EFCE"/>
          </w:tcPr>
          <w:p w14:paraId="04A1BF7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2026</w:t>
            </w:r>
          </w:p>
        </w:tc>
        <w:tc>
          <w:tcPr>
            <w:tcW w:w="3685" w:type="dxa"/>
            <w:shd w:val="clear" w:color="auto" w:fill="C6EFCE"/>
          </w:tcPr>
          <w:p w14:paraId="5FCB4135" w14:textId="7B1EAD99"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Toename van de overslagcapaciteit van in het kader van de herstel- en veerkrachtfaciliteit ondersteunde terminals met ten minste 5 % ten opzichte van het referentiescenario (2020).</w:t>
            </w:r>
          </w:p>
        </w:tc>
      </w:tr>
      <w:tr w:rsidR="00480F1C" w14:paraId="6A4403AA" w14:textId="77777777">
        <w:tc>
          <w:tcPr>
            <w:tcW w:w="655" w:type="dxa"/>
            <w:shd w:val="clear" w:color="auto" w:fill="C6EFCE"/>
          </w:tcPr>
          <w:p w14:paraId="43BC5005" w14:textId="561909C1"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E23G</w:t>
            </w:r>
          </w:p>
        </w:tc>
        <w:tc>
          <w:tcPr>
            <w:tcW w:w="1280" w:type="dxa"/>
            <w:shd w:val="clear" w:color="auto" w:fill="C6EFCE"/>
          </w:tcPr>
          <w:p w14:paraId="7AF4CF7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E2.2 Verbetering van de veiligheid van het vervoer</w:t>
            </w:r>
          </w:p>
        </w:tc>
        <w:tc>
          <w:tcPr>
            <w:tcW w:w="1027" w:type="dxa"/>
            <w:shd w:val="clear" w:color="auto" w:fill="C6EFCE"/>
          </w:tcPr>
          <w:p w14:paraId="099FAEC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2029" w:type="dxa"/>
            <w:shd w:val="clear" w:color="auto" w:fill="C6EFCE"/>
          </w:tcPr>
          <w:p w14:paraId="3AEE1799" w14:textId="1C5A28B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Inwerkingtreding van rechtshandelingen tot invoering van: prioriteit voor voetgangers op kruisingen, uniforme snelheid in bebouwde gebieden minimumafstand tussen voertuigen, verkeersveiligheidsdoelstellingen tegen 2030 (-50 % doden bij ongevallen)</w:t>
            </w:r>
          </w:p>
        </w:tc>
        <w:tc>
          <w:tcPr>
            <w:tcW w:w="1279" w:type="dxa"/>
            <w:shd w:val="clear" w:color="auto" w:fill="C6EFCE"/>
          </w:tcPr>
          <w:p w14:paraId="4035E194" w14:textId="3C2F7B0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Bepalingen in de rechtshandelingen die de inwerkingtreding aangeven</w:t>
            </w:r>
          </w:p>
        </w:tc>
        <w:tc>
          <w:tcPr>
            <w:tcW w:w="1221" w:type="dxa"/>
            <w:shd w:val="clear" w:color="auto" w:fill="C6EFCE"/>
          </w:tcPr>
          <w:p w14:paraId="7BD4DE0D"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 xml:space="preserve"> </w:t>
            </w:r>
          </w:p>
        </w:tc>
        <w:tc>
          <w:tcPr>
            <w:tcW w:w="1016" w:type="dxa"/>
            <w:shd w:val="clear" w:color="auto" w:fill="C6EFCE"/>
          </w:tcPr>
          <w:p w14:paraId="3000EAA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 xml:space="preserve"> </w:t>
            </w:r>
          </w:p>
        </w:tc>
        <w:tc>
          <w:tcPr>
            <w:tcW w:w="1416" w:type="dxa"/>
            <w:shd w:val="clear" w:color="auto" w:fill="C6EFCE"/>
          </w:tcPr>
          <w:p w14:paraId="5004292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 xml:space="preserve"> </w:t>
            </w:r>
          </w:p>
        </w:tc>
        <w:tc>
          <w:tcPr>
            <w:tcW w:w="992" w:type="dxa"/>
            <w:shd w:val="clear" w:color="auto" w:fill="C6EFCE"/>
          </w:tcPr>
          <w:p w14:paraId="2C95D6BB" w14:textId="77777777" w:rsidR="00480F1C" w:rsidRDefault="00A201F6">
            <w:pPr>
              <w:pStyle w:val="P68B1DB1-Normal011"/>
              <w:spacing w:after="0" w:line="240" w:lineRule="auto"/>
              <w:jc w:val="center"/>
              <w:rPr>
                <w:rFonts w:eastAsia="Times New Roman" w:cs="Times New Roman"/>
                <w:noProof/>
                <w:color w:val="000000" w:themeColor="text1"/>
              </w:rPr>
            </w:pPr>
            <w:r>
              <w:rPr>
                <w:noProof/>
              </w:rPr>
              <w:t>KWARTAAL 4</w:t>
            </w:r>
          </w:p>
        </w:tc>
        <w:tc>
          <w:tcPr>
            <w:tcW w:w="851" w:type="dxa"/>
            <w:shd w:val="clear" w:color="auto" w:fill="C6EFCE"/>
          </w:tcPr>
          <w:p w14:paraId="025EA92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2021</w:t>
            </w:r>
          </w:p>
        </w:tc>
        <w:tc>
          <w:tcPr>
            <w:tcW w:w="3685" w:type="dxa"/>
            <w:shd w:val="clear" w:color="auto" w:fill="C6EFCE"/>
          </w:tcPr>
          <w:p w14:paraId="54EEB6C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De volgende wetswijzigingen ter bevordering van de verkeersveiligheid worden ingevoerd: voorrang van voetgangers op kruisingen, invoering van homogene snelheidsbeperkingen in stedelijke gebieden (50 km/u) en minimumafstand tussen voertuigen op autosnelwegen en autosnelwegen (de helft van de snelheid in meters). De algemene doelstelling voor verkeersveiligheid wordt vastgesteld in het nationale programma voor verkeersveiligheid, dat gericht is op een vermindering van het aantal verkeersdoden met 50 % tegen 2030 ten opzichte van 2019, in overeenstemming met de toezegging van de EU.</w:t>
            </w:r>
          </w:p>
        </w:tc>
      </w:tr>
      <w:tr w:rsidR="00480F1C" w14:paraId="3A4C7C6D" w14:textId="77777777">
        <w:tc>
          <w:tcPr>
            <w:tcW w:w="655" w:type="dxa"/>
            <w:shd w:val="clear" w:color="auto" w:fill="C6EFCE"/>
          </w:tcPr>
          <w:p w14:paraId="7BE8521C" w14:textId="19980D94"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E24G</w:t>
            </w:r>
          </w:p>
        </w:tc>
        <w:tc>
          <w:tcPr>
            <w:tcW w:w="1280" w:type="dxa"/>
            <w:shd w:val="clear" w:color="auto" w:fill="C6EFCE"/>
          </w:tcPr>
          <w:p w14:paraId="677C7641" w14:textId="79F18BE6"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E2.2.1 Investeringen in de veiligheid van het vervoer</w:t>
            </w:r>
          </w:p>
        </w:tc>
        <w:tc>
          <w:tcPr>
            <w:tcW w:w="1027" w:type="dxa"/>
            <w:shd w:val="clear" w:color="auto" w:fill="C6EFCE"/>
          </w:tcPr>
          <w:p w14:paraId="1F22A6D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029" w:type="dxa"/>
            <w:shd w:val="clear" w:color="auto" w:fill="C6EFCE"/>
          </w:tcPr>
          <w:p w14:paraId="7778A959" w14:textId="0667721C"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Voltooiing van de aanleg van bypassingen en verwijdering van zwarte/hotspots voor verkeersveiligheid</w:t>
            </w:r>
          </w:p>
        </w:tc>
        <w:tc>
          <w:tcPr>
            <w:tcW w:w="1279" w:type="dxa"/>
            <w:shd w:val="clear" w:color="auto" w:fill="C6EFCE"/>
          </w:tcPr>
          <w:p w14:paraId="75051A5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21" w:type="dxa"/>
            <w:shd w:val="clear" w:color="auto" w:fill="C6EFCE"/>
          </w:tcPr>
          <w:p w14:paraId="7B20D2C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016" w:type="dxa"/>
            <w:shd w:val="clear" w:color="auto" w:fill="C6EFCE"/>
          </w:tcPr>
          <w:p w14:paraId="52D73B1F"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1416" w:type="dxa"/>
            <w:shd w:val="clear" w:color="auto" w:fill="C6EFCE"/>
          </w:tcPr>
          <w:p w14:paraId="558CF923" w14:textId="44C08EA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10 km, 125 zwart/hotspots</w:t>
            </w:r>
          </w:p>
        </w:tc>
        <w:tc>
          <w:tcPr>
            <w:tcW w:w="992" w:type="dxa"/>
            <w:shd w:val="clear" w:color="auto" w:fill="C6EFCE"/>
          </w:tcPr>
          <w:p w14:paraId="71AF3573" w14:textId="2A2D6773"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1" w:type="dxa"/>
            <w:shd w:val="clear" w:color="auto" w:fill="C6EFCE"/>
          </w:tcPr>
          <w:p w14:paraId="32553CA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2023</w:t>
            </w:r>
          </w:p>
        </w:tc>
        <w:tc>
          <w:tcPr>
            <w:tcW w:w="3685" w:type="dxa"/>
            <w:shd w:val="clear" w:color="auto" w:fill="C6EFCE"/>
          </w:tcPr>
          <w:p w14:paraId="7E7146EB" w14:textId="5BE12362"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Voltooide investeringen in: 125 gevaarlijke zwarte/hotspots gemoderniseerd, 10 km lang ringwegen aangelegd om zwarte/hotspots te verwijderen. </w:t>
            </w:r>
          </w:p>
        </w:tc>
      </w:tr>
      <w:tr w:rsidR="00480F1C" w14:paraId="051D5172" w14:textId="77777777">
        <w:tc>
          <w:tcPr>
            <w:tcW w:w="655" w:type="dxa"/>
            <w:shd w:val="clear" w:color="auto" w:fill="C6EFCE"/>
          </w:tcPr>
          <w:p w14:paraId="6A720608" w14:textId="794D9FC8"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E25G</w:t>
            </w:r>
          </w:p>
        </w:tc>
        <w:tc>
          <w:tcPr>
            <w:tcW w:w="1280" w:type="dxa"/>
            <w:shd w:val="clear" w:color="auto" w:fill="C6EFCE"/>
          </w:tcPr>
          <w:p w14:paraId="0B3FFFC2" w14:textId="7D6A502F"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E2.2.1 Investeringen in de veiligheid van het vervoer</w:t>
            </w:r>
          </w:p>
        </w:tc>
        <w:tc>
          <w:tcPr>
            <w:tcW w:w="1027" w:type="dxa"/>
            <w:shd w:val="clear" w:color="auto" w:fill="C6EFCE"/>
          </w:tcPr>
          <w:p w14:paraId="7B2F703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029" w:type="dxa"/>
            <w:shd w:val="clear" w:color="auto" w:fill="C6EFCE"/>
          </w:tcPr>
          <w:p w14:paraId="2A0BDA3C" w14:textId="28B97C45"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Voltooiing van de bouw van bypassingen, verwijdering van zwarte/hotspots voor verkeersveiligheid en installatie van automatische wegbewakingsapparatuur</w:t>
            </w:r>
          </w:p>
        </w:tc>
        <w:tc>
          <w:tcPr>
            <w:tcW w:w="1279" w:type="dxa"/>
            <w:shd w:val="clear" w:color="auto" w:fill="C6EFCE"/>
          </w:tcPr>
          <w:p w14:paraId="0409B13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21" w:type="dxa"/>
            <w:shd w:val="clear" w:color="auto" w:fill="C6EFCE"/>
          </w:tcPr>
          <w:p w14:paraId="7C68D04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016" w:type="dxa"/>
            <w:shd w:val="clear" w:color="auto" w:fill="C6EFCE"/>
          </w:tcPr>
          <w:p w14:paraId="1CB4E61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1416" w:type="dxa"/>
            <w:shd w:val="clear" w:color="auto" w:fill="C6EFCE"/>
          </w:tcPr>
          <w:p w14:paraId="596FFA68" w14:textId="671743A9"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90 km, 305 zwart/hotspots, 128 voorzieningen</w:t>
            </w:r>
          </w:p>
        </w:tc>
        <w:tc>
          <w:tcPr>
            <w:tcW w:w="992" w:type="dxa"/>
            <w:shd w:val="clear" w:color="auto" w:fill="C6EFCE"/>
          </w:tcPr>
          <w:p w14:paraId="45DE5968"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1" w:type="dxa"/>
            <w:shd w:val="clear" w:color="auto" w:fill="C6EFCE"/>
          </w:tcPr>
          <w:p w14:paraId="41066C47"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685" w:type="dxa"/>
            <w:shd w:val="clear" w:color="auto" w:fill="C6EFCE"/>
          </w:tcPr>
          <w:p w14:paraId="200E3AA1" w14:textId="6C08CFE4"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Voltooide investeringen in: 305 gevaarlijke zwarte/hotspots gemoderniseerd, 90 km lang ringwegen aangelegd om zwarte/hotspots te verwijderen, 128 nieuwe automatische bewakingsapparatuur geïnstalleerd.</w:t>
            </w:r>
          </w:p>
        </w:tc>
      </w:tr>
      <w:tr w:rsidR="00480F1C" w14:paraId="7D9C917C" w14:textId="77777777">
        <w:tc>
          <w:tcPr>
            <w:tcW w:w="655" w:type="dxa"/>
            <w:shd w:val="clear" w:color="auto" w:fill="C6EFCE"/>
          </w:tcPr>
          <w:p w14:paraId="45621186" w14:textId="093F0977"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themeColor="text1"/>
              </w:rPr>
            </w:pPr>
            <w:r>
              <w:rPr>
                <w:noProof/>
              </w:rPr>
              <w:t>E27G</w:t>
            </w:r>
          </w:p>
        </w:tc>
        <w:tc>
          <w:tcPr>
            <w:tcW w:w="1280" w:type="dxa"/>
            <w:shd w:val="clear" w:color="auto" w:fill="C6EFCE"/>
          </w:tcPr>
          <w:p w14:paraId="2BE4006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E2.2.2 Digitalisering van het vervoer</w:t>
            </w:r>
          </w:p>
        </w:tc>
        <w:tc>
          <w:tcPr>
            <w:tcW w:w="1027" w:type="dxa"/>
            <w:shd w:val="clear" w:color="auto" w:fill="C6EFCE"/>
          </w:tcPr>
          <w:p w14:paraId="002D1DFB"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029" w:type="dxa"/>
            <w:shd w:val="clear" w:color="auto" w:fill="C6EFCE"/>
          </w:tcPr>
          <w:p w14:paraId="61467961" w14:textId="2753678D"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Installatie van: Dynamisch passagiersinformatiesysteem (SDIP), controlesystemen en overwegen in 55 gebieden</w:t>
            </w:r>
          </w:p>
        </w:tc>
        <w:tc>
          <w:tcPr>
            <w:tcW w:w="1279" w:type="dxa"/>
            <w:shd w:val="clear" w:color="auto" w:fill="C6EFCE"/>
          </w:tcPr>
          <w:p w14:paraId="10BA626A"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21" w:type="dxa"/>
            <w:shd w:val="clear" w:color="auto" w:fill="C6EFCE"/>
          </w:tcPr>
          <w:p w14:paraId="2847613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016" w:type="dxa"/>
            <w:shd w:val="clear" w:color="auto" w:fill="C6EFCE"/>
          </w:tcPr>
          <w:p w14:paraId="2F23614B"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1416" w:type="dxa"/>
            <w:shd w:val="clear" w:color="auto" w:fill="C6EFCE"/>
          </w:tcPr>
          <w:p w14:paraId="0F02C20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SDIP: 10 locaties, controle: 15 locaties, spoorwegovergangen: 30 locaties</w:t>
            </w:r>
          </w:p>
        </w:tc>
        <w:tc>
          <w:tcPr>
            <w:tcW w:w="992" w:type="dxa"/>
            <w:shd w:val="clear" w:color="auto" w:fill="C6EFCE"/>
          </w:tcPr>
          <w:p w14:paraId="7ACCAC4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1</w:t>
            </w:r>
          </w:p>
        </w:tc>
        <w:tc>
          <w:tcPr>
            <w:tcW w:w="851" w:type="dxa"/>
            <w:shd w:val="clear" w:color="auto" w:fill="C6EFCE"/>
          </w:tcPr>
          <w:p w14:paraId="5C6F9E64" w14:textId="33086A4B"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2025</w:t>
            </w:r>
          </w:p>
        </w:tc>
        <w:tc>
          <w:tcPr>
            <w:tcW w:w="3685" w:type="dxa"/>
            <w:shd w:val="clear" w:color="auto" w:fill="C6EFCE"/>
          </w:tcPr>
          <w:p w14:paraId="19A501AF" w14:textId="204BC27F"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Installatie van het dynamische passagiersinformatiesysteem (SDIP) op 10 locaties voor SDIP dat realtime-informatie over het spoorwegverkeer voor passagiers verstrekt, 15 locaties voor automatische besturing waarmee bepaalde spoorweggebieden vanuit lokale verkeersbeheerscentra kunnen worden beheerd, 30 spoorwegovergangen met betrekking tot de installatie van automatische gecontroleerde veiligheidsvoorzieningen (oversteek, geluids- en lichtsignaalsystemen). </w:t>
            </w:r>
          </w:p>
        </w:tc>
      </w:tr>
      <w:tr w:rsidR="00480F1C" w14:paraId="1236DFBD" w14:textId="77777777">
        <w:tc>
          <w:tcPr>
            <w:tcW w:w="655" w:type="dxa"/>
            <w:shd w:val="clear" w:color="auto" w:fill="C6EFCE"/>
          </w:tcPr>
          <w:p w14:paraId="6185078C" w14:textId="525ADDD1" w:rsidR="00480F1C" w:rsidRDefault="00A201F6">
            <w:pPr>
              <w:pStyle w:val="P68B1DB1-Normal010"/>
              <w:pBdr>
                <w:top w:val="nil"/>
                <w:left w:val="nil"/>
                <w:bottom w:val="nil"/>
                <w:right w:val="nil"/>
                <w:between w:val="nil"/>
              </w:pBdr>
              <w:spacing w:after="0" w:line="240" w:lineRule="auto"/>
              <w:jc w:val="center"/>
              <w:rPr>
                <w:rFonts w:eastAsia="Times New Roman" w:cs="Times New Roman"/>
                <w:b/>
                <w:noProof/>
                <w:color w:val="000000" w:themeColor="text1"/>
              </w:rPr>
            </w:pPr>
            <w:r>
              <w:rPr>
                <w:noProof/>
              </w:rPr>
              <w:t>E28G</w:t>
            </w:r>
          </w:p>
        </w:tc>
        <w:tc>
          <w:tcPr>
            <w:tcW w:w="1280" w:type="dxa"/>
            <w:shd w:val="clear" w:color="auto" w:fill="C6EFCE"/>
          </w:tcPr>
          <w:p w14:paraId="57683C2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E2.2.2 Digitalisering van het vervoer</w:t>
            </w:r>
          </w:p>
        </w:tc>
        <w:tc>
          <w:tcPr>
            <w:tcW w:w="1027" w:type="dxa"/>
            <w:shd w:val="clear" w:color="auto" w:fill="C6EFCE"/>
          </w:tcPr>
          <w:p w14:paraId="2DA2DB7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2029" w:type="dxa"/>
            <w:shd w:val="clear" w:color="auto" w:fill="C6EFCE"/>
          </w:tcPr>
          <w:p w14:paraId="3A75C397" w14:textId="1296540A"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Installatie van automatische besturing, spoorwegovergangen, 160 ERTMS-treinapparatuur en daarmee verband houdende ingebruikneming</w:t>
            </w:r>
          </w:p>
        </w:tc>
        <w:tc>
          <w:tcPr>
            <w:tcW w:w="1279" w:type="dxa"/>
            <w:shd w:val="clear" w:color="auto" w:fill="C6EFCE"/>
          </w:tcPr>
          <w:p w14:paraId="57FC361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221" w:type="dxa"/>
            <w:shd w:val="clear" w:color="auto" w:fill="C6EFCE"/>
          </w:tcPr>
          <w:p w14:paraId="31A0E88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1016" w:type="dxa"/>
            <w:shd w:val="clear" w:color="auto" w:fill="C6EFCE"/>
          </w:tcPr>
          <w:p w14:paraId="7D6C811B"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1416" w:type="dxa"/>
            <w:shd w:val="clear" w:color="auto" w:fill="C6EFCE"/>
          </w:tcPr>
          <w:p w14:paraId="7F40DA6F" w14:textId="29438DCA"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160 ERTMS-treinapparatuur;</w:t>
            </w:r>
          </w:p>
          <w:p w14:paraId="51E63D0D"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 xml:space="preserve">— 45 plaatsen voor overwegen; </w:t>
            </w:r>
          </w:p>
          <w:p w14:paraId="3AED0841" w14:textId="40CC5BE5"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35 plaatsen voor automatische besturing</w:t>
            </w:r>
          </w:p>
        </w:tc>
        <w:tc>
          <w:tcPr>
            <w:tcW w:w="992" w:type="dxa"/>
            <w:shd w:val="clear" w:color="auto" w:fill="C6EFCE"/>
          </w:tcPr>
          <w:p w14:paraId="23B6473E"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1" w:type="dxa"/>
            <w:shd w:val="clear" w:color="auto" w:fill="C6EFCE"/>
          </w:tcPr>
          <w:p w14:paraId="4CE95A15"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685" w:type="dxa"/>
            <w:shd w:val="clear" w:color="auto" w:fill="C6EFCE"/>
          </w:tcPr>
          <w:p w14:paraId="341EB148" w14:textId="1FA34EEF"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Voltooiing van werkzaamheden in verband met: de installatie van 160 ERTMS-treineenheden (het voorstel moet worden geselecteerd in het kader van een vergelijkende oproep tot het indienen van voorstellen), de modernisering van 45 spoorwegovergangen (met inbegrip van poorten, geluids- en lichtveiligheidssystemen) en de invoering van automatische controle van spoorwegcontrolepunten op 35 locaties. </w:t>
            </w:r>
          </w:p>
        </w:tc>
      </w:tr>
    </w:tbl>
    <w:p w14:paraId="048740F3" w14:textId="77777777" w:rsidR="00480F1C" w:rsidRDefault="00480F1C">
      <w:pPr>
        <w:pStyle w:val="Normal0"/>
        <w:pBdr>
          <w:top w:val="nil"/>
          <w:left w:val="nil"/>
          <w:bottom w:val="nil"/>
          <w:right w:val="nil"/>
          <w:between w:val="nil"/>
        </w:pBdr>
        <w:spacing w:before="120" w:after="120" w:line="240" w:lineRule="auto"/>
        <w:ind w:left="709"/>
        <w:jc w:val="both"/>
        <w:rPr>
          <w:rFonts w:ascii="Times New Roman" w:eastAsia="Times New Roman" w:hAnsi="Times New Roman" w:cs="Times New Roman"/>
          <w:i/>
          <w:noProof/>
          <w:color w:val="4F81BD"/>
          <w:sz w:val="24"/>
        </w:rPr>
        <w:sectPr w:rsidR="00480F1C" w:rsidSect="009B6BB9">
          <w:headerReference w:type="even" r:id="rId133"/>
          <w:headerReference w:type="default" r:id="rId134"/>
          <w:footerReference w:type="even" r:id="rId135"/>
          <w:footerReference w:type="default" r:id="rId136"/>
          <w:headerReference w:type="first" r:id="rId137"/>
          <w:footerReference w:type="first" r:id="rId138"/>
          <w:pgSz w:w="16839" w:h="11907" w:orient="landscape"/>
          <w:pgMar w:top="720" w:right="720" w:bottom="720" w:left="720" w:header="709" w:footer="709" w:gutter="0"/>
          <w:cols w:space="720"/>
          <w:docGrid w:linePitch="299"/>
        </w:sectPr>
      </w:pPr>
    </w:p>
    <w:p w14:paraId="11251D46" w14:textId="7AEE3E86" w:rsidR="00480F1C" w:rsidRDefault="00A201F6">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noProof/>
          <w:color w:val="000000"/>
          <w:sz w:val="24"/>
        </w:rPr>
      </w:pPr>
      <w:r>
        <w:rPr>
          <w:rFonts w:ascii="Times New Roman" w:hAnsi="Times New Roman"/>
          <w:b/>
          <w:noProof/>
          <w:color w:val="000000"/>
          <w:sz w:val="24"/>
        </w:rPr>
        <w:t xml:space="preserve">E.3. </w:t>
      </w:r>
      <w:r>
        <w:rPr>
          <w:noProof/>
        </w:rPr>
        <w:tab/>
      </w:r>
      <w:r>
        <w:rPr>
          <w:rFonts w:ascii="Times New Roman" w:hAnsi="Times New Roman"/>
          <w:b/>
          <w:noProof/>
          <w:color w:val="000000"/>
          <w:sz w:val="24"/>
        </w:rPr>
        <w:t>Beschrijving van de hervormingen en investeringen voor de lening</w:t>
      </w:r>
    </w:p>
    <w:p w14:paraId="72626263" w14:textId="77777777" w:rsidR="00480F1C" w:rsidRDefault="00480F1C">
      <w:pPr>
        <w:pStyle w:val="Normal0"/>
        <w:pBdr>
          <w:top w:val="nil"/>
          <w:left w:val="nil"/>
          <w:bottom w:val="nil"/>
          <w:right w:val="nil"/>
          <w:between w:val="nil"/>
        </w:pBdr>
        <w:spacing w:before="120" w:after="120" w:line="240" w:lineRule="auto"/>
        <w:jc w:val="both"/>
        <w:rPr>
          <w:rFonts w:ascii="Times New Roman" w:eastAsia="Times New Roman" w:hAnsi="Times New Roman" w:cs="Times New Roman"/>
          <w:b/>
          <w:i/>
          <w:noProof/>
          <w:color w:val="000000"/>
          <w:sz w:val="24"/>
        </w:rPr>
      </w:pPr>
    </w:p>
    <w:p w14:paraId="6E24122F" w14:textId="4E6F9F62" w:rsidR="00480F1C" w:rsidRDefault="00A201F6">
      <w:pPr>
        <w:pStyle w:val="P68B1DB1-Normal032"/>
        <w:spacing w:before="120" w:after="120" w:line="240" w:lineRule="auto"/>
        <w:jc w:val="both"/>
        <w:rPr>
          <w:rFonts w:eastAsia="Times New Roman" w:cs="Times New Roman"/>
          <w:b/>
          <w:noProof/>
        </w:rPr>
      </w:pPr>
      <w:r>
        <w:rPr>
          <w:b/>
          <w:noProof/>
        </w:rPr>
        <w:t>E1.2 Verhoging van het aandeel emissievrij en emissiearm vervoer, preventie en vermindering van de</w:t>
      </w:r>
      <w:r>
        <w:rPr>
          <w:noProof/>
        </w:rPr>
        <w:t xml:space="preserve"> </w:t>
      </w:r>
      <w:r>
        <w:rPr>
          <w:b/>
          <w:noProof/>
        </w:rPr>
        <w:t>negatieve gevolgen van vervoer voor het milieu</w:t>
      </w:r>
    </w:p>
    <w:p w14:paraId="6EBAFA68" w14:textId="77777777" w:rsidR="00480F1C" w:rsidRDefault="00A201F6">
      <w:pPr>
        <w:pStyle w:val="P68B1DB1-Normal017"/>
        <w:spacing w:before="120" w:after="120" w:line="240" w:lineRule="auto"/>
        <w:jc w:val="both"/>
        <w:rPr>
          <w:rFonts w:eastAsia="Times New Roman" w:cs="Times New Roman"/>
          <w:noProof/>
        </w:rPr>
      </w:pPr>
      <w:r>
        <w:rPr>
          <w:noProof/>
        </w:rPr>
        <w:t xml:space="preserve">De hervorming heeft tot doel het effect van het vervoer op het milieu en de gezondheid te verminderen. </w:t>
      </w:r>
    </w:p>
    <w:p w14:paraId="0D35834A" w14:textId="20E1A5D3" w:rsidR="00480F1C" w:rsidRDefault="00A201F6">
      <w:pPr>
        <w:pStyle w:val="P68B1DB1-Normal017"/>
        <w:spacing w:before="120" w:after="120" w:line="240" w:lineRule="auto"/>
        <w:jc w:val="both"/>
        <w:rPr>
          <w:rFonts w:eastAsia="Times New Roman" w:cs="Times New Roman"/>
          <w:noProof/>
        </w:rPr>
      </w:pPr>
      <w:r>
        <w:rPr>
          <w:noProof/>
        </w:rPr>
        <w:t>De hervorming omvat de vaststelling van een verplichting om emissiearme vervoerszones in te stellen in steden met meer dan 100 000 inwoners, waar specifieke grenswaarden voor luchtverontreiniging worden overschreden. De plaatselijke autoriteiten hebben 9 maanden de tijd om dergelijke zones in te voeren vanaf het moment waarop de milieu-inspectie het overmatige verontreinigingsniveau vaststelt.</w:t>
      </w:r>
    </w:p>
    <w:p w14:paraId="6C5A6D0D" w14:textId="78287584" w:rsidR="00480F1C" w:rsidRDefault="00A201F6">
      <w:pPr>
        <w:pStyle w:val="P68B1DB1-Normal017"/>
        <w:spacing w:before="120" w:after="120" w:line="240" w:lineRule="auto"/>
        <w:jc w:val="both"/>
        <w:rPr>
          <w:rFonts w:eastAsia="Times New Roman" w:cs="Times New Roman"/>
          <w:noProof/>
        </w:rPr>
      </w:pPr>
      <w:r>
        <w:rPr>
          <w:noProof/>
        </w:rPr>
        <w:t>De hervorming treedt uiterlijk op 30 juni 2024 in werking en de betrokken steden voeren uiterlijk op 31 maart 2025 lage-emissiezones in.</w:t>
      </w:r>
    </w:p>
    <w:p w14:paraId="51371A77" w14:textId="77777777" w:rsidR="00480F1C" w:rsidRDefault="00480F1C">
      <w:pPr>
        <w:pStyle w:val="Normal0"/>
        <w:spacing w:before="120" w:after="120" w:line="240" w:lineRule="auto"/>
        <w:jc w:val="both"/>
        <w:rPr>
          <w:rFonts w:ascii="Times New Roman" w:eastAsia="Times New Roman" w:hAnsi="Times New Roman" w:cs="Times New Roman"/>
          <w:noProof/>
          <w:sz w:val="24"/>
        </w:rPr>
      </w:pPr>
    </w:p>
    <w:p w14:paraId="32AC85CD" w14:textId="31BED732" w:rsidR="00480F1C" w:rsidRDefault="00A201F6">
      <w:pPr>
        <w:pStyle w:val="P68B1DB1-Normal019"/>
        <w:spacing w:before="120" w:after="120" w:line="240" w:lineRule="auto"/>
        <w:jc w:val="both"/>
        <w:rPr>
          <w:rFonts w:eastAsia="Times New Roman" w:cs="Times New Roman"/>
          <w:noProof/>
        </w:rPr>
      </w:pPr>
      <w:r>
        <w:rPr>
          <w:noProof/>
        </w:rPr>
        <w:t>E1.2.1 Openbaar vervoer met nulemissie in steden (trams)</w:t>
      </w:r>
    </w:p>
    <w:p w14:paraId="2B26556F" w14:textId="29D0F209" w:rsidR="00480F1C" w:rsidRDefault="00A201F6">
      <w:pPr>
        <w:pStyle w:val="P68B1DB1-Normal017"/>
        <w:spacing w:before="120" w:after="120" w:line="240" w:lineRule="auto"/>
        <w:jc w:val="both"/>
        <w:rPr>
          <w:rFonts w:eastAsia="Times New Roman" w:cs="Times New Roman"/>
          <w:noProof/>
        </w:rPr>
      </w:pPr>
      <w:r>
        <w:rPr>
          <w:noProof/>
        </w:rPr>
        <w:t xml:space="preserve">De investering is gericht op het vergroten van het aanbod van schoon openbaar vervoer in steden. </w:t>
      </w:r>
    </w:p>
    <w:p w14:paraId="0F6202B1" w14:textId="52ADE7AD" w:rsidR="00480F1C" w:rsidRDefault="00A201F6">
      <w:pPr>
        <w:pStyle w:val="P68B1DB1-Normal017"/>
        <w:spacing w:before="120" w:after="120" w:line="240" w:lineRule="auto"/>
        <w:jc w:val="both"/>
        <w:rPr>
          <w:rFonts w:eastAsia="Times New Roman" w:cs="Times New Roman"/>
          <w:noProof/>
        </w:rPr>
      </w:pPr>
      <w:r>
        <w:rPr>
          <w:noProof/>
        </w:rPr>
        <w:t>De steun wordt bij voorrang verleend aan gebieden waar zones voor schoon vervoer zijn of zullen worden ingevoerd.</w:t>
      </w:r>
    </w:p>
    <w:p w14:paraId="598A99C3" w14:textId="5513B1A9" w:rsidR="00480F1C" w:rsidRDefault="00A201F6">
      <w:pPr>
        <w:pStyle w:val="P68B1DB1-Normal017"/>
        <w:spacing w:before="120" w:after="120" w:line="240" w:lineRule="auto"/>
        <w:jc w:val="both"/>
        <w:rPr>
          <w:rFonts w:eastAsia="Times New Roman" w:cs="Times New Roman"/>
          <w:noProof/>
        </w:rPr>
      </w:pPr>
      <w:r>
        <w:rPr>
          <w:noProof/>
        </w:rPr>
        <w:t>De investering bestaat uit de aankoop van 88 emissievrije spoorwegmaterieel (trams) voor openbaar vervoer in steden. De trams moeten uiterlijk op 30 juni 2026 worden geleverd.</w:t>
      </w:r>
    </w:p>
    <w:p w14:paraId="732434A0" w14:textId="77777777" w:rsidR="00480F1C" w:rsidRDefault="00480F1C">
      <w:pPr>
        <w:pStyle w:val="Normal0"/>
        <w:spacing w:before="120" w:after="120" w:line="240" w:lineRule="auto"/>
        <w:jc w:val="both"/>
        <w:rPr>
          <w:rFonts w:ascii="Times New Roman" w:eastAsia="Times New Roman" w:hAnsi="Times New Roman" w:cs="Times New Roman"/>
          <w:noProof/>
          <w:sz w:val="24"/>
          <w:u w:val="single"/>
        </w:rPr>
      </w:pPr>
    </w:p>
    <w:p w14:paraId="54F33E7B" w14:textId="015260CD" w:rsidR="00480F1C" w:rsidRDefault="00A201F6">
      <w:pPr>
        <w:pStyle w:val="P68B1DB1-Normal019"/>
        <w:spacing w:before="120" w:after="120" w:line="240" w:lineRule="auto"/>
        <w:jc w:val="both"/>
        <w:rPr>
          <w:rFonts w:eastAsia="Times New Roman" w:cs="Times New Roman"/>
          <w:noProof/>
        </w:rPr>
      </w:pPr>
      <w:r>
        <w:rPr>
          <w:noProof/>
        </w:rPr>
        <w:t>E2.3 Verbetering van de toegankelijkheid, beveiliging en digitale oplossingen van het vervoer</w:t>
      </w:r>
    </w:p>
    <w:p w14:paraId="428A23C9" w14:textId="77777777" w:rsidR="00480F1C" w:rsidRDefault="00A201F6">
      <w:pPr>
        <w:pStyle w:val="P68B1DB1-Normal017"/>
        <w:spacing w:before="120" w:after="120" w:line="240" w:lineRule="auto"/>
        <w:jc w:val="both"/>
        <w:rPr>
          <w:rFonts w:eastAsia="Times New Roman" w:cs="Times New Roman"/>
          <w:noProof/>
        </w:rPr>
      </w:pPr>
      <w:r>
        <w:rPr>
          <w:noProof/>
        </w:rPr>
        <w:t>De hervorming heeft tot doel het vervoer toegankelijker te maken.</w:t>
      </w:r>
    </w:p>
    <w:p w14:paraId="17440558" w14:textId="42B57783" w:rsidR="00480F1C" w:rsidRDefault="00A201F6">
      <w:pPr>
        <w:pStyle w:val="P68B1DB1-Normal017"/>
        <w:spacing w:before="120" w:after="120" w:line="240" w:lineRule="auto"/>
        <w:jc w:val="both"/>
        <w:rPr>
          <w:rFonts w:eastAsia="Times New Roman" w:cs="Times New Roman"/>
          <w:noProof/>
        </w:rPr>
      </w:pPr>
      <w:r>
        <w:rPr>
          <w:noProof/>
        </w:rPr>
        <w:t>Het bestaat uit een versnelde tenuitvoerlegging van Verordening (EG) nr. 1371/2007 betreffende de rechten van treinreizigers en de aanpassing van rollend materieel aan reizigers met beperkte mobiliteit. De hervorming treedt uiterlijk op 31 december 2022 in werking.</w:t>
      </w:r>
    </w:p>
    <w:p w14:paraId="3C60FD95" w14:textId="69DC6C2C" w:rsidR="00480F1C" w:rsidRDefault="00A201F6">
      <w:pPr>
        <w:pStyle w:val="P68B1DB1-Normal017"/>
        <w:spacing w:before="120" w:after="120" w:line="240" w:lineRule="auto"/>
        <w:jc w:val="both"/>
        <w:rPr>
          <w:rFonts w:eastAsia="Times New Roman" w:cs="Times New Roman"/>
          <w:noProof/>
        </w:rPr>
      </w:pPr>
      <w:r>
        <w:rPr>
          <w:noProof/>
        </w:rPr>
        <w:t>De hervorming omvat ook relevante bepalingen om nationaal, internationaal en regionaal rollend materieel aan te passen aan de eisen voor reizigers met een handicap. De hervorming treedt uiterlijk op 30 juni 2024 in werking.</w:t>
      </w:r>
    </w:p>
    <w:p w14:paraId="2328BB07" w14:textId="77777777" w:rsidR="00480F1C" w:rsidRDefault="00480F1C">
      <w:pPr>
        <w:pStyle w:val="Normal0"/>
        <w:spacing w:before="120" w:after="120" w:line="240" w:lineRule="auto"/>
        <w:jc w:val="both"/>
        <w:rPr>
          <w:rFonts w:ascii="Times New Roman" w:eastAsia="Times New Roman" w:hAnsi="Times New Roman" w:cs="Times New Roman"/>
          <w:noProof/>
          <w:sz w:val="24"/>
        </w:rPr>
      </w:pPr>
    </w:p>
    <w:p w14:paraId="74333CE4" w14:textId="0E798DE9" w:rsidR="00480F1C" w:rsidRDefault="00480F1C">
      <w:pPr>
        <w:pStyle w:val="Normal0"/>
        <w:spacing w:before="120" w:after="120" w:line="240" w:lineRule="auto"/>
        <w:jc w:val="both"/>
        <w:rPr>
          <w:rFonts w:ascii="Times New Roman" w:eastAsia="Times New Roman" w:hAnsi="Times New Roman" w:cs="Times New Roman"/>
          <w:noProof/>
          <w:sz w:val="24"/>
        </w:rPr>
        <w:sectPr w:rsidR="00480F1C">
          <w:headerReference w:type="even" r:id="rId139"/>
          <w:headerReference w:type="default" r:id="rId140"/>
          <w:footerReference w:type="even" r:id="rId141"/>
          <w:footerReference w:type="default" r:id="rId142"/>
          <w:headerReference w:type="first" r:id="rId143"/>
          <w:footerReference w:type="first" r:id="rId144"/>
          <w:pgSz w:w="11907" w:h="16839"/>
          <w:pgMar w:top="1134" w:right="1417" w:bottom="1134" w:left="1417" w:header="709" w:footer="709" w:gutter="0"/>
          <w:cols w:space="720"/>
        </w:sectPr>
      </w:pPr>
    </w:p>
    <w:p w14:paraId="256AC6DA" w14:textId="6981425D" w:rsidR="00480F1C" w:rsidRDefault="00A201F6">
      <w:pPr>
        <w:pStyle w:val="Normal0"/>
        <w:spacing w:before="120" w:after="120" w:line="240" w:lineRule="auto"/>
        <w:jc w:val="both"/>
        <w:rPr>
          <w:rFonts w:ascii="Times New Roman" w:eastAsia="Times New Roman" w:hAnsi="Times New Roman" w:cs="Times New Roman"/>
          <w:noProof/>
          <w:sz w:val="24"/>
        </w:rPr>
      </w:pPr>
      <w:r>
        <w:rPr>
          <w:rFonts w:ascii="Times New Roman" w:hAnsi="Times New Roman"/>
          <w:b/>
          <w:noProof/>
          <w:color w:val="000000"/>
          <w:sz w:val="24"/>
        </w:rPr>
        <w:t xml:space="preserve">E.4. </w:t>
      </w:r>
      <w:r>
        <w:rPr>
          <w:noProof/>
        </w:rPr>
        <w:tab/>
      </w:r>
      <w:r>
        <w:rPr>
          <w:rFonts w:ascii="Times New Roman" w:hAnsi="Times New Roman"/>
          <w:b/>
          <w:noProof/>
          <w:color w:val="000000"/>
          <w:sz w:val="24"/>
        </w:rPr>
        <w:t>Mijlpalen, streefdoelen, indicatoren en tijdschema voor de monitoring en uitvoering voor de lening</w:t>
      </w:r>
    </w:p>
    <w:p w14:paraId="49EBF404" w14:textId="4FE12E96" w:rsidR="00480F1C" w:rsidRDefault="00480F1C">
      <w:pPr>
        <w:pStyle w:val="Normal0"/>
        <w:spacing w:before="120" w:after="120" w:line="240" w:lineRule="auto"/>
        <w:jc w:val="both"/>
        <w:rPr>
          <w:rFonts w:ascii="Times New Roman" w:eastAsia="Times New Roman" w:hAnsi="Times New Roman" w:cs="Times New Roman"/>
          <w:noProof/>
          <w:sz w:val="24"/>
        </w:rPr>
      </w:pPr>
    </w:p>
    <w:tbl>
      <w:tblPr>
        <w:tblW w:w="153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832"/>
        <w:gridCol w:w="1519"/>
        <w:gridCol w:w="1245"/>
        <w:gridCol w:w="1932"/>
        <w:gridCol w:w="1519"/>
        <w:gridCol w:w="969"/>
        <w:gridCol w:w="969"/>
        <w:gridCol w:w="695"/>
        <w:gridCol w:w="942"/>
        <w:gridCol w:w="833"/>
        <w:gridCol w:w="3854"/>
      </w:tblGrid>
      <w:tr w:rsidR="00480F1C" w14:paraId="1F9F141F" w14:textId="77777777">
        <w:trPr>
          <w:trHeight w:val="939"/>
          <w:tblHeader/>
        </w:trPr>
        <w:tc>
          <w:tcPr>
            <w:tcW w:w="851" w:type="dxa"/>
            <w:vMerge w:val="restart"/>
            <w:shd w:val="clear" w:color="auto" w:fill="BDD7EE"/>
            <w:vAlign w:val="center"/>
          </w:tcPr>
          <w:p w14:paraId="7A18A131" w14:textId="277A02B8"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Volgende NR.</w:t>
            </w:r>
          </w:p>
        </w:tc>
        <w:tc>
          <w:tcPr>
            <w:tcW w:w="1559" w:type="dxa"/>
            <w:vMerge w:val="restart"/>
            <w:shd w:val="clear" w:color="auto" w:fill="BDD7EE"/>
            <w:vAlign w:val="center"/>
          </w:tcPr>
          <w:p w14:paraId="39F6D53D"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Gerelateerde maatregel (hervorming of investering)</w:t>
            </w:r>
          </w:p>
        </w:tc>
        <w:tc>
          <w:tcPr>
            <w:tcW w:w="1276" w:type="dxa"/>
            <w:vMerge w:val="restart"/>
            <w:shd w:val="clear" w:color="auto" w:fill="BDD7EE"/>
            <w:vAlign w:val="center"/>
          </w:tcPr>
          <w:p w14:paraId="5C73F738"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Mijlpaal/Doelstelling</w:t>
            </w:r>
          </w:p>
        </w:tc>
        <w:tc>
          <w:tcPr>
            <w:tcW w:w="1985" w:type="dxa"/>
            <w:vMerge w:val="restart"/>
            <w:shd w:val="clear" w:color="auto" w:fill="BDD7EE"/>
            <w:vAlign w:val="center"/>
          </w:tcPr>
          <w:p w14:paraId="029AF2F2"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Naam</w:t>
            </w:r>
          </w:p>
        </w:tc>
        <w:tc>
          <w:tcPr>
            <w:tcW w:w="1559" w:type="dxa"/>
            <w:vMerge w:val="restart"/>
            <w:shd w:val="clear" w:color="auto" w:fill="BDD7EE"/>
            <w:vAlign w:val="center"/>
          </w:tcPr>
          <w:p w14:paraId="46F80E1A"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sz w:val="18"/>
              </w:rPr>
              <w:t>Kwalitatieve indicatoren</w:t>
            </w:r>
            <w:r>
              <w:rPr>
                <w:noProof/>
              </w:rPr>
              <w:t xml:space="preserve"> </w:t>
            </w:r>
            <w:r>
              <w:rPr>
                <w:noProof/>
              </w:rPr>
              <w:br/>
            </w:r>
            <w:r>
              <w:rPr>
                <w:rFonts w:ascii="Times New Roman" w:hAnsi="Times New Roman"/>
                <w:b/>
                <w:noProof/>
                <w:color w:val="000000"/>
                <w:sz w:val="18"/>
              </w:rPr>
              <w:t>(voor mijlpalen)</w:t>
            </w:r>
          </w:p>
        </w:tc>
        <w:tc>
          <w:tcPr>
            <w:tcW w:w="2693" w:type="dxa"/>
            <w:gridSpan w:val="3"/>
            <w:shd w:val="clear" w:color="auto" w:fill="BDD7EE"/>
            <w:vAlign w:val="center"/>
          </w:tcPr>
          <w:p w14:paraId="7ACC2EDB"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sz w:val="18"/>
              </w:rPr>
              <w:t>Kwantitatieve indicatoren</w:t>
            </w:r>
            <w:r>
              <w:rPr>
                <w:noProof/>
              </w:rPr>
              <w:t xml:space="preserve"> </w:t>
            </w:r>
            <w:r>
              <w:rPr>
                <w:noProof/>
              </w:rPr>
              <w:br/>
            </w:r>
            <w:r>
              <w:rPr>
                <w:rFonts w:ascii="Times New Roman" w:hAnsi="Times New Roman"/>
                <w:b/>
                <w:noProof/>
                <w:color w:val="000000"/>
                <w:sz w:val="18"/>
              </w:rPr>
              <w:t>(voor streefcijfers)</w:t>
            </w:r>
          </w:p>
        </w:tc>
        <w:tc>
          <w:tcPr>
            <w:tcW w:w="1418" w:type="dxa"/>
            <w:gridSpan w:val="2"/>
            <w:shd w:val="clear" w:color="auto" w:fill="BDD7EE"/>
            <w:vAlign w:val="center"/>
          </w:tcPr>
          <w:p w14:paraId="1706822F"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Indicatieve termijn voor voltooiing </w:t>
            </w:r>
          </w:p>
        </w:tc>
        <w:tc>
          <w:tcPr>
            <w:tcW w:w="3968" w:type="dxa"/>
            <w:vMerge w:val="restart"/>
            <w:shd w:val="clear" w:color="auto" w:fill="BDD7EE"/>
            <w:vAlign w:val="center"/>
          </w:tcPr>
          <w:p w14:paraId="70683260"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Beschrijving van elke mijlpaal en doelstelling</w:t>
            </w:r>
          </w:p>
        </w:tc>
      </w:tr>
      <w:tr w:rsidR="00480F1C" w14:paraId="6B882257" w14:textId="77777777">
        <w:trPr>
          <w:trHeight w:val="694"/>
        </w:trPr>
        <w:tc>
          <w:tcPr>
            <w:tcW w:w="851" w:type="dxa"/>
            <w:vMerge/>
            <w:vAlign w:val="center"/>
          </w:tcPr>
          <w:p w14:paraId="38AA98D6"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559" w:type="dxa"/>
            <w:vMerge/>
            <w:vAlign w:val="center"/>
          </w:tcPr>
          <w:p w14:paraId="665A1408"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276" w:type="dxa"/>
            <w:vMerge/>
            <w:vAlign w:val="center"/>
          </w:tcPr>
          <w:p w14:paraId="71049383"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985" w:type="dxa"/>
            <w:vMerge/>
            <w:vAlign w:val="center"/>
          </w:tcPr>
          <w:p w14:paraId="4D16AC41"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559" w:type="dxa"/>
            <w:vMerge/>
            <w:vAlign w:val="center"/>
          </w:tcPr>
          <w:p w14:paraId="12A4EA11"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992" w:type="dxa"/>
            <w:shd w:val="clear" w:color="auto" w:fill="BDD7EE"/>
            <w:vAlign w:val="center"/>
          </w:tcPr>
          <w:p w14:paraId="00970CEC"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Eenheid</w:t>
            </w:r>
          </w:p>
        </w:tc>
        <w:tc>
          <w:tcPr>
            <w:tcW w:w="992" w:type="dxa"/>
            <w:shd w:val="clear" w:color="auto" w:fill="BDD7EE"/>
            <w:vAlign w:val="center"/>
          </w:tcPr>
          <w:p w14:paraId="38368833"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Basislijn </w:t>
            </w:r>
          </w:p>
        </w:tc>
        <w:tc>
          <w:tcPr>
            <w:tcW w:w="709" w:type="dxa"/>
            <w:shd w:val="clear" w:color="auto" w:fill="BDD7EE"/>
            <w:vAlign w:val="center"/>
          </w:tcPr>
          <w:p w14:paraId="25D6BABF"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Doelstelling</w:t>
            </w:r>
          </w:p>
        </w:tc>
        <w:tc>
          <w:tcPr>
            <w:tcW w:w="964" w:type="dxa"/>
            <w:shd w:val="clear" w:color="auto" w:fill="BDD7EE"/>
            <w:vAlign w:val="center"/>
          </w:tcPr>
          <w:p w14:paraId="07305A30"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Kwartaal</w:t>
            </w:r>
          </w:p>
        </w:tc>
        <w:tc>
          <w:tcPr>
            <w:tcW w:w="851" w:type="dxa"/>
            <w:shd w:val="clear" w:color="auto" w:fill="BDD7EE"/>
            <w:vAlign w:val="center"/>
          </w:tcPr>
          <w:p w14:paraId="12F5182E"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Jaar</w:t>
            </w:r>
          </w:p>
        </w:tc>
        <w:tc>
          <w:tcPr>
            <w:tcW w:w="3968" w:type="dxa"/>
            <w:vMerge/>
            <w:vAlign w:val="center"/>
          </w:tcPr>
          <w:p w14:paraId="5A1EA135"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r>
      <w:tr w:rsidR="00480F1C" w14:paraId="5AE8B295" w14:textId="77777777">
        <w:trPr>
          <w:trHeight w:val="313"/>
        </w:trPr>
        <w:tc>
          <w:tcPr>
            <w:tcW w:w="851" w:type="dxa"/>
            <w:shd w:val="clear" w:color="auto" w:fill="C6EFCE"/>
          </w:tcPr>
          <w:p w14:paraId="1809B131" w14:textId="02FC6EA0"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E1L</w:t>
            </w:r>
          </w:p>
        </w:tc>
        <w:tc>
          <w:tcPr>
            <w:tcW w:w="1559" w:type="dxa"/>
            <w:shd w:val="clear" w:color="auto" w:fill="C6EFCE"/>
          </w:tcPr>
          <w:p w14:paraId="3D7EC61B" w14:textId="1094F711"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E1.2 Verhoging van het aandeel emissievrij en emissiearm vervoer, preventie en vermindering van de negatieve gevolgen van vervoer voor het milieu</w:t>
            </w:r>
          </w:p>
        </w:tc>
        <w:tc>
          <w:tcPr>
            <w:tcW w:w="1276" w:type="dxa"/>
            <w:shd w:val="clear" w:color="auto" w:fill="C6EFCE"/>
          </w:tcPr>
          <w:p w14:paraId="75A6FE2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985" w:type="dxa"/>
            <w:shd w:val="clear" w:color="auto" w:fill="C6EFCE"/>
          </w:tcPr>
          <w:p w14:paraId="0395D45A" w14:textId="1D0A013F"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Inwerkingtreding van een rechtshandeling waarbij lage-emissiezones verplicht worden gesteld voor geselecteerde, meest vervuilde steden </w:t>
            </w:r>
          </w:p>
        </w:tc>
        <w:tc>
          <w:tcPr>
            <w:tcW w:w="1559" w:type="dxa"/>
            <w:shd w:val="clear" w:color="auto" w:fill="C6EFCE"/>
          </w:tcPr>
          <w:p w14:paraId="449A821F" w14:textId="032EB61C"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Bepaling in de rechtshandeling die de inwerkingtreding ervan aangeeft </w:t>
            </w:r>
          </w:p>
        </w:tc>
        <w:tc>
          <w:tcPr>
            <w:tcW w:w="992" w:type="dxa"/>
            <w:shd w:val="clear" w:color="auto" w:fill="C6EFCE"/>
          </w:tcPr>
          <w:p w14:paraId="3A7B699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shd w:val="clear" w:color="auto" w:fill="C6EFCE"/>
          </w:tcPr>
          <w:p w14:paraId="45139D63"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709" w:type="dxa"/>
            <w:shd w:val="clear" w:color="auto" w:fill="C6EFCE"/>
          </w:tcPr>
          <w:p w14:paraId="15E26153"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64" w:type="dxa"/>
            <w:shd w:val="clear" w:color="auto" w:fill="C6EFCE"/>
          </w:tcPr>
          <w:p w14:paraId="38E7319B"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1" w:type="dxa"/>
            <w:shd w:val="clear" w:color="auto" w:fill="C6EFCE"/>
          </w:tcPr>
          <w:p w14:paraId="2C9391D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2024</w:t>
            </w:r>
          </w:p>
        </w:tc>
        <w:tc>
          <w:tcPr>
            <w:tcW w:w="3968" w:type="dxa"/>
            <w:shd w:val="clear" w:color="auto" w:fill="C6EFCE"/>
          </w:tcPr>
          <w:p w14:paraId="762D500B" w14:textId="23DE869C" w:rsidR="00480F1C" w:rsidRDefault="00A201F6">
            <w:pPr>
              <w:pStyle w:val="P68B1DB1-Normal010"/>
              <w:pBdr>
                <w:top w:val="nil"/>
                <w:left w:val="nil"/>
                <w:bottom w:val="nil"/>
                <w:right w:val="nil"/>
                <w:between w:val="nil"/>
              </w:pBdr>
              <w:spacing w:after="0" w:line="240" w:lineRule="auto"/>
              <w:rPr>
                <w:rFonts w:eastAsia="Times New Roman" w:cs="Times New Roman"/>
                <w:noProof/>
                <w:color w:val="006100"/>
              </w:rPr>
            </w:pPr>
            <w:r>
              <w:rPr>
                <w:noProof/>
              </w:rPr>
              <w:t>De</w:t>
            </w:r>
            <w:r>
              <w:rPr>
                <w:noProof/>
                <w:color w:val="000000" w:themeColor="text1"/>
              </w:rPr>
              <w:t xml:space="preserve">rechtshandeling voorziet in de verplichting om vanaf het eerste kwartaal van 1 2025 emissiearme vervoerszones in te stellen in steden met meer dan 100,000 inwoners, waar er sprake is van een </w:t>
            </w:r>
            <w:r>
              <w:rPr>
                <w:noProof/>
              </w:rPr>
              <w:t>overschrijding</w:t>
            </w:r>
            <w:r>
              <w:rPr>
                <w:noProof/>
                <w:color w:val="000000" w:themeColor="text1"/>
              </w:rPr>
              <w:t xml:space="preserve"> van schadelijke stoffen ten opzichte van de drempelwaarden voor luchtverontreiniging in de EU, en de mogelijkheid om deze in te voeren uit te breiden tot alle stedelijke gebieden, ongeacht het aantal inwoners. Alleen „emissiearme” personenvoertuigen mogen de zones binnenkomen. Binnen 9 maanden na de datum van ontvangst van de informatie over overschrijding van het concentratieniveau van de luchtverontreiniging creëren de steden een schone vervoerszone in hun gebied. De periode van 9 maanden is om de lokale autoriteiten in staat te stellen het gebied waar de schone vervoerszone zal worden gelegen, voor te bereiden op de geplande beperkingen.</w:t>
            </w:r>
          </w:p>
        </w:tc>
      </w:tr>
      <w:tr w:rsidR="00480F1C" w14:paraId="1AF38F0C" w14:textId="77777777">
        <w:trPr>
          <w:trHeight w:val="313"/>
        </w:trPr>
        <w:tc>
          <w:tcPr>
            <w:tcW w:w="851" w:type="dxa"/>
            <w:shd w:val="clear" w:color="auto" w:fill="C6EFCE"/>
          </w:tcPr>
          <w:p w14:paraId="2EDAD1BA" w14:textId="292C9F7B"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E2L</w:t>
            </w:r>
          </w:p>
        </w:tc>
        <w:tc>
          <w:tcPr>
            <w:tcW w:w="1559" w:type="dxa"/>
            <w:shd w:val="clear" w:color="auto" w:fill="C6EFCE"/>
          </w:tcPr>
          <w:p w14:paraId="13BD009B" w14:textId="2FEF03BC"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E1.2 Verhoging van het aandeel emissievrij en emissiearm vervoer, preventie en vermindering van de negatieve gevolgen van vervoer voor het milieu</w:t>
            </w:r>
          </w:p>
        </w:tc>
        <w:tc>
          <w:tcPr>
            <w:tcW w:w="1276" w:type="dxa"/>
            <w:shd w:val="clear" w:color="auto" w:fill="C6EFCE"/>
          </w:tcPr>
          <w:p w14:paraId="342DB3B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985" w:type="dxa"/>
            <w:shd w:val="clear" w:color="auto" w:fill="C6EFCE"/>
          </w:tcPr>
          <w:p w14:paraId="31F4A5A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Invoering van emissiearme vervoerszones door de bevoegde gemeentelijke autoriteiten</w:t>
            </w:r>
          </w:p>
        </w:tc>
        <w:tc>
          <w:tcPr>
            <w:tcW w:w="1559" w:type="dxa"/>
            <w:shd w:val="clear" w:color="auto" w:fill="C6EFCE"/>
          </w:tcPr>
          <w:p w14:paraId="0F6C291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Invoering van emissiearme vervoerszones</w:t>
            </w:r>
          </w:p>
        </w:tc>
        <w:tc>
          <w:tcPr>
            <w:tcW w:w="992" w:type="dxa"/>
            <w:shd w:val="clear" w:color="auto" w:fill="C6EFCE"/>
          </w:tcPr>
          <w:p w14:paraId="0E1D65A0"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shd w:val="clear" w:color="auto" w:fill="C6EFCE"/>
          </w:tcPr>
          <w:p w14:paraId="3CE445B1"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709" w:type="dxa"/>
            <w:shd w:val="clear" w:color="auto" w:fill="C6EFCE"/>
          </w:tcPr>
          <w:p w14:paraId="2354EA0E"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 xml:space="preserve"> </w:t>
            </w:r>
          </w:p>
        </w:tc>
        <w:tc>
          <w:tcPr>
            <w:tcW w:w="964" w:type="dxa"/>
            <w:shd w:val="clear" w:color="auto" w:fill="C6EFCE"/>
          </w:tcPr>
          <w:p w14:paraId="05D26B95" w14:textId="6C05ECD2"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1</w:t>
            </w:r>
          </w:p>
        </w:tc>
        <w:tc>
          <w:tcPr>
            <w:tcW w:w="851" w:type="dxa"/>
            <w:shd w:val="clear" w:color="auto" w:fill="C6EFCE"/>
          </w:tcPr>
          <w:p w14:paraId="586C9D6F" w14:textId="3A5B3265"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2025</w:t>
            </w:r>
          </w:p>
        </w:tc>
        <w:tc>
          <w:tcPr>
            <w:tcW w:w="3968" w:type="dxa"/>
            <w:shd w:val="clear" w:color="auto" w:fill="C6EFCE"/>
          </w:tcPr>
          <w:p w14:paraId="5C2E8B4C" w14:textId="6EA6C523"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Emissiearme vervoerszones zijn verplicht in steden met meer dan 100,000 inwoners waar de luchtkwaliteitsdrempels worden overschreden. De Algemene Inspectie Milieubescherming stelt jaarlijks uiterlijk op 30 april een luchtkwaliteitsverslag op. Steden die de grenswaarden voor luchtkwaliteit overschrijden — zoals vastgesteld in het eerste verslag dat na de inwerkingtreding van de wetgeving is gepubliceerd — hebben 6 maanden de tijd om emissiearme vervoerszones in te stellen.</w:t>
            </w:r>
          </w:p>
        </w:tc>
      </w:tr>
      <w:tr w:rsidR="00480F1C" w14:paraId="1CA18220" w14:textId="77777777">
        <w:trPr>
          <w:trHeight w:val="313"/>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28181FF" w14:textId="386FAA13"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E3L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672B883" w14:textId="57A91B24"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E1.2.1 Openbaar vervoer met nulemissie in steden (trams)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FE2644F"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Mijlpaal</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21644F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Nieuwe trams: selectie van begunstigden</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B0EC73A" w14:textId="4DE41D54"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Contracten met begunstigde entiteiten</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8717D39"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338A720"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1DAA4D5"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9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4F88B35" w14:textId="0D8314BD"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KWARTAAL 1</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32A2B6B" w14:textId="78BF5645"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rPr>
            </w:pPr>
            <w:r>
              <w:rPr>
                <w:noProof/>
              </w:rPr>
              <w:t>2025</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AEAF47F" w14:textId="70100BA5" w:rsidR="00480F1C" w:rsidRDefault="00A201F6">
            <w:pPr>
              <w:pStyle w:val="P68B1DB1-Normal011"/>
              <w:spacing w:after="0" w:line="240" w:lineRule="auto"/>
              <w:rPr>
                <w:rFonts w:eastAsia="Times New Roman" w:cs="Times New Roman"/>
                <w:noProof/>
              </w:rPr>
            </w:pPr>
            <w:r>
              <w:rPr>
                <w:noProof/>
              </w:rPr>
              <w:t>Contracten met begunstigde entiteiten (gemeenten of exploitanten van openbare diensten) voor de aankoop en ingebruikneming van 88 trams na open en transparante vergelijkende oproepen.</w:t>
            </w:r>
          </w:p>
          <w:p w14:paraId="36027C7C" w14:textId="061BD349" w:rsidR="00480F1C" w:rsidRDefault="00A201F6">
            <w:pPr>
              <w:pStyle w:val="P68B1DB1-Normal12"/>
              <w:spacing w:after="120" w:line="240" w:lineRule="auto"/>
              <w:rPr>
                <w:rFonts w:eastAsia="Times New Roman" w:cs="Times New Roman"/>
                <w:noProof/>
                <w:color w:val="000000"/>
              </w:rPr>
            </w:pPr>
            <w:r>
              <w:rPr>
                <w:noProof/>
              </w:rPr>
              <w:t xml:space="preserve">De begunstigde entiteiten worden geselecteerd via transparante en vergelijkende oproepen die openstaan voor alle lokale overheden en exploitanten van openbare diensten. </w:t>
            </w:r>
          </w:p>
          <w:p w14:paraId="2273758B" w14:textId="74854FF0" w:rsidR="00480F1C" w:rsidRDefault="00A201F6">
            <w:pPr>
              <w:pStyle w:val="P68B1DB1-Normal12"/>
              <w:spacing w:after="120" w:line="240" w:lineRule="auto"/>
              <w:rPr>
                <w:rFonts w:eastAsia="Times New Roman" w:cs="Times New Roman"/>
                <w:noProof/>
                <w:color w:val="000000"/>
              </w:rPr>
            </w:pPr>
            <w:r>
              <w:rPr>
                <w:noProof/>
              </w:rPr>
              <w:t>De criteria voor de selectie van begunstigde entiteiten weerspiegelen met name de behoeften aan schoon openbaar vervoer en het effect op de vermindering van emissies en congestie en de rijpheid van de projecten. Er wordt voorrang gegeven aan gebieden waar schone vervoerszones zijn of zullen worden ingevoerd.</w:t>
            </w:r>
          </w:p>
          <w:p w14:paraId="7CE2BAE5" w14:textId="184ED278" w:rsidR="00480F1C" w:rsidRDefault="00A201F6">
            <w:pPr>
              <w:pStyle w:val="P68B1DB1-Normal12"/>
              <w:pBdr>
                <w:top w:val="nil"/>
                <w:left w:val="nil"/>
                <w:bottom w:val="nil"/>
                <w:right w:val="nil"/>
                <w:between w:val="nil"/>
              </w:pBdr>
              <w:spacing w:after="0" w:line="240" w:lineRule="auto"/>
              <w:rPr>
                <w:rFonts w:eastAsia="Times New Roman" w:cs="Times New Roman"/>
                <w:noProof/>
                <w:color w:val="000000"/>
              </w:rPr>
            </w:pPr>
            <w:r>
              <w:rPr>
                <w:noProof/>
              </w:rPr>
              <w:t>De middelen worden op eerlijke en transparante wijze toegewezen in overleg met de lokale overheden en worden door de eindontvangers of de lokale overheden niet in enige vorm aan de Poolse regering terugbetaald.</w:t>
            </w:r>
          </w:p>
        </w:tc>
      </w:tr>
      <w:tr w:rsidR="00480F1C" w14:paraId="73E48C81" w14:textId="77777777">
        <w:trPr>
          <w:trHeight w:val="313"/>
        </w:trPr>
        <w:tc>
          <w:tcPr>
            <w:tcW w:w="851" w:type="dxa"/>
            <w:shd w:val="clear" w:color="auto" w:fill="C6EFCE"/>
          </w:tcPr>
          <w:p w14:paraId="2434205B" w14:textId="2EDC7352"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E4L</w:t>
            </w:r>
          </w:p>
        </w:tc>
        <w:tc>
          <w:tcPr>
            <w:tcW w:w="1559" w:type="dxa"/>
            <w:shd w:val="clear" w:color="auto" w:fill="C6EFCE"/>
          </w:tcPr>
          <w:p w14:paraId="4DA3FA3F" w14:textId="3705EBDE"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E1.2.1 Openbaar vervoer met nulemissie in steden (trams)</w:t>
            </w:r>
          </w:p>
        </w:tc>
        <w:tc>
          <w:tcPr>
            <w:tcW w:w="1276" w:type="dxa"/>
            <w:shd w:val="clear" w:color="auto" w:fill="C6EFCE"/>
          </w:tcPr>
          <w:p w14:paraId="03DB49E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Doel</w:t>
            </w:r>
          </w:p>
        </w:tc>
        <w:tc>
          <w:tcPr>
            <w:tcW w:w="1985" w:type="dxa"/>
            <w:shd w:val="clear" w:color="auto" w:fill="C6EFCE"/>
          </w:tcPr>
          <w:p w14:paraId="1F47F091" w14:textId="7CB25043"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Levering van nieuwe trams voor openbaar stadsvervoer</w:t>
            </w:r>
          </w:p>
        </w:tc>
        <w:tc>
          <w:tcPr>
            <w:tcW w:w="1559" w:type="dxa"/>
            <w:shd w:val="clear" w:color="auto" w:fill="C6EFCE"/>
          </w:tcPr>
          <w:p w14:paraId="647B35B7"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shd w:val="clear" w:color="auto" w:fill="C6EFCE"/>
          </w:tcPr>
          <w:p w14:paraId="453118F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Aantal</w:t>
            </w:r>
          </w:p>
        </w:tc>
        <w:tc>
          <w:tcPr>
            <w:tcW w:w="992" w:type="dxa"/>
            <w:shd w:val="clear" w:color="auto" w:fill="C6EFCE"/>
          </w:tcPr>
          <w:p w14:paraId="6FE745E3" w14:textId="77777777"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0</w:t>
            </w:r>
          </w:p>
        </w:tc>
        <w:tc>
          <w:tcPr>
            <w:tcW w:w="709" w:type="dxa"/>
            <w:shd w:val="clear" w:color="auto" w:fill="C6EFCE"/>
          </w:tcPr>
          <w:p w14:paraId="344D4C48" w14:textId="5FBE0765" w:rsidR="00480F1C" w:rsidRDefault="00A201F6">
            <w:pPr>
              <w:pStyle w:val="P68B1DB1-Normal011"/>
              <w:pBdr>
                <w:top w:val="nil"/>
                <w:left w:val="nil"/>
                <w:bottom w:val="nil"/>
                <w:right w:val="nil"/>
                <w:between w:val="nil"/>
              </w:pBdr>
              <w:spacing w:after="0" w:line="240" w:lineRule="auto"/>
              <w:jc w:val="right"/>
              <w:rPr>
                <w:rFonts w:eastAsia="Times New Roman" w:cs="Times New Roman"/>
                <w:noProof/>
                <w:color w:val="006100"/>
              </w:rPr>
            </w:pPr>
            <w:r>
              <w:rPr>
                <w:noProof/>
              </w:rPr>
              <w:t>88</w:t>
            </w:r>
          </w:p>
        </w:tc>
        <w:tc>
          <w:tcPr>
            <w:tcW w:w="964" w:type="dxa"/>
            <w:shd w:val="clear" w:color="auto" w:fill="C6EFCE"/>
          </w:tcPr>
          <w:p w14:paraId="27F4C1DF"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1" w:type="dxa"/>
            <w:shd w:val="clear" w:color="auto" w:fill="C6EFCE"/>
          </w:tcPr>
          <w:p w14:paraId="438D2E26"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2026</w:t>
            </w:r>
          </w:p>
        </w:tc>
        <w:tc>
          <w:tcPr>
            <w:tcW w:w="3968" w:type="dxa"/>
            <w:shd w:val="clear" w:color="auto" w:fill="C6EFCE"/>
          </w:tcPr>
          <w:p w14:paraId="1118B209" w14:textId="0A351C81" w:rsidR="00480F1C" w:rsidRDefault="00A201F6">
            <w:pPr>
              <w:pStyle w:val="P68B1DB1-Normal011"/>
              <w:pBdr>
                <w:top w:val="nil"/>
                <w:left w:val="nil"/>
                <w:bottom w:val="nil"/>
                <w:right w:val="nil"/>
                <w:between w:val="nil"/>
              </w:pBdr>
              <w:spacing w:after="0" w:line="240" w:lineRule="auto"/>
              <w:rPr>
                <w:rFonts w:eastAsia="Times New Roman" w:cs="Times New Roman"/>
                <w:noProof/>
              </w:rPr>
            </w:pPr>
            <w:r>
              <w:rPr>
                <w:noProof/>
              </w:rPr>
              <w:t>De doelstelling heeft betrekking op het aantal geleverde nieuwe trams.</w:t>
            </w:r>
          </w:p>
          <w:p w14:paraId="281B37BA" w14:textId="77777777" w:rsidR="00480F1C" w:rsidRDefault="00480F1C">
            <w:pPr>
              <w:pStyle w:val="Normal0"/>
              <w:spacing w:after="0" w:line="240" w:lineRule="auto"/>
              <w:rPr>
                <w:rFonts w:ascii="Times New Roman" w:eastAsia="Times New Roman" w:hAnsi="Times New Roman" w:cs="Times New Roman"/>
                <w:noProof/>
                <w:color w:val="000000"/>
                <w:sz w:val="18"/>
              </w:rPr>
            </w:pPr>
          </w:p>
          <w:p w14:paraId="62084DBF" w14:textId="77777777" w:rsidR="00480F1C" w:rsidRDefault="00A201F6">
            <w:pPr>
              <w:pStyle w:val="P68B1DB1-Normal25"/>
              <w:spacing w:after="0" w:line="240" w:lineRule="auto"/>
              <w:rPr>
                <w:rFonts w:eastAsia="Times New Roman" w:cs="Times New Roman"/>
                <w:noProof/>
              </w:rPr>
            </w:pPr>
            <w:r>
              <w:rPr>
                <w:noProof/>
                <w:color w:val="000000" w:themeColor="text1"/>
              </w:rPr>
              <w:t xml:space="preserve">De aanbesteding van trams </w:t>
            </w:r>
            <w:r>
              <w:rPr>
                <w:noProof/>
              </w:rPr>
              <w:t>gebeurt via openbare en openbare aanbestedingen die worden beheerd door het ministerie van Vervoer/begunstigde entiteiten.</w:t>
            </w:r>
          </w:p>
          <w:p w14:paraId="2E500C74" w14:textId="77777777" w:rsidR="00480F1C" w:rsidRDefault="00480F1C">
            <w:pPr>
              <w:spacing w:after="0" w:line="240" w:lineRule="auto"/>
              <w:rPr>
                <w:rFonts w:ascii="Times New Roman" w:eastAsia="Times New Roman" w:hAnsi="Times New Roman" w:cs="Times New Roman"/>
                <w:noProof/>
                <w:color w:val="000000" w:themeColor="text1"/>
                <w:sz w:val="18"/>
              </w:rPr>
            </w:pPr>
          </w:p>
          <w:p w14:paraId="1C5BEDD8" w14:textId="329340C7" w:rsidR="00480F1C" w:rsidRDefault="00A201F6">
            <w:pPr>
              <w:pStyle w:val="P68B1DB1-Normal25"/>
              <w:pBdr>
                <w:top w:val="nil"/>
                <w:left w:val="nil"/>
                <w:bottom w:val="nil"/>
                <w:right w:val="nil"/>
                <w:between w:val="nil"/>
              </w:pBdr>
              <w:spacing w:after="0" w:line="240" w:lineRule="auto"/>
              <w:rPr>
                <w:rFonts w:eastAsia="Times New Roman" w:cs="Times New Roman"/>
                <w:b/>
                <w:i/>
                <w:noProof/>
                <w:color w:val="000000" w:themeColor="text1"/>
              </w:rPr>
            </w:pPr>
            <w:r>
              <w:rPr>
                <w:noProof/>
              </w:rPr>
              <w:t>De investering is gericht op het vergroten van het aanbod van schoon</w:t>
            </w:r>
            <w:r>
              <w:rPr>
                <w:b/>
                <w:i/>
                <w:noProof/>
              </w:rPr>
              <w:t xml:space="preserve"> </w:t>
            </w:r>
            <w:r>
              <w:rPr>
                <w:noProof/>
              </w:rPr>
              <w:t>openbaar vervoer in steden. De steun wordt bij voorrang verleend aan gebieden waar schone vervoerszones</w:t>
            </w:r>
            <w:r>
              <w:rPr>
                <w:noProof/>
                <w:color w:val="000000" w:themeColor="text1"/>
              </w:rPr>
              <w:t>zijn of zullen worden ingevoerd. De investering bestaat uit de levering van 88 emissievrije spoorwegmaterieel (trams) voor openbaar vervoer in steden tegen 30 juni 2026.</w:t>
            </w:r>
          </w:p>
        </w:tc>
      </w:tr>
      <w:tr w:rsidR="00480F1C" w14:paraId="6B973DBF" w14:textId="77777777">
        <w:trPr>
          <w:trHeight w:val="313"/>
        </w:trPr>
        <w:tc>
          <w:tcPr>
            <w:tcW w:w="851" w:type="dxa"/>
            <w:shd w:val="clear" w:color="auto" w:fill="C6EFCE"/>
          </w:tcPr>
          <w:p w14:paraId="4089D9A7" w14:textId="5A40D12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E5L</w:t>
            </w:r>
          </w:p>
        </w:tc>
        <w:tc>
          <w:tcPr>
            <w:tcW w:w="1559" w:type="dxa"/>
            <w:shd w:val="clear" w:color="auto" w:fill="C6EFCE"/>
          </w:tcPr>
          <w:p w14:paraId="2E8B9C09" w14:textId="793681FB"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E2.3 Verbetering van de toegankelijkheid, beveiliging en digitale oplossingen van het vervoer</w:t>
            </w:r>
          </w:p>
        </w:tc>
        <w:tc>
          <w:tcPr>
            <w:tcW w:w="1276" w:type="dxa"/>
            <w:shd w:val="clear" w:color="auto" w:fill="C6EFCE"/>
          </w:tcPr>
          <w:p w14:paraId="46459295"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985" w:type="dxa"/>
            <w:shd w:val="clear" w:color="auto" w:fill="C6EFCE"/>
          </w:tcPr>
          <w:p w14:paraId="463F3072" w14:textId="0EE5C5A8"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Inwerkingtreding van een rechtshandeling tot verbetering van de passagiersrechten op het gebied van eisen inzake rollend materieel</w:t>
            </w:r>
          </w:p>
        </w:tc>
        <w:tc>
          <w:tcPr>
            <w:tcW w:w="1559" w:type="dxa"/>
            <w:shd w:val="clear" w:color="auto" w:fill="C6EFCE"/>
          </w:tcPr>
          <w:p w14:paraId="3696FF51" w14:textId="3F6D3A6E"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rechtshandelingen die de inwerkingtreding aangeven</w:t>
            </w:r>
          </w:p>
        </w:tc>
        <w:tc>
          <w:tcPr>
            <w:tcW w:w="992" w:type="dxa"/>
            <w:shd w:val="clear" w:color="auto" w:fill="C6EFCE"/>
          </w:tcPr>
          <w:p w14:paraId="73FB3412"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shd w:val="clear" w:color="auto" w:fill="C6EFCE"/>
          </w:tcPr>
          <w:p w14:paraId="71E6F0A4"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709" w:type="dxa"/>
            <w:shd w:val="clear" w:color="auto" w:fill="C6EFCE"/>
          </w:tcPr>
          <w:p w14:paraId="4CB2E8F3"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64" w:type="dxa"/>
            <w:shd w:val="clear" w:color="auto" w:fill="C6EFCE"/>
          </w:tcPr>
          <w:p w14:paraId="1F5AB4D7" w14:textId="3B256E53"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4</w:t>
            </w:r>
          </w:p>
        </w:tc>
        <w:tc>
          <w:tcPr>
            <w:tcW w:w="851" w:type="dxa"/>
            <w:shd w:val="clear" w:color="auto" w:fill="C6EFCE"/>
          </w:tcPr>
          <w:p w14:paraId="171C70B4"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3968" w:type="dxa"/>
            <w:shd w:val="clear" w:color="auto" w:fill="C6EFCE"/>
          </w:tcPr>
          <w:p w14:paraId="4AF1946C" w14:textId="0C9C99AC"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Door middel van een rechtshandeling worden technische en functionele normen voor spoorweginvesteringen ingevoerd om te zorgen voor adequate infrastructuuroplossingen die tegemoetkomen aan de behoeften van passagiers met beperkte mobiliteit. Daartoe worden bij de rechtshandeling de relevante nationale bepalingen inzake afwijkingen van Verordening (EG) nr. 1371/2007 betreffende de rechten en verplichtingen van reizigers in het treinverkeer ingetrokken. </w:t>
            </w:r>
          </w:p>
        </w:tc>
      </w:tr>
      <w:tr w:rsidR="00480F1C" w14:paraId="5EE310F6" w14:textId="77777777">
        <w:trPr>
          <w:trHeight w:val="313"/>
        </w:trPr>
        <w:tc>
          <w:tcPr>
            <w:tcW w:w="851" w:type="dxa"/>
            <w:shd w:val="clear" w:color="auto" w:fill="C6EFCE"/>
          </w:tcPr>
          <w:p w14:paraId="72A1D356" w14:textId="70C44B39"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E6L</w:t>
            </w:r>
          </w:p>
        </w:tc>
        <w:tc>
          <w:tcPr>
            <w:tcW w:w="1559" w:type="dxa"/>
            <w:shd w:val="clear" w:color="auto" w:fill="C6EFCE"/>
          </w:tcPr>
          <w:p w14:paraId="3907F100" w14:textId="26062E9C"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E2.3 Verbetering van de toegankelijkheid, beveiliging en digitale oplossingen van het vervoer</w:t>
            </w:r>
          </w:p>
        </w:tc>
        <w:tc>
          <w:tcPr>
            <w:tcW w:w="1276" w:type="dxa"/>
            <w:shd w:val="clear" w:color="auto" w:fill="C6EFCE"/>
          </w:tcPr>
          <w:p w14:paraId="435C483C"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985" w:type="dxa"/>
            <w:shd w:val="clear" w:color="auto" w:fill="C6EFCE"/>
          </w:tcPr>
          <w:p w14:paraId="0139338E" w14:textId="70C44B39"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Verplichting om nationaal, internationaal en regionaal rollend materieel aan te passen aan eisen voor reizigers met een handicap</w:t>
            </w:r>
          </w:p>
        </w:tc>
        <w:tc>
          <w:tcPr>
            <w:tcW w:w="1559" w:type="dxa"/>
            <w:shd w:val="clear" w:color="auto" w:fill="C6EFCE"/>
          </w:tcPr>
          <w:p w14:paraId="44D61B5A" w14:textId="70C44B39"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Bepaling in de rechtshandeling die de inwerkingtreding aangeeft</w:t>
            </w:r>
          </w:p>
        </w:tc>
        <w:tc>
          <w:tcPr>
            <w:tcW w:w="992" w:type="dxa"/>
            <w:shd w:val="clear" w:color="auto" w:fill="C6EFCE"/>
          </w:tcPr>
          <w:p w14:paraId="15A3EF86"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92" w:type="dxa"/>
            <w:shd w:val="clear" w:color="auto" w:fill="C6EFCE"/>
          </w:tcPr>
          <w:p w14:paraId="791C11CE"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709" w:type="dxa"/>
            <w:shd w:val="clear" w:color="auto" w:fill="C6EFCE"/>
          </w:tcPr>
          <w:p w14:paraId="3196B198" w14:textId="77777777" w:rsidR="00480F1C" w:rsidRDefault="00A201F6">
            <w:pPr>
              <w:pStyle w:val="P68B1DB1-Normal011"/>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964" w:type="dxa"/>
            <w:shd w:val="clear" w:color="auto" w:fill="C6EFCE"/>
          </w:tcPr>
          <w:p w14:paraId="6B16EA59"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51" w:type="dxa"/>
            <w:shd w:val="clear" w:color="auto" w:fill="C6EFCE"/>
          </w:tcPr>
          <w:p w14:paraId="520C8A10" w14:textId="77777777" w:rsidR="00480F1C" w:rsidRDefault="00A201F6">
            <w:pPr>
              <w:pStyle w:val="P68B1DB1-Normal011"/>
              <w:pBdr>
                <w:top w:val="nil"/>
                <w:left w:val="nil"/>
                <w:bottom w:val="nil"/>
                <w:right w:val="nil"/>
                <w:between w:val="nil"/>
              </w:pBdr>
              <w:spacing w:after="0" w:line="240" w:lineRule="auto"/>
              <w:jc w:val="center"/>
              <w:rPr>
                <w:rFonts w:eastAsia="Times New Roman" w:cs="Times New Roman"/>
                <w:noProof/>
                <w:color w:val="006100"/>
              </w:rPr>
            </w:pPr>
            <w:r>
              <w:rPr>
                <w:noProof/>
              </w:rPr>
              <w:t>2024</w:t>
            </w:r>
          </w:p>
        </w:tc>
        <w:tc>
          <w:tcPr>
            <w:tcW w:w="3968" w:type="dxa"/>
            <w:shd w:val="clear" w:color="auto" w:fill="C6EFCE"/>
          </w:tcPr>
          <w:p w14:paraId="7403AB97" w14:textId="0048F5CE" w:rsidR="00480F1C" w:rsidRDefault="00A201F6">
            <w:pPr>
              <w:pStyle w:val="P68B1DB1-Normal011"/>
              <w:pBdr>
                <w:top w:val="nil"/>
                <w:left w:val="nil"/>
                <w:bottom w:val="nil"/>
                <w:right w:val="nil"/>
                <w:between w:val="nil"/>
              </w:pBdr>
              <w:spacing w:after="0" w:line="240" w:lineRule="auto"/>
              <w:rPr>
                <w:rFonts w:eastAsia="Times New Roman" w:cs="Times New Roman"/>
                <w:noProof/>
                <w:color w:val="000000" w:themeColor="text1"/>
              </w:rPr>
            </w:pPr>
            <w:r>
              <w:rPr>
                <w:noProof/>
              </w:rPr>
              <w:t xml:space="preserve">Inwerkingtreding van de relevante bepalingen om rollend spoorwegmaterieel aan te passen aan de eisen inzake passagiersrechten, aanpassing aan artikel 9, lid 3 (waar modernisering gerechtvaardigd en rationeel is met betrekking tot de verwachte levensduur van het rollend materieel) voor regionaal, nationaal en internationaal rollend materieel dat moet worden aangepast aan passagiers met een handicap en de passagiersrechten verbeteren. </w:t>
            </w:r>
          </w:p>
          <w:p w14:paraId="6D928269" w14:textId="0A0A7FC2"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noProof/>
              </w:rPr>
              <w:t xml:space="preserve"> </w:t>
            </w:r>
            <w:r>
              <w:rPr>
                <w:noProof/>
              </w:rPr>
              <w:br/>
            </w:r>
            <w:r>
              <w:rPr>
                <w:rFonts w:ascii="Times New Roman" w:hAnsi="Times New Roman"/>
                <w:noProof/>
                <w:color w:val="000000" w:themeColor="text1"/>
                <w:sz w:val="18"/>
              </w:rPr>
              <w:t>Voor regionaal rollend materieel moeten de eisen uiterlijk in het vierde kwartaal van 2 2024 worden vastgesteld en vanaf het vierde kwartaal van 2 2023 voor internationaal rollend materieel en langeafstandsmaterieel.</w:t>
            </w:r>
          </w:p>
        </w:tc>
      </w:tr>
    </w:tbl>
    <w:p w14:paraId="02915484" w14:textId="613398FE" w:rsidR="00480F1C" w:rsidRDefault="00480F1C">
      <w:pPr>
        <w:rPr>
          <w:rFonts w:ascii="Times New Roman" w:hAnsi="Times New Roman" w:cs="Times New Roman"/>
          <w:noProof/>
        </w:rPr>
        <w:sectPr w:rsidR="00480F1C" w:rsidSect="009B6BB9">
          <w:headerReference w:type="even" r:id="rId145"/>
          <w:headerReference w:type="default" r:id="rId146"/>
          <w:footerReference w:type="even" r:id="rId147"/>
          <w:footerReference w:type="default" r:id="rId148"/>
          <w:headerReference w:type="first" r:id="rId149"/>
          <w:footerReference w:type="first" r:id="rId150"/>
          <w:pgSz w:w="16839" w:h="11907" w:orient="landscape"/>
          <w:pgMar w:top="720" w:right="720" w:bottom="720" w:left="720" w:header="709" w:footer="709" w:gutter="0"/>
          <w:cols w:space="720"/>
          <w:docGrid w:linePitch="299"/>
        </w:sectPr>
      </w:pPr>
    </w:p>
    <w:p w14:paraId="0DB3C905" w14:textId="77777777" w:rsidR="00480F1C" w:rsidRDefault="00A201F6">
      <w:pPr>
        <w:pStyle w:val="P68B1DB1-Normal018"/>
        <w:keepNext/>
        <w:spacing w:before="360" w:after="120" w:line="240" w:lineRule="auto"/>
        <w:rPr>
          <w:rFonts w:eastAsia="Times New Roman" w:cs="Times New Roman"/>
          <w:noProof/>
          <w:color w:val="000000" w:themeColor="text1"/>
        </w:rPr>
      </w:pPr>
      <w:r>
        <w:rPr>
          <w:noProof/>
        </w:rPr>
        <w:t>F. ONDERDEEL F: „VERBETERING VAN DE KWALITEIT VAN DE INSTELLINGEN EN DE VOORWAARDEN VOOR DE UITVOERING VAN HET HERSTEL- EN VEERKRACHTPLAN”</w:t>
      </w:r>
    </w:p>
    <w:p w14:paraId="453374C5" w14:textId="77777777" w:rsidR="00480F1C" w:rsidRDefault="00A201F6">
      <w:pPr>
        <w:pStyle w:val="P68B1DB1-Normal24"/>
        <w:spacing w:before="120" w:after="120" w:line="240" w:lineRule="auto"/>
        <w:jc w:val="both"/>
        <w:rPr>
          <w:rFonts w:eastAsia="Times New Roman" w:cs="Times New Roman"/>
          <w:noProof/>
          <w:color w:val="000000" w:themeColor="text1"/>
        </w:rPr>
      </w:pPr>
      <w:r>
        <w:rPr>
          <w:noProof/>
        </w:rPr>
        <w:t xml:space="preserve">Polen staat voor een aantal reeds lang bestaande uitdagingen in verband met het investeringsklimaat, met name wat betreft het Poolse rechtsstelsel en de besluitvormings- en wetgevingsprocessen. </w:t>
      </w:r>
    </w:p>
    <w:p w14:paraId="62138CFF" w14:textId="106942D2" w:rsidR="00480F1C" w:rsidRDefault="00A201F6">
      <w:pPr>
        <w:pStyle w:val="P68B1DB1-Normal15"/>
        <w:spacing w:before="120" w:after="120" w:line="240" w:lineRule="auto"/>
        <w:jc w:val="both"/>
        <w:rPr>
          <w:rFonts w:eastAsia="Times New Roman" w:cs="Times New Roman"/>
          <w:noProof/>
          <w:color w:val="498205"/>
          <w:u w:val="single"/>
        </w:rPr>
      </w:pPr>
      <w:r>
        <w:rPr>
          <w:noProof/>
        </w:rPr>
        <w:t>Deze component is dan ook in de eerste plaats bedoeld om het investeringsklimaat te verbeteren en de voorwaarden te scheppen voor een doeltreffende uitvoering van het Poolse herstel- en veerkrachtplan. Daartoe hebben de hervormingen tot doel: versterken van bepaalde aspecten van de onafhankelijkheid en onpartijdigheid van rechtbanken; de situatie van rechters die worden getroffen door de beslissingen van de tuchtkamer van het Hooggerechtshof in tuchtzaken en zaken inzake rechterlijke immuniteit, te verhelpen met het oog op hun terugkeer na een positieve herzieningsprocedure door de nieuwe kamer, die onverwijld moet worden uitgevoerd; de raadpleging van de sociale partners in het wetgevingsproces te verbeteren; meer gebruik te maken van effectbeoordelingen in het wetgevingsproces; het gebruik van versnelde procedures in het wetgevingsproces te verminderen; zorgen voor adequate raadpleging van de sociale partners en belanghebbenden bij de uitvoering van het plan voor herstel en veerkracht, onder meer door de oprichting van een monitoringcomité, en zorgen voor de toepassing van het risicoscore-instrument Arachne bij de uitvoering van het plan voor herstel en veerkracht.</w:t>
      </w:r>
    </w:p>
    <w:p w14:paraId="2314EDE7" w14:textId="77777777" w:rsidR="00480F1C" w:rsidRDefault="00A201F6">
      <w:pPr>
        <w:pStyle w:val="P68B1DB1-Normal05"/>
        <w:spacing w:before="120" w:after="120" w:line="240" w:lineRule="auto"/>
        <w:jc w:val="both"/>
        <w:rPr>
          <w:rFonts w:eastAsia="Times New Roman" w:cs="Times New Roman"/>
          <w:noProof/>
        </w:rPr>
      </w:pPr>
      <w:r>
        <w:rPr>
          <w:noProof/>
        </w:rPr>
        <w:t>De component draagt bij tot de uitvoering van de landspecifieke aanbeveling om „het regelgevingskader te verbeteren, met name door de rol van de raadpleging van de sociale partners en openbare raadplegingen in het wetgevingsproces te versterken” (landspecifieke aanbeveling 3 van 2019) en „het investeringsklimaat te verbeteren, met name door de onafhankelijkheid van de rechterlijke macht te waarborgen” en „doeltreffende openbare raadplegingen en betrokkenheid van de sociale partners bij het beleidsvormingsproces te waarborgen” (landspecifieke aanbeveling 4 van 2020).</w:t>
      </w:r>
    </w:p>
    <w:p w14:paraId="74F77388" w14:textId="77777777" w:rsidR="00480F1C" w:rsidRDefault="00480F1C">
      <w:pPr>
        <w:spacing w:line="240" w:lineRule="auto"/>
        <w:jc w:val="both"/>
        <w:rPr>
          <w:rFonts w:ascii="Times New Roman" w:eastAsia="Times New Roman" w:hAnsi="Times New Roman" w:cs="Times New Roman"/>
          <w:b/>
          <w:noProof/>
          <w:color w:val="000000" w:themeColor="text1"/>
          <w:sz w:val="24"/>
          <w:u w:val="single"/>
        </w:rPr>
      </w:pPr>
    </w:p>
    <w:p w14:paraId="54182696" w14:textId="3051F563" w:rsidR="00480F1C" w:rsidRDefault="00A201F6">
      <w:pPr>
        <w:pStyle w:val="P68B1DB1-Normal13"/>
        <w:spacing w:line="240" w:lineRule="auto"/>
        <w:jc w:val="both"/>
        <w:rPr>
          <w:rFonts w:eastAsia="Times New Roman" w:cs="Times New Roman"/>
          <w:noProof/>
          <w:color w:val="000000" w:themeColor="text1"/>
        </w:rPr>
      </w:pPr>
      <w:r>
        <w:rPr>
          <w:noProof/>
        </w:rPr>
        <w:t>F1 Justitiestelsel</w:t>
      </w:r>
    </w:p>
    <w:p w14:paraId="3D8D1DD6" w14:textId="77777777" w:rsidR="00480F1C" w:rsidRDefault="00A201F6">
      <w:pPr>
        <w:pStyle w:val="P68B1DB1-Normal24"/>
        <w:spacing w:line="240" w:lineRule="auto"/>
        <w:jc w:val="both"/>
        <w:rPr>
          <w:noProof/>
        </w:rPr>
      </w:pPr>
      <w:r>
        <w:rPr>
          <w:noProof/>
        </w:rPr>
        <w:t>Het hoofddoel van de hervormingen is het niveau van rechterlijke bescherming te verhogen en het investeringsklimaat in Polen te verbeteren, alsook het internecontrolesysteem als bedoeld in artikel 22 van Verordening (EU) 2021/241 van het Europees Parlement en de Raad te ondersteunen door de waarborgen van onafhankelijkheid en onpartijdigheid van de rechtbanken te versterken.</w:t>
      </w:r>
    </w:p>
    <w:p w14:paraId="69BE704F" w14:textId="5F8C5C04" w:rsidR="00480F1C" w:rsidRDefault="00A201F6">
      <w:pPr>
        <w:pStyle w:val="P68B1DB1-Normal24"/>
        <w:spacing w:line="240" w:lineRule="auto"/>
        <w:jc w:val="both"/>
        <w:rPr>
          <w:noProof/>
        </w:rPr>
      </w:pPr>
      <w:r>
        <w:rPr>
          <w:noProof/>
        </w:rPr>
        <w:t>De hervorming resulteert in een versterking van de onafhankelijkheid en onpartijdigheid van rechtbanken en rechters die bij wet zijn ingesteld overeenkomstig artikel 19 VEU en het relevante EU-acquis. Overeenkomstig artikel 24, lid 3, van Verordening (EU) 2021/241 worden alle andere hervormingen doorgevoerd zonder dat dit resultaat wordt afgezwakt en de onderstaande elementen negatief worden beïnvloed.</w:t>
      </w:r>
    </w:p>
    <w:p w14:paraId="1CED877A" w14:textId="77777777" w:rsidR="00480F1C" w:rsidRDefault="00480F1C">
      <w:pPr>
        <w:spacing w:line="240" w:lineRule="auto"/>
        <w:jc w:val="both"/>
        <w:rPr>
          <w:rFonts w:ascii="Times New Roman" w:hAnsi="Times New Roman"/>
          <w:noProof/>
          <w:sz w:val="24"/>
        </w:rPr>
      </w:pPr>
    </w:p>
    <w:p w14:paraId="49E7712C" w14:textId="5D9C6091" w:rsidR="00480F1C" w:rsidRDefault="00A201F6">
      <w:pPr>
        <w:pStyle w:val="P68B1DB1-Normal33"/>
        <w:spacing w:line="240" w:lineRule="auto"/>
        <w:jc w:val="both"/>
        <w:rPr>
          <w:rFonts w:eastAsia="Times New Roman" w:cs="Times New Roman"/>
          <w:noProof/>
          <w:color w:val="000000" w:themeColor="text1"/>
        </w:rPr>
      </w:pPr>
      <w:r>
        <w:rPr>
          <w:noProof/>
        </w:rPr>
        <w:t>F1.1 Hervorming ter versterking van de onafhankelijkheid en onpartijdigheid van rechtbanken</w:t>
      </w:r>
    </w:p>
    <w:p w14:paraId="4EED8318" w14:textId="77777777" w:rsidR="00480F1C" w:rsidRDefault="00A201F6">
      <w:pPr>
        <w:pStyle w:val="P68B1DB1-Normal24"/>
        <w:spacing w:line="240" w:lineRule="auto"/>
        <w:jc w:val="both"/>
        <w:rPr>
          <w:noProof/>
        </w:rPr>
      </w:pPr>
      <w:r>
        <w:rPr>
          <w:noProof/>
        </w:rPr>
        <w:t>De hervorming:</w:t>
      </w:r>
    </w:p>
    <w:p w14:paraId="08CB0EF5" w14:textId="77777777" w:rsidR="00480F1C" w:rsidRDefault="00A201F6">
      <w:pPr>
        <w:pStyle w:val="P68B1DB1-Normal24"/>
        <w:numPr>
          <w:ilvl w:val="0"/>
          <w:numId w:val="21"/>
        </w:numPr>
        <w:spacing w:line="240" w:lineRule="auto"/>
        <w:jc w:val="both"/>
        <w:rPr>
          <w:noProof/>
        </w:rPr>
      </w:pPr>
      <w:r>
        <w:rPr>
          <w:noProof/>
        </w:rPr>
        <w:t xml:space="preserve">in alle zaken die betrekking hebben op de rechters, met inbegrip van de tuchtrechtelijke en de opheffing van de immuniteit van de rechter, de omvang van de bevoegdheid van de kamer van de Sąd Najwyższy bepalen, met uitzondering van de bestaande tuchtkamer, die voldoet aan de vereisten van artikel 19, lid 1, VEU. Op die manier wordt gewaarborgd dat bovengenoemde zaken worden onderzocht door een onafhankelijke en onpartijdige rechtbank die bij wet is ingesteld, terwijl de discretionaire bevoegdheid om het tuchtgerecht aan te wijzen dat in eerste aanleg bevoegd is in zaken betreffende rechters van gewone rechtbanken, wordt afgebakend; </w:t>
      </w:r>
    </w:p>
    <w:p w14:paraId="71097B4F" w14:textId="77777777" w:rsidR="00480F1C" w:rsidRDefault="00A201F6">
      <w:pPr>
        <w:pStyle w:val="P68B1DB1-Normal24"/>
        <w:numPr>
          <w:ilvl w:val="0"/>
          <w:numId w:val="21"/>
        </w:numPr>
        <w:spacing w:line="240" w:lineRule="auto"/>
        <w:jc w:val="both"/>
        <w:rPr>
          <w:noProof/>
        </w:rPr>
      </w:pPr>
      <w:r>
        <w:rPr>
          <w:noProof/>
        </w:rPr>
        <w:t>de reikwijdte van de tuchtrechtelijke aansprakelijkheid van rechters verduidelijken door ervoor te zorgen dat het recht van Poolse rechtbanken om verzoeken om een prejudiciële beslissing bij het HvJ-EU in te dienen, niet wordt beperkt. Een dergelijk verzoek is geen reden om een tuchtprocedure tegen een rechter in te leiden,</w:t>
      </w:r>
    </w:p>
    <w:p w14:paraId="13CC6948" w14:textId="77777777" w:rsidR="00480F1C" w:rsidRDefault="00A201F6">
      <w:pPr>
        <w:pStyle w:val="P68B1DB1-Normal24"/>
        <w:numPr>
          <w:ilvl w:val="0"/>
          <w:numId w:val="21"/>
        </w:numPr>
        <w:spacing w:line="240" w:lineRule="auto"/>
        <w:jc w:val="both"/>
        <w:rPr>
          <w:noProof/>
        </w:rPr>
      </w:pPr>
      <w:r>
        <w:rPr>
          <w:noProof/>
        </w:rPr>
        <w:t>hoewel de rechters nog steeds aansprakelijk kunnen worden gesteld voor beroepsfouten, waaronder kennelijke en grove schendingen van de wet, vaststellen dat de inhoud van rechterlijke beslissingen niet als tuchtrechtelijk vergrijp wordt aangemerkt;</w:t>
      </w:r>
    </w:p>
    <w:p w14:paraId="23EFB212" w14:textId="77777777" w:rsidR="00480F1C" w:rsidRDefault="00A201F6">
      <w:pPr>
        <w:pStyle w:val="P68B1DB1-Normal24"/>
        <w:numPr>
          <w:ilvl w:val="0"/>
          <w:numId w:val="21"/>
        </w:numPr>
        <w:spacing w:line="240" w:lineRule="auto"/>
        <w:jc w:val="both"/>
        <w:rPr>
          <w:rFonts w:eastAsia="Times New Roman"/>
          <w:noProof/>
        </w:rPr>
      </w:pPr>
      <w:r>
        <w:rPr>
          <w:noProof/>
        </w:rPr>
        <w:t xml:space="preserve">ervoor te zorgen dat in het kader van de gerechtelijke procedure kan worden nagegaan of een rechter voldoet aan de vereisten van onafhankelijkheid, onpartijdigheid en „bij wet ingesteld”, overeenkomstig artikel 19 VEU, voor een bevoegde rechterlijke instantie wanneer op dat punt ernstige twijfel rijst en dat die verificatie niet als tuchtrechtelijk vergrijp wordt aangemerkt; </w:t>
      </w:r>
    </w:p>
    <w:p w14:paraId="3D8F17E2" w14:textId="77777777" w:rsidR="00480F1C" w:rsidRDefault="00A201F6">
      <w:pPr>
        <w:pStyle w:val="P68B1DB1-Normal24"/>
        <w:numPr>
          <w:ilvl w:val="0"/>
          <w:numId w:val="21"/>
        </w:numPr>
        <w:spacing w:line="240" w:lineRule="auto"/>
        <w:jc w:val="both"/>
        <w:rPr>
          <w:noProof/>
        </w:rPr>
      </w:pPr>
      <w:r>
        <w:rPr>
          <w:noProof/>
        </w:rPr>
        <w:t xml:space="preserve">versterking van de procedurele waarborgen en bevoegdheden van partijen in tuchtprocedures tegen rechters, door middel van  </w:t>
      </w:r>
    </w:p>
    <w:p w14:paraId="35940D8C" w14:textId="77777777" w:rsidR="00480F1C" w:rsidRDefault="00A201F6">
      <w:pPr>
        <w:pStyle w:val="P68B1DB1-Normal24"/>
        <w:spacing w:line="240" w:lineRule="auto"/>
        <w:ind w:left="720"/>
        <w:jc w:val="both"/>
        <w:rPr>
          <w:noProof/>
        </w:rPr>
      </w:pPr>
      <w:r>
        <w:rPr>
          <w:noProof/>
        </w:rPr>
        <w:t>I) ervoor te zorgen dat tuchtzaken tegen rechters van de gewone rechterlijke instanties binnen een redelijke termijn worden behandeld;</w:t>
      </w:r>
    </w:p>
    <w:p w14:paraId="0BD8828A" w14:textId="5D3897F6" w:rsidR="00480F1C" w:rsidRDefault="00A201F6">
      <w:pPr>
        <w:pStyle w:val="P68B1DB1-Normal24"/>
        <w:spacing w:line="240" w:lineRule="auto"/>
        <w:ind w:left="720"/>
        <w:jc w:val="both"/>
        <w:rPr>
          <w:noProof/>
        </w:rPr>
      </w:pPr>
      <w:r>
        <w:rPr>
          <w:noProof/>
        </w:rPr>
        <w:t>II) precisering van de territoriale bevoegdheid van de rechterlijke instanties die de tuchtzaken behandelen, teneinde te waarborgen dat de bevoegde rechter rechtstreeks kan worden bepaald overeenkomstig de wetgevingshandeling; en het</w:t>
      </w:r>
    </w:p>
    <w:p w14:paraId="0C1490F9" w14:textId="77777777" w:rsidR="00480F1C" w:rsidRDefault="00A201F6">
      <w:pPr>
        <w:pStyle w:val="P68B1DB1-Normal24"/>
        <w:spacing w:line="240" w:lineRule="auto"/>
        <w:ind w:left="720"/>
        <w:jc w:val="both"/>
        <w:rPr>
          <w:noProof/>
        </w:rPr>
      </w:pPr>
      <w:r>
        <w:rPr>
          <w:noProof/>
        </w:rPr>
        <w:t>III) ervoor te zorgen dat de benoeming van een raadsman in een tuchtprocedure tegen een rechter binnen een redelijke termijn plaatsvindt, en dat er tijd wordt geboden voor de inhoudelijke voorbereiding van de raadsman om zijn taken in de gegeven procedure uit te voeren. Tegelijkertijd schorst de rechtbank de procedure in geval van een naar behoren gemotiveerde afwezigheid van de beklaagde rechter of zijn raadsman.</w:t>
      </w:r>
    </w:p>
    <w:p w14:paraId="0C0A53B6" w14:textId="05CB329F" w:rsidR="00480F1C" w:rsidRDefault="00A201F6">
      <w:pPr>
        <w:pStyle w:val="P68B1DB1-Normal24"/>
        <w:spacing w:line="240" w:lineRule="auto"/>
        <w:jc w:val="both"/>
        <w:rPr>
          <w:noProof/>
        </w:rPr>
      </w:pPr>
      <w:r>
        <w:rPr>
          <w:noProof/>
        </w:rPr>
        <w:t xml:space="preserve">De hervorming treedt in werking tegen het einde van het tweede kwartaal van 2022. </w:t>
      </w:r>
    </w:p>
    <w:p w14:paraId="5F61C325" w14:textId="77777777" w:rsidR="00480F1C" w:rsidRDefault="00480F1C">
      <w:pPr>
        <w:spacing w:line="240" w:lineRule="auto"/>
        <w:jc w:val="both"/>
        <w:rPr>
          <w:rFonts w:ascii="Times New Roman" w:hAnsi="Times New Roman"/>
          <w:noProof/>
          <w:sz w:val="24"/>
        </w:rPr>
      </w:pPr>
    </w:p>
    <w:p w14:paraId="033A29E3" w14:textId="2D6483A4" w:rsidR="00480F1C" w:rsidRDefault="00A201F6">
      <w:pPr>
        <w:pStyle w:val="P68B1DB1-Normal33"/>
        <w:spacing w:line="240" w:lineRule="auto"/>
        <w:jc w:val="both"/>
        <w:rPr>
          <w:noProof/>
        </w:rPr>
      </w:pPr>
      <w:r>
        <w:rPr>
          <w:noProof/>
        </w:rPr>
        <w:t>F1.2 Hervorming om de situatie te verhelpen van rechters die worden geraakt door de beslissingen van de tuchtkamer van het hooggerechtshof in tuchtzaken en zaken inzake rechterlijke immuniteit</w:t>
      </w:r>
    </w:p>
    <w:p w14:paraId="6965A8DA" w14:textId="77777777" w:rsidR="00480F1C" w:rsidRDefault="00A201F6">
      <w:pPr>
        <w:pStyle w:val="P68B1DB1-Normal24"/>
        <w:spacing w:line="240" w:lineRule="auto"/>
        <w:jc w:val="both"/>
        <w:rPr>
          <w:noProof/>
        </w:rPr>
      </w:pPr>
      <w:r>
        <w:rPr>
          <w:noProof/>
        </w:rPr>
        <w:t>De hervorming waarborgt dat rechters die worden getroffen door beslissingen van de tuchtkamer van het Hooggerechtshof toegang hebben tot beroepsprocedures in hun zaken. Dergelijke zaken die reeds door de tuchtkamer zijn beslecht, worden getoetst door een rechterlijke instantie die voldoet aan de vereisten van artikel 19, lid 1, VEU, overeenkomstig de regels die op basis van bovengenoemde hervorming moeten worden vastgesteld. In de wetgevingshandeling wordt bepaald dat de eerste zitting van de rechterlijke instantie die deze zaken behandelt, plaatsvindt binnen drie maanden na ontvangst van het verzoek van de rechter om heroverweging, en dat de zaken binnen twaalf maanden na ontvangst ervan worden beslecht. De zaken die momenteel nog bij de tuchtkamer aanhangig zijn, worden voor verdere behandeling naar de rechter verwezen volgens de in het kader van bovengenoemde procedure vastgestelde regels.</w:t>
      </w:r>
    </w:p>
    <w:p w14:paraId="7C0BA6A9" w14:textId="77777777" w:rsidR="00480F1C" w:rsidRDefault="00A201F6">
      <w:pPr>
        <w:pStyle w:val="P68B1DB1-Normal24"/>
        <w:spacing w:line="240" w:lineRule="auto"/>
        <w:jc w:val="both"/>
        <w:rPr>
          <w:noProof/>
        </w:rPr>
      </w:pPr>
      <w:r>
        <w:rPr>
          <w:noProof/>
        </w:rPr>
        <w:t>De hervorming treedt in werking tegen het einde van het tweede kwartaal van 2022.</w:t>
      </w:r>
    </w:p>
    <w:p w14:paraId="66058EB7" w14:textId="77777777" w:rsidR="00480F1C" w:rsidRDefault="00A201F6">
      <w:pPr>
        <w:spacing w:line="240" w:lineRule="auto"/>
        <w:jc w:val="both"/>
        <w:rPr>
          <w:rFonts w:ascii="Times New Roman" w:hAnsi="Times New Roman"/>
          <w:noProof/>
          <w:sz w:val="24"/>
        </w:rPr>
      </w:pPr>
      <w:r>
        <w:rPr>
          <w:noProof/>
        </w:rPr>
        <w:t>Aan</w:t>
      </w:r>
      <w:r>
        <w:rPr>
          <w:rFonts w:ascii="Times New Roman" w:hAnsi="Times New Roman"/>
          <w:noProof/>
          <w:sz w:val="24"/>
        </w:rPr>
        <w:t>beide bovengenoemde hervormingen met een voltooiingsdatum van Q2 2022 moet worden voldaan voordat het eerste betalingsverzoek bij de Commissie wordt ingediend</w:t>
      </w:r>
      <w:r>
        <w:rPr>
          <w:noProof/>
        </w:rPr>
        <w:t xml:space="preserve"> en zijn een voorwaarde voor elke betaling in het kader van artikel 24 van de RRF-verordening. </w:t>
      </w:r>
    </w:p>
    <w:p w14:paraId="7A42FA93" w14:textId="77777777" w:rsidR="00480F1C" w:rsidRDefault="00480F1C">
      <w:pPr>
        <w:spacing w:line="240" w:lineRule="auto"/>
        <w:jc w:val="both"/>
        <w:rPr>
          <w:rFonts w:ascii="Times New Roman" w:hAnsi="Times New Roman"/>
          <w:noProof/>
          <w:sz w:val="24"/>
        </w:rPr>
      </w:pPr>
    </w:p>
    <w:p w14:paraId="7E40DCEA" w14:textId="77777777" w:rsidR="00480F1C" w:rsidRDefault="00A201F6">
      <w:pPr>
        <w:pStyle w:val="P68B1DB1-Normal019"/>
        <w:spacing w:before="120" w:after="120" w:line="240" w:lineRule="auto"/>
        <w:jc w:val="both"/>
        <w:rPr>
          <w:rFonts w:eastAsia="Times New Roman" w:cs="Times New Roman"/>
          <w:noProof/>
        </w:rPr>
      </w:pPr>
      <w:r>
        <w:rPr>
          <w:noProof/>
        </w:rPr>
        <w:t>F2.1 Verbetering van het wetgevingsproces</w:t>
      </w:r>
    </w:p>
    <w:p w14:paraId="1968066E" w14:textId="5F2AA83C" w:rsidR="00480F1C" w:rsidRDefault="00A201F6">
      <w:pPr>
        <w:pStyle w:val="P68B1DB1-Normal05"/>
        <w:spacing w:before="120" w:after="120" w:line="240" w:lineRule="auto"/>
        <w:jc w:val="both"/>
        <w:rPr>
          <w:rFonts w:eastAsia="Times New Roman" w:cs="Times New Roman"/>
          <w:noProof/>
        </w:rPr>
      </w:pPr>
      <w:r>
        <w:rPr>
          <w:noProof/>
        </w:rPr>
        <w:t>Het doel van de hervorming is de goedkeuring van een wijziging van het reglement van orde van de Sejm, de Senaat en de ministerraad, waarbij een verplichte effectbeoordeling en openbare raadpleging worden ingevoerd voor wetsontwerpen die door afgevaardigden en senatoren worden voorgesteld. De hervorming beperkt ook het gebruik van versnelde procedures tot duidelijk omschreven en uitzonderlijke gevallen.</w:t>
      </w:r>
    </w:p>
    <w:p w14:paraId="46CB6288" w14:textId="77777777" w:rsidR="00480F1C" w:rsidRDefault="00A201F6">
      <w:pPr>
        <w:pStyle w:val="P68B1DB1-Normal05"/>
        <w:spacing w:before="120" w:after="120" w:line="240" w:lineRule="auto"/>
        <w:jc w:val="both"/>
        <w:rPr>
          <w:rFonts w:eastAsia="Times New Roman" w:cs="Times New Roman"/>
          <w:noProof/>
        </w:rPr>
      </w:pPr>
      <w:r>
        <w:rPr>
          <w:noProof/>
        </w:rPr>
        <w:t>De uitvoering van de hervorming wordt uiterlijk op 30 september 2022 voltooid.</w:t>
      </w:r>
    </w:p>
    <w:p w14:paraId="038FDA92" w14:textId="77777777" w:rsidR="00480F1C" w:rsidRDefault="00480F1C">
      <w:pPr>
        <w:pStyle w:val="Normal0"/>
        <w:spacing w:before="120" w:after="120" w:line="240" w:lineRule="auto"/>
        <w:jc w:val="both"/>
        <w:rPr>
          <w:rFonts w:ascii="Times New Roman" w:eastAsia="Times New Roman" w:hAnsi="Times New Roman" w:cs="Times New Roman"/>
          <w:noProof/>
          <w:color w:val="000000" w:themeColor="text1"/>
          <w:sz w:val="24"/>
        </w:rPr>
      </w:pPr>
    </w:p>
    <w:p w14:paraId="40C0BA60" w14:textId="77777777" w:rsidR="00480F1C" w:rsidRDefault="00A201F6">
      <w:pPr>
        <w:pStyle w:val="P68B1DB1-Normal05"/>
        <w:spacing w:before="120" w:after="120" w:line="240" w:lineRule="auto"/>
        <w:jc w:val="both"/>
        <w:rPr>
          <w:rFonts w:eastAsia="Times New Roman" w:cs="Times New Roman"/>
          <w:b/>
          <w:noProof/>
        </w:rPr>
      </w:pPr>
      <w:r>
        <w:rPr>
          <w:b/>
          <w:noProof/>
          <w:u w:val="single"/>
        </w:rPr>
        <w:t>F3.1 Verbetering van de voorwaarden voor de uitvoering van het herstel- en veerkrachtplan</w:t>
      </w:r>
      <w:r>
        <w:rPr>
          <w:noProof/>
        </w:rPr>
        <w:t xml:space="preserve"> </w:t>
      </w:r>
    </w:p>
    <w:p w14:paraId="3CBADC94" w14:textId="6D0B510A" w:rsidR="00480F1C" w:rsidRDefault="00A201F6">
      <w:pPr>
        <w:pStyle w:val="P68B1DB1-Normal05"/>
        <w:spacing w:before="120" w:after="120" w:line="240" w:lineRule="auto"/>
        <w:jc w:val="both"/>
        <w:rPr>
          <w:rFonts w:eastAsia="Times New Roman" w:cs="Times New Roman"/>
          <w:noProof/>
        </w:rPr>
      </w:pPr>
      <w:r>
        <w:rPr>
          <w:noProof/>
        </w:rPr>
        <w:t>Om ervoor te zorgen dat de sociale partners en belanghebbenden naar behoren worden geraadpleegd bij de uitvoering van het plan voor herstel en veerkracht, omvat de hervorming de inwerkingtreding van een wetgevingshandeling tot oprichting van een monitoringcomité, bestaande uit belanghebbenden en sociale partners die betrokken zijn bij de uitvoering van het plan voor herstel en veerkracht. Het monitoringcomité wordt belast met het toezicht op de doeltreffende uitvoering van het plan voor herstel en veerkracht. In de wetgevingshandeling wordt bepaald dat het bij wet verplicht is het monitoringcomité te raadplegen tijdens de uitvoering van het plan voor herstel en veerkracht. De hervorming omvat ook de vaststelling van de richtsnoeren tot vaststelling van de regels voor de betrokkenheid van belanghebbenden en sociale partners bij de programmering, uitvoering, monitoring en evaluatie van het herstel- en veerkrachtplan.</w:t>
      </w:r>
    </w:p>
    <w:p w14:paraId="2D163FC6" w14:textId="62AD350B" w:rsidR="00480F1C" w:rsidRDefault="00A201F6">
      <w:pPr>
        <w:spacing w:line="240" w:lineRule="auto"/>
        <w:jc w:val="both"/>
        <w:rPr>
          <w:rFonts w:ascii="Times New Roman" w:hAnsi="Times New Roman"/>
          <w:noProof/>
          <w:sz w:val="24"/>
        </w:rPr>
      </w:pPr>
      <w:r>
        <w:rPr>
          <w:rFonts w:ascii="Times New Roman" w:hAnsi="Times New Roman"/>
          <w:noProof/>
          <w:color w:val="000000" w:themeColor="text1"/>
          <w:sz w:val="24"/>
        </w:rPr>
        <w:t xml:space="preserve">De hervorming omvat ook de invoering van een opslagsysteem overeenkomstig artikel 22, lid 2, onder d), van Verordening (EU) 2021/241 om het verzamelen, opslaan en monitoren van gegevens over de mijlpalen en streefdoelen mogelijk te maken, ook op het niveau van de eindontvangers. De gegevens uit dit gegevensopslagsysteem worden ingevoerd in het Arachne-systeem, dat tijdens audits en controles wordt gebruikt om belangenconflicten, fraude, corruptie en dubbele financiering te voorkomen, op te sporen en te corrigeren. </w:t>
      </w:r>
      <w:r>
        <w:rPr>
          <w:rFonts w:ascii="Times New Roman" w:hAnsi="Times New Roman"/>
          <w:noProof/>
          <w:sz w:val="24"/>
        </w:rPr>
        <w:t>Deze mijlpaal wordt bereikt voordat het eerste betalingsverzoek bij de Commissie wordt ingediend</w:t>
      </w:r>
      <w:r>
        <w:rPr>
          <w:noProof/>
        </w:rPr>
        <w:t xml:space="preserve"> </w:t>
      </w:r>
      <w:r>
        <w:rPr>
          <w:rFonts w:ascii="Times New Roman" w:hAnsi="Times New Roman"/>
          <w:noProof/>
          <w:sz w:val="24"/>
        </w:rPr>
        <w:t>en is een voorwaarde voor elke betaling in het kader van artikel 24 van de RRF-verordening</w:t>
      </w:r>
      <w:r>
        <w:rPr>
          <w:noProof/>
        </w:rPr>
        <w:t>.</w:t>
      </w:r>
    </w:p>
    <w:p w14:paraId="321BFE6B" w14:textId="509CF93E" w:rsidR="00480F1C" w:rsidRDefault="00A201F6">
      <w:pPr>
        <w:pStyle w:val="P68B1DB1-Normal24"/>
        <w:spacing w:line="240" w:lineRule="auto"/>
        <w:jc w:val="both"/>
        <w:rPr>
          <w:rFonts w:eastAsia="Times New Roman" w:cs="Times New Roman"/>
          <w:noProof/>
        </w:rPr>
      </w:pPr>
      <w:r>
        <w:rPr>
          <w:noProof/>
        </w:rPr>
        <w:t>Tot slot omvat de hervorming ook de opstelling van een analyse van de werklast ter versterking van de administratieve capaciteit om het plan voor herstel en veerkracht te coördineren en uit te voeren. Op basis van deze analyse neemt de regering een besluit om extra posten toe te wijzen aan de instellingen die het plan voor herstel en veerkracht coördineren en uitvoeren.</w:t>
      </w:r>
    </w:p>
    <w:p w14:paraId="1CBF0687" w14:textId="755C8E85" w:rsidR="00480F1C" w:rsidRDefault="00A201F6">
      <w:pPr>
        <w:pStyle w:val="P68B1DB1-Normal15"/>
        <w:spacing w:after="0" w:line="240" w:lineRule="auto"/>
        <w:rPr>
          <w:rFonts w:eastAsia="Times New Roman" w:cs="Times New Roman"/>
          <w:noProof/>
        </w:rPr>
        <w:sectPr w:rsidR="00480F1C" w:rsidSect="004F49B9">
          <w:headerReference w:type="even" r:id="rId151"/>
          <w:headerReference w:type="default" r:id="rId152"/>
          <w:footerReference w:type="even" r:id="rId153"/>
          <w:footerReference w:type="default" r:id="rId154"/>
          <w:headerReference w:type="first" r:id="rId155"/>
          <w:footerReference w:type="first" r:id="rId156"/>
          <w:pgSz w:w="11907" w:h="16839"/>
          <w:pgMar w:top="1134" w:right="1417" w:bottom="1134" w:left="1417" w:header="709" w:footer="709" w:gutter="0"/>
          <w:cols w:space="720"/>
        </w:sectPr>
      </w:pPr>
      <w:r>
        <w:rPr>
          <w:noProof/>
        </w:rPr>
        <w:t xml:space="preserve">De uitvoering van de hervorming wordt uiterlijk op 30 juni 2024 voltooid. </w:t>
      </w:r>
    </w:p>
    <w:p w14:paraId="029E5672" w14:textId="2DF0CCB8" w:rsidR="00480F1C" w:rsidRDefault="00A201F6">
      <w:pPr>
        <w:spacing w:after="0" w:line="240" w:lineRule="auto"/>
        <w:rPr>
          <w:rFonts w:ascii="Times New Roman" w:eastAsia="Times New Roman" w:hAnsi="Times New Roman" w:cs="Times New Roman"/>
          <w:noProof/>
          <w:color w:val="000000" w:themeColor="text1"/>
          <w:sz w:val="24"/>
        </w:rPr>
      </w:pPr>
      <w:r>
        <w:rPr>
          <w:rFonts w:ascii="Times New Roman" w:hAnsi="Times New Roman"/>
          <w:b/>
          <w:noProof/>
          <w:color w:val="000000"/>
          <w:sz w:val="24"/>
        </w:rPr>
        <w:t xml:space="preserve">F.2. </w:t>
      </w:r>
      <w:r>
        <w:rPr>
          <w:noProof/>
        </w:rPr>
        <w:tab/>
      </w:r>
      <w:r>
        <w:rPr>
          <w:rFonts w:ascii="Times New Roman" w:hAnsi="Times New Roman"/>
          <w:b/>
          <w:noProof/>
          <w:color w:val="000000"/>
          <w:sz w:val="24"/>
        </w:rPr>
        <w:t>Mijlpalen, streefdoelen, indicatoren en tijdschema voor de monitoring en uitvoering voor niet-terugbetaalbare financiële steun</w:t>
      </w:r>
    </w:p>
    <w:p w14:paraId="6858D860" w14:textId="4CCF3291" w:rsidR="00480F1C" w:rsidRDefault="00480F1C">
      <w:pPr>
        <w:spacing w:after="0" w:line="240" w:lineRule="auto"/>
        <w:rPr>
          <w:rFonts w:ascii="Times New Roman" w:eastAsia="Times New Roman" w:hAnsi="Times New Roman" w:cs="Times New Roman"/>
          <w:noProof/>
          <w:color w:val="000000" w:themeColor="text1"/>
          <w:sz w:val="24"/>
        </w:rPr>
      </w:pPr>
    </w:p>
    <w:tbl>
      <w:tblPr>
        <w:tblW w:w="15282"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115" w:type="dxa"/>
          <w:right w:w="115" w:type="dxa"/>
        </w:tblCellMar>
        <w:tblLook w:val="0400" w:firstRow="0" w:lastRow="0" w:firstColumn="0" w:lastColumn="0" w:noHBand="0" w:noVBand="1"/>
      </w:tblPr>
      <w:tblGrid>
        <w:gridCol w:w="814"/>
        <w:gridCol w:w="1394"/>
        <w:gridCol w:w="1065"/>
        <w:gridCol w:w="1530"/>
        <w:gridCol w:w="1664"/>
        <w:gridCol w:w="1032"/>
        <w:gridCol w:w="1088"/>
        <w:gridCol w:w="730"/>
        <w:gridCol w:w="7"/>
        <w:gridCol w:w="974"/>
        <w:gridCol w:w="7"/>
        <w:gridCol w:w="833"/>
        <w:gridCol w:w="7"/>
        <w:gridCol w:w="4130"/>
        <w:gridCol w:w="7"/>
      </w:tblGrid>
      <w:tr w:rsidR="00480F1C" w14:paraId="44973463" w14:textId="77777777">
        <w:trPr>
          <w:trHeight w:val="939"/>
          <w:tblHeader/>
        </w:trPr>
        <w:tc>
          <w:tcPr>
            <w:tcW w:w="846" w:type="dxa"/>
            <w:vMerge w:val="restart"/>
            <w:shd w:val="clear" w:color="auto" w:fill="BDD7EE"/>
            <w:vAlign w:val="center"/>
          </w:tcPr>
          <w:p w14:paraId="672DF965" w14:textId="6B09140D"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Volgende NR.</w:t>
            </w:r>
          </w:p>
        </w:tc>
        <w:tc>
          <w:tcPr>
            <w:tcW w:w="1457" w:type="dxa"/>
            <w:vMerge w:val="restart"/>
            <w:shd w:val="clear" w:color="auto" w:fill="BDD7EE"/>
            <w:vAlign w:val="center"/>
          </w:tcPr>
          <w:p w14:paraId="69C58DDA"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Gerelateerde maatregel (hervorming of investering)</w:t>
            </w:r>
          </w:p>
        </w:tc>
        <w:tc>
          <w:tcPr>
            <w:tcW w:w="1110" w:type="dxa"/>
            <w:vMerge w:val="restart"/>
            <w:shd w:val="clear" w:color="auto" w:fill="BDD7EE"/>
            <w:vAlign w:val="center"/>
          </w:tcPr>
          <w:p w14:paraId="5ADFCF31"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Mijlpaal/Doelstelling</w:t>
            </w:r>
          </w:p>
        </w:tc>
        <w:tc>
          <w:tcPr>
            <w:tcW w:w="1601" w:type="dxa"/>
            <w:vMerge w:val="restart"/>
            <w:shd w:val="clear" w:color="auto" w:fill="BDD7EE"/>
            <w:vAlign w:val="center"/>
          </w:tcPr>
          <w:p w14:paraId="571C7353"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Naam</w:t>
            </w:r>
          </w:p>
        </w:tc>
        <w:tc>
          <w:tcPr>
            <w:tcW w:w="1742" w:type="dxa"/>
            <w:vMerge w:val="restart"/>
            <w:shd w:val="clear" w:color="auto" w:fill="BDD7EE"/>
            <w:vAlign w:val="center"/>
          </w:tcPr>
          <w:p w14:paraId="79811FE6"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sz w:val="18"/>
              </w:rPr>
              <w:t>Kwalitatieve indicatoren</w:t>
            </w:r>
            <w:r>
              <w:rPr>
                <w:noProof/>
              </w:rPr>
              <w:t xml:space="preserve"> </w:t>
            </w:r>
            <w:r>
              <w:rPr>
                <w:noProof/>
              </w:rPr>
              <w:br/>
            </w:r>
            <w:r>
              <w:rPr>
                <w:rFonts w:ascii="Times New Roman" w:hAnsi="Times New Roman"/>
                <w:b/>
                <w:noProof/>
                <w:color w:val="000000"/>
                <w:sz w:val="18"/>
              </w:rPr>
              <w:t>(voor mijlpalen)</w:t>
            </w:r>
          </w:p>
        </w:tc>
        <w:tc>
          <w:tcPr>
            <w:tcW w:w="2457" w:type="dxa"/>
            <w:gridSpan w:val="4"/>
            <w:shd w:val="clear" w:color="auto" w:fill="BDD7EE"/>
            <w:vAlign w:val="center"/>
          </w:tcPr>
          <w:p w14:paraId="69B1B835" w14:textId="77777777" w:rsidR="00480F1C" w:rsidRDefault="00A201F6">
            <w:pPr>
              <w:pStyle w:val="Normal0"/>
              <w:pBdr>
                <w:top w:val="nil"/>
                <w:left w:val="nil"/>
                <w:bottom w:val="nil"/>
                <w:right w:val="nil"/>
                <w:between w:val="nil"/>
              </w:pBdr>
              <w:spacing w:after="0" w:line="240" w:lineRule="auto"/>
              <w:jc w:val="center"/>
              <w:rPr>
                <w:rFonts w:ascii="Times New Roman" w:eastAsia="Times New Roman" w:hAnsi="Times New Roman" w:cs="Times New Roman"/>
                <w:b/>
                <w:noProof/>
                <w:color w:val="000000"/>
                <w:sz w:val="18"/>
              </w:rPr>
            </w:pPr>
            <w:r>
              <w:rPr>
                <w:rFonts w:ascii="Times New Roman" w:hAnsi="Times New Roman"/>
                <w:b/>
                <w:noProof/>
                <w:color w:val="000000"/>
                <w:sz w:val="18"/>
              </w:rPr>
              <w:t>Kwantitatieve indicatoren</w:t>
            </w:r>
            <w:r>
              <w:rPr>
                <w:noProof/>
              </w:rPr>
              <w:t xml:space="preserve"> </w:t>
            </w:r>
            <w:r>
              <w:rPr>
                <w:noProof/>
              </w:rPr>
              <w:br/>
            </w:r>
            <w:r>
              <w:rPr>
                <w:rFonts w:ascii="Times New Roman" w:hAnsi="Times New Roman"/>
                <w:b/>
                <w:noProof/>
                <w:color w:val="000000"/>
                <w:sz w:val="18"/>
              </w:rPr>
              <w:t>(voor streefcijfers)</w:t>
            </w:r>
          </w:p>
        </w:tc>
        <w:tc>
          <w:tcPr>
            <w:tcW w:w="1718" w:type="dxa"/>
            <w:gridSpan w:val="4"/>
            <w:shd w:val="clear" w:color="auto" w:fill="BDD7EE"/>
            <w:vAlign w:val="center"/>
          </w:tcPr>
          <w:p w14:paraId="61F4BA9E"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Indicatieve termijn voor voltooiing </w:t>
            </w:r>
          </w:p>
        </w:tc>
        <w:tc>
          <w:tcPr>
            <w:tcW w:w="4351" w:type="dxa"/>
            <w:gridSpan w:val="2"/>
            <w:vMerge w:val="restart"/>
            <w:shd w:val="clear" w:color="auto" w:fill="BDD7EE"/>
            <w:vAlign w:val="center"/>
          </w:tcPr>
          <w:p w14:paraId="04A838C9"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Beschrijving van elke mijlpaal en doelstelling</w:t>
            </w:r>
          </w:p>
        </w:tc>
      </w:tr>
      <w:tr w:rsidR="00480F1C" w14:paraId="357BDEDC" w14:textId="77777777">
        <w:trPr>
          <w:trHeight w:val="662"/>
        </w:trPr>
        <w:tc>
          <w:tcPr>
            <w:tcW w:w="846" w:type="dxa"/>
            <w:vMerge/>
            <w:vAlign w:val="center"/>
          </w:tcPr>
          <w:p w14:paraId="77C18ABC"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457" w:type="dxa"/>
            <w:vMerge/>
            <w:vAlign w:val="center"/>
          </w:tcPr>
          <w:p w14:paraId="56F44728"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110" w:type="dxa"/>
            <w:vMerge/>
            <w:vAlign w:val="center"/>
          </w:tcPr>
          <w:p w14:paraId="745AA2EB"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601" w:type="dxa"/>
            <w:vMerge/>
            <w:vAlign w:val="center"/>
          </w:tcPr>
          <w:p w14:paraId="542905F5"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742" w:type="dxa"/>
            <w:vMerge/>
            <w:vAlign w:val="center"/>
          </w:tcPr>
          <w:p w14:paraId="44D67A1F"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c>
          <w:tcPr>
            <w:tcW w:w="1075" w:type="dxa"/>
            <w:shd w:val="clear" w:color="auto" w:fill="BDD7EE"/>
            <w:vAlign w:val="center"/>
          </w:tcPr>
          <w:p w14:paraId="7317C33C"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Eenheid</w:t>
            </w:r>
          </w:p>
        </w:tc>
        <w:tc>
          <w:tcPr>
            <w:tcW w:w="1134" w:type="dxa"/>
            <w:shd w:val="clear" w:color="auto" w:fill="BDD7EE"/>
            <w:vAlign w:val="center"/>
          </w:tcPr>
          <w:p w14:paraId="71A9DC0A"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 xml:space="preserve">Basislijn </w:t>
            </w:r>
          </w:p>
        </w:tc>
        <w:tc>
          <w:tcPr>
            <w:tcW w:w="763" w:type="dxa"/>
            <w:gridSpan w:val="2"/>
            <w:shd w:val="clear" w:color="auto" w:fill="BDD7EE"/>
            <w:vAlign w:val="center"/>
          </w:tcPr>
          <w:p w14:paraId="1C6B6698"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Doelstelling</w:t>
            </w:r>
          </w:p>
        </w:tc>
        <w:tc>
          <w:tcPr>
            <w:tcW w:w="1021" w:type="dxa"/>
            <w:gridSpan w:val="2"/>
            <w:shd w:val="clear" w:color="auto" w:fill="BDD7EE"/>
            <w:vAlign w:val="center"/>
          </w:tcPr>
          <w:p w14:paraId="5F4B8B8A"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Kwartaal</w:t>
            </w:r>
          </w:p>
        </w:tc>
        <w:tc>
          <w:tcPr>
            <w:tcW w:w="872" w:type="dxa"/>
            <w:gridSpan w:val="2"/>
            <w:shd w:val="clear" w:color="auto" w:fill="BDD7EE"/>
            <w:vAlign w:val="center"/>
          </w:tcPr>
          <w:p w14:paraId="7035216B" w14:textId="77777777" w:rsidR="00480F1C" w:rsidRDefault="00A201F6">
            <w:pPr>
              <w:pStyle w:val="P68B1DB1-Normal09"/>
              <w:pBdr>
                <w:top w:val="nil"/>
                <w:left w:val="nil"/>
                <w:bottom w:val="nil"/>
                <w:right w:val="nil"/>
                <w:between w:val="nil"/>
              </w:pBdr>
              <w:spacing w:after="0" w:line="240" w:lineRule="auto"/>
              <w:jc w:val="center"/>
              <w:rPr>
                <w:rFonts w:eastAsia="Times New Roman" w:cs="Times New Roman"/>
                <w:noProof/>
              </w:rPr>
            </w:pPr>
            <w:r>
              <w:rPr>
                <w:noProof/>
              </w:rPr>
              <w:t>Jaar</w:t>
            </w:r>
          </w:p>
        </w:tc>
        <w:tc>
          <w:tcPr>
            <w:tcW w:w="4351" w:type="dxa"/>
            <w:gridSpan w:val="2"/>
            <w:vMerge/>
            <w:vAlign w:val="center"/>
          </w:tcPr>
          <w:p w14:paraId="4150027A" w14:textId="77777777" w:rsidR="00480F1C" w:rsidRDefault="00480F1C">
            <w:pPr>
              <w:pStyle w:val="Normal0"/>
              <w:widowControl w:val="0"/>
              <w:pBdr>
                <w:top w:val="nil"/>
                <w:left w:val="nil"/>
                <w:bottom w:val="nil"/>
                <w:right w:val="nil"/>
                <w:between w:val="nil"/>
              </w:pBdr>
              <w:spacing w:after="0"/>
              <w:rPr>
                <w:rFonts w:ascii="Times New Roman" w:eastAsia="Times New Roman" w:hAnsi="Times New Roman" w:cs="Times New Roman"/>
                <w:b/>
                <w:noProof/>
                <w:color w:val="000000"/>
                <w:sz w:val="18"/>
              </w:rPr>
            </w:pPr>
          </w:p>
        </w:tc>
      </w:tr>
      <w:tr w:rsidR="00480F1C" w14:paraId="0063B31B" w14:textId="77777777">
        <w:trPr>
          <w:trHeight w:val="313"/>
        </w:trPr>
        <w:tc>
          <w:tcPr>
            <w:tcW w:w="846" w:type="dxa"/>
            <w:shd w:val="clear" w:color="auto" w:fill="C6EFCE"/>
          </w:tcPr>
          <w:p w14:paraId="6C215DE9"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F1G</w:t>
            </w:r>
          </w:p>
        </w:tc>
        <w:tc>
          <w:tcPr>
            <w:tcW w:w="1457" w:type="dxa"/>
            <w:shd w:val="clear" w:color="auto" w:fill="C6EFCE"/>
          </w:tcPr>
          <w:p w14:paraId="04AAAFAD" w14:textId="77777777" w:rsidR="00480F1C" w:rsidRDefault="00A201F6">
            <w:pPr>
              <w:pStyle w:val="P68B1DB1-Normal010"/>
              <w:spacing w:line="240" w:lineRule="auto"/>
              <w:rPr>
                <w:rFonts w:cs="Times New Roman"/>
                <w:noProof/>
              </w:rPr>
            </w:pPr>
            <w:r>
              <w:rPr>
                <w:noProof/>
              </w:rPr>
              <w:t>F1.1 Hervorming ter versterking van de onafhankelijkheid en onpartijdigheid van rechtbanken</w:t>
            </w:r>
          </w:p>
          <w:p w14:paraId="571C9221" w14:textId="0CCF382C" w:rsidR="00480F1C" w:rsidRDefault="00480F1C">
            <w:pPr>
              <w:pStyle w:val="Normal0"/>
              <w:spacing w:line="240" w:lineRule="auto"/>
              <w:rPr>
                <w:rFonts w:ascii="Times New Roman" w:hAnsi="Times New Roman" w:cs="Times New Roman"/>
                <w:noProof/>
                <w:sz w:val="18"/>
              </w:rPr>
            </w:pPr>
          </w:p>
          <w:p w14:paraId="7E1ED7C6"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p>
        </w:tc>
        <w:tc>
          <w:tcPr>
            <w:tcW w:w="1110" w:type="dxa"/>
            <w:shd w:val="clear" w:color="auto" w:fill="C6EFCE"/>
          </w:tcPr>
          <w:p w14:paraId="0048B454"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601" w:type="dxa"/>
            <w:shd w:val="clear" w:color="auto" w:fill="C6EFCE"/>
          </w:tcPr>
          <w:p w14:paraId="003AB57D" w14:textId="390D8ADD" w:rsidR="00480F1C" w:rsidRDefault="00A201F6">
            <w:pPr>
              <w:pStyle w:val="P68B1DB1-Normal010"/>
              <w:spacing w:line="240" w:lineRule="auto"/>
              <w:rPr>
                <w:rFonts w:cs="Times New Roman"/>
                <w:noProof/>
              </w:rPr>
            </w:pPr>
            <w:r>
              <w:rPr>
                <w:noProof/>
              </w:rPr>
              <w:t>Inwerkingtreding van een hervorming ter versterking van de onafhankelijkheid en onpartijdigheid van de rechtbanken</w:t>
            </w:r>
          </w:p>
          <w:p w14:paraId="67512E03"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p>
        </w:tc>
        <w:tc>
          <w:tcPr>
            <w:tcW w:w="1742" w:type="dxa"/>
            <w:shd w:val="clear" w:color="auto" w:fill="C6EFCE"/>
          </w:tcPr>
          <w:p w14:paraId="0F74C2D5" w14:textId="57950944" w:rsidR="00480F1C" w:rsidRDefault="00A201F6">
            <w:pPr>
              <w:pStyle w:val="P68B1DB1-Normal010"/>
              <w:spacing w:after="0" w:line="240" w:lineRule="auto"/>
              <w:rPr>
                <w:rFonts w:cs="Times New Roman"/>
                <w:noProof/>
              </w:rPr>
            </w:pPr>
            <w:r>
              <w:rPr>
                <w:noProof/>
              </w:rPr>
              <w:t>Bepaling in de rechtshandeling die de inwerkingtreding aangeeft</w:t>
            </w:r>
          </w:p>
          <w:p w14:paraId="305F1ABF" w14:textId="7834B96F"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p>
        </w:tc>
        <w:tc>
          <w:tcPr>
            <w:tcW w:w="1075" w:type="dxa"/>
            <w:shd w:val="clear" w:color="auto" w:fill="C6EFCE"/>
          </w:tcPr>
          <w:p w14:paraId="4B91D44C"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p>
        </w:tc>
        <w:tc>
          <w:tcPr>
            <w:tcW w:w="1134" w:type="dxa"/>
            <w:shd w:val="clear" w:color="auto" w:fill="C6EFCE"/>
          </w:tcPr>
          <w:p w14:paraId="348A4951"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6100"/>
                <w:sz w:val="18"/>
              </w:rPr>
            </w:pPr>
          </w:p>
        </w:tc>
        <w:tc>
          <w:tcPr>
            <w:tcW w:w="763" w:type="dxa"/>
            <w:gridSpan w:val="2"/>
            <w:shd w:val="clear" w:color="auto" w:fill="C6EFCE"/>
          </w:tcPr>
          <w:p w14:paraId="382B7CDF"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6100"/>
                <w:sz w:val="18"/>
              </w:rPr>
            </w:pPr>
          </w:p>
        </w:tc>
        <w:tc>
          <w:tcPr>
            <w:tcW w:w="1021" w:type="dxa"/>
            <w:gridSpan w:val="2"/>
            <w:shd w:val="clear" w:color="auto" w:fill="C6EFCE"/>
          </w:tcPr>
          <w:p w14:paraId="776245AF"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72" w:type="dxa"/>
            <w:gridSpan w:val="2"/>
            <w:shd w:val="clear" w:color="auto" w:fill="C6EFCE"/>
          </w:tcPr>
          <w:p w14:paraId="10184024"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4351" w:type="dxa"/>
            <w:gridSpan w:val="2"/>
            <w:shd w:val="clear" w:color="auto" w:fill="C6EFCE"/>
          </w:tcPr>
          <w:p w14:paraId="0D615868" w14:textId="77777777" w:rsidR="00480F1C" w:rsidRDefault="00A201F6">
            <w:pPr>
              <w:pStyle w:val="P68B1DB1-Normal25"/>
              <w:spacing w:line="240" w:lineRule="auto"/>
              <w:rPr>
                <w:rFonts w:cs="Times New Roman"/>
                <w:noProof/>
              </w:rPr>
            </w:pPr>
            <w:r>
              <w:rPr>
                <w:noProof/>
              </w:rPr>
              <w:t>Inwerkingtreding van een hervorming die:</w:t>
            </w:r>
          </w:p>
          <w:p w14:paraId="6A895184" w14:textId="77777777" w:rsidR="00480F1C" w:rsidRDefault="00A201F6">
            <w:pPr>
              <w:pStyle w:val="P68B1DB1-Normal25"/>
              <w:numPr>
                <w:ilvl w:val="0"/>
                <w:numId w:val="22"/>
              </w:numPr>
              <w:spacing w:line="240" w:lineRule="auto"/>
              <w:ind w:left="367" w:hanging="353"/>
              <w:rPr>
                <w:rFonts w:cs="Times New Roman"/>
                <w:noProof/>
              </w:rPr>
            </w:pPr>
            <w:r>
              <w:rPr>
                <w:noProof/>
              </w:rPr>
              <w:t xml:space="preserve">in alle zaken die betrekking hebben op de rechters, met inbegrip van de tuchtrechtelijke en de opheffing van de immuniteit van de rechter, de omvang van de bevoegdheid van de kamer van de Sąd Najwyższy bepalen, met uitzondering van de bestaande tuchtkamer, die voldoet aan de vereisten van artikel 19, lid 1, VEU. Op die manier wordt gewaarborgd dat bovengenoemde zaken worden onderzocht door een onafhankelijke en onpartijdige rechtbank die bij wet is ingesteld, terwijl de discretionaire bevoegdheid om het tuchtgerecht aan te wijzen dat in eerste aanleg bevoegd is in zaken betreffende rechters van gewone rechtbanken, wordt afgebakend; </w:t>
            </w:r>
          </w:p>
          <w:p w14:paraId="31091696" w14:textId="77777777" w:rsidR="00480F1C" w:rsidRDefault="00A201F6">
            <w:pPr>
              <w:pStyle w:val="P68B1DB1-Normal25"/>
              <w:numPr>
                <w:ilvl w:val="0"/>
                <w:numId w:val="22"/>
              </w:numPr>
              <w:spacing w:line="240" w:lineRule="auto"/>
              <w:ind w:left="367" w:hanging="353"/>
              <w:rPr>
                <w:rFonts w:cs="Times New Roman"/>
                <w:noProof/>
              </w:rPr>
            </w:pPr>
            <w:r>
              <w:rPr>
                <w:noProof/>
              </w:rPr>
              <w:t>de reikwijdte van de tuchtrechtelijke aansprakelijkheid van rechters verduidelijken door ervoor te zorgen dat het recht van Poolse rechtbanken om verzoeken om een prejudiciële beslissing bij het HvJ-EU in te dienen, niet wordt beperkt. Een dergelijk verzoek is geen reden om een tuchtprocedure tegen een rechter in te leiden,</w:t>
            </w:r>
          </w:p>
          <w:p w14:paraId="44B445F8" w14:textId="77777777" w:rsidR="00480F1C" w:rsidRDefault="00A201F6">
            <w:pPr>
              <w:pStyle w:val="P68B1DB1-Normal25"/>
              <w:numPr>
                <w:ilvl w:val="0"/>
                <w:numId w:val="22"/>
              </w:numPr>
              <w:spacing w:line="240" w:lineRule="auto"/>
              <w:ind w:left="367" w:hanging="353"/>
              <w:rPr>
                <w:rFonts w:cs="Times New Roman"/>
                <w:noProof/>
              </w:rPr>
            </w:pPr>
            <w:r>
              <w:rPr>
                <w:noProof/>
              </w:rPr>
              <w:t>hoewel de rechters nog steeds aansprakelijk kunnen worden gesteld voor beroepsfouten, waaronder kennelijke en grove schendingen van de wet, vaststellen dat de inhoud van rechterlijke beslissingen niet als tuchtrechtelijk vergrijp wordt aangemerkt;</w:t>
            </w:r>
          </w:p>
          <w:p w14:paraId="52ED0DE4" w14:textId="77777777" w:rsidR="00480F1C" w:rsidRDefault="00A201F6">
            <w:pPr>
              <w:pStyle w:val="P68B1DB1-Normal25"/>
              <w:numPr>
                <w:ilvl w:val="0"/>
                <w:numId w:val="22"/>
              </w:numPr>
              <w:spacing w:line="240" w:lineRule="auto"/>
              <w:ind w:left="367" w:hanging="353"/>
              <w:rPr>
                <w:rFonts w:cs="Times New Roman"/>
                <w:noProof/>
              </w:rPr>
            </w:pPr>
            <w:r>
              <w:rPr>
                <w:noProof/>
              </w:rPr>
              <w:t xml:space="preserve">ervoor te zorgen dat in het kader van de gerechtelijke procedure kan worden nagegaan of een rechter voldoet aan de vereisten van onafhankelijkheid, onpartijdigheid en „bij wet ingesteld”, overeenkomstig artikel 19 VEU, voor een bevoegde rechterlijke instantie wanneer op dat punt ernstige twijfel rijst en dat die verificatie niet als tuchtrechtelijk vergrijp wordt aangemerkt; </w:t>
            </w:r>
          </w:p>
          <w:p w14:paraId="6B3AB2A6" w14:textId="77777777" w:rsidR="00480F1C" w:rsidRDefault="00A201F6">
            <w:pPr>
              <w:pStyle w:val="P68B1DB1-Normal25"/>
              <w:numPr>
                <w:ilvl w:val="0"/>
                <w:numId w:val="22"/>
              </w:numPr>
              <w:spacing w:line="240" w:lineRule="auto"/>
              <w:ind w:left="367" w:hanging="353"/>
              <w:rPr>
                <w:rFonts w:cs="Times New Roman"/>
                <w:noProof/>
              </w:rPr>
            </w:pPr>
            <w:r>
              <w:rPr>
                <w:noProof/>
              </w:rPr>
              <w:t xml:space="preserve">versterking van de procedurele waarborgen en bevoegdheden van partijen in tuchtprocedures tegen rechters, door middel van  </w:t>
            </w:r>
          </w:p>
          <w:p w14:paraId="239F63FE" w14:textId="28E69876" w:rsidR="00480F1C" w:rsidRDefault="00A201F6">
            <w:pPr>
              <w:pStyle w:val="P68B1DB1-ListParagraph34"/>
              <w:numPr>
                <w:ilvl w:val="0"/>
                <w:numId w:val="25"/>
              </w:numPr>
              <w:spacing w:line="240" w:lineRule="auto"/>
              <w:rPr>
                <w:rFonts w:cs="Times New Roman"/>
                <w:noProof/>
              </w:rPr>
            </w:pPr>
            <w:r>
              <w:rPr>
                <w:noProof/>
              </w:rPr>
              <w:t>ervoor te zorgen dat tuchtzaken tegen rechters van de gewone rechtbanken binnen een redelijke termijn worden behandeld;</w:t>
            </w:r>
          </w:p>
          <w:p w14:paraId="32AAA8F8" w14:textId="77777777" w:rsidR="00480F1C" w:rsidRDefault="00480F1C">
            <w:pPr>
              <w:pStyle w:val="ListParagraph"/>
              <w:spacing w:line="240" w:lineRule="auto"/>
              <w:rPr>
                <w:rFonts w:ascii="Times New Roman" w:hAnsi="Times New Roman" w:cs="Times New Roman"/>
                <w:noProof/>
                <w:sz w:val="18"/>
              </w:rPr>
            </w:pPr>
          </w:p>
          <w:p w14:paraId="6B97E0F8" w14:textId="19E8A8B4" w:rsidR="00480F1C" w:rsidRDefault="00A201F6">
            <w:pPr>
              <w:pStyle w:val="P68B1DB1-ListParagraph34"/>
              <w:numPr>
                <w:ilvl w:val="0"/>
                <w:numId w:val="25"/>
              </w:numPr>
              <w:spacing w:line="240" w:lineRule="auto"/>
              <w:rPr>
                <w:rFonts w:cs="Times New Roman"/>
                <w:noProof/>
              </w:rPr>
            </w:pPr>
            <w:r>
              <w:rPr>
                <w:noProof/>
              </w:rPr>
              <w:t>preciezere regels inzake de territoriale bevoegdheid van de rechterlijke instanties die de tuchtzaken behandelen, om ervoor te zorgen dat de bevoegde rechter rechtstreeks kan worden bepaald overeenkomstig de wetgevingshandeling; en het</w:t>
            </w:r>
          </w:p>
          <w:p w14:paraId="1DB11DF7" w14:textId="77777777" w:rsidR="00480F1C" w:rsidRDefault="00480F1C">
            <w:pPr>
              <w:pStyle w:val="ListParagraph"/>
              <w:spacing w:line="240" w:lineRule="auto"/>
              <w:rPr>
                <w:rFonts w:ascii="Times New Roman" w:hAnsi="Times New Roman" w:cs="Times New Roman"/>
                <w:noProof/>
                <w:sz w:val="18"/>
              </w:rPr>
            </w:pPr>
          </w:p>
          <w:p w14:paraId="45A25A01" w14:textId="0D9CCDF9" w:rsidR="00480F1C" w:rsidRDefault="00A201F6">
            <w:pPr>
              <w:pStyle w:val="P68B1DB1-ListParagraph34"/>
              <w:numPr>
                <w:ilvl w:val="0"/>
                <w:numId w:val="25"/>
              </w:numPr>
              <w:spacing w:line="240" w:lineRule="auto"/>
              <w:rPr>
                <w:rFonts w:eastAsia="Times New Roman" w:cs="Times New Roman"/>
                <w:noProof/>
                <w:color w:val="006100"/>
              </w:rPr>
            </w:pPr>
            <w:r>
              <w:rPr>
                <w:noProof/>
              </w:rPr>
              <w:t>ervoor zorgen dat de benoeming van een raadsman in een tuchtprocedure tegen een rechter binnen een redelijke termijn plaatsvindt, en dat de raadsman voldoende tijd krijgt om zich inhoudelijk voor te bereiden om zijn taken in de gegeven procedure uit te voeren. Tegelijkertijd schorst de rechtbank de procedure in geval van een naar behoren gemotiveerde afwezigheid van de beklaagde rechter of zijn raadsman.</w:t>
            </w:r>
          </w:p>
        </w:tc>
      </w:tr>
      <w:tr w:rsidR="00480F1C" w14:paraId="3EE52F44" w14:textId="77777777">
        <w:trPr>
          <w:trHeight w:val="313"/>
        </w:trPr>
        <w:tc>
          <w:tcPr>
            <w:tcW w:w="846" w:type="dxa"/>
            <w:shd w:val="clear" w:color="auto" w:fill="C6EFCE"/>
          </w:tcPr>
          <w:p w14:paraId="0BDAC504"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F2G</w:t>
            </w:r>
          </w:p>
        </w:tc>
        <w:tc>
          <w:tcPr>
            <w:tcW w:w="1457" w:type="dxa"/>
            <w:shd w:val="clear" w:color="auto" w:fill="C6EFCE"/>
          </w:tcPr>
          <w:p w14:paraId="62C4D264" w14:textId="5C6E2FE1" w:rsidR="00480F1C" w:rsidRDefault="00A201F6">
            <w:pPr>
              <w:pStyle w:val="P68B1DB1-Normal010"/>
              <w:spacing w:after="0" w:line="240" w:lineRule="auto"/>
              <w:rPr>
                <w:rFonts w:cs="Times New Roman"/>
                <w:noProof/>
              </w:rPr>
            </w:pPr>
            <w:r>
              <w:rPr>
                <w:noProof/>
              </w:rPr>
              <w:t>F1.2 Hervorming om de situatie te verhelpen van rechters die worden geraakt door de beslissingen van de tuchtkamer van het hooggerechtshof in tuchtzaken en zaken inzake rechterlijke immuniteit</w:t>
            </w:r>
          </w:p>
          <w:p w14:paraId="33C8276D"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p>
        </w:tc>
        <w:tc>
          <w:tcPr>
            <w:tcW w:w="1110" w:type="dxa"/>
            <w:shd w:val="clear" w:color="auto" w:fill="C6EFCE"/>
          </w:tcPr>
          <w:p w14:paraId="209D5ABD"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601" w:type="dxa"/>
            <w:shd w:val="clear" w:color="auto" w:fill="C6EFCE"/>
          </w:tcPr>
          <w:p w14:paraId="4FAECBD7" w14:textId="0B914C66" w:rsidR="00480F1C" w:rsidRDefault="00A201F6">
            <w:pPr>
              <w:pStyle w:val="P68B1DB1-Normal010"/>
              <w:pBdr>
                <w:top w:val="nil"/>
                <w:left w:val="nil"/>
                <w:bottom w:val="nil"/>
                <w:right w:val="nil"/>
                <w:between w:val="nil"/>
              </w:pBdr>
              <w:spacing w:after="0" w:line="240" w:lineRule="auto"/>
              <w:rPr>
                <w:rFonts w:eastAsia="Times New Roman" w:cs="Times New Roman"/>
                <w:noProof/>
                <w:color w:val="006100"/>
              </w:rPr>
            </w:pPr>
            <w:r>
              <w:rPr>
                <w:noProof/>
              </w:rPr>
              <w:t xml:space="preserve">Inwerkingtreding van een hervorming om de situatie te verhelpen van rechters die worden getroffen door de beslissingen van de tuchtkamer van het hooggerechtshof in tuchtzaken en zaken inzake rechterlijke immuniteit </w:t>
            </w:r>
          </w:p>
        </w:tc>
        <w:tc>
          <w:tcPr>
            <w:tcW w:w="1742" w:type="dxa"/>
            <w:shd w:val="clear" w:color="auto" w:fill="C6EFCE"/>
          </w:tcPr>
          <w:p w14:paraId="321BA7E7" w14:textId="33CBEFF3" w:rsidR="00480F1C" w:rsidRDefault="00A201F6">
            <w:pPr>
              <w:pStyle w:val="P68B1DB1-Normal010"/>
              <w:spacing w:after="0" w:line="240" w:lineRule="auto"/>
              <w:rPr>
                <w:rFonts w:cs="Times New Roman"/>
                <w:noProof/>
              </w:rPr>
            </w:pPr>
            <w:r>
              <w:rPr>
                <w:noProof/>
              </w:rPr>
              <w:t>Bepaling in de rechtshandeling die de inwerkingtreding aangeeft</w:t>
            </w:r>
          </w:p>
          <w:p w14:paraId="7FCEE65F" w14:textId="3DE73114"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p>
        </w:tc>
        <w:tc>
          <w:tcPr>
            <w:tcW w:w="1075" w:type="dxa"/>
            <w:shd w:val="clear" w:color="auto" w:fill="C6EFCE"/>
          </w:tcPr>
          <w:p w14:paraId="3F68C099"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p>
        </w:tc>
        <w:tc>
          <w:tcPr>
            <w:tcW w:w="1134" w:type="dxa"/>
            <w:shd w:val="clear" w:color="auto" w:fill="C6EFCE"/>
          </w:tcPr>
          <w:p w14:paraId="30B1919D"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6100"/>
                <w:sz w:val="18"/>
              </w:rPr>
            </w:pPr>
          </w:p>
        </w:tc>
        <w:tc>
          <w:tcPr>
            <w:tcW w:w="763" w:type="dxa"/>
            <w:gridSpan w:val="2"/>
            <w:shd w:val="clear" w:color="auto" w:fill="C6EFCE"/>
          </w:tcPr>
          <w:p w14:paraId="272BFA52"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6100"/>
                <w:sz w:val="18"/>
              </w:rPr>
            </w:pPr>
          </w:p>
        </w:tc>
        <w:tc>
          <w:tcPr>
            <w:tcW w:w="1021" w:type="dxa"/>
            <w:gridSpan w:val="2"/>
            <w:shd w:val="clear" w:color="auto" w:fill="C6EFCE"/>
          </w:tcPr>
          <w:p w14:paraId="5D2EDDCD"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themeColor="text1"/>
              </w:rPr>
            </w:pPr>
            <w:r>
              <w:rPr>
                <w:noProof/>
              </w:rPr>
              <w:t>KWARTAAL 2</w:t>
            </w:r>
          </w:p>
        </w:tc>
        <w:tc>
          <w:tcPr>
            <w:tcW w:w="872" w:type="dxa"/>
            <w:gridSpan w:val="2"/>
            <w:shd w:val="clear" w:color="auto" w:fill="C6EFCE"/>
          </w:tcPr>
          <w:p w14:paraId="69FFDC49"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4351" w:type="dxa"/>
            <w:gridSpan w:val="2"/>
            <w:shd w:val="clear" w:color="auto" w:fill="C6EFCE"/>
          </w:tcPr>
          <w:p w14:paraId="17B2BC0E"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color w:val="006100"/>
              </w:rPr>
            </w:pPr>
            <w:r>
              <w:rPr>
                <w:noProof/>
              </w:rPr>
              <w:t>Inwerkingtreding van een hervorming die ervoor zorgt dat rechters die gevolgen ondervinden van beslissingen van de tuchtkamer van het hooggerechtshof toegang hebben tot beroepsprocedures in hun zaken. Dergelijke zaken die reeds door de tuchtkamer zijn beslecht, worden getoetst door een rechterlijke instantie die voldoet aan de vereisten van artikel 19, lid 1, VEU, overeenkomstig de regels die op basis van de bovengenoemde mijlpaal F1G moeten worden vastgesteld. In de wetgevingshandeling wordt bepaald dat de eerste zitting van de rechterlijke instantie die deze zaken behandelt, plaatsvindt binnen drie maanden na ontvangst van het verzoek van de rechter om heroverweging, en dat de zaken binnen twaalf maanden na ontvangst ervan worden beslecht. De zaken die momenteel nog bij de tuchtkamer aanhangig zijn, worden voor verdere behandeling naar de rechter verwezen volgens de in het kader van bovengenoemde procedure vastgestelde regels.</w:t>
            </w:r>
          </w:p>
        </w:tc>
      </w:tr>
      <w:tr w:rsidR="00480F1C" w14:paraId="0997543D" w14:textId="77777777">
        <w:trPr>
          <w:trHeight w:val="313"/>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95316CC" w14:textId="77777777"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F3G</w:t>
            </w:r>
          </w:p>
        </w:tc>
        <w:tc>
          <w:tcPr>
            <w:tcW w:w="14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1DA23D9" w14:textId="3173D6AF" w:rsidR="00480F1C" w:rsidRDefault="00A201F6">
            <w:pPr>
              <w:pStyle w:val="P68B1DB1-Normal010"/>
              <w:pBdr>
                <w:top w:val="nil"/>
                <w:left w:val="nil"/>
                <w:bottom w:val="nil"/>
                <w:right w:val="nil"/>
                <w:between w:val="nil"/>
              </w:pBdr>
              <w:spacing w:after="0" w:line="240" w:lineRule="auto"/>
              <w:rPr>
                <w:rFonts w:eastAsia="Times New Roman" w:cs="Times New Roman"/>
                <w:noProof/>
                <w:color w:val="000000"/>
              </w:rPr>
            </w:pPr>
            <w:r>
              <w:rPr>
                <w:noProof/>
              </w:rPr>
              <w:t>F1.2 Hervorming om de situatie te verhelpen van rechters die worden geraakt door de beslissingen van de tuchtkamer van het hooggerechtshof in tuchtzaken en zaken inzake rechterlijke immuniteit</w:t>
            </w:r>
          </w:p>
        </w:tc>
        <w:tc>
          <w:tcPr>
            <w:tcW w:w="11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89E3511"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color w:val="000000"/>
              </w:rPr>
            </w:pPr>
            <w:r>
              <w:rPr>
                <w:noProof/>
              </w:rPr>
              <w:t>Mijlpaal</w:t>
            </w:r>
          </w:p>
        </w:tc>
        <w:tc>
          <w:tcPr>
            <w:tcW w:w="16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866A31E" w14:textId="008C3FCC" w:rsidR="00480F1C" w:rsidRDefault="00A201F6">
            <w:pPr>
              <w:pStyle w:val="P68B1DB1-Normal010"/>
              <w:pBdr>
                <w:top w:val="nil"/>
                <w:left w:val="nil"/>
                <w:bottom w:val="nil"/>
                <w:right w:val="nil"/>
                <w:between w:val="nil"/>
              </w:pBdr>
              <w:spacing w:after="0" w:line="240" w:lineRule="auto"/>
              <w:rPr>
                <w:rFonts w:eastAsia="Times New Roman" w:cs="Times New Roman"/>
                <w:noProof/>
                <w:color w:val="000000"/>
              </w:rPr>
            </w:pPr>
            <w:r>
              <w:rPr>
                <w:noProof/>
              </w:rPr>
              <w:t xml:space="preserve">Hervorming om de situatie te verhelpen van rechters die worden getroffen door de beslissingen van de tuchtkamer van het hooggerechtshof in tuchtzaken en zaken inzake rechterlijke immuniteit </w:t>
            </w:r>
          </w:p>
        </w:tc>
        <w:tc>
          <w:tcPr>
            <w:tcW w:w="17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48C9CDA"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color w:val="000000"/>
              </w:rPr>
            </w:pPr>
            <w:r>
              <w:rPr>
                <w:noProof/>
              </w:rPr>
              <w:t>Afgehandelde zaken</w:t>
            </w:r>
          </w:p>
        </w:tc>
        <w:tc>
          <w:tcPr>
            <w:tcW w:w="1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16A20B3"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0000"/>
                <w:sz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F755423"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76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32985C6"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0000"/>
                <w:sz w:val="18"/>
              </w:rPr>
            </w:pPr>
          </w:p>
        </w:tc>
        <w:tc>
          <w:tcPr>
            <w:tcW w:w="102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AFDEC93"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KWARTAAL 4</w:t>
            </w:r>
          </w:p>
        </w:tc>
        <w:tc>
          <w:tcPr>
            <w:tcW w:w="8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A698FC2"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0000"/>
              </w:rPr>
            </w:pPr>
            <w:r>
              <w:rPr>
                <w:noProof/>
              </w:rPr>
              <w:t>2023</w:t>
            </w:r>
          </w:p>
        </w:tc>
        <w:tc>
          <w:tcPr>
            <w:tcW w:w="43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EBCBC79" w14:textId="77777777" w:rsidR="00480F1C" w:rsidRDefault="00A201F6">
            <w:pPr>
              <w:pStyle w:val="P68B1DB1-Normal25"/>
              <w:pBdr>
                <w:top w:val="nil"/>
                <w:left w:val="nil"/>
                <w:bottom w:val="nil"/>
                <w:right w:val="nil"/>
                <w:between w:val="nil"/>
              </w:pBdr>
              <w:spacing w:after="0" w:line="240" w:lineRule="auto"/>
              <w:rPr>
                <w:rFonts w:eastAsia="Times New Roman" w:cs="Times New Roman"/>
                <w:noProof/>
                <w:color w:val="000000"/>
              </w:rPr>
            </w:pPr>
            <w:r>
              <w:rPr>
                <w:noProof/>
              </w:rPr>
              <w:t>Alle herzieningszaken die overeenkomstig mijlpaal F2G zijn ingeleid, worden beslecht, tenzij in naar behoren gemotiveerde uitzonderlijke omstandigheden.</w:t>
            </w:r>
          </w:p>
        </w:tc>
      </w:tr>
      <w:tr w:rsidR="00480F1C" w14:paraId="7ED83436" w14:textId="77777777">
        <w:trPr>
          <w:trHeight w:val="313"/>
        </w:trPr>
        <w:tc>
          <w:tcPr>
            <w:tcW w:w="846" w:type="dxa"/>
            <w:shd w:val="clear" w:color="auto" w:fill="C6EFCE"/>
          </w:tcPr>
          <w:p w14:paraId="0D875951"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F4G</w:t>
            </w:r>
          </w:p>
        </w:tc>
        <w:tc>
          <w:tcPr>
            <w:tcW w:w="1457" w:type="dxa"/>
            <w:shd w:val="clear" w:color="auto" w:fill="C6EFCE"/>
          </w:tcPr>
          <w:p w14:paraId="1C7A31E6" w14:textId="77777777" w:rsidR="00480F1C" w:rsidRDefault="00A201F6">
            <w:pPr>
              <w:pStyle w:val="P68B1DB1-Normal010"/>
              <w:spacing w:after="0" w:line="240" w:lineRule="auto"/>
              <w:rPr>
                <w:rFonts w:cs="Times New Roman"/>
                <w:noProof/>
              </w:rPr>
            </w:pPr>
            <w:r>
              <w:rPr>
                <w:noProof/>
              </w:rPr>
              <w:t>F2.1 Verbetering van het wetgevingsproces</w:t>
            </w:r>
          </w:p>
          <w:p w14:paraId="16D9043F"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p>
        </w:tc>
        <w:tc>
          <w:tcPr>
            <w:tcW w:w="1110" w:type="dxa"/>
            <w:shd w:val="clear" w:color="auto" w:fill="C6EFCE"/>
          </w:tcPr>
          <w:p w14:paraId="1E84A780" w14:textId="77777777" w:rsidR="00480F1C" w:rsidRDefault="00A201F6">
            <w:pPr>
              <w:pStyle w:val="P68B1DB1-Normal010"/>
              <w:spacing w:after="0" w:line="240" w:lineRule="auto"/>
              <w:rPr>
                <w:rFonts w:cs="Times New Roman"/>
                <w:noProof/>
              </w:rPr>
            </w:pPr>
            <w:r>
              <w:rPr>
                <w:noProof/>
              </w:rPr>
              <w:t>Mijlpaal</w:t>
            </w:r>
          </w:p>
          <w:p w14:paraId="621A9F55"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p>
        </w:tc>
        <w:tc>
          <w:tcPr>
            <w:tcW w:w="1601" w:type="dxa"/>
            <w:shd w:val="clear" w:color="auto" w:fill="C6EFCE"/>
          </w:tcPr>
          <w:p w14:paraId="325F64CF" w14:textId="5C553A09" w:rsidR="00480F1C" w:rsidRDefault="00A201F6">
            <w:pPr>
              <w:pStyle w:val="P68B1DB1-Normal010"/>
              <w:pBdr>
                <w:top w:val="nil"/>
                <w:left w:val="nil"/>
                <w:bottom w:val="nil"/>
                <w:right w:val="nil"/>
                <w:between w:val="nil"/>
              </w:pBdr>
              <w:spacing w:after="0" w:line="240" w:lineRule="auto"/>
              <w:rPr>
                <w:rFonts w:eastAsia="Times New Roman" w:cs="Times New Roman"/>
                <w:noProof/>
                <w:color w:val="006100"/>
              </w:rPr>
            </w:pPr>
            <w:r>
              <w:rPr>
                <w:noProof/>
              </w:rPr>
              <w:t>Inwerkingtreding van wijzigingen van het reglement van orde van de Sejm, de Senaat en de Raad van Ministers om het gebruik van openbare raadplegingen en effectbeoordelingen in het wetgevingsproces te bevorderen</w:t>
            </w:r>
          </w:p>
        </w:tc>
        <w:tc>
          <w:tcPr>
            <w:tcW w:w="1742" w:type="dxa"/>
            <w:shd w:val="clear" w:color="auto" w:fill="C6EFCE"/>
          </w:tcPr>
          <w:p w14:paraId="10AB2661" w14:textId="4072FEE2" w:rsidR="00480F1C" w:rsidRDefault="00A201F6">
            <w:pPr>
              <w:pStyle w:val="P68B1DB1-Normal010"/>
              <w:spacing w:after="0" w:line="240" w:lineRule="auto"/>
              <w:rPr>
                <w:rFonts w:cs="Times New Roman"/>
                <w:noProof/>
              </w:rPr>
            </w:pPr>
            <w:r>
              <w:rPr>
                <w:noProof/>
              </w:rPr>
              <w:t>Bepalingen in de rechtshandelingen die de inwerkingtreding aangeven</w:t>
            </w:r>
          </w:p>
          <w:p w14:paraId="10EC0E2A"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p>
        </w:tc>
        <w:tc>
          <w:tcPr>
            <w:tcW w:w="1075" w:type="dxa"/>
            <w:shd w:val="clear" w:color="auto" w:fill="C6EFCE"/>
          </w:tcPr>
          <w:p w14:paraId="4AE81A34"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p>
        </w:tc>
        <w:tc>
          <w:tcPr>
            <w:tcW w:w="1134" w:type="dxa"/>
            <w:shd w:val="clear" w:color="auto" w:fill="C6EFCE"/>
          </w:tcPr>
          <w:p w14:paraId="45421887"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6100"/>
                <w:sz w:val="18"/>
              </w:rPr>
            </w:pPr>
          </w:p>
        </w:tc>
        <w:tc>
          <w:tcPr>
            <w:tcW w:w="763" w:type="dxa"/>
            <w:gridSpan w:val="2"/>
            <w:shd w:val="clear" w:color="auto" w:fill="C6EFCE"/>
          </w:tcPr>
          <w:p w14:paraId="13B3D281" w14:textId="77777777" w:rsidR="00480F1C" w:rsidRDefault="00480F1C">
            <w:pPr>
              <w:pStyle w:val="Normal0"/>
              <w:pBdr>
                <w:top w:val="nil"/>
                <w:left w:val="nil"/>
                <w:bottom w:val="nil"/>
                <w:right w:val="nil"/>
                <w:between w:val="nil"/>
              </w:pBdr>
              <w:spacing w:after="0" w:line="240" w:lineRule="auto"/>
              <w:jc w:val="right"/>
              <w:rPr>
                <w:rFonts w:ascii="Times New Roman" w:eastAsia="Times New Roman" w:hAnsi="Times New Roman" w:cs="Times New Roman"/>
                <w:noProof/>
                <w:color w:val="006100"/>
                <w:sz w:val="18"/>
              </w:rPr>
            </w:pPr>
          </w:p>
        </w:tc>
        <w:tc>
          <w:tcPr>
            <w:tcW w:w="1021" w:type="dxa"/>
            <w:gridSpan w:val="2"/>
            <w:shd w:val="clear" w:color="auto" w:fill="C6EFCE"/>
          </w:tcPr>
          <w:p w14:paraId="749F6212"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KWARTAAL 3</w:t>
            </w:r>
          </w:p>
        </w:tc>
        <w:tc>
          <w:tcPr>
            <w:tcW w:w="872" w:type="dxa"/>
            <w:gridSpan w:val="2"/>
            <w:shd w:val="clear" w:color="auto" w:fill="C6EFCE"/>
          </w:tcPr>
          <w:p w14:paraId="21824A1F"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4351" w:type="dxa"/>
            <w:gridSpan w:val="2"/>
            <w:shd w:val="clear" w:color="auto" w:fill="C6EFCE"/>
          </w:tcPr>
          <w:p w14:paraId="1E624B39" w14:textId="53B61C1D" w:rsidR="00480F1C" w:rsidRDefault="00A201F6">
            <w:pPr>
              <w:pStyle w:val="P68B1DB1-Normal010"/>
              <w:spacing w:after="0" w:line="240" w:lineRule="auto"/>
              <w:rPr>
                <w:rFonts w:cs="Times New Roman"/>
                <w:noProof/>
              </w:rPr>
            </w:pPr>
            <w:r>
              <w:rPr>
                <w:noProof/>
              </w:rPr>
              <w:t>Inwerkingtreding van wijzigingen van het reglement van orde van de Sejm, de Senaat en de Raad van Ministers die: I) de verplichte effectbeoordeling en openbare raadpleging invoeren voor wetsontwerpen die worden voorgesteld door afgevaardigden en senatoren, om te zorgen voor een meer structurele betrokkenheid van belanghebbenden en deskundigen bij het wetgevingsproces; II) het gebruik van versnelde procedures beperken tot welomschreven en uitzonderlijke gevallen.</w:t>
            </w:r>
          </w:p>
          <w:p w14:paraId="3BEC99E2" w14:textId="77777777" w:rsidR="00480F1C" w:rsidRDefault="00480F1C">
            <w:pPr>
              <w:pBdr>
                <w:top w:val="nil"/>
                <w:left w:val="nil"/>
                <w:bottom w:val="nil"/>
                <w:right w:val="nil"/>
                <w:between w:val="nil"/>
              </w:pBdr>
              <w:spacing w:after="0" w:line="257" w:lineRule="auto"/>
              <w:rPr>
                <w:rFonts w:ascii="Times New Roman" w:eastAsia="Times New Roman" w:hAnsi="Times New Roman" w:cs="Times New Roman"/>
                <w:b/>
                <w:i/>
                <w:noProof/>
                <w:color w:val="000000" w:themeColor="text1"/>
                <w:sz w:val="18"/>
              </w:rPr>
            </w:pPr>
          </w:p>
        </w:tc>
      </w:tr>
      <w:tr w:rsidR="00480F1C" w14:paraId="72CCB682" w14:textId="77777777">
        <w:trPr>
          <w:trHeight w:val="313"/>
        </w:trPr>
        <w:tc>
          <w:tcPr>
            <w:tcW w:w="846" w:type="dxa"/>
            <w:shd w:val="clear" w:color="auto" w:fill="C6EFCE"/>
          </w:tcPr>
          <w:p w14:paraId="4757F5E6"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F5G</w:t>
            </w:r>
          </w:p>
        </w:tc>
        <w:tc>
          <w:tcPr>
            <w:tcW w:w="1457" w:type="dxa"/>
            <w:shd w:val="clear" w:color="auto" w:fill="C6EFCE"/>
          </w:tcPr>
          <w:p w14:paraId="1481632E"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color w:val="006100"/>
              </w:rPr>
            </w:pPr>
            <w:r>
              <w:rPr>
                <w:noProof/>
              </w:rPr>
              <w:t>F3.1 Verbetering van de voorwaarden voor de uitvoering van het herstel- en veerkrachtplan</w:t>
            </w:r>
          </w:p>
        </w:tc>
        <w:tc>
          <w:tcPr>
            <w:tcW w:w="1110" w:type="dxa"/>
            <w:shd w:val="clear" w:color="auto" w:fill="C6EFCE"/>
          </w:tcPr>
          <w:p w14:paraId="42C6A165"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601" w:type="dxa"/>
            <w:shd w:val="clear" w:color="auto" w:fill="C6EFCE"/>
          </w:tcPr>
          <w:p w14:paraId="592A76AF" w14:textId="30FC3415" w:rsidR="00480F1C" w:rsidRDefault="00A201F6">
            <w:pPr>
              <w:pStyle w:val="P68B1DB1-Normal010"/>
              <w:pBdr>
                <w:top w:val="nil"/>
                <w:left w:val="nil"/>
                <w:bottom w:val="nil"/>
                <w:right w:val="nil"/>
                <w:between w:val="nil"/>
              </w:pBdr>
              <w:spacing w:after="0" w:line="240" w:lineRule="auto"/>
              <w:rPr>
                <w:rFonts w:eastAsia="Times New Roman" w:cs="Times New Roman"/>
                <w:noProof/>
                <w:color w:val="006100"/>
              </w:rPr>
            </w:pPr>
            <w:r>
              <w:rPr>
                <w:noProof/>
              </w:rPr>
              <w:t>Inwerkingtreding van een rechtshandeling waarbij een monitoringcomité wordt opgericht en dat comité belast met het toezicht op de doeltreffende uitvoering van het herstel- en veerkrachtplan</w:t>
            </w:r>
          </w:p>
        </w:tc>
        <w:tc>
          <w:tcPr>
            <w:tcW w:w="1742" w:type="dxa"/>
            <w:shd w:val="clear" w:color="auto" w:fill="C6EFCE"/>
          </w:tcPr>
          <w:p w14:paraId="4D17ECFE" w14:textId="0C6171B6" w:rsidR="00480F1C" w:rsidRDefault="00A201F6">
            <w:pPr>
              <w:pStyle w:val="P68B1DB1-Normal010"/>
              <w:pBdr>
                <w:top w:val="nil"/>
                <w:left w:val="nil"/>
                <w:bottom w:val="nil"/>
                <w:right w:val="nil"/>
                <w:between w:val="nil"/>
              </w:pBdr>
              <w:spacing w:after="0" w:line="240" w:lineRule="auto"/>
              <w:rPr>
                <w:rFonts w:eastAsia="Times New Roman" w:cs="Times New Roman"/>
                <w:noProof/>
                <w:color w:val="006100"/>
              </w:rPr>
            </w:pPr>
            <w:r>
              <w:rPr>
                <w:noProof/>
              </w:rPr>
              <w:t>Bepaling in de rechtshandeling die de inwerkingtreding aangeeft</w:t>
            </w:r>
          </w:p>
        </w:tc>
        <w:tc>
          <w:tcPr>
            <w:tcW w:w="1075" w:type="dxa"/>
            <w:shd w:val="clear" w:color="auto" w:fill="C6EFCE"/>
          </w:tcPr>
          <w:p w14:paraId="29EBA8D0"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134" w:type="dxa"/>
            <w:shd w:val="clear" w:color="auto" w:fill="C6EFCE"/>
          </w:tcPr>
          <w:p w14:paraId="50B7F38D"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763" w:type="dxa"/>
            <w:gridSpan w:val="2"/>
            <w:shd w:val="clear" w:color="auto" w:fill="C6EFCE"/>
          </w:tcPr>
          <w:p w14:paraId="3C0746B5"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color w:val="006100"/>
              </w:rPr>
            </w:pPr>
            <w:r>
              <w:rPr>
                <w:noProof/>
              </w:rPr>
              <w:t xml:space="preserve"> </w:t>
            </w:r>
          </w:p>
        </w:tc>
        <w:tc>
          <w:tcPr>
            <w:tcW w:w="1021" w:type="dxa"/>
            <w:gridSpan w:val="2"/>
            <w:shd w:val="clear" w:color="auto" w:fill="C6EFCE"/>
          </w:tcPr>
          <w:p w14:paraId="7E306976"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KWARTAAL 1</w:t>
            </w:r>
          </w:p>
        </w:tc>
        <w:tc>
          <w:tcPr>
            <w:tcW w:w="872" w:type="dxa"/>
            <w:gridSpan w:val="2"/>
            <w:shd w:val="clear" w:color="auto" w:fill="C6EFCE"/>
          </w:tcPr>
          <w:p w14:paraId="224AE0A9"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4351" w:type="dxa"/>
            <w:gridSpan w:val="2"/>
            <w:shd w:val="clear" w:color="auto" w:fill="C6EFCE"/>
          </w:tcPr>
          <w:p w14:paraId="2D99728F" w14:textId="2F3ED9FF" w:rsidR="00480F1C" w:rsidRDefault="00A201F6">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r>
              <w:rPr>
                <w:rFonts w:ascii="Times New Roman" w:hAnsi="Times New Roman"/>
                <w:noProof/>
                <w:sz w:val="18"/>
              </w:rPr>
              <w:t xml:space="preserve">Na een openbare raadpleging, inwerkingtreding van een rechtshandeling die: </w:t>
            </w:r>
            <w:r>
              <w:rPr>
                <w:noProof/>
              </w:rPr>
              <w:t xml:space="preserve"> </w:t>
            </w:r>
            <w:r>
              <w:rPr>
                <w:noProof/>
              </w:rPr>
              <w:br/>
            </w:r>
            <w:r>
              <w:rPr>
                <w:rFonts w:ascii="Times New Roman" w:hAnsi="Times New Roman"/>
                <w:noProof/>
                <w:sz w:val="18"/>
              </w:rPr>
              <w:t>1) een monitoringcomité oprichten dat tot taak heeft toezicht te houden op de doeltreffende uitvoering van het herstel- en veerkrachtplan, bestaande uit belanghebbenden en sociale partners die gevolgen ondervinden van de uitvoering van het herstel- en veerkrachtplan, met inbegrip van vertegenwoordigers van organen die het maatschappelijk middenveld vertegenwoordigen en de grondrechten en non-discriminatie bevorderen;</w:t>
            </w:r>
            <w:r>
              <w:rPr>
                <w:noProof/>
              </w:rPr>
              <w:t xml:space="preserve"> </w:t>
            </w:r>
            <w:r>
              <w:rPr>
                <w:noProof/>
              </w:rPr>
              <w:br/>
            </w:r>
            <w:r>
              <w:rPr>
                <w:rFonts w:ascii="Times New Roman" w:hAnsi="Times New Roman"/>
                <w:noProof/>
                <w:sz w:val="18"/>
              </w:rPr>
              <w:t>2) het wettelijk verplicht stellen om het monitoringcomité tijdens de uitvoering van het herstel- en veerkrachtplan te raadplegen.</w:t>
            </w:r>
          </w:p>
        </w:tc>
      </w:tr>
      <w:tr w:rsidR="00480F1C" w14:paraId="083EAA4B" w14:textId="77777777">
        <w:trPr>
          <w:trHeight w:val="313"/>
        </w:trPr>
        <w:tc>
          <w:tcPr>
            <w:tcW w:w="846" w:type="dxa"/>
            <w:shd w:val="clear" w:color="auto" w:fill="C6EFCE"/>
          </w:tcPr>
          <w:p w14:paraId="2E1B4DA4" w14:textId="1C297B31" w:rsidR="00480F1C" w:rsidRDefault="00A201F6">
            <w:pPr>
              <w:pStyle w:val="P68B1DB1-Normal010"/>
              <w:spacing w:after="0" w:line="240" w:lineRule="auto"/>
              <w:jc w:val="center"/>
              <w:rPr>
                <w:rFonts w:cs="Times New Roman"/>
                <w:noProof/>
              </w:rPr>
            </w:pPr>
            <w:r>
              <w:rPr>
                <w:noProof/>
              </w:rPr>
              <w:t>F6G</w:t>
            </w:r>
          </w:p>
        </w:tc>
        <w:tc>
          <w:tcPr>
            <w:tcW w:w="1457" w:type="dxa"/>
            <w:shd w:val="clear" w:color="auto" w:fill="C6EFCE"/>
          </w:tcPr>
          <w:p w14:paraId="1321A295" w14:textId="02D828AA" w:rsidR="00480F1C" w:rsidRDefault="00A201F6">
            <w:pPr>
              <w:pStyle w:val="P68B1DB1-Normal010"/>
              <w:spacing w:after="0" w:line="240" w:lineRule="auto"/>
              <w:rPr>
                <w:rFonts w:eastAsia="Times New Roman" w:cs="Times New Roman"/>
                <w:noProof/>
              </w:rPr>
            </w:pPr>
            <w:r>
              <w:rPr>
                <w:noProof/>
              </w:rPr>
              <w:t>F3.1 Verbetering van de voorwaarden voor de uitvoering van het herstel- en veerkrachtplan</w:t>
            </w:r>
          </w:p>
        </w:tc>
        <w:tc>
          <w:tcPr>
            <w:tcW w:w="1110" w:type="dxa"/>
            <w:shd w:val="clear" w:color="auto" w:fill="C6EFCE"/>
          </w:tcPr>
          <w:p w14:paraId="4B6FE8C8" w14:textId="29640821" w:rsidR="00480F1C" w:rsidRDefault="00A201F6">
            <w:pPr>
              <w:pStyle w:val="P68B1DB1-Normal010"/>
              <w:spacing w:after="0" w:line="240" w:lineRule="auto"/>
              <w:rPr>
                <w:rFonts w:cs="Times New Roman"/>
                <w:noProof/>
              </w:rPr>
            </w:pPr>
            <w:r>
              <w:rPr>
                <w:noProof/>
              </w:rPr>
              <w:t>Mijlpaal</w:t>
            </w:r>
          </w:p>
        </w:tc>
        <w:tc>
          <w:tcPr>
            <w:tcW w:w="1601" w:type="dxa"/>
            <w:shd w:val="clear" w:color="auto" w:fill="C6EFCE"/>
          </w:tcPr>
          <w:p w14:paraId="3EF1DD37" w14:textId="4034963C" w:rsidR="00480F1C" w:rsidRDefault="00A201F6">
            <w:pPr>
              <w:pStyle w:val="P68B1DB1-Normal010"/>
              <w:spacing w:after="0" w:line="240" w:lineRule="auto"/>
              <w:rPr>
                <w:rFonts w:eastAsia="Times New Roman" w:cs="Times New Roman"/>
                <w:noProof/>
              </w:rPr>
            </w:pPr>
            <w:r>
              <w:rPr>
                <w:noProof/>
              </w:rPr>
              <w:t>Goedkeuring van de richtsnoeren door de minister belast met regionale ontwikkeling tot vaststelling van de regels voor de betrokkenheid van belanghebbenden en sociale partners bij de uitvoering van het herstel- en veerkrachtplan</w:t>
            </w:r>
          </w:p>
        </w:tc>
        <w:tc>
          <w:tcPr>
            <w:tcW w:w="1742" w:type="dxa"/>
            <w:shd w:val="clear" w:color="auto" w:fill="C6EFCE"/>
          </w:tcPr>
          <w:p w14:paraId="14EFF0CF" w14:textId="1BF51CA9" w:rsidR="00480F1C" w:rsidRDefault="00A201F6">
            <w:pPr>
              <w:pStyle w:val="P68B1DB1-Normal010"/>
              <w:spacing w:after="0" w:line="240" w:lineRule="auto"/>
              <w:rPr>
                <w:rFonts w:eastAsia="Times New Roman" w:cs="Times New Roman"/>
                <w:noProof/>
              </w:rPr>
            </w:pPr>
            <w:r>
              <w:rPr>
                <w:noProof/>
              </w:rPr>
              <w:t>Publicatie van de richtsnoeren op de website van het ministerie van Ontwikkelingsfondsen en Regionaal Beleid</w:t>
            </w:r>
          </w:p>
        </w:tc>
        <w:tc>
          <w:tcPr>
            <w:tcW w:w="1075" w:type="dxa"/>
            <w:shd w:val="clear" w:color="auto" w:fill="C6EFCE"/>
          </w:tcPr>
          <w:p w14:paraId="111F6BF5" w14:textId="1775E936" w:rsidR="00480F1C" w:rsidRDefault="00480F1C">
            <w:pPr>
              <w:pStyle w:val="Normal0"/>
              <w:spacing w:after="0" w:line="240" w:lineRule="auto"/>
              <w:rPr>
                <w:rFonts w:ascii="Times New Roman" w:hAnsi="Times New Roman" w:cs="Times New Roman"/>
                <w:noProof/>
                <w:sz w:val="18"/>
              </w:rPr>
            </w:pPr>
          </w:p>
        </w:tc>
        <w:tc>
          <w:tcPr>
            <w:tcW w:w="1134" w:type="dxa"/>
            <w:shd w:val="clear" w:color="auto" w:fill="C6EFCE"/>
          </w:tcPr>
          <w:p w14:paraId="25433A50" w14:textId="6309DCA7" w:rsidR="00480F1C" w:rsidRDefault="00480F1C">
            <w:pPr>
              <w:pStyle w:val="Normal0"/>
              <w:spacing w:after="0" w:line="240" w:lineRule="auto"/>
              <w:rPr>
                <w:rFonts w:ascii="Times New Roman" w:hAnsi="Times New Roman" w:cs="Times New Roman"/>
                <w:noProof/>
                <w:sz w:val="18"/>
              </w:rPr>
            </w:pPr>
          </w:p>
        </w:tc>
        <w:tc>
          <w:tcPr>
            <w:tcW w:w="763" w:type="dxa"/>
            <w:gridSpan w:val="2"/>
            <w:shd w:val="clear" w:color="auto" w:fill="C6EFCE"/>
          </w:tcPr>
          <w:p w14:paraId="2945D18B" w14:textId="5E8B62F1" w:rsidR="00480F1C" w:rsidRDefault="00480F1C">
            <w:pPr>
              <w:pStyle w:val="Normal0"/>
              <w:spacing w:after="0" w:line="240" w:lineRule="auto"/>
              <w:rPr>
                <w:rFonts w:ascii="Times New Roman" w:hAnsi="Times New Roman" w:cs="Times New Roman"/>
                <w:noProof/>
                <w:sz w:val="18"/>
              </w:rPr>
            </w:pPr>
          </w:p>
        </w:tc>
        <w:tc>
          <w:tcPr>
            <w:tcW w:w="1021" w:type="dxa"/>
            <w:gridSpan w:val="2"/>
            <w:shd w:val="clear" w:color="auto" w:fill="C6EFCE"/>
          </w:tcPr>
          <w:p w14:paraId="7A68E2F2" w14:textId="7FF5F9F2" w:rsidR="00480F1C" w:rsidRDefault="00A201F6">
            <w:pPr>
              <w:pStyle w:val="P68B1DB1-Normal010"/>
              <w:spacing w:after="0" w:line="240" w:lineRule="auto"/>
              <w:jc w:val="center"/>
              <w:rPr>
                <w:rFonts w:cs="Times New Roman"/>
                <w:noProof/>
              </w:rPr>
            </w:pPr>
            <w:r>
              <w:rPr>
                <w:noProof/>
              </w:rPr>
              <w:t>KWARTAAL 2</w:t>
            </w:r>
          </w:p>
        </w:tc>
        <w:tc>
          <w:tcPr>
            <w:tcW w:w="872" w:type="dxa"/>
            <w:gridSpan w:val="2"/>
            <w:shd w:val="clear" w:color="auto" w:fill="C6EFCE"/>
          </w:tcPr>
          <w:p w14:paraId="265DACC0" w14:textId="7B65909D" w:rsidR="00480F1C" w:rsidRDefault="00A201F6">
            <w:pPr>
              <w:pStyle w:val="P68B1DB1-Normal010"/>
              <w:spacing w:after="0" w:line="240" w:lineRule="auto"/>
              <w:jc w:val="center"/>
              <w:rPr>
                <w:rFonts w:cs="Times New Roman"/>
                <w:noProof/>
              </w:rPr>
            </w:pPr>
            <w:r>
              <w:rPr>
                <w:noProof/>
              </w:rPr>
              <w:t>2022</w:t>
            </w:r>
          </w:p>
        </w:tc>
        <w:tc>
          <w:tcPr>
            <w:tcW w:w="4351" w:type="dxa"/>
            <w:gridSpan w:val="2"/>
            <w:shd w:val="clear" w:color="auto" w:fill="C6EFCE"/>
          </w:tcPr>
          <w:p w14:paraId="581741EB" w14:textId="2398E4BB" w:rsidR="00480F1C" w:rsidRDefault="00A201F6">
            <w:pPr>
              <w:pStyle w:val="P68B1DB1-Normal25"/>
              <w:spacing w:after="0" w:line="240" w:lineRule="auto"/>
              <w:rPr>
                <w:rFonts w:cs="Times New Roman"/>
                <w:noProof/>
              </w:rPr>
            </w:pPr>
            <w:r>
              <w:rPr>
                <w:noProof/>
              </w:rPr>
              <w:t>Na een openbare raadpleging, vaststelling van de richtsnoeren om ervoor te zorgen dat belanghebbenden en sociale partners daadwerkelijk worden betrokken bij de programmering, uitvoering, monitoring en evaluatie van het herstel- en veerkrachtplan.</w:t>
            </w:r>
          </w:p>
          <w:p w14:paraId="0D0EDDAD" w14:textId="250E2AA4" w:rsidR="00480F1C" w:rsidRDefault="00A201F6">
            <w:pPr>
              <w:pStyle w:val="P68B1DB1-Normal25"/>
              <w:spacing w:after="0" w:line="240" w:lineRule="auto"/>
              <w:rPr>
                <w:rFonts w:cs="Times New Roman"/>
                <w:noProof/>
              </w:rPr>
            </w:pPr>
            <w:r>
              <w:rPr>
                <w:noProof/>
              </w:rPr>
              <w:t>De richtsnoeren harmoniseren de maatregelen die moeten worden genomen door de instellingen die verantwoordelijk zijn voor de uitvoering van hervormingen en investeringen in het kader van het herstel- en veerkrachtplan.</w:t>
            </w:r>
          </w:p>
          <w:p w14:paraId="7C2EF047" w14:textId="5D0CC126" w:rsidR="00480F1C" w:rsidRDefault="00A201F6">
            <w:pPr>
              <w:pStyle w:val="P68B1DB1-Normal010"/>
              <w:spacing w:after="0" w:line="240" w:lineRule="auto"/>
              <w:rPr>
                <w:rFonts w:eastAsia="Times New Roman" w:cs="Times New Roman"/>
                <w:noProof/>
              </w:rPr>
            </w:pPr>
            <w:r>
              <w:rPr>
                <w:noProof/>
              </w:rPr>
              <w:t>De richtsnoeren omvatten mechanismen voor het toezicht op en de evaluatie van de betrokkenheid van belanghebbenden en sociale partners.</w:t>
            </w:r>
          </w:p>
        </w:tc>
      </w:tr>
      <w:tr w:rsidR="00480F1C" w14:paraId="3E099210" w14:textId="77777777">
        <w:trPr>
          <w:trHeight w:val="313"/>
        </w:trPr>
        <w:tc>
          <w:tcPr>
            <w:tcW w:w="846" w:type="dxa"/>
            <w:shd w:val="clear" w:color="auto" w:fill="C6EFCE"/>
          </w:tcPr>
          <w:p w14:paraId="32827BE9" w14:textId="193DC58F"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F7G</w:t>
            </w:r>
          </w:p>
        </w:tc>
        <w:tc>
          <w:tcPr>
            <w:tcW w:w="1457" w:type="dxa"/>
            <w:shd w:val="clear" w:color="auto" w:fill="C6EFCE"/>
          </w:tcPr>
          <w:p w14:paraId="52D855A9"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color w:val="006100"/>
              </w:rPr>
            </w:pPr>
            <w:r>
              <w:rPr>
                <w:noProof/>
              </w:rPr>
              <w:t>F3.1 Verbetering van de voorwaarden voor de uitvoering van het herstel- en veerkrachtplan</w:t>
            </w:r>
          </w:p>
        </w:tc>
        <w:tc>
          <w:tcPr>
            <w:tcW w:w="1110" w:type="dxa"/>
            <w:shd w:val="clear" w:color="auto" w:fill="C6EFCE"/>
          </w:tcPr>
          <w:p w14:paraId="505B2131" w14:textId="77777777" w:rsidR="00480F1C" w:rsidRDefault="00A201F6">
            <w:pPr>
              <w:pStyle w:val="P68B1DB1-Normal010"/>
              <w:pBdr>
                <w:top w:val="nil"/>
                <w:left w:val="nil"/>
                <w:bottom w:val="nil"/>
                <w:right w:val="nil"/>
                <w:between w:val="nil"/>
              </w:pBdr>
              <w:spacing w:after="0" w:line="240" w:lineRule="auto"/>
              <w:rPr>
                <w:rFonts w:eastAsia="Times New Roman" w:cs="Times New Roman"/>
                <w:noProof/>
                <w:color w:val="006100"/>
              </w:rPr>
            </w:pPr>
            <w:r>
              <w:rPr>
                <w:noProof/>
              </w:rPr>
              <w:t>Mijlpaal</w:t>
            </w:r>
          </w:p>
        </w:tc>
        <w:tc>
          <w:tcPr>
            <w:tcW w:w="1601" w:type="dxa"/>
            <w:shd w:val="clear" w:color="auto" w:fill="C6EFCE"/>
          </w:tcPr>
          <w:p w14:paraId="531524C0" w14:textId="1E6D35CF" w:rsidR="00480F1C" w:rsidRDefault="00A201F6">
            <w:pPr>
              <w:pStyle w:val="P68B1DB1-Normal010"/>
              <w:spacing w:after="0" w:line="240" w:lineRule="auto"/>
              <w:rPr>
                <w:rFonts w:cs="Times New Roman"/>
                <w:noProof/>
              </w:rPr>
            </w:pPr>
            <w:r>
              <w:rPr>
                <w:noProof/>
              </w:rPr>
              <w:t>Zorgen voor een doeltreffende audit en controle in het kader van de uitvoering van de herstel- en veerkrachtfaciliteit ter bescherming van de financiële belangen van de Unie</w:t>
            </w:r>
          </w:p>
          <w:p w14:paraId="348C9256" w14:textId="2EA0AFDB" w:rsidR="00480F1C" w:rsidRDefault="00480F1C">
            <w:pPr>
              <w:pStyle w:val="Normal0"/>
              <w:spacing w:after="0" w:line="240" w:lineRule="auto"/>
              <w:rPr>
                <w:rFonts w:ascii="Times New Roman" w:hAnsi="Times New Roman" w:cs="Times New Roman"/>
                <w:noProof/>
                <w:sz w:val="18"/>
              </w:rPr>
            </w:pPr>
          </w:p>
          <w:p w14:paraId="6D2FAC52" w14:textId="77777777" w:rsidR="00480F1C" w:rsidRDefault="00480F1C">
            <w:pPr>
              <w:pStyle w:val="Normal0"/>
              <w:spacing w:after="0" w:line="240" w:lineRule="auto"/>
              <w:rPr>
                <w:rFonts w:ascii="Times New Roman" w:hAnsi="Times New Roman" w:cs="Times New Roman"/>
                <w:noProof/>
                <w:sz w:val="18"/>
              </w:rPr>
            </w:pPr>
          </w:p>
          <w:p w14:paraId="58F2A612" w14:textId="77777777" w:rsidR="00480F1C" w:rsidRDefault="00480F1C">
            <w:pPr>
              <w:pStyle w:val="Normal0"/>
              <w:spacing w:after="0" w:line="240" w:lineRule="auto"/>
              <w:rPr>
                <w:rFonts w:ascii="Times New Roman" w:hAnsi="Times New Roman" w:cs="Times New Roman"/>
                <w:noProof/>
                <w:sz w:val="18"/>
              </w:rPr>
            </w:pPr>
          </w:p>
          <w:p w14:paraId="6FD9EA1C"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p>
        </w:tc>
        <w:tc>
          <w:tcPr>
            <w:tcW w:w="1742" w:type="dxa"/>
            <w:shd w:val="clear" w:color="auto" w:fill="C6EFCE"/>
          </w:tcPr>
          <w:p w14:paraId="473C7D13" w14:textId="27F4525C" w:rsidR="00480F1C" w:rsidRDefault="00A201F6">
            <w:pPr>
              <w:pStyle w:val="P68B1DB1-Normal010"/>
              <w:spacing w:after="0" w:line="240" w:lineRule="auto"/>
              <w:rPr>
                <w:rFonts w:cs="Times New Roman"/>
                <w:noProof/>
              </w:rPr>
            </w:pPr>
            <w:r>
              <w:rPr>
                <w:noProof/>
              </w:rPr>
              <w:t>Auditverslag ter bevestiging van de functionaliteiten van het gegevensopslagsysteem</w:t>
            </w:r>
          </w:p>
          <w:p w14:paraId="76971213" w14:textId="77777777" w:rsidR="00480F1C" w:rsidRDefault="00480F1C">
            <w:pPr>
              <w:pStyle w:val="Normal0"/>
              <w:spacing w:after="0" w:line="240" w:lineRule="auto"/>
              <w:rPr>
                <w:rFonts w:ascii="Times New Roman" w:hAnsi="Times New Roman" w:cs="Times New Roman"/>
                <w:noProof/>
                <w:sz w:val="18"/>
              </w:rPr>
            </w:pPr>
          </w:p>
          <w:p w14:paraId="1C9D4A61"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p>
        </w:tc>
        <w:tc>
          <w:tcPr>
            <w:tcW w:w="1075" w:type="dxa"/>
            <w:shd w:val="clear" w:color="auto" w:fill="C6EFCE"/>
          </w:tcPr>
          <w:p w14:paraId="593B3F3B"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p>
        </w:tc>
        <w:tc>
          <w:tcPr>
            <w:tcW w:w="1134" w:type="dxa"/>
            <w:shd w:val="clear" w:color="auto" w:fill="C6EFCE"/>
          </w:tcPr>
          <w:p w14:paraId="50F5AC06"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p>
        </w:tc>
        <w:tc>
          <w:tcPr>
            <w:tcW w:w="763" w:type="dxa"/>
            <w:gridSpan w:val="2"/>
            <w:shd w:val="clear" w:color="auto" w:fill="C6EFCE"/>
          </w:tcPr>
          <w:p w14:paraId="7BD54A1A"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color w:val="006100"/>
                <w:sz w:val="18"/>
              </w:rPr>
            </w:pPr>
          </w:p>
        </w:tc>
        <w:tc>
          <w:tcPr>
            <w:tcW w:w="1021" w:type="dxa"/>
            <w:gridSpan w:val="2"/>
            <w:shd w:val="clear" w:color="auto" w:fill="C6EFCE"/>
          </w:tcPr>
          <w:p w14:paraId="4088C52D"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KWARTAAL 2</w:t>
            </w:r>
          </w:p>
        </w:tc>
        <w:tc>
          <w:tcPr>
            <w:tcW w:w="872" w:type="dxa"/>
            <w:gridSpan w:val="2"/>
            <w:shd w:val="clear" w:color="auto" w:fill="C6EFCE"/>
          </w:tcPr>
          <w:p w14:paraId="5A012165" w14:textId="77777777"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color w:val="006100"/>
              </w:rPr>
            </w:pPr>
            <w:r>
              <w:rPr>
                <w:noProof/>
              </w:rPr>
              <w:t>2022</w:t>
            </w:r>
          </w:p>
        </w:tc>
        <w:tc>
          <w:tcPr>
            <w:tcW w:w="4351" w:type="dxa"/>
            <w:gridSpan w:val="2"/>
            <w:shd w:val="clear" w:color="auto" w:fill="C6EFCE"/>
          </w:tcPr>
          <w:p w14:paraId="5BEFF486" w14:textId="7F7E392A" w:rsidR="00480F1C" w:rsidRDefault="00A201F6">
            <w:pPr>
              <w:pStyle w:val="Normal0"/>
              <w:spacing w:line="240" w:lineRule="auto"/>
              <w:rPr>
                <w:rFonts w:ascii="Times New Roman" w:hAnsi="Times New Roman" w:cs="Times New Roman"/>
                <w:noProof/>
                <w:sz w:val="18"/>
              </w:rPr>
            </w:pPr>
            <w:r>
              <w:rPr>
                <w:rFonts w:ascii="Times New Roman" w:hAnsi="Times New Roman"/>
                <w:noProof/>
                <w:sz w:val="18"/>
              </w:rPr>
              <w:t>Een gegevensbank voor monitoring van uitvoering van de RRF is ingevoerd en operationeel. Het systeem beschikt ten minste over de volgende functies:</w:t>
            </w:r>
            <w:r>
              <w:rPr>
                <w:noProof/>
              </w:rPr>
              <w:t xml:space="preserve"> </w:t>
            </w:r>
            <w:r>
              <w:rPr>
                <w:noProof/>
              </w:rPr>
              <w:br/>
            </w:r>
            <w:r>
              <w:rPr>
                <w:rFonts w:ascii="Times New Roman" w:hAnsi="Times New Roman"/>
                <w:noProof/>
                <w:sz w:val="18"/>
              </w:rPr>
              <w:t>(a) het verzamelen van gegevens en het monitoren van de verwezenlijking van mijlpalen en streefdoelen;</w:t>
            </w:r>
            <w:r>
              <w:rPr>
                <w:noProof/>
              </w:rPr>
              <w:t xml:space="preserve"> </w:t>
            </w:r>
            <w:r>
              <w:rPr>
                <w:noProof/>
              </w:rPr>
              <w:br/>
            </w:r>
            <w:r>
              <w:rPr>
                <w:rFonts w:ascii="Times New Roman" w:hAnsi="Times New Roman"/>
                <w:noProof/>
                <w:sz w:val="18"/>
              </w:rPr>
              <w:t xml:space="preserve">(b) het verzamelen en opslaan van en het waarborgen van de toegang tot de gegevens die vereist zijn op grond van artikel 22, lid 2, onder d), punten i) tot en met iii), van de RRF-verordening. </w:t>
            </w:r>
          </w:p>
          <w:p w14:paraId="4A58C796" w14:textId="77777777" w:rsidR="00480F1C" w:rsidRDefault="00A201F6">
            <w:pPr>
              <w:pStyle w:val="P68B1DB1-Normal010"/>
              <w:pBdr>
                <w:top w:val="nil"/>
                <w:left w:val="nil"/>
                <w:bottom w:val="nil"/>
                <w:right w:val="nil"/>
                <w:between w:val="nil"/>
              </w:pBdr>
              <w:spacing w:after="0" w:line="240" w:lineRule="auto"/>
              <w:rPr>
                <w:rFonts w:cs="Times New Roman"/>
                <w:noProof/>
              </w:rPr>
            </w:pPr>
            <w:r>
              <w:rPr>
                <w:noProof/>
              </w:rPr>
              <w:t>Toegang tot deze gegevens wordt verleend aan alle relevante nationale en Europese instanties voor audit- en controledoeleinden. De gegevens uit dit gegevensopslagsysteem worden elk kwartaal in het Arachne-systeem ingevoerd. Het Arachne-systeem wordt gebruikt tijdens audits en controles om belangenconflicten, fraude, corruptie en dubbele financiering te voorkomen, op te sporen en te corrigeren.</w:t>
            </w:r>
          </w:p>
          <w:p w14:paraId="1F84A062" w14:textId="3339C574" w:rsidR="00480F1C" w:rsidRDefault="00480F1C">
            <w:pPr>
              <w:pStyle w:val="Normal0"/>
              <w:pBdr>
                <w:top w:val="nil"/>
                <w:left w:val="nil"/>
                <w:bottom w:val="nil"/>
                <w:right w:val="nil"/>
                <w:between w:val="nil"/>
              </w:pBdr>
              <w:spacing w:after="0" w:line="240" w:lineRule="auto"/>
              <w:rPr>
                <w:rFonts w:ascii="Times New Roman" w:hAnsi="Times New Roman" w:cs="Times New Roman"/>
                <w:noProof/>
                <w:sz w:val="18"/>
              </w:rPr>
            </w:pPr>
          </w:p>
        </w:tc>
      </w:tr>
      <w:tr w:rsidR="00480F1C" w14:paraId="502380A2" w14:textId="77777777">
        <w:trPr>
          <w:gridAfter w:val="1"/>
          <w:wAfter w:w="7" w:type="dxa"/>
          <w:trHeight w:val="313"/>
        </w:trPr>
        <w:tc>
          <w:tcPr>
            <w:tcW w:w="846" w:type="dxa"/>
            <w:shd w:val="clear" w:color="auto" w:fill="C6EFCE"/>
          </w:tcPr>
          <w:p w14:paraId="4CC72689" w14:textId="3A899FE4" w:rsidR="00480F1C" w:rsidRDefault="00A201F6">
            <w:pPr>
              <w:pStyle w:val="P68B1DB1-Normal010"/>
              <w:pBdr>
                <w:top w:val="nil"/>
                <w:left w:val="nil"/>
                <w:bottom w:val="nil"/>
                <w:right w:val="nil"/>
                <w:between w:val="nil"/>
              </w:pBdr>
              <w:spacing w:after="0" w:line="240" w:lineRule="auto"/>
              <w:jc w:val="center"/>
              <w:rPr>
                <w:rFonts w:cs="Times New Roman"/>
                <w:noProof/>
              </w:rPr>
            </w:pPr>
            <w:r>
              <w:rPr>
                <w:noProof/>
              </w:rPr>
              <w:t>F8G</w:t>
            </w:r>
          </w:p>
        </w:tc>
        <w:tc>
          <w:tcPr>
            <w:tcW w:w="1457" w:type="dxa"/>
            <w:shd w:val="clear" w:color="auto" w:fill="C6EFCE"/>
          </w:tcPr>
          <w:p w14:paraId="0F1E226D" w14:textId="328AE84A" w:rsidR="00480F1C" w:rsidRDefault="00A201F6">
            <w:pPr>
              <w:pStyle w:val="P68B1DB1-Normal010"/>
              <w:pBdr>
                <w:top w:val="nil"/>
                <w:left w:val="nil"/>
                <w:bottom w:val="nil"/>
                <w:right w:val="nil"/>
                <w:between w:val="nil"/>
              </w:pBdr>
              <w:spacing w:after="0" w:line="240" w:lineRule="auto"/>
              <w:rPr>
                <w:rFonts w:eastAsia="Times New Roman" w:cs="Times New Roman"/>
                <w:noProof/>
              </w:rPr>
            </w:pPr>
            <w:r>
              <w:rPr>
                <w:noProof/>
              </w:rPr>
              <w:t>F3.1 Verbetering van de voorwaarden voor de uitvoering van het herstel- en veerkrachtplan</w:t>
            </w:r>
          </w:p>
        </w:tc>
        <w:tc>
          <w:tcPr>
            <w:tcW w:w="1110" w:type="dxa"/>
            <w:shd w:val="clear" w:color="auto" w:fill="C6EFCE"/>
          </w:tcPr>
          <w:p w14:paraId="121B5C1C" w14:textId="7523D98D" w:rsidR="00480F1C" w:rsidRDefault="00A201F6">
            <w:pPr>
              <w:pStyle w:val="P68B1DB1-Normal010"/>
              <w:pBdr>
                <w:top w:val="nil"/>
                <w:left w:val="nil"/>
                <w:bottom w:val="nil"/>
                <w:right w:val="nil"/>
                <w:between w:val="nil"/>
              </w:pBdr>
              <w:spacing w:after="0" w:line="240" w:lineRule="auto"/>
              <w:rPr>
                <w:rFonts w:eastAsia="Times New Roman" w:cs="Times New Roman"/>
                <w:noProof/>
              </w:rPr>
            </w:pPr>
            <w:r>
              <w:rPr>
                <w:noProof/>
              </w:rPr>
              <w:t>Mijlpaal</w:t>
            </w:r>
          </w:p>
        </w:tc>
        <w:tc>
          <w:tcPr>
            <w:tcW w:w="1601" w:type="dxa"/>
            <w:shd w:val="clear" w:color="auto" w:fill="C6EFCE"/>
          </w:tcPr>
          <w:p w14:paraId="43C4A9C1" w14:textId="1CCC9E8F" w:rsidR="00480F1C" w:rsidRDefault="00A201F6">
            <w:pPr>
              <w:pStyle w:val="P68B1DB1-Normal25"/>
              <w:spacing w:after="0" w:line="240" w:lineRule="auto"/>
              <w:rPr>
                <w:rFonts w:eastAsia="Times New Roman" w:cs="Times New Roman"/>
                <w:noProof/>
              </w:rPr>
            </w:pPr>
            <w:r>
              <w:rPr>
                <w:noProof/>
              </w:rPr>
              <w:t>Toewijzing van extra posten in de instellingen die betrokken zijn bij de uitvoering van het herstel- en veerkrachtplan</w:t>
            </w:r>
          </w:p>
          <w:p w14:paraId="3EA94D9A" w14:textId="77777777" w:rsidR="00480F1C" w:rsidRDefault="00480F1C">
            <w:pPr>
              <w:spacing w:after="0" w:line="240" w:lineRule="auto"/>
              <w:rPr>
                <w:rFonts w:ascii="Times New Roman" w:eastAsia="Times New Roman" w:hAnsi="Times New Roman" w:cs="Times New Roman"/>
                <w:noProof/>
                <w:sz w:val="18"/>
              </w:rPr>
            </w:pPr>
          </w:p>
        </w:tc>
        <w:tc>
          <w:tcPr>
            <w:tcW w:w="1742" w:type="dxa"/>
            <w:shd w:val="clear" w:color="auto" w:fill="C6EFCE"/>
          </w:tcPr>
          <w:p w14:paraId="158921D4" w14:textId="5B39AF18" w:rsidR="00480F1C" w:rsidRDefault="00A201F6">
            <w:pPr>
              <w:pStyle w:val="P68B1DB1-Normal25"/>
              <w:spacing w:line="240" w:lineRule="auto"/>
              <w:rPr>
                <w:rFonts w:eastAsia="Times New Roman" w:cs="Times New Roman"/>
                <w:noProof/>
              </w:rPr>
            </w:pPr>
            <w:r>
              <w:rPr>
                <w:noProof/>
              </w:rPr>
              <w:t>Een analyse van de werklast, opgesteld door het ministerie van Ontwikkelingsfondsen en Regionaal Beleid, en een regeringsbesluit tot toewijzing van extra posten goedgekeurd</w:t>
            </w:r>
          </w:p>
          <w:p w14:paraId="0012E5F7" w14:textId="77777777" w:rsidR="00480F1C" w:rsidRDefault="00480F1C">
            <w:pPr>
              <w:spacing w:after="0" w:line="240" w:lineRule="auto"/>
              <w:rPr>
                <w:rFonts w:ascii="Times New Roman" w:eastAsia="Times New Roman" w:hAnsi="Times New Roman" w:cs="Times New Roman"/>
                <w:noProof/>
                <w:sz w:val="18"/>
              </w:rPr>
            </w:pPr>
          </w:p>
        </w:tc>
        <w:tc>
          <w:tcPr>
            <w:tcW w:w="1075" w:type="dxa"/>
            <w:shd w:val="clear" w:color="auto" w:fill="C6EFCE"/>
          </w:tcPr>
          <w:p w14:paraId="700CE01D"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sz w:val="18"/>
              </w:rPr>
            </w:pPr>
          </w:p>
        </w:tc>
        <w:tc>
          <w:tcPr>
            <w:tcW w:w="1134" w:type="dxa"/>
            <w:shd w:val="clear" w:color="auto" w:fill="C6EFCE"/>
          </w:tcPr>
          <w:p w14:paraId="38FE98E5"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sz w:val="18"/>
              </w:rPr>
            </w:pPr>
          </w:p>
        </w:tc>
        <w:tc>
          <w:tcPr>
            <w:tcW w:w="756" w:type="dxa"/>
            <w:shd w:val="clear" w:color="auto" w:fill="C6EFCE"/>
          </w:tcPr>
          <w:p w14:paraId="1A3C6116" w14:textId="77777777" w:rsidR="00480F1C" w:rsidRDefault="00480F1C">
            <w:pPr>
              <w:pStyle w:val="Normal0"/>
              <w:pBdr>
                <w:top w:val="nil"/>
                <w:left w:val="nil"/>
                <w:bottom w:val="nil"/>
                <w:right w:val="nil"/>
                <w:between w:val="nil"/>
              </w:pBdr>
              <w:spacing w:after="0" w:line="240" w:lineRule="auto"/>
              <w:rPr>
                <w:rFonts w:ascii="Times New Roman" w:eastAsia="Times New Roman" w:hAnsi="Times New Roman" w:cs="Times New Roman"/>
                <w:noProof/>
                <w:sz w:val="18"/>
              </w:rPr>
            </w:pPr>
          </w:p>
        </w:tc>
        <w:tc>
          <w:tcPr>
            <w:tcW w:w="1021" w:type="dxa"/>
            <w:gridSpan w:val="2"/>
            <w:shd w:val="clear" w:color="auto" w:fill="C6EFCE"/>
          </w:tcPr>
          <w:p w14:paraId="19653EF1" w14:textId="56649779"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rPr>
            </w:pPr>
            <w:r>
              <w:rPr>
                <w:noProof/>
              </w:rPr>
              <w:t>KWARTAAL 2</w:t>
            </w:r>
          </w:p>
        </w:tc>
        <w:tc>
          <w:tcPr>
            <w:tcW w:w="872" w:type="dxa"/>
            <w:gridSpan w:val="2"/>
            <w:shd w:val="clear" w:color="auto" w:fill="C6EFCE"/>
          </w:tcPr>
          <w:p w14:paraId="5C2C74FF" w14:textId="3809D7DF" w:rsidR="00480F1C" w:rsidRDefault="00A201F6">
            <w:pPr>
              <w:pStyle w:val="P68B1DB1-Normal010"/>
              <w:pBdr>
                <w:top w:val="nil"/>
                <w:left w:val="nil"/>
                <w:bottom w:val="nil"/>
                <w:right w:val="nil"/>
                <w:between w:val="nil"/>
              </w:pBdr>
              <w:spacing w:after="0" w:line="240" w:lineRule="auto"/>
              <w:jc w:val="center"/>
              <w:rPr>
                <w:rFonts w:eastAsia="Times New Roman" w:cs="Times New Roman"/>
                <w:noProof/>
              </w:rPr>
            </w:pPr>
            <w:r>
              <w:rPr>
                <w:noProof/>
              </w:rPr>
              <w:t>2024</w:t>
            </w:r>
          </w:p>
        </w:tc>
        <w:tc>
          <w:tcPr>
            <w:tcW w:w="4351" w:type="dxa"/>
            <w:gridSpan w:val="2"/>
            <w:shd w:val="clear" w:color="auto" w:fill="C6EFCE"/>
          </w:tcPr>
          <w:p w14:paraId="3F73C61A" w14:textId="4EFF1BBC" w:rsidR="00480F1C" w:rsidRDefault="00A201F6">
            <w:pPr>
              <w:pStyle w:val="P68B1DB1-Normal25"/>
              <w:spacing w:line="240" w:lineRule="auto"/>
              <w:rPr>
                <w:rFonts w:eastAsia="Times New Roman" w:cs="Times New Roman"/>
                <w:noProof/>
              </w:rPr>
            </w:pPr>
            <w:r>
              <w:rPr>
                <w:noProof/>
              </w:rPr>
              <w:t>Er wordt een analyse van de werklast uitgevoerd voor de instellingen die betrokken zijn bij de uitvoering van het plan voor herstel en veerkracht. Na deze analyse wordt een regeringsbesluit vastgesteld om extra posten toe te wijzen aan de instellingen die het plan voor herstel en veerkracht coördineren en uitvoeren.</w:t>
            </w:r>
          </w:p>
          <w:p w14:paraId="3091457C" w14:textId="77777777" w:rsidR="00480F1C" w:rsidRDefault="00480F1C">
            <w:pPr>
              <w:spacing w:after="0" w:line="240" w:lineRule="auto"/>
              <w:rPr>
                <w:rFonts w:ascii="Times New Roman" w:eastAsia="Times New Roman" w:hAnsi="Times New Roman" w:cs="Times New Roman"/>
                <w:noProof/>
                <w:sz w:val="18"/>
              </w:rPr>
            </w:pPr>
          </w:p>
        </w:tc>
      </w:tr>
    </w:tbl>
    <w:p w14:paraId="452BF5C8" w14:textId="77777777" w:rsidR="00480F1C" w:rsidRDefault="00480F1C">
      <w:pPr>
        <w:rPr>
          <w:rFonts w:ascii="Times New Roman" w:eastAsia="Times New Roman" w:hAnsi="Times New Roman" w:cs="Times New Roman"/>
          <w:noProof/>
          <w:color w:val="000000" w:themeColor="text1"/>
        </w:rPr>
        <w:sectPr w:rsidR="00480F1C" w:rsidSect="009B6BB9">
          <w:headerReference w:type="even" r:id="rId157"/>
          <w:headerReference w:type="default" r:id="rId158"/>
          <w:footerReference w:type="even" r:id="rId159"/>
          <w:footerReference w:type="default" r:id="rId160"/>
          <w:headerReference w:type="first" r:id="rId161"/>
          <w:footerReference w:type="first" r:id="rId162"/>
          <w:pgSz w:w="16839" w:h="11907" w:orient="landscape"/>
          <w:pgMar w:top="720" w:right="720" w:bottom="720" w:left="720" w:header="709" w:footer="709" w:gutter="0"/>
          <w:cols w:space="720"/>
          <w:docGrid w:linePitch="299"/>
        </w:sectPr>
      </w:pPr>
    </w:p>
    <w:p w14:paraId="7338E562" w14:textId="77777777" w:rsidR="00480F1C" w:rsidRDefault="00A201F6">
      <w:pPr>
        <w:pStyle w:val="P68B1DB1-Text135"/>
        <w:ind w:left="0"/>
        <w:rPr>
          <w:noProof/>
        </w:rPr>
      </w:pPr>
      <w:r>
        <w:rPr>
          <w:noProof/>
          <w:color w:val="000000"/>
        </w:rPr>
        <w:t>G</w:t>
      </w:r>
      <w:r>
        <w:rPr>
          <w:noProof/>
        </w:rPr>
        <w:t>. ONDERDEEL G: „REPOWEREU”</w:t>
      </w:r>
    </w:p>
    <w:p w14:paraId="68C4C6E0" w14:textId="56F35F07" w:rsidR="00480F1C" w:rsidRDefault="00A201F6">
      <w:pPr>
        <w:pStyle w:val="P68B1DB1-Normal24"/>
        <w:spacing w:before="120" w:after="120" w:line="240" w:lineRule="auto"/>
        <w:jc w:val="both"/>
        <w:rPr>
          <w:rFonts w:cs="Times New Roman"/>
          <w:noProof/>
        </w:rPr>
      </w:pPr>
      <w:r>
        <w:rPr>
          <w:noProof/>
        </w:rPr>
        <w:t>De REPowerEU-component heeft tot doel bij te dragen tot het verminderen van de afhankelijkheid van fossiele brandstoffen in Polen en het verder faciliteren van de energietransitie, door het gebruik van hernieuwbare energiebronnen te ondersteunen en de capaciteit van de elektriciteitsnetten om deze energiebronnen te integreren te vergroten. Deze doelstellingen worden ook mogelijk gemaakt door maatregelen ter verbetering van de energie-efficiëntie, ook voor woningen. De component heeft ook tot doel de continuïteit van de energievoorziening te verbeteren.</w:t>
      </w:r>
    </w:p>
    <w:p w14:paraId="600E7D54" w14:textId="4CC7CC2A" w:rsidR="00480F1C" w:rsidRDefault="00A201F6">
      <w:pPr>
        <w:pStyle w:val="P68B1DB1-Normal36"/>
        <w:spacing w:before="120" w:after="120" w:line="240" w:lineRule="auto"/>
        <w:jc w:val="both"/>
        <w:rPr>
          <w:rFonts w:ascii="Times New Roman" w:hAnsi="Times New Roman" w:cs="Times New Roman"/>
          <w:noProof/>
        </w:rPr>
      </w:pPr>
      <w:r>
        <w:rPr>
          <w:noProof/>
        </w:rPr>
        <w:t>In dit</w:t>
      </w:r>
      <w:r>
        <w:rPr>
          <w:rFonts w:ascii="Times New Roman" w:hAnsi="Times New Roman"/>
          <w:noProof/>
        </w:rPr>
        <w:t>verband zijn de maatregelen in de component erop gericht gevolg te geven aan de landspecifieke aanbevelingen die in 2022 en 2023 in het kader van het Europees Semester voor Polen zijn gedaan. De beoogde maatregelen helpen met name de transitie naar schone energie te versnellen, met name door vergunningsprocedures te stroomlijnen om hernieuwbare energie sneller uit te rollen, door netwerken uit te breiden en te moderniseren om de nieuw gebouwde capaciteit voor hernieuwbare energie mogelijk te maken, door elektriciteitsopslagfaciliteiten te ondersteunen en door investeringen in de transmissie- en distributienetwerken in plattelandsgebieden te stimuleren om de</w:t>
      </w:r>
      <w:r>
        <w:rPr>
          <w:noProof/>
        </w:rPr>
        <w:t xml:space="preserve"> </w:t>
      </w:r>
      <w:r>
        <w:rPr>
          <w:rFonts w:ascii="Times New Roman" w:hAnsi="Times New Roman"/>
          <w:noProof/>
        </w:rPr>
        <w:t xml:space="preserve">capaciteit voor het aansluiten van nieuwe hernieuwbare energiebronnen op het net te vergroten, en door de ontwikkeling van offshorewindmolenparken te ondersteunen. Het helpt ook om belemmeringen voor de ontwikkeling van lokale hernieuwbare-energiegemeenschappen weg te nemen en de uitrol ervan te ondersteunen. Dit draagt bij tot een doeltreffende uitvoering van aanbevelingen om de uitfasering van fossiele brandstoffen en de uitrol van hernieuwbare energie te versnellen, en tot de hervorming van het rechtskader voor vergunningen voor netaansluitingen en voor hernieuwbare energiebronnen, met inbegrip van energiegemeenschappen, biomethaan en hernieuwbare waterstof (LSA 6.1-6.2 in 2022, LSA 4.1-4.2 in 2023). Om uitvoering te geven aan de aanbevelingen ter bevordering van duurzame vormen van openbaar vervoer (LSA 4.4 in 2023) en het gebruik van elektrische voertuigen (LSA 6.4 in 2022), omvat de component maatregelen om de vervoerssector koolstofvrij te maken, met name door vervuilende voertuigen voor openbaar vervoer in steden te vervangen door emissievrije voertuigen en door de vaststelling van een actieplan voor groen vervoer in overeenstemming met de klimaatdoelstellingen van de EU. Voorts omvat de component maatregelen om geïntegreerde diensten voor woningrenovatie te ondersteunen en fossiele brandstoffen voor de verwarming van woningen geleidelijk af te schaffen, in overeenstemming met de aanbevelingen om energiebesparingen te bevorderen, investeringen in energie-efficiëntie van gebouwen op te schalen en de warmtevoorziening voor stadsverwarming koolstofvrij te maken om energiearmoede aan te pakken (LSA 6.3). 2022 en LSA 4.3. 2023). De component is ook gericht op het actualiseren van de sectorale kwalificatiekaders voor de groene transitie, zoals aangemoedigd in de aanbevelingen om de beleidsinspanningen op te voeren die gericht zijn op het verstrekken en verwerven van de vaardigheden en competenties die nodig zijn voor de groene transitie (LSA 4.5 2023). Tot slot heeft een gerichte investering in gasinfrastructuur tot doel op evenredige en gerichte wijze tegemoet te komen aan de onmiddellijke behoeften inzake voorzieningszekerheid van Polen. Het Energiesteunfonds heeft tot doel particuliere investeringen aan te trekken en de toegang tot financiering in de cruciale sectoren voor de energietransitie te verbeteren. Dit helpt om gevolg te geven aan de aanbevelingen om de overheidsinvesteringen voor de digitale transitie en voor energiezekerheid uit te breiden, onder meer door gebruik te maken van de herstel- en veerkrachtfaciliteit, REPowerEU en andere EU-fondsen. (LSA 1.2 in 2022 en LSA 1.3 in 2023). </w:t>
      </w:r>
    </w:p>
    <w:p w14:paraId="26EAE652" w14:textId="11569872" w:rsidR="00480F1C" w:rsidRDefault="00A201F6">
      <w:pPr>
        <w:pStyle w:val="P68B1DB1-Normal36"/>
        <w:spacing w:before="120" w:after="120" w:line="240" w:lineRule="auto"/>
        <w:jc w:val="both"/>
        <w:rPr>
          <w:rFonts w:ascii="Times New Roman" w:eastAsia="Times New Roman" w:hAnsi="Times New Roman" w:cs="Times New Roman"/>
          <w:noProof/>
        </w:rPr>
      </w:pPr>
      <w:r>
        <w:rPr>
          <w:rFonts w:ascii="Times New Roman" w:hAnsi="Times New Roman"/>
          <w:noProof/>
        </w:rPr>
        <w:t xml:space="preserve">De meeste maatregelen in de component hebben een grensoverschrijdende of meerlandendimensie. Verschillende maatregelen waarborgen de energievoorziening in de Unie als geheel, met name de hervormingen die erop gericht zijn het gebruik van hernieuwbare energiebronnen, onder meer door energiegemeenschappen, en de aansluiting van dergelijke energiebronnen op het elektriciteitsnet te vergemakkelijken. Daarnaast omvat de component investeringen die gericht zijn op het ondersteunen van projecten op het gebied van hernieuwbare energie en het verbeteren van de integratie van hernieuwbare energie in het net. Andere hervormingen en investeringen dragen bij tot een hoger tempo van de renovatie van gebouwen en de verbetering van de energie-efficiëntie, waardoor de afhankelijkheid van fossiele brandstoffen wordt verminderd en de vraag naar energie afneemt. Deze maatregelen leveren ook een bijdrage aan </w:t>
      </w:r>
      <w:r>
        <w:rPr>
          <w:rFonts w:ascii="Times New Roman" w:eastAsia="Times New Roman" w:hAnsi="Times New Roman" w:cs="Times New Roman"/>
          <w:noProof/>
          <w:color w:val="333333"/>
        </w:rPr>
        <w:t>de bredere energie- en klimaatactie op EU-niveau.</w:t>
      </w:r>
    </w:p>
    <w:p w14:paraId="1C92935C" w14:textId="195547B3" w:rsidR="00480F1C" w:rsidRDefault="00A201F6">
      <w:pPr>
        <w:spacing w:before="120" w:after="120" w:line="240" w:lineRule="auto"/>
        <w:jc w:val="both"/>
        <w:rPr>
          <w:rFonts w:ascii="Times New Roman" w:hAnsi="Times New Roman" w:cs="Times New Roman"/>
          <w:noProof/>
          <w:sz w:val="24"/>
        </w:rPr>
      </w:pPr>
      <w:r>
        <w:rPr>
          <w:rFonts w:ascii="Times New Roman" w:hAnsi="Times New Roman"/>
          <w:noProof/>
          <w:sz w:val="24"/>
        </w:rPr>
        <w:t>Verwacht wordt dat geen enkele maatregel in deze component ernstige afbreuk doet aan milieudoelstellingen in de zin van artikel 17 van Verordening (EU) 2020/852, rekening houdend met de beschrijving van de maatregelen en de risicobeperkende stappen in het herstel- en veerkrachtplan overeenkomstig de technische richtsnoeren „geen ernstige afbreuk doen” (C (2023) 6454 final),</w:t>
      </w:r>
      <w:r>
        <w:rPr>
          <w:noProof/>
        </w:rPr>
        <w:t xml:space="preserve"> </w:t>
      </w:r>
      <w:r>
        <w:rPr>
          <w:rFonts w:ascii="Times New Roman" w:hAnsi="Times New Roman"/>
          <w:noProof/>
          <w:sz w:val="24"/>
        </w:rPr>
        <w:t>terwijl het beginsel „geen ernstige afbreuk doen” niet van toepassing is op maatregel G3.2.1. „Aanleg van aardgasinfrastructuur om de energiezekerheid te waarborgen”, overeenkomstig artikel 21 quater, lid 6, onder f), van Verordening (EU) 2021/241.</w:t>
      </w:r>
    </w:p>
    <w:p w14:paraId="58A87659" w14:textId="794E0FEE" w:rsidR="00480F1C" w:rsidRDefault="00A201F6">
      <w:pPr>
        <w:pStyle w:val="Text1"/>
        <w:ind w:left="0"/>
        <w:rPr>
          <w:b/>
          <w:noProof/>
        </w:rPr>
      </w:pPr>
      <w:r>
        <w:rPr>
          <w:b/>
          <w:noProof/>
        </w:rPr>
        <w:t xml:space="preserve">G1. </w:t>
      </w:r>
      <w:r>
        <w:rPr>
          <w:noProof/>
        </w:rPr>
        <w:tab/>
      </w:r>
      <w:r>
        <w:rPr>
          <w:b/>
          <w:noProof/>
        </w:rPr>
        <w:t>Beschrijving van de hervormingen en investeringen voor niet-terugbetaalbare financiële steun</w:t>
      </w:r>
    </w:p>
    <w:p w14:paraId="50582491" w14:textId="77777777" w:rsidR="00480F1C" w:rsidRDefault="00480F1C">
      <w:pPr>
        <w:spacing w:before="120" w:after="120" w:line="240" w:lineRule="auto"/>
        <w:rPr>
          <w:noProof/>
        </w:rPr>
      </w:pPr>
    </w:p>
    <w:p w14:paraId="51D1191C" w14:textId="26EF4A24" w:rsidR="00480F1C" w:rsidRDefault="00A201F6">
      <w:pPr>
        <w:pStyle w:val="Text1"/>
        <w:ind w:left="0"/>
        <w:rPr>
          <w:noProof/>
        </w:rPr>
      </w:pPr>
      <w:r>
        <w:rPr>
          <w:b/>
          <w:noProof/>
        </w:rPr>
        <w:t>Subcomponent G1.1 — Stimuleren van investeringen in hernieuwbare energiebronnen</w:t>
      </w:r>
      <w:r>
        <w:rPr>
          <w:noProof/>
        </w:rPr>
        <w:t xml:space="preserve"> </w:t>
      </w:r>
    </w:p>
    <w:p w14:paraId="5DBD2CC6" w14:textId="2A85BF1A" w:rsidR="00480F1C" w:rsidRDefault="00A201F6">
      <w:pPr>
        <w:pStyle w:val="P68B1DB1-Normal24"/>
        <w:spacing w:before="120" w:after="120" w:line="240" w:lineRule="auto"/>
        <w:jc w:val="both"/>
        <w:rPr>
          <w:rFonts w:cs="Times New Roman"/>
          <w:noProof/>
        </w:rPr>
      </w:pPr>
      <w:r>
        <w:rPr>
          <w:noProof/>
        </w:rPr>
        <w:t>De subcomponent heeft tot doel de ontwikkeling van installaties voor hernieuwbare energie die door energiegemeenschappen worden geëxploiteerd, aan te moedigen, met name door het kader te verbeteren om de versnelde uitrol van dergelijke gemeenschappen te stimuleren. Deze subcomponent omvat ook maatregelen ter ondersteuning van elektriciteitsopslag om hernieuwbare energiebronnen in het net te integreren, en maatregelen ter versterking van de administratieve en organisatorische capaciteit van de instellingen die betrokken zijn bij de uitvoering van REPowerEU-hervormingen en -investeringen en bij de processen voor projecten op het gebied van hernieuwbare energie.</w:t>
      </w:r>
    </w:p>
    <w:p w14:paraId="3D6B8D75" w14:textId="77777777" w:rsidR="00480F1C" w:rsidRDefault="00480F1C">
      <w:pPr>
        <w:spacing w:before="120" w:after="120" w:line="240" w:lineRule="auto"/>
        <w:jc w:val="both"/>
        <w:rPr>
          <w:rFonts w:ascii="Times New Roman" w:hAnsi="Times New Roman" w:cs="Times New Roman"/>
          <w:noProof/>
          <w:sz w:val="24"/>
        </w:rPr>
      </w:pPr>
    </w:p>
    <w:p w14:paraId="621EA010" w14:textId="55C45FBA" w:rsidR="00480F1C" w:rsidRDefault="00A201F6">
      <w:pPr>
        <w:pStyle w:val="P68B1DB1-Normal33"/>
        <w:spacing w:before="120" w:after="120" w:line="240" w:lineRule="auto"/>
        <w:jc w:val="both"/>
        <w:rPr>
          <w:rFonts w:cs="Times New Roman"/>
          <w:noProof/>
        </w:rPr>
      </w:pPr>
      <w:r>
        <w:rPr>
          <w:noProof/>
        </w:rPr>
        <w:t>G1.1.1 Bevordering van de ontwikkeling van lokale energiegemeenschappen</w:t>
      </w:r>
    </w:p>
    <w:p w14:paraId="4BEF687E" w14:textId="5B42AF98" w:rsidR="00480F1C" w:rsidRDefault="00A201F6">
      <w:pPr>
        <w:pStyle w:val="P68B1DB1-Normal24"/>
        <w:spacing w:before="120" w:after="120" w:line="240" w:lineRule="auto"/>
        <w:jc w:val="both"/>
        <w:rPr>
          <w:rFonts w:cs="Times New Roman"/>
          <w:noProof/>
        </w:rPr>
      </w:pPr>
      <w:r>
        <w:rPr>
          <w:noProof/>
        </w:rPr>
        <w:t xml:space="preserve">Het doel van de hervorming is het regelgevingskader voor energiegemeenschappen in Polen te verbeteren en de rol van burgers, bedrijven en lokale overheden in de energietransitie van het land te verbeteren. </w:t>
      </w:r>
    </w:p>
    <w:p w14:paraId="3A888C14" w14:textId="77777777" w:rsidR="00480F1C" w:rsidRDefault="00A201F6">
      <w:pPr>
        <w:pStyle w:val="P68B1DB1-Normal24"/>
        <w:spacing w:before="120" w:after="120" w:line="240" w:lineRule="auto"/>
        <w:jc w:val="both"/>
        <w:rPr>
          <w:rFonts w:cs="Times New Roman"/>
          <w:noProof/>
        </w:rPr>
      </w:pPr>
      <w:r>
        <w:rPr>
          <w:noProof/>
        </w:rPr>
        <w:t xml:space="preserve">De hervorming bestaat uit het uitvoeren van een analyse om regelgevende en administratieve knelpunten voor de ontwikkeling van energiegemeenschappen in kaart te brengen. De analyse omvat met name een beoordeling van de beleidskloven tussen het nationale en het EU-regelgevingskader, alsook de belemmeringen voor de ontwikkeling van deze gemeenschappen die voortvloeien uit i) de definitie van energiegemeenschappen, ii) de administratieve procedures voor de oprichting en exploitatie van energiegemeenschappen en iii) de taken, praktijken en rollen van systeembeheerders. In de analyse worden ook beleidsaanbevelingen opgesteld met het oog op de totstandbrenging van een faciliterend, eenvoudig en alomvattend kader voor energiegemeenschappen. </w:t>
      </w:r>
    </w:p>
    <w:p w14:paraId="2372C118" w14:textId="77777777" w:rsidR="00480F1C" w:rsidRDefault="00A201F6">
      <w:pPr>
        <w:pStyle w:val="P68B1DB1-Normal24"/>
        <w:spacing w:before="120" w:after="120" w:line="240" w:lineRule="auto"/>
        <w:jc w:val="both"/>
        <w:rPr>
          <w:rFonts w:eastAsia="Times New Roman" w:cs="Times New Roman"/>
          <w:noProof/>
        </w:rPr>
      </w:pPr>
      <w:r>
        <w:rPr>
          <w:noProof/>
        </w:rPr>
        <w:t>De uitvoering van de hervorming wordt uiterlijk op 30 juni 2024 voltooid.</w:t>
      </w:r>
    </w:p>
    <w:p w14:paraId="046689CB" w14:textId="77777777" w:rsidR="00480F1C" w:rsidRDefault="00480F1C">
      <w:pPr>
        <w:spacing w:before="120" w:after="120" w:line="240" w:lineRule="auto"/>
        <w:jc w:val="both"/>
        <w:rPr>
          <w:noProof/>
        </w:rPr>
      </w:pPr>
    </w:p>
    <w:p w14:paraId="6CC0DC94" w14:textId="3964CF8E" w:rsidR="00480F1C" w:rsidRDefault="00A201F6">
      <w:pPr>
        <w:pStyle w:val="P68B1DB1-Normal33"/>
        <w:spacing w:before="120" w:after="120" w:line="240" w:lineRule="auto"/>
        <w:jc w:val="both"/>
        <w:rPr>
          <w:rFonts w:cs="Times New Roman"/>
          <w:noProof/>
        </w:rPr>
      </w:pPr>
      <w:r>
        <w:rPr>
          <w:noProof/>
        </w:rPr>
        <w:t>G1.1.2 Door energiegemeenschappen uitgevoerde installaties voor hernieuwbare energiebronnen, met inbegrip van een opgeschaald deel</w:t>
      </w:r>
    </w:p>
    <w:p w14:paraId="3DDAFD92" w14:textId="3807A809" w:rsidR="00480F1C" w:rsidRDefault="00A201F6">
      <w:pPr>
        <w:spacing w:before="120" w:after="120" w:line="240" w:lineRule="auto"/>
        <w:jc w:val="both"/>
        <w:rPr>
          <w:rFonts w:ascii="Times New Roman" w:hAnsi="Times New Roman" w:cs="Times New Roman"/>
          <w:noProof/>
          <w:sz w:val="24"/>
        </w:rPr>
      </w:pPr>
      <w:r>
        <w:rPr>
          <w:rFonts w:ascii="Times New Roman" w:hAnsi="Times New Roman"/>
          <w:noProof/>
          <w:sz w:val="24"/>
        </w:rPr>
        <w:t>Het doel van deze investering is het stimuleren van de ontwikkeling van lokale hernieuwbare energiebronnen die worden uitgevoerd door energiegemeenschappen, met inbegrip van energieclusters, energiecoöperaties en andere energiegemeenschappen die voortvloeien uit de uitvoering van Richtlijn (EU) 2018/2001 ter bevordering</w:t>
      </w:r>
      <w:r>
        <w:rPr>
          <w:noProof/>
        </w:rPr>
        <w:t xml:space="preserve"> </w:t>
      </w:r>
      <w:r>
        <w:rPr>
          <w:rFonts w:ascii="Times New Roman" w:hAnsi="Times New Roman"/>
          <w:noProof/>
          <w:sz w:val="24"/>
        </w:rPr>
        <w:t xml:space="preserve">van het gebruik van energie uit hernieuwbare bronnen (RED II), met bijzondere aandacht voor de rol van lokale overheden (met name gemeenten en verenigingen van gemeenten) die dergelijke lokale energiegemeenschappen vormen. </w:t>
      </w:r>
    </w:p>
    <w:p w14:paraId="153EA1C8" w14:textId="7EBC3EF5" w:rsidR="00480F1C" w:rsidRDefault="00A201F6">
      <w:pPr>
        <w:pStyle w:val="P68B1DB1-Normal24"/>
        <w:spacing w:before="120" w:after="120" w:line="240" w:lineRule="auto"/>
        <w:jc w:val="both"/>
        <w:rPr>
          <w:rFonts w:cs="Times New Roman"/>
          <w:noProof/>
        </w:rPr>
      </w:pPr>
      <w:r>
        <w:rPr>
          <w:noProof/>
        </w:rPr>
        <w:t xml:space="preserve">Het steunprogramma vóór de investering bestaat uit de ontwikkeling van een juridisch en organisatorisch formaat en bedrijfsmodel voor het opzetten of ontwikkelen van een energiegemeenschap, en het voorbereiden van de nodige analyses en documentatie voor de investering. Dit programma ondersteunt onder meer strategieën voor de ontwikkeling van de lokale energiemarkt; analyses van de lokale vraag naar en het aanbod van energie; inventarissen van lokale energiebronnen (infrastructuur) en hun potentieel (zoals capaciteit om te voorzien in energieverbindingen); haalbaarheidsstudies, bedrijfsplannen, zorgvuldigheidsdocumenten; technische documentatie en bouwprojecten. </w:t>
      </w:r>
    </w:p>
    <w:p w14:paraId="1ED14409" w14:textId="29EBCAB4" w:rsidR="00480F1C" w:rsidRDefault="00A201F6">
      <w:pPr>
        <w:pStyle w:val="P68B1DB1-Normal24"/>
        <w:spacing w:before="120" w:after="120" w:line="240" w:lineRule="auto"/>
        <w:jc w:val="both"/>
        <w:rPr>
          <w:rFonts w:cs="Times New Roman"/>
          <w:noProof/>
        </w:rPr>
      </w:pPr>
      <w:r>
        <w:rPr>
          <w:noProof/>
        </w:rPr>
        <w:t>Als onderdeel van de investeringssteun dekt de financiering onder meer nieuwe technologieën die gericht zijn op de productie van hernieuwbare elektriciteit; aanvullende infrastructuur voor andere technologieën dan elektriciteit; bijbehorende infrastructuur voor hernieuwbare energie (zoals netwerkcomponenten en meters); energieopslagfaciliteiten en IT-software voor het beheer van energiegemeenschappen en energieoptimalisering. Steun uit het investeringsprogramma wordt toegekend op basis van een open en vergelijkende oproep tot het indienen van voorstellen die de deelname mogelijk maakt van de energiegemeenschappen die betrokken zijn bij de preinvesteringsfase.</w:t>
      </w:r>
    </w:p>
    <w:p w14:paraId="5D2BC098" w14:textId="77777777" w:rsidR="00480F1C" w:rsidRDefault="00A201F6">
      <w:pPr>
        <w:pStyle w:val="P68B1DB1-Normal24"/>
        <w:spacing w:before="120" w:after="120" w:line="240" w:lineRule="auto"/>
        <w:jc w:val="both"/>
        <w:rPr>
          <w:rFonts w:cs="Times New Roman"/>
          <w:noProof/>
        </w:rPr>
      </w:pPr>
      <w:r>
        <w:rPr>
          <w:noProof/>
        </w:rPr>
        <w:t xml:space="preserve">Het opgeschaalde deel van de investering bestaat uit het verstrekken van financiële preinvesteringssteun aan nog eens 61 energiegemeenschappen en investeringssteun aan nog eens 10 energiegemeenschappen. </w:t>
      </w:r>
    </w:p>
    <w:p w14:paraId="72887150" w14:textId="7F880F1F" w:rsidR="00480F1C" w:rsidRDefault="00A201F6">
      <w:pPr>
        <w:pStyle w:val="P68B1DB1-Normal24"/>
        <w:spacing w:before="120" w:after="120" w:line="257" w:lineRule="auto"/>
        <w:jc w:val="both"/>
        <w:rPr>
          <w:rFonts w:cs="Times New Roman"/>
          <w:noProof/>
        </w:rPr>
      </w:pPr>
      <w:r>
        <w:rPr>
          <w:noProof/>
        </w:rPr>
        <w:t xml:space="preserve">De uitvoering van de pre-investeringssteun wordt uiterlijk op 31 maart 2025 voltooid en die van de investeringssteun uiterlijk op 30 juni 2026. </w:t>
      </w:r>
    </w:p>
    <w:p w14:paraId="39F1559F" w14:textId="77777777" w:rsidR="00480F1C" w:rsidRDefault="00480F1C">
      <w:pPr>
        <w:spacing w:before="120" w:after="120" w:line="240" w:lineRule="auto"/>
        <w:jc w:val="both"/>
        <w:rPr>
          <w:rFonts w:ascii="Times New Roman" w:hAnsi="Times New Roman" w:cs="Times New Roman"/>
          <w:noProof/>
          <w:sz w:val="24"/>
        </w:rPr>
      </w:pPr>
    </w:p>
    <w:p w14:paraId="7A6E9079" w14:textId="16C0CFFD" w:rsidR="00480F1C" w:rsidRDefault="00A201F6">
      <w:pPr>
        <w:pStyle w:val="P68B1DB1-Normal33"/>
        <w:keepNext/>
        <w:spacing w:before="120" w:after="120" w:line="240" w:lineRule="auto"/>
        <w:jc w:val="both"/>
        <w:rPr>
          <w:noProof/>
        </w:rPr>
      </w:pPr>
      <w:r>
        <w:rPr>
          <w:noProof/>
        </w:rPr>
        <w:t>G1.1.3 Systemen voor energieopslag (niet-terugvorderbare steun)</w:t>
      </w:r>
    </w:p>
    <w:p w14:paraId="7EA95861" w14:textId="77777777" w:rsidR="00480F1C" w:rsidRDefault="00A201F6">
      <w:pPr>
        <w:pStyle w:val="P68B1DB1-Normal24"/>
        <w:spacing w:before="120" w:after="120" w:line="240" w:lineRule="auto"/>
        <w:jc w:val="both"/>
        <w:rPr>
          <w:rFonts w:cs="Times New Roman"/>
          <w:noProof/>
        </w:rPr>
      </w:pPr>
      <w:r>
        <w:rPr>
          <w:noProof/>
        </w:rPr>
        <w:t>Het doel van deze investering is de continuïteit van de elektriciteitsvoorziening aan afnemers te waarborgen en het gebruik van hernieuwbare energiebronnen efficiënter te maken door te investeren in technologieën om de elektriciteitsbalancering in het elektriciteitssysteem te vergemakkelijken.</w:t>
      </w:r>
    </w:p>
    <w:p w14:paraId="34350269" w14:textId="156665D7" w:rsidR="00480F1C" w:rsidRDefault="00A201F6">
      <w:pPr>
        <w:pStyle w:val="P68B1DB1-ListParagraph37"/>
        <w:numPr>
          <w:ilvl w:val="1"/>
          <w:numId w:val="26"/>
        </w:numPr>
        <w:spacing w:before="120" w:after="120" w:line="240" w:lineRule="auto"/>
        <w:ind w:left="567"/>
        <w:jc w:val="both"/>
        <w:rPr>
          <w:noProof/>
        </w:rPr>
      </w:pPr>
      <w:r>
        <w:rPr>
          <w:noProof/>
        </w:rPr>
        <w:t>De investering bestaat uit de invoering van een grootschalig batterijenergieopslagsysteem (BESS) voor de opslag van overtollige energie in het elektriciteitssysteem. Dit opslagsysteem heeft tot doel bij te dragen tot de technische balancering van hernieuwbare energiebronnen.</w:t>
      </w:r>
    </w:p>
    <w:p w14:paraId="70AA5454" w14:textId="77777777" w:rsidR="00480F1C" w:rsidRDefault="00A201F6">
      <w:pPr>
        <w:pStyle w:val="P68B1DB1-Normal24"/>
        <w:spacing w:before="120" w:after="120" w:line="240" w:lineRule="auto"/>
        <w:jc w:val="both"/>
        <w:rPr>
          <w:noProof/>
        </w:rPr>
      </w:pPr>
      <w:r>
        <w:rPr>
          <w:noProof/>
        </w:rPr>
        <w:t>De uitvoering van de investering moet uiterlijk op 30 juni 2026 zijn voltooid.</w:t>
      </w:r>
    </w:p>
    <w:p w14:paraId="517200B8" w14:textId="77777777" w:rsidR="00480F1C" w:rsidRDefault="00480F1C">
      <w:pPr>
        <w:spacing w:before="120" w:after="120" w:line="240" w:lineRule="auto"/>
        <w:jc w:val="both"/>
        <w:rPr>
          <w:rFonts w:ascii="Times New Roman" w:hAnsi="Times New Roman" w:cs="Times New Roman"/>
          <w:noProof/>
          <w:sz w:val="24"/>
        </w:rPr>
      </w:pPr>
    </w:p>
    <w:p w14:paraId="1D926365" w14:textId="145DB2C3" w:rsidR="00480F1C" w:rsidRDefault="00A201F6">
      <w:pPr>
        <w:pStyle w:val="P68B1DB1-Normal33"/>
        <w:keepNext/>
        <w:spacing w:before="120" w:after="120" w:line="240" w:lineRule="auto"/>
        <w:jc w:val="both"/>
        <w:rPr>
          <w:rFonts w:cs="Times New Roman"/>
          <w:noProof/>
        </w:rPr>
      </w:pPr>
      <w:r>
        <w:rPr>
          <w:noProof/>
        </w:rPr>
        <w:t>G1.1.4 Steun voor instellingen die REPowerEU-hervormingen en -investeringen uitvoeren</w:t>
      </w:r>
    </w:p>
    <w:p w14:paraId="13FBD749" w14:textId="0EA76EBA" w:rsidR="00480F1C" w:rsidRDefault="00A201F6">
      <w:pPr>
        <w:pStyle w:val="P68B1DB1-Normal24"/>
        <w:spacing w:before="120" w:after="120" w:line="240" w:lineRule="auto"/>
        <w:jc w:val="both"/>
        <w:rPr>
          <w:rFonts w:eastAsia="Times New Roman" w:cs="Times New Roman"/>
          <w:noProof/>
        </w:rPr>
      </w:pPr>
      <w:r>
        <w:rPr>
          <w:noProof/>
        </w:rPr>
        <w:t xml:space="preserve">Het doel van deze investering is de administratieve en organisatorische capaciteit te versterken van belangrijke overheidsinstellingen die betrokken zijn bij de uitvoering van de REPowerEU-hervormingen en -investeringen. Het is ook gericht op het ondersteunen van regelgevende, analytische en educatieve maatregelen met betrekking tot het energiesysteem in Polen, waaronder het verbeteren van de administratieve capaciteit voor vergunningsprocedures voor hernieuwbare energiebronnen en elektriciteitsnetwerken en/of de digitalisering van de ontwikkeling van het net en van het proces voor aansluiting op elektriciteitsnetwerken. </w:t>
      </w:r>
    </w:p>
    <w:p w14:paraId="3F7ECAD6" w14:textId="699FAB85" w:rsidR="00480F1C" w:rsidRDefault="00A201F6">
      <w:pPr>
        <w:pStyle w:val="P68B1DB1-Normal24"/>
        <w:spacing w:before="120" w:after="120" w:line="240" w:lineRule="auto"/>
        <w:jc w:val="both"/>
        <w:rPr>
          <w:rFonts w:eastAsia="Times New Roman" w:cs="Times New Roman"/>
          <w:noProof/>
        </w:rPr>
      </w:pPr>
      <w:r>
        <w:rPr>
          <w:noProof/>
        </w:rPr>
        <w:t>De investering voorziet in ondersteuning van de administratieve capaciteit van de centrale en lokale overheden en NGO’s.</w:t>
      </w:r>
    </w:p>
    <w:p w14:paraId="4E1120D0" w14:textId="39616E88" w:rsidR="00480F1C" w:rsidRDefault="00A201F6">
      <w:pPr>
        <w:pStyle w:val="P68B1DB1-Normal24"/>
        <w:spacing w:before="120" w:after="120" w:line="240" w:lineRule="auto"/>
        <w:jc w:val="both"/>
        <w:rPr>
          <w:rFonts w:eastAsia="Times New Roman" w:cs="Times New Roman"/>
          <w:noProof/>
        </w:rPr>
      </w:pPr>
      <w:r>
        <w:rPr>
          <w:noProof/>
        </w:rPr>
        <w:t>De steun omvat een verhoging van het aantal personeelsleden dat zich bezighoudt met de uitvoering van RepowerEU. In de centrale overheid worden ten minste 106 nieuwe voltijdequivalenten ingezet voor de uitvoering van de REPowerEU-hervormingen en -investeringen, met inbegrip van de digitalisering van vergunningsprocedures voor hernieuwbare energiebronnen en elektriciteitsnetwerken en de digitalisering van de ontwikkeling van het net en van het proces voor aansluiting op elektriciteitsnetwerken. De investering omvat ook steun voor ngo’s die zich bezighouden met de groene transitie en belast zijn met de uitvoering van projecten voor capaciteitsopbouw, met inbegrip van opleidingen, advies- en onderzoeksactiviteiten, alsook sociale campagnes.</w:t>
      </w:r>
    </w:p>
    <w:p w14:paraId="0224AEB2" w14:textId="5A8FF1F1" w:rsidR="00480F1C" w:rsidRDefault="00A201F6">
      <w:pPr>
        <w:pStyle w:val="P68B1DB1-Normal24"/>
        <w:spacing w:before="120" w:after="120" w:line="240" w:lineRule="auto"/>
        <w:jc w:val="both"/>
        <w:rPr>
          <w:rFonts w:cs="Times New Roman"/>
          <w:noProof/>
        </w:rPr>
      </w:pPr>
      <w:r>
        <w:rPr>
          <w:noProof/>
        </w:rPr>
        <w:t xml:space="preserve">De investering omvat ook de voltooiing en inwerkingtreding van een IT-instrument voor het Bureau voor energieregulering voor de toepassing van het nieuwe regelgevingsmodel als bedoeld in maatregel G1.2.1. </w:t>
      </w:r>
    </w:p>
    <w:p w14:paraId="544EA20D" w14:textId="77777777" w:rsidR="00480F1C" w:rsidRDefault="00A201F6">
      <w:pPr>
        <w:pStyle w:val="P68B1DB1-Normal24"/>
        <w:spacing w:before="120" w:after="120" w:line="240" w:lineRule="auto"/>
        <w:jc w:val="both"/>
        <w:rPr>
          <w:rFonts w:cs="Times New Roman"/>
          <w:noProof/>
        </w:rPr>
      </w:pPr>
      <w:r>
        <w:rPr>
          <w:noProof/>
        </w:rPr>
        <w:t>De uitvoering van de investering moet uiterlijk op 30 juni 2026 zijn voltooid.</w:t>
      </w:r>
    </w:p>
    <w:p w14:paraId="5DE89BD1" w14:textId="77777777" w:rsidR="00480F1C" w:rsidRDefault="00480F1C">
      <w:pPr>
        <w:spacing w:before="120" w:after="120" w:line="240" w:lineRule="auto"/>
        <w:jc w:val="both"/>
        <w:rPr>
          <w:rFonts w:ascii="Times New Roman" w:hAnsi="Times New Roman" w:cs="Times New Roman"/>
          <w:noProof/>
          <w:sz w:val="24"/>
        </w:rPr>
      </w:pPr>
    </w:p>
    <w:p w14:paraId="3FAE7DC3" w14:textId="2E002C6B" w:rsidR="00480F1C" w:rsidRDefault="00A201F6">
      <w:pPr>
        <w:pStyle w:val="P68B1DB1-Text138"/>
        <w:pageBreakBefore/>
        <w:ind w:left="0"/>
        <w:rPr>
          <w:noProof/>
        </w:rPr>
      </w:pPr>
      <w:r>
        <w:rPr>
          <w:noProof/>
        </w:rPr>
        <w:t>Subcomponent G1.2 — Herziening van de elektriciteitsnetten om de integratie van hernieuwbare energiebronnen te versnellen</w:t>
      </w:r>
    </w:p>
    <w:p w14:paraId="241B7DB4" w14:textId="5F418A28" w:rsidR="00480F1C" w:rsidRDefault="00A201F6">
      <w:pPr>
        <w:spacing w:before="120" w:after="120" w:line="240" w:lineRule="auto"/>
        <w:jc w:val="both"/>
        <w:rPr>
          <w:rFonts w:ascii="Times New Roman" w:hAnsi="Times New Roman" w:cs="Times New Roman"/>
          <w:noProof/>
          <w:sz w:val="24"/>
        </w:rPr>
      </w:pPr>
      <w:r>
        <w:rPr>
          <w:rFonts w:ascii="Times New Roman" w:hAnsi="Times New Roman"/>
          <w:noProof/>
          <w:sz w:val="24"/>
        </w:rPr>
        <w:t>De subcomponent is gericht op de invoering van passende instrumenten en upgrades voor de versnelde ontwikkeling van nieuwe installaties voor de productie van elektriciteit uit hernieuwbare bronnen.</w:t>
      </w:r>
      <w:r>
        <w:rPr>
          <w:noProof/>
        </w:rPr>
        <w:t xml:space="preserve"> </w:t>
      </w:r>
      <w:r>
        <w:rPr>
          <w:rFonts w:ascii="Times New Roman" w:hAnsi="Times New Roman"/>
          <w:noProof/>
          <w:sz w:val="24"/>
        </w:rPr>
        <w:t>Dit betekent dat belemmeringen voor de aansluiting op het net moeten worden weggenomen, dat nieuwe infrastructuur moet worden aangelegd en dat de bestaande netwerken moeten worden gemoderniseerd om hernieuwbare energie te halen uit de plaats waar ze wordt opgewekt.</w:t>
      </w:r>
    </w:p>
    <w:p w14:paraId="4DB23064" w14:textId="77777777" w:rsidR="00480F1C" w:rsidRDefault="00480F1C">
      <w:pPr>
        <w:spacing w:before="120" w:after="120" w:line="240" w:lineRule="auto"/>
        <w:jc w:val="both"/>
        <w:rPr>
          <w:rFonts w:ascii="Times New Roman" w:hAnsi="Times New Roman" w:cs="Times New Roman"/>
          <w:noProof/>
          <w:sz w:val="24"/>
        </w:rPr>
      </w:pPr>
    </w:p>
    <w:p w14:paraId="47F7498A" w14:textId="0809E594" w:rsidR="00480F1C" w:rsidRDefault="00A201F6">
      <w:pPr>
        <w:pStyle w:val="P68B1DB1-Normal33"/>
        <w:spacing w:before="120" w:after="120" w:line="240" w:lineRule="auto"/>
        <w:jc w:val="both"/>
        <w:rPr>
          <w:rFonts w:cs="Times New Roman"/>
          <w:noProof/>
        </w:rPr>
      </w:pPr>
      <w:r>
        <w:rPr>
          <w:noProof/>
        </w:rPr>
        <w:t>G1.2.1 Regelgevingsoplossingen voor een versnelde integratie van hernieuwbare energie in distributienetten</w:t>
      </w:r>
    </w:p>
    <w:p w14:paraId="74CD0B78" w14:textId="77777777" w:rsidR="00480F1C" w:rsidRDefault="00A201F6">
      <w:pPr>
        <w:pStyle w:val="P68B1DB1-Normal24"/>
        <w:spacing w:before="120" w:after="120" w:line="240" w:lineRule="auto"/>
        <w:jc w:val="both"/>
        <w:rPr>
          <w:rFonts w:cs="Times New Roman"/>
          <w:noProof/>
        </w:rPr>
      </w:pPr>
      <w:r>
        <w:rPr>
          <w:noProof/>
        </w:rPr>
        <w:t xml:space="preserve">Het doel van deze hervorming is het verbeteren van de capaciteit van het Bureau voor energieregelgeving om de netwerkontwikkelingsplannen van distributiesysteembeheerders te beoordelen en tarieven vast te stellen om een adequate tarifering van efficiënte en gerichte investeringen in de ontwikkeling van distributienetten mogelijk te maken teneinde belemmeringen voor de ontwikkeling van hernieuwbare energiebronnen weg te nemen. </w:t>
      </w:r>
    </w:p>
    <w:p w14:paraId="2AF71A0E" w14:textId="2E431151" w:rsidR="00480F1C" w:rsidRDefault="00A201F6">
      <w:pPr>
        <w:pStyle w:val="P68B1DB1-Normal24"/>
        <w:spacing w:before="120" w:after="120" w:line="240" w:lineRule="auto"/>
        <w:jc w:val="both"/>
        <w:rPr>
          <w:rFonts w:cs="Times New Roman"/>
          <w:noProof/>
        </w:rPr>
      </w:pPr>
      <w:r>
        <w:rPr>
          <w:noProof/>
        </w:rPr>
        <w:t>De hervorming bestaat uit de goedkeuring van een nieuw regelgevingsmodel door de nationale energieregulator, het Bureau voor energieregulering. Het nieuwe regelgevingsmodel stelt de nationale energieregulator in staat de investeringsbehoeften in verband met de ontwikkeling van distributienetten in de context van de snelle groei van hernieuwbare energiebronnen nauwkeuriger te identificeren en te beoordelen en deze in de distributietarieven weer te geven.</w:t>
      </w:r>
    </w:p>
    <w:p w14:paraId="5AAE4BB7" w14:textId="77777777" w:rsidR="00480F1C" w:rsidRDefault="00A201F6">
      <w:pPr>
        <w:pStyle w:val="P68B1DB1-Normal24"/>
        <w:spacing w:before="120" w:after="120" w:line="240" w:lineRule="auto"/>
        <w:jc w:val="both"/>
        <w:rPr>
          <w:noProof/>
        </w:rPr>
      </w:pPr>
      <w:r>
        <w:rPr>
          <w:noProof/>
        </w:rPr>
        <w:t>De uitvoering van de hervorming wordt uiterlijk op 31 maart 2025 voltooid.</w:t>
      </w:r>
    </w:p>
    <w:p w14:paraId="6B9B8039" w14:textId="77777777" w:rsidR="00480F1C" w:rsidRDefault="00480F1C">
      <w:pPr>
        <w:spacing w:before="120" w:after="120" w:line="240" w:lineRule="auto"/>
        <w:jc w:val="both"/>
        <w:rPr>
          <w:rFonts w:ascii="Times New Roman" w:hAnsi="Times New Roman" w:cs="Times New Roman"/>
          <w:noProof/>
          <w:sz w:val="24"/>
        </w:rPr>
      </w:pPr>
    </w:p>
    <w:p w14:paraId="4792F541" w14:textId="5296B305" w:rsidR="00480F1C" w:rsidRDefault="00A201F6">
      <w:pPr>
        <w:pStyle w:val="P68B1DB1-Normal33"/>
        <w:keepNext/>
        <w:spacing w:before="120" w:after="120" w:line="240" w:lineRule="auto"/>
        <w:jc w:val="both"/>
        <w:rPr>
          <w:rFonts w:cs="Times New Roman"/>
          <w:noProof/>
        </w:rPr>
      </w:pPr>
      <w:r>
        <w:rPr>
          <w:noProof/>
        </w:rPr>
        <w:t>G1.2.2 Het wegnemen van belemmeringen voor de integratie van hernieuwbare energiebronnen in elektriciteitsnetwerken</w:t>
      </w:r>
    </w:p>
    <w:p w14:paraId="6BD7A3D7" w14:textId="77777777" w:rsidR="00480F1C" w:rsidRDefault="00A201F6">
      <w:pPr>
        <w:pStyle w:val="P68B1DB1-Normal24"/>
        <w:spacing w:before="120" w:after="120" w:line="240" w:lineRule="auto"/>
        <w:jc w:val="both"/>
        <w:rPr>
          <w:rFonts w:cs="Times New Roman"/>
          <w:noProof/>
        </w:rPr>
      </w:pPr>
      <w:r>
        <w:rPr>
          <w:noProof/>
        </w:rPr>
        <w:t>Het doel van deze hervorming is de uitrol van nieuwe hernieuwbare energiebronnen te versnellen door belemmeringen voor hun integratie in elektriciteitstransmissie- en distributienetwerken weg te nemen.</w:t>
      </w:r>
    </w:p>
    <w:p w14:paraId="4AB55828" w14:textId="03352664" w:rsidR="00480F1C" w:rsidRDefault="00A201F6">
      <w:pPr>
        <w:spacing w:before="120" w:after="120" w:line="240" w:lineRule="auto"/>
        <w:jc w:val="both"/>
        <w:rPr>
          <w:rFonts w:ascii="Times New Roman" w:hAnsi="Times New Roman" w:cs="Times New Roman"/>
          <w:noProof/>
          <w:sz w:val="24"/>
        </w:rPr>
      </w:pPr>
      <w:r>
        <w:rPr>
          <w:rFonts w:ascii="Times New Roman" w:hAnsi="Times New Roman"/>
          <w:noProof/>
          <w:sz w:val="24"/>
        </w:rPr>
        <w:t>De hervorming heeft in de eerste plaats tot doel een rechtskader tot stand te brengen voor de aansluiting van meerdere hernieuwbare energiebronnen op één aansluitpunt (kabelbundeling). De nieuwe regels bieden producenten van hernieuwbare energie die een overeenkomst sluiten, onder de voorwaarden van de energiewet, de mogelijkheid om een aansluiting te delen, d.w.z. dezelfde aansluitcapaciteit te gebruiken op één aansluitpunt, met behoud van de mogelijkheid om contracten te sluiten voor de verkoop van de geproduceerde energie.</w:t>
      </w:r>
      <w:r>
        <w:rPr>
          <w:noProof/>
        </w:rPr>
        <w:t xml:space="preserve"> </w:t>
      </w:r>
      <w:r>
        <w:rPr>
          <w:rFonts w:ascii="Times New Roman" w:hAnsi="Times New Roman"/>
          <w:noProof/>
          <w:sz w:val="24"/>
        </w:rPr>
        <w:t xml:space="preserve">Daarnaast wordt de Wet hernieuwbare energiebronnen gewijzigd. De wijzigingen stellen entiteiten die in aanmerking komen voor steunregelingen voor hernieuwbare energiebronnen in staat hun aansluitcapaciteit te delen met andere installaties die op hetzelfde aansluitpunt zijn aangesloten, zonder het recht op steun waarin die wet voorziet, te verliezen. Van de installaties die één enkel aansluitpunt delen, kan slechts één van de installaties in aanmerking komen voor een steunregeling. </w:t>
      </w:r>
    </w:p>
    <w:p w14:paraId="2A03C37C" w14:textId="123EF7F4" w:rsidR="00480F1C" w:rsidRDefault="00A201F6">
      <w:pPr>
        <w:pStyle w:val="P68B1DB1-Normal24"/>
        <w:spacing w:before="120" w:after="120" w:line="240" w:lineRule="auto"/>
        <w:jc w:val="both"/>
        <w:rPr>
          <w:rFonts w:cs="Times New Roman"/>
          <w:noProof/>
        </w:rPr>
      </w:pPr>
      <w:r>
        <w:rPr>
          <w:noProof/>
        </w:rPr>
        <w:t xml:space="preserve">Ten tweede heeft de hervorming tot doel de reservering van capaciteit en de aansluiting van hernieuwbare energiebronnen op elektriciteitsnetten efficiënter te maken. De hervorming neemt de vorm aan van wetgevende en, in voorkomend geval, niet-wetgevingshandelingen met betrekking tot de regels inzake de aansluiting van installaties op elektriciteitsnetten, teneinde de transparantie en voorspelbaarheid van het aansluitproces te vergroten. </w:t>
      </w:r>
    </w:p>
    <w:p w14:paraId="5008EE76" w14:textId="77777777" w:rsidR="001B76A1" w:rsidRDefault="00A201F6" w:rsidP="001B76A1">
      <w:pPr>
        <w:pStyle w:val="P68B1DB1-Normal24"/>
        <w:spacing w:before="120" w:after="120" w:line="240" w:lineRule="auto"/>
        <w:jc w:val="both"/>
        <w:rPr>
          <w:noProof/>
        </w:rPr>
      </w:pPr>
      <w:r>
        <w:rPr>
          <w:noProof/>
        </w:rPr>
        <w:t>De uitvoering van dit onderdeel van de hervorming wordt uiterlijk op 31 december 2025 voltooid.</w:t>
      </w:r>
    </w:p>
    <w:p w14:paraId="1E11A2A8" w14:textId="0D715650" w:rsidR="00480F1C" w:rsidRPr="001B76A1" w:rsidRDefault="00A201F6" w:rsidP="001B76A1">
      <w:pPr>
        <w:pStyle w:val="P68B1DB1-Normal24"/>
        <w:spacing w:before="120" w:after="120" w:line="240" w:lineRule="auto"/>
        <w:jc w:val="both"/>
        <w:rPr>
          <w:rFonts w:cs="Times New Roman"/>
          <w:b/>
          <w:bCs/>
          <w:noProof/>
          <w:u w:val="single"/>
        </w:rPr>
      </w:pPr>
      <w:r w:rsidRPr="001B76A1">
        <w:rPr>
          <w:b/>
          <w:bCs/>
          <w:noProof/>
          <w:u w:val="single"/>
        </w:rPr>
        <w:t>G1.2.3 Ontwikkeling van transmissienetwerken, slimme elektriciteitsinfrastructuur, met inbegrip van een opgeschaald deel</w:t>
      </w:r>
    </w:p>
    <w:p w14:paraId="2599D1A9" w14:textId="02C010B3" w:rsidR="00480F1C" w:rsidRDefault="00A201F6">
      <w:pPr>
        <w:pStyle w:val="P68B1DB1-Normal24"/>
        <w:spacing w:before="120" w:after="120" w:line="240" w:lineRule="auto"/>
        <w:jc w:val="both"/>
        <w:rPr>
          <w:rFonts w:eastAsia="Times New Roman" w:cs="Times New Roman"/>
          <w:noProof/>
        </w:rPr>
      </w:pPr>
      <w:r>
        <w:rPr>
          <w:noProof/>
          <w:color w:val="000000" w:themeColor="text1"/>
        </w:rPr>
        <w:t xml:space="preserve">Het doel van deze investering is de transmissienetwerken in verschillende regio’s uit te breiden, te moderniseren en te digitaliseren, met inbegrip van de uitbreiding van de verbindingen tussen noordelijke en zuidelijke delen van het land, </w:t>
      </w:r>
      <w:r>
        <w:rPr>
          <w:noProof/>
        </w:rPr>
        <w:t xml:space="preserve">waardoor de integratie van hernieuwbare energiebronnen in het elektriciteitssysteem wordt vergemakkelijkt. </w:t>
      </w:r>
    </w:p>
    <w:p w14:paraId="190D16F0" w14:textId="5DFC277E" w:rsidR="00480F1C" w:rsidRDefault="00A201F6">
      <w:pPr>
        <w:pStyle w:val="P68B1DB1-Normal24"/>
        <w:spacing w:before="120" w:after="120" w:line="240" w:lineRule="auto"/>
        <w:jc w:val="both"/>
        <w:rPr>
          <w:rFonts w:eastAsia="Times New Roman" w:cs="Times New Roman"/>
          <w:noProof/>
        </w:rPr>
      </w:pPr>
      <w:r>
        <w:rPr>
          <w:noProof/>
          <w:color w:val="000000" w:themeColor="text1"/>
        </w:rPr>
        <w:t>De investering bestaat uit de ontwikkeling van</w:t>
      </w:r>
      <w:r>
        <w:rPr>
          <w:noProof/>
          <w:color w:val="FF0000"/>
        </w:rPr>
        <w:t xml:space="preserve"> </w:t>
      </w:r>
      <w:r>
        <w:rPr>
          <w:noProof/>
          <w:color w:val="000000" w:themeColor="text1"/>
        </w:rPr>
        <w:t xml:space="preserve">transmissielijnen van 400 kV en 220 kV in combinatie met de bouw of modernisering van relevante stations. Bij de investering wordt het nieuwe centrale informatiesysteem voor de energiemarkt (CSIRE) ingevoerd met een systeem voor de analyse van de energiekwaliteit dat de digitalisering van de elektriciteitsinfrastructuur verder ondersteunt. Tot slot worden drie </w:t>
      </w:r>
      <w:r>
        <w:rPr>
          <w:noProof/>
        </w:rPr>
        <w:t xml:space="preserve">nieuwe, verbeterde of uitgebreide ICT-systemen voor gegevensverwerking en systeembeheer ontwikkeld ter ondersteuning van de werking van transmissienetwerken en datacentra. </w:t>
      </w:r>
    </w:p>
    <w:p w14:paraId="2635C729" w14:textId="77777777" w:rsidR="00480F1C" w:rsidRDefault="00A201F6">
      <w:pPr>
        <w:pStyle w:val="P68B1DB1-Normal24"/>
        <w:spacing w:before="120" w:after="120" w:line="240" w:lineRule="auto"/>
        <w:jc w:val="both"/>
        <w:rPr>
          <w:rFonts w:cs="Times New Roman"/>
          <w:noProof/>
        </w:rPr>
      </w:pPr>
      <w:r>
        <w:rPr>
          <w:noProof/>
        </w:rPr>
        <w:t>De uitvoering van de investering moet uiterlijk op 30 juni 2026 zijn voltooid.</w:t>
      </w:r>
    </w:p>
    <w:p w14:paraId="78263ECA" w14:textId="77777777" w:rsidR="00480F1C" w:rsidRDefault="00480F1C">
      <w:pPr>
        <w:spacing w:before="120" w:after="120" w:line="240" w:lineRule="auto"/>
        <w:jc w:val="both"/>
        <w:rPr>
          <w:rFonts w:ascii="Times New Roman" w:hAnsi="Times New Roman" w:cs="Times New Roman"/>
          <w:noProof/>
          <w:sz w:val="24"/>
        </w:rPr>
      </w:pPr>
    </w:p>
    <w:p w14:paraId="6E43D5D9" w14:textId="13E178E8" w:rsidR="00480F1C" w:rsidRDefault="00A201F6">
      <w:pPr>
        <w:pStyle w:val="P68B1DB1-Normal33"/>
        <w:keepNext/>
        <w:spacing w:before="120" w:after="120" w:line="240" w:lineRule="auto"/>
        <w:jc w:val="both"/>
        <w:rPr>
          <w:rFonts w:cs="Times New Roman"/>
          <w:noProof/>
        </w:rPr>
      </w:pPr>
      <w:r>
        <w:rPr>
          <w:noProof/>
        </w:rPr>
        <w:t>G1.2.4 Bouw of modernisering van elektriciteitsdistributienetwerken in plattelandsgebieden om de aansluiting van nieuwe hernieuwbare energiebronnen mogelijk te maken</w:t>
      </w:r>
    </w:p>
    <w:p w14:paraId="4CF5CEBE" w14:textId="2605A4D9" w:rsidR="00480F1C" w:rsidRDefault="00A201F6">
      <w:pPr>
        <w:pStyle w:val="P68B1DB1-Normal24"/>
        <w:spacing w:before="120" w:after="120" w:line="240" w:lineRule="auto"/>
        <w:jc w:val="both"/>
        <w:rPr>
          <w:rFonts w:cs="Times New Roman"/>
          <w:noProof/>
        </w:rPr>
      </w:pPr>
      <w:r>
        <w:rPr>
          <w:noProof/>
        </w:rPr>
        <w:t xml:space="preserve">Het doel van deze investering is de </w:t>
      </w:r>
      <w:r>
        <w:rPr>
          <w:noProof/>
          <w:color w:val="000000" w:themeColor="text1"/>
        </w:rPr>
        <w:t>bouw, modernisering en digitalisering van elektriciteitsdistributienetwerken in plattelandsgebieden</w:t>
      </w:r>
      <w:r>
        <w:rPr>
          <w:noProof/>
        </w:rPr>
        <w:t xml:space="preserve"> te ondersteunen, teneinde de aansluiting van nieuwe hernieuwbare energiebronnen in deze gebieden mogelijk te maken.</w:t>
      </w:r>
    </w:p>
    <w:p w14:paraId="792679C5" w14:textId="37CB42FF" w:rsidR="00480F1C" w:rsidRDefault="00A201F6">
      <w:pPr>
        <w:pStyle w:val="P68B1DB1-Normal24"/>
        <w:spacing w:before="120" w:after="120" w:line="240" w:lineRule="auto"/>
        <w:jc w:val="both"/>
        <w:rPr>
          <w:rFonts w:cs="Times New Roman"/>
          <w:noProof/>
        </w:rPr>
      </w:pPr>
      <w:r>
        <w:rPr>
          <w:noProof/>
        </w:rPr>
        <w:t>De investering bestaat uit de aanleg of modernisering van 880 km distributienetten, met inbegrip van de nodige stations en de integratie van de functionaliteiten van slimme netwerken. De Poolse autoriteiten identificeren eerst de projecten die deel uitmaken van de aangelegde of gemoderniseerde netwerken.</w:t>
      </w:r>
    </w:p>
    <w:p w14:paraId="0D09312F" w14:textId="77777777" w:rsidR="00480F1C" w:rsidRDefault="00A201F6">
      <w:pPr>
        <w:pStyle w:val="P68B1DB1-Normal24"/>
        <w:spacing w:before="120" w:after="120" w:line="240" w:lineRule="auto"/>
        <w:jc w:val="both"/>
        <w:rPr>
          <w:rFonts w:cs="Times New Roman"/>
          <w:noProof/>
        </w:rPr>
      </w:pPr>
      <w:r>
        <w:rPr>
          <w:noProof/>
        </w:rPr>
        <w:t>De uitvoering van deze maatregel moet uiterlijk op 30 juni 2026 zijn voltooid.</w:t>
      </w:r>
    </w:p>
    <w:p w14:paraId="04ED9D92" w14:textId="77777777" w:rsidR="00480F1C" w:rsidRDefault="00480F1C">
      <w:pPr>
        <w:spacing w:before="120" w:after="120" w:line="257" w:lineRule="auto"/>
        <w:jc w:val="both"/>
        <w:rPr>
          <w:rFonts w:ascii="Times New Roman" w:hAnsi="Times New Roman" w:cs="Times New Roman"/>
          <w:noProof/>
          <w:sz w:val="24"/>
        </w:rPr>
      </w:pPr>
    </w:p>
    <w:p w14:paraId="62846599" w14:textId="2B51080D" w:rsidR="00480F1C" w:rsidRDefault="00A201F6">
      <w:pPr>
        <w:pStyle w:val="P68B1DB1-Text138"/>
        <w:ind w:left="0"/>
        <w:rPr>
          <w:noProof/>
        </w:rPr>
      </w:pPr>
      <w:r>
        <w:rPr>
          <w:noProof/>
        </w:rPr>
        <w:t>Subcomponent G1.3 — Ontwikkeling van duurzaam vervoer</w:t>
      </w:r>
    </w:p>
    <w:p w14:paraId="0C3A7A86" w14:textId="7ADA9B03" w:rsidR="00480F1C" w:rsidRDefault="00A201F6">
      <w:pPr>
        <w:spacing w:before="120" w:after="120" w:line="240" w:lineRule="auto"/>
        <w:jc w:val="both"/>
        <w:rPr>
          <w:rFonts w:ascii="Times New Roman" w:hAnsi="Times New Roman" w:cs="Times New Roman"/>
          <w:noProof/>
          <w:sz w:val="24"/>
        </w:rPr>
      </w:pPr>
      <w:r>
        <w:rPr>
          <w:rFonts w:ascii="Times New Roman" w:hAnsi="Times New Roman"/>
          <w:noProof/>
          <w:sz w:val="24"/>
        </w:rPr>
        <w:t>De subcomponent is gericht op de ondersteuning van duurzaam vervoer met het oog op de</w:t>
      </w:r>
      <w:r>
        <w:rPr>
          <w:noProof/>
        </w:rPr>
        <w:t xml:space="preserve"> </w:t>
      </w:r>
      <w:r>
        <w:rPr>
          <w:rFonts w:ascii="Times New Roman" w:hAnsi="Times New Roman"/>
          <w:noProof/>
          <w:sz w:val="24"/>
        </w:rPr>
        <w:t>vermindering van de uitstoot van broeikasgassen en de luchtverontreiniging in Polen. De subcomponent omvat met name maatregelen voor de aankoop van nieuwe elektrische bussen en een actieplan voor een duurzame transformatie van de vervoerssector.</w:t>
      </w:r>
    </w:p>
    <w:p w14:paraId="3A7B1549" w14:textId="77777777" w:rsidR="00480F1C" w:rsidRDefault="00480F1C">
      <w:pPr>
        <w:spacing w:before="120" w:after="120" w:line="240" w:lineRule="auto"/>
        <w:jc w:val="both"/>
        <w:rPr>
          <w:rFonts w:ascii="Times New Roman" w:hAnsi="Times New Roman" w:cs="Times New Roman"/>
          <w:noProof/>
          <w:sz w:val="24"/>
        </w:rPr>
      </w:pPr>
    </w:p>
    <w:p w14:paraId="1EEC6A9D" w14:textId="7E46A23B" w:rsidR="00480F1C" w:rsidRDefault="00A201F6">
      <w:pPr>
        <w:pStyle w:val="P68B1DB1-Normal33"/>
        <w:spacing w:before="120" w:after="120" w:line="240" w:lineRule="auto"/>
        <w:jc w:val="both"/>
        <w:rPr>
          <w:rFonts w:cs="Times New Roman"/>
          <w:noProof/>
        </w:rPr>
      </w:pPr>
      <w:r>
        <w:rPr>
          <w:noProof/>
        </w:rPr>
        <w:t>G1.3.1 Ondersteuning van duurzaam vervoer</w:t>
      </w:r>
    </w:p>
    <w:p w14:paraId="6EC2BB62" w14:textId="60343318" w:rsidR="00480F1C" w:rsidRDefault="00A201F6">
      <w:pPr>
        <w:pStyle w:val="P68B1DB1-Normal24"/>
        <w:spacing w:before="120" w:after="120" w:line="240" w:lineRule="auto"/>
        <w:jc w:val="both"/>
        <w:rPr>
          <w:rFonts w:cs="Times New Roman"/>
          <w:noProof/>
        </w:rPr>
      </w:pPr>
      <w:r>
        <w:rPr>
          <w:noProof/>
        </w:rPr>
        <w:t xml:space="preserve">Het doel van de hervorming is bij te dragen tot de vermindering van de uitstoot van broeikasgassen en luchtverontreinigende stoffen door het vervoer.  </w:t>
      </w:r>
    </w:p>
    <w:p w14:paraId="3F9BA134" w14:textId="42703A09" w:rsidR="00480F1C" w:rsidRDefault="00A201F6">
      <w:pPr>
        <w:pStyle w:val="P68B1DB1-Normal24"/>
        <w:spacing w:before="120" w:after="120" w:line="240" w:lineRule="auto"/>
        <w:jc w:val="both"/>
        <w:rPr>
          <w:rFonts w:cs="Times New Roman"/>
          <w:noProof/>
        </w:rPr>
      </w:pPr>
      <w:r>
        <w:rPr>
          <w:noProof/>
        </w:rPr>
        <w:t xml:space="preserve">Dit doel wordt bereikt door de opstelling van een actieplan voor duurzaam vervoer in Polen, dat wordt geschraagd door een analyse van de maatregelen die reeds zijn opgenomen in bestaande strategische documenten op nationaal niveau. In het actieplan worden de prioritaire hervormingen en investeringen vastgesteld die nodig zijn voor een duurzame transformatie van de Poolse vervoerssector in overeenstemming met de klimaatdoelstellingen van de EU. </w:t>
      </w:r>
    </w:p>
    <w:p w14:paraId="50841272" w14:textId="77777777" w:rsidR="00480F1C" w:rsidRDefault="00A201F6">
      <w:pPr>
        <w:pStyle w:val="P68B1DB1-Normal24"/>
        <w:spacing w:before="120" w:after="120" w:line="240" w:lineRule="auto"/>
        <w:jc w:val="both"/>
        <w:rPr>
          <w:rFonts w:cs="Times New Roman"/>
          <w:noProof/>
        </w:rPr>
      </w:pPr>
      <w:r>
        <w:rPr>
          <w:noProof/>
        </w:rPr>
        <w:t>De uitvoering van de hervorming wordt uiterlijk op 30 september 2025 voltooid.</w:t>
      </w:r>
    </w:p>
    <w:p w14:paraId="0BE2B602" w14:textId="05B0354C" w:rsidR="00480F1C" w:rsidRDefault="00A201F6">
      <w:pPr>
        <w:pStyle w:val="P68B1DB1-Normal33"/>
        <w:keepNext/>
        <w:pageBreakBefore/>
        <w:spacing w:before="120" w:after="120" w:line="240" w:lineRule="auto"/>
        <w:jc w:val="both"/>
        <w:rPr>
          <w:rFonts w:cs="Times New Roman"/>
          <w:noProof/>
        </w:rPr>
      </w:pPr>
      <w:r>
        <w:rPr>
          <w:noProof/>
        </w:rPr>
        <w:t>G1.3.2 Grootemissievrij collectief vervoer (bussen)</w:t>
      </w:r>
    </w:p>
    <w:p w14:paraId="136D12F7" w14:textId="30ABE16E" w:rsidR="00480F1C" w:rsidRDefault="00A201F6">
      <w:pPr>
        <w:pStyle w:val="P68B1DB1-Normal24"/>
        <w:spacing w:before="120" w:after="120" w:line="240" w:lineRule="auto"/>
        <w:jc w:val="both"/>
        <w:rPr>
          <w:rFonts w:cs="Times New Roman"/>
          <w:noProof/>
        </w:rPr>
      </w:pPr>
      <w:r>
        <w:rPr>
          <w:noProof/>
        </w:rPr>
        <w:t>De investering is bedoeld om het openbaar vervoer schoner en aantrekkelijker te maken in stedelijke gebieden.</w:t>
      </w:r>
    </w:p>
    <w:p w14:paraId="5A7D55F6" w14:textId="77777777" w:rsidR="00480F1C" w:rsidRDefault="00A201F6">
      <w:pPr>
        <w:pStyle w:val="P68B1DB1-Normal24"/>
        <w:spacing w:before="120" w:after="120" w:line="240" w:lineRule="auto"/>
        <w:jc w:val="both"/>
        <w:rPr>
          <w:rFonts w:cs="Times New Roman"/>
          <w:noProof/>
        </w:rPr>
      </w:pPr>
      <w:r>
        <w:rPr>
          <w:noProof/>
        </w:rPr>
        <w:t>De investering bestaat uit de aankoop van 1159 emissievrije (elektrische) bussen voor stadsvervoer.</w:t>
      </w:r>
    </w:p>
    <w:p w14:paraId="15579C1B" w14:textId="77777777" w:rsidR="00480F1C" w:rsidRDefault="00A201F6">
      <w:pPr>
        <w:pStyle w:val="P68B1DB1-Normal24"/>
        <w:spacing w:before="120" w:after="120" w:line="240" w:lineRule="auto"/>
        <w:jc w:val="both"/>
        <w:rPr>
          <w:rFonts w:cs="Times New Roman"/>
          <w:noProof/>
        </w:rPr>
      </w:pPr>
      <w:r>
        <w:rPr>
          <w:noProof/>
        </w:rPr>
        <w:t>De uitvoering van de investering moet uiterlijk op 30 juni 2026 zijn voltooid.</w:t>
      </w:r>
    </w:p>
    <w:p w14:paraId="3079372C" w14:textId="77777777" w:rsidR="00480F1C" w:rsidRDefault="00480F1C">
      <w:pPr>
        <w:spacing w:before="120" w:after="120" w:line="240" w:lineRule="auto"/>
        <w:jc w:val="both"/>
        <w:rPr>
          <w:rFonts w:ascii="Times New Roman" w:hAnsi="Times New Roman" w:cs="Times New Roman"/>
          <w:noProof/>
          <w:sz w:val="24"/>
        </w:rPr>
      </w:pPr>
    </w:p>
    <w:p w14:paraId="62D654B5" w14:textId="77777777" w:rsidR="00480F1C" w:rsidRDefault="00480F1C">
      <w:pPr>
        <w:spacing w:before="120" w:after="120" w:line="240" w:lineRule="auto"/>
        <w:jc w:val="both"/>
        <w:rPr>
          <w:rFonts w:ascii="Times New Roman" w:hAnsi="Times New Roman" w:cs="Times New Roman"/>
          <w:noProof/>
          <w:sz w:val="24"/>
        </w:rPr>
      </w:pPr>
    </w:p>
    <w:p w14:paraId="7D12CB39" w14:textId="34272432" w:rsidR="00480F1C" w:rsidRDefault="00A201F6">
      <w:pPr>
        <w:rPr>
          <w:rFonts w:ascii="Times New Roman" w:hAnsi="Times New Roman" w:cs="Times New Roman"/>
          <w:noProof/>
          <w:sz w:val="24"/>
        </w:rPr>
      </w:pPr>
      <w:r>
        <w:rPr>
          <w:noProof/>
        </w:rPr>
        <w:br w:type="page"/>
      </w:r>
    </w:p>
    <w:p w14:paraId="310557A6" w14:textId="5FE3599C" w:rsidR="00480F1C" w:rsidRDefault="00480F1C">
      <w:pPr>
        <w:pStyle w:val="Heading1"/>
        <w:spacing w:before="120"/>
        <w:ind w:left="0" w:firstLine="0"/>
        <w:rPr>
          <w:noProof/>
        </w:rPr>
        <w:sectPr w:rsidR="00480F1C" w:rsidSect="0075062A">
          <w:headerReference w:type="even" r:id="rId163"/>
          <w:headerReference w:type="default" r:id="rId164"/>
          <w:footerReference w:type="even" r:id="rId165"/>
          <w:footerReference w:type="default" r:id="rId166"/>
          <w:headerReference w:type="first" r:id="rId167"/>
          <w:footerReference w:type="first" r:id="rId168"/>
          <w:pgSz w:w="11907" w:h="16839"/>
          <w:pgMar w:top="720" w:right="1417" w:bottom="720" w:left="1418" w:header="709" w:footer="709" w:gutter="0"/>
          <w:cols w:space="720"/>
          <w:docGrid w:linePitch="299"/>
        </w:sectPr>
      </w:pPr>
    </w:p>
    <w:p w14:paraId="1081DF1E" w14:textId="0A10CB0A" w:rsidR="00480F1C" w:rsidRDefault="00A201F6">
      <w:pPr>
        <w:pStyle w:val="Text1"/>
        <w:ind w:left="0"/>
        <w:rPr>
          <w:b/>
          <w:smallCaps/>
          <w:noProof/>
        </w:rPr>
      </w:pPr>
      <w:r>
        <w:rPr>
          <w:b/>
          <w:noProof/>
        </w:rPr>
        <w:t xml:space="preserve">G2. </w:t>
      </w:r>
      <w:r>
        <w:rPr>
          <w:noProof/>
        </w:rPr>
        <w:tab/>
      </w:r>
      <w:r>
        <w:rPr>
          <w:b/>
          <w:noProof/>
        </w:rPr>
        <w:t>Mijlpalen, streefdoelen, indicatoren en tijdschema voor de monitoring en uitvoering voor niet-terugbetaalbare financiële steun</w:t>
      </w:r>
    </w:p>
    <w:p w14:paraId="61592A82" w14:textId="77777777" w:rsidR="00480F1C" w:rsidRDefault="00480F1C">
      <w:pPr>
        <w:spacing w:before="120" w:after="120" w:line="240" w:lineRule="auto"/>
        <w:rPr>
          <w:noProof/>
        </w:rPr>
      </w:pPr>
    </w:p>
    <w:p w14:paraId="2E30936F" w14:textId="7F45DA47" w:rsidR="00480F1C" w:rsidRDefault="00A201F6">
      <w:pPr>
        <w:pStyle w:val="P68B1DB1-Text138"/>
        <w:ind w:left="0"/>
        <w:rPr>
          <w:noProof/>
        </w:rPr>
      </w:pPr>
      <w:r>
        <w:rPr>
          <w:noProof/>
        </w:rPr>
        <w:t xml:space="preserve">Subcomponent G1.1 — Stimuleren van investeringen in hernieuwbare energiebronnen </w:t>
      </w:r>
    </w:p>
    <w:p w14:paraId="2D6C5469" w14:textId="77777777" w:rsidR="00480F1C" w:rsidRDefault="00480F1C">
      <w:pPr>
        <w:rPr>
          <w:noProof/>
        </w:rPr>
      </w:pPr>
    </w:p>
    <w:tbl>
      <w:tblPr>
        <w:tblW w:w="15304" w:type="dxa"/>
        <w:jc w:val="center"/>
        <w:tblLayout w:type="fixed"/>
        <w:tblLook w:val="02A0" w:firstRow="1" w:lastRow="0" w:firstColumn="1" w:lastColumn="0" w:noHBand="1" w:noVBand="0"/>
      </w:tblPr>
      <w:tblGrid>
        <w:gridCol w:w="988"/>
        <w:gridCol w:w="1393"/>
        <w:gridCol w:w="1060"/>
        <w:gridCol w:w="1888"/>
        <w:gridCol w:w="1754"/>
        <w:gridCol w:w="1027"/>
        <w:gridCol w:w="957"/>
        <w:gridCol w:w="709"/>
        <w:gridCol w:w="921"/>
        <w:gridCol w:w="922"/>
        <w:gridCol w:w="3685"/>
      </w:tblGrid>
      <w:tr w:rsidR="00480F1C" w14:paraId="52229367" w14:textId="77777777">
        <w:trPr>
          <w:trHeight w:val="927"/>
          <w:tblHeader/>
          <w:jc w:val="center"/>
        </w:trPr>
        <w:tc>
          <w:tcPr>
            <w:tcW w:w="988"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64B05203" w14:textId="0FCACFA5" w:rsidR="00480F1C" w:rsidRDefault="00A201F6">
            <w:pPr>
              <w:pStyle w:val="P68B1DB1-Normal39"/>
              <w:spacing w:after="0" w:line="240" w:lineRule="auto"/>
              <w:ind w:left="-25"/>
              <w:jc w:val="center"/>
              <w:rPr>
                <w:rFonts w:eastAsia="Times New Roman" w:cs="Times New Roman"/>
                <w:noProof/>
              </w:rPr>
            </w:pPr>
            <w:r>
              <w:rPr>
                <w:noProof/>
              </w:rPr>
              <w:t>Volgende NR.</w:t>
            </w:r>
          </w:p>
        </w:tc>
        <w:tc>
          <w:tcPr>
            <w:tcW w:w="1393"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5B47398B" w14:textId="77777777" w:rsidR="00480F1C" w:rsidRDefault="00A201F6">
            <w:pPr>
              <w:pStyle w:val="P68B1DB1-Normal40"/>
              <w:spacing w:after="0" w:line="240" w:lineRule="auto"/>
              <w:jc w:val="center"/>
              <w:rPr>
                <w:rFonts w:eastAsia="Times New Roman" w:cs="Times New Roman"/>
                <w:noProof/>
                <w:sz w:val="24"/>
              </w:rPr>
            </w:pPr>
            <w:r>
              <w:rPr>
                <w:noProof/>
              </w:rPr>
              <w:t>Gerelateerde maatregel (hervorming of investering)</w:t>
            </w:r>
          </w:p>
        </w:tc>
        <w:tc>
          <w:tcPr>
            <w:tcW w:w="1060"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56777E62" w14:textId="77777777" w:rsidR="00480F1C" w:rsidRDefault="00A201F6">
            <w:pPr>
              <w:pStyle w:val="P68B1DB1-Normal40"/>
              <w:spacing w:after="0" w:line="240" w:lineRule="auto"/>
              <w:jc w:val="center"/>
              <w:rPr>
                <w:rFonts w:eastAsia="Times New Roman" w:cs="Times New Roman"/>
                <w:noProof/>
                <w:sz w:val="24"/>
              </w:rPr>
            </w:pPr>
            <w:r>
              <w:rPr>
                <w:noProof/>
              </w:rPr>
              <w:t>Mijlpaal/Doelstelling</w:t>
            </w:r>
          </w:p>
        </w:tc>
        <w:tc>
          <w:tcPr>
            <w:tcW w:w="1888"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41385D3A" w14:textId="77777777" w:rsidR="00480F1C" w:rsidRDefault="00A201F6">
            <w:pPr>
              <w:pStyle w:val="P68B1DB1-Normal40"/>
              <w:spacing w:after="0" w:line="240" w:lineRule="auto"/>
              <w:jc w:val="center"/>
              <w:rPr>
                <w:rFonts w:eastAsia="Times New Roman" w:cs="Times New Roman"/>
                <w:noProof/>
                <w:sz w:val="24"/>
              </w:rPr>
            </w:pPr>
            <w:r>
              <w:rPr>
                <w:noProof/>
              </w:rPr>
              <w:t>Naam</w:t>
            </w:r>
          </w:p>
        </w:tc>
        <w:tc>
          <w:tcPr>
            <w:tcW w:w="1754"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2A5D5BEE" w14:textId="77777777" w:rsidR="00480F1C" w:rsidRDefault="00A201F6">
            <w:pPr>
              <w:spacing w:after="0" w:line="240" w:lineRule="auto"/>
              <w:jc w:val="center"/>
              <w:rPr>
                <w:rFonts w:ascii="Times New Roman" w:eastAsia="Times New Roman" w:hAnsi="Times New Roman" w:cs="Times New Roman"/>
                <w:b/>
                <w:noProof/>
                <w:sz w:val="24"/>
              </w:rPr>
            </w:pPr>
            <w:r>
              <w:rPr>
                <w:rFonts w:ascii="Times New Roman" w:hAnsi="Times New Roman"/>
                <w:b/>
                <w:noProof/>
                <w:color w:val="000000"/>
                <w:sz w:val="18"/>
              </w:rPr>
              <w:t>Kwalitatieve indicatoren</w:t>
            </w:r>
            <w:r>
              <w:rPr>
                <w:noProof/>
              </w:rPr>
              <w:t xml:space="preserve"> </w:t>
            </w:r>
            <w:r>
              <w:rPr>
                <w:noProof/>
              </w:rPr>
              <w:br/>
            </w:r>
            <w:r>
              <w:rPr>
                <w:rFonts w:ascii="Times New Roman" w:hAnsi="Times New Roman"/>
                <w:b/>
                <w:noProof/>
                <w:color w:val="000000"/>
                <w:sz w:val="18"/>
              </w:rPr>
              <w:t>(voor mijlpalen)</w:t>
            </w:r>
          </w:p>
        </w:tc>
        <w:tc>
          <w:tcPr>
            <w:tcW w:w="2693" w:type="dxa"/>
            <w:gridSpan w:val="3"/>
            <w:tcBorders>
              <w:top w:val="single" w:sz="4" w:space="0" w:color="auto"/>
              <w:left w:val="single" w:sz="4" w:space="0" w:color="auto"/>
              <w:bottom w:val="single" w:sz="4" w:space="0" w:color="auto"/>
              <w:right w:val="single" w:sz="4" w:space="0" w:color="auto"/>
            </w:tcBorders>
            <w:shd w:val="clear" w:color="auto" w:fill="BDD7EE"/>
            <w:vAlign w:val="center"/>
            <w:hideMark/>
          </w:tcPr>
          <w:p w14:paraId="5A9C757A" w14:textId="77777777" w:rsidR="00480F1C" w:rsidRDefault="00A201F6">
            <w:pPr>
              <w:spacing w:after="0" w:line="240" w:lineRule="auto"/>
              <w:jc w:val="center"/>
              <w:rPr>
                <w:rFonts w:ascii="Times New Roman" w:eastAsia="Times New Roman" w:hAnsi="Times New Roman" w:cs="Times New Roman"/>
                <w:b/>
                <w:noProof/>
                <w:sz w:val="24"/>
              </w:rPr>
            </w:pPr>
            <w:r>
              <w:rPr>
                <w:rFonts w:ascii="Times New Roman" w:hAnsi="Times New Roman"/>
                <w:b/>
                <w:noProof/>
                <w:color w:val="000000"/>
                <w:sz w:val="18"/>
              </w:rPr>
              <w:t>Kwantitatieve indicatoren</w:t>
            </w:r>
            <w:r>
              <w:rPr>
                <w:noProof/>
              </w:rPr>
              <w:t xml:space="preserve"> </w:t>
            </w:r>
            <w:r>
              <w:rPr>
                <w:noProof/>
              </w:rPr>
              <w:br/>
            </w:r>
            <w:r>
              <w:rPr>
                <w:rFonts w:ascii="Times New Roman" w:hAnsi="Times New Roman"/>
                <w:b/>
                <w:noProof/>
                <w:color w:val="000000"/>
                <w:sz w:val="18"/>
              </w:rPr>
              <w:t>(voor streefcijfers)</w:t>
            </w:r>
          </w:p>
        </w:tc>
        <w:tc>
          <w:tcPr>
            <w:tcW w:w="1843" w:type="dxa"/>
            <w:gridSpan w:val="2"/>
            <w:tcBorders>
              <w:top w:val="single" w:sz="4" w:space="0" w:color="auto"/>
              <w:left w:val="single" w:sz="4" w:space="0" w:color="auto"/>
              <w:bottom w:val="single" w:sz="4" w:space="0" w:color="auto"/>
              <w:right w:val="single" w:sz="4" w:space="0" w:color="auto"/>
            </w:tcBorders>
            <w:shd w:val="clear" w:color="auto" w:fill="BDD7EE"/>
            <w:vAlign w:val="center"/>
            <w:hideMark/>
          </w:tcPr>
          <w:p w14:paraId="3F53B61E" w14:textId="77777777" w:rsidR="00480F1C" w:rsidRDefault="00A201F6">
            <w:pPr>
              <w:pStyle w:val="P68B1DB1-Normal40"/>
              <w:spacing w:after="0" w:line="240" w:lineRule="auto"/>
              <w:jc w:val="center"/>
              <w:rPr>
                <w:rFonts w:eastAsia="Times New Roman" w:cs="Times New Roman"/>
                <w:noProof/>
                <w:sz w:val="24"/>
              </w:rPr>
            </w:pPr>
            <w:r>
              <w:rPr>
                <w:noProof/>
              </w:rPr>
              <w:t xml:space="preserve">Indicatieve termijn voor voltooiing </w:t>
            </w:r>
          </w:p>
        </w:tc>
        <w:tc>
          <w:tcPr>
            <w:tcW w:w="3685"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097E6CDA" w14:textId="77777777" w:rsidR="00480F1C" w:rsidRDefault="00A201F6">
            <w:pPr>
              <w:pStyle w:val="P68B1DB1-Normal40"/>
              <w:spacing w:after="0" w:line="240" w:lineRule="auto"/>
              <w:jc w:val="center"/>
              <w:rPr>
                <w:rFonts w:eastAsia="Times New Roman" w:cs="Times New Roman"/>
                <w:noProof/>
                <w:sz w:val="24"/>
              </w:rPr>
            </w:pPr>
            <w:r>
              <w:rPr>
                <w:noProof/>
              </w:rPr>
              <w:t>Beschrijving van elke mijlpaal en doelstelling</w:t>
            </w:r>
          </w:p>
        </w:tc>
      </w:tr>
      <w:tr w:rsidR="00480F1C" w14:paraId="5608E42C" w14:textId="77777777">
        <w:trPr>
          <w:trHeight w:val="1013"/>
          <w:tblHeader/>
          <w:jc w:val="center"/>
        </w:trPr>
        <w:tc>
          <w:tcPr>
            <w:tcW w:w="988" w:type="dxa"/>
            <w:vMerge/>
            <w:tcBorders>
              <w:top w:val="single" w:sz="4" w:space="0" w:color="auto"/>
              <w:left w:val="single" w:sz="4" w:space="0" w:color="auto"/>
              <w:bottom w:val="single" w:sz="4" w:space="0" w:color="auto"/>
              <w:right w:val="single" w:sz="4" w:space="0" w:color="auto"/>
            </w:tcBorders>
            <w:hideMark/>
          </w:tcPr>
          <w:p w14:paraId="137DB6B4" w14:textId="77777777" w:rsidR="00480F1C" w:rsidRDefault="00480F1C">
            <w:pPr>
              <w:spacing w:after="0" w:line="240" w:lineRule="auto"/>
              <w:jc w:val="center"/>
              <w:rPr>
                <w:rFonts w:ascii="Times New Roman" w:eastAsia="Times New Roman" w:hAnsi="Times New Roman" w:cs="Times New Roman"/>
                <w:b/>
                <w:noProof/>
                <w:sz w:val="18"/>
              </w:rPr>
            </w:pPr>
          </w:p>
        </w:tc>
        <w:tc>
          <w:tcPr>
            <w:tcW w:w="1393" w:type="dxa"/>
            <w:vMerge/>
            <w:tcBorders>
              <w:top w:val="single" w:sz="4" w:space="0" w:color="auto"/>
              <w:left w:val="single" w:sz="4" w:space="0" w:color="auto"/>
              <w:bottom w:val="single" w:sz="4" w:space="0" w:color="auto"/>
              <w:right w:val="single" w:sz="4" w:space="0" w:color="auto"/>
            </w:tcBorders>
            <w:vAlign w:val="center"/>
            <w:hideMark/>
          </w:tcPr>
          <w:p w14:paraId="58D6DA86" w14:textId="77777777" w:rsidR="00480F1C" w:rsidRDefault="00480F1C">
            <w:pPr>
              <w:spacing w:after="0" w:line="240" w:lineRule="auto"/>
              <w:rPr>
                <w:rFonts w:ascii="Times New Roman" w:eastAsia="Times New Roman" w:hAnsi="Times New Roman" w:cs="Times New Roman"/>
                <w:b/>
                <w:noProof/>
                <w:sz w:val="24"/>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458A3D4B" w14:textId="77777777" w:rsidR="00480F1C" w:rsidRDefault="00480F1C">
            <w:pPr>
              <w:spacing w:after="0" w:line="240" w:lineRule="auto"/>
              <w:rPr>
                <w:rFonts w:ascii="Times New Roman" w:eastAsia="Times New Roman" w:hAnsi="Times New Roman" w:cs="Times New Roman"/>
                <w:b/>
                <w:noProof/>
                <w:sz w:val="24"/>
              </w:rPr>
            </w:pPr>
          </w:p>
        </w:tc>
        <w:tc>
          <w:tcPr>
            <w:tcW w:w="1888" w:type="dxa"/>
            <w:vMerge/>
            <w:tcBorders>
              <w:top w:val="single" w:sz="4" w:space="0" w:color="auto"/>
              <w:left w:val="single" w:sz="4" w:space="0" w:color="auto"/>
              <w:bottom w:val="single" w:sz="4" w:space="0" w:color="auto"/>
              <w:right w:val="single" w:sz="4" w:space="0" w:color="auto"/>
            </w:tcBorders>
            <w:vAlign w:val="center"/>
            <w:hideMark/>
          </w:tcPr>
          <w:p w14:paraId="635E2E53" w14:textId="77777777" w:rsidR="00480F1C" w:rsidRDefault="00480F1C">
            <w:pPr>
              <w:spacing w:after="0" w:line="240" w:lineRule="auto"/>
              <w:rPr>
                <w:rFonts w:ascii="Times New Roman" w:eastAsia="Times New Roman" w:hAnsi="Times New Roman" w:cs="Times New Roman"/>
                <w:b/>
                <w:noProof/>
                <w:sz w:val="24"/>
              </w:rPr>
            </w:pPr>
          </w:p>
        </w:tc>
        <w:tc>
          <w:tcPr>
            <w:tcW w:w="1754" w:type="dxa"/>
            <w:vMerge/>
            <w:tcBorders>
              <w:top w:val="single" w:sz="4" w:space="0" w:color="auto"/>
              <w:left w:val="single" w:sz="4" w:space="0" w:color="auto"/>
            </w:tcBorders>
            <w:vAlign w:val="center"/>
            <w:hideMark/>
          </w:tcPr>
          <w:p w14:paraId="2F241C51" w14:textId="77777777" w:rsidR="00480F1C" w:rsidRDefault="00480F1C">
            <w:pPr>
              <w:spacing w:after="0" w:line="240" w:lineRule="auto"/>
              <w:rPr>
                <w:rFonts w:ascii="Times New Roman" w:eastAsia="Times New Roman" w:hAnsi="Times New Roman" w:cs="Times New Roman"/>
                <w:b/>
                <w:noProof/>
                <w:sz w:val="24"/>
              </w:rPr>
            </w:pPr>
          </w:p>
        </w:tc>
        <w:tc>
          <w:tcPr>
            <w:tcW w:w="1027" w:type="dxa"/>
            <w:tcBorders>
              <w:top w:val="single" w:sz="4" w:space="0" w:color="auto"/>
              <w:left w:val="single" w:sz="4" w:space="0" w:color="auto"/>
              <w:bottom w:val="single" w:sz="4" w:space="0" w:color="auto"/>
              <w:right w:val="single" w:sz="4" w:space="0" w:color="auto"/>
            </w:tcBorders>
            <w:shd w:val="clear" w:color="auto" w:fill="BDD7EE"/>
            <w:vAlign w:val="center"/>
            <w:hideMark/>
          </w:tcPr>
          <w:p w14:paraId="175F1410" w14:textId="77777777" w:rsidR="00480F1C" w:rsidRDefault="00A201F6">
            <w:pPr>
              <w:pStyle w:val="P68B1DB1-Normal40"/>
              <w:spacing w:after="0" w:line="240" w:lineRule="auto"/>
              <w:jc w:val="center"/>
              <w:rPr>
                <w:rFonts w:eastAsia="Times New Roman" w:cs="Times New Roman"/>
                <w:noProof/>
              </w:rPr>
            </w:pPr>
            <w:r>
              <w:rPr>
                <w:noProof/>
              </w:rPr>
              <w:t>Eenheid</w:t>
            </w:r>
          </w:p>
        </w:tc>
        <w:tc>
          <w:tcPr>
            <w:tcW w:w="957" w:type="dxa"/>
            <w:tcBorders>
              <w:top w:val="single" w:sz="4" w:space="0" w:color="auto"/>
              <w:left w:val="nil"/>
              <w:bottom w:val="single" w:sz="4" w:space="0" w:color="auto"/>
              <w:right w:val="single" w:sz="4" w:space="0" w:color="auto"/>
            </w:tcBorders>
            <w:shd w:val="clear" w:color="auto" w:fill="BDD7EE"/>
            <w:vAlign w:val="center"/>
            <w:hideMark/>
          </w:tcPr>
          <w:p w14:paraId="35916BFA" w14:textId="77777777" w:rsidR="00480F1C" w:rsidRDefault="00A201F6">
            <w:pPr>
              <w:pStyle w:val="P68B1DB1-Normal40"/>
              <w:spacing w:after="0" w:line="240" w:lineRule="auto"/>
              <w:jc w:val="center"/>
              <w:rPr>
                <w:rFonts w:eastAsia="Times New Roman" w:cs="Times New Roman"/>
                <w:noProof/>
              </w:rPr>
            </w:pPr>
            <w:r>
              <w:rPr>
                <w:noProof/>
              </w:rPr>
              <w:t xml:space="preserve">Basislijn </w:t>
            </w:r>
          </w:p>
        </w:tc>
        <w:tc>
          <w:tcPr>
            <w:tcW w:w="709" w:type="dxa"/>
            <w:tcBorders>
              <w:top w:val="single" w:sz="4" w:space="0" w:color="auto"/>
              <w:left w:val="nil"/>
              <w:bottom w:val="single" w:sz="4" w:space="0" w:color="auto"/>
              <w:right w:val="single" w:sz="4" w:space="0" w:color="auto"/>
            </w:tcBorders>
            <w:shd w:val="clear" w:color="auto" w:fill="BDD7EE"/>
            <w:vAlign w:val="center"/>
            <w:hideMark/>
          </w:tcPr>
          <w:p w14:paraId="26E81835" w14:textId="10E77D13" w:rsidR="00480F1C" w:rsidRDefault="00A201F6">
            <w:pPr>
              <w:pStyle w:val="P68B1DB1-Normal40"/>
              <w:spacing w:after="0" w:line="240" w:lineRule="auto"/>
              <w:jc w:val="center"/>
              <w:rPr>
                <w:rFonts w:eastAsia="Times New Roman" w:cs="Times New Roman"/>
                <w:noProof/>
              </w:rPr>
            </w:pPr>
            <w:r>
              <w:rPr>
                <w:noProof/>
              </w:rPr>
              <w:t>Doelstelling</w:t>
            </w:r>
          </w:p>
        </w:tc>
        <w:tc>
          <w:tcPr>
            <w:tcW w:w="921" w:type="dxa"/>
            <w:tcBorders>
              <w:top w:val="single" w:sz="4" w:space="0" w:color="auto"/>
              <w:left w:val="nil"/>
              <w:bottom w:val="single" w:sz="4" w:space="0" w:color="auto"/>
              <w:right w:val="single" w:sz="4" w:space="0" w:color="auto"/>
            </w:tcBorders>
            <w:shd w:val="clear" w:color="auto" w:fill="BDD7EE"/>
            <w:vAlign w:val="center"/>
            <w:hideMark/>
          </w:tcPr>
          <w:p w14:paraId="30F5808C" w14:textId="77777777" w:rsidR="00480F1C" w:rsidRDefault="00A201F6">
            <w:pPr>
              <w:pStyle w:val="P68B1DB1-Normal40"/>
              <w:spacing w:after="0" w:line="240" w:lineRule="auto"/>
              <w:jc w:val="center"/>
              <w:rPr>
                <w:rFonts w:eastAsia="Times New Roman" w:cs="Times New Roman"/>
                <w:noProof/>
              </w:rPr>
            </w:pPr>
            <w:r>
              <w:rPr>
                <w:noProof/>
              </w:rPr>
              <w:t>Kwartaal</w:t>
            </w:r>
          </w:p>
        </w:tc>
        <w:tc>
          <w:tcPr>
            <w:tcW w:w="922" w:type="dxa"/>
            <w:tcBorders>
              <w:top w:val="single" w:sz="4" w:space="0" w:color="auto"/>
              <w:left w:val="nil"/>
              <w:bottom w:val="single" w:sz="4" w:space="0" w:color="auto"/>
              <w:right w:val="single" w:sz="4" w:space="0" w:color="auto"/>
            </w:tcBorders>
            <w:shd w:val="clear" w:color="auto" w:fill="BDD7EE"/>
            <w:vAlign w:val="center"/>
            <w:hideMark/>
          </w:tcPr>
          <w:p w14:paraId="555145C9" w14:textId="77777777" w:rsidR="00480F1C" w:rsidRDefault="00A201F6">
            <w:pPr>
              <w:pStyle w:val="P68B1DB1-Normal40"/>
              <w:spacing w:after="0" w:line="240" w:lineRule="auto"/>
              <w:jc w:val="center"/>
              <w:rPr>
                <w:rFonts w:eastAsia="Times New Roman" w:cs="Times New Roman"/>
                <w:noProof/>
              </w:rPr>
            </w:pPr>
            <w:r>
              <w:rPr>
                <w:noProof/>
              </w:rPr>
              <w:t>Jaar</w:t>
            </w:r>
          </w:p>
        </w:tc>
        <w:tc>
          <w:tcPr>
            <w:tcW w:w="3685" w:type="dxa"/>
            <w:vMerge/>
            <w:tcBorders>
              <w:top w:val="single" w:sz="4" w:space="0" w:color="auto"/>
              <w:bottom w:val="single" w:sz="4" w:space="0" w:color="auto"/>
              <w:right w:val="single" w:sz="4" w:space="0" w:color="auto"/>
            </w:tcBorders>
            <w:vAlign w:val="center"/>
            <w:hideMark/>
          </w:tcPr>
          <w:p w14:paraId="29EF2270" w14:textId="77777777" w:rsidR="00480F1C" w:rsidRDefault="00480F1C">
            <w:pPr>
              <w:spacing w:after="0" w:line="240" w:lineRule="auto"/>
              <w:rPr>
                <w:rFonts w:ascii="Times New Roman" w:eastAsia="Times New Roman" w:hAnsi="Times New Roman" w:cs="Times New Roman"/>
                <w:b/>
                <w:noProof/>
                <w:sz w:val="24"/>
              </w:rPr>
            </w:pPr>
          </w:p>
        </w:tc>
      </w:tr>
      <w:tr w:rsidR="00480F1C" w14:paraId="429F8050" w14:textId="77777777">
        <w:trPr>
          <w:trHeight w:val="945"/>
          <w:jc w:val="center"/>
        </w:trPr>
        <w:tc>
          <w:tcPr>
            <w:tcW w:w="988" w:type="dxa"/>
            <w:tcBorders>
              <w:top w:val="single" w:sz="4" w:space="0" w:color="auto"/>
              <w:left w:val="single" w:sz="4" w:space="0" w:color="auto"/>
              <w:bottom w:val="single" w:sz="4" w:space="0" w:color="auto"/>
              <w:right w:val="single" w:sz="4" w:space="0" w:color="auto"/>
            </w:tcBorders>
            <w:shd w:val="clear" w:color="auto" w:fill="C6EFCE"/>
            <w:noWrap/>
          </w:tcPr>
          <w:p w14:paraId="2E2662BF" w14:textId="132C2E07" w:rsidR="00480F1C" w:rsidRDefault="00A201F6">
            <w:pPr>
              <w:pStyle w:val="P68B1DB1-Normal25"/>
              <w:spacing w:after="0" w:line="240" w:lineRule="auto"/>
              <w:jc w:val="center"/>
              <w:rPr>
                <w:rFonts w:eastAsia="Times New Roman" w:cs="Times New Roman"/>
                <w:noProof/>
              </w:rPr>
            </w:pPr>
            <w:r>
              <w:rPr>
                <w:noProof/>
              </w:rPr>
              <w:t>G1G</w:t>
            </w:r>
          </w:p>
        </w:tc>
        <w:tc>
          <w:tcPr>
            <w:tcW w:w="1393" w:type="dxa"/>
            <w:tcBorders>
              <w:top w:val="single" w:sz="4" w:space="0" w:color="auto"/>
              <w:left w:val="nil"/>
              <w:bottom w:val="single" w:sz="4" w:space="0" w:color="auto"/>
              <w:right w:val="single" w:sz="4" w:space="0" w:color="auto"/>
            </w:tcBorders>
            <w:shd w:val="clear" w:color="auto" w:fill="C6EFCE"/>
            <w:noWrap/>
          </w:tcPr>
          <w:p w14:paraId="11A70F68" w14:textId="3894A250" w:rsidR="00480F1C" w:rsidRDefault="00A201F6">
            <w:pPr>
              <w:pStyle w:val="P68B1DB1-Normal25"/>
              <w:spacing w:after="0" w:line="240" w:lineRule="auto"/>
              <w:rPr>
                <w:rFonts w:eastAsia="Times New Roman" w:cs="Times New Roman"/>
                <w:noProof/>
              </w:rPr>
            </w:pPr>
            <w:r>
              <w:rPr>
                <w:noProof/>
              </w:rPr>
              <w:t xml:space="preserve">G1.1.1 Bevordering van de ontwikkeling van lokale energiegemeenschappen  </w:t>
            </w:r>
          </w:p>
        </w:tc>
        <w:tc>
          <w:tcPr>
            <w:tcW w:w="1060" w:type="dxa"/>
            <w:tcBorders>
              <w:top w:val="single" w:sz="4" w:space="0" w:color="auto"/>
              <w:left w:val="nil"/>
              <w:bottom w:val="single" w:sz="4" w:space="0" w:color="auto"/>
              <w:right w:val="single" w:sz="4" w:space="0" w:color="auto"/>
            </w:tcBorders>
            <w:shd w:val="clear" w:color="auto" w:fill="C6EFCE"/>
            <w:noWrap/>
          </w:tcPr>
          <w:p w14:paraId="5106D056" w14:textId="77777777" w:rsidR="00480F1C" w:rsidRDefault="00A201F6">
            <w:pPr>
              <w:pStyle w:val="P68B1DB1-Normal25"/>
              <w:spacing w:after="0" w:line="240" w:lineRule="auto"/>
              <w:rPr>
                <w:rFonts w:eastAsia="Times New Roman" w:cs="Times New Roman"/>
                <w:noProof/>
              </w:rPr>
            </w:pPr>
            <w:r>
              <w:rPr>
                <w:noProof/>
              </w:rPr>
              <w:t>Mijlpaal</w:t>
            </w:r>
          </w:p>
        </w:tc>
        <w:tc>
          <w:tcPr>
            <w:tcW w:w="1888" w:type="dxa"/>
            <w:tcBorders>
              <w:top w:val="single" w:sz="4" w:space="0" w:color="auto"/>
              <w:left w:val="nil"/>
              <w:bottom w:val="single" w:sz="4" w:space="0" w:color="auto"/>
              <w:right w:val="single" w:sz="4" w:space="0" w:color="auto"/>
            </w:tcBorders>
            <w:shd w:val="clear" w:color="auto" w:fill="C6EFCE"/>
            <w:noWrap/>
          </w:tcPr>
          <w:p w14:paraId="0D735EFE" w14:textId="77777777" w:rsidR="00480F1C" w:rsidRDefault="00A201F6">
            <w:pPr>
              <w:pStyle w:val="P68B1DB1-Normal25"/>
              <w:spacing w:after="0" w:line="240" w:lineRule="auto"/>
              <w:rPr>
                <w:rFonts w:eastAsia="Times New Roman" w:cs="Times New Roman"/>
                <w:noProof/>
              </w:rPr>
            </w:pPr>
            <w:r>
              <w:rPr>
                <w:noProof/>
              </w:rPr>
              <w:t xml:space="preserve">Analyse van de belemmeringen voor de ontwikkeling van energiegemeenschappen en energiecoöperaties die in de loop van het steunprogramma vóór de investering zijn vastgesteld  </w:t>
            </w:r>
          </w:p>
        </w:tc>
        <w:tc>
          <w:tcPr>
            <w:tcW w:w="1754" w:type="dxa"/>
            <w:tcBorders>
              <w:top w:val="single" w:sz="4" w:space="0" w:color="auto"/>
              <w:left w:val="nil"/>
              <w:bottom w:val="single" w:sz="4" w:space="0" w:color="auto"/>
              <w:right w:val="single" w:sz="4" w:space="0" w:color="auto"/>
            </w:tcBorders>
            <w:shd w:val="clear" w:color="auto" w:fill="C6EFCE"/>
            <w:noWrap/>
          </w:tcPr>
          <w:p w14:paraId="1E0FF165" w14:textId="29A860C5" w:rsidR="00480F1C" w:rsidRDefault="00A201F6">
            <w:pPr>
              <w:pStyle w:val="P68B1DB1-Normal25"/>
              <w:spacing w:after="0" w:line="240" w:lineRule="auto"/>
              <w:rPr>
                <w:rFonts w:eastAsia="Times New Roman" w:cs="Times New Roman"/>
                <w:noProof/>
              </w:rPr>
            </w:pPr>
            <w:r>
              <w:rPr>
                <w:noProof/>
              </w:rPr>
              <w:t xml:space="preserve">Publicatie van de analyse </w:t>
            </w:r>
          </w:p>
        </w:tc>
        <w:tc>
          <w:tcPr>
            <w:tcW w:w="1027" w:type="dxa"/>
            <w:tcBorders>
              <w:top w:val="nil"/>
              <w:left w:val="nil"/>
              <w:bottom w:val="single" w:sz="4" w:space="0" w:color="auto"/>
              <w:right w:val="single" w:sz="4" w:space="0" w:color="auto"/>
            </w:tcBorders>
            <w:shd w:val="clear" w:color="auto" w:fill="C6EFCE"/>
            <w:noWrap/>
          </w:tcPr>
          <w:p w14:paraId="64AC6F3B" w14:textId="77777777" w:rsidR="00480F1C" w:rsidRDefault="00480F1C">
            <w:pPr>
              <w:spacing w:after="0" w:line="240" w:lineRule="auto"/>
              <w:rPr>
                <w:rFonts w:ascii="Times New Roman" w:eastAsia="Times New Roman" w:hAnsi="Times New Roman" w:cs="Times New Roman"/>
                <w:noProof/>
                <w:sz w:val="18"/>
              </w:rPr>
            </w:pPr>
          </w:p>
        </w:tc>
        <w:tc>
          <w:tcPr>
            <w:tcW w:w="957" w:type="dxa"/>
            <w:tcBorders>
              <w:top w:val="nil"/>
              <w:left w:val="nil"/>
              <w:bottom w:val="single" w:sz="4" w:space="0" w:color="auto"/>
              <w:right w:val="single" w:sz="4" w:space="0" w:color="auto"/>
            </w:tcBorders>
            <w:shd w:val="clear" w:color="auto" w:fill="C6EFCE"/>
            <w:noWrap/>
          </w:tcPr>
          <w:p w14:paraId="46340579" w14:textId="77777777" w:rsidR="00480F1C" w:rsidRDefault="00480F1C">
            <w:pPr>
              <w:spacing w:after="0" w:line="240" w:lineRule="auto"/>
              <w:jc w:val="center"/>
              <w:rPr>
                <w:rFonts w:ascii="Times New Roman" w:eastAsia="Times New Roman" w:hAnsi="Times New Roman" w:cs="Times New Roman"/>
                <w:noProof/>
                <w:sz w:val="18"/>
              </w:rPr>
            </w:pPr>
          </w:p>
        </w:tc>
        <w:tc>
          <w:tcPr>
            <w:tcW w:w="709" w:type="dxa"/>
            <w:tcBorders>
              <w:top w:val="nil"/>
              <w:left w:val="nil"/>
              <w:bottom w:val="single" w:sz="4" w:space="0" w:color="auto"/>
              <w:right w:val="single" w:sz="4" w:space="0" w:color="auto"/>
            </w:tcBorders>
            <w:shd w:val="clear" w:color="auto" w:fill="C6EFCE"/>
            <w:noWrap/>
          </w:tcPr>
          <w:p w14:paraId="54C2C108" w14:textId="77777777" w:rsidR="00480F1C" w:rsidRDefault="00480F1C">
            <w:pPr>
              <w:spacing w:after="0" w:line="240" w:lineRule="auto"/>
              <w:jc w:val="center"/>
              <w:rPr>
                <w:rFonts w:ascii="Times New Roman" w:eastAsia="Times New Roman" w:hAnsi="Times New Roman" w:cs="Times New Roman"/>
                <w:noProof/>
                <w:sz w:val="18"/>
              </w:rPr>
            </w:pPr>
          </w:p>
        </w:tc>
        <w:tc>
          <w:tcPr>
            <w:tcW w:w="921" w:type="dxa"/>
            <w:tcBorders>
              <w:top w:val="nil"/>
              <w:left w:val="nil"/>
              <w:bottom w:val="single" w:sz="4" w:space="0" w:color="auto"/>
              <w:right w:val="single" w:sz="4" w:space="0" w:color="auto"/>
            </w:tcBorders>
            <w:shd w:val="clear" w:color="auto" w:fill="C6EFCE"/>
            <w:noWrap/>
          </w:tcPr>
          <w:p w14:paraId="4E743416" w14:textId="32A887D3" w:rsidR="00480F1C" w:rsidRDefault="00A201F6">
            <w:pPr>
              <w:pStyle w:val="P68B1DB1-Normal25"/>
              <w:spacing w:after="0" w:line="240" w:lineRule="auto"/>
              <w:jc w:val="center"/>
              <w:rPr>
                <w:rFonts w:eastAsia="Times New Roman" w:cs="Times New Roman"/>
                <w:noProof/>
              </w:rPr>
            </w:pPr>
            <w:r>
              <w:rPr>
                <w:noProof/>
              </w:rPr>
              <w:t>KWARTAAL 3</w:t>
            </w:r>
          </w:p>
        </w:tc>
        <w:tc>
          <w:tcPr>
            <w:tcW w:w="922" w:type="dxa"/>
            <w:tcBorders>
              <w:top w:val="nil"/>
              <w:left w:val="nil"/>
              <w:bottom w:val="single" w:sz="4" w:space="0" w:color="auto"/>
              <w:right w:val="single" w:sz="4" w:space="0" w:color="auto"/>
            </w:tcBorders>
            <w:shd w:val="clear" w:color="auto" w:fill="C6EFCE"/>
            <w:noWrap/>
          </w:tcPr>
          <w:p w14:paraId="5AFF0436" w14:textId="77777777" w:rsidR="00480F1C" w:rsidRDefault="00A201F6">
            <w:pPr>
              <w:pStyle w:val="P68B1DB1-Normal25"/>
              <w:spacing w:after="0" w:line="240" w:lineRule="auto"/>
              <w:jc w:val="center"/>
              <w:rPr>
                <w:rFonts w:eastAsia="Times New Roman" w:cs="Times New Roman"/>
                <w:noProof/>
              </w:rPr>
            </w:pPr>
            <w:r>
              <w:rPr>
                <w:noProof/>
              </w:rPr>
              <w:t>2024</w:t>
            </w:r>
          </w:p>
        </w:tc>
        <w:tc>
          <w:tcPr>
            <w:tcW w:w="3685" w:type="dxa"/>
            <w:tcBorders>
              <w:top w:val="single" w:sz="4" w:space="0" w:color="auto"/>
              <w:left w:val="nil"/>
              <w:bottom w:val="single" w:sz="4" w:space="0" w:color="auto"/>
              <w:right w:val="single" w:sz="4" w:space="0" w:color="auto"/>
            </w:tcBorders>
            <w:shd w:val="clear" w:color="auto" w:fill="C6EFCE"/>
            <w:noWrap/>
          </w:tcPr>
          <w:p w14:paraId="04516BC1" w14:textId="3B08C753" w:rsidR="00480F1C" w:rsidRDefault="00A201F6">
            <w:pPr>
              <w:pStyle w:val="P68B1DB1-Normal25"/>
              <w:spacing w:after="0" w:line="240" w:lineRule="auto"/>
              <w:rPr>
                <w:rFonts w:eastAsia="Times New Roman" w:cs="Times New Roman"/>
                <w:noProof/>
              </w:rPr>
            </w:pPr>
            <w:r>
              <w:rPr>
                <w:noProof/>
              </w:rPr>
              <w:t>Publicatie van een analyse van de juridische, organisatorische en administratieve belemmeringen voor de ontwikkeling van energiegemeenschappen, voortbouwend op de ervaringen met de pre-investeringssteun. In de analyse worden de belangrijkste knelpunten voor de ontwikkeling van energiegemeenschappen in kaart gebracht en wordt een reeks beleidsaanbevelingen voorgesteld met het oog op de invoering van wetswijzigingen die hun rechtskader harmoniseren en de uitrol ervan vereenvoudigen en versnellen.</w:t>
            </w:r>
          </w:p>
        </w:tc>
      </w:tr>
      <w:tr w:rsidR="00480F1C" w14:paraId="55BF8F77" w14:textId="77777777">
        <w:trPr>
          <w:trHeight w:val="309"/>
          <w:jc w:val="center"/>
        </w:trPr>
        <w:tc>
          <w:tcPr>
            <w:tcW w:w="988" w:type="dxa"/>
            <w:tcBorders>
              <w:top w:val="nil"/>
              <w:left w:val="single" w:sz="4" w:space="0" w:color="auto"/>
              <w:bottom w:val="single" w:sz="4" w:space="0" w:color="auto"/>
              <w:right w:val="single" w:sz="4" w:space="0" w:color="auto"/>
            </w:tcBorders>
            <w:shd w:val="clear" w:color="auto" w:fill="C6EFCE"/>
            <w:noWrap/>
          </w:tcPr>
          <w:p w14:paraId="7C0A558D" w14:textId="7F0622C0" w:rsidR="00480F1C" w:rsidRDefault="00A201F6">
            <w:pPr>
              <w:pStyle w:val="P68B1DB1-Normal25"/>
              <w:spacing w:after="0" w:line="240" w:lineRule="auto"/>
              <w:jc w:val="center"/>
              <w:rPr>
                <w:rFonts w:eastAsia="Times New Roman" w:cs="Times New Roman"/>
                <w:noProof/>
              </w:rPr>
            </w:pPr>
            <w:r>
              <w:rPr>
                <w:noProof/>
              </w:rPr>
              <w:t>G2G</w:t>
            </w:r>
          </w:p>
        </w:tc>
        <w:tc>
          <w:tcPr>
            <w:tcW w:w="1393" w:type="dxa"/>
            <w:tcBorders>
              <w:top w:val="nil"/>
              <w:left w:val="nil"/>
              <w:bottom w:val="single" w:sz="4" w:space="0" w:color="auto"/>
              <w:right w:val="single" w:sz="4" w:space="0" w:color="auto"/>
            </w:tcBorders>
            <w:shd w:val="clear" w:color="auto" w:fill="C6EFCE"/>
            <w:noWrap/>
          </w:tcPr>
          <w:p w14:paraId="3380EFEB" w14:textId="25750B90" w:rsidR="00480F1C" w:rsidRDefault="00A201F6">
            <w:pPr>
              <w:pStyle w:val="P68B1DB1-Normal25"/>
              <w:spacing w:after="0" w:line="240" w:lineRule="auto"/>
              <w:rPr>
                <w:rFonts w:eastAsia="Times New Roman" w:cs="Times New Roman"/>
                <w:noProof/>
              </w:rPr>
            </w:pPr>
            <w:r>
              <w:rPr>
                <w:noProof/>
              </w:rPr>
              <w:t>G1.1.2 Door energiegemeenschappen uitgevoerde installaties voor hernieuwbare energiebronnen</w:t>
            </w:r>
          </w:p>
          <w:p w14:paraId="7480E136" w14:textId="77777777" w:rsidR="00480F1C" w:rsidRDefault="00480F1C">
            <w:pPr>
              <w:spacing w:line="240" w:lineRule="auto"/>
              <w:rPr>
                <w:rFonts w:ascii="Times New Roman" w:eastAsia="Times New Roman" w:hAnsi="Times New Roman" w:cs="Times New Roman"/>
                <w:noProof/>
                <w:sz w:val="18"/>
              </w:rPr>
            </w:pPr>
          </w:p>
        </w:tc>
        <w:tc>
          <w:tcPr>
            <w:tcW w:w="1060" w:type="dxa"/>
            <w:tcBorders>
              <w:top w:val="nil"/>
              <w:left w:val="nil"/>
              <w:bottom w:val="single" w:sz="4" w:space="0" w:color="auto"/>
              <w:right w:val="single" w:sz="4" w:space="0" w:color="auto"/>
            </w:tcBorders>
            <w:shd w:val="clear" w:color="auto" w:fill="C6EFCE"/>
            <w:noWrap/>
          </w:tcPr>
          <w:p w14:paraId="0F4CC277" w14:textId="77777777" w:rsidR="00480F1C" w:rsidRDefault="00A201F6">
            <w:pPr>
              <w:pStyle w:val="P68B1DB1-Normal25"/>
              <w:spacing w:line="240" w:lineRule="auto"/>
              <w:rPr>
                <w:rFonts w:eastAsia="Times New Roman" w:cs="Times New Roman"/>
                <w:noProof/>
              </w:rPr>
            </w:pPr>
            <w:r>
              <w:rPr>
                <w:noProof/>
              </w:rPr>
              <w:t>Mijlpaal</w:t>
            </w:r>
          </w:p>
        </w:tc>
        <w:tc>
          <w:tcPr>
            <w:tcW w:w="1888" w:type="dxa"/>
            <w:tcBorders>
              <w:top w:val="nil"/>
              <w:left w:val="nil"/>
              <w:bottom w:val="single" w:sz="4" w:space="0" w:color="auto"/>
              <w:right w:val="single" w:sz="4" w:space="0" w:color="auto"/>
            </w:tcBorders>
            <w:shd w:val="clear" w:color="auto" w:fill="C6EFCE"/>
            <w:noWrap/>
          </w:tcPr>
          <w:p w14:paraId="0ECD0DCD" w14:textId="0E86AAE5" w:rsidR="00480F1C" w:rsidRDefault="00A201F6">
            <w:pPr>
              <w:pStyle w:val="P68B1DB1-Normal25"/>
              <w:spacing w:line="240" w:lineRule="auto"/>
              <w:rPr>
                <w:rFonts w:eastAsia="Times New Roman" w:cs="Times New Roman"/>
                <w:noProof/>
              </w:rPr>
            </w:pPr>
            <w:r>
              <w:rPr>
                <w:noProof/>
              </w:rPr>
              <w:t>Oproep tot het indienen van voorstellen voor het programma voor investeringssteun</w:t>
            </w:r>
          </w:p>
        </w:tc>
        <w:tc>
          <w:tcPr>
            <w:tcW w:w="1754" w:type="dxa"/>
            <w:tcBorders>
              <w:top w:val="nil"/>
              <w:left w:val="nil"/>
              <w:bottom w:val="single" w:sz="4" w:space="0" w:color="auto"/>
              <w:right w:val="single" w:sz="4" w:space="0" w:color="auto"/>
            </w:tcBorders>
            <w:shd w:val="clear" w:color="auto" w:fill="C6EFCE"/>
            <w:noWrap/>
          </w:tcPr>
          <w:p w14:paraId="6B971848" w14:textId="22C649D6" w:rsidR="00480F1C" w:rsidRDefault="00A201F6">
            <w:pPr>
              <w:pStyle w:val="P68B1DB1-Normal25"/>
              <w:spacing w:line="240" w:lineRule="auto"/>
              <w:rPr>
                <w:rFonts w:eastAsia="Times New Roman" w:cs="Times New Roman"/>
                <w:noProof/>
              </w:rPr>
            </w:pPr>
            <w:r>
              <w:rPr>
                <w:noProof/>
              </w:rPr>
              <w:t>Oproep tot het indienen van voorstellen voor energiegemeenschappen die geïnteresseerd zijn in het ontvangen van steun in het kader van het investeringsgedeelte</w:t>
            </w:r>
          </w:p>
        </w:tc>
        <w:tc>
          <w:tcPr>
            <w:tcW w:w="1027" w:type="dxa"/>
            <w:tcBorders>
              <w:top w:val="nil"/>
              <w:left w:val="nil"/>
              <w:bottom w:val="single" w:sz="4" w:space="0" w:color="auto"/>
              <w:right w:val="single" w:sz="4" w:space="0" w:color="auto"/>
            </w:tcBorders>
            <w:shd w:val="clear" w:color="auto" w:fill="C6EFCE"/>
            <w:noWrap/>
          </w:tcPr>
          <w:p w14:paraId="1E8B85CF" w14:textId="77777777" w:rsidR="00480F1C" w:rsidRDefault="00480F1C">
            <w:pPr>
              <w:spacing w:line="240" w:lineRule="auto"/>
              <w:rPr>
                <w:rFonts w:ascii="Times New Roman" w:eastAsia="Times New Roman" w:hAnsi="Times New Roman" w:cs="Times New Roman"/>
                <w:noProof/>
                <w:sz w:val="18"/>
              </w:rPr>
            </w:pPr>
          </w:p>
        </w:tc>
        <w:tc>
          <w:tcPr>
            <w:tcW w:w="957" w:type="dxa"/>
            <w:tcBorders>
              <w:top w:val="nil"/>
              <w:left w:val="nil"/>
              <w:bottom w:val="single" w:sz="4" w:space="0" w:color="auto"/>
              <w:right w:val="single" w:sz="4" w:space="0" w:color="auto"/>
            </w:tcBorders>
            <w:shd w:val="clear" w:color="auto" w:fill="C6EFCE"/>
            <w:noWrap/>
          </w:tcPr>
          <w:p w14:paraId="69990F38" w14:textId="77777777" w:rsidR="00480F1C" w:rsidRDefault="00480F1C">
            <w:pPr>
              <w:spacing w:line="240" w:lineRule="auto"/>
              <w:jc w:val="center"/>
              <w:rPr>
                <w:rFonts w:ascii="Times New Roman" w:eastAsia="Times New Roman" w:hAnsi="Times New Roman" w:cs="Times New Roman"/>
                <w:noProof/>
                <w:sz w:val="18"/>
              </w:rPr>
            </w:pPr>
          </w:p>
        </w:tc>
        <w:tc>
          <w:tcPr>
            <w:tcW w:w="709" w:type="dxa"/>
            <w:tcBorders>
              <w:top w:val="nil"/>
              <w:left w:val="nil"/>
              <w:bottom w:val="single" w:sz="4" w:space="0" w:color="auto"/>
              <w:right w:val="single" w:sz="4" w:space="0" w:color="auto"/>
            </w:tcBorders>
            <w:shd w:val="clear" w:color="auto" w:fill="C6EFCE"/>
            <w:noWrap/>
          </w:tcPr>
          <w:p w14:paraId="2FE9B9F3" w14:textId="77777777" w:rsidR="00480F1C" w:rsidRDefault="00480F1C">
            <w:pPr>
              <w:spacing w:line="240" w:lineRule="auto"/>
              <w:jc w:val="center"/>
              <w:rPr>
                <w:rFonts w:ascii="Times New Roman" w:eastAsia="Times New Roman" w:hAnsi="Times New Roman" w:cs="Times New Roman"/>
                <w:noProof/>
                <w:sz w:val="18"/>
              </w:rPr>
            </w:pPr>
          </w:p>
        </w:tc>
        <w:tc>
          <w:tcPr>
            <w:tcW w:w="921" w:type="dxa"/>
            <w:tcBorders>
              <w:top w:val="nil"/>
              <w:left w:val="nil"/>
              <w:bottom w:val="single" w:sz="4" w:space="0" w:color="auto"/>
              <w:right w:val="single" w:sz="4" w:space="0" w:color="auto"/>
            </w:tcBorders>
            <w:shd w:val="clear" w:color="auto" w:fill="C6EFCE"/>
            <w:noWrap/>
          </w:tcPr>
          <w:p w14:paraId="348F7A9E" w14:textId="77777777" w:rsidR="00480F1C" w:rsidRDefault="00A201F6">
            <w:pPr>
              <w:pStyle w:val="P68B1DB1-Normal25"/>
              <w:spacing w:line="240" w:lineRule="auto"/>
              <w:jc w:val="center"/>
              <w:rPr>
                <w:rFonts w:eastAsia="Times New Roman" w:cs="Times New Roman"/>
                <w:noProof/>
              </w:rPr>
            </w:pPr>
            <w:r>
              <w:rPr>
                <w:noProof/>
              </w:rPr>
              <w:t>KWARTAAL 4</w:t>
            </w:r>
          </w:p>
        </w:tc>
        <w:tc>
          <w:tcPr>
            <w:tcW w:w="922" w:type="dxa"/>
            <w:tcBorders>
              <w:top w:val="nil"/>
              <w:left w:val="nil"/>
              <w:bottom w:val="single" w:sz="4" w:space="0" w:color="auto"/>
              <w:right w:val="single" w:sz="4" w:space="0" w:color="auto"/>
            </w:tcBorders>
            <w:shd w:val="clear" w:color="auto" w:fill="C6EFCE"/>
            <w:noWrap/>
          </w:tcPr>
          <w:p w14:paraId="7F5FC2FB" w14:textId="77777777" w:rsidR="00480F1C" w:rsidRDefault="00A201F6">
            <w:pPr>
              <w:pStyle w:val="P68B1DB1-Normal25"/>
              <w:spacing w:line="240" w:lineRule="auto"/>
              <w:jc w:val="center"/>
              <w:rPr>
                <w:rFonts w:eastAsia="Times New Roman" w:cs="Times New Roman"/>
                <w:noProof/>
              </w:rPr>
            </w:pPr>
            <w:r>
              <w:rPr>
                <w:noProof/>
              </w:rPr>
              <w:t>2023</w:t>
            </w:r>
          </w:p>
        </w:tc>
        <w:tc>
          <w:tcPr>
            <w:tcW w:w="3685" w:type="dxa"/>
            <w:tcBorders>
              <w:top w:val="nil"/>
              <w:left w:val="nil"/>
              <w:bottom w:val="single" w:sz="4" w:space="0" w:color="auto"/>
              <w:right w:val="single" w:sz="4" w:space="0" w:color="auto"/>
            </w:tcBorders>
            <w:shd w:val="clear" w:color="auto" w:fill="C6EFCE"/>
            <w:noWrap/>
          </w:tcPr>
          <w:p w14:paraId="17C8113F" w14:textId="171EA32D" w:rsidR="00480F1C" w:rsidRDefault="00A201F6">
            <w:pPr>
              <w:pStyle w:val="P68B1DB1-Normal25"/>
              <w:spacing w:after="0" w:line="240" w:lineRule="auto"/>
              <w:rPr>
                <w:rFonts w:eastAsia="Times New Roman" w:cs="Times New Roman"/>
                <w:noProof/>
              </w:rPr>
            </w:pPr>
            <w:r>
              <w:rPr>
                <w:noProof/>
              </w:rPr>
              <w:t xml:space="preserve">Er wordt een open, transparante en concurrerende oproep tot het indienen van voorstellen gedaan die beschikbaar is voor energiecoöperaties, energiegemeenschappen en energieclusters, met als doel de steun op evenwichtige wijze toe te wijzen aan verschillende soorten ontvangers. </w:t>
            </w:r>
          </w:p>
          <w:p w14:paraId="213668CB" w14:textId="77777777" w:rsidR="00480F1C" w:rsidRDefault="00480F1C">
            <w:pPr>
              <w:spacing w:after="0" w:line="240" w:lineRule="auto"/>
              <w:rPr>
                <w:rFonts w:ascii="Times New Roman" w:eastAsia="Times New Roman" w:hAnsi="Times New Roman" w:cs="Times New Roman"/>
                <w:noProof/>
                <w:sz w:val="18"/>
              </w:rPr>
            </w:pPr>
          </w:p>
          <w:p w14:paraId="69C8C1CC" w14:textId="549BA573" w:rsidR="00480F1C" w:rsidRDefault="00A201F6">
            <w:pPr>
              <w:pStyle w:val="P68B1DB1-Normal25"/>
              <w:spacing w:line="240" w:lineRule="auto"/>
              <w:rPr>
                <w:rFonts w:eastAsia="Times New Roman" w:cs="Times New Roman"/>
                <w:noProof/>
              </w:rPr>
            </w:pPr>
            <w:r>
              <w:rPr>
                <w:noProof/>
              </w:rPr>
              <w:t xml:space="preserve">De criteria om in aanmerking te komen in de taakomschrijving waarborgen dat de investeringen voldoen aan het beginsel „geen ernstige afbreuk doen”, zoals uiteengezet in de technische richtsnoeren inzake het beginsel „geen ernstige afbreuk doen” (C (2023) 6454 final). </w:t>
            </w:r>
          </w:p>
        </w:tc>
      </w:tr>
      <w:tr w:rsidR="00480F1C" w14:paraId="5245A70C" w14:textId="77777777">
        <w:trPr>
          <w:trHeight w:val="309"/>
          <w:jc w:val="center"/>
        </w:trPr>
        <w:tc>
          <w:tcPr>
            <w:tcW w:w="988" w:type="dxa"/>
            <w:tcBorders>
              <w:top w:val="nil"/>
              <w:left w:val="single" w:sz="4" w:space="0" w:color="auto"/>
              <w:bottom w:val="single" w:sz="4" w:space="0" w:color="auto"/>
              <w:right w:val="single" w:sz="4" w:space="0" w:color="auto"/>
            </w:tcBorders>
            <w:shd w:val="clear" w:color="auto" w:fill="C6EFCE"/>
            <w:noWrap/>
          </w:tcPr>
          <w:p w14:paraId="2F6F2659" w14:textId="55FE861B" w:rsidR="00480F1C" w:rsidRDefault="00A201F6">
            <w:pPr>
              <w:pStyle w:val="P68B1DB1-Normal25"/>
              <w:spacing w:after="0" w:line="240" w:lineRule="auto"/>
              <w:jc w:val="center"/>
              <w:rPr>
                <w:rFonts w:eastAsia="Times New Roman" w:cs="Times New Roman"/>
                <w:noProof/>
              </w:rPr>
            </w:pPr>
            <w:r>
              <w:rPr>
                <w:noProof/>
              </w:rPr>
              <w:t>G3G</w:t>
            </w:r>
          </w:p>
        </w:tc>
        <w:tc>
          <w:tcPr>
            <w:tcW w:w="1393" w:type="dxa"/>
            <w:tcBorders>
              <w:top w:val="nil"/>
              <w:left w:val="nil"/>
              <w:bottom w:val="single" w:sz="4" w:space="0" w:color="auto"/>
              <w:right w:val="single" w:sz="4" w:space="0" w:color="auto"/>
            </w:tcBorders>
            <w:shd w:val="clear" w:color="auto" w:fill="C6EFCE"/>
            <w:noWrap/>
          </w:tcPr>
          <w:p w14:paraId="561F0091" w14:textId="0D66A2D5" w:rsidR="00480F1C" w:rsidRDefault="00A201F6">
            <w:pPr>
              <w:pStyle w:val="P68B1DB1-Normal25"/>
              <w:spacing w:after="0" w:line="240" w:lineRule="auto"/>
              <w:rPr>
                <w:rFonts w:eastAsia="Times New Roman" w:cs="Times New Roman"/>
                <w:noProof/>
              </w:rPr>
            </w:pPr>
            <w:r>
              <w:rPr>
                <w:noProof/>
              </w:rPr>
              <w:t>G1.1.2 Door energiegemeenschappen uitgevoerde installaties voor hernieuwbare energiebronnen</w:t>
            </w:r>
          </w:p>
        </w:tc>
        <w:tc>
          <w:tcPr>
            <w:tcW w:w="1060" w:type="dxa"/>
            <w:tcBorders>
              <w:top w:val="nil"/>
              <w:left w:val="nil"/>
              <w:bottom w:val="single" w:sz="4" w:space="0" w:color="auto"/>
              <w:right w:val="single" w:sz="4" w:space="0" w:color="auto"/>
            </w:tcBorders>
            <w:shd w:val="clear" w:color="auto" w:fill="C6EFCE"/>
            <w:noWrap/>
          </w:tcPr>
          <w:p w14:paraId="7E65AB84" w14:textId="77777777" w:rsidR="00480F1C" w:rsidRDefault="00A201F6">
            <w:pPr>
              <w:pStyle w:val="P68B1DB1-Normal25"/>
              <w:spacing w:after="0" w:line="240" w:lineRule="auto"/>
              <w:rPr>
                <w:rFonts w:eastAsia="Times New Roman" w:cs="Times New Roman"/>
                <w:noProof/>
              </w:rPr>
            </w:pPr>
            <w:r>
              <w:rPr>
                <w:noProof/>
              </w:rPr>
              <w:t>Doel</w:t>
            </w:r>
          </w:p>
        </w:tc>
        <w:tc>
          <w:tcPr>
            <w:tcW w:w="1888" w:type="dxa"/>
            <w:tcBorders>
              <w:top w:val="nil"/>
              <w:left w:val="nil"/>
              <w:bottom w:val="single" w:sz="4" w:space="0" w:color="auto"/>
              <w:right w:val="single" w:sz="4" w:space="0" w:color="auto"/>
            </w:tcBorders>
            <w:shd w:val="clear" w:color="auto" w:fill="C6EFCE"/>
            <w:noWrap/>
          </w:tcPr>
          <w:p w14:paraId="1D71D5ED" w14:textId="77777777" w:rsidR="00480F1C" w:rsidRDefault="00A201F6">
            <w:pPr>
              <w:pStyle w:val="P68B1DB1-Normal25"/>
              <w:spacing w:after="0" w:line="240" w:lineRule="auto"/>
              <w:rPr>
                <w:rFonts w:eastAsia="Times New Roman" w:cs="Times New Roman"/>
                <w:noProof/>
              </w:rPr>
            </w:pPr>
            <w:r>
              <w:rPr>
                <w:noProof/>
              </w:rPr>
              <w:t>Entiteiten die worden ondersteund binnen het deel vóór de investering</w:t>
            </w:r>
          </w:p>
        </w:tc>
        <w:tc>
          <w:tcPr>
            <w:tcW w:w="1754" w:type="dxa"/>
            <w:tcBorders>
              <w:top w:val="single" w:sz="4" w:space="0" w:color="auto"/>
              <w:left w:val="nil"/>
              <w:bottom w:val="single" w:sz="4" w:space="0" w:color="auto"/>
              <w:right w:val="single" w:sz="4" w:space="0" w:color="auto"/>
            </w:tcBorders>
            <w:shd w:val="clear" w:color="auto" w:fill="C6EFCE"/>
            <w:noWrap/>
          </w:tcPr>
          <w:p w14:paraId="33289906" w14:textId="77777777" w:rsidR="00480F1C" w:rsidRDefault="00480F1C">
            <w:pPr>
              <w:spacing w:after="0" w:line="240" w:lineRule="auto"/>
              <w:rPr>
                <w:rFonts w:ascii="Times New Roman" w:eastAsia="Times New Roman" w:hAnsi="Times New Roman" w:cs="Times New Roman"/>
                <w:noProof/>
                <w:sz w:val="18"/>
              </w:rPr>
            </w:pPr>
          </w:p>
        </w:tc>
        <w:tc>
          <w:tcPr>
            <w:tcW w:w="1027" w:type="dxa"/>
            <w:tcBorders>
              <w:top w:val="nil"/>
              <w:left w:val="nil"/>
              <w:bottom w:val="single" w:sz="4" w:space="0" w:color="auto"/>
              <w:right w:val="single" w:sz="4" w:space="0" w:color="auto"/>
            </w:tcBorders>
            <w:shd w:val="clear" w:color="auto" w:fill="C6EFCE"/>
            <w:noWrap/>
          </w:tcPr>
          <w:p w14:paraId="3783504D" w14:textId="77777777" w:rsidR="00480F1C" w:rsidRDefault="00A201F6">
            <w:pPr>
              <w:pStyle w:val="P68B1DB1-Normal25"/>
              <w:spacing w:after="0" w:line="240" w:lineRule="auto"/>
              <w:rPr>
                <w:rFonts w:eastAsia="Times New Roman" w:cs="Times New Roman"/>
                <w:noProof/>
              </w:rPr>
            </w:pPr>
            <w:r>
              <w:rPr>
                <w:noProof/>
              </w:rPr>
              <w:t>Aantal</w:t>
            </w:r>
          </w:p>
        </w:tc>
        <w:tc>
          <w:tcPr>
            <w:tcW w:w="957" w:type="dxa"/>
            <w:tcBorders>
              <w:top w:val="nil"/>
              <w:left w:val="nil"/>
              <w:bottom w:val="single" w:sz="4" w:space="0" w:color="auto"/>
              <w:right w:val="single" w:sz="4" w:space="0" w:color="auto"/>
            </w:tcBorders>
            <w:shd w:val="clear" w:color="auto" w:fill="C6EFCE"/>
            <w:noWrap/>
          </w:tcPr>
          <w:p w14:paraId="43AC5AA3" w14:textId="77777777" w:rsidR="00480F1C" w:rsidRDefault="00A201F6">
            <w:pPr>
              <w:pStyle w:val="P68B1DB1-Normal25"/>
              <w:spacing w:after="0" w:line="240" w:lineRule="auto"/>
              <w:jc w:val="center"/>
              <w:rPr>
                <w:rFonts w:eastAsia="Times New Roman" w:cs="Times New Roman"/>
                <w:noProof/>
              </w:rPr>
            </w:pPr>
            <w:r>
              <w:rPr>
                <w:noProof/>
              </w:rPr>
              <w:t>0</w:t>
            </w:r>
          </w:p>
        </w:tc>
        <w:tc>
          <w:tcPr>
            <w:tcW w:w="709" w:type="dxa"/>
            <w:tcBorders>
              <w:top w:val="nil"/>
              <w:left w:val="nil"/>
              <w:bottom w:val="single" w:sz="4" w:space="0" w:color="auto"/>
              <w:right w:val="single" w:sz="4" w:space="0" w:color="auto"/>
            </w:tcBorders>
            <w:shd w:val="clear" w:color="auto" w:fill="C6EFCE"/>
            <w:noWrap/>
          </w:tcPr>
          <w:p w14:paraId="461DEFB0" w14:textId="77777777" w:rsidR="00480F1C" w:rsidRDefault="00A201F6">
            <w:pPr>
              <w:pStyle w:val="P68B1DB1-Normal25"/>
              <w:spacing w:after="0" w:line="240" w:lineRule="auto"/>
              <w:jc w:val="center"/>
              <w:rPr>
                <w:rFonts w:eastAsia="Times New Roman" w:cs="Times New Roman"/>
                <w:noProof/>
              </w:rPr>
            </w:pPr>
            <w:r>
              <w:rPr>
                <w:noProof/>
              </w:rPr>
              <w:t>200</w:t>
            </w:r>
          </w:p>
        </w:tc>
        <w:tc>
          <w:tcPr>
            <w:tcW w:w="921" w:type="dxa"/>
            <w:tcBorders>
              <w:top w:val="nil"/>
              <w:left w:val="nil"/>
              <w:bottom w:val="single" w:sz="4" w:space="0" w:color="auto"/>
              <w:right w:val="single" w:sz="4" w:space="0" w:color="auto"/>
            </w:tcBorders>
            <w:shd w:val="clear" w:color="auto" w:fill="C6EFCE"/>
            <w:noWrap/>
          </w:tcPr>
          <w:p w14:paraId="05810FED" w14:textId="77777777" w:rsidR="00480F1C" w:rsidRDefault="00A201F6">
            <w:pPr>
              <w:pStyle w:val="P68B1DB1-Normal25"/>
              <w:spacing w:after="0" w:line="240" w:lineRule="auto"/>
              <w:jc w:val="center"/>
              <w:rPr>
                <w:rFonts w:eastAsia="Times New Roman" w:cs="Times New Roman"/>
                <w:noProof/>
              </w:rPr>
            </w:pPr>
            <w:r>
              <w:rPr>
                <w:noProof/>
              </w:rPr>
              <w:t>KWARTAAL 1</w:t>
            </w:r>
          </w:p>
        </w:tc>
        <w:tc>
          <w:tcPr>
            <w:tcW w:w="922" w:type="dxa"/>
            <w:tcBorders>
              <w:top w:val="nil"/>
              <w:left w:val="nil"/>
              <w:bottom w:val="single" w:sz="4" w:space="0" w:color="auto"/>
              <w:right w:val="single" w:sz="4" w:space="0" w:color="auto"/>
            </w:tcBorders>
            <w:shd w:val="clear" w:color="auto" w:fill="C6EFCE"/>
            <w:noWrap/>
          </w:tcPr>
          <w:p w14:paraId="434CBA89" w14:textId="77777777" w:rsidR="00480F1C" w:rsidRDefault="00A201F6">
            <w:pPr>
              <w:pStyle w:val="P68B1DB1-Normal25"/>
              <w:spacing w:after="0" w:line="240" w:lineRule="auto"/>
              <w:jc w:val="center"/>
              <w:rPr>
                <w:rFonts w:eastAsia="Times New Roman" w:cs="Times New Roman"/>
                <w:noProof/>
              </w:rPr>
            </w:pPr>
            <w:r>
              <w:rPr>
                <w:noProof/>
              </w:rPr>
              <w:t>2025</w:t>
            </w:r>
          </w:p>
        </w:tc>
        <w:tc>
          <w:tcPr>
            <w:tcW w:w="3685" w:type="dxa"/>
            <w:tcBorders>
              <w:top w:val="nil"/>
              <w:left w:val="nil"/>
              <w:bottom w:val="single" w:sz="4" w:space="0" w:color="auto"/>
              <w:right w:val="single" w:sz="4" w:space="0" w:color="auto"/>
            </w:tcBorders>
            <w:shd w:val="clear" w:color="auto" w:fill="C6EFCE"/>
            <w:noWrap/>
          </w:tcPr>
          <w:p w14:paraId="719CDF86" w14:textId="77777777" w:rsidR="00480F1C" w:rsidRDefault="00A201F6">
            <w:pPr>
              <w:pStyle w:val="P68B1DB1-Normal25"/>
              <w:spacing w:after="0" w:line="240" w:lineRule="auto"/>
              <w:rPr>
                <w:rFonts w:eastAsia="Times New Roman" w:cs="Times New Roman"/>
                <w:noProof/>
              </w:rPr>
            </w:pPr>
            <w:r>
              <w:rPr>
                <w:noProof/>
              </w:rPr>
              <w:t xml:space="preserve">Aantal subsidieovereenkomsten dat is gesloten met ontvangers die worden geselecteerd via een open, concurrerende en transparante oproep tot het indienen van voorstellen, met als doel de steun op evenwichtige wijze toe te wijzen aan verschillende soorten begunstigden. De toewijzing van projecten aan de ontvangende entiteiten waarborgt een evenwichtige verdeling tussen entiteiten over het land, rekening houdend met de bevolking en de geografische dekking. </w:t>
            </w:r>
          </w:p>
          <w:p w14:paraId="2A381C01" w14:textId="77777777" w:rsidR="00480F1C" w:rsidRDefault="00480F1C">
            <w:pPr>
              <w:spacing w:after="0" w:line="240" w:lineRule="auto"/>
              <w:rPr>
                <w:rFonts w:ascii="Times New Roman" w:eastAsia="Times New Roman" w:hAnsi="Times New Roman" w:cs="Times New Roman"/>
                <w:noProof/>
                <w:sz w:val="18"/>
              </w:rPr>
            </w:pPr>
          </w:p>
          <w:p w14:paraId="459723CF" w14:textId="77777777" w:rsidR="00480F1C" w:rsidRDefault="00A201F6">
            <w:pPr>
              <w:pStyle w:val="P68B1DB1-Normal25"/>
              <w:spacing w:after="0" w:line="240" w:lineRule="auto"/>
              <w:rPr>
                <w:rFonts w:eastAsia="Times New Roman" w:cs="Times New Roman"/>
                <w:noProof/>
              </w:rPr>
            </w:pPr>
            <w:r>
              <w:rPr>
                <w:noProof/>
              </w:rPr>
              <w:t xml:space="preserve">Er wordt steun verleend aan energiecoöperaties die zijn opgericht op grond van de wet inzake hernieuwbare energiebronnen en energiegemeenschappen die zijn opgericht bij de energiewet en aan entiteiten die wettelijk in staat zijn dergelijke coöperaties en gemeenschappen op te richten, zoals gemeenten, alsook aan energieclusters. </w:t>
            </w:r>
          </w:p>
        </w:tc>
      </w:tr>
      <w:tr w:rsidR="00480F1C" w14:paraId="2915D5E5" w14:textId="77777777">
        <w:trPr>
          <w:trHeight w:val="309"/>
          <w:jc w:val="center"/>
        </w:trPr>
        <w:tc>
          <w:tcPr>
            <w:tcW w:w="988" w:type="dxa"/>
            <w:tcBorders>
              <w:top w:val="nil"/>
              <w:left w:val="single" w:sz="4" w:space="0" w:color="auto"/>
              <w:bottom w:val="single" w:sz="4" w:space="0" w:color="auto"/>
              <w:right w:val="single" w:sz="4" w:space="0" w:color="auto"/>
            </w:tcBorders>
            <w:shd w:val="clear" w:color="auto" w:fill="C6EFCE"/>
            <w:noWrap/>
          </w:tcPr>
          <w:p w14:paraId="552651F2" w14:textId="206B9393" w:rsidR="00480F1C" w:rsidRDefault="00A201F6">
            <w:pPr>
              <w:pStyle w:val="P68B1DB1-Normal25"/>
              <w:spacing w:after="0" w:line="240" w:lineRule="auto"/>
              <w:jc w:val="center"/>
              <w:rPr>
                <w:rFonts w:eastAsia="Times New Roman" w:cs="Times New Roman"/>
                <w:noProof/>
              </w:rPr>
            </w:pPr>
            <w:r>
              <w:rPr>
                <w:noProof/>
              </w:rPr>
              <w:t>G4G</w:t>
            </w:r>
          </w:p>
        </w:tc>
        <w:tc>
          <w:tcPr>
            <w:tcW w:w="1393" w:type="dxa"/>
            <w:tcBorders>
              <w:top w:val="nil"/>
              <w:left w:val="nil"/>
              <w:bottom w:val="single" w:sz="4" w:space="0" w:color="auto"/>
              <w:right w:val="single" w:sz="4" w:space="0" w:color="auto"/>
            </w:tcBorders>
            <w:shd w:val="clear" w:color="auto" w:fill="C6EFCE"/>
            <w:noWrap/>
          </w:tcPr>
          <w:p w14:paraId="3A22A1E8" w14:textId="358182AC" w:rsidR="00480F1C" w:rsidRDefault="00A201F6">
            <w:pPr>
              <w:pStyle w:val="P68B1DB1-Normal25"/>
              <w:spacing w:after="0" w:line="240" w:lineRule="auto"/>
              <w:rPr>
                <w:rFonts w:eastAsia="Times New Roman" w:cs="Times New Roman"/>
                <w:noProof/>
              </w:rPr>
            </w:pPr>
            <w:r>
              <w:rPr>
                <w:noProof/>
              </w:rPr>
              <w:t>G1.1.2 Door energiegemeenschappen uitgevoerde installaties voor hernieuwbare energiebronnen</w:t>
            </w:r>
          </w:p>
        </w:tc>
        <w:tc>
          <w:tcPr>
            <w:tcW w:w="1060" w:type="dxa"/>
            <w:tcBorders>
              <w:top w:val="nil"/>
              <w:left w:val="nil"/>
              <w:bottom w:val="single" w:sz="4" w:space="0" w:color="auto"/>
              <w:right w:val="single" w:sz="4" w:space="0" w:color="auto"/>
            </w:tcBorders>
            <w:shd w:val="clear" w:color="auto" w:fill="C6EFCE"/>
            <w:noWrap/>
          </w:tcPr>
          <w:p w14:paraId="5DAA17D2" w14:textId="77777777" w:rsidR="00480F1C" w:rsidRDefault="00A201F6">
            <w:pPr>
              <w:pStyle w:val="P68B1DB1-Normal25"/>
              <w:spacing w:after="0" w:line="240" w:lineRule="auto"/>
              <w:rPr>
                <w:rFonts w:eastAsia="Times New Roman" w:cs="Times New Roman"/>
                <w:noProof/>
              </w:rPr>
            </w:pPr>
            <w:r>
              <w:rPr>
                <w:noProof/>
              </w:rPr>
              <w:t>Doel</w:t>
            </w:r>
          </w:p>
        </w:tc>
        <w:tc>
          <w:tcPr>
            <w:tcW w:w="1888" w:type="dxa"/>
            <w:tcBorders>
              <w:top w:val="nil"/>
              <w:left w:val="nil"/>
              <w:bottom w:val="single" w:sz="4" w:space="0" w:color="auto"/>
              <w:right w:val="single" w:sz="4" w:space="0" w:color="auto"/>
            </w:tcBorders>
            <w:shd w:val="clear" w:color="auto" w:fill="C6EFCE"/>
            <w:noWrap/>
          </w:tcPr>
          <w:p w14:paraId="6160CB9F" w14:textId="77777777" w:rsidR="00480F1C" w:rsidRDefault="00A201F6">
            <w:pPr>
              <w:pStyle w:val="P68B1DB1-Normal25"/>
              <w:spacing w:after="0" w:line="240" w:lineRule="auto"/>
              <w:rPr>
                <w:rFonts w:eastAsia="Times New Roman" w:cs="Times New Roman"/>
                <w:noProof/>
              </w:rPr>
            </w:pPr>
            <w:r>
              <w:rPr>
                <w:noProof/>
              </w:rPr>
              <w:t>Binnen het investeringsgedeelte ondersteunde entiteiten</w:t>
            </w:r>
          </w:p>
        </w:tc>
        <w:tc>
          <w:tcPr>
            <w:tcW w:w="1754" w:type="dxa"/>
            <w:tcBorders>
              <w:top w:val="nil"/>
              <w:left w:val="nil"/>
              <w:bottom w:val="single" w:sz="4" w:space="0" w:color="auto"/>
              <w:right w:val="single" w:sz="4" w:space="0" w:color="auto"/>
            </w:tcBorders>
            <w:shd w:val="clear" w:color="auto" w:fill="C6EFCE"/>
            <w:noWrap/>
          </w:tcPr>
          <w:p w14:paraId="59708806" w14:textId="77777777" w:rsidR="00480F1C" w:rsidRDefault="00480F1C">
            <w:pPr>
              <w:spacing w:after="0" w:line="240" w:lineRule="auto"/>
              <w:rPr>
                <w:rFonts w:ascii="Times New Roman" w:eastAsia="Times New Roman" w:hAnsi="Times New Roman" w:cs="Times New Roman"/>
                <w:noProof/>
                <w:sz w:val="18"/>
              </w:rPr>
            </w:pPr>
          </w:p>
        </w:tc>
        <w:tc>
          <w:tcPr>
            <w:tcW w:w="1027" w:type="dxa"/>
            <w:tcBorders>
              <w:top w:val="nil"/>
              <w:left w:val="nil"/>
              <w:bottom w:val="single" w:sz="4" w:space="0" w:color="auto"/>
              <w:right w:val="single" w:sz="4" w:space="0" w:color="auto"/>
            </w:tcBorders>
            <w:shd w:val="clear" w:color="auto" w:fill="C6EFCE"/>
            <w:noWrap/>
          </w:tcPr>
          <w:p w14:paraId="4D1F3249" w14:textId="77777777" w:rsidR="00480F1C" w:rsidRDefault="00A201F6">
            <w:pPr>
              <w:pStyle w:val="P68B1DB1-Normal25"/>
              <w:spacing w:after="0" w:line="240" w:lineRule="auto"/>
              <w:rPr>
                <w:rFonts w:eastAsia="Times New Roman" w:cs="Times New Roman"/>
                <w:noProof/>
              </w:rPr>
            </w:pPr>
            <w:r>
              <w:rPr>
                <w:noProof/>
              </w:rPr>
              <w:t>Aantal</w:t>
            </w:r>
          </w:p>
        </w:tc>
        <w:tc>
          <w:tcPr>
            <w:tcW w:w="957" w:type="dxa"/>
            <w:tcBorders>
              <w:top w:val="nil"/>
              <w:left w:val="nil"/>
              <w:bottom w:val="single" w:sz="4" w:space="0" w:color="auto"/>
              <w:right w:val="single" w:sz="4" w:space="0" w:color="auto"/>
            </w:tcBorders>
            <w:shd w:val="clear" w:color="auto" w:fill="C6EFCE"/>
            <w:noWrap/>
          </w:tcPr>
          <w:p w14:paraId="40D8E7C5" w14:textId="77777777" w:rsidR="00480F1C" w:rsidRDefault="00A201F6">
            <w:pPr>
              <w:pStyle w:val="P68B1DB1-Normal25"/>
              <w:spacing w:after="0" w:line="240" w:lineRule="auto"/>
              <w:jc w:val="center"/>
              <w:rPr>
                <w:rFonts w:eastAsia="Times New Roman" w:cs="Times New Roman"/>
                <w:noProof/>
              </w:rPr>
            </w:pPr>
            <w:r>
              <w:rPr>
                <w:noProof/>
              </w:rPr>
              <w:t>0</w:t>
            </w:r>
          </w:p>
        </w:tc>
        <w:tc>
          <w:tcPr>
            <w:tcW w:w="709" w:type="dxa"/>
            <w:tcBorders>
              <w:top w:val="nil"/>
              <w:left w:val="nil"/>
              <w:bottom w:val="single" w:sz="4" w:space="0" w:color="auto"/>
              <w:right w:val="single" w:sz="4" w:space="0" w:color="auto"/>
            </w:tcBorders>
            <w:shd w:val="clear" w:color="auto" w:fill="C6EFCE"/>
            <w:noWrap/>
          </w:tcPr>
          <w:p w14:paraId="5C4054D2" w14:textId="77777777" w:rsidR="00480F1C" w:rsidRDefault="00A201F6">
            <w:pPr>
              <w:pStyle w:val="P68B1DB1-Normal25"/>
              <w:spacing w:after="0" w:line="240" w:lineRule="auto"/>
              <w:jc w:val="center"/>
              <w:rPr>
                <w:rFonts w:eastAsia="Times New Roman" w:cs="Times New Roman"/>
                <w:noProof/>
              </w:rPr>
            </w:pPr>
            <w:r>
              <w:rPr>
                <w:noProof/>
              </w:rPr>
              <w:t>10</w:t>
            </w:r>
          </w:p>
        </w:tc>
        <w:tc>
          <w:tcPr>
            <w:tcW w:w="921" w:type="dxa"/>
            <w:tcBorders>
              <w:top w:val="nil"/>
              <w:left w:val="nil"/>
              <w:bottom w:val="single" w:sz="4" w:space="0" w:color="auto"/>
              <w:right w:val="single" w:sz="4" w:space="0" w:color="auto"/>
            </w:tcBorders>
            <w:shd w:val="clear" w:color="auto" w:fill="C6EFCE"/>
            <w:noWrap/>
          </w:tcPr>
          <w:p w14:paraId="2B02D77A" w14:textId="77777777" w:rsidR="00480F1C" w:rsidRDefault="00A201F6">
            <w:pPr>
              <w:pStyle w:val="P68B1DB1-Normal25"/>
              <w:spacing w:after="0" w:line="240" w:lineRule="auto"/>
              <w:jc w:val="center"/>
              <w:rPr>
                <w:rFonts w:eastAsia="Times New Roman" w:cs="Times New Roman"/>
                <w:noProof/>
              </w:rPr>
            </w:pPr>
            <w:r>
              <w:rPr>
                <w:noProof/>
              </w:rPr>
              <w:t>KWARTAAL 4</w:t>
            </w:r>
          </w:p>
        </w:tc>
        <w:tc>
          <w:tcPr>
            <w:tcW w:w="922" w:type="dxa"/>
            <w:tcBorders>
              <w:top w:val="nil"/>
              <w:left w:val="nil"/>
              <w:bottom w:val="single" w:sz="4" w:space="0" w:color="auto"/>
              <w:right w:val="single" w:sz="4" w:space="0" w:color="auto"/>
            </w:tcBorders>
            <w:shd w:val="clear" w:color="auto" w:fill="C6EFCE"/>
            <w:noWrap/>
          </w:tcPr>
          <w:p w14:paraId="27113F56" w14:textId="77777777" w:rsidR="00480F1C" w:rsidRDefault="00A201F6">
            <w:pPr>
              <w:pStyle w:val="P68B1DB1-Normal25"/>
              <w:spacing w:after="0" w:line="240" w:lineRule="auto"/>
              <w:jc w:val="center"/>
              <w:rPr>
                <w:rFonts w:eastAsia="Times New Roman" w:cs="Times New Roman"/>
                <w:noProof/>
              </w:rPr>
            </w:pPr>
            <w:r>
              <w:rPr>
                <w:noProof/>
              </w:rPr>
              <w:t>2025</w:t>
            </w:r>
          </w:p>
        </w:tc>
        <w:tc>
          <w:tcPr>
            <w:tcW w:w="3685" w:type="dxa"/>
            <w:tcBorders>
              <w:top w:val="nil"/>
              <w:left w:val="nil"/>
              <w:bottom w:val="single" w:sz="4" w:space="0" w:color="auto"/>
              <w:right w:val="single" w:sz="4" w:space="0" w:color="auto"/>
            </w:tcBorders>
            <w:shd w:val="clear" w:color="auto" w:fill="C6EFCE"/>
            <w:noWrap/>
          </w:tcPr>
          <w:p w14:paraId="5BB77BD1" w14:textId="46621CD2" w:rsidR="00480F1C" w:rsidRDefault="00A201F6">
            <w:pPr>
              <w:pStyle w:val="P68B1DB1-Normal25"/>
              <w:spacing w:after="0" w:line="240" w:lineRule="auto"/>
              <w:rPr>
                <w:rFonts w:eastAsia="Times New Roman" w:cs="Times New Roman"/>
                <w:noProof/>
              </w:rPr>
            </w:pPr>
            <w:r>
              <w:rPr>
                <w:noProof/>
              </w:rPr>
              <w:t>Aantal subsidieovereenkomsten dat is ondertekend met ontvangers in overeenstemming met de oproep in mijlpaal G2G.</w:t>
            </w:r>
          </w:p>
        </w:tc>
      </w:tr>
      <w:tr w:rsidR="00480F1C" w14:paraId="4CE266E9" w14:textId="77777777">
        <w:trPr>
          <w:trHeight w:val="309"/>
          <w:jc w:val="center"/>
        </w:trPr>
        <w:tc>
          <w:tcPr>
            <w:tcW w:w="988" w:type="dxa"/>
            <w:tcBorders>
              <w:top w:val="nil"/>
              <w:left w:val="single" w:sz="4" w:space="0" w:color="auto"/>
              <w:bottom w:val="single" w:sz="4" w:space="0" w:color="auto"/>
              <w:right w:val="single" w:sz="4" w:space="0" w:color="auto"/>
            </w:tcBorders>
            <w:shd w:val="clear" w:color="auto" w:fill="C6EFCE"/>
            <w:noWrap/>
          </w:tcPr>
          <w:p w14:paraId="45BB8B48" w14:textId="5A09391B" w:rsidR="00480F1C" w:rsidRDefault="00A201F6">
            <w:pPr>
              <w:pStyle w:val="P68B1DB1-Normal25"/>
              <w:spacing w:after="0" w:line="240" w:lineRule="auto"/>
              <w:jc w:val="center"/>
              <w:rPr>
                <w:rFonts w:eastAsia="Times New Roman" w:cs="Times New Roman"/>
                <w:noProof/>
              </w:rPr>
            </w:pPr>
            <w:r>
              <w:rPr>
                <w:noProof/>
              </w:rPr>
              <w:t>G5G</w:t>
            </w:r>
          </w:p>
        </w:tc>
        <w:tc>
          <w:tcPr>
            <w:tcW w:w="1393" w:type="dxa"/>
            <w:tcBorders>
              <w:top w:val="nil"/>
              <w:left w:val="nil"/>
              <w:bottom w:val="single" w:sz="4" w:space="0" w:color="auto"/>
              <w:right w:val="single" w:sz="4" w:space="0" w:color="auto"/>
            </w:tcBorders>
            <w:shd w:val="clear" w:color="auto" w:fill="C6EFCE"/>
            <w:noWrap/>
          </w:tcPr>
          <w:p w14:paraId="46DB21DF" w14:textId="447ECA4A" w:rsidR="00480F1C" w:rsidRDefault="00A201F6">
            <w:pPr>
              <w:pStyle w:val="P68B1DB1-Normal25"/>
              <w:spacing w:after="0" w:line="240" w:lineRule="auto"/>
              <w:rPr>
                <w:rFonts w:eastAsia="Times New Roman" w:cs="Times New Roman"/>
                <w:noProof/>
              </w:rPr>
            </w:pPr>
            <w:r>
              <w:rPr>
                <w:noProof/>
              </w:rPr>
              <w:t>G1.1.2 Door energiegemeenschappen uitgevoerde installaties voor hernieuwbare energiebronnen</w:t>
            </w:r>
          </w:p>
        </w:tc>
        <w:tc>
          <w:tcPr>
            <w:tcW w:w="1060" w:type="dxa"/>
            <w:tcBorders>
              <w:top w:val="nil"/>
              <w:left w:val="nil"/>
              <w:bottom w:val="single" w:sz="4" w:space="0" w:color="auto"/>
              <w:right w:val="single" w:sz="4" w:space="0" w:color="auto"/>
            </w:tcBorders>
            <w:shd w:val="clear" w:color="auto" w:fill="C6EFCE"/>
            <w:noWrap/>
          </w:tcPr>
          <w:p w14:paraId="5FAF443F" w14:textId="77777777" w:rsidR="00480F1C" w:rsidRDefault="00A201F6">
            <w:pPr>
              <w:pStyle w:val="P68B1DB1-Normal25"/>
              <w:spacing w:after="0" w:line="240" w:lineRule="auto"/>
              <w:rPr>
                <w:rFonts w:eastAsia="Times New Roman" w:cs="Times New Roman"/>
                <w:noProof/>
              </w:rPr>
            </w:pPr>
            <w:r>
              <w:rPr>
                <w:noProof/>
              </w:rPr>
              <w:t>Doel</w:t>
            </w:r>
          </w:p>
        </w:tc>
        <w:tc>
          <w:tcPr>
            <w:tcW w:w="1888" w:type="dxa"/>
            <w:tcBorders>
              <w:top w:val="nil"/>
              <w:left w:val="nil"/>
              <w:bottom w:val="single" w:sz="4" w:space="0" w:color="auto"/>
              <w:right w:val="single" w:sz="4" w:space="0" w:color="auto"/>
            </w:tcBorders>
            <w:shd w:val="clear" w:color="auto" w:fill="C6EFCE"/>
            <w:noWrap/>
          </w:tcPr>
          <w:p w14:paraId="61DA15BA" w14:textId="1A857155" w:rsidR="00480F1C" w:rsidRDefault="00A201F6">
            <w:pPr>
              <w:pStyle w:val="P68B1DB1-Normal25"/>
              <w:spacing w:after="0" w:line="240" w:lineRule="auto"/>
              <w:rPr>
                <w:rFonts w:eastAsia="Times New Roman" w:cs="Times New Roman"/>
                <w:noProof/>
              </w:rPr>
            </w:pPr>
            <w:r>
              <w:rPr>
                <w:noProof/>
              </w:rPr>
              <w:t>Binnen het investeringsgedeelte ondersteunde entiteiten</w:t>
            </w:r>
          </w:p>
        </w:tc>
        <w:tc>
          <w:tcPr>
            <w:tcW w:w="1754" w:type="dxa"/>
            <w:tcBorders>
              <w:top w:val="nil"/>
              <w:left w:val="nil"/>
              <w:bottom w:val="single" w:sz="4" w:space="0" w:color="auto"/>
              <w:right w:val="single" w:sz="4" w:space="0" w:color="auto"/>
            </w:tcBorders>
            <w:shd w:val="clear" w:color="auto" w:fill="C6EFCE"/>
            <w:noWrap/>
          </w:tcPr>
          <w:p w14:paraId="06806F8B" w14:textId="77777777" w:rsidR="00480F1C" w:rsidRDefault="00480F1C">
            <w:pPr>
              <w:spacing w:after="0" w:line="240" w:lineRule="auto"/>
              <w:rPr>
                <w:rFonts w:ascii="Times New Roman" w:eastAsia="Times New Roman" w:hAnsi="Times New Roman" w:cs="Times New Roman"/>
                <w:noProof/>
                <w:sz w:val="18"/>
              </w:rPr>
            </w:pPr>
          </w:p>
        </w:tc>
        <w:tc>
          <w:tcPr>
            <w:tcW w:w="1027" w:type="dxa"/>
            <w:tcBorders>
              <w:top w:val="nil"/>
              <w:left w:val="nil"/>
              <w:bottom w:val="single" w:sz="4" w:space="0" w:color="auto"/>
              <w:right w:val="single" w:sz="4" w:space="0" w:color="auto"/>
            </w:tcBorders>
            <w:shd w:val="clear" w:color="auto" w:fill="C6EFCE"/>
            <w:noWrap/>
          </w:tcPr>
          <w:p w14:paraId="0843DB5A" w14:textId="77777777" w:rsidR="00480F1C" w:rsidRDefault="00A201F6">
            <w:pPr>
              <w:pStyle w:val="P68B1DB1-Normal25"/>
              <w:spacing w:after="0" w:line="240" w:lineRule="auto"/>
              <w:rPr>
                <w:rFonts w:eastAsia="Times New Roman" w:cs="Times New Roman"/>
                <w:noProof/>
              </w:rPr>
            </w:pPr>
            <w:r>
              <w:rPr>
                <w:noProof/>
              </w:rPr>
              <w:t>Aantal</w:t>
            </w:r>
          </w:p>
        </w:tc>
        <w:tc>
          <w:tcPr>
            <w:tcW w:w="957" w:type="dxa"/>
            <w:tcBorders>
              <w:top w:val="nil"/>
              <w:left w:val="nil"/>
              <w:bottom w:val="single" w:sz="4" w:space="0" w:color="auto"/>
              <w:right w:val="single" w:sz="4" w:space="0" w:color="auto"/>
            </w:tcBorders>
            <w:shd w:val="clear" w:color="auto" w:fill="C6EFCE"/>
            <w:noWrap/>
          </w:tcPr>
          <w:p w14:paraId="2E42B37C" w14:textId="77777777" w:rsidR="00480F1C" w:rsidRDefault="00A201F6">
            <w:pPr>
              <w:pStyle w:val="P68B1DB1-Normal25"/>
              <w:spacing w:after="0" w:line="240" w:lineRule="auto"/>
              <w:jc w:val="center"/>
              <w:rPr>
                <w:rFonts w:eastAsia="Times New Roman" w:cs="Times New Roman"/>
                <w:noProof/>
              </w:rPr>
            </w:pPr>
            <w:r>
              <w:rPr>
                <w:noProof/>
              </w:rPr>
              <w:t>10</w:t>
            </w:r>
          </w:p>
        </w:tc>
        <w:tc>
          <w:tcPr>
            <w:tcW w:w="709" w:type="dxa"/>
            <w:tcBorders>
              <w:top w:val="nil"/>
              <w:left w:val="nil"/>
              <w:bottom w:val="single" w:sz="4" w:space="0" w:color="auto"/>
              <w:right w:val="single" w:sz="4" w:space="0" w:color="auto"/>
            </w:tcBorders>
            <w:shd w:val="clear" w:color="auto" w:fill="C6EFCE"/>
            <w:noWrap/>
          </w:tcPr>
          <w:p w14:paraId="4FEC60D5" w14:textId="77777777" w:rsidR="00480F1C" w:rsidRDefault="00A201F6">
            <w:pPr>
              <w:pStyle w:val="P68B1DB1-Normal25"/>
              <w:spacing w:after="0" w:line="240" w:lineRule="auto"/>
              <w:jc w:val="center"/>
              <w:rPr>
                <w:rFonts w:eastAsia="Times New Roman" w:cs="Times New Roman"/>
                <w:noProof/>
              </w:rPr>
            </w:pPr>
            <w:r>
              <w:rPr>
                <w:noProof/>
              </w:rPr>
              <w:t>20</w:t>
            </w:r>
          </w:p>
        </w:tc>
        <w:tc>
          <w:tcPr>
            <w:tcW w:w="921" w:type="dxa"/>
            <w:tcBorders>
              <w:top w:val="nil"/>
              <w:left w:val="nil"/>
              <w:bottom w:val="single" w:sz="4" w:space="0" w:color="auto"/>
              <w:right w:val="single" w:sz="4" w:space="0" w:color="auto"/>
            </w:tcBorders>
            <w:shd w:val="clear" w:color="auto" w:fill="C6EFCE"/>
            <w:noWrap/>
          </w:tcPr>
          <w:p w14:paraId="3A4B9B7A" w14:textId="77777777" w:rsidR="00480F1C" w:rsidRDefault="00A201F6">
            <w:pPr>
              <w:pStyle w:val="P68B1DB1-Normal25"/>
              <w:spacing w:after="0" w:line="240" w:lineRule="auto"/>
              <w:jc w:val="center"/>
              <w:rPr>
                <w:rFonts w:eastAsia="Times New Roman" w:cs="Times New Roman"/>
                <w:noProof/>
              </w:rPr>
            </w:pPr>
            <w:r>
              <w:rPr>
                <w:noProof/>
              </w:rPr>
              <w:t>KWARTAAL 2</w:t>
            </w:r>
          </w:p>
        </w:tc>
        <w:tc>
          <w:tcPr>
            <w:tcW w:w="922" w:type="dxa"/>
            <w:tcBorders>
              <w:top w:val="nil"/>
              <w:left w:val="nil"/>
              <w:bottom w:val="single" w:sz="4" w:space="0" w:color="auto"/>
              <w:right w:val="single" w:sz="4" w:space="0" w:color="auto"/>
            </w:tcBorders>
            <w:shd w:val="clear" w:color="auto" w:fill="C6EFCE"/>
            <w:noWrap/>
          </w:tcPr>
          <w:p w14:paraId="019877D5" w14:textId="256D8DCF" w:rsidR="00480F1C" w:rsidRDefault="00A201F6">
            <w:pPr>
              <w:pStyle w:val="P68B1DB1-Normal25"/>
              <w:spacing w:after="0" w:line="240" w:lineRule="auto"/>
              <w:jc w:val="center"/>
              <w:rPr>
                <w:rFonts w:eastAsia="Times New Roman" w:cs="Times New Roman"/>
                <w:noProof/>
              </w:rPr>
            </w:pPr>
            <w:r>
              <w:rPr>
                <w:noProof/>
              </w:rPr>
              <w:t>2026</w:t>
            </w:r>
          </w:p>
        </w:tc>
        <w:tc>
          <w:tcPr>
            <w:tcW w:w="3685" w:type="dxa"/>
            <w:tcBorders>
              <w:top w:val="nil"/>
              <w:left w:val="nil"/>
              <w:bottom w:val="single" w:sz="4" w:space="0" w:color="auto"/>
              <w:right w:val="single" w:sz="4" w:space="0" w:color="auto"/>
            </w:tcBorders>
            <w:shd w:val="clear" w:color="auto" w:fill="C6EFCE"/>
            <w:noWrap/>
          </w:tcPr>
          <w:p w14:paraId="33227B56" w14:textId="15410EF9" w:rsidR="00480F1C" w:rsidRDefault="00A201F6">
            <w:pPr>
              <w:pStyle w:val="P68B1DB1-Normal25"/>
              <w:spacing w:after="0" w:line="240" w:lineRule="auto"/>
              <w:rPr>
                <w:rFonts w:eastAsia="Times New Roman" w:cs="Times New Roman"/>
                <w:noProof/>
              </w:rPr>
            </w:pPr>
            <w:r>
              <w:rPr>
                <w:noProof/>
              </w:rPr>
              <w:t>Aantal subsidieovereenkomsten dat is ondertekend met ontvangers in overeenstemming met de oproep in mijlpaal G2G.</w:t>
            </w:r>
          </w:p>
        </w:tc>
      </w:tr>
      <w:tr w:rsidR="00480F1C" w14:paraId="03D0F279" w14:textId="77777777">
        <w:trPr>
          <w:trHeight w:val="309"/>
          <w:jc w:val="center"/>
        </w:trPr>
        <w:tc>
          <w:tcPr>
            <w:tcW w:w="988" w:type="dxa"/>
            <w:tcBorders>
              <w:top w:val="nil"/>
              <w:left w:val="single" w:sz="4" w:space="0" w:color="auto"/>
              <w:bottom w:val="single" w:sz="4" w:space="0" w:color="auto"/>
              <w:right w:val="single" w:sz="4" w:space="0" w:color="auto"/>
            </w:tcBorders>
            <w:shd w:val="clear" w:color="auto" w:fill="C6EFCE"/>
            <w:noWrap/>
          </w:tcPr>
          <w:p w14:paraId="78146C2E" w14:textId="54F8A01A" w:rsidR="00480F1C" w:rsidRDefault="00A201F6">
            <w:pPr>
              <w:pStyle w:val="P68B1DB1-Normal25"/>
              <w:spacing w:after="0" w:line="240" w:lineRule="auto"/>
              <w:jc w:val="center"/>
              <w:rPr>
                <w:rFonts w:eastAsia="Times New Roman" w:cs="Times New Roman"/>
                <w:noProof/>
              </w:rPr>
            </w:pPr>
            <w:r>
              <w:rPr>
                <w:noProof/>
              </w:rPr>
              <w:t>G6G</w:t>
            </w:r>
          </w:p>
        </w:tc>
        <w:tc>
          <w:tcPr>
            <w:tcW w:w="1393" w:type="dxa"/>
            <w:tcBorders>
              <w:top w:val="nil"/>
              <w:left w:val="nil"/>
              <w:bottom w:val="single" w:sz="4" w:space="0" w:color="auto"/>
              <w:right w:val="single" w:sz="4" w:space="0" w:color="auto"/>
            </w:tcBorders>
            <w:shd w:val="clear" w:color="auto" w:fill="C6EFCE"/>
            <w:noWrap/>
          </w:tcPr>
          <w:p w14:paraId="428715F9" w14:textId="7B4BBBF1" w:rsidR="00480F1C" w:rsidRDefault="00A201F6">
            <w:pPr>
              <w:pStyle w:val="P68B1DB1-Normal25"/>
              <w:spacing w:after="0" w:line="240" w:lineRule="auto"/>
              <w:rPr>
                <w:noProof/>
              </w:rPr>
            </w:pPr>
            <w:r>
              <w:rPr>
                <w:noProof/>
              </w:rPr>
              <w:t>G1.1.3 Systemen voor energieopslag (niet-terugvorderbare steun)</w:t>
            </w:r>
          </w:p>
        </w:tc>
        <w:tc>
          <w:tcPr>
            <w:tcW w:w="1060" w:type="dxa"/>
            <w:tcBorders>
              <w:top w:val="nil"/>
              <w:left w:val="nil"/>
              <w:bottom w:val="single" w:sz="4" w:space="0" w:color="auto"/>
              <w:right w:val="single" w:sz="4" w:space="0" w:color="auto"/>
            </w:tcBorders>
            <w:shd w:val="clear" w:color="auto" w:fill="C6EFCE"/>
            <w:noWrap/>
          </w:tcPr>
          <w:p w14:paraId="5362D5A3" w14:textId="77777777" w:rsidR="00480F1C" w:rsidRDefault="00A201F6">
            <w:pPr>
              <w:pStyle w:val="P68B1DB1-Normal25"/>
              <w:spacing w:after="0" w:line="240" w:lineRule="auto"/>
              <w:rPr>
                <w:rFonts w:eastAsia="Times New Roman" w:cs="Times New Roman"/>
                <w:noProof/>
              </w:rPr>
            </w:pPr>
            <w:r>
              <w:rPr>
                <w:noProof/>
              </w:rPr>
              <w:t>Mijlpaal</w:t>
            </w:r>
          </w:p>
        </w:tc>
        <w:tc>
          <w:tcPr>
            <w:tcW w:w="1888" w:type="dxa"/>
            <w:tcBorders>
              <w:top w:val="nil"/>
              <w:left w:val="nil"/>
              <w:bottom w:val="single" w:sz="4" w:space="0" w:color="auto"/>
              <w:right w:val="single" w:sz="4" w:space="0" w:color="auto"/>
            </w:tcBorders>
            <w:shd w:val="clear" w:color="auto" w:fill="C6EFCE"/>
            <w:noWrap/>
          </w:tcPr>
          <w:p w14:paraId="11AAA270" w14:textId="6122DD42" w:rsidR="00480F1C" w:rsidRDefault="00A201F6">
            <w:pPr>
              <w:pStyle w:val="P68B1DB1-Normal25"/>
              <w:spacing w:after="0" w:line="240" w:lineRule="auto"/>
              <w:rPr>
                <w:noProof/>
              </w:rPr>
            </w:pPr>
            <w:r>
              <w:rPr>
                <w:noProof/>
              </w:rPr>
              <w:t>Uitrol van een grootschalig batterijenergieopslagsysteem (BESS)</w:t>
            </w:r>
          </w:p>
        </w:tc>
        <w:tc>
          <w:tcPr>
            <w:tcW w:w="1754" w:type="dxa"/>
            <w:tcBorders>
              <w:top w:val="single" w:sz="4" w:space="0" w:color="auto"/>
              <w:left w:val="nil"/>
              <w:bottom w:val="single" w:sz="4" w:space="0" w:color="auto"/>
              <w:right w:val="single" w:sz="4" w:space="0" w:color="auto"/>
            </w:tcBorders>
            <w:shd w:val="clear" w:color="auto" w:fill="C6EFCE"/>
            <w:noWrap/>
          </w:tcPr>
          <w:p w14:paraId="5A265C75" w14:textId="5C2EFE4A" w:rsidR="00480F1C" w:rsidRDefault="00A201F6">
            <w:pPr>
              <w:pStyle w:val="P68B1DB1-Normal25"/>
              <w:spacing w:after="0" w:line="240" w:lineRule="auto"/>
              <w:rPr>
                <w:noProof/>
              </w:rPr>
            </w:pPr>
            <w:r>
              <w:rPr>
                <w:noProof/>
              </w:rPr>
              <w:t>Ingebruikneming van een grootschalig batterijenergieopslagsysteem (BESS)</w:t>
            </w:r>
          </w:p>
        </w:tc>
        <w:tc>
          <w:tcPr>
            <w:tcW w:w="1027" w:type="dxa"/>
            <w:tcBorders>
              <w:top w:val="nil"/>
              <w:left w:val="nil"/>
              <w:bottom w:val="single" w:sz="4" w:space="0" w:color="auto"/>
              <w:right w:val="single" w:sz="4" w:space="0" w:color="auto"/>
            </w:tcBorders>
            <w:shd w:val="clear" w:color="auto" w:fill="C6EFCE"/>
            <w:noWrap/>
          </w:tcPr>
          <w:p w14:paraId="00E1C4F5" w14:textId="6D4F756D" w:rsidR="00480F1C" w:rsidRDefault="00480F1C">
            <w:pPr>
              <w:spacing w:after="0" w:line="240" w:lineRule="auto"/>
              <w:rPr>
                <w:rFonts w:ascii="Times New Roman" w:eastAsia="Times New Roman" w:hAnsi="Times New Roman" w:cs="Times New Roman"/>
                <w:noProof/>
                <w:sz w:val="18"/>
              </w:rPr>
            </w:pPr>
          </w:p>
          <w:p w14:paraId="0CB5D012" w14:textId="5BDBDF40" w:rsidR="00480F1C" w:rsidRDefault="00480F1C">
            <w:pPr>
              <w:spacing w:after="0" w:line="240" w:lineRule="auto"/>
              <w:rPr>
                <w:rFonts w:ascii="Times New Roman" w:eastAsia="Times New Roman" w:hAnsi="Times New Roman" w:cs="Times New Roman"/>
                <w:noProof/>
                <w:sz w:val="18"/>
              </w:rPr>
            </w:pPr>
          </w:p>
        </w:tc>
        <w:tc>
          <w:tcPr>
            <w:tcW w:w="957" w:type="dxa"/>
            <w:tcBorders>
              <w:top w:val="nil"/>
              <w:left w:val="nil"/>
              <w:bottom w:val="single" w:sz="4" w:space="0" w:color="auto"/>
              <w:right w:val="single" w:sz="4" w:space="0" w:color="auto"/>
            </w:tcBorders>
            <w:shd w:val="clear" w:color="auto" w:fill="C6EFCE"/>
            <w:noWrap/>
          </w:tcPr>
          <w:p w14:paraId="35FBF4AB" w14:textId="77777777" w:rsidR="00480F1C" w:rsidRDefault="00480F1C">
            <w:pPr>
              <w:spacing w:after="0" w:line="240" w:lineRule="auto"/>
              <w:jc w:val="center"/>
              <w:rPr>
                <w:rFonts w:ascii="Times New Roman" w:eastAsia="Times New Roman" w:hAnsi="Times New Roman" w:cs="Times New Roman"/>
                <w:noProof/>
                <w:sz w:val="18"/>
              </w:rPr>
            </w:pPr>
          </w:p>
        </w:tc>
        <w:tc>
          <w:tcPr>
            <w:tcW w:w="709" w:type="dxa"/>
            <w:tcBorders>
              <w:top w:val="nil"/>
              <w:left w:val="nil"/>
              <w:bottom w:val="single" w:sz="4" w:space="0" w:color="auto"/>
              <w:right w:val="single" w:sz="4" w:space="0" w:color="auto"/>
            </w:tcBorders>
            <w:shd w:val="clear" w:color="auto" w:fill="C6EFCE"/>
            <w:noWrap/>
          </w:tcPr>
          <w:p w14:paraId="1DE60B75" w14:textId="77777777" w:rsidR="00480F1C" w:rsidRDefault="00480F1C">
            <w:pPr>
              <w:spacing w:after="0" w:line="240" w:lineRule="auto"/>
              <w:jc w:val="center"/>
              <w:rPr>
                <w:rFonts w:ascii="Times New Roman" w:eastAsia="Times New Roman" w:hAnsi="Times New Roman" w:cs="Times New Roman"/>
                <w:noProof/>
                <w:sz w:val="18"/>
              </w:rPr>
            </w:pPr>
          </w:p>
        </w:tc>
        <w:tc>
          <w:tcPr>
            <w:tcW w:w="921" w:type="dxa"/>
            <w:tcBorders>
              <w:top w:val="nil"/>
              <w:left w:val="nil"/>
              <w:bottom w:val="single" w:sz="4" w:space="0" w:color="auto"/>
              <w:right w:val="single" w:sz="4" w:space="0" w:color="auto"/>
            </w:tcBorders>
            <w:shd w:val="clear" w:color="auto" w:fill="C6EFCE"/>
            <w:noWrap/>
          </w:tcPr>
          <w:p w14:paraId="1D5237FC" w14:textId="77777777" w:rsidR="00480F1C" w:rsidRDefault="00A201F6">
            <w:pPr>
              <w:pStyle w:val="P68B1DB1-Normal25"/>
              <w:spacing w:after="0" w:line="240" w:lineRule="auto"/>
              <w:jc w:val="center"/>
              <w:rPr>
                <w:rFonts w:eastAsia="Times New Roman" w:cs="Times New Roman"/>
                <w:noProof/>
              </w:rPr>
            </w:pPr>
            <w:r>
              <w:rPr>
                <w:noProof/>
              </w:rPr>
              <w:t>KWARTAAL 2</w:t>
            </w:r>
          </w:p>
        </w:tc>
        <w:tc>
          <w:tcPr>
            <w:tcW w:w="922" w:type="dxa"/>
            <w:tcBorders>
              <w:top w:val="nil"/>
              <w:left w:val="nil"/>
              <w:bottom w:val="single" w:sz="4" w:space="0" w:color="auto"/>
              <w:right w:val="single" w:sz="4" w:space="0" w:color="auto"/>
            </w:tcBorders>
            <w:shd w:val="clear" w:color="auto" w:fill="C6EFCE"/>
            <w:noWrap/>
          </w:tcPr>
          <w:p w14:paraId="763A8607" w14:textId="77777777" w:rsidR="00480F1C" w:rsidRDefault="00A201F6">
            <w:pPr>
              <w:pStyle w:val="P68B1DB1-Normal25"/>
              <w:spacing w:after="0" w:line="240" w:lineRule="auto"/>
              <w:jc w:val="center"/>
              <w:rPr>
                <w:rFonts w:eastAsia="Times New Roman" w:cs="Times New Roman"/>
                <w:noProof/>
              </w:rPr>
            </w:pPr>
            <w:r>
              <w:rPr>
                <w:noProof/>
              </w:rPr>
              <w:t>2026</w:t>
            </w:r>
          </w:p>
        </w:tc>
        <w:tc>
          <w:tcPr>
            <w:tcW w:w="3685" w:type="dxa"/>
            <w:tcBorders>
              <w:top w:val="nil"/>
              <w:left w:val="nil"/>
              <w:bottom w:val="single" w:sz="4" w:space="0" w:color="auto"/>
              <w:right w:val="single" w:sz="4" w:space="0" w:color="auto"/>
            </w:tcBorders>
            <w:shd w:val="clear" w:color="auto" w:fill="C6EFCE"/>
            <w:noWrap/>
          </w:tcPr>
          <w:p w14:paraId="3E349F52" w14:textId="56F38CCB" w:rsidR="00480F1C" w:rsidRDefault="00A201F6">
            <w:pPr>
              <w:pStyle w:val="P68B1DB1-Normal25"/>
              <w:spacing w:after="0" w:line="240" w:lineRule="auto"/>
              <w:rPr>
                <w:rFonts w:eastAsia="Times New Roman" w:cs="Times New Roman"/>
                <w:noProof/>
              </w:rPr>
            </w:pPr>
            <w:r>
              <w:rPr>
                <w:noProof/>
              </w:rPr>
              <w:t>Ingebruikneming van een grootschalig energieopslagsysteem voor batterijen (BESS) met een capaciteit van 0.9 GWhand bedrijfstijd tussen 4 uur en 5 uur.  Deze nieuwe opslagcapaciteit wordt volledig geïntegreerd in het elektriciteitsnet.</w:t>
            </w:r>
          </w:p>
        </w:tc>
      </w:tr>
      <w:tr w:rsidR="00480F1C" w14:paraId="731F174C" w14:textId="77777777">
        <w:trPr>
          <w:trHeight w:val="309"/>
          <w:jc w:val="center"/>
        </w:trPr>
        <w:tc>
          <w:tcPr>
            <w:tcW w:w="988" w:type="dxa"/>
            <w:tcBorders>
              <w:top w:val="nil"/>
              <w:left w:val="single" w:sz="4" w:space="0" w:color="auto"/>
              <w:bottom w:val="single" w:sz="4" w:space="0" w:color="auto"/>
              <w:right w:val="single" w:sz="4" w:space="0" w:color="auto"/>
            </w:tcBorders>
            <w:shd w:val="clear" w:color="auto" w:fill="C6EFCE"/>
            <w:noWrap/>
          </w:tcPr>
          <w:p w14:paraId="313315B1" w14:textId="586D227C" w:rsidR="00480F1C" w:rsidRDefault="00A201F6">
            <w:pPr>
              <w:pStyle w:val="P68B1DB1-Normal25"/>
              <w:spacing w:after="0" w:line="240" w:lineRule="auto"/>
              <w:jc w:val="center"/>
              <w:rPr>
                <w:rFonts w:eastAsia="Times New Roman" w:cs="Times New Roman"/>
                <w:noProof/>
              </w:rPr>
            </w:pPr>
            <w:r>
              <w:rPr>
                <w:noProof/>
              </w:rPr>
              <w:t>G7G</w:t>
            </w:r>
          </w:p>
        </w:tc>
        <w:tc>
          <w:tcPr>
            <w:tcW w:w="1393" w:type="dxa"/>
            <w:tcBorders>
              <w:top w:val="nil"/>
              <w:left w:val="nil"/>
              <w:bottom w:val="single" w:sz="4" w:space="0" w:color="auto"/>
              <w:right w:val="single" w:sz="4" w:space="0" w:color="auto"/>
            </w:tcBorders>
            <w:shd w:val="clear" w:color="auto" w:fill="C6EFCE"/>
            <w:noWrap/>
          </w:tcPr>
          <w:p w14:paraId="0FD3E4BF" w14:textId="14B72FDA" w:rsidR="00480F1C" w:rsidRDefault="00A201F6">
            <w:pPr>
              <w:pStyle w:val="P68B1DB1-Normal25"/>
              <w:spacing w:after="0" w:line="240" w:lineRule="auto"/>
              <w:rPr>
                <w:rFonts w:eastAsia="Times New Roman" w:cs="Times New Roman"/>
                <w:noProof/>
              </w:rPr>
            </w:pPr>
            <w:r>
              <w:rPr>
                <w:noProof/>
              </w:rPr>
              <w:t>G1.1.4 Steun voor instellingen die REPowerEU-hervormingen en -investeringen uitvoeren</w:t>
            </w:r>
          </w:p>
        </w:tc>
        <w:tc>
          <w:tcPr>
            <w:tcW w:w="1060" w:type="dxa"/>
            <w:tcBorders>
              <w:top w:val="nil"/>
              <w:left w:val="nil"/>
              <w:bottom w:val="single" w:sz="4" w:space="0" w:color="auto"/>
              <w:right w:val="single" w:sz="4" w:space="0" w:color="auto"/>
            </w:tcBorders>
            <w:shd w:val="clear" w:color="auto" w:fill="C6EFCE"/>
            <w:noWrap/>
          </w:tcPr>
          <w:p w14:paraId="4EFB24C4" w14:textId="77777777" w:rsidR="00480F1C" w:rsidRDefault="00A201F6">
            <w:pPr>
              <w:pStyle w:val="P68B1DB1-Normal25"/>
              <w:spacing w:after="0" w:line="240" w:lineRule="auto"/>
              <w:rPr>
                <w:rFonts w:eastAsia="Times New Roman" w:cs="Times New Roman"/>
                <w:noProof/>
              </w:rPr>
            </w:pPr>
            <w:r>
              <w:rPr>
                <w:noProof/>
              </w:rPr>
              <w:t>Doel</w:t>
            </w:r>
          </w:p>
        </w:tc>
        <w:tc>
          <w:tcPr>
            <w:tcW w:w="1888" w:type="dxa"/>
            <w:tcBorders>
              <w:top w:val="nil"/>
              <w:left w:val="nil"/>
              <w:bottom w:val="single" w:sz="4" w:space="0" w:color="auto"/>
              <w:right w:val="single" w:sz="4" w:space="0" w:color="auto"/>
            </w:tcBorders>
            <w:shd w:val="clear" w:color="auto" w:fill="C6EFCE"/>
            <w:noWrap/>
          </w:tcPr>
          <w:p w14:paraId="13BE4195" w14:textId="52B37BEF" w:rsidR="00480F1C" w:rsidRDefault="00A201F6">
            <w:pPr>
              <w:pStyle w:val="P68B1DB1-Normal25"/>
              <w:spacing w:after="0" w:line="240" w:lineRule="auto"/>
              <w:rPr>
                <w:rFonts w:eastAsia="Times New Roman" w:cs="Times New Roman"/>
                <w:noProof/>
              </w:rPr>
            </w:pPr>
            <w:r>
              <w:rPr>
                <w:noProof/>
              </w:rPr>
              <w:t>Vergroting van de administratieve capaciteit om REPowerEU-hervormingen en -investeringen uit te voeren</w:t>
            </w:r>
          </w:p>
        </w:tc>
        <w:tc>
          <w:tcPr>
            <w:tcW w:w="1754" w:type="dxa"/>
            <w:tcBorders>
              <w:top w:val="nil"/>
              <w:left w:val="nil"/>
              <w:bottom w:val="single" w:sz="4" w:space="0" w:color="auto"/>
              <w:right w:val="single" w:sz="4" w:space="0" w:color="auto"/>
            </w:tcBorders>
            <w:shd w:val="clear" w:color="auto" w:fill="C6EFCE"/>
            <w:noWrap/>
          </w:tcPr>
          <w:p w14:paraId="04E6A475" w14:textId="4190C6DA" w:rsidR="00480F1C" w:rsidRDefault="00480F1C">
            <w:pPr>
              <w:spacing w:after="0" w:line="240" w:lineRule="auto"/>
              <w:rPr>
                <w:rFonts w:ascii="Times New Roman" w:hAnsi="Times New Roman"/>
                <w:noProof/>
                <w:sz w:val="18"/>
              </w:rPr>
            </w:pPr>
          </w:p>
        </w:tc>
        <w:tc>
          <w:tcPr>
            <w:tcW w:w="1027" w:type="dxa"/>
            <w:tcBorders>
              <w:top w:val="nil"/>
              <w:left w:val="nil"/>
              <w:bottom w:val="single" w:sz="4" w:space="0" w:color="auto"/>
              <w:right w:val="single" w:sz="4" w:space="0" w:color="auto"/>
            </w:tcBorders>
            <w:shd w:val="clear" w:color="auto" w:fill="C6EFCE"/>
            <w:noWrap/>
          </w:tcPr>
          <w:p w14:paraId="1F3FE03E" w14:textId="77777777" w:rsidR="00480F1C" w:rsidRDefault="00A201F6">
            <w:pPr>
              <w:pStyle w:val="P68B1DB1-Normal25"/>
              <w:spacing w:after="0" w:line="240" w:lineRule="auto"/>
              <w:rPr>
                <w:rFonts w:eastAsia="Times New Roman" w:cs="Times New Roman"/>
                <w:noProof/>
              </w:rPr>
            </w:pPr>
            <w:r>
              <w:rPr>
                <w:noProof/>
              </w:rPr>
              <w:t>Aantal</w:t>
            </w:r>
          </w:p>
        </w:tc>
        <w:tc>
          <w:tcPr>
            <w:tcW w:w="957" w:type="dxa"/>
            <w:tcBorders>
              <w:top w:val="nil"/>
              <w:left w:val="nil"/>
              <w:bottom w:val="single" w:sz="4" w:space="0" w:color="auto"/>
              <w:right w:val="single" w:sz="4" w:space="0" w:color="auto"/>
            </w:tcBorders>
            <w:shd w:val="clear" w:color="auto" w:fill="C6EFCE"/>
            <w:noWrap/>
          </w:tcPr>
          <w:p w14:paraId="708A65CA" w14:textId="77777777" w:rsidR="00480F1C" w:rsidRDefault="00A201F6">
            <w:pPr>
              <w:pStyle w:val="P68B1DB1-Normal25"/>
              <w:spacing w:after="0" w:line="240" w:lineRule="auto"/>
              <w:jc w:val="center"/>
              <w:rPr>
                <w:rFonts w:eastAsia="Times New Roman" w:cs="Times New Roman"/>
                <w:noProof/>
              </w:rPr>
            </w:pPr>
            <w:r>
              <w:rPr>
                <w:noProof/>
              </w:rPr>
              <w:t>0</w:t>
            </w:r>
          </w:p>
        </w:tc>
        <w:tc>
          <w:tcPr>
            <w:tcW w:w="709" w:type="dxa"/>
            <w:tcBorders>
              <w:top w:val="nil"/>
              <w:left w:val="nil"/>
              <w:bottom w:val="single" w:sz="4" w:space="0" w:color="auto"/>
              <w:right w:val="single" w:sz="4" w:space="0" w:color="auto"/>
            </w:tcBorders>
            <w:shd w:val="clear" w:color="auto" w:fill="C6EFCE"/>
            <w:noWrap/>
          </w:tcPr>
          <w:p w14:paraId="086FEA3A" w14:textId="77777777" w:rsidR="00480F1C" w:rsidRDefault="00A201F6">
            <w:pPr>
              <w:pStyle w:val="P68B1DB1-Normal25"/>
              <w:spacing w:after="0" w:line="240" w:lineRule="auto"/>
              <w:jc w:val="center"/>
              <w:rPr>
                <w:rFonts w:eastAsia="Times New Roman" w:cs="Times New Roman"/>
                <w:noProof/>
              </w:rPr>
            </w:pPr>
            <w:r>
              <w:rPr>
                <w:noProof/>
              </w:rPr>
              <w:t>106</w:t>
            </w:r>
          </w:p>
        </w:tc>
        <w:tc>
          <w:tcPr>
            <w:tcW w:w="921" w:type="dxa"/>
            <w:tcBorders>
              <w:top w:val="nil"/>
              <w:left w:val="nil"/>
              <w:bottom w:val="single" w:sz="4" w:space="0" w:color="auto"/>
              <w:right w:val="single" w:sz="4" w:space="0" w:color="auto"/>
            </w:tcBorders>
            <w:shd w:val="clear" w:color="auto" w:fill="C6EFCE"/>
            <w:noWrap/>
          </w:tcPr>
          <w:p w14:paraId="48795FA7" w14:textId="7C3BBCB3" w:rsidR="00480F1C" w:rsidRDefault="00A201F6">
            <w:pPr>
              <w:pStyle w:val="P68B1DB1-Normal25"/>
              <w:spacing w:after="0" w:line="240" w:lineRule="auto"/>
              <w:jc w:val="center"/>
              <w:rPr>
                <w:rFonts w:eastAsia="Times New Roman" w:cs="Times New Roman"/>
                <w:noProof/>
              </w:rPr>
            </w:pPr>
            <w:r>
              <w:rPr>
                <w:noProof/>
              </w:rPr>
              <w:t>KWARTAAL 4</w:t>
            </w:r>
          </w:p>
        </w:tc>
        <w:tc>
          <w:tcPr>
            <w:tcW w:w="922" w:type="dxa"/>
            <w:tcBorders>
              <w:top w:val="nil"/>
              <w:left w:val="nil"/>
              <w:bottom w:val="single" w:sz="4" w:space="0" w:color="auto"/>
              <w:right w:val="single" w:sz="4" w:space="0" w:color="auto"/>
            </w:tcBorders>
            <w:shd w:val="clear" w:color="auto" w:fill="C6EFCE"/>
            <w:noWrap/>
          </w:tcPr>
          <w:p w14:paraId="7357666D" w14:textId="77777777" w:rsidR="00480F1C" w:rsidRDefault="00A201F6">
            <w:pPr>
              <w:pStyle w:val="P68B1DB1-Normal25"/>
              <w:spacing w:after="0" w:line="240" w:lineRule="auto"/>
              <w:jc w:val="center"/>
              <w:rPr>
                <w:rFonts w:eastAsia="Times New Roman" w:cs="Times New Roman"/>
                <w:noProof/>
              </w:rPr>
            </w:pPr>
            <w:r>
              <w:rPr>
                <w:noProof/>
              </w:rPr>
              <w:t>2024</w:t>
            </w:r>
          </w:p>
        </w:tc>
        <w:tc>
          <w:tcPr>
            <w:tcW w:w="3685" w:type="dxa"/>
            <w:tcBorders>
              <w:top w:val="nil"/>
              <w:left w:val="nil"/>
              <w:bottom w:val="single" w:sz="4" w:space="0" w:color="auto"/>
              <w:right w:val="single" w:sz="4" w:space="0" w:color="auto"/>
            </w:tcBorders>
            <w:shd w:val="clear" w:color="auto" w:fill="C6EFCE"/>
            <w:noWrap/>
          </w:tcPr>
          <w:p w14:paraId="0FFDDA27" w14:textId="3203D572" w:rsidR="00480F1C" w:rsidRDefault="00A201F6">
            <w:pPr>
              <w:pStyle w:val="P68B1DB1-Normal25"/>
              <w:spacing w:after="0" w:line="240" w:lineRule="auto"/>
              <w:jc w:val="both"/>
              <w:rPr>
                <w:rFonts w:cs="Times New Roman"/>
                <w:noProof/>
                <w:color w:val="000000"/>
              </w:rPr>
            </w:pPr>
            <w:r>
              <w:rPr>
                <w:noProof/>
                <w:color w:val="000000" w:themeColor="text1"/>
              </w:rPr>
              <w:t xml:space="preserve">In de centrale overheid worden ten minste 106 nieuwe voltijdequivalenten ingezet voor de uitvoering </w:t>
            </w:r>
            <w:r>
              <w:rPr>
                <w:noProof/>
              </w:rPr>
              <w:t xml:space="preserve">van de REPowerEU-hervormingen en -investeringen, met inbegrip van de digitalisering van vergunningsprocedures voor hernieuwbare energiebronnen en </w:t>
            </w:r>
            <w:r>
              <w:rPr>
                <w:noProof/>
                <w:color w:val="000000" w:themeColor="text1"/>
              </w:rPr>
              <w:t xml:space="preserve">elektriciteitsnetwerken en/of de digitalisering van de ontwikkeling van het net en van het proces voor aansluiting op elektriciteitsnetwerken. </w:t>
            </w:r>
          </w:p>
          <w:p w14:paraId="6FDC57BE" w14:textId="5E028D0F" w:rsidR="00480F1C" w:rsidRDefault="00480F1C">
            <w:pPr>
              <w:spacing w:after="0" w:line="240" w:lineRule="auto"/>
              <w:jc w:val="both"/>
              <w:rPr>
                <w:rFonts w:ascii="Times New Roman" w:eastAsia="Times New Roman" w:hAnsi="Times New Roman" w:cs="Times New Roman"/>
                <w:noProof/>
                <w:sz w:val="18"/>
              </w:rPr>
            </w:pPr>
          </w:p>
        </w:tc>
      </w:tr>
      <w:tr w:rsidR="00480F1C" w14:paraId="51E04D2B" w14:textId="77777777">
        <w:trPr>
          <w:trHeight w:val="309"/>
          <w:jc w:val="center"/>
        </w:trPr>
        <w:tc>
          <w:tcPr>
            <w:tcW w:w="988" w:type="dxa"/>
            <w:tcBorders>
              <w:top w:val="nil"/>
              <w:left w:val="single" w:sz="4" w:space="0" w:color="auto"/>
              <w:bottom w:val="single" w:sz="4" w:space="0" w:color="auto"/>
              <w:right w:val="single" w:sz="4" w:space="0" w:color="auto"/>
            </w:tcBorders>
            <w:shd w:val="clear" w:color="auto" w:fill="C6EFCE"/>
            <w:noWrap/>
          </w:tcPr>
          <w:p w14:paraId="0ACDA172" w14:textId="6DD0C79C" w:rsidR="00480F1C" w:rsidRDefault="00A201F6">
            <w:pPr>
              <w:pStyle w:val="P68B1DB1-Normal25"/>
              <w:spacing w:after="0" w:line="240" w:lineRule="auto"/>
              <w:jc w:val="center"/>
              <w:rPr>
                <w:rFonts w:eastAsia="Times New Roman" w:cs="Times New Roman"/>
                <w:noProof/>
              </w:rPr>
            </w:pPr>
            <w:r>
              <w:rPr>
                <w:noProof/>
              </w:rPr>
              <w:t>G8G</w:t>
            </w:r>
          </w:p>
        </w:tc>
        <w:tc>
          <w:tcPr>
            <w:tcW w:w="1393" w:type="dxa"/>
            <w:tcBorders>
              <w:top w:val="nil"/>
              <w:left w:val="nil"/>
              <w:bottom w:val="single" w:sz="4" w:space="0" w:color="auto"/>
              <w:right w:val="single" w:sz="4" w:space="0" w:color="auto"/>
            </w:tcBorders>
            <w:shd w:val="clear" w:color="auto" w:fill="C6EFCE"/>
            <w:noWrap/>
          </w:tcPr>
          <w:p w14:paraId="0DB73602" w14:textId="3996EA9F" w:rsidR="00480F1C" w:rsidRDefault="00A201F6">
            <w:pPr>
              <w:pStyle w:val="P68B1DB1-Normal25"/>
              <w:spacing w:after="0" w:line="240" w:lineRule="auto"/>
              <w:rPr>
                <w:rFonts w:eastAsia="Times New Roman" w:cs="Times New Roman"/>
                <w:noProof/>
              </w:rPr>
            </w:pPr>
            <w:r>
              <w:rPr>
                <w:noProof/>
              </w:rPr>
              <w:t>G1.1.4 Ondersteuning van instellingen die hervormingen en investeringen in het kader van REPpowerEU uitvoeren</w:t>
            </w:r>
          </w:p>
        </w:tc>
        <w:tc>
          <w:tcPr>
            <w:tcW w:w="1060" w:type="dxa"/>
            <w:tcBorders>
              <w:top w:val="nil"/>
              <w:left w:val="nil"/>
              <w:bottom w:val="single" w:sz="4" w:space="0" w:color="auto"/>
              <w:right w:val="single" w:sz="4" w:space="0" w:color="auto"/>
            </w:tcBorders>
            <w:shd w:val="clear" w:color="auto" w:fill="C6EFCE"/>
            <w:noWrap/>
          </w:tcPr>
          <w:p w14:paraId="489FA8EB" w14:textId="77777777" w:rsidR="00480F1C" w:rsidRDefault="00A201F6">
            <w:pPr>
              <w:pStyle w:val="P68B1DB1-Normal25"/>
              <w:spacing w:after="0" w:line="240" w:lineRule="auto"/>
              <w:rPr>
                <w:rFonts w:eastAsia="Times New Roman" w:cs="Times New Roman"/>
                <w:noProof/>
              </w:rPr>
            </w:pPr>
            <w:r>
              <w:rPr>
                <w:noProof/>
              </w:rPr>
              <w:t>Doel</w:t>
            </w:r>
          </w:p>
        </w:tc>
        <w:tc>
          <w:tcPr>
            <w:tcW w:w="1888" w:type="dxa"/>
            <w:tcBorders>
              <w:top w:val="nil"/>
              <w:left w:val="nil"/>
              <w:bottom w:val="single" w:sz="4" w:space="0" w:color="auto"/>
              <w:right w:val="single" w:sz="4" w:space="0" w:color="auto"/>
            </w:tcBorders>
            <w:shd w:val="clear" w:color="auto" w:fill="C6EFCE"/>
            <w:noWrap/>
          </w:tcPr>
          <w:p w14:paraId="30201012" w14:textId="73250B5A" w:rsidR="00480F1C" w:rsidRDefault="00A201F6">
            <w:pPr>
              <w:pStyle w:val="P68B1DB1-Normal25"/>
              <w:spacing w:after="0" w:line="240" w:lineRule="auto"/>
              <w:rPr>
                <w:rFonts w:eastAsia="Times New Roman" w:cs="Times New Roman"/>
                <w:noProof/>
              </w:rPr>
            </w:pPr>
            <w:r>
              <w:rPr>
                <w:noProof/>
              </w:rPr>
              <w:t>Projecten voor capaciteitsopbouw, ter ondersteuning van de uitvoering van REPowerEU-hervormingen en -investeringen, voor centraal en lokaal bestuur</w:t>
            </w:r>
          </w:p>
        </w:tc>
        <w:tc>
          <w:tcPr>
            <w:tcW w:w="1754" w:type="dxa"/>
            <w:tcBorders>
              <w:top w:val="nil"/>
              <w:left w:val="nil"/>
              <w:bottom w:val="single" w:sz="4" w:space="0" w:color="auto"/>
              <w:right w:val="single" w:sz="4" w:space="0" w:color="auto"/>
            </w:tcBorders>
            <w:shd w:val="clear" w:color="auto" w:fill="C6EFCE"/>
            <w:noWrap/>
          </w:tcPr>
          <w:p w14:paraId="59154E11" w14:textId="77777777" w:rsidR="00480F1C" w:rsidRDefault="00480F1C">
            <w:pPr>
              <w:spacing w:after="0" w:line="240" w:lineRule="auto"/>
              <w:rPr>
                <w:rFonts w:ascii="Times New Roman" w:eastAsia="Times New Roman" w:hAnsi="Times New Roman" w:cs="Times New Roman"/>
                <w:noProof/>
                <w:sz w:val="18"/>
              </w:rPr>
            </w:pPr>
          </w:p>
        </w:tc>
        <w:tc>
          <w:tcPr>
            <w:tcW w:w="1027" w:type="dxa"/>
            <w:tcBorders>
              <w:top w:val="nil"/>
              <w:left w:val="nil"/>
              <w:bottom w:val="single" w:sz="4" w:space="0" w:color="auto"/>
              <w:right w:val="single" w:sz="4" w:space="0" w:color="auto"/>
            </w:tcBorders>
            <w:shd w:val="clear" w:color="auto" w:fill="C6EFCE"/>
            <w:noWrap/>
          </w:tcPr>
          <w:p w14:paraId="2160BF9D" w14:textId="77777777" w:rsidR="00480F1C" w:rsidRDefault="00A201F6">
            <w:pPr>
              <w:pStyle w:val="P68B1DB1-Normal25"/>
              <w:spacing w:after="0" w:line="240" w:lineRule="auto"/>
              <w:rPr>
                <w:rFonts w:eastAsia="Times New Roman" w:cs="Times New Roman"/>
                <w:noProof/>
              </w:rPr>
            </w:pPr>
            <w:r>
              <w:rPr>
                <w:noProof/>
              </w:rPr>
              <w:t>Aantal</w:t>
            </w:r>
          </w:p>
        </w:tc>
        <w:tc>
          <w:tcPr>
            <w:tcW w:w="957" w:type="dxa"/>
            <w:tcBorders>
              <w:top w:val="nil"/>
              <w:left w:val="nil"/>
              <w:bottom w:val="single" w:sz="4" w:space="0" w:color="auto"/>
              <w:right w:val="single" w:sz="4" w:space="0" w:color="auto"/>
            </w:tcBorders>
            <w:shd w:val="clear" w:color="auto" w:fill="C6EFCE"/>
            <w:noWrap/>
          </w:tcPr>
          <w:p w14:paraId="17A3B0EC" w14:textId="77777777" w:rsidR="00480F1C" w:rsidRDefault="00A201F6">
            <w:pPr>
              <w:pStyle w:val="P68B1DB1-Normal25"/>
              <w:spacing w:after="0" w:line="240" w:lineRule="auto"/>
              <w:jc w:val="center"/>
              <w:rPr>
                <w:rFonts w:eastAsia="Times New Roman" w:cs="Times New Roman"/>
                <w:noProof/>
              </w:rPr>
            </w:pPr>
            <w:r>
              <w:rPr>
                <w:noProof/>
              </w:rPr>
              <w:t>0</w:t>
            </w:r>
          </w:p>
        </w:tc>
        <w:tc>
          <w:tcPr>
            <w:tcW w:w="709" w:type="dxa"/>
            <w:tcBorders>
              <w:top w:val="nil"/>
              <w:left w:val="nil"/>
              <w:bottom w:val="single" w:sz="4" w:space="0" w:color="auto"/>
              <w:right w:val="single" w:sz="4" w:space="0" w:color="auto"/>
            </w:tcBorders>
            <w:shd w:val="clear" w:color="auto" w:fill="C6EFCE"/>
            <w:noWrap/>
          </w:tcPr>
          <w:p w14:paraId="7DC6FAC3" w14:textId="77777777" w:rsidR="00480F1C" w:rsidRDefault="00A201F6">
            <w:pPr>
              <w:pStyle w:val="P68B1DB1-Normal25"/>
              <w:spacing w:after="0" w:line="240" w:lineRule="auto"/>
              <w:jc w:val="center"/>
              <w:rPr>
                <w:rFonts w:eastAsia="Times New Roman" w:cs="Times New Roman"/>
                <w:noProof/>
              </w:rPr>
            </w:pPr>
            <w:r>
              <w:rPr>
                <w:noProof/>
              </w:rPr>
              <w:t>107</w:t>
            </w:r>
          </w:p>
        </w:tc>
        <w:tc>
          <w:tcPr>
            <w:tcW w:w="921" w:type="dxa"/>
            <w:tcBorders>
              <w:top w:val="nil"/>
              <w:left w:val="nil"/>
              <w:bottom w:val="single" w:sz="4" w:space="0" w:color="auto"/>
              <w:right w:val="single" w:sz="4" w:space="0" w:color="auto"/>
            </w:tcBorders>
            <w:shd w:val="clear" w:color="auto" w:fill="C6EFCE"/>
            <w:noWrap/>
          </w:tcPr>
          <w:p w14:paraId="558F1169" w14:textId="77777777" w:rsidR="00480F1C" w:rsidRDefault="00A201F6">
            <w:pPr>
              <w:pStyle w:val="P68B1DB1-Normal25"/>
              <w:spacing w:after="0" w:line="240" w:lineRule="auto"/>
              <w:jc w:val="center"/>
              <w:rPr>
                <w:rFonts w:eastAsia="Times New Roman" w:cs="Times New Roman"/>
                <w:noProof/>
              </w:rPr>
            </w:pPr>
            <w:r>
              <w:rPr>
                <w:noProof/>
              </w:rPr>
              <w:t>KWARTAAL 2</w:t>
            </w:r>
          </w:p>
        </w:tc>
        <w:tc>
          <w:tcPr>
            <w:tcW w:w="922" w:type="dxa"/>
            <w:tcBorders>
              <w:top w:val="nil"/>
              <w:left w:val="nil"/>
              <w:bottom w:val="single" w:sz="4" w:space="0" w:color="auto"/>
              <w:right w:val="single" w:sz="4" w:space="0" w:color="auto"/>
            </w:tcBorders>
            <w:shd w:val="clear" w:color="auto" w:fill="C6EFCE"/>
            <w:noWrap/>
          </w:tcPr>
          <w:p w14:paraId="6C9BCBAC" w14:textId="77777777" w:rsidR="00480F1C" w:rsidRDefault="00A201F6">
            <w:pPr>
              <w:pStyle w:val="P68B1DB1-Normal25"/>
              <w:spacing w:after="0" w:line="240" w:lineRule="auto"/>
              <w:jc w:val="center"/>
              <w:rPr>
                <w:rFonts w:eastAsia="Times New Roman" w:cs="Times New Roman"/>
                <w:noProof/>
              </w:rPr>
            </w:pPr>
            <w:r>
              <w:rPr>
                <w:noProof/>
              </w:rPr>
              <w:t>2025</w:t>
            </w:r>
          </w:p>
        </w:tc>
        <w:tc>
          <w:tcPr>
            <w:tcW w:w="3685" w:type="dxa"/>
            <w:tcBorders>
              <w:top w:val="nil"/>
              <w:left w:val="nil"/>
              <w:bottom w:val="single" w:sz="4" w:space="0" w:color="auto"/>
              <w:right w:val="single" w:sz="4" w:space="0" w:color="auto"/>
            </w:tcBorders>
            <w:shd w:val="clear" w:color="auto" w:fill="C6EFCE"/>
            <w:noWrap/>
          </w:tcPr>
          <w:p w14:paraId="2FE18038" w14:textId="7D86A055" w:rsidR="00480F1C" w:rsidRDefault="00A201F6">
            <w:pPr>
              <w:pStyle w:val="P68B1DB1-Normal25"/>
              <w:spacing w:after="0" w:line="240" w:lineRule="auto"/>
              <w:rPr>
                <w:rFonts w:eastAsia="Times New Roman" w:cs="Times New Roman"/>
                <w:noProof/>
              </w:rPr>
            </w:pPr>
            <w:r>
              <w:rPr>
                <w:noProof/>
              </w:rPr>
              <w:t xml:space="preserve">Ten minste 107 entiteiten die de capaciteitsopbouwprojecten uitvoeren ter ondersteuning van de uitvoering van REPowerEU-hervormingen en -investeringen, worden ondersteund. De entiteiten voltooien projecten zoals opleiding, studiebezoeken, IT-instrumenten, analyses en studies en bijstand van externe deskundigen voor de centrale en lokale overheid. </w:t>
            </w:r>
          </w:p>
          <w:p w14:paraId="7900AC32" w14:textId="77777777" w:rsidR="00480F1C" w:rsidRDefault="00A201F6">
            <w:pPr>
              <w:pStyle w:val="P68B1DB1-Normal25"/>
              <w:spacing w:after="0" w:line="240" w:lineRule="auto"/>
              <w:rPr>
                <w:rFonts w:cs="Times New Roman"/>
                <w:noProof/>
              </w:rPr>
            </w:pPr>
            <w:r>
              <w:rPr>
                <w:noProof/>
              </w:rPr>
              <w:t xml:space="preserve"> </w:t>
            </w:r>
          </w:p>
          <w:p w14:paraId="29DB01C9" w14:textId="30C1D60A" w:rsidR="00480F1C" w:rsidRDefault="00A201F6">
            <w:pPr>
              <w:pStyle w:val="P68B1DB1-Normal25"/>
              <w:spacing w:after="0" w:line="240" w:lineRule="auto"/>
              <w:rPr>
                <w:rFonts w:eastAsia="Times New Roman" w:cs="Times New Roman"/>
                <w:noProof/>
              </w:rPr>
            </w:pPr>
            <w:r>
              <w:rPr>
                <w:noProof/>
              </w:rPr>
              <w:t>Ten minste 100 door de entiteiten voltooide projecten zijn gericht op vergunningsprocedures voor de uitrol van hernieuwbare energiebronnen en distributienetten.</w:t>
            </w:r>
          </w:p>
        </w:tc>
      </w:tr>
      <w:tr w:rsidR="00480F1C" w14:paraId="560B1DA4" w14:textId="77777777">
        <w:trPr>
          <w:trHeight w:val="309"/>
          <w:jc w:val="center"/>
        </w:trPr>
        <w:tc>
          <w:tcPr>
            <w:tcW w:w="988" w:type="dxa"/>
            <w:tcBorders>
              <w:top w:val="nil"/>
              <w:left w:val="single" w:sz="4" w:space="0" w:color="auto"/>
              <w:bottom w:val="single" w:sz="4" w:space="0" w:color="auto"/>
              <w:right w:val="single" w:sz="4" w:space="0" w:color="auto"/>
            </w:tcBorders>
            <w:shd w:val="clear" w:color="auto" w:fill="C6EFCE"/>
            <w:noWrap/>
          </w:tcPr>
          <w:p w14:paraId="24FD3999" w14:textId="173D0C89" w:rsidR="00480F1C" w:rsidRDefault="00A201F6">
            <w:pPr>
              <w:pStyle w:val="P68B1DB1-Normal25"/>
              <w:spacing w:after="0" w:line="240" w:lineRule="auto"/>
              <w:jc w:val="center"/>
              <w:rPr>
                <w:rFonts w:eastAsia="Times New Roman" w:cs="Times New Roman"/>
                <w:noProof/>
              </w:rPr>
            </w:pPr>
            <w:r>
              <w:rPr>
                <w:noProof/>
              </w:rPr>
              <w:t>G9G</w:t>
            </w:r>
          </w:p>
        </w:tc>
        <w:tc>
          <w:tcPr>
            <w:tcW w:w="1393" w:type="dxa"/>
            <w:tcBorders>
              <w:top w:val="nil"/>
              <w:left w:val="nil"/>
              <w:bottom w:val="single" w:sz="4" w:space="0" w:color="auto"/>
              <w:right w:val="single" w:sz="4" w:space="0" w:color="auto"/>
            </w:tcBorders>
            <w:shd w:val="clear" w:color="auto" w:fill="C6EFCE"/>
            <w:noWrap/>
          </w:tcPr>
          <w:p w14:paraId="2197674B" w14:textId="6DB39D3E" w:rsidR="00480F1C" w:rsidRDefault="00A201F6">
            <w:pPr>
              <w:pStyle w:val="P68B1DB1-Normal25"/>
              <w:spacing w:after="0" w:line="240" w:lineRule="auto"/>
              <w:rPr>
                <w:rFonts w:eastAsia="Times New Roman" w:cs="Times New Roman"/>
                <w:noProof/>
              </w:rPr>
            </w:pPr>
            <w:r>
              <w:rPr>
                <w:noProof/>
              </w:rPr>
              <w:t>G1.1.4 Steun voor instellingen die REPowerEU-hervormingen en -investeringen uitvoeren</w:t>
            </w:r>
          </w:p>
          <w:p w14:paraId="48627160" w14:textId="77777777" w:rsidR="00480F1C" w:rsidRDefault="00480F1C">
            <w:pPr>
              <w:spacing w:after="0" w:line="240" w:lineRule="auto"/>
              <w:rPr>
                <w:rFonts w:ascii="Times New Roman" w:eastAsia="Times New Roman" w:hAnsi="Times New Roman" w:cs="Times New Roman"/>
                <w:noProof/>
                <w:sz w:val="18"/>
              </w:rPr>
            </w:pPr>
          </w:p>
        </w:tc>
        <w:tc>
          <w:tcPr>
            <w:tcW w:w="1060" w:type="dxa"/>
            <w:tcBorders>
              <w:top w:val="nil"/>
              <w:left w:val="nil"/>
              <w:bottom w:val="single" w:sz="4" w:space="0" w:color="auto"/>
              <w:right w:val="single" w:sz="4" w:space="0" w:color="auto"/>
            </w:tcBorders>
            <w:shd w:val="clear" w:color="auto" w:fill="C6EFCE"/>
            <w:noWrap/>
          </w:tcPr>
          <w:p w14:paraId="03A45482" w14:textId="77777777" w:rsidR="00480F1C" w:rsidRDefault="00A201F6">
            <w:pPr>
              <w:pStyle w:val="P68B1DB1-Normal25"/>
              <w:spacing w:after="0" w:line="240" w:lineRule="auto"/>
              <w:rPr>
                <w:rFonts w:eastAsia="Times New Roman" w:cs="Times New Roman"/>
                <w:noProof/>
              </w:rPr>
            </w:pPr>
            <w:r>
              <w:rPr>
                <w:noProof/>
              </w:rPr>
              <w:t xml:space="preserve">Doel </w:t>
            </w:r>
          </w:p>
        </w:tc>
        <w:tc>
          <w:tcPr>
            <w:tcW w:w="1888" w:type="dxa"/>
            <w:tcBorders>
              <w:top w:val="nil"/>
              <w:left w:val="nil"/>
              <w:bottom w:val="single" w:sz="4" w:space="0" w:color="auto"/>
              <w:right w:val="single" w:sz="4" w:space="0" w:color="auto"/>
            </w:tcBorders>
            <w:shd w:val="clear" w:color="auto" w:fill="C6EFCE"/>
            <w:noWrap/>
          </w:tcPr>
          <w:p w14:paraId="524AB087" w14:textId="77777777" w:rsidR="00480F1C" w:rsidRDefault="00A201F6">
            <w:pPr>
              <w:pStyle w:val="P68B1DB1-Normal25"/>
              <w:spacing w:after="0" w:line="240" w:lineRule="auto"/>
              <w:rPr>
                <w:rFonts w:eastAsia="Times New Roman" w:cs="Times New Roman"/>
                <w:noProof/>
              </w:rPr>
            </w:pPr>
            <w:r>
              <w:rPr>
                <w:noProof/>
              </w:rPr>
              <w:t>Projecten voor capaciteitsopbouw ter ondersteuning van de uitvoering van REPowerEU-hervormingen en -investeringen door ngo’s</w:t>
            </w:r>
          </w:p>
        </w:tc>
        <w:tc>
          <w:tcPr>
            <w:tcW w:w="1754" w:type="dxa"/>
            <w:tcBorders>
              <w:top w:val="single" w:sz="4" w:space="0" w:color="auto"/>
              <w:left w:val="nil"/>
              <w:bottom w:val="single" w:sz="4" w:space="0" w:color="auto"/>
              <w:right w:val="single" w:sz="4" w:space="0" w:color="auto"/>
            </w:tcBorders>
            <w:shd w:val="clear" w:color="auto" w:fill="C6EFCE"/>
            <w:noWrap/>
          </w:tcPr>
          <w:p w14:paraId="166318D1" w14:textId="77777777" w:rsidR="00480F1C" w:rsidRDefault="00480F1C">
            <w:pPr>
              <w:spacing w:after="0" w:line="240" w:lineRule="auto"/>
              <w:rPr>
                <w:rFonts w:ascii="Times New Roman" w:eastAsia="Times New Roman" w:hAnsi="Times New Roman" w:cs="Times New Roman"/>
                <w:noProof/>
                <w:sz w:val="18"/>
              </w:rPr>
            </w:pPr>
          </w:p>
        </w:tc>
        <w:tc>
          <w:tcPr>
            <w:tcW w:w="1027" w:type="dxa"/>
            <w:tcBorders>
              <w:top w:val="nil"/>
              <w:left w:val="nil"/>
              <w:bottom w:val="single" w:sz="4" w:space="0" w:color="auto"/>
              <w:right w:val="single" w:sz="4" w:space="0" w:color="auto"/>
            </w:tcBorders>
            <w:shd w:val="clear" w:color="auto" w:fill="C6EFCE"/>
            <w:noWrap/>
          </w:tcPr>
          <w:p w14:paraId="72BBC15F" w14:textId="77777777" w:rsidR="00480F1C" w:rsidRDefault="00A201F6">
            <w:pPr>
              <w:pStyle w:val="P68B1DB1-Normal25"/>
              <w:spacing w:after="0" w:line="240" w:lineRule="auto"/>
              <w:rPr>
                <w:rFonts w:eastAsia="Times New Roman" w:cs="Times New Roman"/>
                <w:noProof/>
              </w:rPr>
            </w:pPr>
            <w:r>
              <w:rPr>
                <w:noProof/>
              </w:rPr>
              <w:t>Aantal</w:t>
            </w:r>
          </w:p>
        </w:tc>
        <w:tc>
          <w:tcPr>
            <w:tcW w:w="957" w:type="dxa"/>
            <w:tcBorders>
              <w:top w:val="nil"/>
              <w:left w:val="nil"/>
              <w:bottom w:val="single" w:sz="4" w:space="0" w:color="auto"/>
              <w:right w:val="single" w:sz="4" w:space="0" w:color="auto"/>
            </w:tcBorders>
            <w:shd w:val="clear" w:color="auto" w:fill="C6EFCE"/>
            <w:noWrap/>
          </w:tcPr>
          <w:p w14:paraId="27F6433D" w14:textId="77777777" w:rsidR="00480F1C" w:rsidRDefault="00A201F6">
            <w:pPr>
              <w:pStyle w:val="P68B1DB1-Normal25"/>
              <w:spacing w:after="0" w:line="240" w:lineRule="auto"/>
              <w:jc w:val="center"/>
              <w:rPr>
                <w:rFonts w:eastAsia="Times New Roman" w:cs="Times New Roman"/>
                <w:noProof/>
              </w:rPr>
            </w:pPr>
            <w:r>
              <w:rPr>
                <w:noProof/>
              </w:rPr>
              <w:t>0</w:t>
            </w:r>
          </w:p>
        </w:tc>
        <w:tc>
          <w:tcPr>
            <w:tcW w:w="709" w:type="dxa"/>
            <w:tcBorders>
              <w:top w:val="nil"/>
              <w:left w:val="nil"/>
              <w:bottom w:val="single" w:sz="4" w:space="0" w:color="auto"/>
              <w:right w:val="single" w:sz="4" w:space="0" w:color="auto"/>
            </w:tcBorders>
            <w:shd w:val="clear" w:color="auto" w:fill="C6EFCE"/>
            <w:noWrap/>
          </w:tcPr>
          <w:p w14:paraId="2D7E3A07" w14:textId="77777777" w:rsidR="00480F1C" w:rsidRDefault="00A201F6">
            <w:pPr>
              <w:pStyle w:val="P68B1DB1-Normal25"/>
              <w:spacing w:after="0" w:line="240" w:lineRule="auto"/>
              <w:jc w:val="center"/>
              <w:rPr>
                <w:rFonts w:eastAsia="Times New Roman" w:cs="Times New Roman"/>
                <w:noProof/>
              </w:rPr>
            </w:pPr>
            <w:r>
              <w:rPr>
                <w:noProof/>
              </w:rPr>
              <w:t>10</w:t>
            </w:r>
          </w:p>
        </w:tc>
        <w:tc>
          <w:tcPr>
            <w:tcW w:w="921" w:type="dxa"/>
            <w:tcBorders>
              <w:top w:val="nil"/>
              <w:left w:val="nil"/>
              <w:bottom w:val="single" w:sz="4" w:space="0" w:color="auto"/>
              <w:right w:val="single" w:sz="4" w:space="0" w:color="auto"/>
            </w:tcBorders>
            <w:shd w:val="clear" w:color="auto" w:fill="C6EFCE"/>
            <w:noWrap/>
          </w:tcPr>
          <w:p w14:paraId="5E84E13A" w14:textId="77777777" w:rsidR="00480F1C" w:rsidRDefault="00A201F6">
            <w:pPr>
              <w:pStyle w:val="P68B1DB1-Normal25"/>
              <w:spacing w:after="0" w:line="240" w:lineRule="auto"/>
              <w:jc w:val="center"/>
              <w:rPr>
                <w:rFonts w:eastAsia="Times New Roman" w:cs="Times New Roman"/>
                <w:noProof/>
              </w:rPr>
            </w:pPr>
            <w:r>
              <w:rPr>
                <w:noProof/>
              </w:rPr>
              <w:t>KWARTAAL 4</w:t>
            </w:r>
          </w:p>
        </w:tc>
        <w:tc>
          <w:tcPr>
            <w:tcW w:w="922" w:type="dxa"/>
            <w:tcBorders>
              <w:top w:val="nil"/>
              <w:left w:val="nil"/>
              <w:bottom w:val="single" w:sz="4" w:space="0" w:color="auto"/>
              <w:right w:val="single" w:sz="4" w:space="0" w:color="auto"/>
            </w:tcBorders>
            <w:shd w:val="clear" w:color="auto" w:fill="C6EFCE"/>
            <w:noWrap/>
          </w:tcPr>
          <w:p w14:paraId="2AC1613D" w14:textId="77777777" w:rsidR="00480F1C" w:rsidRDefault="00A201F6">
            <w:pPr>
              <w:pStyle w:val="P68B1DB1-Normal25"/>
              <w:spacing w:after="0" w:line="240" w:lineRule="auto"/>
              <w:jc w:val="center"/>
              <w:rPr>
                <w:rFonts w:eastAsia="Times New Roman" w:cs="Times New Roman"/>
                <w:noProof/>
              </w:rPr>
            </w:pPr>
            <w:r>
              <w:rPr>
                <w:noProof/>
              </w:rPr>
              <w:t>2025</w:t>
            </w:r>
          </w:p>
        </w:tc>
        <w:tc>
          <w:tcPr>
            <w:tcW w:w="3685" w:type="dxa"/>
            <w:tcBorders>
              <w:top w:val="nil"/>
              <w:left w:val="nil"/>
              <w:bottom w:val="single" w:sz="4" w:space="0" w:color="auto"/>
              <w:right w:val="single" w:sz="4" w:space="0" w:color="auto"/>
            </w:tcBorders>
            <w:shd w:val="clear" w:color="auto" w:fill="C6EFCE"/>
            <w:noWrap/>
          </w:tcPr>
          <w:p w14:paraId="57BC1B9A" w14:textId="78E28795" w:rsidR="00480F1C" w:rsidRDefault="00A201F6">
            <w:pPr>
              <w:pStyle w:val="P68B1DB1-Normal25"/>
              <w:spacing w:after="0" w:line="240" w:lineRule="auto"/>
              <w:rPr>
                <w:rFonts w:eastAsia="Times New Roman" w:cs="Times New Roman"/>
                <w:noProof/>
              </w:rPr>
            </w:pPr>
            <w:r>
              <w:rPr>
                <w:noProof/>
              </w:rPr>
              <w:t xml:space="preserve">Ten minste 10 projecten voor capaciteitsopbouw ter ondersteuning van de uitvoering van REPowerEU-hervormingen en -investeringen worden voltooid door de ngo’s die actief zijn op het gebied van de groene en energietransitie. De projecten ondersteunen opleidingen, advies- en onderzoeksactiviteiten en sociale campagnes.  </w:t>
            </w:r>
          </w:p>
          <w:p w14:paraId="667BD6DB" w14:textId="77777777" w:rsidR="00480F1C" w:rsidRDefault="00A201F6">
            <w:pPr>
              <w:pStyle w:val="P68B1DB1-Normal25"/>
              <w:spacing w:after="0" w:line="240" w:lineRule="auto"/>
              <w:rPr>
                <w:rFonts w:cs="Times New Roman"/>
                <w:noProof/>
              </w:rPr>
            </w:pPr>
            <w:r>
              <w:rPr>
                <w:noProof/>
              </w:rPr>
              <w:t xml:space="preserve"> </w:t>
            </w:r>
          </w:p>
          <w:p w14:paraId="37EE8FB0" w14:textId="77777777" w:rsidR="00480F1C" w:rsidRDefault="00A201F6">
            <w:pPr>
              <w:pStyle w:val="P68B1DB1-Normal25"/>
              <w:spacing w:after="0" w:line="240" w:lineRule="auto"/>
              <w:rPr>
                <w:rFonts w:eastAsia="Times New Roman" w:cs="Times New Roman"/>
                <w:noProof/>
              </w:rPr>
            </w:pPr>
            <w:r>
              <w:rPr>
                <w:noProof/>
              </w:rPr>
              <w:t>Ten minste twee projecten zijn gericht op capaciteitsopbouw voor vergunningsprocedures voor de uitrol van hernieuwbare energiebronnen en distributienetten.</w:t>
            </w:r>
          </w:p>
        </w:tc>
      </w:tr>
      <w:tr w:rsidR="00480F1C" w14:paraId="795C2E22" w14:textId="77777777">
        <w:trPr>
          <w:trHeight w:val="309"/>
          <w:jc w:val="center"/>
        </w:trPr>
        <w:tc>
          <w:tcPr>
            <w:tcW w:w="988" w:type="dxa"/>
            <w:tcBorders>
              <w:top w:val="nil"/>
              <w:left w:val="single" w:sz="4" w:space="0" w:color="auto"/>
              <w:bottom w:val="single" w:sz="4" w:space="0" w:color="auto"/>
              <w:right w:val="single" w:sz="4" w:space="0" w:color="auto"/>
            </w:tcBorders>
            <w:shd w:val="clear" w:color="auto" w:fill="C6EFCE"/>
            <w:noWrap/>
          </w:tcPr>
          <w:p w14:paraId="037CFA18" w14:textId="1C16A183" w:rsidR="00480F1C" w:rsidRDefault="00A201F6">
            <w:pPr>
              <w:pStyle w:val="P68B1DB1-Normal25"/>
              <w:spacing w:after="0" w:line="240" w:lineRule="auto"/>
              <w:jc w:val="center"/>
              <w:rPr>
                <w:rFonts w:eastAsia="Times New Roman" w:cs="Times New Roman"/>
                <w:noProof/>
              </w:rPr>
            </w:pPr>
            <w:r>
              <w:rPr>
                <w:noProof/>
              </w:rPr>
              <w:t>G10G</w:t>
            </w:r>
          </w:p>
        </w:tc>
        <w:tc>
          <w:tcPr>
            <w:tcW w:w="1393" w:type="dxa"/>
            <w:tcBorders>
              <w:top w:val="nil"/>
              <w:left w:val="nil"/>
              <w:bottom w:val="single" w:sz="4" w:space="0" w:color="auto"/>
              <w:right w:val="single" w:sz="4" w:space="0" w:color="auto"/>
            </w:tcBorders>
            <w:shd w:val="clear" w:color="auto" w:fill="C6EFCE"/>
            <w:noWrap/>
          </w:tcPr>
          <w:p w14:paraId="6C931234" w14:textId="1267A876" w:rsidR="00480F1C" w:rsidRDefault="00A201F6">
            <w:pPr>
              <w:pStyle w:val="P68B1DB1-Normal25"/>
              <w:spacing w:after="0" w:line="240" w:lineRule="auto"/>
              <w:rPr>
                <w:rFonts w:eastAsia="Times New Roman" w:cs="Times New Roman"/>
                <w:noProof/>
              </w:rPr>
            </w:pPr>
            <w:r>
              <w:rPr>
                <w:noProof/>
              </w:rPr>
              <w:t xml:space="preserve">G1.1.4 Steun voor instellingen die REPowerEU-hervormingen en -investeringen uitvoeren </w:t>
            </w:r>
          </w:p>
        </w:tc>
        <w:tc>
          <w:tcPr>
            <w:tcW w:w="1060" w:type="dxa"/>
            <w:tcBorders>
              <w:top w:val="nil"/>
              <w:left w:val="nil"/>
              <w:bottom w:val="single" w:sz="4" w:space="0" w:color="auto"/>
              <w:right w:val="single" w:sz="4" w:space="0" w:color="auto"/>
            </w:tcBorders>
            <w:shd w:val="clear" w:color="auto" w:fill="C6EFCE"/>
            <w:noWrap/>
          </w:tcPr>
          <w:p w14:paraId="612E4A87" w14:textId="77777777" w:rsidR="00480F1C" w:rsidRDefault="00A201F6">
            <w:pPr>
              <w:pStyle w:val="P68B1DB1-Normal25"/>
              <w:spacing w:after="0" w:line="240" w:lineRule="auto"/>
              <w:rPr>
                <w:rFonts w:eastAsia="Times New Roman" w:cs="Times New Roman"/>
                <w:noProof/>
              </w:rPr>
            </w:pPr>
            <w:r>
              <w:rPr>
                <w:noProof/>
              </w:rPr>
              <w:t>Mijlpaal</w:t>
            </w:r>
          </w:p>
        </w:tc>
        <w:tc>
          <w:tcPr>
            <w:tcW w:w="1888" w:type="dxa"/>
            <w:tcBorders>
              <w:top w:val="nil"/>
              <w:left w:val="nil"/>
              <w:bottom w:val="single" w:sz="4" w:space="0" w:color="auto"/>
              <w:right w:val="single" w:sz="4" w:space="0" w:color="auto"/>
            </w:tcBorders>
            <w:shd w:val="clear" w:color="auto" w:fill="C6EFCE"/>
            <w:noWrap/>
          </w:tcPr>
          <w:p w14:paraId="47EDFDC6" w14:textId="77777777" w:rsidR="00480F1C" w:rsidRDefault="00A201F6">
            <w:pPr>
              <w:pStyle w:val="P68B1DB1-Normal25"/>
              <w:spacing w:after="0" w:line="240" w:lineRule="auto"/>
              <w:rPr>
                <w:rFonts w:eastAsia="Times New Roman" w:cs="Times New Roman"/>
                <w:noProof/>
              </w:rPr>
            </w:pPr>
            <w:r>
              <w:rPr>
                <w:noProof/>
              </w:rPr>
              <w:t>Publicatie van de technische specificatie van het IT-instrument voor de toepassing van het nieuwe regelgevingsmodel door het Bureau voor energieregulering</w:t>
            </w:r>
          </w:p>
        </w:tc>
        <w:tc>
          <w:tcPr>
            <w:tcW w:w="1754" w:type="dxa"/>
            <w:tcBorders>
              <w:top w:val="single" w:sz="4" w:space="0" w:color="auto"/>
              <w:left w:val="nil"/>
              <w:bottom w:val="single" w:sz="4" w:space="0" w:color="auto"/>
              <w:right w:val="single" w:sz="4" w:space="0" w:color="auto"/>
            </w:tcBorders>
            <w:shd w:val="clear" w:color="auto" w:fill="C6EFCE"/>
            <w:noWrap/>
          </w:tcPr>
          <w:p w14:paraId="102D81E1" w14:textId="27EA7B5C" w:rsidR="00480F1C" w:rsidRDefault="00A201F6">
            <w:pPr>
              <w:pStyle w:val="P68B1DB1-Normal25"/>
              <w:spacing w:after="0" w:line="240" w:lineRule="auto"/>
              <w:rPr>
                <w:rFonts w:eastAsia="Times New Roman" w:cs="Times New Roman"/>
                <w:noProof/>
              </w:rPr>
            </w:pPr>
            <w:r>
              <w:rPr>
                <w:noProof/>
              </w:rPr>
              <w:t xml:space="preserve">Bekendmaking van de technische specificatie </w:t>
            </w:r>
          </w:p>
        </w:tc>
        <w:tc>
          <w:tcPr>
            <w:tcW w:w="1027" w:type="dxa"/>
            <w:tcBorders>
              <w:top w:val="nil"/>
              <w:left w:val="nil"/>
              <w:bottom w:val="single" w:sz="4" w:space="0" w:color="auto"/>
              <w:right w:val="single" w:sz="4" w:space="0" w:color="auto"/>
            </w:tcBorders>
            <w:shd w:val="clear" w:color="auto" w:fill="C6EFCE"/>
            <w:noWrap/>
          </w:tcPr>
          <w:p w14:paraId="3CDC4C43" w14:textId="77777777" w:rsidR="00480F1C" w:rsidRDefault="00480F1C">
            <w:pPr>
              <w:spacing w:after="0" w:line="240" w:lineRule="auto"/>
              <w:rPr>
                <w:rFonts w:ascii="Times New Roman" w:eastAsia="Times New Roman" w:hAnsi="Times New Roman" w:cs="Times New Roman"/>
                <w:noProof/>
                <w:sz w:val="18"/>
              </w:rPr>
            </w:pPr>
          </w:p>
        </w:tc>
        <w:tc>
          <w:tcPr>
            <w:tcW w:w="957" w:type="dxa"/>
            <w:tcBorders>
              <w:top w:val="nil"/>
              <w:left w:val="nil"/>
              <w:bottom w:val="single" w:sz="4" w:space="0" w:color="auto"/>
              <w:right w:val="single" w:sz="4" w:space="0" w:color="auto"/>
            </w:tcBorders>
            <w:shd w:val="clear" w:color="auto" w:fill="C6EFCE"/>
            <w:noWrap/>
          </w:tcPr>
          <w:p w14:paraId="6A6670AB" w14:textId="77777777" w:rsidR="00480F1C" w:rsidRDefault="00480F1C">
            <w:pPr>
              <w:spacing w:after="0" w:line="240" w:lineRule="auto"/>
              <w:jc w:val="center"/>
              <w:rPr>
                <w:rFonts w:ascii="Times New Roman" w:eastAsia="Times New Roman" w:hAnsi="Times New Roman" w:cs="Times New Roman"/>
                <w:noProof/>
                <w:sz w:val="18"/>
              </w:rPr>
            </w:pPr>
          </w:p>
        </w:tc>
        <w:tc>
          <w:tcPr>
            <w:tcW w:w="709" w:type="dxa"/>
            <w:tcBorders>
              <w:top w:val="nil"/>
              <w:left w:val="nil"/>
              <w:bottom w:val="single" w:sz="4" w:space="0" w:color="auto"/>
              <w:right w:val="single" w:sz="4" w:space="0" w:color="auto"/>
            </w:tcBorders>
            <w:shd w:val="clear" w:color="auto" w:fill="C6EFCE"/>
            <w:noWrap/>
          </w:tcPr>
          <w:p w14:paraId="76FD3126" w14:textId="77777777" w:rsidR="00480F1C" w:rsidRDefault="00480F1C">
            <w:pPr>
              <w:spacing w:after="0" w:line="240" w:lineRule="auto"/>
              <w:jc w:val="center"/>
              <w:rPr>
                <w:rFonts w:ascii="Times New Roman" w:eastAsia="Times New Roman" w:hAnsi="Times New Roman" w:cs="Times New Roman"/>
                <w:noProof/>
                <w:sz w:val="18"/>
              </w:rPr>
            </w:pPr>
          </w:p>
        </w:tc>
        <w:tc>
          <w:tcPr>
            <w:tcW w:w="921" w:type="dxa"/>
            <w:tcBorders>
              <w:top w:val="nil"/>
              <w:left w:val="nil"/>
              <w:bottom w:val="single" w:sz="4" w:space="0" w:color="auto"/>
              <w:right w:val="single" w:sz="4" w:space="0" w:color="auto"/>
            </w:tcBorders>
            <w:shd w:val="clear" w:color="auto" w:fill="C6EFCE"/>
            <w:noWrap/>
          </w:tcPr>
          <w:p w14:paraId="6A53879F" w14:textId="16DD9EFB" w:rsidR="00480F1C" w:rsidRDefault="00A201F6">
            <w:pPr>
              <w:pStyle w:val="P68B1DB1-Normal25"/>
              <w:spacing w:after="0" w:line="240" w:lineRule="auto"/>
              <w:jc w:val="center"/>
              <w:rPr>
                <w:rFonts w:eastAsia="Times New Roman" w:cs="Times New Roman"/>
                <w:noProof/>
              </w:rPr>
            </w:pPr>
            <w:r>
              <w:rPr>
                <w:noProof/>
              </w:rPr>
              <w:t>KWARTAAL 1</w:t>
            </w:r>
          </w:p>
        </w:tc>
        <w:tc>
          <w:tcPr>
            <w:tcW w:w="922" w:type="dxa"/>
            <w:tcBorders>
              <w:top w:val="nil"/>
              <w:left w:val="nil"/>
              <w:bottom w:val="single" w:sz="4" w:space="0" w:color="auto"/>
              <w:right w:val="single" w:sz="4" w:space="0" w:color="auto"/>
            </w:tcBorders>
            <w:shd w:val="clear" w:color="auto" w:fill="C6EFCE"/>
            <w:noWrap/>
          </w:tcPr>
          <w:p w14:paraId="2186D2AE" w14:textId="4F28CE1C" w:rsidR="00480F1C" w:rsidRDefault="00A201F6">
            <w:pPr>
              <w:pStyle w:val="P68B1DB1-Normal25"/>
              <w:spacing w:after="0" w:line="240" w:lineRule="auto"/>
              <w:jc w:val="center"/>
              <w:rPr>
                <w:rFonts w:eastAsia="Times New Roman" w:cs="Times New Roman"/>
                <w:noProof/>
              </w:rPr>
            </w:pPr>
            <w:r>
              <w:rPr>
                <w:noProof/>
              </w:rPr>
              <w:t>2025</w:t>
            </w:r>
          </w:p>
        </w:tc>
        <w:tc>
          <w:tcPr>
            <w:tcW w:w="3685" w:type="dxa"/>
            <w:tcBorders>
              <w:top w:val="nil"/>
              <w:left w:val="nil"/>
              <w:bottom w:val="single" w:sz="4" w:space="0" w:color="auto"/>
              <w:right w:val="single" w:sz="4" w:space="0" w:color="auto"/>
            </w:tcBorders>
            <w:shd w:val="clear" w:color="auto" w:fill="C6EFCE"/>
            <w:noWrap/>
          </w:tcPr>
          <w:p w14:paraId="6F6F26CA" w14:textId="783E627C" w:rsidR="00480F1C" w:rsidRDefault="00A201F6">
            <w:pPr>
              <w:pStyle w:val="P68B1DB1-Normal25"/>
              <w:spacing w:after="0" w:line="240" w:lineRule="auto"/>
              <w:rPr>
                <w:rFonts w:eastAsia="Times New Roman" w:cs="Times New Roman"/>
                <w:noProof/>
              </w:rPr>
            </w:pPr>
            <w:r>
              <w:rPr>
                <w:noProof/>
              </w:rPr>
              <w:t>Het Bureau voor energieregulering stelt de technische specificatie van het IT-instrument voor het Bureau voor de toepassing van het nieuwe regelgevingsmodel op en publiceert deze.</w:t>
            </w:r>
          </w:p>
          <w:p w14:paraId="68341A22" w14:textId="77777777" w:rsidR="00480F1C" w:rsidRDefault="00480F1C">
            <w:pPr>
              <w:spacing w:after="0" w:line="240" w:lineRule="auto"/>
              <w:rPr>
                <w:rFonts w:ascii="Times New Roman" w:eastAsia="Times New Roman" w:hAnsi="Times New Roman" w:cs="Times New Roman"/>
                <w:noProof/>
                <w:sz w:val="18"/>
              </w:rPr>
            </w:pPr>
          </w:p>
          <w:p w14:paraId="438321BD" w14:textId="77777777" w:rsidR="00480F1C" w:rsidRDefault="00A201F6">
            <w:pPr>
              <w:pStyle w:val="P68B1DB1-Normal25"/>
              <w:spacing w:after="0" w:line="240" w:lineRule="auto"/>
              <w:rPr>
                <w:rFonts w:eastAsia="Times New Roman" w:cs="Times New Roman"/>
                <w:noProof/>
              </w:rPr>
            </w:pPr>
            <w:r>
              <w:rPr>
                <w:noProof/>
              </w:rPr>
              <w:t xml:space="preserve">Het IT-instrument ondersteunt de beoordeling en monitoring van de netontwikkelingsplannen van distributiesysteembeheerders (DSB’s) en de uitvoering daarvan, en de registratie van hernieuwbare energiebronnen. </w:t>
            </w:r>
          </w:p>
          <w:p w14:paraId="18B22D2C" w14:textId="77777777" w:rsidR="00480F1C" w:rsidRDefault="00A201F6">
            <w:pPr>
              <w:pStyle w:val="P68B1DB1-Normal25"/>
              <w:spacing w:after="0" w:line="240" w:lineRule="auto"/>
              <w:rPr>
                <w:rFonts w:eastAsia="Times New Roman" w:cs="Times New Roman"/>
                <w:noProof/>
              </w:rPr>
            </w:pPr>
            <w:r>
              <w:rPr>
                <w:noProof/>
              </w:rPr>
              <w:t xml:space="preserve">Het instrument biedt de volgende functies: </w:t>
            </w:r>
          </w:p>
          <w:p w14:paraId="067BBED7" w14:textId="77777777" w:rsidR="00480F1C" w:rsidRDefault="00A201F6">
            <w:pPr>
              <w:pStyle w:val="P68B1DB1-ListParagraph34"/>
              <w:numPr>
                <w:ilvl w:val="0"/>
                <w:numId w:val="27"/>
              </w:numPr>
              <w:spacing w:after="0" w:line="240" w:lineRule="auto"/>
              <w:ind w:left="288" w:hanging="283"/>
              <w:rPr>
                <w:rFonts w:cs="Times New Roman"/>
                <w:noProof/>
              </w:rPr>
            </w:pPr>
            <w:r>
              <w:rPr>
                <w:noProof/>
              </w:rPr>
              <w:t>het verzamelen en analyseren van informatie over de werking van netten en netwerkontwikkelingsplannen en verzoeken om aansluiting op het net;</w:t>
            </w:r>
          </w:p>
          <w:p w14:paraId="5454E704" w14:textId="77777777" w:rsidR="00480F1C" w:rsidRDefault="00A201F6">
            <w:pPr>
              <w:pStyle w:val="P68B1DB1-ListParagraph34"/>
              <w:numPr>
                <w:ilvl w:val="0"/>
                <w:numId w:val="27"/>
              </w:numPr>
              <w:spacing w:after="0" w:line="240" w:lineRule="auto"/>
              <w:ind w:left="288" w:hanging="283"/>
              <w:rPr>
                <w:rFonts w:eastAsia="Times New Roman" w:cs="Times New Roman"/>
                <w:noProof/>
              </w:rPr>
            </w:pPr>
            <w:r>
              <w:rPr>
                <w:noProof/>
              </w:rPr>
              <w:t>ondersteuning van de beoordeling van de doeltreffendheid van de uitgaven voor de aanleg en modernisering van het net;</w:t>
            </w:r>
          </w:p>
          <w:p w14:paraId="582F6509" w14:textId="77777777" w:rsidR="00480F1C" w:rsidRDefault="00A201F6">
            <w:pPr>
              <w:pStyle w:val="P68B1DB1-ListParagraph34"/>
              <w:numPr>
                <w:ilvl w:val="0"/>
                <w:numId w:val="27"/>
              </w:numPr>
              <w:spacing w:after="0" w:line="240" w:lineRule="auto"/>
              <w:ind w:left="288" w:hanging="283"/>
              <w:rPr>
                <w:rFonts w:cs="Times New Roman"/>
                <w:noProof/>
              </w:rPr>
            </w:pPr>
            <w:r>
              <w:rPr>
                <w:noProof/>
              </w:rPr>
              <w:t>toezicht houden op de voortgang van de integratie van hernieuwbare energiebronnen in distributienetten door de ontwikkelingsplannen van DSB’s te analyseren, met inbegrip van de richtsnoeren voor de ontwikkeling van het net en geplande aansluitingen;</w:t>
            </w:r>
          </w:p>
          <w:p w14:paraId="2D43E948" w14:textId="77777777" w:rsidR="00480F1C" w:rsidRDefault="00A201F6">
            <w:pPr>
              <w:pStyle w:val="P68B1DB1-ListParagraph34"/>
              <w:numPr>
                <w:ilvl w:val="0"/>
                <w:numId w:val="27"/>
              </w:numPr>
              <w:spacing w:after="0" w:line="240" w:lineRule="auto"/>
              <w:ind w:left="288" w:hanging="283"/>
              <w:rPr>
                <w:rFonts w:cs="Times New Roman"/>
                <w:noProof/>
              </w:rPr>
            </w:pPr>
            <w:r>
              <w:rPr>
                <w:noProof/>
              </w:rPr>
              <w:t>het identificeren van gebieden met de hoogste percentages weigeringen van aansluitingen;</w:t>
            </w:r>
          </w:p>
          <w:p w14:paraId="21592EEC" w14:textId="77777777" w:rsidR="00480F1C" w:rsidRDefault="00A201F6">
            <w:pPr>
              <w:pStyle w:val="P68B1DB1-ListParagraph34"/>
              <w:numPr>
                <w:ilvl w:val="0"/>
                <w:numId w:val="27"/>
              </w:numPr>
              <w:spacing w:after="0" w:line="240" w:lineRule="auto"/>
              <w:ind w:left="288" w:hanging="283"/>
              <w:rPr>
                <w:rFonts w:cs="Times New Roman"/>
                <w:noProof/>
              </w:rPr>
            </w:pPr>
            <w:r>
              <w:rPr>
                <w:noProof/>
              </w:rPr>
              <w:t>ondersteuning van het volledige bedrijfsproces van registratie van producenten van hernieuwbare energiebronnen;</w:t>
            </w:r>
          </w:p>
          <w:p w14:paraId="7569DD50" w14:textId="77777777" w:rsidR="00480F1C" w:rsidRDefault="00A201F6">
            <w:pPr>
              <w:pStyle w:val="P68B1DB1-ListParagraph34"/>
              <w:numPr>
                <w:ilvl w:val="0"/>
                <w:numId w:val="27"/>
              </w:numPr>
              <w:spacing w:after="0" w:line="240" w:lineRule="auto"/>
              <w:ind w:left="288" w:hanging="283"/>
              <w:rPr>
                <w:rFonts w:cs="Times New Roman"/>
                <w:noProof/>
              </w:rPr>
            </w:pPr>
            <w:r>
              <w:rPr>
                <w:noProof/>
              </w:rPr>
              <w:t>interactieve kaart van met het geografisch informatiesysteem geïntegreerde HEB-installaties.</w:t>
            </w:r>
          </w:p>
        </w:tc>
      </w:tr>
      <w:tr w:rsidR="00480F1C" w14:paraId="02B7A857" w14:textId="77777777">
        <w:trPr>
          <w:trHeight w:val="309"/>
          <w:jc w:val="center"/>
        </w:trPr>
        <w:tc>
          <w:tcPr>
            <w:tcW w:w="988" w:type="dxa"/>
            <w:tcBorders>
              <w:top w:val="nil"/>
              <w:left w:val="single" w:sz="4" w:space="0" w:color="auto"/>
              <w:bottom w:val="single" w:sz="4" w:space="0" w:color="auto"/>
              <w:right w:val="single" w:sz="4" w:space="0" w:color="auto"/>
            </w:tcBorders>
            <w:shd w:val="clear" w:color="auto" w:fill="C6EFCE"/>
            <w:noWrap/>
          </w:tcPr>
          <w:p w14:paraId="6062DA17" w14:textId="698B539B" w:rsidR="00480F1C" w:rsidRDefault="00A201F6">
            <w:pPr>
              <w:pStyle w:val="P68B1DB1-Normal25"/>
              <w:spacing w:after="0" w:line="240" w:lineRule="auto"/>
              <w:jc w:val="center"/>
              <w:rPr>
                <w:rFonts w:eastAsia="Times New Roman" w:cs="Times New Roman"/>
                <w:noProof/>
              </w:rPr>
            </w:pPr>
            <w:r>
              <w:rPr>
                <w:noProof/>
              </w:rPr>
              <w:t>G11G</w:t>
            </w:r>
          </w:p>
        </w:tc>
        <w:tc>
          <w:tcPr>
            <w:tcW w:w="1393" w:type="dxa"/>
            <w:tcBorders>
              <w:top w:val="nil"/>
              <w:left w:val="nil"/>
              <w:bottom w:val="single" w:sz="4" w:space="0" w:color="auto"/>
              <w:right w:val="single" w:sz="4" w:space="0" w:color="auto"/>
            </w:tcBorders>
            <w:shd w:val="clear" w:color="auto" w:fill="C6EFCE"/>
            <w:noWrap/>
          </w:tcPr>
          <w:p w14:paraId="4B559B6B" w14:textId="490BBE85" w:rsidR="00480F1C" w:rsidRDefault="00A201F6">
            <w:pPr>
              <w:pStyle w:val="P68B1DB1-Normal25"/>
              <w:spacing w:after="0" w:line="240" w:lineRule="auto"/>
              <w:rPr>
                <w:rFonts w:eastAsia="Times New Roman" w:cs="Times New Roman"/>
                <w:noProof/>
              </w:rPr>
            </w:pPr>
            <w:r>
              <w:rPr>
                <w:noProof/>
              </w:rPr>
              <w:t>G1.1.4 Steun voor instellingen die REPowerEU-hervormingen en -investeringen uitvoeren</w:t>
            </w:r>
          </w:p>
          <w:p w14:paraId="2E382366" w14:textId="77777777" w:rsidR="00480F1C" w:rsidRDefault="00480F1C">
            <w:pPr>
              <w:spacing w:after="0" w:line="240" w:lineRule="auto"/>
              <w:rPr>
                <w:rFonts w:ascii="Times New Roman" w:eastAsia="Times New Roman" w:hAnsi="Times New Roman" w:cs="Times New Roman"/>
                <w:noProof/>
                <w:sz w:val="18"/>
              </w:rPr>
            </w:pPr>
          </w:p>
        </w:tc>
        <w:tc>
          <w:tcPr>
            <w:tcW w:w="1060" w:type="dxa"/>
            <w:tcBorders>
              <w:top w:val="nil"/>
              <w:left w:val="nil"/>
              <w:bottom w:val="single" w:sz="4" w:space="0" w:color="auto"/>
              <w:right w:val="single" w:sz="4" w:space="0" w:color="auto"/>
            </w:tcBorders>
            <w:shd w:val="clear" w:color="auto" w:fill="C6EFCE"/>
            <w:noWrap/>
          </w:tcPr>
          <w:p w14:paraId="3AB2DD7E" w14:textId="77777777" w:rsidR="00480F1C" w:rsidRDefault="00A201F6">
            <w:pPr>
              <w:pStyle w:val="P68B1DB1-Normal25"/>
              <w:spacing w:after="0" w:line="240" w:lineRule="auto"/>
              <w:rPr>
                <w:rFonts w:eastAsia="Times New Roman" w:cs="Times New Roman"/>
                <w:noProof/>
              </w:rPr>
            </w:pPr>
            <w:r>
              <w:rPr>
                <w:noProof/>
              </w:rPr>
              <w:t>Mijlpaal</w:t>
            </w:r>
          </w:p>
        </w:tc>
        <w:tc>
          <w:tcPr>
            <w:tcW w:w="1888" w:type="dxa"/>
            <w:tcBorders>
              <w:top w:val="nil"/>
              <w:left w:val="nil"/>
              <w:bottom w:val="single" w:sz="4" w:space="0" w:color="auto"/>
              <w:right w:val="single" w:sz="4" w:space="0" w:color="auto"/>
            </w:tcBorders>
            <w:shd w:val="clear" w:color="auto" w:fill="C6EFCE"/>
            <w:noWrap/>
          </w:tcPr>
          <w:p w14:paraId="7AE7F1A7" w14:textId="77777777" w:rsidR="00480F1C" w:rsidRDefault="00A201F6">
            <w:pPr>
              <w:pStyle w:val="P68B1DB1-Normal25"/>
              <w:spacing w:after="0" w:line="240" w:lineRule="auto"/>
              <w:rPr>
                <w:rFonts w:eastAsia="Times New Roman" w:cs="Times New Roman"/>
                <w:noProof/>
              </w:rPr>
            </w:pPr>
            <w:r>
              <w:rPr>
                <w:noProof/>
              </w:rPr>
              <w:t>Invoering van een IT-instrument voor de toepassing van het nieuwe regelgevingsmodel door het Bureau voor energieregulering</w:t>
            </w:r>
          </w:p>
        </w:tc>
        <w:tc>
          <w:tcPr>
            <w:tcW w:w="1754" w:type="dxa"/>
            <w:tcBorders>
              <w:top w:val="nil"/>
              <w:left w:val="nil"/>
              <w:bottom w:val="single" w:sz="4" w:space="0" w:color="auto"/>
              <w:right w:val="single" w:sz="4" w:space="0" w:color="auto"/>
            </w:tcBorders>
            <w:shd w:val="clear" w:color="auto" w:fill="C6EFCE"/>
            <w:noWrap/>
          </w:tcPr>
          <w:p w14:paraId="2F2E8D6E" w14:textId="211363B0" w:rsidR="00480F1C" w:rsidRDefault="00A201F6">
            <w:pPr>
              <w:pStyle w:val="P68B1DB1-Normal25"/>
              <w:spacing w:after="0" w:line="240" w:lineRule="auto"/>
              <w:rPr>
                <w:rFonts w:eastAsia="Times New Roman" w:cs="Times New Roman"/>
                <w:noProof/>
              </w:rPr>
            </w:pPr>
            <w:r>
              <w:rPr>
                <w:noProof/>
              </w:rPr>
              <w:t>Het nieuwe IT-instrument voor de toepassing van het nieuwe regelgevingsmodel is operationeel en wordt gebruikt door het Bureau voor energieregulering.</w:t>
            </w:r>
          </w:p>
        </w:tc>
        <w:tc>
          <w:tcPr>
            <w:tcW w:w="1027" w:type="dxa"/>
            <w:tcBorders>
              <w:top w:val="nil"/>
              <w:left w:val="nil"/>
              <w:bottom w:val="single" w:sz="4" w:space="0" w:color="auto"/>
              <w:right w:val="single" w:sz="4" w:space="0" w:color="auto"/>
            </w:tcBorders>
            <w:shd w:val="clear" w:color="auto" w:fill="C6EFCE"/>
            <w:noWrap/>
          </w:tcPr>
          <w:p w14:paraId="27F46EE2" w14:textId="77777777" w:rsidR="00480F1C" w:rsidRDefault="00480F1C">
            <w:pPr>
              <w:spacing w:after="0" w:line="240" w:lineRule="auto"/>
              <w:rPr>
                <w:rFonts w:ascii="Times New Roman" w:eastAsia="Times New Roman" w:hAnsi="Times New Roman" w:cs="Times New Roman"/>
                <w:noProof/>
                <w:sz w:val="18"/>
              </w:rPr>
            </w:pPr>
          </w:p>
        </w:tc>
        <w:tc>
          <w:tcPr>
            <w:tcW w:w="957" w:type="dxa"/>
            <w:tcBorders>
              <w:top w:val="nil"/>
              <w:left w:val="nil"/>
              <w:bottom w:val="single" w:sz="4" w:space="0" w:color="auto"/>
              <w:right w:val="single" w:sz="4" w:space="0" w:color="auto"/>
            </w:tcBorders>
            <w:shd w:val="clear" w:color="auto" w:fill="C6EFCE"/>
            <w:noWrap/>
          </w:tcPr>
          <w:p w14:paraId="674E973C" w14:textId="77777777" w:rsidR="00480F1C" w:rsidRDefault="00480F1C">
            <w:pPr>
              <w:spacing w:after="0" w:line="240" w:lineRule="auto"/>
              <w:jc w:val="center"/>
              <w:rPr>
                <w:rFonts w:ascii="Times New Roman" w:eastAsia="Times New Roman" w:hAnsi="Times New Roman" w:cs="Times New Roman"/>
                <w:noProof/>
                <w:sz w:val="18"/>
              </w:rPr>
            </w:pPr>
          </w:p>
        </w:tc>
        <w:tc>
          <w:tcPr>
            <w:tcW w:w="709" w:type="dxa"/>
            <w:tcBorders>
              <w:top w:val="nil"/>
              <w:left w:val="nil"/>
              <w:bottom w:val="single" w:sz="4" w:space="0" w:color="auto"/>
              <w:right w:val="single" w:sz="4" w:space="0" w:color="auto"/>
            </w:tcBorders>
            <w:shd w:val="clear" w:color="auto" w:fill="C6EFCE"/>
            <w:noWrap/>
          </w:tcPr>
          <w:p w14:paraId="4D0CCF68" w14:textId="77777777" w:rsidR="00480F1C" w:rsidRDefault="00480F1C">
            <w:pPr>
              <w:spacing w:after="0" w:line="240" w:lineRule="auto"/>
              <w:jc w:val="center"/>
              <w:rPr>
                <w:rFonts w:ascii="Times New Roman" w:eastAsia="Times New Roman" w:hAnsi="Times New Roman" w:cs="Times New Roman"/>
                <w:noProof/>
                <w:sz w:val="18"/>
              </w:rPr>
            </w:pPr>
          </w:p>
        </w:tc>
        <w:tc>
          <w:tcPr>
            <w:tcW w:w="921" w:type="dxa"/>
            <w:tcBorders>
              <w:top w:val="nil"/>
              <w:left w:val="nil"/>
              <w:bottom w:val="single" w:sz="4" w:space="0" w:color="auto"/>
              <w:right w:val="single" w:sz="4" w:space="0" w:color="auto"/>
            </w:tcBorders>
            <w:shd w:val="clear" w:color="auto" w:fill="C6EFCE"/>
            <w:noWrap/>
          </w:tcPr>
          <w:p w14:paraId="7F7DB739" w14:textId="77777777" w:rsidR="00480F1C" w:rsidRDefault="00A201F6">
            <w:pPr>
              <w:pStyle w:val="P68B1DB1-Normal25"/>
              <w:spacing w:after="0" w:line="240" w:lineRule="auto"/>
              <w:jc w:val="center"/>
              <w:rPr>
                <w:rFonts w:eastAsia="Times New Roman" w:cs="Times New Roman"/>
                <w:noProof/>
              </w:rPr>
            </w:pPr>
            <w:r>
              <w:rPr>
                <w:noProof/>
              </w:rPr>
              <w:t>KWARTAAL 2</w:t>
            </w:r>
          </w:p>
        </w:tc>
        <w:tc>
          <w:tcPr>
            <w:tcW w:w="922" w:type="dxa"/>
            <w:tcBorders>
              <w:top w:val="nil"/>
              <w:left w:val="nil"/>
              <w:bottom w:val="single" w:sz="4" w:space="0" w:color="auto"/>
              <w:right w:val="single" w:sz="4" w:space="0" w:color="auto"/>
            </w:tcBorders>
            <w:shd w:val="clear" w:color="auto" w:fill="C6EFCE"/>
            <w:noWrap/>
          </w:tcPr>
          <w:p w14:paraId="14EAFBDF" w14:textId="77777777" w:rsidR="00480F1C" w:rsidRDefault="00A201F6">
            <w:pPr>
              <w:pStyle w:val="P68B1DB1-Normal25"/>
              <w:spacing w:after="0" w:line="240" w:lineRule="auto"/>
              <w:jc w:val="center"/>
              <w:rPr>
                <w:rFonts w:eastAsia="Times New Roman" w:cs="Times New Roman"/>
                <w:noProof/>
              </w:rPr>
            </w:pPr>
            <w:r>
              <w:rPr>
                <w:noProof/>
              </w:rPr>
              <w:t>2026</w:t>
            </w:r>
          </w:p>
        </w:tc>
        <w:tc>
          <w:tcPr>
            <w:tcW w:w="3685" w:type="dxa"/>
            <w:tcBorders>
              <w:top w:val="nil"/>
              <w:left w:val="nil"/>
              <w:bottom w:val="single" w:sz="4" w:space="0" w:color="auto"/>
              <w:right w:val="single" w:sz="4" w:space="0" w:color="auto"/>
            </w:tcBorders>
            <w:shd w:val="clear" w:color="auto" w:fill="C6EFCE"/>
            <w:noWrap/>
          </w:tcPr>
          <w:p w14:paraId="15CD5EB9" w14:textId="6AC0D28E" w:rsidR="00480F1C" w:rsidRDefault="00A201F6">
            <w:pPr>
              <w:pStyle w:val="P68B1DB1-Normal25"/>
              <w:spacing w:after="0" w:line="240" w:lineRule="auto"/>
              <w:rPr>
                <w:rFonts w:eastAsia="Times New Roman" w:cs="Times New Roman"/>
                <w:noProof/>
              </w:rPr>
            </w:pPr>
            <w:r>
              <w:rPr>
                <w:noProof/>
              </w:rPr>
              <w:t xml:space="preserve">Het Bureau voor energieregulering stelt het IT-instrument voor de toepassing van het nieuwe regelgevingsmodel in gebruik. </w:t>
            </w:r>
          </w:p>
        </w:tc>
      </w:tr>
    </w:tbl>
    <w:p w14:paraId="2B197FED" w14:textId="77777777" w:rsidR="00480F1C" w:rsidRDefault="00480F1C">
      <w:pPr>
        <w:pStyle w:val="Text1"/>
        <w:ind w:left="0"/>
        <w:rPr>
          <w:b/>
          <w:noProof/>
        </w:rPr>
      </w:pPr>
    </w:p>
    <w:p w14:paraId="127C5722" w14:textId="421105FD" w:rsidR="00480F1C" w:rsidRDefault="00A201F6">
      <w:pPr>
        <w:pStyle w:val="P68B1DB1-Text138"/>
        <w:pageBreakBefore/>
        <w:ind w:left="0"/>
        <w:rPr>
          <w:noProof/>
        </w:rPr>
      </w:pPr>
      <w:r>
        <w:rPr>
          <w:noProof/>
        </w:rPr>
        <w:t>Subcomponent G1.2 — Herziening van de elektriciteitsnetten om de integratie van hernieuwbare energiebronnen te versnellen</w:t>
      </w:r>
    </w:p>
    <w:p w14:paraId="472767F3" w14:textId="77777777" w:rsidR="00480F1C" w:rsidRDefault="00480F1C">
      <w:pPr>
        <w:keepNext/>
        <w:spacing w:before="120" w:after="120" w:line="240" w:lineRule="auto"/>
        <w:jc w:val="both"/>
        <w:rPr>
          <w:rFonts w:ascii="Times New Roman" w:hAnsi="Times New Roman" w:cs="Times New Roman"/>
          <w:noProof/>
          <w:sz w:val="24"/>
        </w:rPr>
      </w:pPr>
    </w:p>
    <w:tbl>
      <w:tblPr>
        <w:tblW w:w="15309" w:type="dxa"/>
        <w:jc w:val="center"/>
        <w:tblLayout w:type="fixed"/>
        <w:tblLook w:val="04A0" w:firstRow="1" w:lastRow="0" w:firstColumn="1" w:lastColumn="0" w:noHBand="0" w:noVBand="1"/>
      </w:tblPr>
      <w:tblGrid>
        <w:gridCol w:w="846"/>
        <w:gridCol w:w="1559"/>
        <w:gridCol w:w="992"/>
        <w:gridCol w:w="1985"/>
        <w:gridCol w:w="1701"/>
        <w:gridCol w:w="992"/>
        <w:gridCol w:w="992"/>
        <w:gridCol w:w="709"/>
        <w:gridCol w:w="921"/>
        <w:gridCol w:w="922"/>
        <w:gridCol w:w="3690"/>
      </w:tblGrid>
      <w:tr w:rsidR="00480F1C" w14:paraId="29666553" w14:textId="77777777">
        <w:trPr>
          <w:trHeight w:val="927"/>
          <w:tblHeader/>
          <w:jc w:val="center"/>
        </w:trPr>
        <w:tc>
          <w:tcPr>
            <w:tcW w:w="846"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4DCBC2BF" w14:textId="76D31477" w:rsidR="00480F1C" w:rsidRDefault="00A201F6">
            <w:pPr>
              <w:pStyle w:val="P68B1DB1-Normal39"/>
              <w:spacing w:after="0" w:line="240" w:lineRule="auto"/>
              <w:jc w:val="center"/>
              <w:rPr>
                <w:rFonts w:eastAsia="Times New Roman" w:cs="Times New Roman"/>
                <w:noProof/>
              </w:rPr>
            </w:pPr>
            <w:r>
              <w:rPr>
                <w:noProof/>
              </w:rPr>
              <w:t>Volgende NR.</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1CFB01B0" w14:textId="1584B3A0" w:rsidR="00480F1C" w:rsidRDefault="00A201F6">
            <w:pPr>
              <w:pStyle w:val="P68B1DB1-Normal40"/>
              <w:spacing w:after="0" w:line="240" w:lineRule="auto"/>
              <w:jc w:val="center"/>
              <w:rPr>
                <w:rFonts w:eastAsia="Times New Roman" w:cs="Times New Roman"/>
                <w:noProof/>
                <w:sz w:val="24"/>
              </w:rPr>
            </w:pPr>
            <w:r>
              <w:rPr>
                <w:noProof/>
              </w:rPr>
              <w:t>Gerelateerde maatregel (hervorming of investering)</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647C90C8" w14:textId="53C9E620" w:rsidR="00480F1C" w:rsidRDefault="00A201F6">
            <w:pPr>
              <w:pStyle w:val="P68B1DB1-Normal40"/>
              <w:spacing w:after="0" w:line="240" w:lineRule="auto"/>
              <w:jc w:val="center"/>
              <w:rPr>
                <w:rFonts w:eastAsia="Times New Roman" w:cs="Times New Roman"/>
                <w:noProof/>
                <w:sz w:val="24"/>
              </w:rPr>
            </w:pPr>
            <w:r>
              <w:rPr>
                <w:noProof/>
              </w:rPr>
              <w:t>Mijlpaal/Doelstelling</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19CB2C50" w14:textId="01DA8816" w:rsidR="00480F1C" w:rsidRDefault="00A201F6">
            <w:pPr>
              <w:pStyle w:val="P68B1DB1-Normal40"/>
              <w:spacing w:after="0" w:line="240" w:lineRule="auto"/>
              <w:jc w:val="center"/>
              <w:rPr>
                <w:rFonts w:eastAsia="Times New Roman" w:cs="Times New Roman"/>
                <w:noProof/>
                <w:sz w:val="24"/>
              </w:rPr>
            </w:pPr>
            <w:r>
              <w:rPr>
                <w:noProof/>
              </w:rPr>
              <w:t>Naam</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226FC2DE" w14:textId="13A84E0E" w:rsidR="00480F1C" w:rsidRDefault="00A201F6">
            <w:pPr>
              <w:spacing w:after="0" w:line="240" w:lineRule="auto"/>
              <w:jc w:val="center"/>
              <w:rPr>
                <w:rFonts w:ascii="Times New Roman" w:eastAsia="Times New Roman" w:hAnsi="Times New Roman" w:cs="Times New Roman"/>
                <w:b/>
                <w:noProof/>
                <w:sz w:val="18"/>
              </w:rPr>
            </w:pPr>
            <w:r>
              <w:rPr>
                <w:rFonts w:ascii="Times New Roman" w:hAnsi="Times New Roman"/>
                <w:b/>
                <w:noProof/>
                <w:color w:val="000000"/>
                <w:sz w:val="18"/>
              </w:rPr>
              <w:t>Kwalitatieve indicatoren</w:t>
            </w:r>
            <w:r>
              <w:rPr>
                <w:noProof/>
              </w:rPr>
              <w:t xml:space="preserve"> </w:t>
            </w:r>
            <w:r>
              <w:rPr>
                <w:noProof/>
              </w:rPr>
              <w:br/>
            </w:r>
            <w:r>
              <w:rPr>
                <w:rFonts w:ascii="Times New Roman" w:hAnsi="Times New Roman"/>
                <w:b/>
                <w:noProof/>
                <w:color w:val="000000"/>
                <w:sz w:val="18"/>
              </w:rPr>
              <w:t>(voor mijlpalen)</w:t>
            </w:r>
          </w:p>
        </w:tc>
        <w:tc>
          <w:tcPr>
            <w:tcW w:w="2693" w:type="dxa"/>
            <w:gridSpan w:val="3"/>
            <w:tcBorders>
              <w:top w:val="single" w:sz="4" w:space="0" w:color="auto"/>
              <w:left w:val="single" w:sz="4" w:space="0" w:color="auto"/>
              <w:bottom w:val="single" w:sz="4" w:space="0" w:color="auto"/>
              <w:right w:val="single" w:sz="4" w:space="0" w:color="auto"/>
            </w:tcBorders>
            <w:shd w:val="clear" w:color="auto" w:fill="BDD7EE"/>
            <w:vAlign w:val="center"/>
            <w:hideMark/>
          </w:tcPr>
          <w:p w14:paraId="34939544" w14:textId="051B3943" w:rsidR="00480F1C" w:rsidRDefault="00A201F6">
            <w:pPr>
              <w:spacing w:after="0" w:line="240" w:lineRule="auto"/>
              <w:jc w:val="center"/>
              <w:rPr>
                <w:rFonts w:ascii="Times New Roman" w:eastAsia="Times New Roman" w:hAnsi="Times New Roman" w:cs="Times New Roman"/>
                <w:b/>
                <w:noProof/>
                <w:sz w:val="18"/>
              </w:rPr>
            </w:pPr>
            <w:r>
              <w:rPr>
                <w:rFonts w:ascii="Times New Roman" w:hAnsi="Times New Roman"/>
                <w:b/>
                <w:noProof/>
                <w:color w:val="000000"/>
                <w:sz w:val="18"/>
              </w:rPr>
              <w:t>Kwantitatieve indicatoren</w:t>
            </w:r>
            <w:r>
              <w:rPr>
                <w:noProof/>
              </w:rPr>
              <w:t xml:space="preserve"> </w:t>
            </w:r>
            <w:r>
              <w:rPr>
                <w:noProof/>
              </w:rPr>
              <w:br/>
            </w:r>
            <w:r>
              <w:rPr>
                <w:rFonts w:ascii="Times New Roman" w:hAnsi="Times New Roman"/>
                <w:b/>
                <w:noProof/>
                <w:color w:val="000000"/>
                <w:sz w:val="18"/>
              </w:rPr>
              <w:t>(voor streefcijfers)</w:t>
            </w:r>
          </w:p>
        </w:tc>
        <w:tc>
          <w:tcPr>
            <w:tcW w:w="1843" w:type="dxa"/>
            <w:gridSpan w:val="2"/>
            <w:tcBorders>
              <w:top w:val="single" w:sz="4" w:space="0" w:color="auto"/>
              <w:left w:val="nil"/>
              <w:bottom w:val="single" w:sz="4" w:space="0" w:color="auto"/>
              <w:right w:val="single" w:sz="4" w:space="0" w:color="auto"/>
            </w:tcBorders>
            <w:shd w:val="clear" w:color="auto" w:fill="BDD7EE"/>
            <w:vAlign w:val="center"/>
            <w:hideMark/>
          </w:tcPr>
          <w:p w14:paraId="1CD22AA5" w14:textId="7741B2F4" w:rsidR="00480F1C" w:rsidRDefault="00A201F6">
            <w:pPr>
              <w:pStyle w:val="P68B1DB1-Normal40"/>
              <w:spacing w:after="0" w:line="240" w:lineRule="auto"/>
              <w:jc w:val="center"/>
              <w:rPr>
                <w:rFonts w:eastAsia="Times New Roman" w:cs="Times New Roman"/>
                <w:noProof/>
              </w:rPr>
            </w:pPr>
            <w:r>
              <w:rPr>
                <w:noProof/>
              </w:rPr>
              <w:t xml:space="preserve">Indicatieve termijn voor voltooiing </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45BAC6B8" w14:textId="47BE5711" w:rsidR="00480F1C" w:rsidRDefault="00A201F6">
            <w:pPr>
              <w:pStyle w:val="P68B1DB1-Normal40"/>
              <w:spacing w:after="0" w:line="240" w:lineRule="auto"/>
              <w:jc w:val="center"/>
              <w:rPr>
                <w:rFonts w:eastAsia="Times New Roman" w:cs="Times New Roman"/>
                <w:noProof/>
                <w:sz w:val="24"/>
              </w:rPr>
            </w:pPr>
            <w:r>
              <w:rPr>
                <w:noProof/>
              </w:rPr>
              <w:t>Beschrijving van elke mijlpaal en doelstelling</w:t>
            </w:r>
          </w:p>
        </w:tc>
      </w:tr>
      <w:tr w:rsidR="00480F1C" w14:paraId="5AA6E8B8" w14:textId="77777777">
        <w:trPr>
          <w:trHeight w:val="1013"/>
          <w:tblHeader/>
          <w:jc w:val="center"/>
        </w:trPr>
        <w:tc>
          <w:tcPr>
            <w:tcW w:w="846" w:type="dxa"/>
            <w:vMerge/>
            <w:tcBorders>
              <w:top w:val="single" w:sz="4" w:space="0" w:color="auto"/>
              <w:left w:val="single" w:sz="4" w:space="0" w:color="auto"/>
              <w:bottom w:val="single" w:sz="4" w:space="0" w:color="auto"/>
              <w:right w:val="single" w:sz="4" w:space="0" w:color="auto"/>
            </w:tcBorders>
            <w:hideMark/>
          </w:tcPr>
          <w:p w14:paraId="5849EAE1" w14:textId="77777777" w:rsidR="00480F1C" w:rsidRDefault="00480F1C">
            <w:pPr>
              <w:spacing w:after="0" w:line="240" w:lineRule="auto"/>
              <w:jc w:val="center"/>
              <w:rPr>
                <w:rFonts w:ascii="Times New Roman" w:eastAsia="Times New Roman" w:hAnsi="Times New Roman" w:cs="Times New Roman"/>
                <w:b/>
                <w:noProof/>
                <w:sz w:val="18"/>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6C4AFC1" w14:textId="77777777" w:rsidR="00480F1C" w:rsidRDefault="00480F1C">
            <w:pPr>
              <w:spacing w:after="0" w:line="240" w:lineRule="auto"/>
              <w:rPr>
                <w:rFonts w:ascii="Times New Roman" w:eastAsia="Times New Roman" w:hAnsi="Times New Roman" w:cs="Times New Roman"/>
                <w:b/>
                <w:noProof/>
                <w:sz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29735CF" w14:textId="77777777" w:rsidR="00480F1C" w:rsidRDefault="00480F1C">
            <w:pPr>
              <w:spacing w:after="0" w:line="240" w:lineRule="auto"/>
              <w:rPr>
                <w:rFonts w:ascii="Times New Roman" w:eastAsia="Times New Roman" w:hAnsi="Times New Roman" w:cs="Times New Roman"/>
                <w:b/>
                <w:noProof/>
                <w:sz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5DF836F7" w14:textId="77777777" w:rsidR="00480F1C" w:rsidRDefault="00480F1C">
            <w:pPr>
              <w:spacing w:after="0" w:line="240" w:lineRule="auto"/>
              <w:rPr>
                <w:rFonts w:ascii="Times New Roman" w:eastAsia="Times New Roman" w:hAnsi="Times New Roman" w:cs="Times New Roman"/>
                <w:b/>
                <w:noProof/>
                <w:sz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66189BC" w14:textId="77777777" w:rsidR="00480F1C" w:rsidRDefault="00480F1C">
            <w:pPr>
              <w:spacing w:after="0" w:line="240" w:lineRule="auto"/>
              <w:rPr>
                <w:rFonts w:ascii="Times New Roman" w:eastAsia="Times New Roman" w:hAnsi="Times New Roman" w:cs="Times New Roman"/>
                <w:b/>
                <w:noProof/>
                <w:sz w:val="18"/>
              </w:rPr>
            </w:pPr>
          </w:p>
        </w:tc>
        <w:tc>
          <w:tcPr>
            <w:tcW w:w="992" w:type="dxa"/>
            <w:tcBorders>
              <w:top w:val="nil"/>
              <w:left w:val="single" w:sz="4" w:space="0" w:color="auto"/>
              <w:bottom w:val="single" w:sz="4" w:space="0" w:color="auto"/>
              <w:right w:val="single" w:sz="4" w:space="0" w:color="auto"/>
            </w:tcBorders>
            <w:shd w:val="clear" w:color="auto" w:fill="BDD7EE"/>
            <w:vAlign w:val="center"/>
            <w:hideMark/>
          </w:tcPr>
          <w:p w14:paraId="36EDA945" w14:textId="77777777" w:rsidR="00480F1C" w:rsidRDefault="00A201F6">
            <w:pPr>
              <w:pStyle w:val="P68B1DB1-Normal39"/>
              <w:spacing w:after="0" w:line="240" w:lineRule="auto"/>
              <w:jc w:val="center"/>
              <w:rPr>
                <w:rFonts w:eastAsia="Times New Roman" w:cs="Times New Roman"/>
                <w:noProof/>
              </w:rPr>
            </w:pPr>
            <w:r>
              <w:rPr>
                <w:noProof/>
              </w:rPr>
              <w:t>Eenheid</w:t>
            </w:r>
          </w:p>
        </w:tc>
        <w:tc>
          <w:tcPr>
            <w:tcW w:w="992" w:type="dxa"/>
            <w:tcBorders>
              <w:top w:val="nil"/>
              <w:left w:val="nil"/>
              <w:bottom w:val="single" w:sz="4" w:space="0" w:color="auto"/>
              <w:right w:val="single" w:sz="4" w:space="0" w:color="auto"/>
            </w:tcBorders>
            <w:shd w:val="clear" w:color="auto" w:fill="BDD7EE"/>
            <w:vAlign w:val="center"/>
            <w:hideMark/>
          </w:tcPr>
          <w:p w14:paraId="568389D7" w14:textId="77777777" w:rsidR="00480F1C" w:rsidRDefault="00A201F6">
            <w:pPr>
              <w:pStyle w:val="P68B1DB1-Normal39"/>
              <w:spacing w:after="0" w:line="240" w:lineRule="auto"/>
              <w:jc w:val="center"/>
              <w:rPr>
                <w:rFonts w:eastAsia="Times New Roman" w:cs="Times New Roman"/>
                <w:noProof/>
              </w:rPr>
            </w:pPr>
            <w:r>
              <w:rPr>
                <w:noProof/>
              </w:rPr>
              <w:t xml:space="preserve">Basislijn </w:t>
            </w:r>
          </w:p>
        </w:tc>
        <w:tc>
          <w:tcPr>
            <w:tcW w:w="709" w:type="dxa"/>
            <w:tcBorders>
              <w:top w:val="nil"/>
              <w:left w:val="nil"/>
              <w:bottom w:val="single" w:sz="4" w:space="0" w:color="auto"/>
              <w:right w:val="single" w:sz="4" w:space="0" w:color="auto"/>
            </w:tcBorders>
            <w:shd w:val="clear" w:color="auto" w:fill="BDD7EE"/>
            <w:vAlign w:val="center"/>
            <w:hideMark/>
          </w:tcPr>
          <w:p w14:paraId="0F4BEBC7" w14:textId="77777777" w:rsidR="00480F1C" w:rsidRDefault="00A201F6">
            <w:pPr>
              <w:pStyle w:val="P68B1DB1-Normal39"/>
              <w:spacing w:after="0" w:line="240" w:lineRule="auto"/>
              <w:jc w:val="center"/>
              <w:rPr>
                <w:rFonts w:eastAsia="Times New Roman" w:cs="Times New Roman"/>
                <w:noProof/>
              </w:rPr>
            </w:pPr>
            <w:r>
              <w:rPr>
                <w:noProof/>
              </w:rPr>
              <w:t xml:space="preserve">Doelstelling </w:t>
            </w:r>
          </w:p>
        </w:tc>
        <w:tc>
          <w:tcPr>
            <w:tcW w:w="921" w:type="dxa"/>
            <w:tcBorders>
              <w:top w:val="nil"/>
              <w:left w:val="nil"/>
              <w:bottom w:val="single" w:sz="4" w:space="0" w:color="auto"/>
              <w:right w:val="single" w:sz="4" w:space="0" w:color="auto"/>
            </w:tcBorders>
            <w:shd w:val="clear" w:color="auto" w:fill="BDD7EE"/>
            <w:vAlign w:val="center"/>
            <w:hideMark/>
          </w:tcPr>
          <w:p w14:paraId="6EA0EFA1" w14:textId="77777777" w:rsidR="00480F1C" w:rsidRDefault="00A201F6">
            <w:pPr>
              <w:pStyle w:val="P68B1DB1-Normal39"/>
              <w:spacing w:after="0" w:line="240" w:lineRule="auto"/>
              <w:jc w:val="center"/>
              <w:rPr>
                <w:rFonts w:eastAsia="Times New Roman" w:cs="Times New Roman"/>
                <w:noProof/>
              </w:rPr>
            </w:pPr>
            <w:r>
              <w:rPr>
                <w:noProof/>
              </w:rPr>
              <w:t>Kwartaal</w:t>
            </w:r>
          </w:p>
        </w:tc>
        <w:tc>
          <w:tcPr>
            <w:tcW w:w="922" w:type="dxa"/>
            <w:tcBorders>
              <w:top w:val="nil"/>
              <w:left w:val="nil"/>
              <w:bottom w:val="single" w:sz="4" w:space="0" w:color="auto"/>
              <w:right w:val="single" w:sz="4" w:space="0" w:color="auto"/>
            </w:tcBorders>
            <w:shd w:val="clear" w:color="auto" w:fill="BDD7EE"/>
            <w:vAlign w:val="center"/>
            <w:hideMark/>
          </w:tcPr>
          <w:p w14:paraId="2F15F87D" w14:textId="77777777" w:rsidR="00480F1C" w:rsidRDefault="00A201F6">
            <w:pPr>
              <w:pStyle w:val="P68B1DB1-Normal39"/>
              <w:spacing w:after="0" w:line="240" w:lineRule="auto"/>
              <w:jc w:val="center"/>
              <w:rPr>
                <w:rFonts w:eastAsia="Times New Roman" w:cs="Times New Roman"/>
                <w:noProof/>
              </w:rPr>
            </w:pPr>
            <w:r>
              <w:rPr>
                <w:noProof/>
              </w:rPr>
              <w:t>Jaar</w:t>
            </w:r>
          </w:p>
        </w:tc>
        <w:tc>
          <w:tcPr>
            <w:tcW w:w="3690" w:type="dxa"/>
            <w:vMerge/>
            <w:tcBorders>
              <w:top w:val="single" w:sz="4" w:space="0" w:color="auto"/>
              <w:bottom w:val="single" w:sz="4" w:space="0" w:color="auto"/>
              <w:right w:val="single" w:sz="4" w:space="0" w:color="auto"/>
            </w:tcBorders>
            <w:vAlign w:val="center"/>
            <w:hideMark/>
          </w:tcPr>
          <w:p w14:paraId="78EA96C4" w14:textId="77777777" w:rsidR="00480F1C" w:rsidRDefault="00480F1C">
            <w:pPr>
              <w:spacing w:after="0" w:line="240" w:lineRule="auto"/>
              <w:rPr>
                <w:rFonts w:ascii="Times New Roman" w:eastAsia="Times New Roman" w:hAnsi="Times New Roman" w:cs="Times New Roman"/>
                <w:b/>
                <w:noProof/>
                <w:sz w:val="24"/>
              </w:rPr>
            </w:pPr>
          </w:p>
        </w:tc>
      </w:tr>
      <w:tr w:rsidR="00480F1C" w14:paraId="2575B9E2" w14:textId="77777777">
        <w:trPr>
          <w:trHeight w:val="309"/>
          <w:jc w:val="center"/>
        </w:trPr>
        <w:tc>
          <w:tcPr>
            <w:tcW w:w="846" w:type="dxa"/>
            <w:tcBorders>
              <w:top w:val="single" w:sz="4" w:space="0" w:color="auto"/>
              <w:left w:val="single" w:sz="4" w:space="0" w:color="auto"/>
              <w:bottom w:val="single" w:sz="4" w:space="0" w:color="auto"/>
              <w:right w:val="single" w:sz="4" w:space="0" w:color="auto"/>
            </w:tcBorders>
            <w:shd w:val="clear" w:color="auto" w:fill="C6EFCE"/>
            <w:noWrap/>
          </w:tcPr>
          <w:p w14:paraId="503ABD13" w14:textId="0C4D6C09" w:rsidR="00480F1C" w:rsidRDefault="00A201F6">
            <w:pPr>
              <w:pStyle w:val="P68B1DB1-Normal25"/>
              <w:spacing w:after="0" w:line="240" w:lineRule="auto"/>
              <w:jc w:val="center"/>
              <w:rPr>
                <w:rFonts w:eastAsia="Times New Roman" w:cs="Times New Roman"/>
                <w:noProof/>
              </w:rPr>
            </w:pPr>
            <w:r>
              <w:rPr>
                <w:noProof/>
              </w:rPr>
              <w:t>G12G</w:t>
            </w:r>
          </w:p>
        </w:tc>
        <w:tc>
          <w:tcPr>
            <w:tcW w:w="1559" w:type="dxa"/>
            <w:tcBorders>
              <w:top w:val="single" w:sz="4" w:space="0" w:color="auto"/>
              <w:left w:val="nil"/>
              <w:bottom w:val="single" w:sz="4" w:space="0" w:color="auto"/>
              <w:right w:val="single" w:sz="4" w:space="0" w:color="auto"/>
            </w:tcBorders>
            <w:shd w:val="clear" w:color="auto" w:fill="C6EFCE"/>
            <w:noWrap/>
          </w:tcPr>
          <w:p w14:paraId="787460C2" w14:textId="4220C0A8" w:rsidR="00480F1C" w:rsidRDefault="00A201F6">
            <w:pPr>
              <w:pStyle w:val="P68B1DB1-Normal25"/>
              <w:spacing w:after="0" w:line="240" w:lineRule="auto"/>
              <w:rPr>
                <w:rFonts w:eastAsia="Times New Roman" w:cs="Times New Roman"/>
                <w:noProof/>
              </w:rPr>
            </w:pPr>
            <w:r>
              <w:rPr>
                <w:noProof/>
              </w:rPr>
              <w:t>G1.2.1 Regelgevingsoplossingen voor een versnelde integratie van hernieuwbare energie in distributienetten</w:t>
            </w:r>
          </w:p>
        </w:tc>
        <w:tc>
          <w:tcPr>
            <w:tcW w:w="992" w:type="dxa"/>
            <w:tcBorders>
              <w:top w:val="single" w:sz="4" w:space="0" w:color="auto"/>
              <w:left w:val="nil"/>
              <w:bottom w:val="single" w:sz="4" w:space="0" w:color="auto"/>
              <w:right w:val="single" w:sz="4" w:space="0" w:color="auto"/>
            </w:tcBorders>
            <w:shd w:val="clear" w:color="auto" w:fill="C6EFCE"/>
            <w:noWrap/>
          </w:tcPr>
          <w:p w14:paraId="23B0F108" w14:textId="77777777" w:rsidR="00480F1C" w:rsidRDefault="00A201F6">
            <w:pPr>
              <w:pStyle w:val="P68B1DB1-Normal25"/>
              <w:spacing w:after="0" w:line="240" w:lineRule="auto"/>
              <w:rPr>
                <w:rFonts w:eastAsia="Times New Roman" w:cs="Times New Roman"/>
                <w:noProof/>
              </w:rPr>
            </w:pPr>
            <w:r>
              <w:rPr>
                <w:noProof/>
              </w:rPr>
              <w:t>Mijlpaal</w:t>
            </w:r>
          </w:p>
        </w:tc>
        <w:tc>
          <w:tcPr>
            <w:tcW w:w="1985" w:type="dxa"/>
            <w:tcBorders>
              <w:top w:val="single" w:sz="4" w:space="0" w:color="auto"/>
              <w:left w:val="nil"/>
              <w:bottom w:val="single" w:sz="4" w:space="0" w:color="auto"/>
              <w:right w:val="single" w:sz="4" w:space="0" w:color="auto"/>
            </w:tcBorders>
            <w:shd w:val="clear" w:color="auto" w:fill="C6EFCE"/>
            <w:noWrap/>
          </w:tcPr>
          <w:p w14:paraId="561B91CD" w14:textId="77777777" w:rsidR="00480F1C" w:rsidRDefault="00A201F6">
            <w:pPr>
              <w:pStyle w:val="P68B1DB1-Normal25"/>
              <w:spacing w:after="0" w:line="240" w:lineRule="auto"/>
              <w:rPr>
                <w:rFonts w:eastAsia="Times New Roman" w:cs="Times New Roman"/>
                <w:noProof/>
              </w:rPr>
            </w:pPr>
            <w:r>
              <w:rPr>
                <w:noProof/>
              </w:rPr>
              <w:t>Goedkeuring van het nieuwe regelgevingsmodel door de voorzitter van het Bureau voor energieregelgeving</w:t>
            </w:r>
          </w:p>
        </w:tc>
        <w:tc>
          <w:tcPr>
            <w:tcW w:w="1701" w:type="dxa"/>
            <w:tcBorders>
              <w:top w:val="single" w:sz="4" w:space="0" w:color="auto"/>
              <w:left w:val="nil"/>
              <w:bottom w:val="single" w:sz="4" w:space="0" w:color="auto"/>
              <w:right w:val="single" w:sz="4" w:space="0" w:color="auto"/>
            </w:tcBorders>
            <w:shd w:val="clear" w:color="auto" w:fill="C6EFCE"/>
            <w:noWrap/>
          </w:tcPr>
          <w:p w14:paraId="7AB553C4" w14:textId="77777777" w:rsidR="00480F1C" w:rsidRDefault="00A201F6">
            <w:pPr>
              <w:pStyle w:val="P68B1DB1-Normal25"/>
              <w:spacing w:after="0" w:line="240" w:lineRule="auto"/>
              <w:rPr>
                <w:rFonts w:eastAsia="Times New Roman" w:cs="Times New Roman"/>
                <w:noProof/>
              </w:rPr>
            </w:pPr>
            <w:r>
              <w:rPr>
                <w:noProof/>
              </w:rPr>
              <w:t>Publicatie van een aankondiging van de voorzitter van het Bureau voor energieregelgeving over de invoering van het nieuwe regelgevingsmodel voor distributiesysteembeheerders</w:t>
            </w:r>
          </w:p>
        </w:tc>
        <w:tc>
          <w:tcPr>
            <w:tcW w:w="992" w:type="dxa"/>
            <w:tcBorders>
              <w:top w:val="nil"/>
              <w:left w:val="nil"/>
              <w:bottom w:val="single" w:sz="4" w:space="0" w:color="auto"/>
              <w:right w:val="single" w:sz="4" w:space="0" w:color="auto"/>
            </w:tcBorders>
            <w:shd w:val="clear" w:color="auto" w:fill="C6EFCE"/>
            <w:noWrap/>
          </w:tcPr>
          <w:p w14:paraId="195B6E6E" w14:textId="77777777" w:rsidR="00480F1C" w:rsidRDefault="00480F1C">
            <w:pPr>
              <w:spacing w:after="0" w:line="240" w:lineRule="auto"/>
              <w:rPr>
                <w:rFonts w:ascii="Times New Roman" w:eastAsia="Times New Roman" w:hAnsi="Times New Roman" w:cs="Times New Roman"/>
                <w:noProof/>
                <w:sz w:val="18"/>
              </w:rPr>
            </w:pPr>
          </w:p>
        </w:tc>
        <w:tc>
          <w:tcPr>
            <w:tcW w:w="992" w:type="dxa"/>
            <w:tcBorders>
              <w:top w:val="nil"/>
              <w:left w:val="nil"/>
              <w:bottom w:val="single" w:sz="4" w:space="0" w:color="auto"/>
              <w:right w:val="single" w:sz="4" w:space="0" w:color="auto"/>
            </w:tcBorders>
            <w:shd w:val="clear" w:color="auto" w:fill="C6EFCE"/>
            <w:noWrap/>
          </w:tcPr>
          <w:p w14:paraId="63A83EE9" w14:textId="77777777" w:rsidR="00480F1C" w:rsidRDefault="00480F1C">
            <w:pPr>
              <w:spacing w:after="0" w:line="240" w:lineRule="auto"/>
              <w:jc w:val="center"/>
              <w:rPr>
                <w:rFonts w:ascii="Times New Roman" w:eastAsia="Times New Roman" w:hAnsi="Times New Roman" w:cs="Times New Roman"/>
                <w:noProof/>
                <w:sz w:val="18"/>
              </w:rPr>
            </w:pPr>
          </w:p>
        </w:tc>
        <w:tc>
          <w:tcPr>
            <w:tcW w:w="709" w:type="dxa"/>
            <w:tcBorders>
              <w:top w:val="nil"/>
              <w:left w:val="nil"/>
              <w:bottom w:val="single" w:sz="4" w:space="0" w:color="auto"/>
              <w:right w:val="single" w:sz="4" w:space="0" w:color="auto"/>
            </w:tcBorders>
            <w:shd w:val="clear" w:color="auto" w:fill="C6EFCE"/>
            <w:noWrap/>
          </w:tcPr>
          <w:p w14:paraId="48825F63" w14:textId="77777777" w:rsidR="00480F1C" w:rsidRDefault="00480F1C">
            <w:pPr>
              <w:spacing w:after="0" w:line="240" w:lineRule="auto"/>
              <w:jc w:val="center"/>
              <w:rPr>
                <w:rFonts w:ascii="Times New Roman" w:eastAsia="Times New Roman" w:hAnsi="Times New Roman" w:cs="Times New Roman"/>
                <w:noProof/>
                <w:sz w:val="18"/>
              </w:rPr>
            </w:pPr>
          </w:p>
        </w:tc>
        <w:tc>
          <w:tcPr>
            <w:tcW w:w="921" w:type="dxa"/>
            <w:tcBorders>
              <w:top w:val="nil"/>
              <w:left w:val="nil"/>
              <w:bottom w:val="single" w:sz="4" w:space="0" w:color="auto"/>
              <w:right w:val="single" w:sz="4" w:space="0" w:color="auto"/>
            </w:tcBorders>
            <w:shd w:val="clear" w:color="auto" w:fill="C6EFCE"/>
            <w:noWrap/>
          </w:tcPr>
          <w:p w14:paraId="4C9244A3" w14:textId="77777777" w:rsidR="00480F1C" w:rsidRDefault="00A201F6">
            <w:pPr>
              <w:pStyle w:val="P68B1DB1-Normal25"/>
              <w:spacing w:after="0" w:line="240" w:lineRule="auto"/>
              <w:jc w:val="center"/>
              <w:rPr>
                <w:rFonts w:eastAsia="Times New Roman" w:cs="Times New Roman"/>
                <w:noProof/>
              </w:rPr>
            </w:pPr>
            <w:r>
              <w:rPr>
                <w:noProof/>
              </w:rPr>
              <w:t>KWARTAAL 4</w:t>
            </w:r>
          </w:p>
        </w:tc>
        <w:tc>
          <w:tcPr>
            <w:tcW w:w="922" w:type="dxa"/>
            <w:tcBorders>
              <w:top w:val="nil"/>
              <w:left w:val="nil"/>
              <w:bottom w:val="single" w:sz="4" w:space="0" w:color="auto"/>
              <w:right w:val="single" w:sz="4" w:space="0" w:color="auto"/>
            </w:tcBorders>
            <w:shd w:val="clear" w:color="auto" w:fill="C6EFCE"/>
            <w:noWrap/>
          </w:tcPr>
          <w:p w14:paraId="225FFBBB" w14:textId="77777777" w:rsidR="00480F1C" w:rsidRDefault="00A201F6">
            <w:pPr>
              <w:pStyle w:val="P68B1DB1-Normal25"/>
              <w:spacing w:after="0" w:line="240" w:lineRule="auto"/>
              <w:jc w:val="center"/>
              <w:rPr>
                <w:rFonts w:eastAsia="Times New Roman" w:cs="Times New Roman"/>
                <w:noProof/>
              </w:rPr>
            </w:pPr>
            <w:r>
              <w:rPr>
                <w:noProof/>
              </w:rPr>
              <w:t>2024</w:t>
            </w:r>
          </w:p>
        </w:tc>
        <w:tc>
          <w:tcPr>
            <w:tcW w:w="3690" w:type="dxa"/>
            <w:tcBorders>
              <w:top w:val="single" w:sz="4" w:space="0" w:color="auto"/>
              <w:left w:val="nil"/>
              <w:bottom w:val="single" w:sz="4" w:space="0" w:color="auto"/>
              <w:right w:val="single" w:sz="4" w:space="0" w:color="auto"/>
            </w:tcBorders>
            <w:shd w:val="clear" w:color="auto" w:fill="C6EFCE"/>
            <w:noWrap/>
          </w:tcPr>
          <w:p w14:paraId="5748F898" w14:textId="6B3291D0" w:rsidR="00480F1C" w:rsidRDefault="00A201F6">
            <w:pPr>
              <w:pStyle w:val="P68B1DB1-Normal25"/>
              <w:spacing w:after="0" w:line="240" w:lineRule="auto"/>
              <w:rPr>
                <w:rFonts w:eastAsia="Times New Roman" w:cs="Times New Roman"/>
                <w:noProof/>
              </w:rPr>
            </w:pPr>
            <w:r>
              <w:rPr>
                <w:noProof/>
              </w:rPr>
              <w:t xml:space="preserve">De voorzitter van het Bureau voor energieregulering publiceert een aankondiging waarin het nieuwe bindende reguleringsmodel voor distributiesysteembeheerders wordt vastgelegd. </w:t>
            </w:r>
          </w:p>
        </w:tc>
      </w:tr>
      <w:tr w:rsidR="00480F1C" w14:paraId="7B99A0A6" w14:textId="77777777">
        <w:trPr>
          <w:trHeight w:val="309"/>
          <w:jc w:val="center"/>
        </w:trPr>
        <w:tc>
          <w:tcPr>
            <w:tcW w:w="846" w:type="dxa"/>
            <w:tcBorders>
              <w:top w:val="nil"/>
              <w:left w:val="single" w:sz="4" w:space="0" w:color="auto"/>
              <w:bottom w:val="single" w:sz="4" w:space="0" w:color="auto"/>
              <w:right w:val="single" w:sz="4" w:space="0" w:color="auto"/>
            </w:tcBorders>
            <w:shd w:val="clear" w:color="auto" w:fill="C6EFCE"/>
            <w:noWrap/>
          </w:tcPr>
          <w:p w14:paraId="3068E4B3" w14:textId="0E10D7B8" w:rsidR="00480F1C" w:rsidRDefault="00A201F6">
            <w:pPr>
              <w:pStyle w:val="P68B1DB1-Normal25"/>
              <w:spacing w:after="0" w:line="240" w:lineRule="auto"/>
              <w:jc w:val="center"/>
              <w:rPr>
                <w:rFonts w:eastAsia="Times New Roman" w:cs="Times New Roman"/>
                <w:noProof/>
              </w:rPr>
            </w:pPr>
            <w:r>
              <w:rPr>
                <w:noProof/>
              </w:rPr>
              <w:t>G13G</w:t>
            </w:r>
          </w:p>
        </w:tc>
        <w:tc>
          <w:tcPr>
            <w:tcW w:w="1559" w:type="dxa"/>
            <w:tcBorders>
              <w:top w:val="nil"/>
              <w:left w:val="nil"/>
              <w:bottom w:val="single" w:sz="4" w:space="0" w:color="auto"/>
              <w:right w:val="single" w:sz="4" w:space="0" w:color="auto"/>
            </w:tcBorders>
            <w:shd w:val="clear" w:color="auto" w:fill="C6EFCE"/>
            <w:noWrap/>
          </w:tcPr>
          <w:p w14:paraId="431A7973" w14:textId="2FB7137E" w:rsidR="00480F1C" w:rsidRDefault="00A201F6">
            <w:pPr>
              <w:pStyle w:val="P68B1DB1-Normal25"/>
              <w:spacing w:after="0" w:line="240" w:lineRule="auto"/>
              <w:rPr>
                <w:rFonts w:eastAsia="Times New Roman" w:cs="Times New Roman"/>
                <w:noProof/>
              </w:rPr>
            </w:pPr>
            <w:r>
              <w:rPr>
                <w:noProof/>
              </w:rPr>
              <w:t>G1.2.2 Het wegnemen van belemmeringen voor de integratie van hernieuwbare energiebronnen in elektriciteitsnetwerken</w:t>
            </w:r>
          </w:p>
        </w:tc>
        <w:tc>
          <w:tcPr>
            <w:tcW w:w="992" w:type="dxa"/>
            <w:tcBorders>
              <w:top w:val="nil"/>
              <w:left w:val="nil"/>
              <w:bottom w:val="single" w:sz="4" w:space="0" w:color="auto"/>
              <w:right w:val="single" w:sz="4" w:space="0" w:color="auto"/>
            </w:tcBorders>
            <w:shd w:val="clear" w:color="auto" w:fill="C6EFCE"/>
            <w:noWrap/>
          </w:tcPr>
          <w:p w14:paraId="69B2031F" w14:textId="77777777" w:rsidR="00480F1C" w:rsidRDefault="00A201F6">
            <w:pPr>
              <w:pStyle w:val="P68B1DB1-Normal25"/>
              <w:spacing w:after="0" w:line="240" w:lineRule="auto"/>
              <w:rPr>
                <w:rFonts w:eastAsia="Times New Roman" w:cs="Times New Roman"/>
                <w:noProof/>
              </w:rPr>
            </w:pPr>
            <w:r>
              <w:rPr>
                <w:noProof/>
              </w:rPr>
              <w:t>Mijlpaal</w:t>
            </w:r>
          </w:p>
        </w:tc>
        <w:tc>
          <w:tcPr>
            <w:tcW w:w="1985" w:type="dxa"/>
            <w:tcBorders>
              <w:top w:val="nil"/>
              <w:left w:val="nil"/>
              <w:bottom w:val="single" w:sz="4" w:space="0" w:color="auto"/>
              <w:right w:val="single" w:sz="4" w:space="0" w:color="auto"/>
            </w:tcBorders>
            <w:shd w:val="clear" w:color="auto" w:fill="C6EFCE"/>
            <w:noWrap/>
          </w:tcPr>
          <w:p w14:paraId="6D2EAE00" w14:textId="77777777" w:rsidR="00480F1C" w:rsidRDefault="00A201F6">
            <w:pPr>
              <w:pStyle w:val="P68B1DB1-Normal25"/>
              <w:spacing w:after="0" w:line="240" w:lineRule="auto"/>
              <w:rPr>
                <w:rFonts w:eastAsia="Times New Roman" w:cs="Times New Roman"/>
                <w:noProof/>
              </w:rPr>
            </w:pPr>
            <w:r>
              <w:rPr>
                <w:noProof/>
              </w:rPr>
              <w:t>Inwerkingtreding van het rechtskader dat kabelpooling mogelijk maakt</w:t>
            </w:r>
          </w:p>
        </w:tc>
        <w:tc>
          <w:tcPr>
            <w:tcW w:w="1701" w:type="dxa"/>
            <w:tcBorders>
              <w:top w:val="nil"/>
              <w:left w:val="nil"/>
              <w:bottom w:val="single" w:sz="4" w:space="0" w:color="auto"/>
              <w:right w:val="single" w:sz="4" w:space="0" w:color="auto"/>
            </w:tcBorders>
            <w:shd w:val="clear" w:color="auto" w:fill="C6EFCE"/>
            <w:noWrap/>
          </w:tcPr>
          <w:p w14:paraId="32D62BDD" w14:textId="2E574229" w:rsidR="00480F1C" w:rsidRDefault="00A201F6">
            <w:pPr>
              <w:pStyle w:val="P68B1DB1-Normal25"/>
              <w:spacing w:after="0" w:line="240" w:lineRule="auto"/>
              <w:rPr>
                <w:rFonts w:eastAsia="Times New Roman" w:cs="Times New Roman"/>
                <w:noProof/>
              </w:rPr>
            </w:pPr>
            <w:r>
              <w:rPr>
                <w:noProof/>
              </w:rPr>
              <w:t>Bepaling in het wijzigingsbesluit</w:t>
            </w:r>
          </w:p>
          <w:p w14:paraId="5D5D8C7C" w14:textId="77777777" w:rsidR="00480F1C" w:rsidRDefault="00A201F6">
            <w:pPr>
              <w:pStyle w:val="P68B1DB1-Normal25"/>
              <w:spacing w:after="0" w:line="240" w:lineRule="auto"/>
              <w:rPr>
                <w:rFonts w:eastAsia="Times New Roman" w:cs="Times New Roman"/>
                <w:noProof/>
              </w:rPr>
            </w:pPr>
            <w:r>
              <w:rPr>
                <w:noProof/>
              </w:rPr>
              <w:t>met vermelding van de inwerkingtreding</w:t>
            </w:r>
          </w:p>
        </w:tc>
        <w:tc>
          <w:tcPr>
            <w:tcW w:w="992" w:type="dxa"/>
            <w:tcBorders>
              <w:top w:val="nil"/>
              <w:left w:val="nil"/>
              <w:bottom w:val="single" w:sz="4" w:space="0" w:color="auto"/>
              <w:right w:val="single" w:sz="4" w:space="0" w:color="auto"/>
            </w:tcBorders>
            <w:shd w:val="clear" w:color="auto" w:fill="C6EFCE"/>
            <w:noWrap/>
          </w:tcPr>
          <w:p w14:paraId="68E34AA9" w14:textId="77777777" w:rsidR="00480F1C" w:rsidRDefault="00480F1C">
            <w:pPr>
              <w:spacing w:after="0" w:line="240" w:lineRule="auto"/>
              <w:rPr>
                <w:rFonts w:ascii="Times New Roman" w:eastAsia="Times New Roman" w:hAnsi="Times New Roman" w:cs="Times New Roman"/>
                <w:noProof/>
                <w:sz w:val="18"/>
              </w:rPr>
            </w:pPr>
          </w:p>
        </w:tc>
        <w:tc>
          <w:tcPr>
            <w:tcW w:w="992" w:type="dxa"/>
            <w:tcBorders>
              <w:top w:val="nil"/>
              <w:left w:val="nil"/>
              <w:bottom w:val="single" w:sz="4" w:space="0" w:color="auto"/>
              <w:right w:val="single" w:sz="4" w:space="0" w:color="auto"/>
            </w:tcBorders>
            <w:shd w:val="clear" w:color="auto" w:fill="C6EFCE"/>
            <w:noWrap/>
          </w:tcPr>
          <w:p w14:paraId="72B41886" w14:textId="77777777" w:rsidR="00480F1C" w:rsidRDefault="00480F1C">
            <w:pPr>
              <w:spacing w:after="0" w:line="240" w:lineRule="auto"/>
              <w:jc w:val="center"/>
              <w:rPr>
                <w:rFonts w:ascii="Times New Roman" w:eastAsia="Times New Roman" w:hAnsi="Times New Roman" w:cs="Times New Roman"/>
                <w:noProof/>
                <w:sz w:val="18"/>
              </w:rPr>
            </w:pPr>
          </w:p>
        </w:tc>
        <w:tc>
          <w:tcPr>
            <w:tcW w:w="709" w:type="dxa"/>
            <w:tcBorders>
              <w:top w:val="nil"/>
              <w:left w:val="nil"/>
              <w:bottom w:val="single" w:sz="4" w:space="0" w:color="auto"/>
              <w:right w:val="single" w:sz="4" w:space="0" w:color="auto"/>
            </w:tcBorders>
            <w:shd w:val="clear" w:color="auto" w:fill="C6EFCE"/>
            <w:noWrap/>
          </w:tcPr>
          <w:p w14:paraId="021DB270" w14:textId="77777777" w:rsidR="00480F1C" w:rsidRDefault="00480F1C">
            <w:pPr>
              <w:spacing w:after="0" w:line="240" w:lineRule="auto"/>
              <w:jc w:val="center"/>
              <w:rPr>
                <w:rFonts w:ascii="Times New Roman" w:eastAsia="Times New Roman" w:hAnsi="Times New Roman" w:cs="Times New Roman"/>
                <w:noProof/>
                <w:sz w:val="18"/>
              </w:rPr>
            </w:pPr>
          </w:p>
        </w:tc>
        <w:tc>
          <w:tcPr>
            <w:tcW w:w="921" w:type="dxa"/>
            <w:tcBorders>
              <w:top w:val="nil"/>
              <w:left w:val="nil"/>
              <w:bottom w:val="single" w:sz="4" w:space="0" w:color="auto"/>
              <w:right w:val="single" w:sz="4" w:space="0" w:color="auto"/>
            </w:tcBorders>
            <w:shd w:val="clear" w:color="auto" w:fill="C6EFCE"/>
            <w:noWrap/>
          </w:tcPr>
          <w:p w14:paraId="48531993" w14:textId="77777777" w:rsidR="00480F1C" w:rsidRDefault="00A201F6">
            <w:pPr>
              <w:pStyle w:val="P68B1DB1-Normal25"/>
              <w:spacing w:after="0" w:line="240" w:lineRule="auto"/>
              <w:jc w:val="center"/>
              <w:rPr>
                <w:rFonts w:eastAsia="Times New Roman" w:cs="Times New Roman"/>
                <w:noProof/>
              </w:rPr>
            </w:pPr>
            <w:r>
              <w:rPr>
                <w:noProof/>
              </w:rPr>
              <w:t>KWARTAAL 4</w:t>
            </w:r>
          </w:p>
        </w:tc>
        <w:tc>
          <w:tcPr>
            <w:tcW w:w="922" w:type="dxa"/>
            <w:tcBorders>
              <w:top w:val="nil"/>
              <w:left w:val="nil"/>
              <w:bottom w:val="single" w:sz="4" w:space="0" w:color="auto"/>
              <w:right w:val="single" w:sz="4" w:space="0" w:color="auto"/>
            </w:tcBorders>
            <w:shd w:val="clear" w:color="auto" w:fill="C6EFCE"/>
            <w:noWrap/>
          </w:tcPr>
          <w:p w14:paraId="370900A9" w14:textId="77777777" w:rsidR="00480F1C" w:rsidRDefault="00A201F6">
            <w:pPr>
              <w:pStyle w:val="P68B1DB1-Normal25"/>
              <w:spacing w:after="0" w:line="240" w:lineRule="auto"/>
              <w:jc w:val="center"/>
              <w:rPr>
                <w:rFonts w:eastAsia="Times New Roman" w:cs="Times New Roman"/>
                <w:noProof/>
              </w:rPr>
            </w:pPr>
            <w:r>
              <w:rPr>
                <w:noProof/>
              </w:rPr>
              <w:t>2023</w:t>
            </w:r>
          </w:p>
        </w:tc>
        <w:tc>
          <w:tcPr>
            <w:tcW w:w="3690" w:type="dxa"/>
            <w:tcBorders>
              <w:top w:val="nil"/>
              <w:left w:val="nil"/>
              <w:bottom w:val="single" w:sz="4" w:space="0" w:color="auto"/>
              <w:right w:val="single" w:sz="4" w:space="0" w:color="auto"/>
            </w:tcBorders>
            <w:shd w:val="clear" w:color="auto" w:fill="C6EFCE"/>
            <w:noWrap/>
          </w:tcPr>
          <w:p w14:paraId="6F6B1F38" w14:textId="1DB095EC" w:rsidR="00480F1C" w:rsidRDefault="00A201F6">
            <w:pPr>
              <w:pStyle w:val="P68B1DB1-Normal25"/>
              <w:spacing w:after="0" w:line="240" w:lineRule="auto"/>
              <w:rPr>
                <w:rFonts w:eastAsia="Times New Roman" w:cs="Times New Roman"/>
                <w:noProof/>
              </w:rPr>
            </w:pPr>
            <w:r>
              <w:rPr>
                <w:noProof/>
              </w:rPr>
              <w:t>Wijzigingen van de wet hernieuwbare energiebronnen en de energiewet waardoor meerdere hernieuwbare energiebronnen via één aansluitpunt op het elektriciteitsnet kunnen worden aangesloten.</w:t>
            </w:r>
          </w:p>
        </w:tc>
      </w:tr>
      <w:tr w:rsidR="00480F1C" w14:paraId="0AB9EA8C" w14:textId="77777777">
        <w:trPr>
          <w:trHeight w:val="309"/>
          <w:jc w:val="center"/>
        </w:trPr>
        <w:tc>
          <w:tcPr>
            <w:tcW w:w="846" w:type="dxa"/>
            <w:tcBorders>
              <w:top w:val="nil"/>
              <w:left w:val="single" w:sz="4" w:space="0" w:color="auto"/>
              <w:bottom w:val="single" w:sz="4" w:space="0" w:color="auto"/>
              <w:right w:val="single" w:sz="4" w:space="0" w:color="auto"/>
            </w:tcBorders>
            <w:shd w:val="clear" w:color="auto" w:fill="C6EFCE"/>
            <w:noWrap/>
          </w:tcPr>
          <w:p w14:paraId="4FB50381" w14:textId="37306AC3" w:rsidR="00480F1C" w:rsidRDefault="00A201F6">
            <w:pPr>
              <w:pStyle w:val="P68B1DB1-Normal25"/>
              <w:spacing w:after="0" w:line="240" w:lineRule="auto"/>
              <w:jc w:val="center"/>
              <w:rPr>
                <w:rFonts w:eastAsia="Times New Roman" w:cs="Times New Roman"/>
                <w:noProof/>
              </w:rPr>
            </w:pPr>
            <w:r>
              <w:rPr>
                <w:noProof/>
              </w:rPr>
              <w:t>G14G</w:t>
            </w:r>
          </w:p>
        </w:tc>
        <w:tc>
          <w:tcPr>
            <w:tcW w:w="1559" w:type="dxa"/>
            <w:tcBorders>
              <w:top w:val="nil"/>
              <w:left w:val="nil"/>
              <w:bottom w:val="single" w:sz="4" w:space="0" w:color="auto"/>
              <w:right w:val="single" w:sz="4" w:space="0" w:color="auto"/>
            </w:tcBorders>
            <w:shd w:val="clear" w:color="auto" w:fill="C6EFCE"/>
            <w:noWrap/>
          </w:tcPr>
          <w:p w14:paraId="6E5447CC" w14:textId="2E545F06" w:rsidR="00480F1C" w:rsidRDefault="00A201F6">
            <w:pPr>
              <w:pStyle w:val="P68B1DB1-Normal25"/>
              <w:spacing w:after="0" w:line="240" w:lineRule="auto"/>
              <w:rPr>
                <w:rFonts w:eastAsia="Times New Roman" w:cs="Times New Roman"/>
                <w:noProof/>
              </w:rPr>
            </w:pPr>
            <w:r>
              <w:rPr>
                <w:noProof/>
              </w:rPr>
              <w:t>G1.2.2 Het wegnemen van belemmeringen voor de integratie van hernieuwbare energiebronnen in elektriciteitsnetwerken</w:t>
            </w:r>
          </w:p>
        </w:tc>
        <w:tc>
          <w:tcPr>
            <w:tcW w:w="992" w:type="dxa"/>
            <w:tcBorders>
              <w:top w:val="nil"/>
              <w:left w:val="nil"/>
              <w:bottom w:val="single" w:sz="4" w:space="0" w:color="auto"/>
              <w:right w:val="single" w:sz="4" w:space="0" w:color="auto"/>
            </w:tcBorders>
            <w:shd w:val="clear" w:color="auto" w:fill="C6EFCE"/>
            <w:noWrap/>
          </w:tcPr>
          <w:p w14:paraId="32535871" w14:textId="77777777" w:rsidR="00480F1C" w:rsidRDefault="00A201F6">
            <w:pPr>
              <w:pStyle w:val="P68B1DB1-Normal25"/>
              <w:spacing w:after="0" w:line="240" w:lineRule="auto"/>
              <w:rPr>
                <w:rFonts w:eastAsia="Times New Roman" w:cs="Times New Roman"/>
                <w:noProof/>
              </w:rPr>
            </w:pPr>
            <w:r>
              <w:rPr>
                <w:noProof/>
              </w:rPr>
              <w:t>Mijlpaal</w:t>
            </w:r>
          </w:p>
        </w:tc>
        <w:tc>
          <w:tcPr>
            <w:tcW w:w="1985" w:type="dxa"/>
            <w:tcBorders>
              <w:top w:val="nil"/>
              <w:left w:val="nil"/>
              <w:bottom w:val="single" w:sz="4" w:space="0" w:color="auto"/>
              <w:right w:val="single" w:sz="4" w:space="0" w:color="auto"/>
            </w:tcBorders>
            <w:shd w:val="clear" w:color="auto" w:fill="C6EFCE"/>
            <w:noWrap/>
          </w:tcPr>
          <w:p w14:paraId="4274C04A" w14:textId="745375A9" w:rsidR="00480F1C" w:rsidRDefault="00A201F6">
            <w:pPr>
              <w:pStyle w:val="P68B1DB1-Normal25"/>
              <w:spacing w:after="0" w:line="240" w:lineRule="auto"/>
              <w:rPr>
                <w:rFonts w:eastAsia="Times New Roman" w:cs="Times New Roman"/>
                <w:noProof/>
              </w:rPr>
            </w:pPr>
            <w:r>
              <w:rPr>
                <w:noProof/>
              </w:rPr>
              <w:t>Inwerkingtreding van wetgevings- en, in voorkomend geval, niet-wetgevingshandelingen die de transparantie van het aansluitingsproces op elektriciteitsnetten vergroten en dit proces vergemakkelijken</w:t>
            </w:r>
          </w:p>
        </w:tc>
        <w:tc>
          <w:tcPr>
            <w:tcW w:w="1701" w:type="dxa"/>
            <w:tcBorders>
              <w:top w:val="nil"/>
              <w:left w:val="nil"/>
              <w:bottom w:val="single" w:sz="4" w:space="0" w:color="auto"/>
              <w:right w:val="single" w:sz="4" w:space="0" w:color="auto"/>
            </w:tcBorders>
            <w:shd w:val="clear" w:color="auto" w:fill="C6EFCE"/>
            <w:noWrap/>
          </w:tcPr>
          <w:p w14:paraId="1401BD8A" w14:textId="4AC672D6" w:rsidR="00480F1C" w:rsidRDefault="00A201F6">
            <w:pPr>
              <w:pStyle w:val="P68B1DB1-Normal25"/>
              <w:spacing w:after="0" w:line="240" w:lineRule="auto"/>
              <w:rPr>
                <w:rFonts w:eastAsia="Times New Roman" w:cs="Times New Roman"/>
                <w:noProof/>
              </w:rPr>
            </w:pPr>
            <w:r>
              <w:rPr>
                <w:noProof/>
              </w:rPr>
              <w:t>Bepalingen in wetgevings- en, in voorkomend geval, niet-wetgevingshandelingen waarin de inwerkingtreding wordt vermeld</w:t>
            </w:r>
          </w:p>
        </w:tc>
        <w:tc>
          <w:tcPr>
            <w:tcW w:w="992" w:type="dxa"/>
            <w:tcBorders>
              <w:top w:val="nil"/>
              <w:left w:val="nil"/>
              <w:bottom w:val="single" w:sz="4" w:space="0" w:color="auto"/>
              <w:right w:val="single" w:sz="4" w:space="0" w:color="auto"/>
            </w:tcBorders>
            <w:shd w:val="clear" w:color="auto" w:fill="C6EFCE"/>
            <w:noWrap/>
          </w:tcPr>
          <w:p w14:paraId="21D104C4" w14:textId="77777777" w:rsidR="00480F1C" w:rsidRDefault="00480F1C">
            <w:pPr>
              <w:spacing w:after="0" w:line="240" w:lineRule="auto"/>
              <w:rPr>
                <w:rFonts w:ascii="Times New Roman" w:eastAsia="Times New Roman" w:hAnsi="Times New Roman" w:cs="Times New Roman"/>
                <w:noProof/>
                <w:sz w:val="18"/>
              </w:rPr>
            </w:pPr>
          </w:p>
        </w:tc>
        <w:tc>
          <w:tcPr>
            <w:tcW w:w="992" w:type="dxa"/>
            <w:tcBorders>
              <w:top w:val="nil"/>
              <w:left w:val="nil"/>
              <w:bottom w:val="single" w:sz="4" w:space="0" w:color="auto"/>
              <w:right w:val="single" w:sz="4" w:space="0" w:color="auto"/>
            </w:tcBorders>
            <w:shd w:val="clear" w:color="auto" w:fill="C6EFCE"/>
            <w:noWrap/>
          </w:tcPr>
          <w:p w14:paraId="6AB09E6E" w14:textId="77777777" w:rsidR="00480F1C" w:rsidRDefault="00480F1C">
            <w:pPr>
              <w:spacing w:after="0" w:line="240" w:lineRule="auto"/>
              <w:jc w:val="center"/>
              <w:rPr>
                <w:rFonts w:ascii="Times New Roman" w:eastAsia="Times New Roman" w:hAnsi="Times New Roman" w:cs="Times New Roman"/>
                <w:noProof/>
                <w:sz w:val="18"/>
              </w:rPr>
            </w:pPr>
          </w:p>
        </w:tc>
        <w:tc>
          <w:tcPr>
            <w:tcW w:w="709" w:type="dxa"/>
            <w:tcBorders>
              <w:top w:val="nil"/>
              <w:left w:val="nil"/>
              <w:bottom w:val="single" w:sz="4" w:space="0" w:color="auto"/>
              <w:right w:val="single" w:sz="4" w:space="0" w:color="auto"/>
            </w:tcBorders>
            <w:shd w:val="clear" w:color="auto" w:fill="C6EFCE"/>
            <w:noWrap/>
          </w:tcPr>
          <w:p w14:paraId="14BAC9E4" w14:textId="77777777" w:rsidR="00480F1C" w:rsidRDefault="00480F1C">
            <w:pPr>
              <w:spacing w:after="0" w:line="240" w:lineRule="auto"/>
              <w:jc w:val="center"/>
              <w:rPr>
                <w:rFonts w:ascii="Times New Roman" w:eastAsia="Times New Roman" w:hAnsi="Times New Roman" w:cs="Times New Roman"/>
                <w:noProof/>
                <w:sz w:val="18"/>
              </w:rPr>
            </w:pPr>
          </w:p>
        </w:tc>
        <w:tc>
          <w:tcPr>
            <w:tcW w:w="921" w:type="dxa"/>
            <w:tcBorders>
              <w:top w:val="nil"/>
              <w:left w:val="nil"/>
              <w:bottom w:val="single" w:sz="4" w:space="0" w:color="auto"/>
              <w:right w:val="single" w:sz="4" w:space="0" w:color="auto"/>
            </w:tcBorders>
            <w:shd w:val="clear" w:color="auto" w:fill="C6EFCE"/>
            <w:noWrap/>
          </w:tcPr>
          <w:p w14:paraId="5CDFE0D4" w14:textId="77777777" w:rsidR="00480F1C" w:rsidRDefault="00A201F6">
            <w:pPr>
              <w:pStyle w:val="P68B1DB1-Normal25"/>
              <w:spacing w:after="0" w:line="240" w:lineRule="auto"/>
              <w:jc w:val="center"/>
              <w:rPr>
                <w:rFonts w:eastAsia="Times New Roman" w:cs="Times New Roman"/>
                <w:noProof/>
              </w:rPr>
            </w:pPr>
            <w:r>
              <w:rPr>
                <w:noProof/>
              </w:rPr>
              <w:t>KWARTAAL 4</w:t>
            </w:r>
          </w:p>
        </w:tc>
        <w:tc>
          <w:tcPr>
            <w:tcW w:w="922" w:type="dxa"/>
            <w:tcBorders>
              <w:top w:val="nil"/>
              <w:left w:val="nil"/>
              <w:bottom w:val="single" w:sz="4" w:space="0" w:color="auto"/>
              <w:right w:val="single" w:sz="4" w:space="0" w:color="auto"/>
            </w:tcBorders>
            <w:shd w:val="clear" w:color="auto" w:fill="C6EFCE"/>
            <w:noWrap/>
          </w:tcPr>
          <w:p w14:paraId="13C11D47" w14:textId="77777777" w:rsidR="00480F1C" w:rsidRDefault="00A201F6">
            <w:pPr>
              <w:pStyle w:val="P68B1DB1-Normal25"/>
              <w:spacing w:after="0" w:line="240" w:lineRule="auto"/>
              <w:jc w:val="center"/>
              <w:rPr>
                <w:rFonts w:eastAsia="Times New Roman" w:cs="Times New Roman"/>
                <w:noProof/>
              </w:rPr>
            </w:pPr>
            <w:r>
              <w:rPr>
                <w:noProof/>
              </w:rPr>
              <w:t>2025</w:t>
            </w:r>
          </w:p>
        </w:tc>
        <w:tc>
          <w:tcPr>
            <w:tcW w:w="3690" w:type="dxa"/>
            <w:tcBorders>
              <w:top w:val="nil"/>
              <w:left w:val="nil"/>
              <w:bottom w:val="single" w:sz="4" w:space="0" w:color="auto"/>
              <w:right w:val="single" w:sz="4" w:space="0" w:color="auto"/>
            </w:tcBorders>
            <w:shd w:val="clear" w:color="auto" w:fill="C6EFCE"/>
            <w:noWrap/>
            <w:vAlign w:val="bottom"/>
          </w:tcPr>
          <w:p w14:paraId="47374FEF" w14:textId="670C607A" w:rsidR="00480F1C" w:rsidRDefault="00A201F6">
            <w:pPr>
              <w:pStyle w:val="P68B1DB1-Normal25"/>
              <w:spacing w:after="0" w:line="240" w:lineRule="auto"/>
              <w:rPr>
                <w:rFonts w:eastAsia="Times New Roman" w:cs="Times New Roman"/>
                <w:noProof/>
              </w:rPr>
            </w:pPr>
            <w:r>
              <w:rPr>
                <w:noProof/>
              </w:rPr>
              <w:t xml:space="preserve">Wetgevende en, in voorkomend geval, niet-wetgevingshandelingen die de transparantie en voorspelbaarheid van het aansluitingsproces op elektriciteitsnetten vergroten en dit proces vergemakkelijken, treden in werking. </w:t>
            </w:r>
          </w:p>
          <w:p w14:paraId="3C30A085" w14:textId="77777777" w:rsidR="00480F1C" w:rsidRDefault="00480F1C">
            <w:pPr>
              <w:spacing w:after="0" w:line="240" w:lineRule="auto"/>
              <w:rPr>
                <w:rFonts w:ascii="Times New Roman" w:eastAsia="Times New Roman" w:hAnsi="Times New Roman" w:cs="Times New Roman"/>
                <w:noProof/>
                <w:sz w:val="18"/>
              </w:rPr>
            </w:pPr>
          </w:p>
          <w:p w14:paraId="2495456F" w14:textId="009FD51C" w:rsidR="00480F1C" w:rsidRDefault="00A201F6">
            <w:pPr>
              <w:pStyle w:val="P68B1DB1-Normal25"/>
              <w:spacing w:after="0" w:line="240" w:lineRule="auto"/>
              <w:rPr>
                <w:rFonts w:eastAsia="Times New Roman" w:cs="Times New Roman"/>
                <w:noProof/>
              </w:rPr>
            </w:pPr>
            <w:r>
              <w:rPr>
                <w:noProof/>
              </w:rPr>
              <w:t>In de handeling (en) worden nieuwe regels vastgesteld of bestaande regels met betrekking tot dit aansluitingsproces gewijzigd, die betrekking hebben op de transmissie- en distributiesysteembeheerders, met inbegrip van:</w:t>
            </w:r>
          </w:p>
          <w:p w14:paraId="614E8C86" w14:textId="1CBD472B" w:rsidR="00480F1C" w:rsidRDefault="00A201F6">
            <w:pPr>
              <w:pStyle w:val="P68B1DB1-ListParagraph34"/>
              <w:numPr>
                <w:ilvl w:val="0"/>
                <w:numId w:val="29"/>
              </w:numPr>
              <w:spacing w:after="0" w:line="240" w:lineRule="auto"/>
              <w:ind w:left="169" w:hanging="175"/>
              <w:rPr>
                <w:rFonts w:eastAsia="Times New Roman" w:cs="Times New Roman"/>
                <w:noProof/>
              </w:rPr>
            </w:pPr>
            <w:r>
              <w:rPr>
                <w:noProof/>
              </w:rPr>
              <w:t>De opstelling van één enkel rulebook waarin de procedures en tijdschema’s worden beschreven, alsook de criteria die worden gehanteerd bij de beoordeling van verbindingsverzoeken en aansluitingsbesluiten;</w:t>
            </w:r>
          </w:p>
          <w:p w14:paraId="61AA8A87" w14:textId="5C55F41E" w:rsidR="00480F1C" w:rsidRDefault="00A201F6">
            <w:pPr>
              <w:pStyle w:val="P68B1DB1-ListParagraph34"/>
              <w:numPr>
                <w:ilvl w:val="0"/>
                <w:numId w:val="29"/>
              </w:numPr>
              <w:spacing w:after="0" w:line="240" w:lineRule="auto"/>
              <w:ind w:left="169" w:hanging="175"/>
              <w:rPr>
                <w:rFonts w:eastAsia="Times New Roman" w:cs="Times New Roman"/>
                <w:noProof/>
              </w:rPr>
            </w:pPr>
            <w:r>
              <w:rPr>
                <w:noProof/>
              </w:rPr>
              <w:t>De onlinebeschikbaarheid voor het publiek van: I) regelmatig bijgewerkte informatie over de beschikbare netwerkaansluitingscapaciteit; II) informatie over afgewezen verbindingsverzoeken, met inbegrip van de motivering voor de afwijzing, en iii) het gemeenschappelijke rulebook;</w:t>
            </w:r>
          </w:p>
          <w:p w14:paraId="78014F4D" w14:textId="4D760FC9" w:rsidR="00480F1C" w:rsidRDefault="00A201F6">
            <w:pPr>
              <w:pStyle w:val="P68B1DB1-ListParagraph34"/>
              <w:numPr>
                <w:ilvl w:val="0"/>
                <w:numId w:val="29"/>
              </w:numPr>
              <w:spacing w:after="0" w:line="240" w:lineRule="auto"/>
              <w:ind w:left="169" w:hanging="175"/>
              <w:rPr>
                <w:rFonts w:eastAsia="Times New Roman" w:cs="Times New Roman"/>
                <w:noProof/>
              </w:rPr>
            </w:pPr>
            <w:r>
              <w:rPr>
                <w:noProof/>
              </w:rPr>
              <w:t>Het volledig elektronisch indienen van verzoeken om aansluiting en de behandeling van het verzoek.</w:t>
            </w:r>
          </w:p>
          <w:p w14:paraId="767F3FA7" w14:textId="1151539C" w:rsidR="00480F1C" w:rsidRDefault="00480F1C">
            <w:pPr>
              <w:pStyle w:val="ListParagraph"/>
              <w:spacing w:after="0" w:line="240" w:lineRule="auto"/>
              <w:ind w:left="169"/>
              <w:rPr>
                <w:rFonts w:ascii="Times New Roman" w:eastAsia="Times New Roman" w:hAnsi="Times New Roman" w:cs="Times New Roman"/>
                <w:noProof/>
                <w:sz w:val="18"/>
              </w:rPr>
            </w:pPr>
          </w:p>
        </w:tc>
      </w:tr>
      <w:tr w:rsidR="00480F1C" w14:paraId="5C1102C5" w14:textId="77777777">
        <w:trPr>
          <w:trHeight w:val="309"/>
          <w:jc w:val="center"/>
        </w:trPr>
        <w:tc>
          <w:tcPr>
            <w:tcW w:w="846" w:type="dxa"/>
            <w:tcBorders>
              <w:top w:val="nil"/>
              <w:left w:val="single" w:sz="4" w:space="0" w:color="auto"/>
              <w:bottom w:val="single" w:sz="4" w:space="0" w:color="auto"/>
              <w:right w:val="single" w:sz="4" w:space="0" w:color="auto"/>
            </w:tcBorders>
            <w:shd w:val="clear" w:color="auto" w:fill="C6EFCE"/>
            <w:noWrap/>
          </w:tcPr>
          <w:p w14:paraId="1967C086" w14:textId="644CABC0" w:rsidR="00480F1C" w:rsidRDefault="00A201F6">
            <w:pPr>
              <w:pStyle w:val="P68B1DB1-Normal25"/>
              <w:spacing w:after="0" w:line="240" w:lineRule="auto"/>
              <w:jc w:val="center"/>
              <w:rPr>
                <w:rFonts w:eastAsia="Times New Roman" w:cs="Times New Roman"/>
                <w:noProof/>
              </w:rPr>
            </w:pPr>
            <w:r>
              <w:rPr>
                <w:noProof/>
              </w:rPr>
              <w:t>G15G</w:t>
            </w:r>
          </w:p>
        </w:tc>
        <w:tc>
          <w:tcPr>
            <w:tcW w:w="1559" w:type="dxa"/>
            <w:tcBorders>
              <w:top w:val="nil"/>
              <w:left w:val="nil"/>
              <w:bottom w:val="single" w:sz="4" w:space="0" w:color="auto"/>
              <w:right w:val="single" w:sz="4" w:space="0" w:color="auto"/>
            </w:tcBorders>
            <w:shd w:val="clear" w:color="auto" w:fill="C6EFCE"/>
            <w:noWrap/>
          </w:tcPr>
          <w:p w14:paraId="3C5188FB" w14:textId="59487CC3" w:rsidR="00480F1C" w:rsidRDefault="00A201F6">
            <w:pPr>
              <w:pStyle w:val="P68B1DB1-Normal25"/>
              <w:spacing w:after="0" w:line="240" w:lineRule="auto"/>
              <w:rPr>
                <w:rFonts w:eastAsia="Times New Roman" w:cs="Times New Roman"/>
                <w:noProof/>
              </w:rPr>
            </w:pPr>
            <w:r>
              <w:rPr>
                <w:noProof/>
              </w:rPr>
              <w:t>G1.2.3 Ontwikkeling van transmissienetwerken, slimme elektriciteitsinfrastructuur</w:t>
            </w:r>
          </w:p>
        </w:tc>
        <w:tc>
          <w:tcPr>
            <w:tcW w:w="992" w:type="dxa"/>
            <w:tcBorders>
              <w:top w:val="nil"/>
              <w:left w:val="nil"/>
              <w:bottom w:val="single" w:sz="4" w:space="0" w:color="auto"/>
              <w:right w:val="single" w:sz="4" w:space="0" w:color="auto"/>
            </w:tcBorders>
            <w:shd w:val="clear" w:color="auto" w:fill="C6EFCE"/>
            <w:noWrap/>
          </w:tcPr>
          <w:p w14:paraId="1F00D6C8" w14:textId="77777777" w:rsidR="00480F1C" w:rsidRDefault="00A201F6">
            <w:pPr>
              <w:pStyle w:val="P68B1DB1-Normal25"/>
              <w:spacing w:after="0" w:line="240" w:lineRule="auto"/>
              <w:rPr>
                <w:rFonts w:eastAsia="Times New Roman" w:cs="Times New Roman"/>
                <w:noProof/>
              </w:rPr>
            </w:pPr>
            <w:r>
              <w:rPr>
                <w:noProof/>
              </w:rPr>
              <w:t>Doel</w:t>
            </w:r>
          </w:p>
        </w:tc>
        <w:tc>
          <w:tcPr>
            <w:tcW w:w="1985" w:type="dxa"/>
            <w:tcBorders>
              <w:top w:val="nil"/>
              <w:left w:val="nil"/>
              <w:bottom w:val="single" w:sz="4" w:space="0" w:color="auto"/>
              <w:right w:val="single" w:sz="4" w:space="0" w:color="auto"/>
            </w:tcBorders>
            <w:shd w:val="clear" w:color="auto" w:fill="C6EFCE"/>
            <w:noWrap/>
          </w:tcPr>
          <w:p w14:paraId="7E3C8913" w14:textId="5C788A43" w:rsidR="00480F1C" w:rsidRDefault="00A201F6">
            <w:pPr>
              <w:pStyle w:val="P68B1DB1-Normal25"/>
              <w:spacing w:after="0" w:line="240" w:lineRule="auto"/>
              <w:rPr>
                <w:rFonts w:eastAsia="Times New Roman" w:cs="Times New Roman"/>
                <w:noProof/>
              </w:rPr>
            </w:pPr>
            <w:r>
              <w:rPr>
                <w:noProof/>
              </w:rPr>
              <w:t xml:space="preserve">Lengte van het nieuwe </w:t>
            </w:r>
          </w:p>
          <w:p w14:paraId="7363969C" w14:textId="77777777" w:rsidR="00480F1C" w:rsidRDefault="00A201F6">
            <w:pPr>
              <w:pStyle w:val="P68B1DB1-Normal25"/>
              <w:spacing w:after="0" w:line="240" w:lineRule="auto"/>
              <w:rPr>
                <w:rFonts w:eastAsia="Times New Roman" w:cs="Times New Roman"/>
                <w:noProof/>
              </w:rPr>
            </w:pPr>
            <w:r>
              <w:rPr>
                <w:noProof/>
              </w:rPr>
              <w:t xml:space="preserve">gebouwd of gemoderniseerd </w:t>
            </w:r>
          </w:p>
          <w:p w14:paraId="4E95D07D" w14:textId="77777777" w:rsidR="00480F1C" w:rsidRDefault="00A201F6">
            <w:pPr>
              <w:pStyle w:val="P68B1DB1-Normal25"/>
              <w:spacing w:after="0" w:line="240" w:lineRule="auto"/>
              <w:rPr>
                <w:rFonts w:eastAsia="Times New Roman" w:cs="Times New Roman"/>
                <w:noProof/>
              </w:rPr>
            </w:pPr>
            <w:r>
              <w:rPr>
                <w:noProof/>
              </w:rPr>
              <w:t xml:space="preserve">elektriciteitsverbindingen </w:t>
            </w:r>
          </w:p>
          <w:p w14:paraId="646C21F3" w14:textId="77777777" w:rsidR="00480F1C" w:rsidRDefault="00A201F6">
            <w:pPr>
              <w:pStyle w:val="P68B1DB1-Normal25"/>
              <w:spacing w:after="0" w:line="240" w:lineRule="auto"/>
              <w:rPr>
                <w:rFonts w:eastAsia="Times New Roman" w:cs="Times New Roman"/>
                <w:noProof/>
              </w:rPr>
            </w:pPr>
            <w:r>
              <w:rPr>
                <w:noProof/>
              </w:rPr>
              <w:t>netwerk (km)</w:t>
            </w:r>
          </w:p>
        </w:tc>
        <w:tc>
          <w:tcPr>
            <w:tcW w:w="1701" w:type="dxa"/>
            <w:tcBorders>
              <w:top w:val="nil"/>
              <w:left w:val="nil"/>
              <w:bottom w:val="single" w:sz="4" w:space="0" w:color="auto"/>
              <w:right w:val="single" w:sz="4" w:space="0" w:color="auto"/>
            </w:tcBorders>
            <w:shd w:val="clear" w:color="auto" w:fill="C6EFCE"/>
            <w:noWrap/>
          </w:tcPr>
          <w:p w14:paraId="235F5F9D" w14:textId="77777777" w:rsidR="00480F1C" w:rsidRDefault="00480F1C">
            <w:pPr>
              <w:spacing w:after="0" w:line="240" w:lineRule="auto"/>
              <w:rPr>
                <w:rFonts w:ascii="Times New Roman" w:eastAsia="Times New Roman" w:hAnsi="Times New Roman" w:cs="Times New Roman"/>
                <w:noProof/>
                <w:sz w:val="18"/>
              </w:rPr>
            </w:pPr>
          </w:p>
        </w:tc>
        <w:tc>
          <w:tcPr>
            <w:tcW w:w="992" w:type="dxa"/>
            <w:tcBorders>
              <w:top w:val="nil"/>
              <w:left w:val="nil"/>
              <w:bottom w:val="single" w:sz="4" w:space="0" w:color="auto"/>
              <w:right w:val="single" w:sz="4" w:space="0" w:color="auto"/>
            </w:tcBorders>
            <w:shd w:val="clear" w:color="auto" w:fill="C6EFCE"/>
            <w:noWrap/>
          </w:tcPr>
          <w:p w14:paraId="1CE3D8F0" w14:textId="77777777" w:rsidR="00480F1C" w:rsidRDefault="00A201F6">
            <w:pPr>
              <w:pStyle w:val="P68B1DB1-Normal25"/>
              <w:spacing w:after="0" w:line="240" w:lineRule="auto"/>
              <w:rPr>
                <w:rFonts w:eastAsia="Times New Roman" w:cs="Times New Roman"/>
                <w:noProof/>
              </w:rPr>
            </w:pPr>
            <w:r>
              <w:rPr>
                <w:noProof/>
              </w:rPr>
              <w:t>Aantal</w:t>
            </w:r>
          </w:p>
        </w:tc>
        <w:tc>
          <w:tcPr>
            <w:tcW w:w="992" w:type="dxa"/>
            <w:tcBorders>
              <w:top w:val="nil"/>
              <w:left w:val="nil"/>
              <w:bottom w:val="single" w:sz="4" w:space="0" w:color="auto"/>
              <w:right w:val="single" w:sz="4" w:space="0" w:color="auto"/>
            </w:tcBorders>
            <w:shd w:val="clear" w:color="auto" w:fill="C6EFCE"/>
            <w:noWrap/>
          </w:tcPr>
          <w:p w14:paraId="6C062CED" w14:textId="77777777" w:rsidR="00480F1C" w:rsidRDefault="00A201F6">
            <w:pPr>
              <w:pStyle w:val="P68B1DB1-Normal25"/>
              <w:spacing w:after="0" w:line="240" w:lineRule="auto"/>
              <w:jc w:val="center"/>
              <w:rPr>
                <w:rFonts w:eastAsia="Times New Roman" w:cs="Times New Roman"/>
                <w:noProof/>
              </w:rPr>
            </w:pPr>
            <w:r>
              <w:rPr>
                <w:noProof/>
              </w:rPr>
              <w:t>0</w:t>
            </w:r>
          </w:p>
        </w:tc>
        <w:tc>
          <w:tcPr>
            <w:tcW w:w="709" w:type="dxa"/>
            <w:tcBorders>
              <w:top w:val="nil"/>
              <w:left w:val="nil"/>
              <w:bottom w:val="single" w:sz="4" w:space="0" w:color="auto"/>
              <w:right w:val="single" w:sz="4" w:space="0" w:color="auto"/>
            </w:tcBorders>
            <w:shd w:val="clear" w:color="auto" w:fill="C6EFCE"/>
            <w:noWrap/>
          </w:tcPr>
          <w:p w14:paraId="43F673B6" w14:textId="77777777" w:rsidR="00480F1C" w:rsidRDefault="00A201F6">
            <w:pPr>
              <w:pStyle w:val="P68B1DB1-Normal25"/>
              <w:spacing w:after="0" w:line="240" w:lineRule="auto"/>
              <w:jc w:val="center"/>
              <w:rPr>
                <w:rFonts w:eastAsia="Times New Roman" w:cs="Times New Roman"/>
                <w:noProof/>
              </w:rPr>
            </w:pPr>
            <w:r>
              <w:rPr>
                <w:noProof/>
              </w:rPr>
              <w:t>70</w:t>
            </w:r>
          </w:p>
        </w:tc>
        <w:tc>
          <w:tcPr>
            <w:tcW w:w="921" w:type="dxa"/>
            <w:tcBorders>
              <w:top w:val="nil"/>
              <w:left w:val="nil"/>
              <w:bottom w:val="single" w:sz="4" w:space="0" w:color="auto"/>
              <w:right w:val="single" w:sz="4" w:space="0" w:color="auto"/>
            </w:tcBorders>
            <w:shd w:val="clear" w:color="auto" w:fill="C6EFCE"/>
            <w:noWrap/>
          </w:tcPr>
          <w:p w14:paraId="60C1F172" w14:textId="77777777" w:rsidR="00480F1C" w:rsidRDefault="00A201F6">
            <w:pPr>
              <w:pStyle w:val="P68B1DB1-Normal25"/>
              <w:spacing w:after="0" w:line="240" w:lineRule="auto"/>
              <w:jc w:val="center"/>
              <w:rPr>
                <w:rFonts w:eastAsia="Times New Roman" w:cs="Times New Roman"/>
                <w:noProof/>
              </w:rPr>
            </w:pPr>
            <w:r>
              <w:rPr>
                <w:noProof/>
              </w:rPr>
              <w:t>KWARTAAL 4</w:t>
            </w:r>
          </w:p>
        </w:tc>
        <w:tc>
          <w:tcPr>
            <w:tcW w:w="922" w:type="dxa"/>
            <w:tcBorders>
              <w:top w:val="nil"/>
              <w:left w:val="nil"/>
              <w:bottom w:val="single" w:sz="4" w:space="0" w:color="auto"/>
              <w:right w:val="single" w:sz="4" w:space="0" w:color="auto"/>
            </w:tcBorders>
            <w:shd w:val="clear" w:color="auto" w:fill="C6EFCE"/>
            <w:noWrap/>
          </w:tcPr>
          <w:p w14:paraId="0B588493" w14:textId="77777777" w:rsidR="00480F1C" w:rsidRDefault="00A201F6">
            <w:pPr>
              <w:pStyle w:val="P68B1DB1-Normal25"/>
              <w:spacing w:after="0" w:line="240" w:lineRule="auto"/>
              <w:jc w:val="center"/>
              <w:rPr>
                <w:rFonts w:eastAsia="Times New Roman" w:cs="Times New Roman"/>
                <w:noProof/>
              </w:rPr>
            </w:pPr>
            <w:r>
              <w:rPr>
                <w:noProof/>
              </w:rPr>
              <w:t>2024</w:t>
            </w:r>
          </w:p>
        </w:tc>
        <w:tc>
          <w:tcPr>
            <w:tcW w:w="3690" w:type="dxa"/>
            <w:tcBorders>
              <w:top w:val="nil"/>
              <w:left w:val="nil"/>
              <w:bottom w:val="single" w:sz="4" w:space="0" w:color="auto"/>
              <w:right w:val="single" w:sz="4" w:space="0" w:color="auto"/>
            </w:tcBorders>
            <w:shd w:val="clear" w:color="auto" w:fill="C6EFCE"/>
            <w:noWrap/>
          </w:tcPr>
          <w:p w14:paraId="5DE2ACEE" w14:textId="77777777" w:rsidR="00480F1C" w:rsidRDefault="00A201F6">
            <w:pPr>
              <w:pStyle w:val="P68B1DB1-Normal25"/>
              <w:spacing w:after="0" w:line="240" w:lineRule="auto"/>
              <w:rPr>
                <w:rFonts w:eastAsia="Times New Roman" w:cs="Times New Roman"/>
                <w:noProof/>
              </w:rPr>
            </w:pPr>
            <w:r>
              <w:rPr>
                <w:noProof/>
              </w:rPr>
              <w:t>Aantal kilometers nieuw aangelegde of gemoderniseerde gedeelten van projecten voor elektriciteitstransmissienetwerken (400 kV). De lengte van elk deel wordt slechts eenmaal berekend (ongeacht of het om een enkelvoudige of dubbele lijn gaat).</w:t>
            </w:r>
          </w:p>
        </w:tc>
      </w:tr>
      <w:tr w:rsidR="00480F1C" w14:paraId="76CF75EF" w14:textId="77777777">
        <w:trPr>
          <w:trHeight w:val="309"/>
          <w:jc w:val="center"/>
        </w:trPr>
        <w:tc>
          <w:tcPr>
            <w:tcW w:w="846" w:type="dxa"/>
            <w:tcBorders>
              <w:top w:val="nil"/>
              <w:left w:val="single" w:sz="4" w:space="0" w:color="auto"/>
              <w:bottom w:val="single" w:sz="4" w:space="0" w:color="auto"/>
              <w:right w:val="single" w:sz="4" w:space="0" w:color="auto"/>
            </w:tcBorders>
            <w:shd w:val="clear" w:color="auto" w:fill="C6EFCE"/>
            <w:noWrap/>
          </w:tcPr>
          <w:p w14:paraId="13A43761" w14:textId="6C65C122" w:rsidR="00480F1C" w:rsidRDefault="00A201F6">
            <w:pPr>
              <w:pStyle w:val="P68B1DB1-Normal25"/>
              <w:spacing w:after="0" w:line="240" w:lineRule="auto"/>
              <w:jc w:val="center"/>
              <w:rPr>
                <w:rFonts w:eastAsia="Times New Roman" w:cs="Times New Roman"/>
                <w:noProof/>
              </w:rPr>
            </w:pPr>
            <w:r>
              <w:rPr>
                <w:noProof/>
              </w:rPr>
              <w:t>G16G</w:t>
            </w:r>
          </w:p>
        </w:tc>
        <w:tc>
          <w:tcPr>
            <w:tcW w:w="1559" w:type="dxa"/>
            <w:tcBorders>
              <w:top w:val="nil"/>
              <w:left w:val="nil"/>
              <w:bottom w:val="single" w:sz="4" w:space="0" w:color="auto"/>
              <w:right w:val="single" w:sz="4" w:space="0" w:color="auto"/>
            </w:tcBorders>
            <w:shd w:val="clear" w:color="auto" w:fill="C6EFCE"/>
            <w:noWrap/>
          </w:tcPr>
          <w:p w14:paraId="1DED48BA" w14:textId="757267F4" w:rsidR="00480F1C" w:rsidRDefault="00A201F6">
            <w:pPr>
              <w:pStyle w:val="P68B1DB1-Normal25"/>
              <w:spacing w:after="0" w:line="240" w:lineRule="auto"/>
              <w:rPr>
                <w:rFonts w:eastAsia="Times New Roman" w:cs="Times New Roman"/>
                <w:noProof/>
              </w:rPr>
            </w:pPr>
            <w:r>
              <w:rPr>
                <w:noProof/>
              </w:rPr>
              <w:t>G1.2.3 Ontwikkeling van transmissienetwerken, slimme elektriciteitsinfrastructuur</w:t>
            </w:r>
          </w:p>
        </w:tc>
        <w:tc>
          <w:tcPr>
            <w:tcW w:w="992" w:type="dxa"/>
            <w:tcBorders>
              <w:top w:val="nil"/>
              <w:left w:val="nil"/>
              <w:bottom w:val="single" w:sz="4" w:space="0" w:color="auto"/>
              <w:right w:val="single" w:sz="4" w:space="0" w:color="auto"/>
            </w:tcBorders>
            <w:shd w:val="clear" w:color="auto" w:fill="C6EFCE"/>
            <w:noWrap/>
          </w:tcPr>
          <w:p w14:paraId="330BBBCC" w14:textId="77777777" w:rsidR="00480F1C" w:rsidRDefault="00A201F6">
            <w:pPr>
              <w:pStyle w:val="P68B1DB1-Normal25"/>
              <w:spacing w:after="0" w:line="240" w:lineRule="auto"/>
              <w:rPr>
                <w:rFonts w:eastAsia="Times New Roman" w:cs="Times New Roman"/>
                <w:noProof/>
              </w:rPr>
            </w:pPr>
            <w:r>
              <w:rPr>
                <w:noProof/>
              </w:rPr>
              <w:t>Doel</w:t>
            </w:r>
          </w:p>
        </w:tc>
        <w:tc>
          <w:tcPr>
            <w:tcW w:w="1985" w:type="dxa"/>
            <w:tcBorders>
              <w:top w:val="nil"/>
              <w:left w:val="nil"/>
              <w:bottom w:val="single" w:sz="4" w:space="0" w:color="auto"/>
              <w:right w:val="single" w:sz="4" w:space="0" w:color="auto"/>
            </w:tcBorders>
            <w:shd w:val="clear" w:color="auto" w:fill="C6EFCE"/>
            <w:noWrap/>
          </w:tcPr>
          <w:p w14:paraId="64304BBC" w14:textId="175D0C67" w:rsidR="00480F1C" w:rsidRDefault="00A201F6">
            <w:pPr>
              <w:pStyle w:val="P68B1DB1-Normal25"/>
              <w:spacing w:after="0" w:line="240" w:lineRule="auto"/>
              <w:rPr>
                <w:rFonts w:eastAsia="Times New Roman" w:cs="Times New Roman"/>
                <w:noProof/>
              </w:rPr>
            </w:pPr>
            <w:r>
              <w:rPr>
                <w:noProof/>
              </w:rPr>
              <w:t xml:space="preserve">Lengte van het nieuwe </w:t>
            </w:r>
          </w:p>
          <w:p w14:paraId="2BD66834" w14:textId="77777777" w:rsidR="00480F1C" w:rsidRDefault="00A201F6">
            <w:pPr>
              <w:pStyle w:val="P68B1DB1-Normal25"/>
              <w:spacing w:after="0" w:line="240" w:lineRule="auto"/>
              <w:rPr>
                <w:rFonts w:eastAsia="Times New Roman" w:cs="Times New Roman"/>
                <w:noProof/>
              </w:rPr>
            </w:pPr>
            <w:r>
              <w:rPr>
                <w:noProof/>
              </w:rPr>
              <w:t xml:space="preserve">gebouwd of gemoderniseerd </w:t>
            </w:r>
          </w:p>
          <w:p w14:paraId="5B6864DC" w14:textId="77777777" w:rsidR="00480F1C" w:rsidRDefault="00A201F6">
            <w:pPr>
              <w:pStyle w:val="P68B1DB1-Normal25"/>
              <w:spacing w:after="0" w:line="240" w:lineRule="auto"/>
              <w:rPr>
                <w:rFonts w:eastAsia="Times New Roman" w:cs="Times New Roman"/>
                <w:noProof/>
              </w:rPr>
            </w:pPr>
            <w:r>
              <w:rPr>
                <w:noProof/>
              </w:rPr>
              <w:t xml:space="preserve">elektriciteitsverbindingen </w:t>
            </w:r>
          </w:p>
          <w:p w14:paraId="4EF2412F" w14:textId="77777777" w:rsidR="00480F1C" w:rsidRDefault="00A201F6">
            <w:pPr>
              <w:pStyle w:val="P68B1DB1-Normal25"/>
              <w:spacing w:after="0" w:line="240" w:lineRule="auto"/>
              <w:rPr>
                <w:rFonts w:eastAsia="Times New Roman" w:cs="Times New Roman"/>
                <w:noProof/>
              </w:rPr>
            </w:pPr>
            <w:r>
              <w:rPr>
                <w:noProof/>
              </w:rPr>
              <w:t>netwerk (km)</w:t>
            </w:r>
          </w:p>
        </w:tc>
        <w:tc>
          <w:tcPr>
            <w:tcW w:w="1701" w:type="dxa"/>
            <w:tcBorders>
              <w:top w:val="nil"/>
              <w:left w:val="nil"/>
              <w:bottom w:val="single" w:sz="4" w:space="0" w:color="auto"/>
              <w:right w:val="single" w:sz="4" w:space="0" w:color="auto"/>
            </w:tcBorders>
            <w:shd w:val="clear" w:color="auto" w:fill="C6EFCE"/>
            <w:noWrap/>
          </w:tcPr>
          <w:p w14:paraId="3EBB8C2E" w14:textId="77777777" w:rsidR="00480F1C" w:rsidRDefault="00480F1C">
            <w:pPr>
              <w:spacing w:after="0" w:line="240" w:lineRule="auto"/>
              <w:rPr>
                <w:rFonts w:ascii="Times New Roman" w:eastAsia="Times New Roman" w:hAnsi="Times New Roman" w:cs="Times New Roman"/>
                <w:noProof/>
                <w:sz w:val="18"/>
              </w:rPr>
            </w:pPr>
          </w:p>
        </w:tc>
        <w:tc>
          <w:tcPr>
            <w:tcW w:w="992" w:type="dxa"/>
            <w:tcBorders>
              <w:top w:val="nil"/>
              <w:left w:val="nil"/>
              <w:bottom w:val="single" w:sz="4" w:space="0" w:color="auto"/>
              <w:right w:val="single" w:sz="4" w:space="0" w:color="auto"/>
            </w:tcBorders>
            <w:shd w:val="clear" w:color="auto" w:fill="C6EFCE"/>
            <w:noWrap/>
          </w:tcPr>
          <w:p w14:paraId="3BFD8DF6" w14:textId="77777777" w:rsidR="00480F1C" w:rsidRDefault="00A201F6">
            <w:pPr>
              <w:pStyle w:val="P68B1DB1-Normal25"/>
              <w:spacing w:after="0" w:line="240" w:lineRule="auto"/>
              <w:rPr>
                <w:rFonts w:eastAsia="Times New Roman" w:cs="Times New Roman"/>
                <w:noProof/>
              </w:rPr>
            </w:pPr>
            <w:r>
              <w:rPr>
                <w:noProof/>
              </w:rPr>
              <w:t>Aantal</w:t>
            </w:r>
          </w:p>
        </w:tc>
        <w:tc>
          <w:tcPr>
            <w:tcW w:w="992" w:type="dxa"/>
            <w:tcBorders>
              <w:top w:val="nil"/>
              <w:left w:val="nil"/>
              <w:bottom w:val="single" w:sz="4" w:space="0" w:color="auto"/>
              <w:right w:val="single" w:sz="4" w:space="0" w:color="auto"/>
            </w:tcBorders>
            <w:shd w:val="clear" w:color="auto" w:fill="C6EFCE"/>
            <w:noWrap/>
          </w:tcPr>
          <w:p w14:paraId="093BFAA0" w14:textId="77777777" w:rsidR="00480F1C" w:rsidRDefault="00A201F6">
            <w:pPr>
              <w:pStyle w:val="P68B1DB1-Normal25"/>
              <w:spacing w:after="0" w:line="240" w:lineRule="auto"/>
              <w:jc w:val="center"/>
              <w:rPr>
                <w:rFonts w:eastAsia="Times New Roman" w:cs="Times New Roman"/>
                <w:noProof/>
              </w:rPr>
            </w:pPr>
            <w:r>
              <w:rPr>
                <w:noProof/>
              </w:rPr>
              <w:t>70</w:t>
            </w:r>
          </w:p>
        </w:tc>
        <w:tc>
          <w:tcPr>
            <w:tcW w:w="709" w:type="dxa"/>
            <w:tcBorders>
              <w:top w:val="nil"/>
              <w:left w:val="nil"/>
              <w:bottom w:val="single" w:sz="4" w:space="0" w:color="auto"/>
              <w:right w:val="single" w:sz="4" w:space="0" w:color="auto"/>
            </w:tcBorders>
            <w:shd w:val="clear" w:color="auto" w:fill="C6EFCE"/>
            <w:noWrap/>
          </w:tcPr>
          <w:p w14:paraId="5D0A80F3" w14:textId="77777777" w:rsidR="00480F1C" w:rsidRDefault="00A201F6">
            <w:pPr>
              <w:pStyle w:val="P68B1DB1-Normal25"/>
              <w:spacing w:after="0" w:line="240" w:lineRule="auto"/>
              <w:jc w:val="center"/>
              <w:rPr>
                <w:rFonts w:eastAsia="Times New Roman" w:cs="Times New Roman"/>
                <w:noProof/>
              </w:rPr>
            </w:pPr>
            <w:r>
              <w:rPr>
                <w:noProof/>
              </w:rPr>
              <w:t>190</w:t>
            </w:r>
          </w:p>
        </w:tc>
        <w:tc>
          <w:tcPr>
            <w:tcW w:w="921" w:type="dxa"/>
            <w:tcBorders>
              <w:top w:val="nil"/>
              <w:left w:val="nil"/>
              <w:bottom w:val="single" w:sz="4" w:space="0" w:color="auto"/>
              <w:right w:val="single" w:sz="4" w:space="0" w:color="auto"/>
            </w:tcBorders>
            <w:shd w:val="clear" w:color="auto" w:fill="C6EFCE"/>
            <w:noWrap/>
          </w:tcPr>
          <w:p w14:paraId="7701C649" w14:textId="77777777" w:rsidR="00480F1C" w:rsidRDefault="00A201F6">
            <w:pPr>
              <w:pStyle w:val="P68B1DB1-Normal25"/>
              <w:spacing w:after="0" w:line="240" w:lineRule="auto"/>
              <w:jc w:val="center"/>
              <w:rPr>
                <w:rFonts w:eastAsia="Times New Roman" w:cs="Times New Roman"/>
                <w:noProof/>
              </w:rPr>
            </w:pPr>
            <w:r>
              <w:rPr>
                <w:noProof/>
              </w:rPr>
              <w:t>KWARTAAL 4</w:t>
            </w:r>
          </w:p>
        </w:tc>
        <w:tc>
          <w:tcPr>
            <w:tcW w:w="922" w:type="dxa"/>
            <w:tcBorders>
              <w:top w:val="nil"/>
              <w:left w:val="nil"/>
              <w:bottom w:val="single" w:sz="4" w:space="0" w:color="auto"/>
              <w:right w:val="single" w:sz="4" w:space="0" w:color="auto"/>
            </w:tcBorders>
            <w:shd w:val="clear" w:color="auto" w:fill="C6EFCE"/>
            <w:noWrap/>
          </w:tcPr>
          <w:p w14:paraId="1A20E0D3" w14:textId="77777777" w:rsidR="00480F1C" w:rsidRDefault="00A201F6">
            <w:pPr>
              <w:pStyle w:val="P68B1DB1-Normal25"/>
              <w:spacing w:after="0" w:line="240" w:lineRule="auto"/>
              <w:jc w:val="center"/>
              <w:rPr>
                <w:rFonts w:eastAsia="Times New Roman" w:cs="Times New Roman"/>
                <w:noProof/>
              </w:rPr>
            </w:pPr>
            <w:r>
              <w:rPr>
                <w:noProof/>
              </w:rPr>
              <w:t>2025</w:t>
            </w:r>
          </w:p>
        </w:tc>
        <w:tc>
          <w:tcPr>
            <w:tcW w:w="3690" w:type="dxa"/>
            <w:tcBorders>
              <w:top w:val="nil"/>
              <w:left w:val="nil"/>
              <w:bottom w:val="single" w:sz="4" w:space="0" w:color="auto"/>
              <w:right w:val="single" w:sz="4" w:space="0" w:color="auto"/>
            </w:tcBorders>
            <w:shd w:val="clear" w:color="auto" w:fill="C6EFCE"/>
            <w:noWrap/>
          </w:tcPr>
          <w:p w14:paraId="7A5DAD54" w14:textId="77777777" w:rsidR="00480F1C" w:rsidRDefault="00A201F6">
            <w:pPr>
              <w:pStyle w:val="P68B1DB1-Normal25"/>
              <w:spacing w:after="0" w:line="240" w:lineRule="auto"/>
              <w:rPr>
                <w:rFonts w:eastAsia="Times New Roman" w:cs="Times New Roman"/>
                <w:noProof/>
              </w:rPr>
            </w:pPr>
            <w:r>
              <w:rPr>
                <w:noProof/>
              </w:rPr>
              <w:t>Aantal kilometers nieuw aangelegde of gemoderniseerde gedeelten van projecten voor elektriciteitstransmissienetwerken (400 kV). De lengte van elk deel wordt slechts eenmaal berekend (ongeacht of het om een enkelvoudige of dubbele lijn gaat).</w:t>
            </w:r>
          </w:p>
        </w:tc>
      </w:tr>
      <w:tr w:rsidR="00480F1C" w14:paraId="5D06295D" w14:textId="77777777">
        <w:trPr>
          <w:trHeight w:val="309"/>
          <w:jc w:val="center"/>
        </w:trPr>
        <w:tc>
          <w:tcPr>
            <w:tcW w:w="846" w:type="dxa"/>
            <w:tcBorders>
              <w:top w:val="nil"/>
              <w:left w:val="single" w:sz="4" w:space="0" w:color="auto"/>
              <w:bottom w:val="single" w:sz="4" w:space="0" w:color="auto"/>
              <w:right w:val="single" w:sz="4" w:space="0" w:color="auto"/>
            </w:tcBorders>
            <w:shd w:val="clear" w:color="auto" w:fill="C6EFCE"/>
            <w:noWrap/>
          </w:tcPr>
          <w:p w14:paraId="0FEC4CEF" w14:textId="16AF3422" w:rsidR="00480F1C" w:rsidRDefault="00A201F6">
            <w:pPr>
              <w:pStyle w:val="P68B1DB1-Normal25"/>
              <w:spacing w:after="0" w:line="240" w:lineRule="auto"/>
              <w:jc w:val="center"/>
              <w:rPr>
                <w:rFonts w:eastAsia="Times New Roman" w:cs="Times New Roman"/>
                <w:noProof/>
              </w:rPr>
            </w:pPr>
            <w:r>
              <w:rPr>
                <w:noProof/>
              </w:rPr>
              <w:t>G17G</w:t>
            </w:r>
          </w:p>
        </w:tc>
        <w:tc>
          <w:tcPr>
            <w:tcW w:w="1559" w:type="dxa"/>
            <w:tcBorders>
              <w:top w:val="nil"/>
              <w:left w:val="nil"/>
              <w:bottom w:val="single" w:sz="4" w:space="0" w:color="auto"/>
              <w:right w:val="single" w:sz="4" w:space="0" w:color="auto"/>
            </w:tcBorders>
            <w:shd w:val="clear" w:color="auto" w:fill="C6EFCE"/>
            <w:noWrap/>
          </w:tcPr>
          <w:p w14:paraId="77503115" w14:textId="78765273" w:rsidR="00480F1C" w:rsidRDefault="00A201F6">
            <w:pPr>
              <w:pStyle w:val="P68B1DB1-Normal25"/>
              <w:spacing w:after="0" w:line="240" w:lineRule="auto"/>
              <w:rPr>
                <w:rFonts w:eastAsia="Times New Roman" w:cs="Times New Roman"/>
                <w:noProof/>
              </w:rPr>
            </w:pPr>
            <w:r>
              <w:rPr>
                <w:noProof/>
              </w:rPr>
              <w:t>G1.2.3 Ontwikkeling van transmissienetwerken, slimme elektriciteitsinfrastructuur</w:t>
            </w:r>
          </w:p>
        </w:tc>
        <w:tc>
          <w:tcPr>
            <w:tcW w:w="992" w:type="dxa"/>
            <w:tcBorders>
              <w:top w:val="nil"/>
              <w:left w:val="nil"/>
              <w:bottom w:val="single" w:sz="4" w:space="0" w:color="auto"/>
              <w:right w:val="single" w:sz="4" w:space="0" w:color="auto"/>
            </w:tcBorders>
            <w:shd w:val="clear" w:color="auto" w:fill="C6EFCE"/>
            <w:noWrap/>
          </w:tcPr>
          <w:p w14:paraId="5A77DEAD" w14:textId="77777777" w:rsidR="00480F1C" w:rsidRDefault="00A201F6">
            <w:pPr>
              <w:pStyle w:val="P68B1DB1-Normal25"/>
              <w:spacing w:after="0" w:line="240" w:lineRule="auto"/>
              <w:rPr>
                <w:rFonts w:eastAsia="Times New Roman" w:cs="Times New Roman"/>
                <w:noProof/>
              </w:rPr>
            </w:pPr>
            <w:r>
              <w:rPr>
                <w:noProof/>
              </w:rPr>
              <w:t>Doel</w:t>
            </w:r>
          </w:p>
        </w:tc>
        <w:tc>
          <w:tcPr>
            <w:tcW w:w="1985" w:type="dxa"/>
            <w:tcBorders>
              <w:top w:val="nil"/>
              <w:left w:val="nil"/>
              <w:bottom w:val="single" w:sz="4" w:space="0" w:color="auto"/>
              <w:right w:val="single" w:sz="4" w:space="0" w:color="auto"/>
            </w:tcBorders>
            <w:shd w:val="clear" w:color="auto" w:fill="C6EFCE"/>
            <w:noWrap/>
          </w:tcPr>
          <w:p w14:paraId="43A669FD" w14:textId="67B179A6" w:rsidR="00480F1C" w:rsidRDefault="00A201F6">
            <w:pPr>
              <w:pStyle w:val="P68B1DB1-Normal25"/>
              <w:spacing w:after="0" w:line="240" w:lineRule="auto"/>
              <w:rPr>
                <w:rFonts w:eastAsia="Times New Roman" w:cs="Times New Roman"/>
                <w:noProof/>
              </w:rPr>
            </w:pPr>
            <w:r>
              <w:rPr>
                <w:noProof/>
              </w:rPr>
              <w:t xml:space="preserve">Lengte van het nieuwe </w:t>
            </w:r>
          </w:p>
          <w:p w14:paraId="623CF243" w14:textId="77777777" w:rsidR="00480F1C" w:rsidRDefault="00A201F6">
            <w:pPr>
              <w:pStyle w:val="P68B1DB1-Normal25"/>
              <w:spacing w:after="0" w:line="240" w:lineRule="auto"/>
              <w:rPr>
                <w:rFonts w:eastAsia="Times New Roman" w:cs="Times New Roman"/>
                <w:noProof/>
              </w:rPr>
            </w:pPr>
            <w:r>
              <w:rPr>
                <w:noProof/>
              </w:rPr>
              <w:t xml:space="preserve">gebouwd of gemoderniseerd </w:t>
            </w:r>
          </w:p>
          <w:p w14:paraId="5726EEFF" w14:textId="77777777" w:rsidR="00480F1C" w:rsidRDefault="00A201F6">
            <w:pPr>
              <w:pStyle w:val="P68B1DB1-Normal25"/>
              <w:spacing w:after="0" w:line="240" w:lineRule="auto"/>
              <w:rPr>
                <w:rFonts w:eastAsia="Times New Roman" w:cs="Times New Roman"/>
                <w:noProof/>
              </w:rPr>
            </w:pPr>
            <w:r>
              <w:rPr>
                <w:noProof/>
              </w:rPr>
              <w:t xml:space="preserve">elektriciteitsverbindingen </w:t>
            </w:r>
          </w:p>
          <w:p w14:paraId="0BAB93BE" w14:textId="77777777" w:rsidR="00480F1C" w:rsidRDefault="00A201F6">
            <w:pPr>
              <w:pStyle w:val="P68B1DB1-Normal25"/>
              <w:spacing w:after="0" w:line="240" w:lineRule="auto"/>
              <w:rPr>
                <w:rFonts w:eastAsia="Times New Roman" w:cs="Times New Roman"/>
                <w:noProof/>
              </w:rPr>
            </w:pPr>
            <w:r>
              <w:rPr>
                <w:noProof/>
              </w:rPr>
              <w:t>netwerk (km)</w:t>
            </w:r>
          </w:p>
        </w:tc>
        <w:tc>
          <w:tcPr>
            <w:tcW w:w="1701" w:type="dxa"/>
            <w:tcBorders>
              <w:top w:val="nil"/>
              <w:left w:val="nil"/>
              <w:bottom w:val="single" w:sz="4" w:space="0" w:color="auto"/>
              <w:right w:val="single" w:sz="4" w:space="0" w:color="auto"/>
            </w:tcBorders>
            <w:shd w:val="clear" w:color="auto" w:fill="C6EFCE"/>
            <w:noWrap/>
          </w:tcPr>
          <w:p w14:paraId="504F911A" w14:textId="77777777" w:rsidR="00480F1C" w:rsidRDefault="00480F1C">
            <w:pPr>
              <w:spacing w:after="0" w:line="240" w:lineRule="auto"/>
              <w:rPr>
                <w:rFonts w:ascii="Times New Roman" w:eastAsia="Times New Roman" w:hAnsi="Times New Roman" w:cs="Times New Roman"/>
                <w:noProof/>
                <w:sz w:val="18"/>
              </w:rPr>
            </w:pPr>
          </w:p>
        </w:tc>
        <w:tc>
          <w:tcPr>
            <w:tcW w:w="992" w:type="dxa"/>
            <w:tcBorders>
              <w:top w:val="nil"/>
              <w:left w:val="nil"/>
              <w:bottom w:val="single" w:sz="4" w:space="0" w:color="auto"/>
              <w:right w:val="single" w:sz="4" w:space="0" w:color="auto"/>
            </w:tcBorders>
            <w:shd w:val="clear" w:color="auto" w:fill="C6EFCE"/>
            <w:noWrap/>
          </w:tcPr>
          <w:p w14:paraId="177E6B50" w14:textId="77777777" w:rsidR="00480F1C" w:rsidRDefault="00A201F6">
            <w:pPr>
              <w:pStyle w:val="P68B1DB1-Normal25"/>
              <w:spacing w:after="0" w:line="240" w:lineRule="auto"/>
              <w:rPr>
                <w:rFonts w:eastAsia="Times New Roman" w:cs="Times New Roman"/>
                <w:noProof/>
              </w:rPr>
            </w:pPr>
            <w:r>
              <w:rPr>
                <w:noProof/>
              </w:rPr>
              <w:t>Aantal</w:t>
            </w:r>
          </w:p>
        </w:tc>
        <w:tc>
          <w:tcPr>
            <w:tcW w:w="992" w:type="dxa"/>
            <w:tcBorders>
              <w:top w:val="nil"/>
              <w:left w:val="nil"/>
              <w:bottom w:val="single" w:sz="4" w:space="0" w:color="auto"/>
              <w:right w:val="single" w:sz="4" w:space="0" w:color="auto"/>
            </w:tcBorders>
            <w:shd w:val="clear" w:color="auto" w:fill="C6EFCE"/>
            <w:noWrap/>
          </w:tcPr>
          <w:p w14:paraId="67E79FDF" w14:textId="77777777" w:rsidR="00480F1C" w:rsidRDefault="00A201F6">
            <w:pPr>
              <w:pStyle w:val="P68B1DB1-Normal25"/>
              <w:spacing w:after="0" w:line="240" w:lineRule="auto"/>
              <w:jc w:val="center"/>
              <w:rPr>
                <w:rFonts w:eastAsia="Times New Roman" w:cs="Times New Roman"/>
                <w:noProof/>
              </w:rPr>
            </w:pPr>
            <w:r>
              <w:rPr>
                <w:noProof/>
              </w:rPr>
              <w:t>190</w:t>
            </w:r>
          </w:p>
        </w:tc>
        <w:tc>
          <w:tcPr>
            <w:tcW w:w="709" w:type="dxa"/>
            <w:tcBorders>
              <w:top w:val="nil"/>
              <w:left w:val="nil"/>
              <w:bottom w:val="single" w:sz="4" w:space="0" w:color="auto"/>
              <w:right w:val="single" w:sz="4" w:space="0" w:color="auto"/>
            </w:tcBorders>
            <w:shd w:val="clear" w:color="auto" w:fill="C6EFCE"/>
            <w:noWrap/>
          </w:tcPr>
          <w:p w14:paraId="3BED169D" w14:textId="77777777" w:rsidR="00480F1C" w:rsidRDefault="00A201F6">
            <w:pPr>
              <w:pStyle w:val="P68B1DB1-Normal25"/>
              <w:spacing w:after="0" w:line="240" w:lineRule="auto"/>
              <w:jc w:val="center"/>
              <w:rPr>
                <w:rFonts w:eastAsia="Times New Roman" w:cs="Times New Roman"/>
                <w:noProof/>
              </w:rPr>
            </w:pPr>
            <w:r>
              <w:rPr>
                <w:noProof/>
              </w:rPr>
              <w:t>320</w:t>
            </w:r>
          </w:p>
        </w:tc>
        <w:tc>
          <w:tcPr>
            <w:tcW w:w="921" w:type="dxa"/>
            <w:tcBorders>
              <w:top w:val="nil"/>
              <w:left w:val="nil"/>
              <w:bottom w:val="single" w:sz="4" w:space="0" w:color="auto"/>
              <w:right w:val="single" w:sz="4" w:space="0" w:color="auto"/>
            </w:tcBorders>
            <w:shd w:val="clear" w:color="auto" w:fill="C6EFCE"/>
            <w:noWrap/>
          </w:tcPr>
          <w:p w14:paraId="11894E65" w14:textId="77777777" w:rsidR="00480F1C" w:rsidRDefault="00A201F6">
            <w:pPr>
              <w:pStyle w:val="P68B1DB1-Normal25"/>
              <w:spacing w:after="0" w:line="240" w:lineRule="auto"/>
              <w:jc w:val="center"/>
              <w:rPr>
                <w:rFonts w:eastAsia="Times New Roman" w:cs="Times New Roman"/>
                <w:noProof/>
              </w:rPr>
            </w:pPr>
            <w:r>
              <w:rPr>
                <w:noProof/>
              </w:rPr>
              <w:t>KWARTAAL 2</w:t>
            </w:r>
          </w:p>
        </w:tc>
        <w:tc>
          <w:tcPr>
            <w:tcW w:w="922" w:type="dxa"/>
            <w:tcBorders>
              <w:top w:val="nil"/>
              <w:left w:val="nil"/>
              <w:bottom w:val="single" w:sz="4" w:space="0" w:color="auto"/>
              <w:right w:val="single" w:sz="4" w:space="0" w:color="auto"/>
            </w:tcBorders>
            <w:shd w:val="clear" w:color="auto" w:fill="C6EFCE"/>
            <w:noWrap/>
          </w:tcPr>
          <w:p w14:paraId="5B91257F" w14:textId="77777777" w:rsidR="00480F1C" w:rsidRDefault="00A201F6">
            <w:pPr>
              <w:pStyle w:val="P68B1DB1-Normal25"/>
              <w:spacing w:after="0" w:line="240" w:lineRule="auto"/>
              <w:jc w:val="center"/>
              <w:rPr>
                <w:rFonts w:eastAsia="Times New Roman" w:cs="Times New Roman"/>
                <w:noProof/>
              </w:rPr>
            </w:pPr>
            <w:r>
              <w:rPr>
                <w:noProof/>
              </w:rPr>
              <w:t>2026</w:t>
            </w:r>
          </w:p>
        </w:tc>
        <w:tc>
          <w:tcPr>
            <w:tcW w:w="3690" w:type="dxa"/>
            <w:tcBorders>
              <w:top w:val="nil"/>
              <w:left w:val="nil"/>
              <w:bottom w:val="single" w:sz="4" w:space="0" w:color="auto"/>
              <w:right w:val="single" w:sz="4" w:space="0" w:color="auto"/>
            </w:tcBorders>
            <w:shd w:val="clear" w:color="auto" w:fill="C6EFCE"/>
            <w:noWrap/>
          </w:tcPr>
          <w:p w14:paraId="6A586ACD" w14:textId="77777777" w:rsidR="00480F1C" w:rsidRDefault="00A201F6">
            <w:pPr>
              <w:pStyle w:val="P68B1DB1-Normal25"/>
              <w:spacing w:after="0" w:line="240" w:lineRule="auto"/>
              <w:rPr>
                <w:rFonts w:eastAsia="Times New Roman" w:cs="Times New Roman"/>
                <w:noProof/>
              </w:rPr>
            </w:pPr>
            <w:r>
              <w:rPr>
                <w:noProof/>
              </w:rPr>
              <w:t>Aantal kilometers nieuw aangelegde of gemoderniseerde gedeelten van projecten voor elektriciteitstransmissienetwerken (400 kV). De lengte van elk deel wordt slechts eenmaal berekend (ongeacht of het om een enkelvoudige of dubbele lijn gaat).</w:t>
            </w:r>
          </w:p>
        </w:tc>
      </w:tr>
      <w:tr w:rsidR="00480F1C" w14:paraId="5A503187" w14:textId="77777777">
        <w:trPr>
          <w:trHeight w:val="309"/>
          <w:jc w:val="center"/>
        </w:trPr>
        <w:tc>
          <w:tcPr>
            <w:tcW w:w="846" w:type="dxa"/>
            <w:tcBorders>
              <w:top w:val="nil"/>
              <w:left w:val="single" w:sz="4" w:space="0" w:color="auto"/>
              <w:bottom w:val="single" w:sz="4" w:space="0" w:color="auto"/>
              <w:right w:val="single" w:sz="4" w:space="0" w:color="auto"/>
            </w:tcBorders>
            <w:shd w:val="clear" w:color="auto" w:fill="C6EFCE"/>
            <w:noWrap/>
          </w:tcPr>
          <w:p w14:paraId="506DCE65" w14:textId="5A6FBCB7" w:rsidR="00480F1C" w:rsidRDefault="00A201F6">
            <w:pPr>
              <w:pStyle w:val="P68B1DB1-Normal25"/>
              <w:spacing w:after="0" w:line="240" w:lineRule="auto"/>
              <w:jc w:val="center"/>
              <w:rPr>
                <w:rFonts w:eastAsia="Times New Roman" w:cs="Times New Roman"/>
                <w:noProof/>
              </w:rPr>
            </w:pPr>
            <w:r>
              <w:rPr>
                <w:noProof/>
              </w:rPr>
              <w:t>G18G</w:t>
            </w:r>
          </w:p>
        </w:tc>
        <w:tc>
          <w:tcPr>
            <w:tcW w:w="1559" w:type="dxa"/>
            <w:tcBorders>
              <w:top w:val="nil"/>
              <w:left w:val="nil"/>
              <w:bottom w:val="single" w:sz="4" w:space="0" w:color="auto"/>
              <w:right w:val="single" w:sz="4" w:space="0" w:color="auto"/>
            </w:tcBorders>
            <w:shd w:val="clear" w:color="auto" w:fill="C6EFCE"/>
            <w:noWrap/>
          </w:tcPr>
          <w:p w14:paraId="1F93CAF7" w14:textId="0F3B468E" w:rsidR="00480F1C" w:rsidRDefault="00A201F6">
            <w:pPr>
              <w:pStyle w:val="P68B1DB1-Normal25"/>
              <w:spacing w:after="0" w:line="240" w:lineRule="auto"/>
              <w:rPr>
                <w:rFonts w:eastAsia="Times New Roman" w:cs="Times New Roman"/>
                <w:noProof/>
              </w:rPr>
            </w:pPr>
            <w:r>
              <w:rPr>
                <w:noProof/>
              </w:rPr>
              <w:t>G1.2.3 Ontwikkeling van transmissienetwerken, slimme elektriciteitsinfrastructuur</w:t>
            </w:r>
          </w:p>
        </w:tc>
        <w:tc>
          <w:tcPr>
            <w:tcW w:w="992" w:type="dxa"/>
            <w:tcBorders>
              <w:top w:val="nil"/>
              <w:left w:val="nil"/>
              <w:bottom w:val="single" w:sz="4" w:space="0" w:color="auto"/>
              <w:right w:val="single" w:sz="4" w:space="0" w:color="auto"/>
            </w:tcBorders>
            <w:shd w:val="clear" w:color="auto" w:fill="C6EFCE"/>
            <w:noWrap/>
          </w:tcPr>
          <w:p w14:paraId="03DE2A25" w14:textId="77777777" w:rsidR="00480F1C" w:rsidRDefault="00A201F6">
            <w:pPr>
              <w:pStyle w:val="P68B1DB1-Normal25"/>
              <w:spacing w:after="0" w:line="240" w:lineRule="auto"/>
              <w:rPr>
                <w:rFonts w:eastAsia="Times New Roman" w:cs="Times New Roman"/>
                <w:noProof/>
              </w:rPr>
            </w:pPr>
            <w:r>
              <w:rPr>
                <w:noProof/>
              </w:rPr>
              <w:t>Mijlpaal</w:t>
            </w:r>
          </w:p>
        </w:tc>
        <w:tc>
          <w:tcPr>
            <w:tcW w:w="1985" w:type="dxa"/>
            <w:tcBorders>
              <w:top w:val="nil"/>
              <w:left w:val="nil"/>
              <w:bottom w:val="single" w:sz="4" w:space="0" w:color="auto"/>
              <w:right w:val="single" w:sz="4" w:space="0" w:color="auto"/>
            </w:tcBorders>
            <w:shd w:val="clear" w:color="auto" w:fill="C6EFCE"/>
            <w:noWrap/>
          </w:tcPr>
          <w:p w14:paraId="7D037AB2" w14:textId="77777777" w:rsidR="00480F1C" w:rsidRDefault="00A201F6">
            <w:pPr>
              <w:pStyle w:val="P68B1DB1-Normal25"/>
              <w:spacing w:after="0" w:line="240" w:lineRule="auto"/>
              <w:rPr>
                <w:rFonts w:eastAsia="Times New Roman" w:cs="Times New Roman"/>
                <w:noProof/>
              </w:rPr>
            </w:pPr>
            <w:r>
              <w:rPr>
                <w:noProof/>
              </w:rPr>
              <w:t>Subsidieovereenkomsten</w:t>
            </w:r>
          </w:p>
          <w:p w14:paraId="0986F3C8" w14:textId="77777777" w:rsidR="00480F1C" w:rsidRDefault="00A201F6">
            <w:pPr>
              <w:pStyle w:val="P68B1DB1-Normal25"/>
              <w:spacing w:after="0" w:line="240" w:lineRule="auto"/>
              <w:rPr>
                <w:rFonts w:eastAsia="Times New Roman" w:cs="Times New Roman"/>
                <w:noProof/>
              </w:rPr>
            </w:pPr>
            <w:r>
              <w:rPr>
                <w:noProof/>
              </w:rPr>
              <w:t>tussen de transmissiesysteembeheerder (TSB) en de autoriteiten over de tenuitvoerlegging en ondersteuning van transmissienetwerken</w:t>
            </w:r>
          </w:p>
        </w:tc>
        <w:tc>
          <w:tcPr>
            <w:tcW w:w="1701" w:type="dxa"/>
            <w:tcBorders>
              <w:top w:val="nil"/>
              <w:left w:val="nil"/>
              <w:bottom w:val="single" w:sz="4" w:space="0" w:color="auto"/>
              <w:right w:val="single" w:sz="4" w:space="0" w:color="auto"/>
            </w:tcBorders>
            <w:shd w:val="clear" w:color="auto" w:fill="C6EFCE"/>
            <w:noWrap/>
          </w:tcPr>
          <w:p w14:paraId="1942EF8A" w14:textId="77777777" w:rsidR="00480F1C" w:rsidRDefault="00A201F6">
            <w:pPr>
              <w:pStyle w:val="P68B1DB1-Normal25"/>
              <w:spacing w:after="0" w:line="240" w:lineRule="auto"/>
              <w:rPr>
                <w:rFonts w:eastAsia="Times New Roman" w:cs="Times New Roman"/>
                <w:noProof/>
              </w:rPr>
            </w:pPr>
            <w:r>
              <w:rPr>
                <w:noProof/>
              </w:rPr>
              <w:t>Ondertekende subsidieovereenkomsten</w:t>
            </w:r>
          </w:p>
        </w:tc>
        <w:tc>
          <w:tcPr>
            <w:tcW w:w="992" w:type="dxa"/>
            <w:tcBorders>
              <w:top w:val="nil"/>
              <w:left w:val="nil"/>
              <w:bottom w:val="single" w:sz="4" w:space="0" w:color="auto"/>
              <w:right w:val="single" w:sz="4" w:space="0" w:color="auto"/>
            </w:tcBorders>
            <w:shd w:val="clear" w:color="auto" w:fill="C6EFCE"/>
            <w:noWrap/>
          </w:tcPr>
          <w:p w14:paraId="37EC373B" w14:textId="77777777" w:rsidR="00480F1C" w:rsidRDefault="00480F1C">
            <w:pPr>
              <w:spacing w:after="0" w:line="240" w:lineRule="auto"/>
              <w:rPr>
                <w:rFonts w:ascii="Times New Roman" w:eastAsia="Times New Roman" w:hAnsi="Times New Roman" w:cs="Times New Roman"/>
                <w:noProof/>
                <w:sz w:val="18"/>
              </w:rPr>
            </w:pPr>
          </w:p>
        </w:tc>
        <w:tc>
          <w:tcPr>
            <w:tcW w:w="992" w:type="dxa"/>
            <w:tcBorders>
              <w:top w:val="nil"/>
              <w:left w:val="nil"/>
              <w:bottom w:val="single" w:sz="4" w:space="0" w:color="auto"/>
              <w:right w:val="single" w:sz="4" w:space="0" w:color="auto"/>
            </w:tcBorders>
            <w:shd w:val="clear" w:color="auto" w:fill="C6EFCE"/>
            <w:noWrap/>
          </w:tcPr>
          <w:p w14:paraId="7C0FB1D0" w14:textId="77777777" w:rsidR="00480F1C" w:rsidRDefault="00480F1C">
            <w:pPr>
              <w:spacing w:after="0" w:line="240" w:lineRule="auto"/>
              <w:jc w:val="center"/>
              <w:rPr>
                <w:rFonts w:ascii="Times New Roman" w:eastAsia="Times New Roman" w:hAnsi="Times New Roman" w:cs="Times New Roman"/>
                <w:noProof/>
                <w:sz w:val="18"/>
              </w:rPr>
            </w:pPr>
          </w:p>
        </w:tc>
        <w:tc>
          <w:tcPr>
            <w:tcW w:w="709" w:type="dxa"/>
            <w:tcBorders>
              <w:top w:val="nil"/>
              <w:left w:val="nil"/>
              <w:bottom w:val="single" w:sz="4" w:space="0" w:color="auto"/>
              <w:right w:val="single" w:sz="4" w:space="0" w:color="auto"/>
            </w:tcBorders>
            <w:shd w:val="clear" w:color="auto" w:fill="C6EFCE"/>
            <w:noWrap/>
          </w:tcPr>
          <w:p w14:paraId="01258189" w14:textId="77777777" w:rsidR="00480F1C" w:rsidRDefault="00480F1C">
            <w:pPr>
              <w:spacing w:after="0" w:line="240" w:lineRule="auto"/>
              <w:jc w:val="center"/>
              <w:rPr>
                <w:rFonts w:ascii="Times New Roman" w:eastAsia="Times New Roman" w:hAnsi="Times New Roman" w:cs="Times New Roman"/>
                <w:noProof/>
                <w:sz w:val="18"/>
              </w:rPr>
            </w:pPr>
          </w:p>
        </w:tc>
        <w:tc>
          <w:tcPr>
            <w:tcW w:w="921" w:type="dxa"/>
            <w:tcBorders>
              <w:top w:val="nil"/>
              <w:left w:val="nil"/>
              <w:bottom w:val="single" w:sz="4" w:space="0" w:color="auto"/>
              <w:right w:val="single" w:sz="4" w:space="0" w:color="auto"/>
            </w:tcBorders>
            <w:shd w:val="clear" w:color="auto" w:fill="C6EFCE"/>
            <w:noWrap/>
          </w:tcPr>
          <w:p w14:paraId="16E719BF" w14:textId="77777777" w:rsidR="00480F1C" w:rsidRDefault="00A201F6">
            <w:pPr>
              <w:pStyle w:val="P68B1DB1-Normal25"/>
              <w:spacing w:after="0" w:line="240" w:lineRule="auto"/>
              <w:jc w:val="center"/>
              <w:rPr>
                <w:rFonts w:eastAsia="Times New Roman" w:cs="Times New Roman"/>
                <w:noProof/>
              </w:rPr>
            </w:pPr>
            <w:r>
              <w:rPr>
                <w:noProof/>
              </w:rPr>
              <w:t>KWARTAAL 4</w:t>
            </w:r>
          </w:p>
        </w:tc>
        <w:tc>
          <w:tcPr>
            <w:tcW w:w="922" w:type="dxa"/>
            <w:tcBorders>
              <w:top w:val="nil"/>
              <w:left w:val="nil"/>
              <w:bottom w:val="single" w:sz="4" w:space="0" w:color="auto"/>
              <w:right w:val="single" w:sz="4" w:space="0" w:color="auto"/>
            </w:tcBorders>
            <w:shd w:val="clear" w:color="auto" w:fill="C6EFCE"/>
            <w:noWrap/>
          </w:tcPr>
          <w:p w14:paraId="3AD377F9" w14:textId="77777777" w:rsidR="00480F1C" w:rsidRDefault="00A201F6">
            <w:pPr>
              <w:pStyle w:val="P68B1DB1-Normal25"/>
              <w:spacing w:after="0" w:line="240" w:lineRule="auto"/>
              <w:jc w:val="center"/>
              <w:rPr>
                <w:rFonts w:eastAsia="Times New Roman" w:cs="Times New Roman"/>
                <w:noProof/>
              </w:rPr>
            </w:pPr>
            <w:r>
              <w:rPr>
                <w:noProof/>
              </w:rPr>
              <w:t>2024</w:t>
            </w:r>
          </w:p>
        </w:tc>
        <w:tc>
          <w:tcPr>
            <w:tcW w:w="3690" w:type="dxa"/>
            <w:tcBorders>
              <w:top w:val="nil"/>
              <w:left w:val="nil"/>
              <w:bottom w:val="single" w:sz="4" w:space="0" w:color="auto"/>
              <w:right w:val="single" w:sz="4" w:space="0" w:color="auto"/>
            </w:tcBorders>
            <w:shd w:val="clear" w:color="auto" w:fill="C6EFCE"/>
            <w:noWrap/>
          </w:tcPr>
          <w:p w14:paraId="5DAE6AA7" w14:textId="7D6F01AA" w:rsidR="00480F1C" w:rsidRDefault="00A201F6">
            <w:pPr>
              <w:pStyle w:val="P68B1DB1-Normal25"/>
              <w:spacing w:after="0" w:line="240" w:lineRule="auto"/>
              <w:rPr>
                <w:rFonts w:eastAsia="Times New Roman" w:cs="Times New Roman"/>
                <w:noProof/>
              </w:rPr>
            </w:pPr>
            <w:r>
              <w:rPr>
                <w:noProof/>
              </w:rPr>
              <w:t>Ondertekening van subsidieovereenkomsten voor projecten voor de bouw of modernisering van gedeelten van het elektriciteitstransmissienet (220 kV), goed voor 50 km aan baanvakken en 5 stations in verband met deze trajecten.</w:t>
            </w:r>
          </w:p>
          <w:p w14:paraId="073E6D13" w14:textId="77777777" w:rsidR="00480F1C" w:rsidRDefault="00480F1C">
            <w:pPr>
              <w:spacing w:after="0" w:line="240" w:lineRule="auto"/>
              <w:rPr>
                <w:rFonts w:ascii="Times New Roman" w:eastAsia="Times New Roman" w:hAnsi="Times New Roman" w:cs="Times New Roman"/>
                <w:noProof/>
                <w:sz w:val="18"/>
              </w:rPr>
            </w:pPr>
          </w:p>
          <w:p w14:paraId="00EB34AB" w14:textId="3BD758A8" w:rsidR="00480F1C" w:rsidRDefault="00A201F6">
            <w:pPr>
              <w:pStyle w:val="P68B1DB1-Normal25"/>
              <w:spacing w:after="0" w:line="240" w:lineRule="auto"/>
              <w:rPr>
                <w:rFonts w:eastAsia="Times New Roman" w:cs="Times New Roman"/>
                <w:noProof/>
              </w:rPr>
            </w:pPr>
            <w:r>
              <w:rPr>
                <w:noProof/>
              </w:rPr>
              <w:t xml:space="preserve">Projecten die via de subsidieovereenkomsten worden ondersteund, moeten de functionaliteiten van slimme netwerken omvatten om bij te dragen tot de ontwikkeling van hernieuwbare energiebronnen. </w:t>
            </w:r>
          </w:p>
        </w:tc>
      </w:tr>
      <w:tr w:rsidR="00480F1C" w14:paraId="062891DA" w14:textId="77777777">
        <w:trPr>
          <w:trHeight w:val="309"/>
          <w:jc w:val="center"/>
        </w:trPr>
        <w:tc>
          <w:tcPr>
            <w:tcW w:w="846" w:type="dxa"/>
            <w:tcBorders>
              <w:top w:val="nil"/>
              <w:left w:val="single" w:sz="4" w:space="0" w:color="auto"/>
              <w:bottom w:val="single" w:sz="4" w:space="0" w:color="auto"/>
              <w:right w:val="single" w:sz="4" w:space="0" w:color="auto"/>
            </w:tcBorders>
            <w:shd w:val="clear" w:color="auto" w:fill="C6EFCE"/>
            <w:noWrap/>
          </w:tcPr>
          <w:p w14:paraId="5188E4BB" w14:textId="0BA79372" w:rsidR="00480F1C" w:rsidRDefault="00A201F6">
            <w:pPr>
              <w:pStyle w:val="P68B1DB1-Normal25"/>
              <w:spacing w:after="0" w:line="240" w:lineRule="auto"/>
              <w:jc w:val="center"/>
              <w:rPr>
                <w:rFonts w:eastAsia="Times New Roman" w:cs="Times New Roman"/>
                <w:noProof/>
              </w:rPr>
            </w:pPr>
            <w:r>
              <w:rPr>
                <w:noProof/>
              </w:rPr>
              <w:t>G19G</w:t>
            </w:r>
          </w:p>
        </w:tc>
        <w:tc>
          <w:tcPr>
            <w:tcW w:w="1559" w:type="dxa"/>
            <w:tcBorders>
              <w:top w:val="nil"/>
              <w:left w:val="nil"/>
              <w:bottom w:val="single" w:sz="4" w:space="0" w:color="auto"/>
              <w:right w:val="single" w:sz="4" w:space="0" w:color="auto"/>
            </w:tcBorders>
            <w:shd w:val="clear" w:color="auto" w:fill="C6EFCE"/>
            <w:noWrap/>
          </w:tcPr>
          <w:p w14:paraId="0BBBB354" w14:textId="77777777" w:rsidR="00480F1C" w:rsidRDefault="00A201F6">
            <w:pPr>
              <w:pStyle w:val="P68B1DB1-Normal25"/>
              <w:spacing w:after="0" w:line="240" w:lineRule="auto"/>
              <w:rPr>
                <w:rFonts w:eastAsia="Times New Roman" w:cs="Times New Roman"/>
                <w:noProof/>
              </w:rPr>
            </w:pPr>
            <w:r>
              <w:rPr>
                <w:noProof/>
              </w:rPr>
              <w:t>G1.2.3. Ontwikkeling van transmissienetwerken, slimme elektriciteitsinfrastructuur</w:t>
            </w:r>
          </w:p>
        </w:tc>
        <w:tc>
          <w:tcPr>
            <w:tcW w:w="992" w:type="dxa"/>
            <w:tcBorders>
              <w:top w:val="nil"/>
              <w:left w:val="nil"/>
              <w:bottom w:val="single" w:sz="4" w:space="0" w:color="auto"/>
              <w:right w:val="single" w:sz="4" w:space="0" w:color="auto"/>
            </w:tcBorders>
            <w:shd w:val="clear" w:color="auto" w:fill="C6EFCE"/>
            <w:noWrap/>
          </w:tcPr>
          <w:p w14:paraId="3ADB4561" w14:textId="77777777" w:rsidR="00480F1C" w:rsidRDefault="00A201F6">
            <w:pPr>
              <w:pStyle w:val="P68B1DB1-Normal25"/>
              <w:spacing w:after="0" w:line="240" w:lineRule="auto"/>
              <w:rPr>
                <w:rFonts w:eastAsia="Times New Roman" w:cs="Times New Roman"/>
                <w:noProof/>
              </w:rPr>
            </w:pPr>
            <w:r>
              <w:rPr>
                <w:noProof/>
              </w:rPr>
              <w:t>Doel</w:t>
            </w:r>
          </w:p>
        </w:tc>
        <w:tc>
          <w:tcPr>
            <w:tcW w:w="1985" w:type="dxa"/>
            <w:tcBorders>
              <w:top w:val="nil"/>
              <w:left w:val="nil"/>
              <w:bottom w:val="single" w:sz="4" w:space="0" w:color="auto"/>
              <w:right w:val="single" w:sz="4" w:space="0" w:color="auto"/>
            </w:tcBorders>
            <w:shd w:val="clear" w:color="auto" w:fill="C6EFCE"/>
            <w:noWrap/>
          </w:tcPr>
          <w:p w14:paraId="090165FF" w14:textId="67175670" w:rsidR="00480F1C" w:rsidRDefault="00A201F6">
            <w:pPr>
              <w:pStyle w:val="P68B1DB1-Normal25"/>
              <w:spacing w:after="0" w:line="240" w:lineRule="auto"/>
              <w:rPr>
                <w:rFonts w:eastAsia="Times New Roman" w:cs="Times New Roman"/>
                <w:noProof/>
              </w:rPr>
            </w:pPr>
            <w:r>
              <w:rPr>
                <w:noProof/>
              </w:rPr>
              <w:t xml:space="preserve">Lengte van het nieuwe </w:t>
            </w:r>
          </w:p>
          <w:p w14:paraId="15B28D41" w14:textId="77777777" w:rsidR="00480F1C" w:rsidRDefault="00A201F6">
            <w:pPr>
              <w:pStyle w:val="P68B1DB1-Normal25"/>
              <w:spacing w:after="0" w:line="240" w:lineRule="auto"/>
              <w:rPr>
                <w:rFonts w:eastAsia="Times New Roman" w:cs="Times New Roman"/>
                <w:noProof/>
              </w:rPr>
            </w:pPr>
            <w:r>
              <w:rPr>
                <w:noProof/>
              </w:rPr>
              <w:t xml:space="preserve">gebouwd of gemoderniseerd </w:t>
            </w:r>
          </w:p>
          <w:p w14:paraId="7DE1B121" w14:textId="36D04386" w:rsidR="00480F1C" w:rsidRDefault="00A201F6">
            <w:pPr>
              <w:pStyle w:val="P68B1DB1-Normal25"/>
              <w:spacing w:after="0" w:line="240" w:lineRule="auto"/>
              <w:rPr>
                <w:rFonts w:eastAsia="Times New Roman" w:cs="Times New Roman"/>
                <w:noProof/>
              </w:rPr>
            </w:pPr>
            <w:r>
              <w:rPr>
                <w:noProof/>
              </w:rPr>
              <w:t xml:space="preserve">elektriciteitsverbindingen </w:t>
            </w:r>
          </w:p>
          <w:p w14:paraId="565539DF" w14:textId="77777777" w:rsidR="00480F1C" w:rsidRDefault="00A201F6">
            <w:pPr>
              <w:pStyle w:val="P68B1DB1-Normal25"/>
              <w:spacing w:after="0" w:line="240" w:lineRule="auto"/>
              <w:rPr>
                <w:rFonts w:eastAsia="Times New Roman" w:cs="Times New Roman"/>
                <w:noProof/>
              </w:rPr>
            </w:pPr>
            <w:r>
              <w:rPr>
                <w:noProof/>
              </w:rPr>
              <w:t>netwerk (km)</w:t>
            </w:r>
          </w:p>
        </w:tc>
        <w:tc>
          <w:tcPr>
            <w:tcW w:w="1701" w:type="dxa"/>
            <w:tcBorders>
              <w:top w:val="nil"/>
              <w:left w:val="nil"/>
              <w:bottom w:val="single" w:sz="4" w:space="0" w:color="auto"/>
              <w:right w:val="single" w:sz="4" w:space="0" w:color="auto"/>
            </w:tcBorders>
            <w:shd w:val="clear" w:color="auto" w:fill="C6EFCE"/>
            <w:noWrap/>
          </w:tcPr>
          <w:p w14:paraId="1E99F5A8" w14:textId="77777777" w:rsidR="00480F1C" w:rsidRDefault="00480F1C">
            <w:pPr>
              <w:spacing w:after="0" w:line="240" w:lineRule="auto"/>
              <w:rPr>
                <w:rFonts w:ascii="Times New Roman" w:eastAsia="Times New Roman" w:hAnsi="Times New Roman" w:cs="Times New Roman"/>
                <w:noProof/>
                <w:sz w:val="18"/>
              </w:rPr>
            </w:pPr>
          </w:p>
        </w:tc>
        <w:tc>
          <w:tcPr>
            <w:tcW w:w="992" w:type="dxa"/>
            <w:tcBorders>
              <w:top w:val="nil"/>
              <w:left w:val="nil"/>
              <w:bottom w:val="single" w:sz="4" w:space="0" w:color="auto"/>
              <w:right w:val="single" w:sz="4" w:space="0" w:color="auto"/>
            </w:tcBorders>
            <w:shd w:val="clear" w:color="auto" w:fill="C6EFCE"/>
            <w:noWrap/>
          </w:tcPr>
          <w:p w14:paraId="1371F91D" w14:textId="77777777" w:rsidR="00480F1C" w:rsidRDefault="00A201F6">
            <w:pPr>
              <w:pStyle w:val="P68B1DB1-Normal25"/>
              <w:spacing w:after="0" w:line="240" w:lineRule="auto"/>
              <w:rPr>
                <w:rFonts w:eastAsia="Times New Roman" w:cs="Times New Roman"/>
                <w:noProof/>
              </w:rPr>
            </w:pPr>
            <w:r>
              <w:rPr>
                <w:noProof/>
              </w:rPr>
              <w:t>Aantal</w:t>
            </w:r>
          </w:p>
        </w:tc>
        <w:tc>
          <w:tcPr>
            <w:tcW w:w="992" w:type="dxa"/>
            <w:tcBorders>
              <w:top w:val="nil"/>
              <w:left w:val="nil"/>
              <w:bottom w:val="single" w:sz="4" w:space="0" w:color="auto"/>
              <w:right w:val="single" w:sz="4" w:space="0" w:color="auto"/>
            </w:tcBorders>
            <w:shd w:val="clear" w:color="auto" w:fill="C6EFCE"/>
            <w:noWrap/>
          </w:tcPr>
          <w:p w14:paraId="166E812A" w14:textId="77777777" w:rsidR="00480F1C" w:rsidRDefault="00A201F6">
            <w:pPr>
              <w:pStyle w:val="P68B1DB1-Normal25"/>
              <w:spacing w:after="0" w:line="240" w:lineRule="auto"/>
              <w:jc w:val="center"/>
              <w:rPr>
                <w:rFonts w:eastAsia="Times New Roman" w:cs="Times New Roman"/>
                <w:noProof/>
              </w:rPr>
            </w:pPr>
            <w:r>
              <w:rPr>
                <w:noProof/>
              </w:rPr>
              <w:t>0</w:t>
            </w:r>
          </w:p>
        </w:tc>
        <w:tc>
          <w:tcPr>
            <w:tcW w:w="709" w:type="dxa"/>
            <w:tcBorders>
              <w:top w:val="nil"/>
              <w:left w:val="nil"/>
              <w:bottom w:val="single" w:sz="4" w:space="0" w:color="auto"/>
              <w:right w:val="single" w:sz="4" w:space="0" w:color="auto"/>
            </w:tcBorders>
            <w:shd w:val="clear" w:color="auto" w:fill="C6EFCE"/>
            <w:noWrap/>
          </w:tcPr>
          <w:p w14:paraId="285DE181" w14:textId="3D7A2DA4" w:rsidR="00480F1C" w:rsidRDefault="00A201F6">
            <w:pPr>
              <w:pStyle w:val="P68B1DB1-Normal25"/>
              <w:spacing w:after="0" w:line="240" w:lineRule="auto"/>
              <w:rPr>
                <w:rFonts w:eastAsia="Times New Roman" w:cs="Times New Roman"/>
                <w:noProof/>
              </w:rPr>
            </w:pPr>
            <w:r>
              <w:rPr>
                <w:noProof/>
              </w:rPr>
              <w:t>50</w:t>
            </w:r>
          </w:p>
        </w:tc>
        <w:tc>
          <w:tcPr>
            <w:tcW w:w="921" w:type="dxa"/>
            <w:tcBorders>
              <w:top w:val="nil"/>
              <w:left w:val="nil"/>
              <w:bottom w:val="single" w:sz="4" w:space="0" w:color="auto"/>
              <w:right w:val="single" w:sz="4" w:space="0" w:color="auto"/>
            </w:tcBorders>
            <w:shd w:val="clear" w:color="auto" w:fill="C6EFCE"/>
            <w:noWrap/>
          </w:tcPr>
          <w:p w14:paraId="34A0E303" w14:textId="77777777" w:rsidR="00480F1C" w:rsidRDefault="00A201F6">
            <w:pPr>
              <w:pStyle w:val="P68B1DB1-Normal25"/>
              <w:spacing w:after="0" w:line="240" w:lineRule="auto"/>
              <w:jc w:val="center"/>
              <w:rPr>
                <w:rFonts w:eastAsia="Times New Roman" w:cs="Times New Roman"/>
                <w:noProof/>
              </w:rPr>
            </w:pPr>
            <w:r>
              <w:rPr>
                <w:noProof/>
              </w:rPr>
              <w:t>KWARTAAL 2</w:t>
            </w:r>
          </w:p>
        </w:tc>
        <w:tc>
          <w:tcPr>
            <w:tcW w:w="922" w:type="dxa"/>
            <w:tcBorders>
              <w:top w:val="nil"/>
              <w:left w:val="nil"/>
              <w:bottom w:val="single" w:sz="4" w:space="0" w:color="auto"/>
              <w:right w:val="single" w:sz="4" w:space="0" w:color="auto"/>
            </w:tcBorders>
            <w:shd w:val="clear" w:color="auto" w:fill="C6EFCE"/>
            <w:noWrap/>
          </w:tcPr>
          <w:p w14:paraId="1B31B911" w14:textId="77777777" w:rsidR="00480F1C" w:rsidRDefault="00A201F6">
            <w:pPr>
              <w:pStyle w:val="P68B1DB1-Normal25"/>
              <w:spacing w:after="0" w:line="240" w:lineRule="auto"/>
              <w:jc w:val="center"/>
              <w:rPr>
                <w:rFonts w:eastAsia="Times New Roman" w:cs="Times New Roman"/>
                <w:noProof/>
              </w:rPr>
            </w:pPr>
            <w:r>
              <w:rPr>
                <w:noProof/>
              </w:rPr>
              <w:t>2026</w:t>
            </w:r>
          </w:p>
        </w:tc>
        <w:tc>
          <w:tcPr>
            <w:tcW w:w="3690" w:type="dxa"/>
            <w:tcBorders>
              <w:top w:val="nil"/>
              <w:left w:val="nil"/>
              <w:bottom w:val="single" w:sz="4" w:space="0" w:color="auto"/>
              <w:right w:val="single" w:sz="4" w:space="0" w:color="auto"/>
            </w:tcBorders>
            <w:shd w:val="clear" w:color="auto" w:fill="C6EFCE"/>
            <w:noWrap/>
          </w:tcPr>
          <w:p w14:paraId="5D9585E2" w14:textId="77777777" w:rsidR="00480F1C" w:rsidRDefault="00A201F6">
            <w:pPr>
              <w:pStyle w:val="P68B1DB1-Normal25"/>
              <w:spacing w:after="0" w:line="240" w:lineRule="auto"/>
              <w:rPr>
                <w:rFonts w:eastAsia="Times New Roman" w:cs="Times New Roman"/>
                <w:noProof/>
              </w:rPr>
            </w:pPr>
            <w:r>
              <w:rPr>
                <w:noProof/>
              </w:rPr>
              <w:t>Aantal kilometers nieuw aangelegde of gemoderniseerde gedeelten van projecten voor elektriciteitstransmissienetwerken (220 kV). De lengte van elk deel wordt slechts eenmaal berekend (ongeacht of het om een enkelvoudige of dubbele lijn gaat).</w:t>
            </w:r>
          </w:p>
          <w:p w14:paraId="4C3E1E98" w14:textId="77777777" w:rsidR="00480F1C" w:rsidRDefault="00480F1C">
            <w:pPr>
              <w:spacing w:after="0" w:line="240" w:lineRule="auto"/>
              <w:rPr>
                <w:rFonts w:ascii="Times New Roman" w:eastAsia="Times New Roman" w:hAnsi="Times New Roman" w:cs="Times New Roman"/>
                <w:noProof/>
                <w:sz w:val="18"/>
              </w:rPr>
            </w:pPr>
          </w:p>
        </w:tc>
      </w:tr>
      <w:tr w:rsidR="00480F1C" w14:paraId="559B7987" w14:textId="77777777">
        <w:trPr>
          <w:trHeight w:val="309"/>
          <w:jc w:val="center"/>
        </w:trPr>
        <w:tc>
          <w:tcPr>
            <w:tcW w:w="846" w:type="dxa"/>
            <w:tcBorders>
              <w:top w:val="nil"/>
              <w:left w:val="single" w:sz="4" w:space="0" w:color="auto"/>
              <w:bottom w:val="single" w:sz="4" w:space="0" w:color="auto"/>
              <w:right w:val="single" w:sz="4" w:space="0" w:color="auto"/>
            </w:tcBorders>
            <w:shd w:val="clear" w:color="auto" w:fill="C6EFCE"/>
            <w:noWrap/>
          </w:tcPr>
          <w:p w14:paraId="5D70097F" w14:textId="6EBB2D9D" w:rsidR="00480F1C" w:rsidRDefault="00A201F6">
            <w:pPr>
              <w:pStyle w:val="P68B1DB1-Normal25"/>
              <w:spacing w:after="0" w:line="240" w:lineRule="auto"/>
              <w:jc w:val="center"/>
              <w:rPr>
                <w:rFonts w:eastAsia="Times New Roman" w:cs="Times New Roman"/>
                <w:noProof/>
              </w:rPr>
            </w:pPr>
            <w:r>
              <w:rPr>
                <w:noProof/>
              </w:rPr>
              <w:t>G20G</w:t>
            </w:r>
          </w:p>
        </w:tc>
        <w:tc>
          <w:tcPr>
            <w:tcW w:w="1559" w:type="dxa"/>
            <w:tcBorders>
              <w:top w:val="nil"/>
              <w:left w:val="nil"/>
              <w:bottom w:val="single" w:sz="4" w:space="0" w:color="auto"/>
              <w:right w:val="single" w:sz="4" w:space="0" w:color="auto"/>
            </w:tcBorders>
            <w:shd w:val="clear" w:color="auto" w:fill="C6EFCE"/>
            <w:noWrap/>
          </w:tcPr>
          <w:p w14:paraId="2E293AE8" w14:textId="01689A13" w:rsidR="00480F1C" w:rsidRDefault="00A201F6">
            <w:pPr>
              <w:pStyle w:val="P68B1DB1-Normal25"/>
              <w:spacing w:after="0" w:line="240" w:lineRule="auto"/>
              <w:rPr>
                <w:rFonts w:eastAsia="Times New Roman" w:cs="Times New Roman"/>
                <w:noProof/>
              </w:rPr>
            </w:pPr>
            <w:r>
              <w:rPr>
                <w:noProof/>
              </w:rPr>
              <w:t>G1.2.3 Ontwikkeling van transmissienetwerken, slimme elektriciteitsinfrastructuur</w:t>
            </w:r>
          </w:p>
        </w:tc>
        <w:tc>
          <w:tcPr>
            <w:tcW w:w="992" w:type="dxa"/>
            <w:tcBorders>
              <w:top w:val="nil"/>
              <w:left w:val="nil"/>
              <w:bottom w:val="single" w:sz="4" w:space="0" w:color="auto"/>
              <w:right w:val="single" w:sz="4" w:space="0" w:color="auto"/>
            </w:tcBorders>
            <w:shd w:val="clear" w:color="auto" w:fill="C6EFCE"/>
            <w:noWrap/>
          </w:tcPr>
          <w:p w14:paraId="7EC5B417" w14:textId="77777777" w:rsidR="00480F1C" w:rsidRDefault="00A201F6">
            <w:pPr>
              <w:pStyle w:val="P68B1DB1-Normal25"/>
              <w:spacing w:after="0" w:line="240" w:lineRule="auto"/>
              <w:rPr>
                <w:rFonts w:eastAsia="Times New Roman" w:cs="Times New Roman"/>
                <w:noProof/>
              </w:rPr>
            </w:pPr>
            <w:r>
              <w:rPr>
                <w:noProof/>
              </w:rPr>
              <w:t>Doel</w:t>
            </w:r>
          </w:p>
        </w:tc>
        <w:tc>
          <w:tcPr>
            <w:tcW w:w="1985" w:type="dxa"/>
            <w:tcBorders>
              <w:top w:val="nil"/>
              <w:left w:val="nil"/>
              <w:bottom w:val="single" w:sz="4" w:space="0" w:color="auto"/>
              <w:right w:val="single" w:sz="4" w:space="0" w:color="auto"/>
            </w:tcBorders>
            <w:shd w:val="clear" w:color="auto" w:fill="C6EFCE"/>
            <w:noWrap/>
          </w:tcPr>
          <w:p w14:paraId="019AC015" w14:textId="77777777" w:rsidR="00480F1C" w:rsidRDefault="00A201F6">
            <w:pPr>
              <w:pStyle w:val="P68B1DB1-Normal25"/>
              <w:spacing w:after="0" w:line="240" w:lineRule="auto"/>
              <w:rPr>
                <w:rFonts w:eastAsia="Times New Roman" w:cs="Times New Roman"/>
                <w:noProof/>
              </w:rPr>
            </w:pPr>
            <w:r>
              <w:rPr>
                <w:noProof/>
              </w:rPr>
              <w:t>Uitgebreide of verbeterde elektriciteitscentrales binnen het transmissienet</w:t>
            </w:r>
          </w:p>
        </w:tc>
        <w:tc>
          <w:tcPr>
            <w:tcW w:w="1701" w:type="dxa"/>
            <w:tcBorders>
              <w:top w:val="nil"/>
              <w:left w:val="nil"/>
              <w:bottom w:val="single" w:sz="4" w:space="0" w:color="auto"/>
              <w:right w:val="single" w:sz="4" w:space="0" w:color="auto"/>
            </w:tcBorders>
            <w:shd w:val="clear" w:color="auto" w:fill="C6EFCE"/>
            <w:noWrap/>
          </w:tcPr>
          <w:p w14:paraId="28C7A47F" w14:textId="77777777" w:rsidR="00480F1C" w:rsidRDefault="00480F1C">
            <w:pPr>
              <w:spacing w:after="0" w:line="240" w:lineRule="auto"/>
              <w:rPr>
                <w:rFonts w:ascii="Times New Roman" w:eastAsia="Times New Roman" w:hAnsi="Times New Roman" w:cs="Times New Roman"/>
                <w:noProof/>
                <w:sz w:val="18"/>
              </w:rPr>
            </w:pPr>
          </w:p>
        </w:tc>
        <w:tc>
          <w:tcPr>
            <w:tcW w:w="992" w:type="dxa"/>
            <w:tcBorders>
              <w:top w:val="nil"/>
              <w:left w:val="nil"/>
              <w:bottom w:val="single" w:sz="4" w:space="0" w:color="auto"/>
              <w:right w:val="single" w:sz="4" w:space="0" w:color="auto"/>
            </w:tcBorders>
            <w:shd w:val="clear" w:color="auto" w:fill="C6EFCE"/>
            <w:noWrap/>
          </w:tcPr>
          <w:p w14:paraId="0DFE5ED4" w14:textId="77777777" w:rsidR="00480F1C" w:rsidRDefault="00A201F6">
            <w:pPr>
              <w:pStyle w:val="P68B1DB1-Normal25"/>
              <w:spacing w:after="0" w:line="240" w:lineRule="auto"/>
              <w:rPr>
                <w:rFonts w:eastAsia="Times New Roman" w:cs="Times New Roman"/>
                <w:noProof/>
              </w:rPr>
            </w:pPr>
            <w:r>
              <w:rPr>
                <w:noProof/>
              </w:rPr>
              <w:t>Aantal</w:t>
            </w:r>
          </w:p>
        </w:tc>
        <w:tc>
          <w:tcPr>
            <w:tcW w:w="992" w:type="dxa"/>
            <w:tcBorders>
              <w:top w:val="nil"/>
              <w:left w:val="nil"/>
              <w:bottom w:val="single" w:sz="4" w:space="0" w:color="auto"/>
              <w:right w:val="single" w:sz="4" w:space="0" w:color="auto"/>
            </w:tcBorders>
            <w:shd w:val="clear" w:color="auto" w:fill="C6EFCE"/>
            <w:noWrap/>
          </w:tcPr>
          <w:p w14:paraId="72889CF4" w14:textId="77777777" w:rsidR="00480F1C" w:rsidRDefault="00A201F6">
            <w:pPr>
              <w:pStyle w:val="P68B1DB1-Normal25"/>
              <w:spacing w:after="0" w:line="240" w:lineRule="auto"/>
              <w:jc w:val="center"/>
              <w:rPr>
                <w:rFonts w:eastAsia="Times New Roman" w:cs="Times New Roman"/>
                <w:noProof/>
              </w:rPr>
            </w:pPr>
            <w:r>
              <w:rPr>
                <w:noProof/>
              </w:rPr>
              <w:t>0</w:t>
            </w:r>
          </w:p>
        </w:tc>
        <w:tc>
          <w:tcPr>
            <w:tcW w:w="709" w:type="dxa"/>
            <w:tcBorders>
              <w:top w:val="nil"/>
              <w:left w:val="nil"/>
              <w:bottom w:val="single" w:sz="4" w:space="0" w:color="auto"/>
              <w:right w:val="single" w:sz="4" w:space="0" w:color="auto"/>
            </w:tcBorders>
            <w:shd w:val="clear" w:color="auto" w:fill="C6EFCE"/>
            <w:noWrap/>
          </w:tcPr>
          <w:p w14:paraId="7DFA2C18" w14:textId="77777777" w:rsidR="00480F1C" w:rsidRDefault="00A201F6">
            <w:pPr>
              <w:pStyle w:val="P68B1DB1-Normal25"/>
              <w:spacing w:after="0" w:line="240" w:lineRule="auto"/>
              <w:jc w:val="center"/>
              <w:rPr>
                <w:rFonts w:eastAsia="Times New Roman" w:cs="Times New Roman"/>
                <w:noProof/>
              </w:rPr>
            </w:pPr>
            <w:r>
              <w:rPr>
                <w:noProof/>
              </w:rPr>
              <w:t>5</w:t>
            </w:r>
          </w:p>
        </w:tc>
        <w:tc>
          <w:tcPr>
            <w:tcW w:w="921" w:type="dxa"/>
            <w:tcBorders>
              <w:top w:val="nil"/>
              <w:left w:val="nil"/>
              <w:bottom w:val="single" w:sz="4" w:space="0" w:color="auto"/>
              <w:right w:val="single" w:sz="4" w:space="0" w:color="auto"/>
            </w:tcBorders>
            <w:shd w:val="clear" w:color="auto" w:fill="C6EFCE"/>
            <w:noWrap/>
          </w:tcPr>
          <w:p w14:paraId="017A8916" w14:textId="77777777" w:rsidR="00480F1C" w:rsidRDefault="00A201F6">
            <w:pPr>
              <w:pStyle w:val="P68B1DB1-Normal25"/>
              <w:spacing w:after="0" w:line="240" w:lineRule="auto"/>
              <w:jc w:val="center"/>
              <w:rPr>
                <w:rFonts w:eastAsia="Times New Roman" w:cs="Times New Roman"/>
                <w:noProof/>
              </w:rPr>
            </w:pPr>
            <w:r>
              <w:rPr>
                <w:noProof/>
              </w:rPr>
              <w:t>KWARTAAL 2</w:t>
            </w:r>
          </w:p>
        </w:tc>
        <w:tc>
          <w:tcPr>
            <w:tcW w:w="922" w:type="dxa"/>
            <w:tcBorders>
              <w:top w:val="nil"/>
              <w:left w:val="nil"/>
              <w:bottom w:val="single" w:sz="4" w:space="0" w:color="auto"/>
              <w:right w:val="single" w:sz="4" w:space="0" w:color="auto"/>
            </w:tcBorders>
            <w:shd w:val="clear" w:color="auto" w:fill="C6EFCE"/>
            <w:noWrap/>
          </w:tcPr>
          <w:p w14:paraId="54E9C7EA" w14:textId="77777777" w:rsidR="00480F1C" w:rsidRDefault="00A201F6">
            <w:pPr>
              <w:pStyle w:val="P68B1DB1-Normal25"/>
              <w:spacing w:after="0" w:line="240" w:lineRule="auto"/>
              <w:jc w:val="center"/>
              <w:rPr>
                <w:rFonts w:eastAsia="Times New Roman" w:cs="Times New Roman"/>
                <w:noProof/>
              </w:rPr>
            </w:pPr>
            <w:r>
              <w:rPr>
                <w:noProof/>
              </w:rPr>
              <w:t>2026</w:t>
            </w:r>
          </w:p>
        </w:tc>
        <w:tc>
          <w:tcPr>
            <w:tcW w:w="3690" w:type="dxa"/>
            <w:tcBorders>
              <w:top w:val="nil"/>
              <w:left w:val="nil"/>
              <w:bottom w:val="single" w:sz="4" w:space="0" w:color="auto"/>
              <w:right w:val="single" w:sz="4" w:space="0" w:color="auto"/>
            </w:tcBorders>
            <w:shd w:val="clear" w:color="auto" w:fill="C6EFCE"/>
            <w:noWrap/>
          </w:tcPr>
          <w:p w14:paraId="27A73B52" w14:textId="71D62471" w:rsidR="00480F1C" w:rsidRDefault="00A201F6">
            <w:pPr>
              <w:pStyle w:val="P68B1DB1-Normal25"/>
              <w:spacing w:after="0" w:line="240" w:lineRule="auto"/>
              <w:rPr>
                <w:rFonts w:eastAsia="Times New Roman" w:cs="Times New Roman"/>
                <w:noProof/>
              </w:rPr>
            </w:pPr>
            <w:r>
              <w:rPr>
                <w:noProof/>
              </w:rPr>
              <w:t>Aantal uitgebreide of verbeterde stations van het elektriciteitstransmissienet dat de integratie van nieuwe hernieuwbare-energiecapaciteit zal versnellen.</w:t>
            </w:r>
          </w:p>
        </w:tc>
      </w:tr>
      <w:tr w:rsidR="00480F1C" w14:paraId="0225BCDE" w14:textId="77777777">
        <w:trPr>
          <w:trHeight w:val="309"/>
          <w:jc w:val="center"/>
        </w:trPr>
        <w:tc>
          <w:tcPr>
            <w:tcW w:w="846" w:type="dxa"/>
            <w:tcBorders>
              <w:top w:val="nil"/>
              <w:left w:val="single" w:sz="4" w:space="0" w:color="auto"/>
              <w:bottom w:val="single" w:sz="4" w:space="0" w:color="auto"/>
              <w:right w:val="single" w:sz="4" w:space="0" w:color="auto"/>
            </w:tcBorders>
            <w:shd w:val="clear" w:color="auto" w:fill="C6EFCE"/>
            <w:noWrap/>
          </w:tcPr>
          <w:p w14:paraId="4892077C" w14:textId="1DD1DA3F" w:rsidR="00480F1C" w:rsidRDefault="00A201F6">
            <w:pPr>
              <w:pStyle w:val="P68B1DB1-Normal25"/>
              <w:spacing w:after="0" w:line="240" w:lineRule="auto"/>
              <w:jc w:val="center"/>
              <w:rPr>
                <w:rFonts w:eastAsia="Times New Roman" w:cs="Times New Roman"/>
                <w:noProof/>
              </w:rPr>
            </w:pPr>
            <w:r>
              <w:rPr>
                <w:noProof/>
              </w:rPr>
              <w:t>G21G</w:t>
            </w:r>
          </w:p>
        </w:tc>
        <w:tc>
          <w:tcPr>
            <w:tcW w:w="1559" w:type="dxa"/>
            <w:tcBorders>
              <w:top w:val="nil"/>
              <w:left w:val="nil"/>
              <w:bottom w:val="single" w:sz="4" w:space="0" w:color="auto"/>
              <w:right w:val="single" w:sz="4" w:space="0" w:color="auto"/>
            </w:tcBorders>
            <w:shd w:val="clear" w:color="auto" w:fill="C6EFCE"/>
            <w:noWrap/>
          </w:tcPr>
          <w:p w14:paraId="2535F8EA" w14:textId="49D0A252" w:rsidR="00480F1C" w:rsidRDefault="00A201F6">
            <w:pPr>
              <w:pStyle w:val="P68B1DB1-Normal25"/>
              <w:spacing w:after="0" w:line="240" w:lineRule="auto"/>
              <w:rPr>
                <w:rFonts w:eastAsia="Times New Roman" w:cs="Times New Roman"/>
                <w:noProof/>
              </w:rPr>
            </w:pPr>
            <w:r>
              <w:rPr>
                <w:noProof/>
              </w:rPr>
              <w:t>G1.2.3 Ontwikkeling van transmissienetwerken, slimme elektriciteitsinfrastructuur</w:t>
            </w:r>
          </w:p>
        </w:tc>
        <w:tc>
          <w:tcPr>
            <w:tcW w:w="992" w:type="dxa"/>
            <w:tcBorders>
              <w:top w:val="nil"/>
              <w:left w:val="nil"/>
              <w:bottom w:val="single" w:sz="4" w:space="0" w:color="auto"/>
              <w:right w:val="single" w:sz="4" w:space="0" w:color="auto"/>
            </w:tcBorders>
            <w:shd w:val="clear" w:color="auto" w:fill="C6EFCE"/>
            <w:noWrap/>
          </w:tcPr>
          <w:p w14:paraId="229AECD2" w14:textId="77777777" w:rsidR="00480F1C" w:rsidRDefault="00A201F6">
            <w:pPr>
              <w:pStyle w:val="P68B1DB1-Normal25"/>
              <w:spacing w:after="0" w:line="240" w:lineRule="auto"/>
              <w:rPr>
                <w:rFonts w:eastAsia="Times New Roman" w:cs="Times New Roman"/>
                <w:noProof/>
              </w:rPr>
            </w:pPr>
            <w:r>
              <w:rPr>
                <w:noProof/>
              </w:rPr>
              <w:t>Mijlpaal</w:t>
            </w:r>
          </w:p>
        </w:tc>
        <w:tc>
          <w:tcPr>
            <w:tcW w:w="1985" w:type="dxa"/>
            <w:tcBorders>
              <w:top w:val="nil"/>
              <w:left w:val="nil"/>
              <w:bottom w:val="single" w:sz="4" w:space="0" w:color="auto"/>
              <w:right w:val="single" w:sz="4" w:space="0" w:color="auto"/>
            </w:tcBorders>
            <w:shd w:val="clear" w:color="auto" w:fill="C6EFCE"/>
            <w:noWrap/>
          </w:tcPr>
          <w:p w14:paraId="2C7BF687" w14:textId="77777777" w:rsidR="00480F1C" w:rsidRDefault="00A201F6">
            <w:pPr>
              <w:pStyle w:val="P68B1DB1-Normal25"/>
              <w:spacing w:after="0" w:line="240" w:lineRule="auto"/>
              <w:rPr>
                <w:rFonts w:eastAsia="Times New Roman" w:cs="Times New Roman"/>
                <w:noProof/>
              </w:rPr>
            </w:pPr>
            <w:r>
              <w:rPr>
                <w:noProof/>
              </w:rPr>
              <w:t>Implementatie van de datacentrum voor de elektriciteitsmarkt (OIRE/CSIRE)</w:t>
            </w:r>
          </w:p>
        </w:tc>
        <w:tc>
          <w:tcPr>
            <w:tcW w:w="1701" w:type="dxa"/>
            <w:tcBorders>
              <w:top w:val="nil"/>
              <w:left w:val="nil"/>
              <w:bottom w:val="single" w:sz="4" w:space="0" w:color="auto"/>
              <w:right w:val="single" w:sz="4" w:space="0" w:color="auto"/>
            </w:tcBorders>
            <w:shd w:val="clear" w:color="auto" w:fill="C6EFCE"/>
            <w:noWrap/>
          </w:tcPr>
          <w:p w14:paraId="2AAD6266" w14:textId="77777777" w:rsidR="00480F1C" w:rsidRDefault="00A201F6">
            <w:pPr>
              <w:pStyle w:val="P68B1DB1-Normal25"/>
              <w:spacing w:after="0" w:line="240" w:lineRule="auto"/>
              <w:rPr>
                <w:rFonts w:eastAsia="Times New Roman" w:cs="Times New Roman"/>
                <w:noProof/>
              </w:rPr>
            </w:pPr>
            <w:r>
              <w:rPr>
                <w:noProof/>
              </w:rPr>
              <w:t>Inwerkingtreding</w:t>
            </w:r>
          </w:p>
        </w:tc>
        <w:tc>
          <w:tcPr>
            <w:tcW w:w="992" w:type="dxa"/>
            <w:tcBorders>
              <w:top w:val="nil"/>
              <w:left w:val="nil"/>
              <w:bottom w:val="single" w:sz="4" w:space="0" w:color="auto"/>
              <w:right w:val="single" w:sz="4" w:space="0" w:color="auto"/>
            </w:tcBorders>
            <w:shd w:val="clear" w:color="auto" w:fill="C6EFCE"/>
            <w:noWrap/>
          </w:tcPr>
          <w:p w14:paraId="58A4B639" w14:textId="77777777" w:rsidR="00480F1C" w:rsidRDefault="00480F1C">
            <w:pPr>
              <w:spacing w:after="0" w:line="240" w:lineRule="auto"/>
              <w:rPr>
                <w:rFonts w:ascii="Times New Roman" w:eastAsia="Times New Roman" w:hAnsi="Times New Roman" w:cs="Times New Roman"/>
                <w:noProof/>
                <w:sz w:val="18"/>
              </w:rPr>
            </w:pPr>
          </w:p>
        </w:tc>
        <w:tc>
          <w:tcPr>
            <w:tcW w:w="992" w:type="dxa"/>
            <w:tcBorders>
              <w:top w:val="nil"/>
              <w:left w:val="nil"/>
              <w:bottom w:val="single" w:sz="4" w:space="0" w:color="auto"/>
              <w:right w:val="single" w:sz="4" w:space="0" w:color="auto"/>
            </w:tcBorders>
            <w:shd w:val="clear" w:color="auto" w:fill="C6EFCE"/>
            <w:noWrap/>
          </w:tcPr>
          <w:p w14:paraId="41EF9A60" w14:textId="77777777" w:rsidR="00480F1C" w:rsidRDefault="00480F1C">
            <w:pPr>
              <w:spacing w:after="0" w:line="240" w:lineRule="auto"/>
              <w:jc w:val="center"/>
              <w:rPr>
                <w:rFonts w:ascii="Times New Roman" w:eastAsia="Times New Roman" w:hAnsi="Times New Roman" w:cs="Times New Roman"/>
                <w:noProof/>
                <w:sz w:val="18"/>
              </w:rPr>
            </w:pPr>
          </w:p>
        </w:tc>
        <w:tc>
          <w:tcPr>
            <w:tcW w:w="709" w:type="dxa"/>
            <w:tcBorders>
              <w:top w:val="nil"/>
              <w:left w:val="nil"/>
              <w:bottom w:val="single" w:sz="4" w:space="0" w:color="auto"/>
              <w:right w:val="single" w:sz="4" w:space="0" w:color="auto"/>
            </w:tcBorders>
            <w:shd w:val="clear" w:color="auto" w:fill="C6EFCE"/>
            <w:noWrap/>
          </w:tcPr>
          <w:p w14:paraId="20021D68" w14:textId="77777777" w:rsidR="00480F1C" w:rsidRDefault="00480F1C">
            <w:pPr>
              <w:spacing w:after="0" w:line="240" w:lineRule="auto"/>
              <w:jc w:val="center"/>
              <w:rPr>
                <w:rFonts w:ascii="Times New Roman" w:eastAsia="Times New Roman" w:hAnsi="Times New Roman" w:cs="Times New Roman"/>
                <w:noProof/>
                <w:sz w:val="18"/>
              </w:rPr>
            </w:pPr>
          </w:p>
        </w:tc>
        <w:tc>
          <w:tcPr>
            <w:tcW w:w="921" w:type="dxa"/>
            <w:tcBorders>
              <w:top w:val="nil"/>
              <w:left w:val="nil"/>
              <w:bottom w:val="single" w:sz="4" w:space="0" w:color="auto"/>
              <w:right w:val="single" w:sz="4" w:space="0" w:color="auto"/>
            </w:tcBorders>
            <w:shd w:val="clear" w:color="auto" w:fill="C6EFCE"/>
            <w:noWrap/>
          </w:tcPr>
          <w:p w14:paraId="0C2EF208" w14:textId="77777777" w:rsidR="00480F1C" w:rsidRDefault="00A201F6">
            <w:pPr>
              <w:pStyle w:val="P68B1DB1-Normal25"/>
              <w:spacing w:after="0" w:line="240" w:lineRule="auto"/>
              <w:jc w:val="center"/>
              <w:rPr>
                <w:rFonts w:eastAsia="Times New Roman" w:cs="Times New Roman"/>
                <w:noProof/>
              </w:rPr>
            </w:pPr>
            <w:r>
              <w:rPr>
                <w:noProof/>
              </w:rPr>
              <w:t>KWARTAAL 3</w:t>
            </w:r>
          </w:p>
        </w:tc>
        <w:tc>
          <w:tcPr>
            <w:tcW w:w="922" w:type="dxa"/>
            <w:tcBorders>
              <w:top w:val="nil"/>
              <w:left w:val="nil"/>
              <w:bottom w:val="single" w:sz="4" w:space="0" w:color="auto"/>
              <w:right w:val="single" w:sz="4" w:space="0" w:color="auto"/>
            </w:tcBorders>
            <w:shd w:val="clear" w:color="auto" w:fill="C6EFCE"/>
            <w:noWrap/>
          </w:tcPr>
          <w:p w14:paraId="0007C8D2" w14:textId="77777777" w:rsidR="00480F1C" w:rsidRDefault="00A201F6">
            <w:pPr>
              <w:pStyle w:val="P68B1DB1-Normal25"/>
              <w:spacing w:after="0" w:line="240" w:lineRule="auto"/>
              <w:jc w:val="center"/>
              <w:rPr>
                <w:rFonts w:eastAsia="Times New Roman" w:cs="Times New Roman"/>
                <w:noProof/>
              </w:rPr>
            </w:pPr>
            <w:r>
              <w:rPr>
                <w:noProof/>
              </w:rPr>
              <w:t>2025</w:t>
            </w:r>
          </w:p>
        </w:tc>
        <w:tc>
          <w:tcPr>
            <w:tcW w:w="3690" w:type="dxa"/>
            <w:tcBorders>
              <w:top w:val="nil"/>
              <w:left w:val="nil"/>
              <w:bottom w:val="single" w:sz="4" w:space="0" w:color="auto"/>
              <w:right w:val="single" w:sz="4" w:space="0" w:color="auto"/>
            </w:tcBorders>
            <w:shd w:val="clear" w:color="auto" w:fill="C6EFCE"/>
            <w:noWrap/>
          </w:tcPr>
          <w:p w14:paraId="45AFBE56" w14:textId="16AE6041" w:rsidR="00480F1C" w:rsidRDefault="00A201F6">
            <w:pPr>
              <w:pStyle w:val="P68B1DB1-Normal25"/>
              <w:spacing w:after="0" w:line="240" w:lineRule="auto"/>
              <w:rPr>
                <w:rFonts w:eastAsia="Times New Roman" w:cs="Times New Roman"/>
                <w:noProof/>
              </w:rPr>
            </w:pPr>
            <w:r>
              <w:rPr>
                <w:noProof/>
              </w:rPr>
              <w:t>Ingebruikneming van één gegevenshub en installatie van een analysator voor energiekwaliteit op de elektriciteitsmarkt (OIRE/CSIRE).</w:t>
            </w:r>
          </w:p>
        </w:tc>
      </w:tr>
      <w:tr w:rsidR="00480F1C" w14:paraId="29B33ADA" w14:textId="77777777">
        <w:trPr>
          <w:trHeight w:val="309"/>
          <w:jc w:val="center"/>
        </w:trPr>
        <w:tc>
          <w:tcPr>
            <w:tcW w:w="846" w:type="dxa"/>
            <w:tcBorders>
              <w:top w:val="nil"/>
              <w:left w:val="single" w:sz="4" w:space="0" w:color="auto"/>
              <w:bottom w:val="single" w:sz="4" w:space="0" w:color="auto"/>
              <w:right w:val="single" w:sz="4" w:space="0" w:color="auto"/>
            </w:tcBorders>
            <w:shd w:val="clear" w:color="auto" w:fill="C6EFCE"/>
            <w:noWrap/>
          </w:tcPr>
          <w:p w14:paraId="7CCB46AB" w14:textId="3AAF6E63" w:rsidR="00480F1C" w:rsidRDefault="00A201F6">
            <w:pPr>
              <w:pStyle w:val="P68B1DB1-Normal25"/>
              <w:spacing w:after="0" w:line="240" w:lineRule="auto"/>
              <w:jc w:val="center"/>
              <w:rPr>
                <w:rFonts w:eastAsia="Times New Roman" w:cs="Times New Roman"/>
                <w:noProof/>
              </w:rPr>
            </w:pPr>
            <w:r>
              <w:rPr>
                <w:noProof/>
              </w:rPr>
              <w:t>G22G</w:t>
            </w:r>
          </w:p>
        </w:tc>
        <w:tc>
          <w:tcPr>
            <w:tcW w:w="1559" w:type="dxa"/>
            <w:tcBorders>
              <w:top w:val="nil"/>
              <w:left w:val="nil"/>
              <w:bottom w:val="single" w:sz="4" w:space="0" w:color="auto"/>
              <w:right w:val="single" w:sz="4" w:space="0" w:color="auto"/>
            </w:tcBorders>
            <w:shd w:val="clear" w:color="auto" w:fill="C6EFCE"/>
            <w:noWrap/>
          </w:tcPr>
          <w:p w14:paraId="1D630CE8" w14:textId="58FE3396" w:rsidR="00480F1C" w:rsidRDefault="00A201F6">
            <w:pPr>
              <w:pStyle w:val="P68B1DB1-Normal25"/>
              <w:spacing w:after="0" w:line="240" w:lineRule="auto"/>
              <w:rPr>
                <w:rFonts w:eastAsia="Times New Roman" w:cs="Times New Roman"/>
                <w:noProof/>
              </w:rPr>
            </w:pPr>
            <w:r>
              <w:rPr>
                <w:noProof/>
              </w:rPr>
              <w:t>G1.2.3 Ontwikkeling van transmissienetwerken, slimme elektriciteitsinfrastructuur</w:t>
            </w:r>
          </w:p>
        </w:tc>
        <w:tc>
          <w:tcPr>
            <w:tcW w:w="992" w:type="dxa"/>
            <w:tcBorders>
              <w:top w:val="nil"/>
              <w:left w:val="nil"/>
              <w:bottom w:val="single" w:sz="4" w:space="0" w:color="auto"/>
              <w:right w:val="single" w:sz="4" w:space="0" w:color="auto"/>
            </w:tcBorders>
            <w:shd w:val="clear" w:color="auto" w:fill="C6EFCE"/>
            <w:noWrap/>
          </w:tcPr>
          <w:p w14:paraId="7BF2D15B" w14:textId="77777777" w:rsidR="00480F1C" w:rsidRDefault="00A201F6">
            <w:pPr>
              <w:pStyle w:val="P68B1DB1-Normal25"/>
              <w:spacing w:after="0" w:line="240" w:lineRule="auto"/>
              <w:rPr>
                <w:rFonts w:eastAsia="Times New Roman" w:cs="Times New Roman"/>
                <w:noProof/>
              </w:rPr>
            </w:pPr>
            <w:r>
              <w:rPr>
                <w:noProof/>
              </w:rPr>
              <w:t>Doel</w:t>
            </w:r>
          </w:p>
        </w:tc>
        <w:tc>
          <w:tcPr>
            <w:tcW w:w="1985" w:type="dxa"/>
            <w:tcBorders>
              <w:top w:val="nil"/>
              <w:left w:val="nil"/>
              <w:bottom w:val="single" w:sz="4" w:space="0" w:color="auto"/>
              <w:right w:val="single" w:sz="4" w:space="0" w:color="auto"/>
            </w:tcBorders>
            <w:shd w:val="clear" w:color="auto" w:fill="C6EFCE"/>
            <w:noWrap/>
          </w:tcPr>
          <w:p w14:paraId="2D568F4A" w14:textId="3EE8EB3D" w:rsidR="00480F1C" w:rsidRDefault="00A201F6">
            <w:pPr>
              <w:pStyle w:val="P68B1DB1-Normal25"/>
              <w:spacing w:after="0" w:line="240" w:lineRule="auto"/>
              <w:rPr>
                <w:rFonts w:eastAsia="Times New Roman" w:cs="Times New Roman"/>
                <w:noProof/>
              </w:rPr>
            </w:pPr>
            <w:r>
              <w:rPr>
                <w:noProof/>
              </w:rPr>
              <w:t>Uitrol van ICT-systemen in het transmissienetwerk (aantal oplossingen)</w:t>
            </w:r>
          </w:p>
        </w:tc>
        <w:tc>
          <w:tcPr>
            <w:tcW w:w="1701" w:type="dxa"/>
            <w:tcBorders>
              <w:top w:val="nil"/>
              <w:left w:val="nil"/>
              <w:bottom w:val="single" w:sz="4" w:space="0" w:color="auto"/>
              <w:right w:val="single" w:sz="4" w:space="0" w:color="auto"/>
            </w:tcBorders>
            <w:shd w:val="clear" w:color="auto" w:fill="C6EFCE"/>
            <w:noWrap/>
          </w:tcPr>
          <w:p w14:paraId="6CC3CDD7" w14:textId="77777777" w:rsidR="00480F1C" w:rsidRDefault="00480F1C">
            <w:pPr>
              <w:spacing w:after="0" w:line="240" w:lineRule="auto"/>
              <w:rPr>
                <w:rFonts w:ascii="Times New Roman" w:eastAsia="Times New Roman" w:hAnsi="Times New Roman" w:cs="Times New Roman"/>
                <w:noProof/>
                <w:sz w:val="18"/>
              </w:rPr>
            </w:pPr>
          </w:p>
        </w:tc>
        <w:tc>
          <w:tcPr>
            <w:tcW w:w="992" w:type="dxa"/>
            <w:tcBorders>
              <w:top w:val="nil"/>
              <w:left w:val="nil"/>
              <w:bottom w:val="single" w:sz="4" w:space="0" w:color="auto"/>
              <w:right w:val="single" w:sz="4" w:space="0" w:color="auto"/>
            </w:tcBorders>
            <w:shd w:val="clear" w:color="auto" w:fill="C6EFCE"/>
            <w:noWrap/>
          </w:tcPr>
          <w:p w14:paraId="2EBCA7A5" w14:textId="77777777" w:rsidR="00480F1C" w:rsidRDefault="00A201F6">
            <w:pPr>
              <w:pStyle w:val="P68B1DB1-Normal25"/>
              <w:spacing w:after="0" w:line="240" w:lineRule="auto"/>
              <w:rPr>
                <w:rFonts w:eastAsia="Times New Roman" w:cs="Times New Roman"/>
                <w:noProof/>
              </w:rPr>
            </w:pPr>
            <w:r>
              <w:rPr>
                <w:noProof/>
              </w:rPr>
              <w:t>Aantal</w:t>
            </w:r>
          </w:p>
        </w:tc>
        <w:tc>
          <w:tcPr>
            <w:tcW w:w="992" w:type="dxa"/>
            <w:tcBorders>
              <w:top w:val="nil"/>
              <w:left w:val="nil"/>
              <w:bottom w:val="single" w:sz="4" w:space="0" w:color="auto"/>
              <w:right w:val="single" w:sz="4" w:space="0" w:color="auto"/>
            </w:tcBorders>
            <w:shd w:val="clear" w:color="auto" w:fill="C6EFCE"/>
            <w:noWrap/>
          </w:tcPr>
          <w:p w14:paraId="16782635" w14:textId="77777777" w:rsidR="00480F1C" w:rsidRDefault="00A201F6">
            <w:pPr>
              <w:pStyle w:val="P68B1DB1-Normal25"/>
              <w:spacing w:after="0" w:line="240" w:lineRule="auto"/>
              <w:jc w:val="center"/>
              <w:rPr>
                <w:rFonts w:eastAsia="Times New Roman" w:cs="Times New Roman"/>
                <w:noProof/>
              </w:rPr>
            </w:pPr>
            <w:r>
              <w:rPr>
                <w:noProof/>
              </w:rPr>
              <w:t>0</w:t>
            </w:r>
          </w:p>
        </w:tc>
        <w:tc>
          <w:tcPr>
            <w:tcW w:w="709" w:type="dxa"/>
            <w:tcBorders>
              <w:top w:val="nil"/>
              <w:left w:val="nil"/>
              <w:bottom w:val="single" w:sz="4" w:space="0" w:color="auto"/>
              <w:right w:val="single" w:sz="4" w:space="0" w:color="auto"/>
            </w:tcBorders>
            <w:shd w:val="clear" w:color="auto" w:fill="C6EFCE"/>
            <w:noWrap/>
          </w:tcPr>
          <w:p w14:paraId="1A5E7AC0" w14:textId="77777777" w:rsidR="00480F1C" w:rsidRDefault="00A201F6">
            <w:pPr>
              <w:pStyle w:val="P68B1DB1-Normal25"/>
              <w:spacing w:after="0" w:line="240" w:lineRule="auto"/>
              <w:jc w:val="center"/>
              <w:rPr>
                <w:rFonts w:eastAsia="Times New Roman" w:cs="Times New Roman"/>
                <w:noProof/>
              </w:rPr>
            </w:pPr>
            <w:r>
              <w:rPr>
                <w:noProof/>
              </w:rPr>
              <w:t>3</w:t>
            </w:r>
          </w:p>
        </w:tc>
        <w:tc>
          <w:tcPr>
            <w:tcW w:w="921" w:type="dxa"/>
            <w:tcBorders>
              <w:top w:val="nil"/>
              <w:left w:val="nil"/>
              <w:bottom w:val="single" w:sz="4" w:space="0" w:color="auto"/>
              <w:right w:val="single" w:sz="4" w:space="0" w:color="auto"/>
            </w:tcBorders>
            <w:shd w:val="clear" w:color="auto" w:fill="C6EFCE"/>
            <w:noWrap/>
          </w:tcPr>
          <w:p w14:paraId="3597D3C5" w14:textId="77777777" w:rsidR="00480F1C" w:rsidRDefault="00A201F6">
            <w:pPr>
              <w:pStyle w:val="P68B1DB1-Normal25"/>
              <w:spacing w:after="0" w:line="240" w:lineRule="auto"/>
              <w:jc w:val="center"/>
              <w:rPr>
                <w:rFonts w:eastAsia="Times New Roman" w:cs="Times New Roman"/>
                <w:noProof/>
              </w:rPr>
            </w:pPr>
            <w:r>
              <w:rPr>
                <w:noProof/>
              </w:rPr>
              <w:t>KWARTAAL 2</w:t>
            </w:r>
          </w:p>
        </w:tc>
        <w:tc>
          <w:tcPr>
            <w:tcW w:w="922" w:type="dxa"/>
            <w:tcBorders>
              <w:top w:val="nil"/>
              <w:left w:val="nil"/>
              <w:bottom w:val="single" w:sz="4" w:space="0" w:color="auto"/>
              <w:right w:val="single" w:sz="4" w:space="0" w:color="auto"/>
            </w:tcBorders>
            <w:shd w:val="clear" w:color="auto" w:fill="C6EFCE"/>
            <w:noWrap/>
          </w:tcPr>
          <w:p w14:paraId="1CA3F300" w14:textId="77777777" w:rsidR="00480F1C" w:rsidRDefault="00A201F6">
            <w:pPr>
              <w:pStyle w:val="P68B1DB1-Normal25"/>
              <w:spacing w:after="0" w:line="240" w:lineRule="auto"/>
              <w:jc w:val="center"/>
              <w:rPr>
                <w:rFonts w:eastAsia="Times New Roman" w:cs="Times New Roman"/>
                <w:noProof/>
              </w:rPr>
            </w:pPr>
            <w:r>
              <w:rPr>
                <w:noProof/>
              </w:rPr>
              <w:t>2025</w:t>
            </w:r>
          </w:p>
        </w:tc>
        <w:tc>
          <w:tcPr>
            <w:tcW w:w="3690" w:type="dxa"/>
            <w:tcBorders>
              <w:top w:val="nil"/>
              <w:left w:val="nil"/>
              <w:bottom w:val="single" w:sz="4" w:space="0" w:color="auto"/>
              <w:right w:val="single" w:sz="4" w:space="0" w:color="auto"/>
            </w:tcBorders>
            <w:shd w:val="clear" w:color="auto" w:fill="C6EFCE"/>
            <w:noWrap/>
          </w:tcPr>
          <w:p w14:paraId="58AE16F3" w14:textId="772A9E75" w:rsidR="00480F1C" w:rsidRDefault="00A201F6">
            <w:pPr>
              <w:pStyle w:val="P68B1DB1-Normal25"/>
              <w:spacing w:after="0" w:line="240" w:lineRule="auto"/>
              <w:rPr>
                <w:rFonts w:eastAsia="Times New Roman" w:cs="Times New Roman"/>
                <w:noProof/>
              </w:rPr>
            </w:pPr>
            <w:r>
              <w:rPr>
                <w:noProof/>
              </w:rPr>
              <w:t>Ingebruikneming van ten minste drie nieuwe, verbeterde of uitgebreide informatiesystemen die het transmissienetwerk digitaliseren.</w:t>
            </w:r>
          </w:p>
        </w:tc>
      </w:tr>
      <w:tr w:rsidR="00480F1C" w14:paraId="4A0E947C" w14:textId="77777777">
        <w:trPr>
          <w:trHeight w:val="309"/>
          <w:jc w:val="center"/>
        </w:trPr>
        <w:tc>
          <w:tcPr>
            <w:tcW w:w="846" w:type="dxa"/>
            <w:tcBorders>
              <w:top w:val="nil"/>
              <w:left w:val="single" w:sz="4" w:space="0" w:color="auto"/>
              <w:bottom w:val="single" w:sz="4" w:space="0" w:color="auto"/>
              <w:right w:val="single" w:sz="4" w:space="0" w:color="auto"/>
            </w:tcBorders>
            <w:shd w:val="clear" w:color="auto" w:fill="C6EFCE"/>
            <w:noWrap/>
          </w:tcPr>
          <w:p w14:paraId="5BE5771D" w14:textId="390DEE2F" w:rsidR="00480F1C" w:rsidRDefault="00A201F6">
            <w:pPr>
              <w:pStyle w:val="P68B1DB1-Normal25"/>
              <w:spacing w:after="0" w:line="240" w:lineRule="auto"/>
              <w:jc w:val="center"/>
              <w:rPr>
                <w:rFonts w:eastAsia="Times New Roman" w:cs="Times New Roman"/>
                <w:noProof/>
              </w:rPr>
            </w:pPr>
            <w:r>
              <w:rPr>
                <w:noProof/>
              </w:rPr>
              <w:t>G23G</w:t>
            </w:r>
          </w:p>
        </w:tc>
        <w:tc>
          <w:tcPr>
            <w:tcW w:w="1559" w:type="dxa"/>
            <w:tcBorders>
              <w:top w:val="nil"/>
              <w:left w:val="nil"/>
              <w:bottom w:val="single" w:sz="4" w:space="0" w:color="auto"/>
              <w:right w:val="single" w:sz="4" w:space="0" w:color="auto"/>
            </w:tcBorders>
            <w:shd w:val="clear" w:color="auto" w:fill="C6EFCE"/>
            <w:noWrap/>
          </w:tcPr>
          <w:p w14:paraId="0D177D0A" w14:textId="23E290F5" w:rsidR="00480F1C" w:rsidRDefault="00A201F6">
            <w:pPr>
              <w:pStyle w:val="P68B1DB1-Normal25"/>
              <w:spacing w:after="0" w:line="240" w:lineRule="auto"/>
              <w:rPr>
                <w:rFonts w:eastAsia="Times New Roman" w:cs="Times New Roman"/>
                <w:noProof/>
              </w:rPr>
            </w:pPr>
            <w:r>
              <w:rPr>
                <w:noProof/>
              </w:rPr>
              <w:t>G1.2.4 Bouw of modernisering van elektriciteitsdistributienetwerken in plattelandsgebieden om de aansluiting van nieuwe hernieuwbare energiebronnen mogelijk te maken</w:t>
            </w:r>
          </w:p>
        </w:tc>
        <w:tc>
          <w:tcPr>
            <w:tcW w:w="992" w:type="dxa"/>
            <w:tcBorders>
              <w:top w:val="nil"/>
              <w:left w:val="nil"/>
              <w:bottom w:val="single" w:sz="4" w:space="0" w:color="auto"/>
              <w:right w:val="single" w:sz="4" w:space="0" w:color="auto"/>
            </w:tcBorders>
            <w:shd w:val="clear" w:color="auto" w:fill="C6EFCE"/>
            <w:noWrap/>
          </w:tcPr>
          <w:p w14:paraId="59249284" w14:textId="77777777" w:rsidR="00480F1C" w:rsidRDefault="00A201F6">
            <w:pPr>
              <w:pStyle w:val="P68B1DB1-Normal25"/>
              <w:spacing w:after="0" w:line="240" w:lineRule="auto"/>
              <w:rPr>
                <w:rFonts w:eastAsia="Times New Roman" w:cs="Times New Roman"/>
                <w:noProof/>
              </w:rPr>
            </w:pPr>
            <w:r>
              <w:rPr>
                <w:noProof/>
              </w:rPr>
              <w:t>Mijlpaal</w:t>
            </w:r>
          </w:p>
        </w:tc>
        <w:tc>
          <w:tcPr>
            <w:tcW w:w="1985" w:type="dxa"/>
            <w:tcBorders>
              <w:top w:val="nil"/>
              <w:left w:val="nil"/>
              <w:bottom w:val="single" w:sz="4" w:space="0" w:color="auto"/>
              <w:right w:val="single" w:sz="4" w:space="0" w:color="auto"/>
            </w:tcBorders>
            <w:shd w:val="clear" w:color="auto" w:fill="C6EFCE"/>
            <w:noWrap/>
          </w:tcPr>
          <w:p w14:paraId="6B15C065" w14:textId="77777777" w:rsidR="00480F1C" w:rsidRDefault="00A201F6">
            <w:pPr>
              <w:pStyle w:val="P68B1DB1-Normal25"/>
              <w:spacing w:after="0" w:line="240" w:lineRule="auto"/>
              <w:rPr>
                <w:rFonts w:eastAsia="Times New Roman" w:cs="Times New Roman"/>
                <w:noProof/>
              </w:rPr>
            </w:pPr>
            <w:r>
              <w:rPr>
                <w:noProof/>
              </w:rPr>
              <w:t xml:space="preserve">Identificatie en omschrijving van projecten </w:t>
            </w:r>
          </w:p>
        </w:tc>
        <w:tc>
          <w:tcPr>
            <w:tcW w:w="1701" w:type="dxa"/>
            <w:tcBorders>
              <w:top w:val="nil"/>
              <w:left w:val="nil"/>
              <w:bottom w:val="single" w:sz="4" w:space="0" w:color="auto"/>
              <w:right w:val="single" w:sz="4" w:space="0" w:color="auto"/>
            </w:tcBorders>
            <w:shd w:val="clear" w:color="auto" w:fill="C6EFCE"/>
            <w:noWrap/>
          </w:tcPr>
          <w:p w14:paraId="3C82D8DB" w14:textId="425B0B20" w:rsidR="00480F1C" w:rsidRDefault="00A201F6">
            <w:pPr>
              <w:pStyle w:val="P68B1DB1-Normal25"/>
              <w:spacing w:after="0" w:line="240" w:lineRule="auto"/>
              <w:rPr>
                <w:rFonts w:eastAsia="Times New Roman" w:cs="Times New Roman"/>
                <w:noProof/>
              </w:rPr>
            </w:pPr>
            <w:r>
              <w:rPr>
                <w:noProof/>
              </w:rPr>
              <w:t>Interne goedkeuring van een definitief analysedocument waarin projecten worden geïdentificeerd en uiteengezet</w:t>
            </w:r>
          </w:p>
        </w:tc>
        <w:tc>
          <w:tcPr>
            <w:tcW w:w="992" w:type="dxa"/>
            <w:tcBorders>
              <w:top w:val="nil"/>
              <w:left w:val="nil"/>
              <w:bottom w:val="single" w:sz="4" w:space="0" w:color="auto"/>
              <w:right w:val="single" w:sz="4" w:space="0" w:color="auto"/>
            </w:tcBorders>
            <w:shd w:val="clear" w:color="auto" w:fill="C6EFCE"/>
            <w:noWrap/>
          </w:tcPr>
          <w:p w14:paraId="02C60E46" w14:textId="77777777" w:rsidR="00480F1C" w:rsidRDefault="00480F1C">
            <w:pPr>
              <w:spacing w:after="0" w:line="240" w:lineRule="auto"/>
              <w:rPr>
                <w:rFonts w:ascii="Times New Roman" w:eastAsia="Times New Roman" w:hAnsi="Times New Roman" w:cs="Times New Roman"/>
                <w:noProof/>
                <w:sz w:val="18"/>
              </w:rPr>
            </w:pPr>
          </w:p>
        </w:tc>
        <w:tc>
          <w:tcPr>
            <w:tcW w:w="992" w:type="dxa"/>
            <w:tcBorders>
              <w:top w:val="nil"/>
              <w:left w:val="nil"/>
              <w:bottom w:val="single" w:sz="4" w:space="0" w:color="auto"/>
              <w:right w:val="single" w:sz="4" w:space="0" w:color="auto"/>
            </w:tcBorders>
            <w:shd w:val="clear" w:color="auto" w:fill="C6EFCE"/>
            <w:noWrap/>
          </w:tcPr>
          <w:p w14:paraId="031E3633" w14:textId="77777777" w:rsidR="00480F1C" w:rsidRDefault="00480F1C">
            <w:pPr>
              <w:spacing w:after="0" w:line="240" w:lineRule="auto"/>
              <w:jc w:val="center"/>
              <w:rPr>
                <w:rFonts w:ascii="Times New Roman" w:eastAsia="Times New Roman" w:hAnsi="Times New Roman" w:cs="Times New Roman"/>
                <w:noProof/>
                <w:sz w:val="18"/>
              </w:rPr>
            </w:pPr>
          </w:p>
        </w:tc>
        <w:tc>
          <w:tcPr>
            <w:tcW w:w="709" w:type="dxa"/>
            <w:tcBorders>
              <w:top w:val="nil"/>
              <w:left w:val="nil"/>
              <w:bottom w:val="single" w:sz="4" w:space="0" w:color="auto"/>
              <w:right w:val="single" w:sz="4" w:space="0" w:color="auto"/>
            </w:tcBorders>
            <w:shd w:val="clear" w:color="auto" w:fill="C6EFCE"/>
            <w:noWrap/>
          </w:tcPr>
          <w:p w14:paraId="391200CC" w14:textId="77777777" w:rsidR="00480F1C" w:rsidRDefault="00480F1C">
            <w:pPr>
              <w:spacing w:after="0" w:line="240" w:lineRule="auto"/>
              <w:jc w:val="center"/>
              <w:rPr>
                <w:rFonts w:ascii="Times New Roman" w:eastAsia="Times New Roman" w:hAnsi="Times New Roman" w:cs="Times New Roman"/>
                <w:noProof/>
                <w:sz w:val="18"/>
              </w:rPr>
            </w:pPr>
          </w:p>
        </w:tc>
        <w:tc>
          <w:tcPr>
            <w:tcW w:w="921" w:type="dxa"/>
            <w:tcBorders>
              <w:top w:val="nil"/>
              <w:left w:val="nil"/>
              <w:bottom w:val="single" w:sz="4" w:space="0" w:color="auto"/>
              <w:right w:val="single" w:sz="4" w:space="0" w:color="auto"/>
            </w:tcBorders>
            <w:shd w:val="clear" w:color="auto" w:fill="C6EFCE"/>
            <w:noWrap/>
          </w:tcPr>
          <w:p w14:paraId="02B55A6A" w14:textId="77777777" w:rsidR="00480F1C" w:rsidRDefault="00A201F6">
            <w:pPr>
              <w:pStyle w:val="P68B1DB1-Normal25"/>
              <w:spacing w:after="0" w:line="240" w:lineRule="auto"/>
              <w:jc w:val="center"/>
              <w:rPr>
                <w:rFonts w:eastAsia="Times New Roman" w:cs="Times New Roman"/>
                <w:noProof/>
              </w:rPr>
            </w:pPr>
            <w:r>
              <w:rPr>
                <w:noProof/>
              </w:rPr>
              <w:t>KWARTAAL 4</w:t>
            </w:r>
          </w:p>
        </w:tc>
        <w:tc>
          <w:tcPr>
            <w:tcW w:w="922" w:type="dxa"/>
            <w:tcBorders>
              <w:top w:val="nil"/>
              <w:left w:val="nil"/>
              <w:bottom w:val="single" w:sz="4" w:space="0" w:color="auto"/>
              <w:right w:val="single" w:sz="4" w:space="0" w:color="auto"/>
            </w:tcBorders>
            <w:shd w:val="clear" w:color="auto" w:fill="C6EFCE"/>
            <w:noWrap/>
          </w:tcPr>
          <w:p w14:paraId="025A4B36" w14:textId="77777777" w:rsidR="00480F1C" w:rsidRDefault="00A201F6">
            <w:pPr>
              <w:pStyle w:val="P68B1DB1-Normal25"/>
              <w:spacing w:after="0" w:line="240" w:lineRule="auto"/>
              <w:jc w:val="center"/>
              <w:rPr>
                <w:rFonts w:eastAsia="Times New Roman" w:cs="Times New Roman"/>
                <w:noProof/>
              </w:rPr>
            </w:pPr>
            <w:r>
              <w:rPr>
                <w:noProof/>
              </w:rPr>
              <w:t>2024</w:t>
            </w:r>
          </w:p>
        </w:tc>
        <w:tc>
          <w:tcPr>
            <w:tcW w:w="3690" w:type="dxa"/>
            <w:tcBorders>
              <w:top w:val="nil"/>
              <w:left w:val="nil"/>
              <w:bottom w:val="single" w:sz="4" w:space="0" w:color="auto"/>
              <w:right w:val="single" w:sz="4" w:space="0" w:color="auto"/>
            </w:tcBorders>
            <w:shd w:val="clear" w:color="auto" w:fill="C6EFCE"/>
            <w:noWrap/>
            <w:vAlign w:val="bottom"/>
          </w:tcPr>
          <w:p w14:paraId="5D03FAA9" w14:textId="39C6A7D6" w:rsidR="00480F1C" w:rsidRDefault="00A201F6">
            <w:pPr>
              <w:pStyle w:val="P68B1DB1-Normal25"/>
              <w:spacing w:after="0" w:line="240" w:lineRule="auto"/>
              <w:rPr>
                <w:rFonts w:eastAsia="Times New Roman" w:cs="Times New Roman"/>
                <w:noProof/>
              </w:rPr>
            </w:pPr>
            <w:r>
              <w:rPr>
                <w:noProof/>
              </w:rPr>
              <w:t>Projecten in plattelandsgebieden om de distributienetwerken te verbeteren, worden geïdentificeerd en vastgelegd in een definitief analysedocument dat intern door de bevoegde Poolse autoriteit wordt goedgekeurd. In dit document wordt voor elk project ook de financieringsbron vermeld, die geen andere EU-bronnen omvat.</w:t>
            </w:r>
          </w:p>
          <w:p w14:paraId="7CB3FE07" w14:textId="77777777" w:rsidR="00480F1C" w:rsidRDefault="00480F1C">
            <w:pPr>
              <w:spacing w:after="0" w:line="240" w:lineRule="auto"/>
              <w:rPr>
                <w:rFonts w:ascii="Times New Roman" w:eastAsia="Times New Roman" w:hAnsi="Times New Roman" w:cs="Times New Roman"/>
                <w:noProof/>
                <w:sz w:val="18"/>
              </w:rPr>
            </w:pPr>
          </w:p>
          <w:p w14:paraId="510FB023" w14:textId="2C0D380D" w:rsidR="00480F1C" w:rsidRDefault="00A201F6">
            <w:pPr>
              <w:pStyle w:val="P68B1DB1-Normal25"/>
              <w:spacing w:after="0" w:line="240" w:lineRule="auto"/>
              <w:rPr>
                <w:rFonts w:eastAsia="Times New Roman" w:cs="Times New Roman"/>
                <w:noProof/>
              </w:rPr>
            </w:pPr>
            <w:r>
              <w:rPr>
                <w:noProof/>
              </w:rPr>
              <w:t xml:space="preserve">Samen moeten de geselecteerde projecten leiden tot de bouw of modernisering van ten minste 880 km distributienetten (ongeacht de spanning), met inbegrip van de bouw of modernisering van de daarvoor benodigde stations (ongeacht het type station). </w:t>
            </w:r>
          </w:p>
          <w:p w14:paraId="61E51BA9" w14:textId="77777777" w:rsidR="00480F1C" w:rsidRDefault="00480F1C">
            <w:pPr>
              <w:spacing w:after="0" w:line="240" w:lineRule="auto"/>
              <w:rPr>
                <w:rFonts w:ascii="Times New Roman" w:eastAsia="Times New Roman" w:hAnsi="Times New Roman" w:cs="Times New Roman"/>
                <w:noProof/>
                <w:sz w:val="18"/>
              </w:rPr>
            </w:pPr>
          </w:p>
          <w:p w14:paraId="2D630048" w14:textId="69F42620" w:rsidR="00480F1C" w:rsidRDefault="00A201F6">
            <w:pPr>
              <w:pStyle w:val="P68B1DB1-Normal25"/>
              <w:spacing w:after="0" w:line="240" w:lineRule="auto"/>
              <w:rPr>
                <w:rFonts w:eastAsia="Times New Roman" w:cs="Times New Roman"/>
                <w:noProof/>
              </w:rPr>
            </w:pPr>
            <w:r>
              <w:rPr>
                <w:noProof/>
              </w:rPr>
              <w:t>De geïdentificeerde projecten omvatten gezamenlijk en/of via specifieke geïdentificeerde projecten de nodige acties om ervoor te zorgen dat ten minste 880 km nieuw aangelegde of gemoderniseerde distributienetwerken de functionaliteiten van slimme netwerken integreren, door uitrusting en installaties op te nemen die tweerichtingscommunicatie mogelijk maken, realtime of bijna realtime, interactieve en intelligente monitoring en beheer van elektriciteitsopwekking, -transmissie, -distributie en -verbruik binnen een elektriciteitsnet, en op een wijze die bijdraagt tot de ontwikkeling van hernieuwbare energiebronnen.</w:t>
            </w:r>
          </w:p>
        </w:tc>
      </w:tr>
      <w:tr w:rsidR="00480F1C" w14:paraId="1952B946" w14:textId="77777777">
        <w:trPr>
          <w:trHeight w:val="309"/>
          <w:jc w:val="center"/>
        </w:trPr>
        <w:tc>
          <w:tcPr>
            <w:tcW w:w="846" w:type="dxa"/>
            <w:tcBorders>
              <w:top w:val="single" w:sz="4" w:space="0" w:color="auto"/>
              <w:left w:val="single" w:sz="4" w:space="0" w:color="auto"/>
              <w:bottom w:val="single" w:sz="4" w:space="0" w:color="auto"/>
              <w:right w:val="single" w:sz="4" w:space="0" w:color="auto"/>
            </w:tcBorders>
            <w:shd w:val="clear" w:color="auto" w:fill="C6EFCE"/>
            <w:noWrap/>
          </w:tcPr>
          <w:p w14:paraId="2C633A15" w14:textId="66774854" w:rsidR="00480F1C" w:rsidRDefault="00A201F6">
            <w:pPr>
              <w:pStyle w:val="P68B1DB1-Normal25"/>
              <w:spacing w:after="0" w:line="240" w:lineRule="auto"/>
              <w:jc w:val="center"/>
              <w:rPr>
                <w:rFonts w:eastAsia="Times New Roman" w:cs="Times New Roman"/>
                <w:noProof/>
              </w:rPr>
            </w:pPr>
            <w:r>
              <w:rPr>
                <w:noProof/>
              </w:rPr>
              <w:t>G24G</w:t>
            </w:r>
          </w:p>
        </w:tc>
        <w:tc>
          <w:tcPr>
            <w:tcW w:w="1559" w:type="dxa"/>
            <w:tcBorders>
              <w:top w:val="single" w:sz="4" w:space="0" w:color="auto"/>
              <w:left w:val="single" w:sz="4" w:space="0" w:color="auto"/>
              <w:bottom w:val="single" w:sz="4" w:space="0" w:color="auto"/>
              <w:right w:val="single" w:sz="4" w:space="0" w:color="auto"/>
            </w:tcBorders>
            <w:shd w:val="clear" w:color="auto" w:fill="C6EFCE"/>
            <w:noWrap/>
          </w:tcPr>
          <w:p w14:paraId="75B7F3B8" w14:textId="70B03078" w:rsidR="00480F1C" w:rsidRDefault="00A201F6">
            <w:pPr>
              <w:pStyle w:val="P68B1DB1-Normal25"/>
              <w:spacing w:after="0" w:line="240" w:lineRule="auto"/>
              <w:rPr>
                <w:rFonts w:eastAsia="Times New Roman" w:cs="Times New Roman"/>
                <w:noProof/>
              </w:rPr>
            </w:pPr>
            <w:r>
              <w:rPr>
                <w:noProof/>
              </w:rPr>
              <w:t>G1.2.4 Bouw of modernisering van elektriciteitsdistributienetwerken in plattelandsgebieden om de aansluiting van nieuwe hernieuwbare energiebronnen mogelijk te maken</w:t>
            </w:r>
          </w:p>
        </w:tc>
        <w:tc>
          <w:tcPr>
            <w:tcW w:w="992" w:type="dxa"/>
            <w:tcBorders>
              <w:top w:val="single" w:sz="4" w:space="0" w:color="auto"/>
              <w:left w:val="single" w:sz="4" w:space="0" w:color="auto"/>
              <w:bottom w:val="single" w:sz="4" w:space="0" w:color="auto"/>
              <w:right w:val="single" w:sz="4" w:space="0" w:color="auto"/>
            </w:tcBorders>
            <w:shd w:val="clear" w:color="auto" w:fill="C6EFCE"/>
            <w:noWrap/>
          </w:tcPr>
          <w:p w14:paraId="2D0DCD9C" w14:textId="77777777" w:rsidR="00480F1C" w:rsidRDefault="00A201F6">
            <w:pPr>
              <w:pStyle w:val="P68B1DB1-Normal25"/>
              <w:spacing w:after="0" w:line="240" w:lineRule="auto"/>
              <w:rPr>
                <w:rFonts w:eastAsia="Times New Roman" w:cs="Times New Roman"/>
                <w:noProof/>
              </w:rPr>
            </w:pPr>
            <w:r>
              <w:rPr>
                <w:noProof/>
              </w:rPr>
              <w:t>Doel</w:t>
            </w:r>
          </w:p>
        </w:tc>
        <w:tc>
          <w:tcPr>
            <w:tcW w:w="1985" w:type="dxa"/>
            <w:tcBorders>
              <w:top w:val="single" w:sz="4" w:space="0" w:color="auto"/>
              <w:left w:val="single" w:sz="4" w:space="0" w:color="auto"/>
              <w:bottom w:val="single" w:sz="4" w:space="0" w:color="auto"/>
              <w:right w:val="single" w:sz="4" w:space="0" w:color="auto"/>
            </w:tcBorders>
            <w:shd w:val="clear" w:color="auto" w:fill="C6EFCE"/>
            <w:noWrap/>
          </w:tcPr>
          <w:p w14:paraId="0595A594" w14:textId="77777777" w:rsidR="00480F1C" w:rsidRDefault="00A201F6">
            <w:pPr>
              <w:pStyle w:val="P68B1DB1-Normal25"/>
              <w:spacing w:after="0" w:line="240" w:lineRule="auto"/>
              <w:rPr>
                <w:rFonts w:eastAsia="Times New Roman" w:cs="Times New Roman"/>
                <w:noProof/>
              </w:rPr>
            </w:pPr>
            <w:r>
              <w:rPr>
                <w:noProof/>
              </w:rPr>
              <w:t>Lengte van nieuw aangelegde of gemoderniseerde lijnen in distributienetwerken (km)</w:t>
            </w:r>
          </w:p>
        </w:tc>
        <w:tc>
          <w:tcPr>
            <w:tcW w:w="1701" w:type="dxa"/>
            <w:tcBorders>
              <w:top w:val="single" w:sz="4" w:space="0" w:color="auto"/>
              <w:left w:val="single" w:sz="4" w:space="0" w:color="auto"/>
              <w:bottom w:val="single" w:sz="4" w:space="0" w:color="auto"/>
              <w:right w:val="single" w:sz="4" w:space="0" w:color="auto"/>
            </w:tcBorders>
            <w:shd w:val="clear" w:color="auto" w:fill="C6EFCE"/>
            <w:noWrap/>
          </w:tcPr>
          <w:p w14:paraId="58FDD251" w14:textId="77777777" w:rsidR="00480F1C" w:rsidRDefault="00480F1C">
            <w:pPr>
              <w:spacing w:after="0" w:line="240" w:lineRule="auto"/>
              <w:rPr>
                <w:rFonts w:ascii="Times New Roman" w:eastAsia="Times New Roman" w:hAnsi="Times New Roman" w:cs="Times New Roman"/>
                <w:noProof/>
                <w:sz w:val="18"/>
              </w:rPr>
            </w:pPr>
          </w:p>
        </w:tc>
        <w:tc>
          <w:tcPr>
            <w:tcW w:w="992" w:type="dxa"/>
            <w:tcBorders>
              <w:top w:val="single" w:sz="4" w:space="0" w:color="auto"/>
              <w:left w:val="single" w:sz="4" w:space="0" w:color="auto"/>
              <w:bottom w:val="single" w:sz="4" w:space="0" w:color="auto"/>
              <w:right w:val="single" w:sz="4" w:space="0" w:color="auto"/>
            </w:tcBorders>
            <w:shd w:val="clear" w:color="auto" w:fill="C6EFCE"/>
            <w:noWrap/>
          </w:tcPr>
          <w:p w14:paraId="1C7A4612" w14:textId="77777777" w:rsidR="00480F1C" w:rsidRDefault="00A201F6">
            <w:pPr>
              <w:pStyle w:val="P68B1DB1-Normal25"/>
              <w:spacing w:after="0" w:line="240" w:lineRule="auto"/>
              <w:rPr>
                <w:rFonts w:eastAsia="Times New Roman" w:cs="Times New Roman"/>
                <w:noProof/>
              </w:rPr>
            </w:pPr>
            <w:r>
              <w:rPr>
                <w:noProof/>
              </w:rPr>
              <w:t>Aantal</w:t>
            </w:r>
          </w:p>
        </w:tc>
        <w:tc>
          <w:tcPr>
            <w:tcW w:w="992" w:type="dxa"/>
            <w:tcBorders>
              <w:top w:val="single" w:sz="4" w:space="0" w:color="auto"/>
              <w:left w:val="single" w:sz="4" w:space="0" w:color="auto"/>
              <w:bottom w:val="single" w:sz="4" w:space="0" w:color="auto"/>
              <w:right w:val="single" w:sz="4" w:space="0" w:color="auto"/>
            </w:tcBorders>
            <w:shd w:val="clear" w:color="auto" w:fill="C6EFCE"/>
            <w:noWrap/>
          </w:tcPr>
          <w:p w14:paraId="19DECF72" w14:textId="77777777" w:rsidR="00480F1C" w:rsidRDefault="00A201F6">
            <w:pPr>
              <w:pStyle w:val="P68B1DB1-Normal25"/>
              <w:spacing w:after="0" w:line="240" w:lineRule="auto"/>
              <w:jc w:val="center"/>
              <w:rPr>
                <w:rFonts w:eastAsia="Times New Roman" w:cs="Times New Roman"/>
                <w:noProof/>
              </w:rPr>
            </w:pPr>
            <w:r>
              <w:rPr>
                <w:noProof/>
              </w:rPr>
              <w:t>0</w:t>
            </w:r>
          </w:p>
        </w:tc>
        <w:tc>
          <w:tcPr>
            <w:tcW w:w="709" w:type="dxa"/>
            <w:tcBorders>
              <w:top w:val="single" w:sz="4" w:space="0" w:color="auto"/>
              <w:left w:val="single" w:sz="4" w:space="0" w:color="auto"/>
              <w:bottom w:val="single" w:sz="4" w:space="0" w:color="auto"/>
              <w:right w:val="single" w:sz="4" w:space="0" w:color="auto"/>
            </w:tcBorders>
            <w:shd w:val="clear" w:color="auto" w:fill="C6EFCE"/>
            <w:noWrap/>
          </w:tcPr>
          <w:p w14:paraId="13C91704" w14:textId="77777777" w:rsidR="00480F1C" w:rsidRDefault="00A201F6">
            <w:pPr>
              <w:pStyle w:val="P68B1DB1-Normal25"/>
              <w:spacing w:after="0" w:line="240" w:lineRule="auto"/>
              <w:jc w:val="center"/>
              <w:rPr>
                <w:rFonts w:eastAsia="Times New Roman" w:cs="Times New Roman"/>
                <w:noProof/>
              </w:rPr>
            </w:pPr>
            <w:r>
              <w:rPr>
                <w:noProof/>
              </w:rPr>
              <w:t>880</w:t>
            </w:r>
          </w:p>
        </w:tc>
        <w:tc>
          <w:tcPr>
            <w:tcW w:w="921" w:type="dxa"/>
            <w:tcBorders>
              <w:top w:val="single" w:sz="4" w:space="0" w:color="auto"/>
              <w:left w:val="single" w:sz="4" w:space="0" w:color="auto"/>
              <w:bottom w:val="single" w:sz="4" w:space="0" w:color="auto"/>
              <w:right w:val="single" w:sz="4" w:space="0" w:color="auto"/>
            </w:tcBorders>
            <w:shd w:val="clear" w:color="auto" w:fill="C6EFCE"/>
            <w:noWrap/>
          </w:tcPr>
          <w:p w14:paraId="2484BCB0" w14:textId="77777777" w:rsidR="00480F1C" w:rsidRDefault="00A201F6">
            <w:pPr>
              <w:pStyle w:val="P68B1DB1-Normal25"/>
              <w:spacing w:after="0" w:line="240" w:lineRule="auto"/>
              <w:jc w:val="center"/>
              <w:rPr>
                <w:rFonts w:eastAsia="Times New Roman" w:cs="Times New Roman"/>
                <w:noProof/>
              </w:rPr>
            </w:pPr>
            <w:r>
              <w:rPr>
                <w:noProof/>
              </w:rPr>
              <w:t>KWARTAAL 2</w:t>
            </w:r>
          </w:p>
        </w:tc>
        <w:tc>
          <w:tcPr>
            <w:tcW w:w="922" w:type="dxa"/>
            <w:tcBorders>
              <w:top w:val="single" w:sz="4" w:space="0" w:color="auto"/>
              <w:left w:val="single" w:sz="4" w:space="0" w:color="auto"/>
              <w:bottom w:val="single" w:sz="4" w:space="0" w:color="auto"/>
              <w:right w:val="single" w:sz="4" w:space="0" w:color="auto"/>
            </w:tcBorders>
            <w:shd w:val="clear" w:color="auto" w:fill="C6EFCE"/>
            <w:noWrap/>
          </w:tcPr>
          <w:p w14:paraId="13476350" w14:textId="77777777" w:rsidR="00480F1C" w:rsidRDefault="00A201F6">
            <w:pPr>
              <w:pStyle w:val="P68B1DB1-Normal25"/>
              <w:spacing w:after="0" w:line="240" w:lineRule="auto"/>
              <w:jc w:val="center"/>
              <w:rPr>
                <w:rFonts w:eastAsia="Times New Roman" w:cs="Times New Roman"/>
                <w:noProof/>
              </w:rPr>
            </w:pPr>
            <w:r>
              <w:rPr>
                <w:noProof/>
              </w:rPr>
              <w:t>2026</w:t>
            </w:r>
          </w:p>
        </w:tc>
        <w:tc>
          <w:tcPr>
            <w:tcW w:w="3690" w:type="dxa"/>
            <w:tcBorders>
              <w:top w:val="single" w:sz="4" w:space="0" w:color="auto"/>
              <w:left w:val="single" w:sz="4" w:space="0" w:color="auto"/>
              <w:bottom w:val="single" w:sz="4" w:space="0" w:color="auto"/>
              <w:right w:val="single" w:sz="4" w:space="0" w:color="auto"/>
            </w:tcBorders>
            <w:shd w:val="clear" w:color="auto" w:fill="C6EFCE"/>
            <w:noWrap/>
          </w:tcPr>
          <w:p w14:paraId="34B9B075" w14:textId="77777777" w:rsidR="00480F1C" w:rsidRDefault="00A201F6">
            <w:pPr>
              <w:pStyle w:val="P68B1DB1-Normal25"/>
              <w:spacing w:after="0" w:line="240" w:lineRule="auto"/>
              <w:rPr>
                <w:rFonts w:eastAsia="Times New Roman" w:cs="Times New Roman"/>
                <w:noProof/>
              </w:rPr>
            </w:pPr>
            <w:r>
              <w:rPr>
                <w:noProof/>
              </w:rPr>
              <w:t xml:space="preserve">Aantal kilometers nieuw gebouwd of </w:t>
            </w:r>
          </w:p>
          <w:p w14:paraId="7FE8996C" w14:textId="644D5959" w:rsidR="00480F1C" w:rsidRDefault="00A201F6">
            <w:pPr>
              <w:pStyle w:val="P68B1DB1-Normal25"/>
              <w:spacing w:after="0" w:line="240" w:lineRule="auto"/>
              <w:rPr>
                <w:rFonts w:eastAsia="Times New Roman" w:cs="Times New Roman"/>
                <w:noProof/>
              </w:rPr>
            </w:pPr>
            <w:r>
              <w:rPr>
                <w:noProof/>
              </w:rPr>
              <w:t>gemoderniseerde distributienetwerken, samen met de bijbehorende stations en de integratie van de functionaliteiten van slimme netwerken, die beantwoorden aan of voldoen aan de eisen voor de in mijlpaal G26G aangegeven geïdentificeerde projecten.</w:t>
            </w:r>
          </w:p>
        </w:tc>
      </w:tr>
    </w:tbl>
    <w:p w14:paraId="62CEE501" w14:textId="323F0FA6" w:rsidR="00480F1C" w:rsidRDefault="00480F1C">
      <w:pPr>
        <w:tabs>
          <w:tab w:val="left" w:pos="10781"/>
        </w:tabs>
        <w:rPr>
          <w:rFonts w:ascii="Times New Roman" w:hAnsi="Times New Roman" w:cs="Times New Roman"/>
          <w:noProof/>
          <w:sz w:val="24"/>
        </w:rPr>
      </w:pPr>
    </w:p>
    <w:p w14:paraId="048A5C6A" w14:textId="4D1864C4" w:rsidR="00480F1C" w:rsidRDefault="00A201F6">
      <w:pPr>
        <w:pStyle w:val="P68B1DB1-Text138"/>
        <w:pageBreakBefore/>
        <w:ind w:left="0"/>
        <w:rPr>
          <w:noProof/>
        </w:rPr>
      </w:pPr>
      <w:r>
        <w:rPr>
          <w:noProof/>
        </w:rPr>
        <w:t>Subcomponent G1.3 — Ontwikkeling van duurzaam vervoer</w:t>
      </w:r>
    </w:p>
    <w:tbl>
      <w:tblPr>
        <w:tblW w:w="15309" w:type="dxa"/>
        <w:jc w:val="center"/>
        <w:tblLayout w:type="fixed"/>
        <w:tblLook w:val="04A0" w:firstRow="1" w:lastRow="0" w:firstColumn="1" w:lastColumn="0" w:noHBand="0" w:noVBand="1"/>
      </w:tblPr>
      <w:tblGrid>
        <w:gridCol w:w="840"/>
        <w:gridCol w:w="1565"/>
        <w:gridCol w:w="992"/>
        <w:gridCol w:w="1985"/>
        <w:gridCol w:w="1701"/>
        <w:gridCol w:w="992"/>
        <w:gridCol w:w="992"/>
        <w:gridCol w:w="709"/>
        <w:gridCol w:w="992"/>
        <w:gridCol w:w="851"/>
        <w:gridCol w:w="3690"/>
      </w:tblGrid>
      <w:tr w:rsidR="00480F1C" w14:paraId="09377D90" w14:textId="77777777">
        <w:trPr>
          <w:trHeight w:val="927"/>
          <w:tblHeader/>
          <w:jc w:val="center"/>
        </w:trPr>
        <w:tc>
          <w:tcPr>
            <w:tcW w:w="840"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0D8E8EBB" w14:textId="0D09A339" w:rsidR="00480F1C" w:rsidRDefault="00A201F6">
            <w:pPr>
              <w:pStyle w:val="P68B1DB1-Normal39"/>
              <w:spacing w:after="0" w:line="240" w:lineRule="auto"/>
              <w:jc w:val="center"/>
              <w:rPr>
                <w:rFonts w:eastAsia="Times New Roman" w:cs="Times New Roman"/>
                <w:noProof/>
              </w:rPr>
            </w:pPr>
            <w:r>
              <w:rPr>
                <w:noProof/>
              </w:rPr>
              <w:t>Volgende NR.</w:t>
            </w:r>
          </w:p>
        </w:tc>
        <w:tc>
          <w:tcPr>
            <w:tcW w:w="1565"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310652C8" w14:textId="77777777" w:rsidR="00480F1C" w:rsidRDefault="00A201F6">
            <w:pPr>
              <w:pStyle w:val="P68B1DB1-Normal40"/>
              <w:spacing w:after="0" w:line="240" w:lineRule="auto"/>
              <w:jc w:val="center"/>
              <w:rPr>
                <w:rFonts w:eastAsia="Times New Roman" w:cs="Times New Roman"/>
                <w:noProof/>
                <w:sz w:val="24"/>
              </w:rPr>
            </w:pPr>
            <w:r>
              <w:rPr>
                <w:noProof/>
              </w:rPr>
              <w:t>Gerelateerde maatregel (hervorming of investering)</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5AA29AFF" w14:textId="77777777" w:rsidR="00480F1C" w:rsidRDefault="00A201F6">
            <w:pPr>
              <w:pStyle w:val="P68B1DB1-Normal40"/>
              <w:keepNext/>
              <w:keepLines/>
              <w:spacing w:after="0" w:line="240" w:lineRule="auto"/>
              <w:jc w:val="center"/>
              <w:rPr>
                <w:rFonts w:eastAsia="Times New Roman" w:cs="Times New Roman"/>
                <w:noProof/>
                <w:sz w:val="24"/>
              </w:rPr>
            </w:pPr>
            <w:r>
              <w:rPr>
                <w:noProof/>
              </w:rPr>
              <w:t>Mijlpaal/Doelstelling</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2B210866" w14:textId="77777777" w:rsidR="00480F1C" w:rsidRDefault="00A201F6">
            <w:pPr>
              <w:pStyle w:val="P68B1DB1-Normal40"/>
              <w:spacing w:after="0" w:line="240" w:lineRule="auto"/>
              <w:jc w:val="center"/>
              <w:rPr>
                <w:rFonts w:eastAsia="Times New Roman" w:cs="Times New Roman"/>
                <w:noProof/>
                <w:sz w:val="24"/>
              </w:rPr>
            </w:pPr>
            <w:r>
              <w:rPr>
                <w:noProof/>
              </w:rPr>
              <w:t>Naam</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2D4BE9C7" w14:textId="77777777" w:rsidR="00480F1C" w:rsidRDefault="00A201F6">
            <w:pPr>
              <w:spacing w:after="0" w:line="240" w:lineRule="auto"/>
              <w:jc w:val="center"/>
              <w:rPr>
                <w:rFonts w:ascii="Times New Roman" w:eastAsia="Times New Roman" w:hAnsi="Times New Roman" w:cs="Times New Roman"/>
                <w:b/>
                <w:noProof/>
                <w:sz w:val="24"/>
              </w:rPr>
            </w:pPr>
            <w:r>
              <w:rPr>
                <w:rFonts w:ascii="Times New Roman" w:hAnsi="Times New Roman"/>
                <w:b/>
                <w:noProof/>
                <w:color w:val="000000"/>
                <w:sz w:val="18"/>
              </w:rPr>
              <w:t>Kwalitatieve indicatoren</w:t>
            </w:r>
            <w:r>
              <w:rPr>
                <w:noProof/>
              </w:rPr>
              <w:t xml:space="preserve"> </w:t>
            </w:r>
            <w:r>
              <w:rPr>
                <w:noProof/>
              </w:rPr>
              <w:br/>
            </w:r>
            <w:r>
              <w:rPr>
                <w:rFonts w:ascii="Times New Roman" w:hAnsi="Times New Roman"/>
                <w:b/>
                <w:noProof/>
                <w:color w:val="000000"/>
                <w:sz w:val="18"/>
              </w:rPr>
              <w:t>(voor mijlpalen)</w:t>
            </w:r>
          </w:p>
        </w:tc>
        <w:tc>
          <w:tcPr>
            <w:tcW w:w="2693" w:type="dxa"/>
            <w:gridSpan w:val="3"/>
            <w:tcBorders>
              <w:top w:val="single" w:sz="4" w:space="0" w:color="auto"/>
              <w:left w:val="single" w:sz="4" w:space="0" w:color="auto"/>
              <w:bottom w:val="single" w:sz="4" w:space="0" w:color="auto"/>
              <w:right w:val="single" w:sz="4" w:space="0" w:color="auto"/>
            </w:tcBorders>
            <w:shd w:val="clear" w:color="auto" w:fill="BDD7EE"/>
            <w:vAlign w:val="center"/>
            <w:hideMark/>
          </w:tcPr>
          <w:p w14:paraId="54543E06" w14:textId="77777777" w:rsidR="00480F1C" w:rsidRDefault="00A201F6">
            <w:pPr>
              <w:spacing w:after="0" w:line="240" w:lineRule="auto"/>
              <w:jc w:val="center"/>
              <w:rPr>
                <w:rFonts w:ascii="Times New Roman" w:eastAsia="Times New Roman" w:hAnsi="Times New Roman" w:cs="Times New Roman"/>
                <w:b/>
                <w:noProof/>
                <w:sz w:val="24"/>
              </w:rPr>
            </w:pPr>
            <w:r>
              <w:rPr>
                <w:rFonts w:ascii="Times New Roman" w:hAnsi="Times New Roman"/>
                <w:b/>
                <w:noProof/>
                <w:color w:val="000000"/>
                <w:sz w:val="18"/>
              </w:rPr>
              <w:t>Kwantitatieve indicatoren</w:t>
            </w:r>
            <w:r>
              <w:rPr>
                <w:noProof/>
              </w:rPr>
              <w:t xml:space="preserve"> </w:t>
            </w:r>
            <w:r>
              <w:rPr>
                <w:noProof/>
              </w:rPr>
              <w:br/>
            </w:r>
            <w:r>
              <w:rPr>
                <w:rFonts w:ascii="Times New Roman" w:hAnsi="Times New Roman"/>
                <w:b/>
                <w:noProof/>
                <w:color w:val="000000"/>
                <w:sz w:val="18"/>
              </w:rPr>
              <w:t>(voor streefcijfers)</w:t>
            </w:r>
          </w:p>
        </w:tc>
        <w:tc>
          <w:tcPr>
            <w:tcW w:w="1843" w:type="dxa"/>
            <w:gridSpan w:val="2"/>
            <w:tcBorders>
              <w:top w:val="single" w:sz="4" w:space="0" w:color="auto"/>
              <w:left w:val="nil"/>
              <w:bottom w:val="single" w:sz="4" w:space="0" w:color="auto"/>
              <w:right w:val="single" w:sz="4" w:space="0" w:color="auto"/>
            </w:tcBorders>
            <w:shd w:val="clear" w:color="auto" w:fill="BDD7EE"/>
            <w:vAlign w:val="center"/>
            <w:hideMark/>
          </w:tcPr>
          <w:p w14:paraId="3EDC5800" w14:textId="77777777" w:rsidR="00480F1C" w:rsidRDefault="00A201F6">
            <w:pPr>
              <w:pStyle w:val="P68B1DB1-Normal40"/>
              <w:spacing w:after="0" w:line="240" w:lineRule="auto"/>
              <w:jc w:val="center"/>
              <w:rPr>
                <w:rFonts w:eastAsia="Times New Roman" w:cs="Times New Roman"/>
                <w:noProof/>
                <w:sz w:val="24"/>
              </w:rPr>
            </w:pPr>
            <w:r>
              <w:rPr>
                <w:noProof/>
              </w:rPr>
              <w:t xml:space="preserve">Indicatieve termijn voor voltooiing </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2628E074" w14:textId="77777777" w:rsidR="00480F1C" w:rsidRDefault="00A201F6">
            <w:pPr>
              <w:pStyle w:val="P68B1DB1-Normal40"/>
              <w:spacing w:after="0" w:line="240" w:lineRule="auto"/>
              <w:jc w:val="center"/>
              <w:rPr>
                <w:rFonts w:eastAsia="Times New Roman" w:cs="Times New Roman"/>
                <w:noProof/>
                <w:sz w:val="24"/>
              </w:rPr>
            </w:pPr>
            <w:r>
              <w:rPr>
                <w:noProof/>
              </w:rPr>
              <w:t>Beschrijving van elke mijlpaal en doelstelling</w:t>
            </w:r>
          </w:p>
        </w:tc>
      </w:tr>
      <w:tr w:rsidR="00480F1C" w14:paraId="1F7FAA36" w14:textId="77777777">
        <w:trPr>
          <w:trHeight w:val="1013"/>
          <w:tblHeader/>
          <w:jc w:val="center"/>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30D8B25D" w14:textId="77777777" w:rsidR="00480F1C" w:rsidRDefault="00480F1C">
            <w:pPr>
              <w:spacing w:after="0" w:line="240" w:lineRule="auto"/>
              <w:rPr>
                <w:rFonts w:ascii="Times New Roman" w:eastAsia="Times New Roman" w:hAnsi="Times New Roman" w:cs="Times New Roman"/>
                <w:b/>
                <w:noProof/>
                <w:sz w:val="18"/>
              </w:rPr>
            </w:pPr>
          </w:p>
        </w:tc>
        <w:tc>
          <w:tcPr>
            <w:tcW w:w="1565" w:type="dxa"/>
            <w:vMerge/>
            <w:tcBorders>
              <w:top w:val="single" w:sz="4" w:space="0" w:color="auto"/>
              <w:left w:val="single" w:sz="4" w:space="0" w:color="auto"/>
              <w:bottom w:val="single" w:sz="4" w:space="0" w:color="auto"/>
              <w:right w:val="single" w:sz="4" w:space="0" w:color="auto"/>
            </w:tcBorders>
            <w:vAlign w:val="center"/>
            <w:hideMark/>
          </w:tcPr>
          <w:p w14:paraId="043F6458" w14:textId="77777777" w:rsidR="00480F1C" w:rsidRDefault="00480F1C">
            <w:pPr>
              <w:spacing w:after="0" w:line="240" w:lineRule="auto"/>
              <w:rPr>
                <w:rFonts w:ascii="Times New Roman" w:eastAsia="Times New Roman" w:hAnsi="Times New Roman" w:cs="Times New Roman"/>
                <w:b/>
                <w:noProof/>
                <w:sz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EF92D2F" w14:textId="77777777" w:rsidR="00480F1C" w:rsidRDefault="00480F1C">
            <w:pPr>
              <w:spacing w:after="0" w:line="240" w:lineRule="auto"/>
              <w:rPr>
                <w:rFonts w:ascii="Times New Roman" w:eastAsia="Times New Roman" w:hAnsi="Times New Roman" w:cs="Times New Roman"/>
                <w:b/>
                <w:noProof/>
                <w:sz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084713CF" w14:textId="77777777" w:rsidR="00480F1C" w:rsidRDefault="00480F1C">
            <w:pPr>
              <w:spacing w:after="0" w:line="240" w:lineRule="auto"/>
              <w:rPr>
                <w:rFonts w:ascii="Times New Roman" w:eastAsia="Times New Roman" w:hAnsi="Times New Roman" w:cs="Times New Roman"/>
                <w:b/>
                <w:noProof/>
                <w:sz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9CF945D" w14:textId="77777777" w:rsidR="00480F1C" w:rsidRDefault="00480F1C">
            <w:pPr>
              <w:spacing w:after="0" w:line="240" w:lineRule="auto"/>
              <w:rPr>
                <w:rFonts w:ascii="Times New Roman" w:eastAsia="Times New Roman" w:hAnsi="Times New Roman" w:cs="Times New Roman"/>
                <w:b/>
                <w:noProof/>
                <w:sz w:val="24"/>
              </w:rPr>
            </w:pPr>
          </w:p>
        </w:tc>
        <w:tc>
          <w:tcPr>
            <w:tcW w:w="992" w:type="dxa"/>
            <w:tcBorders>
              <w:top w:val="nil"/>
              <w:left w:val="single" w:sz="4" w:space="0" w:color="auto"/>
              <w:bottom w:val="single" w:sz="4" w:space="0" w:color="auto"/>
              <w:right w:val="single" w:sz="4" w:space="0" w:color="auto"/>
            </w:tcBorders>
            <w:shd w:val="clear" w:color="auto" w:fill="BDD7EE"/>
            <w:vAlign w:val="center"/>
            <w:hideMark/>
          </w:tcPr>
          <w:p w14:paraId="1B7B750D" w14:textId="77777777" w:rsidR="00480F1C" w:rsidRDefault="00A201F6">
            <w:pPr>
              <w:pStyle w:val="P68B1DB1-Normal39"/>
              <w:spacing w:after="0" w:line="240" w:lineRule="auto"/>
              <w:jc w:val="center"/>
              <w:rPr>
                <w:rFonts w:eastAsia="Times New Roman" w:cs="Times New Roman"/>
                <w:noProof/>
              </w:rPr>
            </w:pPr>
            <w:r>
              <w:rPr>
                <w:noProof/>
              </w:rPr>
              <w:t>Eenheid</w:t>
            </w:r>
          </w:p>
        </w:tc>
        <w:tc>
          <w:tcPr>
            <w:tcW w:w="992" w:type="dxa"/>
            <w:tcBorders>
              <w:top w:val="nil"/>
              <w:left w:val="nil"/>
              <w:bottom w:val="single" w:sz="4" w:space="0" w:color="auto"/>
              <w:right w:val="single" w:sz="4" w:space="0" w:color="auto"/>
            </w:tcBorders>
            <w:shd w:val="clear" w:color="auto" w:fill="BDD7EE"/>
            <w:vAlign w:val="center"/>
            <w:hideMark/>
          </w:tcPr>
          <w:p w14:paraId="6A462F37" w14:textId="77777777" w:rsidR="00480F1C" w:rsidRDefault="00A201F6">
            <w:pPr>
              <w:pStyle w:val="P68B1DB1-Normal39"/>
              <w:spacing w:after="0" w:line="240" w:lineRule="auto"/>
              <w:jc w:val="center"/>
              <w:rPr>
                <w:rFonts w:eastAsia="Times New Roman" w:cs="Times New Roman"/>
                <w:noProof/>
              </w:rPr>
            </w:pPr>
            <w:r>
              <w:rPr>
                <w:noProof/>
              </w:rPr>
              <w:t xml:space="preserve">Basislijn </w:t>
            </w:r>
          </w:p>
        </w:tc>
        <w:tc>
          <w:tcPr>
            <w:tcW w:w="709" w:type="dxa"/>
            <w:tcBorders>
              <w:top w:val="nil"/>
              <w:left w:val="nil"/>
              <w:bottom w:val="single" w:sz="4" w:space="0" w:color="auto"/>
              <w:right w:val="single" w:sz="4" w:space="0" w:color="auto"/>
            </w:tcBorders>
            <w:shd w:val="clear" w:color="auto" w:fill="BDD7EE"/>
            <w:vAlign w:val="center"/>
            <w:hideMark/>
          </w:tcPr>
          <w:p w14:paraId="218E335D" w14:textId="77777777" w:rsidR="00480F1C" w:rsidRDefault="00A201F6">
            <w:pPr>
              <w:pStyle w:val="P68B1DB1-Normal39"/>
              <w:spacing w:after="0" w:line="240" w:lineRule="auto"/>
              <w:jc w:val="center"/>
              <w:rPr>
                <w:rFonts w:eastAsia="Times New Roman" w:cs="Times New Roman"/>
                <w:noProof/>
              </w:rPr>
            </w:pPr>
            <w:r>
              <w:rPr>
                <w:noProof/>
              </w:rPr>
              <w:t xml:space="preserve">Doelstelling </w:t>
            </w:r>
          </w:p>
        </w:tc>
        <w:tc>
          <w:tcPr>
            <w:tcW w:w="992" w:type="dxa"/>
            <w:tcBorders>
              <w:top w:val="nil"/>
              <w:left w:val="nil"/>
              <w:bottom w:val="single" w:sz="4" w:space="0" w:color="auto"/>
              <w:right w:val="single" w:sz="4" w:space="0" w:color="auto"/>
            </w:tcBorders>
            <w:shd w:val="clear" w:color="auto" w:fill="BDD7EE"/>
            <w:vAlign w:val="center"/>
            <w:hideMark/>
          </w:tcPr>
          <w:p w14:paraId="67553D37" w14:textId="77777777" w:rsidR="00480F1C" w:rsidRDefault="00A201F6">
            <w:pPr>
              <w:pStyle w:val="P68B1DB1-Normal39"/>
              <w:spacing w:after="0" w:line="240" w:lineRule="auto"/>
              <w:jc w:val="center"/>
              <w:rPr>
                <w:rFonts w:eastAsia="Times New Roman" w:cs="Times New Roman"/>
                <w:noProof/>
              </w:rPr>
            </w:pPr>
            <w:r>
              <w:rPr>
                <w:noProof/>
              </w:rPr>
              <w:t>Kwartaal</w:t>
            </w:r>
          </w:p>
        </w:tc>
        <w:tc>
          <w:tcPr>
            <w:tcW w:w="851" w:type="dxa"/>
            <w:tcBorders>
              <w:top w:val="nil"/>
              <w:left w:val="nil"/>
              <w:bottom w:val="single" w:sz="4" w:space="0" w:color="auto"/>
              <w:right w:val="single" w:sz="4" w:space="0" w:color="auto"/>
            </w:tcBorders>
            <w:shd w:val="clear" w:color="auto" w:fill="BDD7EE"/>
            <w:vAlign w:val="center"/>
            <w:hideMark/>
          </w:tcPr>
          <w:p w14:paraId="4C1A5D4B" w14:textId="77777777" w:rsidR="00480F1C" w:rsidRDefault="00A201F6">
            <w:pPr>
              <w:pStyle w:val="P68B1DB1-Normal39"/>
              <w:spacing w:after="0" w:line="240" w:lineRule="auto"/>
              <w:jc w:val="center"/>
              <w:rPr>
                <w:rFonts w:eastAsia="Times New Roman" w:cs="Times New Roman"/>
                <w:noProof/>
              </w:rPr>
            </w:pPr>
            <w:r>
              <w:rPr>
                <w:noProof/>
              </w:rPr>
              <w:t>Jaar</w:t>
            </w:r>
          </w:p>
        </w:tc>
        <w:tc>
          <w:tcPr>
            <w:tcW w:w="3690" w:type="dxa"/>
            <w:vMerge/>
            <w:tcBorders>
              <w:top w:val="single" w:sz="4" w:space="0" w:color="auto"/>
              <w:bottom w:val="single" w:sz="4" w:space="0" w:color="auto"/>
              <w:right w:val="single" w:sz="4" w:space="0" w:color="auto"/>
            </w:tcBorders>
            <w:vAlign w:val="center"/>
            <w:hideMark/>
          </w:tcPr>
          <w:p w14:paraId="2A79D8D2" w14:textId="77777777" w:rsidR="00480F1C" w:rsidRDefault="00480F1C">
            <w:pPr>
              <w:spacing w:after="0" w:line="240" w:lineRule="auto"/>
              <w:rPr>
                <w:rFonts w:ascii="Times New Roman" w:eastAsia="Times New Roman" w:hAnsi="Times New Roman" w:cs="Times New Roman"/>
                <w:b/>
                <w:noProof/>
                <w:sz w:val="24"/>
              </w:rPr>
            </w:pPr>
          </w:p>
        </w:tc>
      </w:tr>
      <w:tr w:rsidR="00480F1C" w14:paraId="054D7765" w14:textId="77777777">
        <w:trPr>
          <w:trHeight w:val="309"/>
          <w:jc w:val="center"/>
        </w:trPr>
        <w:tc>
          <w:tcPr>
            <w:tcW w:w="840" w:type="dxa"/>
            <w:tcBorders>
              <w:top w:val="single" w:sz="4" w:space="0" w:color="auto"/>
              <w:left w:val="single" w:sz="4" w:space="0" w:color="auto"/>
              <w:bottom w:val="single" w:sz="4" w:space="0" w:color="auto"/>
              <w:right w:val="single" w:sz="4" w:space="0" w:color="auto"/>
            </w:tcBorders>
            <w:shd w:val="clear" w:color="auto" w:fill="C6EFCE"/>
            <w:noWrap/>
          </w:tcPr>
          <w:p w14:paraId="7FB19CC0" w14:textId="091EB4C2" w:rsidR="00480F1C" w:rsidRDefault="00A201F6">
            <w:pPr>
              <w:pStyle w:val="P68B1DB1-Normal25"/>
              <w:spacing w:after="0" w:line="240" w:lineRule="auto"/>
              <w:jc w:val="center"/>
              <w:rPr>
                <w:rFonts w:eastAsia="Times New Roman" w:cs="Times New Roman"/>
                <w:noProof/>
              </w:rPr>
            </w:pPr>
            <w:r>
              <w:rPr>
                <w:noProof/>
              </w:rPr>
              <w:t>G25G</w:t>
            </w:r>
          </w:p>
        </w:tc>
        <w:tc>
          <w:tcPr>
            <w:tcW w:w="1565" w:type="dxa"/>
            <w:tcBorders>
              <w:top w:val="single" w:sz="4" w:space="0" w:color="auto"/>
              <w:left w:val="nil"/>
              <w:bottom w:val="single" w:sz="4" w:space="0" w:color="auto"/>
              <w:right w:val="single" w:sz="4" w:space="0" w:color="auto"/>
            </w:tcBorders>
            <w:shd w:val="clear" w:color="auto" w:fill="C6EFCE"/>
            <w:noWrap/>
          </w:tcPr>
          <w:p w14:paraId="5BD7685C" w14:textId="03040AE3" w:rsidR="00480F1C" w:rsidRDefault="00A201F6">
            <w:pPr>
              <w:pStyle w:val="P68B1DB1-Normal25"/>
              <w:spacing w:after="0" w:line="240" w:lineRule="auto"/>
              <w:rPr>
                <w:rFonts w:eastAsia="Times New Roman" w:cs="Times New Roman"/>
                <w:noProof/>
              </w:rPr>
            </w:pPr>
            <w:r>
              <w:rPr>
                <w:noProof/>
              </w:rPr>
              <w:t>G1.3.1 Ondersteuning van duurzaam vervoer</w:t>
            </w:r>
          </w:p>
        </w:tc>
        <w:tc>
          <w:tcPr>
            <w:tcW w:w="992" w:type="dxa"/>
            <w:tcBorders>
              <w:top w:val="single" w:sz="4" w:space="0" w:color="auto"/>
              <w:left w:val="nil"/>
              <w:bottom w:val="single" w:sz="4" w:space="0" w:color="auto"/>
              <w:right w:val="single" w:sz="4" w:space="0" w:color="auto"/>
            </w:tcBorders>
            <w:shd w:val="clear" w:color="auto" w:fill="C6EFCE"/>
            <w:noWrap/>
          </w:tcPr>
          <w:p w14:paraId="71CB7FF0" w14:textId="77777777" w:rsidR="00480F1C" w:rsidRDefault="00A201F6">
            <w:pPr>
              <w:pStyle w:val="P68B1DB1-Normal25"/>
              <w:spacing w:after="0" w:line="240" w:lineRule="auto"/>
              <w:rPr>
                <w:rFonts w:eastAsia="Times New Roman" w:cs="Times New Roman"/>
                <w:noProof/>
              </w:rPr>
            </w:pPr>
            <w:r>
              <w:rPr>
                <w:noProof/>
              </w:rPr>
              <w:t>Mijlpaal</w:t>
            </w:r>
          </w:p>
        </w:tc>
        <w:tc>
          <w:tcPr>
            <w:tcW w:w="1985" w:type="dxa"/>
            <w:tcBorders>
              <w:top w:val="single" w:sz="4" w:space="0" w:color="auto"/>
              <w:left w:val="nil"/>
              <w:bottom w:val="single" w:sz="4" w:space="0" w:color="auto"/>
              <w:right w:val="single" w:sz="4" w:space="0" w:color="auto"/>
            </w:tcBorders>
            <w:shd w:val="clear" w:color="auto" w:fill="C6EFCE"/>
            <w:noWrap/>
          </w:tcPr>
          <w:p w14:paraId="26F81752" w14:textId="6181073E" w:rsidR="00480F1C" w:rsidRDefault="00A201F6">
            <w:pPr>
              <w:pStyle w:val="P68B1DB1-Normal25"/>
              <w:spacing w:after="0" w:line="240" w:lineRule="auto"/>
              <w:rPr>
                <w:rFonts w:eastAsia="Times New Roman" w:cs="Times New Roman"/>
                <w:noProof/>
              </w:rPr>
            </w:pPr>
            <w:r>
              <w:rPr>
                <w:noProof/>
              </w:rPr>
              <w:t>Actieplan voor duurzaam vervoer in Polen</w:t>
            </w:r>
          </w:p>
        </w:tc>
        <w:tc>
          <w:tcPr>
            <w:tcW w:w="1701" w:type="dxa"/>
            <w:tcBorders>
              <w:top w:val="single" w:sz="4" w:space="0" w:color="auto"/>
              <w:left w:val="nil"/>
              <w:bottom w:val="single" w:sz="4" w:space="0" w:color="auto"/>
              <w:right w:val="single" w:sz="4" w:space="0" w:color="auto"/>
            </w:tcBorders>
            <w:shd w:val="clear" w:color="auto" w:fill="C6EFCE"/>
            <w:noWrap/>
          </w:tcPr>
          <w:p w14:paraId="16A36574" w14:textId="77777777" w:rsidR="00480F1C" w:rsidRDefault="00A201F6">
            <w:pPr>
              <w:pStyle w:val="P68B1DB1-Normal25"/>
              <w:spacing w:after="0" w:line="240" w:lineRule="auto"/>
              <w:rPr>
                <w:rFonts w:eastAsia="Times New Roman" w:cs="Times New Roman"/>
                <w:noProof/>
              </w:rPr>
            </w:pPr>
            <w:r>
              <w:rPr>
                <w:noProof/>
              </w:rPr>
              <w:t xml:space="preserve">Publicatie door het ministerie van Vervoer </w:t>
            </w:r>
          </w:p>
        </w:tc>
        <w:tc>
          <w:tcPr>
            <w:tcW w:w="992" w:type="dxa"/>
            <w:tcBorders>
              <w:top w:val="nil"/>
              <w:left w:val="nil"/>
              <w:bottom w:val="single" w:sz="4" w:space="0" w:color="auto"/>
              <w:right w:val="single" w:sz="4" w:space="0" w:color="auto"/>
            </w:tcBorders>
            <w:shd w:val="clear" w:color="auto" w:fill="C6EFCE"/>
            <w:noWrap/>
            <w:vAlign w:val="bottom"/>
          </w:tcPr>
          <w:p w14:paraId="1577E39E" w14:textId="77777777" w:rsidR="00480F1C" w:rsidRDefault="00480F1C">
            <w:pPr>
              <w:spacing w:after="0" w:line="240" w:lineRule="auto"/>
              <w:rPr>
                <w:rFonts w:ascii="Times New Roman" w:eastAsia="Times New Roman" w:hAnsi="Times New Roman" w:cs="Times New Roman"/>
                <w:noProof/>
                <w:sz w:val="18"/>
              </w:rPr>
            </w:pPr>
          </w:p>
        </w:tc>
        <w:tc>
          <w:tcPr>
            <w:tcW w:w="992" w:type="dxa"/>
            <w:tcBorders>
              <w:top w:val="nil"/>
              <w:left w:val="nil"/>
              <w:bottom w:val="single" w:sz="4" w:space="0" w:color="auto"/>
              <w:right w:val="single" w:sz="4" w:space="0" w:color="auto"/>
            </w:tcBorders>
            <w:shd w:val="clear" w:color="auto" w:fill="C6EFCE"/>
            <w:noWrap/>
            <w:vAlign w:val="bottom"/>
          </w:tcPr>
          <w:p w14:paraId="3363DB06" w14:textId="77777777" w:rsidR="00480F1C" w:rsidRDefault="00480F1C">
            <w:pPr>
              <w:spacing w:after="0" w:line="240" w:lineRule="auto"/>
              <w:jc w:val="right"/>
              <w:rPr>
                <w:rFonts w:ascii="Times New Roman" w:eastAsia="Times New Roman" w:hAnsi="Times New Roman" w:cs="Times New Roman"/>
                <w:noProof/>
                <w:sz w:val="18"/>
              </w:rPr>
            </w:pPr>
          </w:p>
        </w:tc>
        <w:tc>
          <w:tcPr>
            <w:tcW w:w="709" w:type="dxa"/>
            <w:tcBorders>
              <w:top w:val="nil"/>
              <w:left w:val="nil"/>
              <w:bottom w:val="single" w:sz="4" w:space="0" w:color="auto"/>
              <w:right w:val="single" w:sz="4" w:space="0" w:color="auto"/>
            </w:tcBorders>
            <w:shd w:val="clear" w:color="auto" w:fill="C6EFCE"/>
            <w:noWrap/>
            <w:vAlign w:val="bottom"/>
          </w:tcPr>
          <w:p w14:paraId="18D6389E" w14:textId="77777777" w:rsidR="00480F1C" w:rsidRDefault="00480F1C">
            <w:pPr>
              <w:spacing w:after="0" w:line="240" w:lineRule="auto"/>
              <w:jc w:val="right"/>
              <w:rPr>
                <w:rFonts w:ascii="Times New Roman" w:eastAsia="Times New Roman" w:hAnsi="Times New Roman" w:cs="Times New Roman"/>
                <w:noProof/>
                <w:sz w:val="18"/>
              </w:rPr>
            </w:pPr>
          </w:p>
        </w:tc>
        <w:tc>
          <w:tcPr>
            <w:tcW w:w="992" w:type="dxa"/>
            <w:tcBorders>
              <w:top w:val="nil"/>
              <w:left w:val="nil"/>
              <w:bottom w:val="single" w:sz="4" w:space="0" w:color="auto"/>
              <w:right w:val="single" w:sz="4" w:space="0" w:color="auto"/>
            </w:tcBorders>
            <w:shd w:val="clear" w:color="auto" w:fill="C6EFCE"/>
            <w:noWrap/>
          </w:tcPr>
          <w:p w14:paraId="6D46CB27" w14:textId="77777777" w:rsidR="00480F1C" w:rsidRDefault="00A201F6">
            <w:pPr>
              <w:pStyle w:val="P68B1DB1-Normal25"/>
              <w:spacing w:after="0" w:line="240" w:lineRule="auto"/>
              <w:jc w:val="center"/>
              <w:rPr>
                <w:rFonts w:eastAsia="Times New Roman" w:cs="Times New Roman"/>
                <w:noProof/>
              </w:rPr>
            </w:pPr>
            <w:r>
              <w:rPr>
                <w:noProof/>
              </w:rPr>
              <w:t>KWARTAAL 3</w:t>
            </w:r>
          </w:p>
        </w:tc>
        <w:tc>
          <w:tcPr>
            <w:tcW w:w="851" w:type="dxa"/>
            <w:tcBorders>
              <w:top w:val="nil"/>
              <w:left w:val="nil"/>
              <w:bottom w:val="single" w:sz="4" w:space="0" w:color="auto"/>
              <w:right w:val="single" w:sz="4" w:space="0" w:color="auto"/>
            </w:tcBorders>
            <w:shd w:val="clear" w:color="auto" w:fill="C6EFCE"/>
            <w:noWrap/>
          </w:tcPr>
          <w:p w14:paraId="4FEC9B7E" w14:textId="77777777" w:rsidR="00480F1C" w:rsidRDefault="00A201F6">
            <w:pPr>
              <w:pStyle w:val="P68B1DB1-Normal25"/>
              <w:spacing w:after="0" w:line="240" w:lineRule="auto"/>
              <w:jc w:val="center"/>
              <w:rPr>
                <w:rFonts w:eastAsia="Times New Roman" w:cs="Times New Roman"/>
                <w:noProof/>
              </w:rPr>
            </w:pPr>
            <w:r>
              <w:rPr>
                <w:noProof/>
              </w:rPr>
              <w:t>2025</w:t>
            </w:r>
          </w:p>
        </w:tc>
        <w:tc>
          <w:tcPr>
            <w:tcW w:w="3690" w:type="dxa"/>
            <w:tcBorders>
              <w:top w:val="single" w:sz="4" w:space="0" w:color="auto"/>
              <w:left w:val="nil"/>
              <w:bottom w:val="single" w:sz="4" w:space="0" w:color="auto"/>
              <w:right w:val="single" w:sz="4" w:space="0" w:color="auto"/>
            </w:tcBorders>
            <w:shd w:val="clear" w:color="auto" w:fill="C6EFCE"/>
            <w:noWrap/>
            <w:vAlign w:val="bottom"/>
          </w:tcPr>
          <w:p w14:paraId="43160238" w14:textId="5F0850FD" w:rsidR="00480F1C" w:rsidRDefault="00A201F6">
            <w:pPr>
              <w:pStyle w:val="P68B1DB1-Normal25"/>
              <w:spacing w:after="0" w:line="240" w:lineRule="auto"/>
              <w:rPr>
                <w:rFonts w:eastAsia="Times New Roman" w:cs="Times New Roman"/>
                <w:noProof/>
              </w:rPr>
            </w:pPr>
            <w:r>
              <w:rPr>
                <w:noProof/>
              </w:rPr>
              <w:t xml:space="preserve">Het ministerie van Vervoer stelt een actieplan voor duurzaam vervoer in Polen op en publiceert dit. Het verslag gaat vergezeld van een analyse van de maatregelen die reeds in bestaande strategische documenten op nationaal niveau zijn opgenomen. </w:t>
            </w:r>
          </w:p>
          <w:p w14:paraId="3E600931" w14:textId="11FC31D7" w:rsidR="00480F1C" w:rsidRDefault="00A201F6">
            <w:pPr>
              <w:pStyle w:val="P68B1DB1-Normal25"/>
              <w:spacing w:after="0" w:line="240" w:lineRule="auto"/>
              <w:rPr>
                <w:rFonts w:eastAsia="Times New Roman" w:cs="Times New Roman"/>
                <w:noProof/>
              </w:rPr>
            </w:pPr>
            <w:r>
              <w:rPr>
                <w:noProof/>
              </w:rPr>
              <w:t xml:space="preserve">In het actieplan worden de prioritaire hervormingen en investeringen vastgesteld die nodig zijn voor een duurzame transformatie van de Poolse vervoerssector in overeenstemming met de klimaatdoelstellingen van de EU. </w:t>
            </w:r>
          </w:p>
        </w:tc>
      </w:tr>
      <w:tr w:rsidR="00480F1C" w14:paraId="22A5363C" w14:textId="77777777">
        <w:trPr>
          <w:trHeight w:val="309"/>
          <w:jc w:val="center"/>
        </w:trPr>
        <w:tc>
          <w:tcPr>
            <w:tcW w:w="840" w:type="dxa"/>
            <w:tcBorders>
              <w:top w:val="nil"/>
              <w:left w:val="single" w:sz="4" w:space="0" w:color="auto"/>
              <w:bottom w:val="single" w:sz="4" w:space="0" w:color="auto"/>
              <w:right w:val="single" w:sz="4" w:space="0" w:color="auto"/>
            </w:tcBorders>
            <w:shd w:val="clear" w:color="auto" w:fill="C6EFCE"/>
            <w:noWrap/>
          </w:tcPr>
          <w:p w14:paraId="07EA01F6" w14:textId="7A091BB6" w:rsidR="00480F1C" w:rsidRDefault="00A201F6">
            <w:pPr>
              <w:pStyle w:val="P68B1DB1-Normal25"/>
              <w:spacing w:after="0" w:line="240" w:lineRule="auto"/>
              <w:jc w:val="center"/>
              <w:rPr>
                <w:rFonts w:eastAsia="Times New Roman" w:cs="Times New Roman"/>
                <w:noProof/>
              </w:rPr>
            </w:pPr>
            <w:r>
              <w:rPr>
                <w:noProof/>
              </w:rPr>
              <w:t>G26G</w:t>
            </w:r>
          </w:p>
        </w:tc>
        <w:tc>
          <w:tcPr>
            <w:tcW w:w="1565" w:type="dxa"/>
            <w:tcBorders>
              <w:top w:val="nil"/>
              <w:left w:val="nil"/>
              <w:bottom w:val="single" w:sz="4" w:space="0" w:color="auto"/>
              <w:right w:val="single" w:sz="4" w:space="0" w:color="auto"/>
            </w:tcBorders>
            <w:shd w:val="clear" w:color="auto" w:fill="C6EFCE"/>
            <w:noWrap/>
          </w:tcPr>
          <w:p w14:paraId="3759EA8C" w14:textId="03A2E698" w:rsidR="00480F1C" w:rsidRDefault="00A201F6">
            <w:pPr>
              <w:pStyle w:val="P68B1DB1-Normal25"/>
              <w:spacing w:after="0" w:line="240" w:lineRule="auto"/>
              <w:rPr>
                <w:rFonts w:eastAsia="Times New Roman" w:cs="Times New Roman"/>
                <w:noProof/>
              </w:rPr>
            </w:pPr>
            <w:r>
              <w:rPr>
                <w:noProof/>
              </w:rPr>
              <w:t>G1.3.2 Grootemissievrij collectief vervoer (bussen)</w:t>
            </w:r>
          </w:p>
        </w:tc>
        <w:tc>
          <w:tcPr>
            <w:tcW w:w="992" w:type="dxa"/>
            <w:tcBorders>
              <w:top w:val="nil"/>
              <w:left w:val="nil"/>
              <w:bottom w:val="single" w:sz="4" w:space="0" w:color="auto"/>
              <w:right w:val="single" w:sz="4" w:space="0" w:color="auto"/>
            </w:tcBorders>
            <w:shd w:val="clear" w:color="auto" w:fill="C6EFCE"/>
            <w:noWrap/>
          </w:tcPr>
          <w:p w14:paraId="0F87CED6" w14:textId="77777777" w:rsidR="00480F1C" w:rsidRDefault="00A201F6">
            <w:pPr>
              <w:pStyle w:val="P68B1DB1-Normal25"/>
              <w:spacing w:after="0" w:line="240" w:lineRule="auto"/>
              <w:rPr>
                <w:rFonts w:eastAsia="Times New Roman" w:cs="Times New Roman"/>
                <w:noProof/>
              </w:rPr>
            </w:pPr>
            <w:r>
              <w:rPr>
                <w:noProof/>
              </w:rPr>
              <w:t>Mijlpaal</w:t>
            </w:r>
          </w:p>
        </w:tc>
        <w:tc>
          <w:tcPr>
            <w:tcW w:w="1985" w:type="dxa"/>
            <w:tcBorders>
              <w:top w:val="nil"/>
              <w:left w:val="nil"/>
              <w:bottom w:val="single" w:sz="4" w:space="0" w:color="auto"/>
              <w:right w:val="single" w:sz="4" w:space="0" w:color="auto"/>
            </w:tcBorders>
            <w:shd w:val="clear" w:color="auto" w:fill="C6EFCE"/>
            <w:noWrap/>
          </w:tcPr>
          <w:p w14:paraId="68169047" w14:textId="77777777" w:rsidR="00480F1C" w:rsidRDefault="00A201F6">
            <w:pPr>
              <w:pStyle w:val="P68B1DB1-Normal25"/>
              <w:spacing w:after="0" w:line="240" w:lineRule="auto"/>
              <w:rPr>
                <w:rFonts w:eastAsia="Times New Roman" w:cs="Times New Roman"/>
                <w:noProof/>
              </w:rPr>
            </w:pPr>
            <w:r>
              <w:rPr>
                <w:noProof/>
              </w:rPr>
              <w:t>Emissievrije voertuigen voor stadsvervoer: selectie van begunstigden</w:t>
            </w:r>
          </w:p>
        </w:tc>
        <w:tc>
          <w:tcPr>
            <w:tcW w:w="1701" w:type="dxa"/>
            <w:tcBorders>
              <w:top w:val="nil"/>
              <w:left w:val="nil"/>
              <w:bottom w:val="single" w:sz="4" w:space="0" w:color="auto"/>
              <w:right w:val="single" w:sz="4" w:space="0" w:color="auto"/>
            </w:tcBorders>
            <w:shd w:val="clear" w:color="auto" w:fill="C6EFCE"/>
            <w:noWrap/>
          </w:tcPr>
          <w:p w14:paraId="44A9D7E6" w14:textId="77777777" w:rsidR="00480F1C" w:rsidRDefault="00A201F6">
            <w:pPr>
              <w:pStyle w:val="P68B1DB1-Normal25"/>
              <w:spacing w:after="0" w:line="240" w:lineRule="auto"/>
              <w:rPr>
                <w:rFonts w:eastAsia="Times New Roman" w:cs="Times New Roman"/>
                <w:noProof/>
              </w:rPr>
            </w:pPr>
            <w:r>
              <w:rPr>
                <w:noProof/>
              </w:rPr>
              <w:t>Ondertekende contracten</w:t>
            </w:r>
          </w:p>
        </w:tc>
        <w:tc>
          <w:tcPr>
            <w:tcW w:w="992" w:type="dxa"/>
            <w:tcBorders>
              <w:top w:val="nil"/>
              <w:left w:val="nil"/>
              <w:bottom w:val="single" w:sz="4" w:space="0" w:color="auto"/>
              <w:right w:val="single" w:sz="4" w:space="0" w:color="auto"/>
            </w:tcBorders>
            <w:shd w:val="clear" w:color="auto" w:fill="C6EFCE"/>
            <w:noWrap/>
          </w:tcPr>
          <w:p w14:paraId="42CC5FCE" w14:textId="77777777" w:rsidR="00480F1C" w:rsidRDefault="00480F1C">
            <w:pPr>
              <w:spacing w:after="0" w:line="240" w:lineRule="auto"/>
              <w:rPr>
                <w:rFonts w:ascii="Times New Roman" w:eastAsia="Times New Roman" w:hAnsi="Times New Roman" w:cs="Times New Roman"/>
                <w:noProof/>
                <w:sz w:val="18"/>
              </w:rPr>
            </w:pPr>
          </w:p>
        </w:tc>
        <w:tc>
          <w:tcPr>
            <w:tcW w:w="992" w:type="dxa"/>
            <w:tcBorders>
              <w:top w:val="nil"/>
              <w:left w:val="nil"/>
              <w:bottom w:val="single" w:sz="4" w:space="0" w:color="auto"/>
              <w:right w:val="single" w:sz="4" w:space="0" w:color="auto"/>
            </w:tcBorders>
            <w:shd w:val="clear" w:color="auto" w:fill="C6EFCE"/>
            <w:noWrap/>
          </w:tcPr>
          <w:p w14:paraId="35844617" w14:textId="77777777" w:rsidR="00480F1C" w:rsidRDefault="00480F1C">
            <w:pPr>
              <w:spacing w:after="0" w:line="240" w:lineRule="auto"/>
              <w:jc w:val="right"/>
              <w:rPr>
                <w:rFonts w:ascii="Times New Roman" w:eastAsia="Times New Roman" w:hAnsi="Times New Roman" w:cs="Times New Roman"/>
                <w:noProof/>
                <w:sz w:val="18"/>
              </w:rPr>
            </w:pPr>
          </w:p>
        </w:tc>
        <w:tc>
          <w:tcPr>
            <w:tcW w:w="709" w:type="dxa"/>
            <w:tcBorders>
              <w:top w:val="nil"/>
              <w:left w:val="nil"/>
              <w:bottom w:val="single" w:sz="4" w:space="0" w:color="auto"/>
              <w:right w:val="single" w:sz="4" w:space="0" w:color="auto"/>
            </w:tcBorders>
            <w:shd w:val="clear" w:color="auto" w:fill="C6EFCE"/>
            <w:noWrap/>
          </w:tcPr>
          <w:p w14:paraId="2E81BB8B" w14:textId="77777777" w:rsidR="00480F1C" w:rsidRDefault="00480F1C">
            <w:pPr>
              <w:spacing w:after="0" w:line="240" w:lineRule="auto"/>
              <w:jc w:val="right"/>
              <w:rPr>
                <w:rFonts w:ascii="Times New Roman" w:eastAsia="Times New Roman" w:hAnsi="Times New Roman" w:cs="Times New Roman"/>
                <w:noProof/>
                <w:sz w:val="18"/>
              </w:rPr>
            </w:pPr>
          </w:p>
        </w:tc>
        <w:tc>
          <w:tcPr>
            <w:tcW w:w="992" w:type="dxa"/>
            <w:tcBorders>
              <w:top w:val="nil"/>
              <w:left w:val="nil"/>
              <w:bottom w:val="single" w:sz="4" w:space="0" w:color="auto"/>
              <w:right w:val="single" w:sz="4" w:space="0" w:color="auto"/>
            </w:tcBorders>
            <w:shd w:val="clear" w:color="auto" w:fill="C6EFCE"/>
            <w:noWrap/>
          </w:tcPr>
          <w:p w14:paraId="42049F82" w14:textId="77777777" w:rsidR="00480F1C" w:rsidRDefault="00A201F6">
            <w:pPr>
              <w:pStyle w:val="P68B1DB1-Normal25"/>
              <w:spacing w:after="0" w:line="240" w:lineRule="auto"/>
              <w:jc w:val="center"/>
              <w:rPr>
                <w:rFonts w:eastAsia="Times New Roman" w:cs="Times New Roman"/>
                <w:noProof/>
              </w:rPr>
            </w:pPr>
            <w:r>
              <w:rPr>
                <w:noProof/>
              </w:rPr>
              <w:t>KWARTAAL 3</w:t>
            </w:r>
          </w:p>
        </w:tc>
        <w:tc>
          <w:tcPr>
            <w:tcW w:w="851" w:type="dxa"/>
            <w:tcBorders>
              <w:top w:val="nil"/>
              <w:left w:val="nil"/>
              <w:bottom w:val="single" w:sz="4" w:space="0" w:color="auto"/>
              <w:right w:val="single" w:sz="4" w:space="0" w:color="auto"/>
            </w:tcBorders>
            <w:shd w:val="clear" w:color="auto" w:fill="C6EFCE"/>
            <w:noWrap/>
          </w:tcPr>
          <w:p w14:paraId="46681A2A" w14:textId="77777777" w:rsidR="00480F1C" w:rsidRDefault="00A201F6">
            <w:pPr>
              <w:pStyle w:val="P68B1DB1-Normal25"/>
              <w:spacing w:after="0" w:line="240" w:lineRule="auto"/>
              <w:jc w:val="center"/>
              <w:rPr>
                <w:rFonts w:eastAsia="Times New Roman" w:cs="Times New Roman"/>
                <w:noProof/>
              </w:rPr>
            </w:pPr>
            <w:r>
              <w:rPr>
                <w:noProof/>
              </w:rPr>
              <w:t>2024</w:t>
            </w:r>
          </w:p>
        </w:tc>
        <w:tc>
          <w:tcPr>
            <w:tcW w:w="3690" w:type="dxa"/>
            <w:tcBorders>
              <w:top w:val="nil"/>
              <w:left w:val="nil"/>
              <w:bottom w:val="single" w:sz="4" w:space="0" w:color="auto"/>
              <w:right w:val="single" w:sz="4" w:space="0" w:color="auto"/>
            </w:tcBorders>
            <w:shd w:val="clear" w:color="auto" w:fill="C6EFCE"/>
            <w:noWrap/>
            <w:vAlign w:val="bottom"/>
          </w:tcPr>
          <w:p w14:paraId="22C0923B" w14:textId="77777777" w:rsidR="00480F1C" w:rsidRDefault="00A201F6">
            <w:pPr>
              <w:pStyle w:val="P68B1DB1-Normal25"/>
              <w:spacing w:after="0" w:line="240" w:lineRule="auto"/>
              <w:rPr>
                <w:rFonts w:eastAsia="Times New Roman" w:cs="Times New Roman"/>
                <w:noProof/>
              </w:rPr>
            </w:pPr>
            <w:r>
              <w:rPr>
                <w:noProof/>
              </w:rPr>
              <w:t>Er worden contracten ondertekend met de geselecteerde begunstigde entiteiten (lokale overheden of exploitanten van openbare diensten) voor 1159 nieuwe emissievrije bussen.</w:t>
            </w:r>
          </w:p>
          <w:p w14:paraId="50B69429" w14:textId="77777777" w:rsidR="00480F1C" w:rsidRDefault="00A201F6">
            <w:pPr>
              <w:pStyle w:val="P68B1DB1-Normal25"/>
              <w:spacing w:after="0" w:line="240" w:lineRule="auto"/>
              <w:rPr>
                <w:rFonts w:eastAsia="Times New Roman" w:cs="Times New Roman"/>
                <w:noProof/>
              </w:rPr>
            </w:pPr>
            <w:r>
              <w:rPr>
                <w:noProof/>
              </w:rPr>
              <w:t xml:space="preserve"> </w:t>
            </w:r>
          </w:p>
          <w:p w14:paraId="15240A20" w14:textId="20CC2E60" w:rsidR="00480F1C" w:rsidRDefault="00A201F6">
            <w:pPr>
              <w:pStyle w:val="P68B1DB1-Normal25"/>
              <w:spacing w:after="0" w:line="240" w:lineRule="auto"/>
              <w:rPr>
                <w:rFonts w:eastAsia="Times New Roman" w:cs="Times New Roman"/>
                <w:noProof/>
              </w:rPr>
            </w:pPr>
            <w:r>
              <w:rPr>
                <w:noProof/>
              </w:rPr>
              <w:t>De begunstigde entiteiten worden geselecteerd via transparante en vergelijkende oproepen die openstaan voor alle lokale overheden en exploitanten van openbare diensten, voor emissievrij vervoer in stedelijke gebieden. Alleen elektrische bussen worden ondersteund.</w:t>
            </w:r>
          </w:p>
        </w:tc>
      </w:tr>
      <w:tr w:rsidR="00480F1C" w14:paraId="79A80666" w14:textId="77777777">
        <w:trPr>
          <w:trHeight w:val="309"/>
          <w:jc w:val="center"/>
        </w:trPr>
        <w:tc>
          <w:tcPr>
            <w:tcW w:w="840" w:type="dxa"/>
            <w:tcBorders>
              <w:top w:val="nil"/>
              <w:left w:val="single" w:sz="4" w:space="0" w:color="auto"/>
              <w:bottom w:val="single" w:sz="4" w:space="0" w:color="auto"/>
              <w:right w:val="single" w:sz="4" w:space="0" w:color="auto"/>
            </w:tcBorders>
            <w:shd w:val="clear" w:color="auto" w:fill="C6EFCE"/>
            <w:noWrap/>
          </w:tcPr>
          <w:p w14:paraId="371E4FA6" w14:textId="4A791FE2" w:rsidR="00480F1C" w:rsidRDefault="00A201F6">
            <w:pPr>
              <w:pStyle w:val="P68B1DB1-Normal25"/>
              <w:spacing w:after="0" w:line="240" w:lineRule="auto"/>
              <w:jc w:val="center"/>
              <w:rPr>
                <w:rFonts w:eastAsia="Times New Roman" w:cs="Times New Roman"/>
                <w:noProof/>
              </w:rPr>
            </w:pPr>
            <w:r>
              <w:rPr>
                <w:noProof/>
              </w:rPr>
              <w:t>G27G</w:t>
            </w:r>
          </w:p>
        </w:tc>
        <w:tc>
          <w:tcPr>
            <w:tcW w:w="1565" w:type="dxa"/>
            <w:tcBorders>
              <w:top w:val="nil"/>
              <w:left w:val="nil"/>
              <w:bottom w:val="single" w:sz="4" w:space="0" w:color="auto"/>
              <w:right w:val="single" w:sz="4" w:space="0" w:color="auto"/>
            </w:tcBorders>
            <w:shd w:val="clear" w:color="auto" w:fill="C6EFCE"/>
            <w:noWrap/>
          </w:tcPr>
          <w:p w14:paraId="20E26175" w14:textId="77777777" w:rsidR="00480F1C" w:rsidRDefault="00A201F6">
            <w:pPr>
              <w:pStyle w:val="P68B1DB1-Normal25"/>
              <w:spacing w:after="0" w:line="240" w:lineRule="auto"/>
              <w:rPr>
                <w:rFonts w:eastAsia="Times New Roman" w:cs="Times New Roman"/>
                <w:noProof/>
              </w:rPr>
            </w:pPr>
            <w:r>
              <w:rPr>
                <w:noProof/>
              </w:rPr>
              <w:t>G1.3.2 Grootemissievrij collectief vervoer (bussen)</w:t>
            </w:r>
          </w:p>
        </w:tc>
        <w:tc>
          <w:tcPr>
            <w:tcW w:w="992" w:type="dxa"/>
            <w:tcBorders>
              <w:top w:val="nil"/>
              <w:left w:val="nil"/>
              <w:bottom w:val="single" w:sz="4" w:space="0" w:color="auto"/>
              <w:right w:val="single" w:sz="4" w:space="0" w:color="auto"/>
            </w:tcBorders>
            <w:shd w:val="clear" w:color="auto" w:fill="C6EFCE"/>
            <w:noWrap/>
          </w:tcPr>
          <w:p w14:paraId="27C18A4A" w14:textId="77777777" w:rsidR="00480F1C" w:rsidRDefault="00A201F6">
            <w:pPr>
              <w:pStyle w:val="P68B1DB1-Normal25"/>
              <w:spacing w:after="0" w:line="240" w:lineRule="auto"/>
              <w:rPr>
                <w:rFonts w:eastAsia="Times New Roman" w:cs="Times New Roman"/>
                <w:noProof/>
              </w:rPr>
            </w:pPr>
            <w:r>
              <w:rPr>
                <w:noProof/>
              </w:rPr>
              <w:t>Doel</w:t>
            </w:r>
          </w:p>
        </w:tc>
        <w:tc>
          <w:tcPr>
            <w:tcW w:w="1985" w:type="dxa"/>
            <w:tcBorders>
              <w:top w:val="nil"/>
              <w:left w:val="nil"/>
              <w:bottom w:val="single" w:sz="4" w:space="0" w:color="auto"/>
              <w:right w:val="single" w:sz="4" w:space="0" w:color="auto"/>
            </w:tcBorders>
            <w:shd w:val="clear" w:color="auto" w:fill="C6EFCE"/>
            <w:noWrap/>
          </w:tcPr>
          <w:p w14:paraId="46E308FB" w14:textId="77777777" w:rsidR="00480F1C" w:rsidRDefault="00A201F6">
            <w:pPr>
              <w:pStyle w:val="P68B1DB1-Normal25"/>
              <w:spacing w:after="0" w:line="240" w:lineRule="auto"/>
              <w:rPr>
                <w:rFonts w:eastAsia="Times New Roman" w:cs="Times New Roman"/>
                <w:noProof/>
              </w:rPr>
            </w:pPr>
            <w:r>
              <w:rPr>
                <w:noProof/>
              </w:rPr>
              <w:t>Nieuwe emissievrije voertuigen in bedrijf</w:t>
            </w:r>
          </w:p>
        </w:tc>
        <w:tc>
          <w:tcPr>
            <w:tcW w:w="1701" w:type="dxa"/>
            <w:tcBorders>
              <w:top w:val="nil"/>
              <w:left w:val="nil"/>
              <w:bottom w:val="single" w:sz="4" w:space="0" w:color="auto"/>
              <w:right w:val="single" w:sz="4" w:space="0" w:color="auto"/>
            </w:tcBorders>
            <w:shd w:val="clear" w:color="auto" w:fill="C6EFCE"/>
            <w:noWrap/>
          </w:tcPr>
          <w:p w14:paraId="0EDC65B2" w14:textId="77777777" w:rsidR="00480F1C" w:rsidRDefault="00480F1C">
            <w:pPr>
              <w:spacing w:after="0" w:line="240" w:lineRule="auto"/>
              <w:rPr>
                <w:rFonts w:ascii="Times New Roman" w:eastAsia="Times New Roman" w:hAnsi="Times New Roman" w:cs="Times New Roman"/>
                <w:noProof/>
                <w:sz w:val="18"/>
              </w:rPr>
            </w:pPr>
          </w:p>
        </w:tc>
        <w:tc>
          <w:tcPr>
            <w:tcW w:w="992" w:type="dxa"/>
            <w:tcBorders>
              <w:top w:val="nil"/>
              <w:left w:val="nil"/>
              <w:bottom w:val="single" w:sz="4" w:space="0" w:color="auto"/>
              <w:right w:val="single" w:sz="4" w:space="0" w:color="auto"/>
            </w:tcBorders>
            <w:shd w:val="clear" w:color="auto" w:fill="C6EFCE"/>
            <w:noWrap/>
          </w:tcPr>
          <w:p w14:paraId="38360F58" w14:textId="77777777" w:rsidR="00480F1C" w:rsidRDefault="00A201F6">
            <w:pPr>
              <w:pStyle w:val="P68B1DB1-Normal25"/>
              <w:spacing w:after="0" w:line="240" w:lineRule="auto"/>
              <w:rPr>
                <w:rFonts w:eastAsia="Times New Roman" w:cs="Times New Roman"/>
                <w:noProof/>
              </w:rPr>
            </w:pPr>
            <w:r>
              <w:rPr>
                <w:noProof/>
              </w:rPr>
              <w:t>Aantal</w:t>
            </w:r>
          </w:p>
        </w:tc>
        <w:tc>
          <w:tcPr>
            <w:tcW w:w="992" w:type="dxa"/>
            <w:tcBorders>
              <w:top w:val="nil"/>
              <w:left w:val="nil"/>
              <w:bottom w:val="single" w:sz="4" w:space="0" w:color="auto"/>
              <w:right w:val="single" w:sz="4" w:space="0" w:color="auto"/>
            </w:tcBorders>
            <w:shd w:val="clear" w:color="auto" w:fill="C6EFCE"/>
            <w:noWrap/>
          </w:tcPr>
          <w:p w14:paraId="0CF766DB" w14:textId="77777777" w:rsidR="00480F1C" w:rsidRDefault="00A201F6">
            <w:pPr>
              <w:pStyle w:val="P68B1DB1-Normal25"/>
              <w:spacing w:after="0" w:line="240" w:lineRule="auto"/>
              <w:jc w:val="right"/>
              <w:rPr>
                <w:rFonts w:eastAsia="Times New Roman" w:cs="Times New Roman"/>
                <w:noProof/>
              </w:rPr>
            </w:pPr>
            <w:r>
              <w:rPr>
                <w:noProof/>
              </w:rPr>
              <w:t>0</w:t>
            </w:r>
          </w:p>
        </w:tc>
        <w:tc>
          <w:tcPr>
            <w:tcW w:w="709" w:type="dxa"/>
            <w:tcBorders>
              <w:top w:val="nil"/>
              <w:left w:val="nil"/>
              <w:bottom w:val="single" w:sz="4" w:space="0" w:color="auto"/>
              <w:right w:val="single" w:sz="4" w:space="0" w:color="auto"/>
            </w:tcBorders>
            <w:shd w:val="clear" w:color="auto" w:fill="C6EFCE"/>
            <w:noWrap/>
          </w:tcPr>
          <w:p w14:paraId="0A31A8C4" w14:textId="77777777" w:rsidR="00480F1C" w:rsidRDefault="00A201F6">
            <w:pPr>
              <w:pStyle w:val="P68B1DB1-Normal25"/>
              <w:spacing w:after="0" w:line="240" w:lineRule="auto"/>
              <w:jc w:val="right"/>
              <w:rPr>
                <w:rFonts w:eastAsia="Times New Roman" w:cs="Times New Roman"/>
                <w:noProof/>
              </w:rPr>
            </w:pPr>
            <w:r>
              <w:rPr>
                <w:noProof/>
              </w:rPr>
              <w:t>1159</w:t>
            </w:r>
          </w:p>
        </w:tc>
        <w:tc>
          <w:tcPr>
            <w:tcW w:w="992" w:type="dxa"/>
            <w:tcBorders>
              <w:top w:val="nil"/>
              <w:left w:val="nil"/>
              <w:bottom w:val="single" w:sz="4" w:space="0" w:color="auto"/>
              <w:right w:val="single" w:sz="4" w:space="0" w:color="auto"/>
            </w:tcBorders>
            <w:shd w:val="clear" w:color="auto" w:fill="C6EFCE"/>
            <w:noWrap/>
          </w:tcPr>
          <w:p w14:paraId="2E242C70" w14:textId="77777777" w:rsidR="00480F1C" w:rsidRDefault="00A201F6">
            <w:pPr>
              <w:pStyle w:val="P68B1DB1-Normal25"/>
              <w:spacing w:after="0" w:line="240" w:lineRule="auto"/>
              <w:jc w:val="center"/>
              <w:rPr>
                <w:rFonts w:eastAsia="Times New Roman" w:cs="Times New Roman"/>
                <w:noProof/>
              </w:rPr>
            </w:pPr>
            <w:r>
              <w:rPr>
                <w:noProof/>
              </w:rPr>
              <w:t>KWARTAAL 2</w:t>
            </w:r>
          </w:p>
        </w:tc>
        <w:tc>
          <w:tcPr>
            <w:tcW w:w="851" w:type="dxa"/>
            <w:tcBorders>
              <w:top w:val="nil"/>
              <w:left w:val="nil"/>
              <w:bottom w:val="single" w:sz="4" w:space="0" w:color="auto"/>
              <w:right w:val="single" w:sz="4" w:space="0" w:color="auto"/>
            </w:tcBorders>
            <w:shd w:val="clear" w:color="auto" w:fill="C6EFCE"/>
            <w:noWrap/>
          </w:tcPr>
          <w:p w14:paraId="3CC9983C" w14:textId="77777777" w:rsidR="00480F1C" w:rsidRDefault="00A201F6">
            <w:pPr>
              <w:pStyle w:val="P68B1DB1-Normal25"/>
              <w:spacing w:after="0" w:line="240" w:lineRule="auto"/>
              <w:jc w:val="center"/>
              <w:rPr>
                <w:rFonts w:eastAsia="Times New Roman" w:cs="Times New Roman"/>
                <w:noProof/>
              </w:rPr>
            </w:pPr>
            <w:r>
              <w:rPr>
                <w:noProof/>
              </w:rPr>
              <w:t>2026</w:t>
            </w:r>
          </w:p>
        </w:tc>
        <w:tc>
          <w:tcPr>
            <w:tcW w:w="3690" w:type="dxa"/>
            <w:tcBorders>
              <w:top w:val="nil"/>
              <w:left w:val="nil"/>
              <w:bottom w:val="single" w:sz="4" w:space="0" w:color="auto"/>
              <w:right w:val="single" w:sz="4" w:space="0" w:color="auto"/>
            </w:tcBorders>
            <w:shd w:val="clear" w:color="auto" w:fill="C6EFCE"/>
            <w:noWrap/>
            <w:vAlign w:val="bottom"/>
          </w:tcPr>
          <w:p w14:paraId="1CE1FD95" w14:textId="521E9024" w:rsidR="00480F1C" w:rsidRDefault="00A201F6">
            <w:pPr>
              <w:pStyle w:val="P68B1DB1-Normal25"/>
              <w:spacing w:after="0" w:line="240" w:lineRule="auto"/>
              <w:rPr>
                <w:rFonts w:eastAsia="Times New Roman" w:cs="Times New Roman"/>
                <w:noProof/>
              </w:rPr>
            </w:pPr>
            <w:r>
              <w:rPr>
                <w:noProof/>
              </w:rPr>
              <w:t>Nieuwe emissievrije bussen die worden geleverd in het kader van door deze investering gefinancierde contracten voor openbaar stadsvervoer.</w:t>
            </w:r>
          </w:p>
          <w:p w14:paraId="24C9F10E" w14:textId="77777777" w:rsidR="00480F1C" w:rsidRDefault="00480F1C">
            <w:pPr>
              <w:spacing w:after="0" w:line="240" w:lineRule="auto"/>
              <w:rPr>
                <w:rFonts w:ascii="Times New Roman" w:eastAsia="Times New Roman" w:hAnsi="Times New Roman" w:cs="Times New Roman"/>
                <w:noProof/>
                <w:sz w:val="18"/>
              </w:rPr>
            </w:pPr>
          </w:p>
          <w:p w14:paraId="72317B34" w14:textId="77777777" w:rsidR="00480F1C" w:rsidRDefault="00A201F6">
            <w:pPr>
              <w:pStyle w:val="P68B1DB1-Normal25"/>
              <w:spacing w:after="0" w:line="240" w:lineRule="auto"/>
              <w:rPr>
                <w:rFonts w:eastAsia="Times New Roman" w:cs="Times New Roman"/>
                <w:noProof/>
              </w:rPr>
            </w:pPr>
            <w:r>
              <w:rPr>
                <w:noProof/>
              </w:rPr>
              <w:t xml:space="preserve">De aankoop van bussen vindt plaats via open en concurrerende aanbestedingen. </w:t>
            </w:r>
          </w:p>
          <w:p w14:paraId="6F5060EA" w14:textId="77777777" w:rsidR="00480F1C" w:rsidRDefault="00480F1C">
            <w:pPr>
              <w:spacing w:after="0" w:line="240" w:lineRule="auto"/>
              <w:rPr>
                <w:rFonts w:ascii="Times New Roman" w:eastAsia="Times New Roman" w:hAnsi="Times New Roman" w:cs="Times New Roman"/>
                <w:noProof/>
                <w:sz w:val="18"/>
              </w:rPr>
            </w:pPr>
          </w:p>
          <w:p w14:paraId="79A2E7EA" w14:textId="77777777" w:rsidR="00480F1C" w:rsidRDefault="00A201F6">
            <w:pPr>
              <w:pStyle w:val="P68B1DB1-Normal25"/>
              <w:spacing w:after="0" w:line="240" w:lineRule="auto"/>
              <w:rPr>
                <w:rFonts w:eastAsia="Times New Roman" w:cs="Times New Roman"/>
                <w:noProof/>
              </w:rPr>
            </w:pPr>
            <w:r>
              <w:rPr>
                <w:noProof/>
              </w:rPr>
              <w:t>Alleen elektrische bussen mogen worden aangekocht.</w:t>
            </w:r>
          </w:p>
        </w:tc>
      </w:tr>
    </w:tbl>
    <w:p w14:paraId="71B5501B" w14:textId="3ACC3A2A" w:rsidR="00480F1C" w:rsidRDefault="00480F1C">
      <w:pPr>
        <w:rPr>
          <w:rFonts w:ascii="Times New Roman" w:hAnsi="Times New Roman" w:cs="Times New Roman"/>
          <w:noProof/>
          <w:sz w:val="24"/>
        </w:rPr>
      </w:pPr>
    </w:p>
    <w:p w14:paraId="5CA4C5D3" w14:textId="77777777" w:rsidR="00480F1C" w:rsidRDefault="00480F1C">
      <w:pPr>
        <w:rPr>
          <w:rFonts w:ascii="Times New Roman" w:eastAsia="Times New Roman" w:hAnsi="Times New Roman" w:cs="Times New Roman"/>
          <w:noProof/>
          <w:color w:val="000000" w:themeColor="text1"/>
        </w:rPr>
        <w:sectPr w:rsidR="00480F1C" w:rsidSect="001E5F7F">
          <w:headerReference w:type="even" r:id="rId169"/>
          <w:headerReference w:type="default" r:id="rId170"/>
          <w:footerReference w:type="even" r:id="rId171"/>
          <w:footerReference w:type="default" r:id="rId172"/>
          <w:headerReference w:type="first" r:id="rId173"/>
          <w:footerReference w:type="first" r:id="rId174"/>
          <w:pgSz w:w="16839" w:h="11907" w:orient="landscape"/>
          <w:pgMar w:top="1418" w:right="720" w:bottom="1418" w:left="720" w:header="709" w:footer="709" w:gutter="0"/>
          <w:cols w:space="720"/>
          <w:docGrid w:linePitch="299"/>
        </w:sectPr>
      </w:pPr>
    </w:p>
    <w:p w14:paraId="1A51F0D2" w14:textId="4FFC2B1C" w:rsidR="00480F1C" w:rsidRDefault="00A201F6">
      <w:pPr>
        <w:pStyle w:val="Text1"/>
        <w:ind w:left="0"/>
        <w:rPr>
          <w:smallCaps/>
          <w:noProof/>
        </w:rPr>
      </w:pPr>
      <w:r>
        <w:rPr>
          <w:b/>
          <w:noProof/>
        </w:rPr>
        <w:t xml:space="preserve">G3. </w:t>
      </w:r>
      <w:r>
        <w:rPr>
          <w:noProof/>
        </w:rPr>
        <w:tab/>
      </w:r>
      <w:r>
        <w:rPr>
          <w:b/>
          <w:noProof/>
        </w:rPr>
        <w:t xml:space="preserve">Beschrijving van de hervormingen en investeringen voor de lening </w:t>
      </w:r>
    </w:p>
    <w:p w14:paraId="54907098" w14:textId="77777777" w:rsidR="00480F1C" w:rsidRDefault="00480F1C">
      <w:pPr>
        <w:spacing w:before="120" w:after="120" w:line="240" w:lineRule="auto"/>
        <w:rPr>
          <w:noProof/>
        </w:rPr>
      </w:pPr>
    </w:p>
    <w:p w14:paraId="443C5BEC" w14:textId="51F1DB19" w:rsidR="00480F1C" w:rsidRDefault="00A201F6">
      <w:pPr>
        <w:pStyle w:val="P68B1DB1-Text138"/>
        <w:ind w:left="0"/>
        <w:rPr>
          <w:noProof/>
        </w:rPr>
      </w:pPr>
      <w:r>
        <w:rPr>
          <w:noProof/>
        </w:rPr>
        <w:t>Subcomponent G3.1 — Verbetering van de uitrol van hernieuwbare energie, groene vaardigheden en energie-efficiëntie</w:t>
      </w:r>
    </w:p>
    <w:p w14:paraId="5A9F4B5E" w14:textId="0B49DCF0" w:rsidR="00480F1C" w:rsidRDefault="00A201F6">
      <w:pPr>
        <w:pStyle w:val="P68B1DB1-Normal24"/>
        <w:spacing w:before="120" w:after="120" w:line="240" w:lineRule="auto"/>
        <w:jc w:val="both"/>
        <w:rPr>
          <w:rFonts w:cs="Times New Roman"/>
          <w:noProof/>
        </w:rPr>
      </w:pPr>
      <w:r>
        <w:rPr>
          <w:noProof/>
        </w:rPr>
        <w:t xml:space="preserve">De subcomponent heeft tot doel de vergunningsprocedures te stroomlijnen om de uitrol van hernieuwbare energie te versnellen, het tempo van de renovaties op het gebied van energie-efficiëntie te versnellen en de omscholing van de beroepsbevolking naar groene vaardigheden aan te moedigen. Het zal naar verwachting ook particuliere investeringen stimuleren en de toegang tot financiering in de energiesector, met inbegrip van offshore-windenergie, verbeteren. </w:t>
      </w:r>
    </w:p>
    <w:p w14:paraId="1DCF4AE3" w14:textId="77777777" w:rsidR="00480F1C" w:rsidRDefault="00480F1C">
      <w:pPr>
        <w:spacing w:before="120" w:after="120" w:line="240" w:lineRule="auto"/>
        <w:jc w:val="both"/>
        <w:rPr>
          <w:rFonts w:ascii="Times New Roman" w:hAnsi="Times New Roman" w:cs="Times New Roman"/>
          <w:noProof/>
          <w:sz w:val="24"/>
        </w:rPr>
      </w:pPr>
    </w:p>
    <w:p w14:paraId="3478AB06" w14:textId="7B41500E" w:rsidR="00480F1C" w:rsidRDefault="00A201F6">
      <w:pPr>
        <w:pStyle w:val="P68B1DB1-Normal33"/>
        <w:spacing w:before="120" w:after="120" w:line="240" w:lineRule="auto"/>
        <w:jc w:val="both"/>
        <w:rPr>
          <w:rFonts w:cs="Times New Roman"/>
          <w:noProof/>
        </w:rPr>
      </w:pPr>
      <w:r>
        <w:rPr>
          <w:noProof/>
        </w:rPr>
        <w:t>G3.1.1 Stroomlijning van de vergunningen voor hernieuwbare energiebronnen</w:t>
      </w:r>
    </w:p>
    <w:p w14:paraId="58B1A72B" w14:textId="7648D062" w:rsidR="00480F1C" w:rsidRDefault="00A201F6">
      <w:pPr>
        <w:pStyle w:val="Text1"/>
        <w:ind w:left="0"/>
        <w:rPr>
          <w:noProof/>
        </w:rPr>
      </w:pPr>
      <w:r>
        <w:rPr>
          <w:noProof/>
        </w:rPr>
        <w:t xml:space="preserve">Het doel van deze hervorming is de uitrol van hernieuwbare energiebronnen te versnellen door de vergunningsprocedures te stroomlijnen en een totale geïnstalleerde capaciteit van 30 GW aan fotovoltaïsche en onshore-windinstallaties in Polen mogelijk te maken. </w:t>
      </w:r>
    </w:p>
    <w:p w14:paraId="3299C395" w14:textId="24D330B7" w:rsidR="00480F1C" w:rsidRDefault="00A201F6">
      <w:pPr>
        <w:pStyle w:val="P68B1DB1-Normal24"/>
        <w:spacing w:before="120" w:after="120" w:line="240" w:lineRule="auto"/>
        <w:jc w:val="both"/>
        <w:rPr>
          <w:rFonts w:cs="Times New Roman"/>
          <w:noProof/>
        </w:rPr>
      </w:pPr>
      <w:r>
        <w:rPr>
          <w:noProof/>
        </w:rPr>
        <w:t>Het eerste deel bestaat uit het in kaart brengen van het potentieel voor hernieuwbare energie voor fotovoltaïsche en onshore-windinstallaties. De daaruit voortvloeiende hulpbronnenkaart wordt openbaar gemaakt om de plannings- en vergunningsprocedures voor dergelijke installaties te vergemakkelijken.</w:t>
      </w:r>
    </w:p>
    <w:p w14:paraId="4FF10BC9" w14:textId="729A26D6" w:rsidR="00480F1C" w:rsidRDefault="00A201F6">
      <w:pPr>
        <w:pStyle w:val="P68B1DB1-Normal24"/>
        <w:spacing w:before="120" w:after="120" w:line="240" w:lineRule="auto"/>
        <w:jc w:val="both"/>
        <w:rPr>
          <w:rFonts w:cs="Times New Roman"/>
          <w:noProof/>
        </w:rPr>
      </w:pPr>
      <w:r>
        <w:rPr>
          <w:noProof/>
        </w:rPr>
        <w:t xml:space="preserve">Het tweede deel betreft de aanwijzing van gebieden voor de versnelling van hernieuwbare energie voor fotovoltaïsche en onshore-windinstallaties. </w:t>
      </w:r>
    </w:p>
    <w:p w14:paraId="4BF8C1E4" w14:textId="7BF16CF0" w:rsidR="00480F1C" w:rsidRDefault="00A201F6">
      <w:pPr>
        <w:pStyle w:val="Text1"/>
        <w:ind w:left="0"/>
        <w:rPr>
          <w:noProof/>
        </w:rPr>
      </w:pPr>
      <w:r>
        <w:rPr>
          <w:noProof/>
        </w:rPr>
        <w:t>Het derde deel van de hervorming bestaat uit de oprichting van één digitaal kaderplatform voor vergunningen voor hernieuwbare energie.</w:t>
      </w:r>
    </w:p>
    <w:p w14:paraId="6D5E03FF" w14:textId="5EE55692" w:rsidR="00480F1C" w:rsidRDefault="00A201F6">
      <w:pPr>
        <w:pStyle w:val="Text1"/>
        <w:ind w:left="0"/>
        <w:rPr>
          <w:noProof/>
        </w:rPr>
      </w:pPr>
      <w:r>
        <w:rPr>
          <w:noProof/>
        </w:rPr>
        <w:t xml:space="preserve">De uitvoering van de hervorming wordt uiterlijk op 30 juni 2026 voltooid. </w:t>
      </w:r>
    </w:p>
    <w:p w14:paraId="4ACC2FA5" w14:textId="25031869" w:rsidR="00480F1C" w:rsidRDefault="00A201F6">
      <w:pPr>
        <w:pStyle w:val="Text1"/>
        <w:ind w:left="0"/>
        <w:rPr>
          <w:noProof/>
        </w:rPr>
      </w:pPr>
      <w:r>
        <w:rPr>
          <w:noProof/>
        </w:rPr>
        <w:t>De doelstelling van 30 GW aan fotovoltaïsche en onshore-windinstallaties in Polen wordt uiterlijk op 30 juni 2026 gehaald.</w:t>
      </w:r>
    </w:p>
    <w:p w14:paraId="164C96E6" w14:textId="77777777" w:rsidR="00480F1C" w:rsidRDefault="00480F1C">
      <w:pPr>
        <w:spacing w:before="120" w:after="120" w:line="240" w:lineRule="auto"/>
        <w:jc w:val="both"/>
        <w:rPr>
          <w:rFonts w:ascii="Times New Roman" w:hAnsi="Times New Roman" w:cs="Times New Roman"/>
          <w:noProof/>
          <w:sz w:val="24"/>
        </w:rPr>
      </w:pPr>
    </w:p>
    <w:p w14:paraId="1345B3C0" w14:textId="4A394A61" w:rsidR="00480F1C" w:rsidRDefault="00A201F6">
      <w:pPr>
        <w:pStyle w:val="P68B1DB1-Normal33"/>
        <w:keepNext/>
        <w:spacing w:before="120" w:after="120" w:line="240" w:lineRule="auto"/>
        <w:jc w:val="both"/>
        <w:rPr>
          <w:rFonts w:cs="Times New Roman"/>
          <w:noProof/>
        </w:rPr>
      </w:pPr>
      <w:r>
        <w:rPr>
          <w:noProof/>
        </w:rPr>
        <w:t>G3.1.2. Vaardigheden voor de groene transitie</w:t>
      </w:r>
    </w:p>
    <w:p w14:paraId="740D7715" w14:textId="0CAB9C6B" w:rsidR="00480F1C" w:rsidRDefault="00A201F6">
      <w:pPr>
        <w:pStyle w:val="P68B1DB1-Normal24"/>
        <w:spacing w:before="120" w:after="120" w:line="240" w:lineRule="auto"/>
        <w:jc w:val="both"/>
        <w:rPr>
          <w:rFonts w:eastAsia="Times New Roman" w:cs="Times New Roman"/>
          <w:noProof/>
        </w:rPr>
      </w:pPr>
      <w:r>
        <w:rPr>
          <w:noProof/>
        </w:rPr>
        <w:t xml:space="preserve">Het doel van de hervorming is de sectorale kwalificatiekaders in de meest kritieke sectoren van de groene transformatie te wijzigen om tegemoet te komen aan de toenemende vraag naar groene banen op de arbeidsmarkt, teneinde de doelstellingen van de Europese Green Deal en klimaatneutraliteit tegen 2050 te verwezenlijken. </w:t>
      </w:r>
    </w:p>
    <w:p w14:paraId="43C63560" w14:textId="11A363E9" w:rsidR="00480F1C" w:rsidRDefault="00A201F6">
      <w:pPr>
        <w:spacing w:before="120" w:after="120" w:line="240" w:lineRule="auto"/>
        <w:jc w:val="both"/>
        <w:rPr>
          <w:rFonts w:ascii="Times New Roman" w:eastAsia="Times New Roman" w:hAnsi="Times New Roman" w:cs="Times New Roman"/>
          <w:noProof/>
          <w:sz w:val="24"/>
        </w:rPr>
      </w:pPr>
      <w:r>
        <w:rPr>
          <w:rFonts w:ascii="Times New Roman" w:hAnsi="Times New Roman"/>
          <w:noProof/>
          <w:sz w:val="24"/>
        </w:rPr>
        <w:t>De hervorming bestaat erin de bestaande sectorale kwalificatiekaders voor bouw, waterbeheer en afvalbeheer te wijzigen door er kwalificaties in op te nemen om ervoor te zorgen dat de nodige vaardigheden in deze sectoren worden verworven.</w:t>
      </w:r>
      <w:r>
        <w:rPr>
          <w:noProof/>
        </w:rPr>
        <w:t xml:space="preserve"> </w:t>
      </w:r>
      <w:r>
        <w:rPr>
          <w:rFonts w:ascii="Times New Roman" w:hAnsi="Times New Roman"/>
          <w:noProof/>
          <w:sz w:val="24"/>
        </w:rPr>
        <w:t>Voorts moet een sectoraal kwalificatiekader voor energie worden gewijzigd om de kwalificaties voor hernieuwbare energiebronnen weer te geven. Deze kwalificatiekaders worden opgesteld in samenwerking met relevante belanghebbenden, met inbegrip van sectorale competentieraden.</w:t>
      </w:r>
    </w:p>
    <w:p w14:paraId="2BD095C1" w14:textId="30D46F5D" w:rsidR="00480F1C" w:rsidRDefault="00A201F6">
      <w:pPr>
        <w:pStyle w:val="P68B1DB1-Normal24"/>
        <w:spacing w:before="120" w:after="120" w:line="240" w:lineRule="auto"/>
        <w:jc w:val="both"/>
        <w:rPr>
          <w:rFonts w:eastAsia="Times New Roman" w:cs="Times New Roman"/>
          <w:noProof/>
        </w:rPr>
      </w:pPr>
      <w:r>
        <w:rPr>
          <w:noProof/>
        </w:rPr>
        <w:t xml:space="preserve">De bovengenoemde sectorale kwalificatiekaders worden door middel van verordeningen in het geïntegreerde kwalificatiesysteem opgenomen. </w:t>
      </w:r>
    </w:p>
    <w:p w14:paraId="398AB108" w14:textId="252AF629" w:rsidR="00480F1C" w:rsidRDefault="00A201F6">
      <w:pPr>
        <w:pStyle w:val="P68B1DB1-Normal24"/>
        <w:spacing w:before="120" w:line="257" w:lineRule="auto"/>
        <w:jc w:val="both"/>
        <w:rPr>
          <w:noProof/>
        </w:rPr>
      </w:pPr>
      <w:r>
        <w:rPr>
          <w:noProof/>
        </w:rPr>
        <w:t>De uitvoering van de hervorming wordt uiterlijk op 31 december 2025 voltooid.</w:t>
      </w:r>
    </w:p>
    <w:p w14:paraId="18B66031" w14:textId="77777777" w:rsidR="00480F1C" w:rsidRDefault="00480F1C">
      <w:pPr>
        <w:spacing w:before="120" w:after="120" w:line="240" w:lineRule="auto"/>
        <w:jc w:val="both"/>
        <w:rPr>
          <w:rFonts w:ascii="Times New Roman" w:hAnsi="Times New Roman" w:cs="Times New Roman"/>
          <w:noProof/>
          <w:sz w:val="24"/>
        </w:rPr>
      </w:pPr>
    </w:p>
    <w:p w14:paraId="2794FAF0" w14:textId="0C0B53C5" w:rsidR="00480F1C" w:rsidRDefault="00A201F6">
      <w:pPr>
        <w:pStyle w:val="P68B1DB1-Normal33"/>
        <w:keepNext/>
        <w:spacing w:before="120" w:after="120" w:line="240" w:lineRule="auto"/>
        <w:jc w:val="both"/>
        <w:rPr>
          <w:rFonts w:cs="Times New Roman"/>
          <w:noProof/>
        </w:rPr>
      </w:pPr>
      <w:r>
        <w:rPr>
          <w:noProof/>
        </w:rPr>
        <w:t>G3.1.3. Energie-efficiëntie stimuleren en de uitfasering van fossiele brandstoffen voor de verwarming van woningen versnellen</w:t>
      </w:r>
    </w:p>
    <w:p w14:paraId="196B9970" w14:textId="77777777" w:rsidR="00480F1C" w:rsidRDefault="00A201F6">
      <w:pPr>
        <w:pStyle w:val="P68B1DB1-Text13"/>
        <w:ind w:left="0"/>
        <w:rPr>
          <w:rFonts w:eastAsia="Times New Roman"/>
          <w:noProof/>
        </w:rPr>
      </w:pPr>
      <w:r>
        <w:rPr>
          <w:noProof/>
        </w:rPr>
        <w:t>Het doel van de hervorming is de afhankelijkheid van en het verbruik van fossiele brandstoffen te verminderen door de renovatie van woningen en de uitfasering van fossiele brandstoffen voor verwarming te versnellen en tegelijkertijd energiearmoede terug te dringen.</w:t>
      </w:r>
    </w:p>
    <w:p w14:paraId="4FEA25C5" w14:textId="77777777" w:rsidR="00480F1C" w:rsidRDefault="00A201F6">
      <w:pPr>
        <w:pStyle w:val="P68B1DB1-Text13"/>
        <w:ind w:left="0"/>
        <w:rPr>
          <w:rFonts w:eastAsia="Times New Roman"/>
          <w:noProof/>
        </w:rPr>
      </w:pPr>
      <w:r>
        <w:rPr>
          <w:noProof/>
        </w:rPr>
        <w:t>De hervorming bestaat uit de actualisering van een bestaand prioritair programma of de vaststelling van een nieuw prioritair programma ter ondersteuning van geïntegreerde diensten voor woningrenovatie. De hervorming bouwt voort op de ervaring die is opgedaan met de proefuitvoering van „exploitanten van woningrenovatie” en biedt steun aan exploitanten van woningrenovatie in heel Polen.</w:t>
      </w:r>
    </w:p>
    <w:p w14:paraId="64B7C65D" w14:textId="77777777" w:rsidR="00480F1C" w:rsidRDefault="00A201F6">
      <w:pPr>
        <w:pStyle w:val="P68B1DB1-Text13"/>
        <w:ind w:left="0"/>
        <w:rPr>
          <w:rFonts w:eastAsia="Times New Roman"/>
          <w:noProof/>
        </w:rPr>
      </w:pPr>
      <w:r>
        <w:rPr>
          <w:noProof/>
        </w:rPr>
        <w:t>De uitvoering van de hervorming wordt uiterlijk op 31 december 2024 voltooid.</w:t>
      </w:r>
    </w:p>
    <w:p w14:paraId="7C2E1745" w14:textId="77777777" w:rsidR="00480F1C" w:rsidRDefault="00480F1C">
      <w:pPr>
        <w:rPr>
          <w:rFonts w:ascii="Times New Roman" w:eastAsia="Times New Roman" w:hAnsi="Times New Roman" w:cs="Times New Roman"/>
          <w:noProof/>
          <w:color w:val="000000" w:themeColor="text1"/>
        </w:rPr>
      </w:pPr>
    </w:p>
    <w:p w14:paraId="7C34D8FA" w14:textId="4AD5DE54" w:rsidR="00480F1C" w:rsidRDefault="00A201F6">
      <w:pPr>
        <w:pStyle w:val="P68B1DB1-Normal33"/>
        <w:spacing w:before="120" w:after="120" w:line="240" w:lineRule="auto"/>
        <w:jc w:val="both"/>
        <w:rPr>
          <w:rFonts w:cs="Times New Roman"/>
          <w:noProof/>
        </w:rPr>
      </w:pPr>
      <w:r>
        <w:rPr>
          <w:noProof/>
        </w:rPr>
        <w:t>G3.1.4. Steun voor het nationale energiesysteem (Energiesteunfonds)</w:t>
      </w:r>
    </w:p>
    <w:p w14:paraId="2CAED795" w14:textId="7746FCEB" w:rsidR="00480F1C" w:rsidRDefault="00A201F6">
      <w:pPr>
        <w:pStyle w:val="paragraph"/>
        <w:spacing w:before="0" w:beforeAutospacing="0" w:after="0" w:afterAutospacing="0"/>
        <w:jc w:val="both"/>
        <w:rPr>
          <w:rStyle w:val="eop"/>
          <w:noProof/>
        </w:rPr>
      </w:pPr>
      <w:r>
        <w:rPr>
          <w:rStyle w:val="normaltextrun"/>
          <w:noProof/>
        </w:rPr>
        <w:t>Deze maatregel bestaat uit een overheidsinvesteringen in een faciliteit, het Energiesteunfonds, om particuliere investeringen te stimuleren en de toegang tot financiering te verbeteren in de sectoren van de Poolse economie die rechtstreeks de kosten van de energietransitie dragen. De faciliteit functioneert door leningen te verstrekken aan de particuliere sector en huishoudens, alsook aan entiteiten uit de publieke sector die soortgelijke activiteiten ontplooien. Alle door de faciliteit ondersteunde investeringen zijn in overeenstemming met de relevante REPowerEU-doelstellingen van artikel 21 quater, lid 3, van de RRF-verordening, met uitzondering van artikel 21 quater, lid 3, punt a). Op basis van de investeringen in het kader van de herstel- en veerkrachtfaciliteit beoogt de faciliteit in eerste instantie ten minste 17 068 511 631 EUR aan financiering te verstrekken. </w:t>
      </w:r>
    </w:p>
    <w:p w14:paraId="4A91484B" w14:textId="77777777" w:rsidR="00480F1C" w:rsidRDefault="00A201F6">
      <w:pPr>
        <w:pStyle w:val="paragraph"/>
        <w:spacing w:before="0" w:beforeAutospacing="0" w:after="0" w:afterAutospacing="0"/>
        <w:jc w:val="both"/>
        <w:textAlignment w:val="baseline"/>
        <w:rPr>
          <w:rStyle w:val="normaltextrun"/>
          <w:rFonts w:eastAsiaTheme="majorEastAsia"/>
          <w:noProof/>
        </w:rPr>
      </w:pPr>
      <w:r>
        <w:rPr>
          <w:rStyle w:val="normaltextrun"/>
          <w:noProof/>
        </w:rPr>
        <w:t xml:space="preserve">De faciliteit wordt beheerd door Bank Gospodarstwa Krajowego (BGK), als uitvoerende partner. </w:t>
      </w:r>
    </w:p>
    <w:p w14:paraId="428F44EE" w14:textId="77777777" w:rsidR="00480F1C" w:rsidRDefault="00480F1C">
      <w:pPr>
        <w:pStyle w:val="paragraph"/>
        <w:spacing w:before="0" w:beforeAutospacing="0" w:after="0" w:afterAutospacing="0"/>
        <w:jc w:val="both"/>
        <w:rPr>
          <w:rStyle w:val="normaltextrun"/>
          <w:rFonts w:eastAsiaTheme="majorEastAsia"/>
          <w:noProof/>
        </w:rPr>
      </w:pPr>
    </w:p>
    <w:p w14:paraId="0D543694" w14:textId="77777777" w:rsidR="00480F1C" w:rsidRDefault="00A201F6">
      <w:pPr>
        <w:pStyle w:val="paragraph"/>
        <w:spacing w:before="0" w:beforeAutospacing="0" w:after="0" w:afterAutospacing="0"/>
        <w:jc w:val="both"/>
        <w:textAlignment w:val="baseline"/>
        <w:rPr>
          <w:rFonts w:ascii="Segoe UI" w:hAnsi="Segoe UI" w:cs="Segoe UI"/>
          <w:noProof/>
          <w:sz w:val="18"/>
        </w:rPr>
      </w:pPr>
      <w:r>
        <w:rPr>
          <w:rStyle w:val="normaltextrun"/>
          <w:noProof/>
        </w:rPr>
        <w:t xml:space="preserve">De faciliteit omvat de volgende productlijnen: </w:t>
      </w:r>
    </w:p>
    <w:p w14:paraId="1C6A4898" w14:textId="77777777" w:rsidR="00480F1C" w:rsidRDefault="00A201F6">
      <w:pPr>
        <w:pStyle w:val="paragraph"/>
        <w:numPr>
          <w:ilvl w:val="0"/>
          <w:numId w:val="49"/>
        </w:numPr>
        <w:spacing w:before="0" w:beforeAutospacing="0" w:after="0" w:afterAutospacing="0"/>
        <w:jc w:val="both"/>
        <w:textAlignment w:val="baseline"/>
        <w:rPr>
          <w:rStyle w:val="eop"/>
          <w:noProof/>
        </w:rPr>
      </w:pPr>
      <w:r>
        <w:rPr>
          <w:rStyle w:val="normaltextrun"/>
          <w:noProof/>
        </w:rPr>
        <w:t xml:space="preserve">Rechtstreekse financiering BGK: deze lijn verstrekt rechtstreekse leningen aan eindbegunstigden om groene projecten te financieren. De leningen worden rechtstreeks verstrekt door BGK en elk project dat wordt medegefinancierd door (een) derde particuliere investeerder (s) of een entiteit (en) uit de publieke sector die zich bezighoudt met soortgelijke activiteiten.  </w:t>
      </w:r>
    </w:p>
    <w:p w14:paraId="346FA6D1" w14:textId="77777777" w:rsidR="00480F1C" w:rsidRDefault="00480F1C">
      <w:pPr>
        <w:pStyle w:val="paragraph"/>
        <w:spacing w:before="0" w:beforeAutospacing="0" w:after="0" w:afterAutospacing="0"/>
        <w:jc w:val="both"/>
        <w:textAlignment w:val="baseline"/>
        <w:rPr>
          <w:rStyle w:val="normaltextrun"/>
          <w:rFonts w:eastAsiaTheme="majorEastAsia"/>
          <w:noProof/>
        </w:rPr>
      </w:pPr>
    </w:p>
    <w:p w14:paraId="3A5F7139" w14:textId="77777777" w:rsidR="00480F1C" w:rsidRDefault="00A201F6">
      <w:pPr>
        <w:pStyle w:val="paragraph"/>
        <w:spacing w:before="0" w:beforeAutospacing="0" w:after="0" w:afterAutospacing="0"/>
        <w:jc w:val="both"/>
        <w:textAlignment w:val="baseline"/>
        <w:rPr>
          <w:rStyle w:val="eop"/>
          <w:noProof/>
        </w:rPr>
      </w:pPr>
      <w:r>
        <w:rPr>
          <w:rStyle w:val="normaltextrun"/>
          <w:noProof/>
        </w:rPr>
        <w:t xml:space="preserve">Met het oog op de uitvoering van de investering in de faciliteit ondertekenen Polen en BGK een uitvoeringsovereenkomst die de volgende inhoud bevat: </w:t>
      </w:r>
    </w:p>
    <w:p w14:paraId="7A87749D" w14:textId="77777777" w:rsidR="00480F1C" w:rsidRDefault="00480F1C">
      <w:pPr>
        <w:pStyle w:val="paragraph"/>
        <w:spacing w:before="0" w:beforeAutospacing="0" w:after="0" w:afterAutospacing="0"/>
        <w:jc w:val="both"/>
        <w:textAlignment w:val="baseline"/>
        <w:rPr>
          <w:rFonts w:ascii="Segoe UI" w:hAnsi="Segoe UI" w:cs="Segoe UI"/>
          <w:noProof/>
          <w:sz w:val="18"/>
        </w:rPr>
      </w:pPr>
    </w:p>
    <w:p w14:paraId="3991B43B" w14:textId="6A6FA60B" w:rsidR="00480F1C" w:rsidRDefault="00A201F6">
      <w:pPr>
        <w:pStyle w:val="paragraph"/>
        <w:numPr>
          <w:ilvl w:val="0"/>
          <w:numId w:val="100"/>
        </w:numPr>
        <w:spacing w:before="0" w:beforeAutospacing="0" w:after="0" w:afterAutospacing="0"/>
        <w:jc w:val="both"/>
        <w:rPr>
          <w:rStyle w:val="eop"/>
          <w:noProof/>
        </w:rPr>
      </w:pPr>
      <w:r>
        <w:rPr>
          <w:rStyle w:val="normaltextrun"/>
          <w:noProof/>
        </w:rPr>
        <w:t xml:space="preserve">Beschrijving van het besluitvormingsproces van de faciliteit: Het definitieve investeringsbesluit van de faciliteit wordt genomen door een investeringscomité of een ander relevant gelijkwaardig bestuursorgaan en goedgekeurd met een meerderheid van stemmen van leden die onafhankelijk zijn van de regering. </w:t>
      </w:r>
    </w:p>
    <w:p w14:paraId="25BC0564" w14:textId="77777777" w:rsidR="00480F1C" w:rsidRDefault="00480F1C">
      <w:pPr>
        <w:pStyle w:val="paragraph"/>
        <w:spacing w:before="0" w:beforeAutospacing="0" w:after="0" w:afterAutospacing="0"/>
        <w:jc w:val="both"/>
        <w:textAlignment w:val="baseline"/>
        <w:rPr>
          <w:noProof/>
        </w:rPr>
      </w:pPr>
    </w:p>
    <w:p w14:paraId="39278B85" w14:textId="77777777" w:rsidR="00480F1C" w:rsidRDefault="00A201F6">
      <w:pPr>
        <w:pStyle w:val="paragraph"/>
        <w:numPr>
          <w:ilvl w:val="0"/>
          <w:numId w:val="100"/>
        </w:numPr>
        <w:spacing w:before="0" w:beforeAutospacing="0" w:after="0" w:afterAutospacing="0"/>
        <w:jc w:val="both"/>
        <w:rPr>
          <w:noProof/>
        </w:rPr>
      </w:pPr>
      <w:r>
        <w:rPr>
          <w:rStyle w:val="normaltextrun"/>
          <w:noProof/>
        </w:rPr>
        <w:t>De belangrijkste vereisten van het bijbehorende beleggingsbeleid,</w:t>
      </w:r>
      <w:r>
        <w:rPr>
          <w:rStyle w:val="normaltextrun"/>
          <w:b/>
          <w:noProof/>
        </w:rPr>
        <w:t xml:space="preserve"> </w:t>
      </w:r>
      <w:r>
        <w:rPr>
          <w:rStyle w:val="normaltextrun"/>
          <w:noProof/>
        </w:rPr>
        <w:t xml:space="preserve">waaronder: </w:t>
      </w:r>
    </w:p>
    <w:p w14:paraId="3D203E04" w14:textId="77777777" w:rsidR="00480F1C" w:rsidRDefault="00A201F6">
      <w:pPr>
        <w:pStyle w:val="paragraph"/>
        <w:numPr>
          <w:ilvl w:val="0"/>
          <w:numId w:val="47"/>
        </w:numPr>
        <w:spacing w:before="0" w:beforeAutospacing="0" w:after="0" w:afterAutospacing="0"/>
        <w:ind w:left="1080"/>
        <w:jc w:val="both"/>
        <w:textAlignment w:val="baseline"/>
        <w:rPr>
          <w:rStyle w:val="eop"/>
          <w:noProof/>
        </w:rPr>
      </w:pPr>
      <w:r>
        <w:rPr>
          <w:rStyle w:val="normaltextrun"/>
          <w:noProof/>
        </w:rPr>
        <w:t xml:space="preserve">De beschrijving van de financiële producten en de in aanmerking komende eindbegunstigden.  </w:t>
      </w:r>
    </w:p>
    <w:p w14:paraId="18F7EAFC" w14:textId="77777777" w:rsidR="00480F1C" w:rsidRDefault="00A201F6">
      <w:pPr>
        <w:pStyle w:val="paragraph"/>
        <w:numPr>
          <w:ilvl w:val="0"/>
          <w:numId w:val="47"/>
        </w:numPr>
        <w:spacing w:before="0" w:beforeAutospacing="0" w:after="0" w:afterAutospacing="0"/>
        <w:ind w:left="1080"/>
        <w:jc w:val="both"/>
        <w:textAlignment w:val="baseline"/>
        <w:rPr>
          <w:rStyle w:val="eop"/>
          <w:noProof/>
        </w:rPr>
      </w:pPr>
      <w:r>
        <w:rPr>
          <w:rStyle w:val="normaltextrun"/>
          <w:noProof/>
        </w:rPr>
        <w:t>De eis dat alle gesteunde investeringen economisch levensvatbaar moeten zijn</w:t>
      </w:r>
      <w:r>
        <w:rPr>
          <w:rStyle w:val="normaltextrun"/>
          <w:b/>
          <w:noProof/>
        </w:rPr>
        <w:t>.</w:t>
      </w:r>
      <w:r>
        <w:rPr>
          <w:rStyle w:val="eop"/>
          <w:noProof/>
        </w:rPr>
        <w:t xml:space="preserve"> </w:t>
      </w:r>
    </w:p>
    <w:p w14:paraId="7BFAA967" w14:textId="7961C991" w:rsidR="00480F1C" w:rsidRDefault="00A201F6">
      <w:pPr>
        <w:pStyle w:val="paragraph"/>
        <w:numPr>
          <w:ilvl w:val="0"/>
          <w:numId w:val="47"/>
        </w:numPr>
        <w:spacing w:before="0" w:beforeAutospacing="0" w:after="0" w:afterAutospacing="0"/>
        <w:ind w:left="1080"/>
        <w:jc w:val="both"/>
        <w:textAlignment w:val="baseline"/>
        <w:rPr>
          <w:rStyle w:val="eop"/>
          <w:noProof/>
        </w:rPr>
      </w:pPr>
      <w:r>
        <w:rPr>
          <w:rStyle w:val="normaltextrun"/>
          <w:noProof/>
        </w:rPr>
        <w:t>Het vereiste om te voldoen aan het beginsel „geen ernstige afbreuk doen”, zoals uiteengezet in de technische richtsnoeren inzake het beginsel „geen ernstige afbreuk doen” (C (2023) 6454 final). Met name:</w:t>
      </w:r>
    </w:p>
    <w:p w14:paraId="110DB756" w14:textId="29B22E13" w:rsidR="00480F1C" w:rsidRDefault="00A201F6">
      <w:pPr>
        <w:pStyle w:val="paragraph"/>
        <w:numPr>
          <w:ilvl w:val="0"/>
          <w:numId w:val="51"/>
        </w:numPr>
        <w:spacing w:before="0" w:beforeAutospacing="0" w:after="0" w:afterAutospacing="0"/>
        <w:ind w:left="1440"/>
        <w:jc w:val="both"/>
        <w:textAlignment w:val="baseline"/>
        <w:rPr>
          <w:rStyle w:val="eop"/>
          <w:noProof/>
        </w:rPr>
      </w:pPr>
      <w:r>
        <w:rPr>
          <w:rStyle w:val="normaltextrun"/>
          <w:noProof/>
        </w:rPr>
        <w:t>In het beleggingsbeleid worden de volgende activiteiten en activa niet in aanmerking genomen: I) activiteiten en activa in verband met fossiele brandstoffen, met inbegrip van downstreamgebruik</w:t>
      </w:r>
      <w:r>
        <w:rPr>
          <w:rStyle w:val="FootnoteReference"/>
          <w:rFonts w:eastAsiaTheme="majorEastAsia"/>
          <w:noProof/>
        </w:rPr>
        <w:footnoteReference w:id="35"/>
      </w:r>
      <w:r>
        <w:rPr>
          <w:rStyle w:val="normaltextrun"/>
          <w:noProof/>
        </w:rPr>
        <w:t>, ii) activiteiten en activa in het kader van de EU-regeling voor de handel in emissierechten (ETS) die leiden tot verwachte broeikasgasemissies die niet lager zijn dan de relevante benchmarks</w:t>
      </w:r>
      <w:r>
        <w:rPr>
          <w:rStyle w:val="FootnoteReference"/>
          <w:rFonts w:eastAsiaTheme="majorEastAsia"/>
          <w:noProof/>
        </w:rPr>
        <w:footnoteReference w:id="36"/>
      </w:r>
      <w:r>
        <w:rPr>
          <w:rStyle w:val="normaltextrun"/>
          <w:noProof/>
        </w:rPr>
        <w:t>, iii) activiteiten en activa in verband met afvalstortplaatsen, verbrandingsinstallaties</w:t>
      </w:r>
      <w:r>
        <w:rPr>
          <w:rStyle w:val="FootnoteReference"/>
          <w:rFonts w:eastAsiaTheme="majorEastAsia"/>
          <w:noProof/>
        </w:rPr>
        <w:footnoteReference w:id="37"/>
      </w:r>
      <w:r>
        <w:rPr>
          <w:rStyle w:val="normaltextrun"/>
          <w:noProof/>
        </w:rPr>
        <w:t xml:space="preserve"> en installaties voor mechanische biologische behandeling,</w:t>
      </w:r>
      <w:r>
        <w:rPr>
          <w:rStyle w:val="FootnoteReference"/>
          <w:rFonts w:eastAsiaTheme="majorEastAsia"/>
          <w:noProof/>
        </w:rPr>
        <w:footnoteReference w:id="38"/>
      </w:r>
      <w:r>
        <w:rPr>
          <w:rStyle w:val="normaltextrun"/>
          <w:noProof/>
        </w:rPr>
        <w:t xml:space="preserve"> en iv) activiteiten en activa in verband met mijnbouw. </w:t>
      </w:r>
    </w:p>
    <w:p w14:paraId="4E25A26F" w14:textId="377EA5CE" w:rsidR="00480F1C" w:rsidRDefault="00A201F6">
      <w:pPr>
        <w:pStyle w:val="paragraph"/>
        <w:numPr>
          <w:ilvl w:val="0"/>
          <w:numId w:val="51"/>
        </w:numPr>
        <w:spacing w:before="0" w:beforeAutospacing="0" w:after="0" w:afterAutospacing="0"/>
        <w:ind w:left="1440"/>
        <w:jc w:val="both"/>
        <w:textAlignment w:val="baseline"/>
        <w:rPr>
          <w:rStyle w:val="normaltextrun"/>
          <w:rFonts w:eastAsiaTheme="majorEastAsia"/>
          <w:noProof/>
        </w:rPr>
      </w:pPr>
      <w:r>
        <w:rPr>
          <w:rStyle w:val="normaltextrun"/>
          <w:noProof/>
        </w:rPr>
        <w:t xml:space="preserve">Het investeringsbeleid ondersteunt alleen hernieuwbare waterstof overeenkomstig de desbetreffende gedelegeerde handelingen uit hoofde van Richtlijn (EU) 2018/2001 van het Europees Parlement en de Raad van 11 december 2018. </w:t>
      </w:r>
    </w:p>
    <w:p w14:paraId="74B6BCD2" w14:textId="70297489" w:rsidR="00480F1C" w:rsidRDefault="00A201F6">
      <w:pPr>
        <w:pStyle w:val="paragraph"/>
        <w:numPr>
          <w:ilvl w:val="0"/>
          <w:numId w:val="51"/>
        </w:numPr>
        <w:spacing w:before="0" w:beforeAutospacing="0" w:after="0" w:afterAutospacing="0"/>
        <w:ind w:left="1440"/>
        <w:jc w:val="both"/>
        <w:rPr>
          <w:rStyle w:val="normaltextrun"/>
          <w:noProof/>
        </w:rPr>
      </w:pPr>
      <w:r>
        <w:rPr>
          <w:rStyle w:val="normaltextrun"/>
          <w:noProof/>
        </w:rPr>
        <w:t>Het investeringsbeleid ondersteunt alleen de productie, de transmissie, de distributie en de opslag van duurzaam biomethaan in overeenstemming met de duurzaamheids- en broeikasgasemissiereductiecriteria van de artikelen 29 tot en met 31 en de regels inzake biobrandstoffen op basis van levensmiddelen en diervoeders die zijn vastgesteld in artikel 26 van de herziene Richtlijn (EU) 2018/2001 betreffende hernieuwbare energie, en de daarmee verband houdende gedelegeerde en uitvoeringshandelingen. Voor investeringen in de transmissie en distributie van duurzaam biomethaan wordt de naleving in het investeringsbeleid van het begrip „slim gasnet” zoals gedefinieerd in het voorstel voor een herziene TEN-E-verordening (COM (2020) 824 final) gewaarborgd en worden bepalingen ingevoerd die normen voor de detectie en preventie van methaan- en biomethaanlekkage waarborgen, als integraal onderdeel van de veiligheidseisen.</w:t>
      </w:r>
    </w:p>
    <w:p w14:paraId="3AFDB233" w14:textId="6DED4528" w:rsidR="00480F1C" w:rsidRDefault="00A201F6">
      <w:pPr>
        <w:pStyle w:val="paragraph"/>
        <w:numPr>
          <w:ilvl w:val="0"/>
          <w:numId w:val="51"/>
        </w:numPr>
        <w:spacing w:before="0" w:beforeAutospacing="0" w:after="0" w:afterAutospacing="0"/>
        <w:ind w:left="1440"/>
        <w:jc w:val="both"/>
        <w:rPr>
          <w:rStyle w:val="normaltextrun"/>
          <w:noProof/>
        </w:rPr>
      </w:pPr>
      <w:r>
        <w:rPr>
          <w:rStyle w:val="normaltextrun"/>
          <w:noProof/>
        </w:rPr>
        <w:t>Het investeringsbeleid ondersteunt alleen energie-efficiënte renovatie van gebouwen die ten minste 30 % besparing op primaire energie opleveren.</w:t>
      </w:r>
    </w:p>
    <w:p w14:paraId="1CE66B8E" w14:textId="09768F80" w:rsidR="00480F1C" w:rsidRDefault="00A201F6">
      <w:pPr>
        <w:pStyle w:val="paragraph"/>
        <w:numPr>
          <w:ilvl w:val="0"/>
          <w:numId w:val="51"/>
        </w:numPr>
        <w:spacing w:before="0" w:beforeAutospacing="0" w:after="0" w:afterAutospacing="0"/>
        <w:ind w:left="1440"/>
        <w:jc w:val="both"/>
        <w:rPr>
          <w:rStyle w:val="eop"/>
          <w:noProof/>
        </w:rPr>
      </w:pPr>
      <w:r>
        <w:rPr>
          <w:noProof/>
        </w:rPr>
        <w:t>Voorts vereist het investeringsbeleid dat de eindbegunstigden van de faciliteit voldoen aan de relevante EU- en nationale milieuwetgeving.</w:t>
      </w:r>
    </w:p>
    <w:p w14:paraId="32FFA6A5" w14:textId="77777777" w:rsidR="00480F1C" w:rsidRDefault="00A201F6">
      <w:pPr>
        <w:pStyle w:val="paragraph"/>
        <w:numPr>
          <w:ilvl w:val="0"/>
          <w:numId w:val="47"/>
        </w:numPr>
        <w:spacing w:before="0" w:beforeAutospacing="0" w:after="0" w:afterAutospacing="0"/>
        <w:ind w:left="1080"/>
        <w:jc w:val="both"/>
        <w:textAlignment w:val="baseline"/>
        <w:rPr>
          <w:rStyle w:val="eop"/>
          <w:noProof/>
        </w:rPr>
      </w:pPr>
      <w:r>
        <w:rPr>
          <w:rStyle w:val="normaltextrun"/>
          <w:noProof/>
        </w:rPr>
        <w:t xml:space="preserve">De eis dat eindbegunstigden van de faciliteit geen steun uit andere instrumenten van de Unie ontvangen om dezelfde kosten te dekken. </w:t>
      </w:r>
    </w:p>
    <w:p w14:paraId="14A8DB7D" w14:textId="77777777" w:rsidR="00480F1C" w:rsidRDefault="00480F1C">
      <w:pPr>
        <w:pStyle w:val="paragraph"/>
        <w:spacing w:before="0" w:beforeAutospacing="0" w:after="0" w:afterAutospacing="0"/>
        <w:ind w:left="1080"/>
        <w:jc w:val="both"/>
        <w:textAlignment w:val="baseline"/>
        <w:rPr>
          <w:noProof/>
        </w:rPr>
      </w:pPr>
    </w:p>
    <w:p w14:paraId="2CF91231" w14:textId="747FF2EE" w:rsidR="00480F1C" w:rsidRDefault="00A201F6">
      <w:pPr>
        <w:pStyle w:val="paragraph"/>
        <w:numPr>
          <w:ilvl w:val="0"/>
          <w:numId w:val="100"/>
        </w:numPr>
        <w:spacing w:before="0" w:beforeAutospacing="0" w:after="0" w:afterAutospacing="0"/>
        <w:jc w:val="both"/>
        <w:rPr>
          <w:rStyle w:val="normaltextrun"/>
          <w:rFonts w:eastAsiaTheme="majorEastAsia"/>
          <w:noProof/>
        </w:rPr>
      </w:pPr>
      <w:r>
        <w:rPr>
          <w:rStyle w:val="normaltextrun"/>
          <w:noProof/>
        </w:rPr>
        <w:t>Het bedrag dat onder de uitvoeringsovereenkomst valt, de vergoedingsstructuur voor de uitvoerende partner en de vereiste om eventuele terugvloeiende middelen te herinvesteren overeenkomstig het investeringsbeleid van de faciliteit, tenzij deze worden gebruikt voor de aflossing van leningen in het kader van de faciliteit voor herstel en veerkracht. </w:t>
      </w:r>
    </w:p>
    <w:p w14:paraId="6A3BBC16" w14:textId="77777777" w:rsidR="00480F1C" w:rsidRDefault="00480F1C">
      <w:pPr>
        <w:pStyle w:val="paragraph"/>
        <w:spacing w:before="0" w:beforeAutospacing="0" w:after="0" w:afterAutospacing="0"/>
        <w:jc w:val="both"/>
        <w:textAlignment w:val="baseline"/>
        <w:rPr>
          <w:noProof/>
        </w:rPr>
      </w:pPr>
    </w:p>
    <w:p w14:paraId="10AB937A" w14:textId="6C4D9E7E" w:rsidR="00480F1C" w:rsidRDefault="00A201F6">
      <w:pPr>
        <w:pStyle w:val="paragraph"/>
        <w:numPr>
          <w:ilvl w:val="0"/>
          <w:numId w:val="100"/>
        </w:numPr>
        <w:spacing w:before="0" w:beforeAutospacing="0" w:after="0" w:afterAutospacing="0"/>
        <w:jc w:val="both"/>
        <w:rPr>
          <w:rStyle w:val="normaltextrun"/>
          <w:noProof/>
        </w:rPr>
      </w:pPr>
      <w:r>
        <w:rPr>
          <w:rStyle w:val="normaltextrun"/>
          <w:noProof/>
        </w:rPr>
        <w:t xml:space="preserve">Monitoring-, audit- en controlevereisten, met inbegrip van: </w:t>
      </w:r>
    </w:p>
    <w:p w14:paraId="21456FFC" w14:textId="77777777" w:rsidR="00480F1C" w:rsidRDefault="00A201F6">
      <w:pPr>
        <w:pStyle w:val="paragraph"/>
        <w:numPr>
          <w:ilvl w:val="0"/>
          <w:numId w:val="48"/>
        </w:numPr>
        <w:spacing w:before="0" w:beforeAutospacing="0" w:after="0" w:afterAutospacing="0"/>
        <w:ind w:left="1080"/>
        <w:jc w:val="both"/>
        <w:textAlignment w:val="baseline"/>
        <w:rPr>
          <w:noProof/>
        </w:rPr>
      </w:pPr>
      <w:r>
        <w:rPr>
          <w:rStyle w:val="normaltextrun"/>
          <w:noProof/>
        </w:rPr>
        <w:t xml:space="preserve">De beschrijving van het monitoringsysteem van de uitvoerende partner om verslag uit te brengen over de gemobiliseerde investeringen. </w:t>
      </w:r>
    </w:p>
    <w:p w14:paraId="7FE5E704" w14:textId="77777777" w:rsidR="00480F1C" w:rsidRDefault="00A201F6">
      <w:pPr>
        <w:pStyle w:val="paragraph"/>
        <w:numPr>
          <w:ilvl w:val="0"/>
          <w:numId w:val="48"/>
        </w:numPr>
        <w:spacing w:before="0" w:beforeAutospacing="0" w:after="0" w:afterAutospacing="0"/>
        <w:ind w:left="1080"/>
        <w:jc w:val="both"/>
        <w:textAlignment w:val="baseline"/>
        <w:rPr>
          <w:noProof/>
        </w:rPr>
      </w:pPr>
      <w:r>
        <w:rPr>
          <w:rStyle w:val="normaltextrun"/>
          <w:noProof/>
        </w:rPr>
        <w:t xml:space="preserve">De beschrijving van de procedures van de uitvoerende partner om fraude, corruptie en belangenconflicten te voorkomen, op te sporen en te corrigeren.  </w:t>
      </w:r>
    </w:p>
    <w:p w14:paraId="31DC87CE" w14:textId="77777777" w:rsidR="00480F1C" w:rsidRDefault="00A201F6">
      <w:pPr>
        <w:pStyle w:val="paragraph"/>
        <w:numPr>
          <w:ilvl w:val="0"/>
          <w:numId w:val="48"/>
        </w:numPr>
        <w:spacing w:before="0" w:beforeAutospacing="0" w:after="0" w:afterAutospacing="0"/>
        <w:ind w:left="1080"/>
        <w:jc w:val="both"/>
        <w:textAlignment w:val="baseline"/>
        <w:rPr>
          <w:noProof/>
        </w:rPr>
      </w:pPr>
      <w:r>
        <w:rPr>
          <w:rStyle w:val="normaltextrun"/>
          <w:noProof/>
        </w:rPr>
        <w:t xml:space="preserve">De verplichting om na te gaan of elke concrete actie voor financiering in aanmerking komt overeenkomstig de vereisten van de uitvoeringsovereenkomst, alvorens zich ertoe te verbinden een concrete actie te financieren. </w:t>
      </w:r>
    </w:p>
    <w:p w14:paraId="7452AD58" w14:textId="77777777" w:rsidR="00480F1C" w:rsidRDefault="00A201F6">
      <w:pPr>
        <w:pStyle w:val="paragraph"/>
        <w:numPr>
          <w:ilvl w:val="0"/>
          <w:numId w:val="48"/>
        </w:numPr>
        <w:spacing w:before="0" w:beforeAutospacing="0" w:after="0" w:afterAutospacing="0"/>
        <w:ind w:left="1080"/>
        <w:jc w:val="both"/>
        <w:textAlignment w:val="baseline"/>
        <w:rPr>
          <w:rStyle w:val="eop"/>
          <w:noProof/>
        </w:rPr>
      </w:pPr>
      <w:r>
        <w:rPr>
          <w:rStyle w:val="normaltextrun"/>
          <w:noProof/>
        </w:rPr>
        <w:t xml:space="preserve">De verplichting om risicogebaseerde controles achteraf uit te voeren overeenkomstig een auditplan van BGK. Bij deze audits wordt nagegaan i) of de controlesystemen doeltreffend zijn, met inbegrip van de opsporing van fraude, corruptie en belangenconflicten; naleving van het beginsel „geen ernstige afbreuk doen aan”, de staatssteunregels en de vereisten inzake klimaatstreefcijfers; en iii) dat wordt voldaan aan het vereiste dat de eindbegunstigden van de faciliteit geen steun uit andere instrumenten van de Unie hebben ontvangen om dezelfde kosten te dekken. Bij de audits wordt ook de wettigheid van de transacties gecontroleerd en wordt nagegaan of de voorwaarden van de toepasselijke uitvoeringsovereenkomst en financieringsovereenkomsten worden nageleefd.  </w:t>
      </w:r>
    </w:p>
    <w:p w14:paraId="22D0FC10" w14:textId="77777777" w:rsidR="00480F1C" w:rsidRDefault="00480F1C">
      <w:pPr>
        <w:pStyle w:val="paragraph"/>
        <w:spacing w:before="0" w:beforeAutospacing="0" w:after="0" w:afterAutospacing="0"/>
        <w:ind w:left="1080"/>
        <w:jc w:val="both"/>
        <w:textAlignment w:val="baseline"/>
        <w:rPr>
          <w:noProof/>
        </w:rPr>
      </w:pPr>
    </w:p>
    <w:p w14:paraId="4662A54A" w14:textId="2C853B8B" w:rsidR="00480F1C" w:rsidRDefault="00A201F6">
      <w:pPr>
        <w:pStyle w:val="paragraph"/>
        <w:numPr>
          <w:ilvl w:val="0"/>
          <w:numId w:val="100"/>
        </w:numPr>
        <w:spacing w:before="0" w:beforeAutospacing="0" w:after="0" w:afterAutospacing="0"/>
        <w:jc w:val="both"/>
        <w:rPr>
          <w:rStyle w:val="eop"/>
          <w:noProof/>
        </w:rPr>
      </w:pPr>
      <w:r>
        <w:rPr>
          <w:rStyle w:val="normaltextrun"/>
          <w:noProof/>
        </w:rPr>
        <w:t>Vereisten voor klimaatinvesteringen uitgevoerd door de uitvoerende partner: ten minste 9 087 361 627 EUR van de RRF-investering in de faciliteit draagt bij aan de doelstellingen inzake klimaatverandering overeenkomstig bijlage VI bij de RRF-verordening.</w:t>
      </w:r>
      <w:r>
        <w:rPr>
          <w:rStyle w:val="FootnoteReference"/>
          <w:rFonts w:eastAsiaTheme="majorEastAsia"/>
          <w:noProof/>
        </w:rPr>
        <w:footnoteReference w:id="39"/>
      </w:r>
      <w:r>
        <w:rPr>
          <w:rStyle w:val="normaltextrun"/>
          <w:noProof/>
        </w:rPr>
        <w:t xml:space="preserve">  </w:t>
      </w:r>
    </w:p>
    <w:p w14:paraId="516BD98E" w14:textId="77777777" w:rsidR="00480F1C" w:rsidRDefault="00480F1C">
      <w:pPr>
        <w:pStyle w:val="paragraph"/>
        <w:spacing w:before="0" w:beforeAutospacing="0" w:after="0" w:afterAutospacing="0"/>
        <w:jc w:val="both"/>
        <w:textAlignment w:val="baseline"/>
        <w:rPr>
          <w:rStyle w:val="normaltextrun"/>
          <w:rFonts w:eastAsiaTheme="majorEastAsia"/>
          <w:noProof/>
        </w:rPr>
      </w:pPr>
    </w:p>
    <w:p w14:paraId="3185F5FA" w14:textId="77777777" w:rsidR="00480F1C" w:rsidRDefault="00A201F6">
      <w:pPr>
        <w:pStyle w:val="paragraph"/>
        <w:spacing w:before="0" w:beforeAutospacing="0" w:after="0" w:afterAutospacing="0"/>
        <w:jc w:val="both"/>
        <w:textAlignment w:val="baseline"/>
        <w:rPr>
          <w:rFonts w:ascii="Segoe UI" w:hAnsi="Segoe UI" w:cs="Segoe UI"/>
          <w:noProof/>
          <w:sz w:val="18"/>
        </w:rPr>
      </w:pPr>
      <w:r>
        <w:rPr>
          <w:rStyle w:val="normaltextrun"/>
          <w:noProof/>
        </w:rPr>
        <w:t xml:space="preserve">De uitvoering van de maatregel moet uiterlijk op 31 augustus 2026 zijn voltooid. </w:t>
      </w:r>
    </w:p>
    <w:p w14:paraId="7B3A460B" w14:textId="77777777" w:rsidR="00480F1C" w:rsidRDefault="00480F1C">
      <w:pPr>
        <w:spacing w:before="120" w:after="120" w:line="240" w:lineRule="auto"/>
        <w:jc w:val="both"/>
        <w:rPr>
          <w:rFonts w:ascii="Times New Roman" w:hAnsi="Times New Roman" w:cs="Times New Roman"/>
          <w:noProof/>
          <w:sz w:val="24"/>
        </w:rPr>
      </w:pPr>
    </w:p>
    <w:p w14:paraId="059E061E" w14:textId="48775482" w:rsidR="00480F1C" w:rsidRDefault="00A201F6">
      <w:pPr>
        <w:pStyle w:val="P68B1DB1-Normal33"/>
        <w:spacing w:before="120" w:after="120" w:line="240" w:lineRule="auto"/>
        <w:jc w:val="both"/>
        <w:rPr>
          <w:rFonts w:cs="Times New Roman"/>
          <w:noProof/>
        </w:rPr>
      </w:pPr>
      <w:r>
        <w:rPr>
          <w:noProof/>
        </w:rPr>
        <w:t>G3.1.5. Bouw van windmolenparken op zee (windenergiefonds op zee)</w:t>
      </w:r>
    </w:p>
    <w:p w14:paraId="1A5D5297" w14:textId="5F95602C" w:rsidR="00480F1C" w:rsidRDefault="00A201F6">
      <w:pPr>
        <w:pStyle w:val="paragraph"/>
        <w:spacing w:before="0" w:beforeAutospacing="0" w:after="0" w:afterAutospacing="0"/>
        <w:jc w:val="both"/>
        <w:textAlignment w:val="baseline"/>
        <w:rPr>
          <w:rFonts w:ascii="Segoe UI" w:hAnsi="Segoe UI" w:cs="Segoe UI"/>
          <w:noProof/>
          <w:sz w:val="18"/>
        </w:rPr>
      </w:pPr>
      <w:r>
        <w:rPr>
          <w:rStyle w:val="normaltextrun"/>
          <w:noProof/>
        </w:rPr>
        <w:t xml:space="preserve">Deze maatregel bestaat uit een overheidsinvesteringen in een faciliteit, het windenergiefonds op zee, om particuliere investeringen te stimuleren en de toegang tot financiering in de Poolse offshore-windenergiesector te verbeteren, waarbij de financieringsovereenkomsten tussen de faciliteit en de eindbegunstigden gericht zijn op een geïnstalleerde offshore-windcapaciteit van ten minste 3 GW die wordt gegenereerd door ten minste 2 projecten. De faciliteit functioneert door rechtstreeks leningen te verstrekken aan de particuliere sector en aan entiteiten uit de publieke sector die soortgelijke activiteiten ontplooien. Op basis van de investeringen in het kader van de herstel- en veerkrachtfaciliteit beoogt de faciliteit in eerste instantie ten minste 4 785 000 000 EUR aan financiering te verstrekken. </w:t>
      </w:r>
    </w:p>
    <w:p w14:paraId="09362C59" w14:textId="77777777" w:rsidR="00480F1C" w:rsidRDefault="00480F1C">
      <w:pPr>
        <w:pStyle w:val="paragraph"/>
        <w:spacing w:before="0" w:beforeAutospacing="0" w:after="0" w:afterAutospacing="0"/>
        <w:jc w:val="both"/>
        <w:rPr>
          <w:rStyle w:val="eop"/>
          <w:noProof/>
        </w:rPr>
      </w:pPr>
    </w:p>
    <w:p w14:paraId="7E4FFC5D" w14:textId="77777777" w:rsidR="00480F1C" w:rsidRDefault="00A201F6">
      <w:pPr>
        <w:pStyle w:val="paragraph"/>
        <w:spacing w:before="0" w:beforeAutospacing="0" w:after="0" w:afterAutospacing="0"/>
        <w:jc w:val="both"/>
        <w:textAlignment w:val="baseline"/>
        <w:rPr>
          <w:rStyle w:val="normaltextrun"/>
          <w:rFonts w:eastAsiaTheme="majorEastAsia"/>
          <w:noProof/>
        </w:rPr>
      </w:pPr>
      <w:r>
        <w:rPr>
          <w:rStyle w:val="normaltextrun"/>
          <w:noProof/>
        </w:rPr>
        <w:t xml:space="preserve">De faciliteit wordt beheerd door Bank Gospodarstwa Krajowego (BGK), als uitvoerende partner. </w:t>
      </w:r>
    </w:p>
    <w:p w14:paraId="5D91782A" w14:textId="77777777" w:rsidR="00480F1C" w:rsidRDefault="00480F1C">
      <w:pPr>
        <w:pStyle w:val="paragraph"/>
        <w:spacing w:before="0" w:beforeAutospacing="0" w:after="0" w:afterAutospacing="0"/>
        <w:jc w:val="both"/>
        <w:textAlignment w:val="baseline"/>
        <w:rPr>
          <w:rStyle w:val="normaltextrun"/>
          <w:rFonts w:eastAsiaTheme="majorEastAsia"/>
          <w:noProof/>
        </w:rPr>
      </w:pPr>
    </w:p>
    <w:p w14:paraId="30BBD12E" w14:textId="77777777" w:rsidR="00480F1C" w:rsidRDefault="00A201F6">
      <w:pPr>
        <w:pStyle w:val="paragraph"/>
        <w:spacing w:before="0" w:beforeAutospacing="0" w:after="0" w:afterAutospacing="0"/>
        <w:jc w:val="both"/>
        <w:textAlignment w:val="baseline"/>
        <w:rPr>
          <w:rFonts w:ascii="Segoe UI" w:hAnsi="Segoe UI" w:cs="Segoe UI"/>
          <w:noProof/>
          <w:sz w:val="18"/>
        </w:rPr>
      </w:pPr>
      <w:r>
        <w:rPr>
          <w:rStyle w:val="normaltextrun"/>
          <w:noProof/>
        </w:rPr>
        <w:t xml:space="preserve">De faciliteit omvat de volgende productlijn: </w:t>
      </w:r>
    </w:p>
    <w:p w14:paraId="30549719" w14:textId="77777777" w:rsidR="00480F1C" w:rsidRDefault="00480F1C">
      <w:pPr>
        <w:pStyle w:val="paragraph"/>
        <w:spacing w:before="0" w:beforeAutospacing="0" w:after="0" w:afterAutospacing="0"/>
        <w:textAlignment w:val="baseline"/>
        <w:rPr>
          <w:rStyle w:val="normaltextrun"/>
          <w:rFonts w:eastAsiaTheme="majorEastAsia"/>
          <w:noProof/>
        </w:rPr>
      </w:pPr>
    </w:p>
    <w:p w14:paraId="38355534" w14:textId="788BB0B6" w:rsidR="00480F1C" w:rsidRDefault="00A201F6">
      <w:pPr>
        <w:pStyle w:val="paragraph"/>
        <w:numPr>
          <w:ilvl w:val="0"/>
          <w:numId w:val="49"/>
        </w:numPr>
        <w:spacing w:before="0" w:beforeAutospacing="0" w:after="0" w:afterAutospacing="0"/>
        <w:textAlignment w:val="baseline"/>
        <w:rPr>
          <w:rStyle w:val="eop"/>
          <w:noProof/>
        </w:rPr>
      </w:pPr>
      <w:r>
        <w:rPr>
          <w:rStyle w:val="normaltextrun"/>
          <w:noProof/>
        </w:rPr>
        <w:t xml:space="preserve">Rechtstreekse financiering BGK: deze lijn verstrekt directe leningen aan particuliere ondernemingen die elektriciteit uit offshore-windenergie produceren of voornemens zijn te produceren in een offshore windmolenpark, alsook aan entiteiten uit de publieke sector die soortgelijke activiteiten ontplooien. De leningen worden rechtstreeks verstrekt door BGK en elk project dat wordt medegefinancierd door een of meer particuliere en/of publieke investeerders.  </w:t>
      </w:r>
    </w:p>
    <w:p w14:paraId="71126B6D" w14:textId="77777777" w:rsidR="00480F1C" w:rsidRDefault="00480F1C">
      <w:pPr>
        <w:pStyle w:val="paragraph"/>
        <w:spacing w:before="0" w:beforeAutospacing="0" w:after="0" w:afterAutospacing="0"/>
        <w:jc w:val="both"/>
        <w:textAlignment w:val="baseline"/>
        <w:rPr>
          <w:rStyle w:val="normaltextrun"/>
          <w:rFonts w:eastAsiaTheme="majorEastAsia"/>
          <w:noProof/>
        </w:rPr>
      </w:pPr>
    </w:p>
    <w:p w14:paraId="6AB035FF" w14:textId="77777777" w:rsidR="00480F1C" w:rsidRDefault="00A201F6">
      <w:pPr>
        <w:pStyle w:val="paragraph"/>
        <w:spacing w:before="0" w:beforeAutospacing="0" w:after="0" w:afterAutospacing="0"/>
        <w:jc w:val="both"/>
        <w:textAlignment w:val="baseline"/>
        <w:rPr>
          <w:rStyle w:val="eop"/>
          <w:noProof/>
        </w:rPr>
      </w:pPr>
      <w:r>
        <w:rPr>
          <w:rStyle w:val="normaltextrun"/>
          <w:noProof/>
        </w:rPr>
        <w:t xml:space="preserve">Met het oog op de uitvoering van de investering in de faciliteit ondertekenen Polen en BGK een uitvoeringsovereenkomst die de volgende inhoud bevat: </w:t>
      </w:r>
    </w:p>
    <w:p w14:paraId="05146C27" w14:textId="77777777" w:rsidR="00480F1C" w:rsidRDefault="00480F1C">
      <w:pPr>
        <w:pStyle w:val="paragraph"/>
        <w:spacing w:before="0" w:beforeAutospacing="0" w:after="0" w:afterAutospacing="0"/>
        <w:jc w:val="both"/>
        <w:textAlignment w:val="baseline"/>
        <w:rPr>
          <w:rFonts w:ascii="Segoe UI" w:hAnsi="Segoe UI" w:cs="Segoe UI"/>
          <w:noProof/>
          <w:sz w:val="18"/>
        </w:rPr>
      </w:pPr>
    </w:p>
    <w:p w14:paraId="7B85D8F3" w14:textId="09571082" w:rsidR="00480F1C" w:rsidRDefault="00A201F6">
      <w:pPr>
        <w:pStyle w:val="paragraph"/>
        <w:numPr>
          <w:ilvl w:val="0"/>
          <w:numId w:val="50"/>
        </w:numPr>
        <w:spacing w:before="0" w:beforeAutospacing="0" w:after="0" w:afterAutospacing="0"/>
        <w:jc w:val="both"/>
        <w:textAlignment w:val="baseline"/>
        <w:rPr>
          <w:rStyle w:val="eop"/>
          <w:noProof/>
        </w:rPr>
      </w:pPr>
      <w:r>
        <w:rPr>
          <w:rStyle w:val="normaltextrun"/>
          <w:noProof/>
        </w:rPr>
        <w:t xml:space="preserve">Beschrijving van het besluitvormingsproces van de faciliteit: Het definitieve investeringsbesluit van de faciliteit wordt genomen door een investeringscomité of een ander relevant gelijkwaardig bestuursorgaan en goedgekeurd met een meerderheid van stemmen van leden die onafhankelijk zijn van de regering. </w:t>
      </w:r>
    </w:p>
    <w:p w14:paraId="44E7AB3E" w14:textId="77777777" w:rsidR="00480F1C" w:rsidRDefault="00A201F6">
      <w:pPr>
        <w:pStyle w:val="paragraph"/>
        <w:numPr>
          <w:ilvl w:val="0"/>
          <w:numId w:val="50"/>
        </w:numPr>
        <w:spacing w:before="0" w:beforeAutospacing="0" w:after="0" w:afterAutospacing="0"/>
        <w:jc w:val="both"/>
        <w:rPr>
          <w:rStyle w:val="normaltextrun"/>
          <w:rFonts w:eastAsiaTheme="majorEastAsia"/>
          <w:noProof/>
        </w:rPr>
      </w:pPr>
      <w:r>
        <w:rPr>
          <w:rStyle w:val="normaltextrun"/>
          <w:noProof/>
        </w:rPr>
        <w:t>De belangrijkste vereisten van het bijbehorende beleggingsbeleid, waaronder: </w:t>
      </w:r>
    </w:p>
    <w:p w14:paraId="06A14889" w14:textId="19350C62" w:rsidR="00480F1C" w:rsidRDefault="00A201F6">
      <w:pPr>
        <w:pStyle w:val="paragraph"/>
        <w:numPr>
          <w:ilvl w:val="0"/>
          <w:numId w:val="97"/>
        </w:numPr>
        <w:spacing w:before="0" w:beforeAutospacing="0" w:after="0" w:afterAutospacing="0"/>
        <w:jc w:val="both"/>
        <w:textAlignment w:val="baseline"/>
        <w:rPr>
          <w:rStyle w:val="eop"/>
          <w:noProof/>
        </w:rPr>
      </w:pPr>
      <w:r>
        <w:rPr>
          <w:rStyle w:val="normaltextrun"/>
          <w:noProof/>
        </w:rPr>
        <w:t xml:space="preserve">De beschrijving van het financiële product en de in aanmerking komende eindbegunstigden.  </w:t>
      </w:r>
    </w:p>
    <w:p w14:paraId="6B0B2C1B" w14:textId="7C7B0164" w:rsidR="00480F1C" w:rsidRDefault="00A201F6">
      <w:pPr>
        <w:pStyle w:val="paragraph"/>
        <w:numPr>
          <w:ilvl w:val="0"/>
          <w:numId w:val="97"/>
        </w:numPr>
        <w:spacing w:before="0" w:beforeAutospacing="0" w:after="0" w:afterAutospacing="0"/>
        <w:jc w:val="both"/>
        <w:textAlignment w:val="baseline"/>
        <w:rPr>
          <w:rStyle w:val="eop"/>
          <w:noProof/>
        </w:rPr>
      </w:pPr>
      <w:r>
        <w:rPr>
          <w:rStyle w:val="normaltextrun"/>
          <w:noProof/>
        </w:rPr>
        <w:t>De eis dat alle gesteunde investeringen economisch levensvatbaar moeten zijn</w:t>
      </w:r>
      <w:r>
        <w:rPr>
          <w:rStyle w:val="normaltextrun"/>
          <w:b/>
          <w:noProof/>
        </w:rPr>
        <w:t>.</w:t>
      </w:r>
      <w:r>
        <w:rPr>
          <w:rStyle w:val="eop"/>
          <w:noProof/>
        </w:rPr>
        <w:t xml:space="preserve"> </w:t>
      </w:r>
    </w:p>
    <w:p w14:paraId="0E7F8DD3" w14:textId="23FB6D9B" w:rsidR="00480F1C" w:rsidRDefault="00A201F6">
      <w:pPr>
        <w:pStyle w:val="paragraph"/>
        <w:numPr>
          <w:ilvl w:val="0"/>
          <w:numId w:val="97"/>
        </w:numPr>
        <w:spacing w:before="0" w:beforeAutospacing="0" w:after="0" w:afterAutospacing="0"/>
        <w:jc w:val="both"/>
        <w:textAlignment w:val="baseline"/>
        <w:rPr>
          <w:rStyle w:val="eop"/>
          <w:noProof/>
        </w:rPr>
      </w:pPr>
      <w:r>
        <w:rPr>
          <w:rStyle w:val="normaltextrun"/>
          <w:noProof/>
        </w:rPr>
        <w:t>Het vereiste om te voldoen aan het beginsel „geen ernstige afbreuk doen”, zoals uiteengezet in de technische richtsnoeren inzake het beginsel „geen ernstige afbreuk doen” (</w:t>
      </w:r>
      <w:bookmarkStart w:id="3" w:name="_Hlk150284959"/>
      <w:r>
        <w:rPr>
          <w:rStyle w:val="normaltextrun"/>
          <w:noProof/>
        </w:rPr>
        <w:t>C (2023) 6454 final</w:t>
      </w:r>
      <w:bookmarkEnd w:id="3"/>
      <w:r>
        <w:rPr>
          <w:rStyle w:val="normaltextrun"/>
          <w:noProof/>
        </w:rPr>
        <w:t>). Het beleggingsbeleid sluit met name de volgende lijst van activiteiten en activa uit van het in aanmerking komen: I) activiteiten en activa in verband met fossiele brandstoffen, met inbegrip van downstreamgebruik</w:t>
      </w:r>
      <w:r>
        <w:rPr>
          <w:rStyle w:val="FootnoteReference"/>
          <w:rFonts w:eastAsiaTheme="majorEastAsia"/>
          <w:noProof/>
        </w:rPr>
        <w:footnoteReference w:id="40"/>
      </w:r>
      <w:r>
        <w:rPr>
          <w:rStyle w:val="normaltextrun"/>
          <w:noProof/>
        </w:rPr>
        <w:t>, ii) activiteiten en activa in het kader van de EU-regeling voor de handel in emissierechten (ETS) die leiden tot verwachte broeikasgasemissies die niet lager zijn dan de relevante benchmarks</w:t>
      </w:r>
      <w:r>
        <w:rPr>
          <w:rStyle w:val="FootnoteReference"/>
          <w:rFonts w:eastAsiaTheme="majorEastAsia"/>
          <w:noProof/>
        </w:rPr>
        <w:footnoteReference w:id="41"/>
      </w:r>
      <w:r>
        <w:rPr>
          <w:rStyle w:val="normaltextrun"/>
          <w:noProof/>
        </w:rPr>
        <w:t>, iii) activiteiten en activa in verband met stortplaatsen voor afval, verbrandingsinstallaties</w:t>
      </w:r>
      <w:r>
        <w:rPr>
          <w:rStyle w:val="FootnoteReference"/>
          <w:rFonts w:eastAsiaTheme="majorEastAsia"/>
          <w:noProof/>
        </w:rPr>
        <w:footnoteReference w:id="42"/>
      </w:r>
      <w:r>
        <w:rPr>
          <w:rStyle w:val="normaltextrun"/>
          <w:noProof/>
        </w:rPr>
        <w:t xml:space="preserve"> en installaties voor mechanische biologische behandeling</w:t>
      </w:r>
      <w:r>
        <w:rPr>
          <w:rStyle w:val="FootnoteReference"/>
          <w:rFonts w:eastAsiaTheme="majorEastAsia"/>
          <w:noProof/>
        </w:rPr>
        <w:footnoteReference w:id="43"/>
      </w:r>
      <w:r>
        <w:rPr>
          <w:rStyle w:val="normaltextrun"/>
          <w:noProof/>
        </w:rPr>
        <w:t xml:space="preserve">.  </w:t>
      </w:r>
    </w:p>
    <w:p w14:paraId="392CD28F" w14:textId="545AA255" w:rsidR="00480F1C" w:rsidRDefault="00A201F6">
      <w:pPr>
        <w:pStyle w:val="paragraph"/>
        <w:numPr>
          <w:ilvl w:val="0"/>
          <w:numId w:val="97"/>
        </w:numPr>
        <w:spacing w:before="0" w:beforeAutospacing="0" w:after="0" w:afterAutospacing="0"/>
        <w:jc w:val="both"/>
        <w:textAlignment w:val="baseline"/>
        <w:rPr>
          <w:rStyle w:val="eop"/>
          <w:noProof/>
        </w:rPr>
      </w:pPr>
      <w:r>
        <w:rPr>
          <w:rStyle w:val="normaltextrun"/>
          <w:noProof/>
        </w:rPr>
        <w:t xml:space="preserve">De eis dat eindbegunstigden van de faciliteit geen steun uit andere instrumenten van de Unie ontvangen om dezelfde kosten te dekken. </w:t>
      </w:r>
    </w:p>
    <w:p w14:paraId="079684D4" w14:textId="77777777" w:rsidR="00480F1C" w:rsidRDefault="00480F1C">
      <w:pPr>
        <w:pStyle w:val="paragraph"/>
        <w:spacing w:before="0" w:beforeAutospacing="0" w:after="0" w:afterAutospacing="0"/>
        <w:jc w:val="both"/>
        <w:textAlignment w:val="baseline"/>
        <w:rPr>
          <w:noProof/>
        </w:rPr>
      </w:pPr>
    </w:p>
    <w:p w14:paraId="34727A6E" w14:textId="77777777" w:rsidR="00480F1C" w:rsidRDefault="00A201F6">
      <w:pPr>
        <w:pStyle w:val="paragraph"/>
        <w:numPr>
          <w:ilvl w:val="0"/>
          <w:numId w:val="50"/>
        </w:numPr>
        <w:spacing w:before="0" w:beforeAutospacing="0" w:after="0" w:afterAutospacing="0"/>
        <w:jc w:val="both"/>
        <w:textAlignment w:val="baseline"/>
        <w:rPr>
          <w:rStyle w:val="normaltextrun"/>
          <w:rFonts w:eastAsiaTheme="majorEastAsia"/>
          <w:noProof/>
        </w:rPr>
      </w:pPr>
      <w:r>
        <w:rPr>
          <w:rStyle w:val="normaltextrun"/>
          <w:noProof/>
        </w:rPr>
        <w:t>Het bedrag dat onder de uitvoeringsovereenkomst valt, de vergoedingsstructuur voor de uitvoerende partner en de vereiste om eventuele terugvloeiende middelen te herinvesteren overeenkomstig het investeringsbeleid van de faciliteit, tenzij deze worden gebruikt voor de aflossing van leningen in het kader van de faciliteit voor herstel en veerkracht. </w:t>
      </w:r>
    </w:p>
    <w:p w14:paraId="26CF9764" w14:textId="77777777" w:rsidR="00480F1C" w:rsidRDefault="00480F1C">
      <w:pPr>
        <w:pStyle w:val="paragraph"/>
        <w:spacing w:before="0" w:beforeAutospacing="0" w:after="0" w:afterAutospacing="0"/>
        <w:ind w:left="360"/>
        <w:jc w:val="both"/>
        <w:textAlignment w:val="baseline"/>
        <w:rPr>
          <w:rStyle w:val="normaltextrun"/>
          <w:rFonts w:eastAsiaTheme="majorEastAsia"/>
          <w:noProof/>
        </w:rPr>
      </w:pPr>
    </w:p>
    <w:p w14:paraId="04EFB179" w14:textId="77777777" w:rsidR="00480F1C" w:rsidRDefault="00A201F6">
      <w:pPr>
        <w:pStyle w:val="paragraph"/>
        <w:numPr>
          <w:ilvl w:val="0"/>
          <w:numId w:val="50"/>
        </w:numPr>
        <w:spacing w:before="0" w:beforeAutospacing="0" w:after="0" w:afterAutospacing="0"/>
        <w:jc w:val="both"/>
        <w:textAlignment w:val="baseline"/>
        <w:rPr>
          <w:rStyle w:val="normaltextrun"/>
          <w:rFonts w:eastAsiaTheme="majorEastAsia"/>
          <w:noProof/>
        </w:rPr>
      </w:pPr>
      <w:r>
        <w:rPr>
          <w:rStyle w:val="normaltextrun"/>
          <w:noProof/>
        </w:rPr>
        <w:t>Monitoring-, audit- en controlevereisten, met inbegrip van: </w:t>
      </w:r>
    </w:p>
    <w:p w14:paraId="612400E2" w14:textId="77777777" w:rsidR="00480F1C" w:rsidRDefault="00A201F6">
      <w:pPr>
        <w:pStyle w:val="paragraph"/>
        <w:numPr>
          <w:ilvl w:val="1"/>
          <w:numId w:val="98"/>
        </w:numPr>
        <w:spacing w:before="0" w:beforeAutospacing="0" w:after="0" w:afterAutospacing="0"/>
        <w:jc w:val="both"/>
        <w:textAlignment w:val="baseline"/>
        <w:rPr>
          <w:rStyle w:val="eop"/>
          <w:noProof/>
        </w:rPr>
      </w:pPr>
      <w:r>
        <w:rPr>
          <w:rStyle w:val="normaltextrun"/>
          <w:noProof/>
        </w:rPr>
        <w:t xml:space="preserve">De beschrijving van het monitoringsysteem van de uitvoerende partner om verslag uit te brengen over de gemobiliseerde investeringen. </w:t>
      </w:r>
    </w:p>
    <w:p w14:paraId="3D42BBFD" w14:textId="77777777" w:rsidR="00480F1C" w:rsidRDefault="00A201F6">
      <w:pPr>
        <w:pStyle w:val="paragraph"/>
        <w:numPr>
          <w:ilvl w:val="1"/>
          <w:numId w:val="98"/>
        </w:numPr>
        <w:spacing w:before="0" w:beforeAutospacing="0" w:after="0" w:afterAutospacing="0"/>
        <w:jc w:val="both"/>
        <w:textAlignment w:val="baseline"/>
        <w:rPr>
          <w:rStyle w:val="eop"/>
          <w:noProof/>
        </w:rPr>
      </w:pPr>
      <w:r>
        <w:rPr>
          <w:rStyle w:val="normaltextrun"/>
          <w:noProof/>
        </w:rPr>
        <w:t xml:space="preserve">De beschrijving van de procedures van de uitvoerende partner om fraude, corruptie en belangenconflicten te voorkomen, op te sporen en te corrigeren.  </w:t>
      </w:r>
    </w:p>
    <w:p w14:paraId="4432A33D" w14:textId="77777777" w:rsidR="00480F1C" w:rsidRDefault="00A201F6">
      <w:pPr>
        <w:pStyle w:val="paragraph"/>
        <w:numPr>
          <w:ilvl w:val="1"/>
          <w:numId w:val="98"/>
        </w:numPr>
        <w:spacing w:before="0" w:beforeAutospacing="0" w:after="0" w:afterAutospacing="0"/>
        <w:jc w:val="both"/>
        <w:textAlignment w:val="baseline"/>
        <w:rPr>
          <w:rStyle w:val="eop"/>
          <w:noProof/>
        </w:rPr>
      </w:pPr>
      <w:r>
        <w:rPr>
          <w:rStyle w:val="normaltextrun"/>
          <w:noProof/>
        </w:rPr>
        <w:t xml:space="preserve">De verplichting om na te gaan of elke concrete actie voor financiering in aanmerking komt overeenkomstig de vereisten van de uitvoeringsovereenkomst, alvorens zich ertoe te verbinden een concrete actie te financieren. </w:t>
      </w:r>
    </w:p>
    <w:p w14:paraId="65AD3C31" w14:textId="77777777" w:rsidR="00480F1C" w:rsidRDefault="00A201F6">
      <w:pPr>
        <w:pStyle w:val="paragraph"/>
        <w:numPr>
          <w:ilvl w:val="1"/>
          <w:numId w:val="98"/>
        </w:numPr>
        <w:spacing w:before="0" w:beforeAutospacing="0" w:after="0" w:afterAutospacing="0"/>
        <w:jc w:val="both"/>
        <w:textAlignment w:val="baseline"/>
        <w:rPr>
          <w:rStyle w:val="eop"/>
          <w:noProof/>
        </w:rPr>
      </w:pPr>
      <w:r>
        <w:rPr>
          <w:rStyle w:val="normaltextrun"/>
          <w:noProof/>
        </w:rPr>
        <w:t xml:space="preserve">De verplichting om risicogebaseerde controles achteraf uit te voeren overeenkomstig een auditplan van BGK. Bij deze audits wordt nagegaan i) of de controlesystemen doeltreffend zijn, met inbegrip van de opsporing van fraude, corruptie en belangenconflicten; naleving van het beginsel „geen ernstige afbreuk doen aan”, de staatssteunregels en de vereisten inzake klimaatstreefcijfers; en iii) dat wordt voldaan aan het vereiste dat de eindbegunstigden van de faciliteit geen steun uit andere instrumenten van de Unie hebben ontvangen om dezelfde kosten te dekken. Bij de audits wordt ook nagegaan of de transacties wettig zijn en of de voorwaarden van de toepasselijke uitvoeringsovereenkomst worden nageleefd.  </w:t>
      </w:r>
    </w:p>
    <w:p w14:paraId="4E0B9CFF" w14:textId="3554F2B7" w:rsidR="00480F1C" w:rsidRDefault="00A201F6">
      <w:pPr>
        <w:pStyle w:val="paragraph"/>
        <w:numPr>
          <w:ilvl w:val="0"/>
          <w:numId w:val="50"/>
        </w:numPr>
        <w:spacing w:before="0" w:beforeAutospacing="0" w:after="0" w:afterAutospacing="0"/>
        <w:jc w:val="both"/>
        <w:textAlignment w:val="baseline"/>
        <w:rPr>
          <w:rStyle w:val="normaltextrun"/>
          <w:rFonts w:eastAsiaTheme="majorEastAsia"/>
          <w:noProof/>
        </w:rPr>
      </w:pPr>
      <w:r>
        <w:rPr>
          <w:rFonts w:eastAsiaTheme="majorEastAsia"/>
          <w:noProof/>
        </w:rPr>
        <w:t xml:space="preserve">Vereisten voor klimaatinvesteringen uitgevoerd door de uitvoerende partner:  4 EUR </w:t>
      </w:r>
      <w:r>
        <w:rPr>
          <w:rStyle w:val="normaltextrun"/>
          <w:noProof/>
        </w:rPr>
        <w:t>785 000 000</w:t>
      </w:r>
      <w:r>
        <w:rPr>
          <w:rFonts w:eastAsiaTheme="majorEastAsia"/>
          <w:noProof/>
        </w:rPr>
        <w:t xml:space="preserve"> van de RRF-investering in de faciliteit draagt bij aan de doelstellingen inzake klimaatverandering overeenkomstig bijlage VI bij de RRF-verordening.</w:t>
      </w:r>
      <w:r>
        <w:rPr>
          <w:rStyle w:val="FootnoteReference"/>
          <w:rFonts w:eastAsiaTheme="majorEastAsia"/>
          <w:noProof/>
        </w:rPr>
        <w:footnoteReference w:id="44"/>
      </w:r>
    </w:p>
    <w:p w14:paraId="6E85E4D8" w14:textId="563C44B0" w:rsidR="00480F1C" w:rsidRDefault="00480F1C">
      <w:pPr>
        <w:pStyle w:val="paragraph"/>
        <w:spacing w:before="0" w:beforeAutospacing="0" w:after="0" w:afterAutospacing="0"/>
        <w:jc w:val="both"/>
        <w:textAlignment w:val="baseline"/>
        <w:rPr>
          <w:rStyle w:val="eop"/>
          <w:rFonts w:ascii="Calibri" w:eastAsia="Calibri" w:hAnsi="Calibri" w:cs="Calibri"/>
          <w:noProof/>
          <w:sz w:val="22"/>
        </w:rPr>
      </w:pPr>
    </w:p>
    <w:p w14:paraId="5B7AE333" w14:textId="000D1D82" w:rsidR="00480F1C" w:rsidRDefault="00480F1C">
      <w:pPr>
        <w:pStyle w:val="paragraph"/>
        <w:spacing w:before="0" w:beforeAutospacing="0" w:after="0" w:afterAutospacing="0"/>
        <w:jc w:val="both"/>
        <w:textAlignment w:val="baseline"/>
        <w:rPr>
          <w:rStyle w:val="normaltextrun"/>
          <w:rFonts w:eastAsiaTheme="majorEastAsia"/>
          <w:noProof/>
        </w:rPr>
      </w:pPr>
    </w:p>
    <w:p w14:paraId="146B0029" w14:textId="77777777" w:rsidR="00480F1C" w:rsidRDefault="00A201F6">
      <w:pPr>
        <w:pStyle w:val="paragraph"/>
        <w:spacing w:before="0" w:beforeAutospacing="0" w:after="0" w:afterAutospacing="0"/>
        <w:jc w:val="both"/>
        <w:textAlignment w:val="baseline"/>
        <w:rPr>
          <w:rFonts w:ascii="Segoe UI" w:hAnsi="Segoe UI" w:cs="Segoe UI"/>
          <w:noProof/>
          <w:sz w:val="18"/>
        </w:rPr>
      </w:pPr>
      <w:r>
        <w:rPr>
          <w:rStyle w:val="normaltextrun"/>
          <w:noProof/>
        </w:rPr>
        <w:t xml:space="preserve">De uitvoering van de maatregel moet uiterlijk op 31 augustus 2026 zijn voltooid. </w:t>
      </w:r>
    </w:p>
    <w:p w14:paraId="67F1D632" w14:textId="77777777" w:rsidR="00480F1C" w:rsidRDefault="00480F1C">
      <w:pPr>
        <w:spacing w:before="120" w:after="120" w:line="240" w:lineRule="auto"/>
        <w:jc w:val="both"/>
        <w:rPr>
          <w:rFonts w:ascii="Times New Roman" w:hAnsi="Times New Roman" w:cs="Times New Roman"/>
          <w:noProof/>
          <w:sz w:val="24"/>
        </w:rPr>
      </w:pPr>
    </w:p>
    <w:p w14:paraId="43B329EF" w14:textId="76791D3E" w:rsidR="00480F1C" w:rsidRDefault="00A201F6">
      <w:pPr>
        <w:pStyle w:val="P68B1DB1-Text138"/>
        <w:keepNext/>
        <w:ind w:left="0"/>
        <w:rPr>
          <w:noProof/>
        </w:rPr>
      </w:pPr>
      <w:r>
        <w:rPr>
          <w:noProof/>
        </w:rPr>
        <w:t>Subcomponent G3.2 — Verbetering van de energie-infrastructuur en -faciliteiten om te voldoen aan de onmiddellijke behoeften inzake voorzieningszekerheid voor gas</w:t>
      </w:r>
    </w:p>
    <w:p w14:paraId="4B5C93A2" w14:textId="77777777" w:rsidR="00480F1C" w:rsidRDefault="00480F1C">
      <w:pPr>
        <w:keepNext/>
        <w:spacing w:before="120" w:after="120" w:line="240" w:lineRule="auto"/>
        <w:rPr>
          <w:noProof/>
        </w:rPr>
      </w:pPr>
    </w:p>
    <w:p w14:paraId="39989793" w14:textId="6CAEC925" w:rsidR="00480F1C" w:rsidRDefault="00A201F6">
      <w:pPr>
        <w:pStyle w:val="P68B1DB1-Normal33"/>
        <w:keepNext/>
        <w:spacing w:before="120" w:after="120" w:line="240" w:lineRule="auto"/>
        <w:jc w:val="both"/>
        <w:rPr>
          <w:rFonts w:cs="Times New Roman"/>
          <w:noProof/>
        </w:rPr>
      </w:pPr>
      <w:r>
        <w:rPr>
          <w:noProof/>
        </w:rPr>
        <w:t>G3.2.1. Aanleg van aardgasinfrastructuur om de energiezekerheid te waarborgen</w:t>
      </w:r>
    </w:p>
    <w:p w14:paraId="2DFBC78F" w14:textId="45173FCD" w:rsidR="00480F1C" w:rsidRDefault="00A201F6">
      <w:pPr>
        <w:pStyle w:val="P68B1DB1-Normal24"/>
        <w:spacing w:before="120" w:after="120" w:line="240" w:lineRule="auto"/>
        <w:jc w:val="both"/>
        <w:rPr>
          <w:rFonts w:cs="Times New Roman"/>
          <w:noProof/>
        </w:rPr>
      </w:pPr>
      <w:r>
        <w:rPr>
          <w:noProof/>
        </w:rPr>
        <w:t xml:space="preserve">Het doel van deze investering is de energie-infrastructuur en -faciliteiten te verbeteren om te voldoen aan de onmiddellijke behoeften inzake voorzieningszekerheid voor gas, met inbegrip van vloeibaar aardgas, met name om diversificatie van de voorziening mogelijk te maken in het belang van de Unie als geheel. </w:t>
      </w:r>
    </w:p>
    <w:p w14:paraId="2F2374AB" w14:textId="3B73A324" w:rsidR="00480F1C" w:rsidRDefault="00A201F6">
      <w:pPr>
        <w:pStyle w:val="P68B1DB1-Normal24"/>
        <w:spacing w:before="120" w:after="120" w:line="240" w:lineRule="auto"/>
        <w:jc w:val="both"/>
        <w:rPr>
          <w:rFonts w:cs="Times New Roman"/>
          <w:noProof/>
        </w:rPr>
      </w:pPr>
      <w:r>
        <w:rPr>
          <w:noProof/>
        </w:rPr>
        <w:t>Deze investering bestaat uit de aanleg van een uitbreiding met 250 km van het transmissienetwerk tussen Gdańsk en Gustorzyn. Na voltooiing van de werkzaamheden moet de nieuw aangelegde infrastructuur een capaciteit hebben voor het transport van gas van 1 320 000 m³/uur.</w:t>
      </w:r>
      <w:r>
        <w:rPr>
          <w:noProof/>
          <w:color w:val="000000" w:themeColor="text1"/>
        </w:rPr>
        <w:t xml:space="preserve"> </w:t>
      </w:r>
      <w:r>
        <w:rPr>
          <w:noProof/>
        </w:rPr>
        <w:t xml:space="preserve"> </w:t>
      </w:r>
    </w:p>
    <w:p w14:paraId="7E3F950A" w14:textId="77777777" w:rsidR="00480F1C" w:rsidRDefault="00A201F6">
      <w:pPr>
        <w:pStyle w:val="P68B1DB1-Normal24"/>
        <w:spacing w:before="120" w:after="120" w:line="240" w:lineRule="auto"/>
        <w:jc w:val="both"/>
        <w:rPr>
          <w:noProof/>
        </w:rPr>
      </w:pPr>
      <w:r>
        <w:rPr>
          <w:noProof/>
        </w:rPr>
        <w:t>De uitvoering van de maatregel wordt uiterlijk op 31 augustus 2026 voltooid.</w:t>
      </w:r>
    </w:p>
    <w:p w14:paraId="3C7EB7A6" w14:textId="0BD57FDF" w:rsidR="00480F1C" w:rsidRDefault="00A201F6">
      <w:pPr>
        <w:pStyle w:val="P68B1DB1-Normal41"/>
        <w:spacing w:before="120" w:after="120" w:line="240" w:lineRule="auto"/>
        <w:jc w:val="both"/>
        <w:rPr>
          <w:noProof/>
        </w:rPr>
      </w:pPr>
      <w:r>
        <w:rPr>
          <w:noProof/>
        </w:rPr>
        <w:t>Subcomponent G3.3 — Systemen voor energieopslag (terugvorderbare steun)</w:t>
      </w:r>
    </w:p>
    <w:p w14:paraId="16EA5531" w14:textId="29D5B489" w:rsidR="00480F1C" w:rsidRDefault="00A201F6">
      <w:pPr>
        <w:pStyle w:val="P68B1DB1-Normal33"/>
        <w:keepNext/>
        <w:spacing w:before="120" w:after="120" w:line="240" w:lineRule="auto"/>
        <w:jc w:val="both"/>
        <w:rPr>
          <w:rFonts w:cs="Times New Roman"/>
          <w:noProof/>
        </w:rPr>
      </w:pPr>
      <w:r>
        <w:rPr>
          <w:noProof/>
        </w:rPr>
        <w:t>G3.3.1 Systemen voor energieopslag (terugvorderbare steun)</w:t>
      </w:r>
    </w:p>
    <w:p w14:paraId="5BD0BCA2" w14:textId="77777777" w:rsidR="00480F1C" w:rsidRDefault="00A201F6">
      <w:pPr>
        <w:pStyle w:val="P68B1DB1-Normal24"/>
        <w:spacing w:before="120" w:after="120" w:line="240" w:lineRule="auto"/>
        <w:jc w:val="both"/>
        <w:rPr>
          <w:rFonts w:cs="Times New Roman"/>
          <w:noProof/>
        </w:rPr>
      </w:pPr>
      <w:r>
        <w:rPr>
          <w:noProof/>
        </w:rPr>
        <w:t>Het doel van deze investering is de continuïteit van de elektriciteitsvoorziening aan afnemers te waarborgen en het gebruik van hernieuwbare energiebronnen efficiënter te maken door te investeren in technologieën om de elektriciteitsbalancering in het elektriciteitssysteem te vergemakkelijken.</w:t>
      </w:r>
    </w:p>
    <w:p w14:paraId="44D1B7D6" w14:textId="26FC50D4" w:rsidR="00480F1C" w:rsidRDefault="00A201F6">
      <w:pPr>
        <w:pStyle w:val="P68B1DB1-Normal24"/>
        <w:spacing w:before="120" w:after="120" w:line="240" w:lineRule="auto"/>
        <w:jc w:val="both"/>
        <w:rPr>
          <w:noProof/>
        </w:rPr>
      </w:pPr>
      <w:r>
        <w:rPr>
          <w:noProof/>
        </w:rPr>
        <w:t>De investering bestaat uit de uitvoering van de gedeeltelijke modernisering van een bestaande pompaccumulatie van hydro-elektrische energie, met als doel deze faciliteit aan te passen aan de huidige en toekomstige behoeften op het gebied van regelgeving en markt, teneinde een levensvatbare exploitatie van de installatie te waarborgen. De investering bestaat ook uit de modernisering van het bovenste reservoir (renovatie van de stroomopwaarts van bitumineus beton), bovenste waterinlaat- en afgeleide tunnels en ten minste 1 watergenerator, overeenkomend met 135 MW.</w:t>
      </w:r>
    </w:p>
    <w:p w14:paraId="36DC5645" w14:textId="083FECAE" w:rsidR="00480F1C" w:rsidRDefault="00A201F6">
      <w:pPr>
        <w:pStyle w:val="P68B1DB1-Normal24"/>
        <w:spacing w:before="120" w:after="120" w:line="240" w:lineRule="auto"/>
        <w:jc w:val="both"/>
        <w:rPr>
          <w:noProof/>
        </w:rPr>
      </w:pPr>
      <w:r>
        <w:rPr>
          <w:noProof/>
        </w:rPr>
        <w:t>De uitvoering van de investering moet uiterlijk op 30 juni 2026 zijn voltooid.</w:t>
      </w:r>
    </w:p>
    <w:p w14:paraId="6D5E53D8" w14:textId="77777777" w:rsidR="00480F1C" w:rsidRDefault="00480F1C">
      <w:pPr>
        <w:spacing w:before="120" w:after="120" w:line="240" w:lineRule="auto"/>
        <w:jc w:val="both"/>
        <w:rPr>
          <w:rFonts w:ascii="Times New Roman" w:hAnsi="Times New Roman" w:cs="Times New Roman"/>
          <w:noProof/>
          <w:sz w:val="24"/>
        </w:rPr>
      </w:pPr>
    </w:p>
    <w:p w14:paraId="1056950A" w14:textId="0938D53C" w:rsidR="00480F1C" w:rsidRDefault="00480F1C">
      <w:pPr>
        <w:spacing w:before="120" w:after="120" w:line="240" w:lineRule="auto"/>
        <w:rPr>
          <w:rFonts w:ascii="Times New Roman" w:hAnsi="Times New Roman" w:cs="Times New Roman"/>
          <w:noProof/>
          <w:sz w:val="24"/>
        </w:rPr>
        <w:sectPr w:rsidR="00480F1C" w:rsidSect="00C06196">
          <w:headerReference w:type="even" r:id="rId175"/>
          <w:headerReference w:type="default" r:id="rId176"/>
          <w:footerReference w:type="even" r:id="rId177"/>
          <w:footerReference w:type="default" r:id="rId178"/>
          <w:headerReference w:type="first" r:id="rId179"/>
          <w:footerReference w:type="first" r:id="rId180"/>
          <w:pgSz w:w="11907" w:h="16839"/>
          <w:pgMar w:top="720" w:right="1418" w:bottom="720" w:left="1418" w:header="709" w:footer="709" w:gutter="0"/>
          <w:cols w:space="720"/>
          <w:docGrid w:linePitch="299"/>
        </w:sectPr>
      </w:pPr>
    </w:p>
    <w:p w14:paraId="52162409" w14:textId="253AEDD5" w:rsidR="00480F1C" w:rsidRDefault="00A201F6">
      <w:pPr>
        <w:pStyle w:val="Text1"/>
        <w:ind w:left="0"/>
        <w:rPr>
          <w:b/>
          <w:smallCaps/>
          <w:noProof/>
        </w:rPr>
      </w:pPr>
      <w:r>
        <w:rPr>
          <w:b/>
          <w:noProof/>
        </w:rPr>
        <w:t xml:space="preserve">G4. </w:t>
      </w:r>
      <w:r>
        <w:rPr>
          <w:noProof/>
        </w:rPr>
        <w:tab/>
      </w:r>
      <w:r>
        <w:rPr>
          <w:b/>
          <w:noProof/>
        </w:rPr>
        <w:t>Mijlpalen, streefdoelen, indicatoren en tijdschema voor de monitoring en uitvoering voor de lening</w:t>
      </w:r>
    </w:p>
    <w:p w14:paraId="25D8FF34" w14:textId="77777777" w:rsidR="00480F1C" w:rsidRDefault="00480F1C">
      <w:pPr>
        <w:spacing w:before="120" w:after="120" w:line="240" w:lineRule="auto"/>
        <w:rPr>
          <w:noProof/>
        </w:rPr>
      </w:pPr>
    </w:p>
    <w:p w14:paraId="367146BC" w14:textId="7DD1F85B" w:rsidR="00480F1C" w:rsidRDefault="00A201F6">
      <w:pPr>
        <w:pStyle w:val="P68B1DB1-Text138"/>
        <w:keepNext/>
        <w:ind w:left="0"/>
        <w:rPr>
          <w:noProof/>
        </w:rPr>
      </w:pPr>
      <w:r>
        <w:rPr>
          <w:noProof/>
        </w:rPr>
        <w:t>Subcomponent G3.1 — Verbetering van de uitrol van hernieuwbare energie, groene vaardigheden en energie-efficiëntie</w:t>
      </w:r>
    </w:p>
    <w:p w14:paraId="51D0A80C" w14:textId="77777777" w:rsidR="00480F1C" w:rsidRDefault="00480F1C">
      <w:pPr>
        <w:spacing w:before="120" w:after="120" w:line="240" w:lineRule="auto"/>
        <w:jc w:val="both"/>
        <w:rPr>
          <w:rFonts w:ascii="Times New Roman" w:hAnsi="Times New Roman" w:cs="Times New Roman"/>
          <w:noProof/>
          <w:sz w:val="24"/>
        </w:rPr>
      </w:pPr>
    </w:p>
    <w:tbl>
      <w:tblPr>
        <w:tblW w:w="15309" w:type="dxa"/>
        <w:jc w:val="center"/>
        <w:tblLayout w:type="fixed"/>
        <w:tblLook w:val="04A0" w:firstRow="1" w:lastRow="0" w:firstColumn="1" w:lastColumn="0" w:noHBand="0" w:noVBand="1"/>
      </w:tblPr>
      <w:tblGrid>
        <w:gridCol w:w="803"/>
        <w:gridCol w:w="1461"/>
        <w:gridCol w:w="1068"/>
        <w:gridCol w:w="1857"/>
        <w:gridCol w:w="1591"/>
        <w:gridCol w:w="1067"/>
        <w:gridCol w:w="936"/>
        <w:gridCol w:w="673"/>
        <w:gridCol w:w="871"/>
        <w:gridCol w:w="877"/>
        <w:gridCol w:w="4105"/>
      </w:tblGrid>
      <w:tr w:rsidR="00480F1C" w14:paraId="023CA7BC" w14:textId="77777777">
        <w:trPr>
          <w:trHeight w:val="927"/>
          <w:tblHeader/>
          <w:jc w:val="center"/>
        </w:trPr>
        <w:tc>
          <w:tcPr>
            <w:tcW w:w="809"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1AEABD58" w14:textId="02F6210A" w:rsidR="00480F1C" w:rsidRDefault="00A201F6">
            <w:pPr>
              <w:pStyle w:val="P68B1DB1-Normal39"/>
              <w:spacing w:after="0" w:line="240" w:lineRule="auto"/>
              <w:jc w:val="center"/>
              <w:rPr>
                <w:rFonts w:eastAsia="Times New Roman" w:cs="Times New Roman"/>
                <w:noProof/>
              </w:rPr>
            </w:pPr>
            <w:r>
              <w:rPr>
                <w:noProof/>
              </w:rPr>
              <w:t>Volgende NR.</w:t>
            </w:r>
          </w:p>
        </w:tc>
        <w:tc>
          <w:tcPr>
            <w:tcW w:w="1474"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3A6E8AB9" w14:textId="77777777" w:rsidR="00480F1C" w:rsidRDefault="00A201F6">
            <w:pPr>
              <w:pStyle w:val="P68B1DB1-Normal40"/>
              <w:spacing w:after="0" w:line="240" w:lineRule="auto"/>
              <w:jc w:val="center"/>
              <w:rPr>
                <w:rFonts w:eastAsia="Times New Roman" w:cs="Times New Roman"/>
                <w:noProof/>
                <w:sz w:val="24"/>
              </w:rPr>
            </w:pPr>
            <w:r>
              <w:rPr>
                <w:noProof/>
              </w:rPr>
              <w:t>Gerelateerde maatregel (hervorming of investering)</w:t>
            </w:r>
          </w:p>
        </w:tc>
        <w:tc>
          <w:tcPr>
            <w:tcW w:w="1077"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3DCCA610" w14:textId="77777777" w:rsidR="00480F1C" w:rsidRDefault="00A201F6">
            <w:pPr>
              <w:pStyle w:val="P68B1DB1-Normal40"/>
              <w:spacing w:after="0" w:line="240" w:lineRule="auto"/>
              <w:jc w:val="center"/>
              <w:rPr>
                <w:rFonts w:eastAsia="Times New Roman" w:cs="Times New Roman"/>
                <w:noProof/>
                <w:sz w:val="24"/>
              </w:rPr>
            </w:pPr>
            <w:r>
              <w:rPr>
                <w:noProof/>
              </w:rPr>
              <w:t>Mijlpaal/Doelstelling</w:t>
            </w:r>
          </w:p>
        </w:tc>
        <w:tc>
          <w:tcPr>
            <w:tcW w:w="1874"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6F0B78E5" w14:textId="77777777" w:rsidR="00480F1C" w:rsidRDefault="00A201F6">
            <w:pPr>
              <w:pStyle w:val="P68B1DB1-Normal40"/>
              <w:spacing w:after="0" w:line="240" w:lineRule="auto"/>
              <w:jc w:val="center"/>
              <w:rPr>
                <w:rFonts w:eastAsia="Times New Roman" w:cs="Times New Roman"/>
                <w:noProof/>
                <w:sz w:val="24"/>
              </w:rPr>
            </w:pPr>
            <w:r>
              <w:rPr>
                <w:noProof/>
              </w:rPr>
              <w:t>Naam</w:t>
            </w:r>
          </w:p>
        </w:tc>
        <w:tc>
          <w:tcPr>
            <w:tcW w:w="1606"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2629D52A" w14:textId="77777777" w:rsidR="00480F1C" w:rsidRDefault="00A201F6">
            <w:pPr>
              <w:spacing w:after="0" w:line="240" w:lineRule="auto"/>
              <w:jc w:val="center"/>
              <w:rPr>
                <w:rFonts w:ascii="Times New Roman" w:eastAsia="Times New Roman" w:hAnsi="Times New Roman" w:cs="Times New Roman"/>
                <w:b/>
                <w:noProof/>
                <w:sz w:val="24"/>
              </w:rPr>
            </w:pPr>
            <w:r>
              <w:rPr>
                <w:rFonts w:ascii="Times New Roman" w:hAnsi="Times New Roman"/>
                <w:b/>
                <w:noProof/>
                <w:color w:val="000000"/>
                <w:sz w:val="18"/>
              </w:rPr>
              <w:t>Kwalitatieve indicatoren</w:t>
            </w:r>
            <w:r>
              <w:rPr>
                <w:noProof/>
              </w:rPr>
              <w:t xml:space="preserve"> </w:t>
            </w:r>
            <w:r>
              <w:rPr>
                <w:noProof/>
              </w:rPr>
              <w:br/>
            </w:r>
            <w:r>
              <w:rPr>
                <w:rFonts w:ascii="Times New Roman" w:hAnsi="Times New Roman"/>
                <w:b/>
                <w:noProof/>
                <w:color w:val="000000"/>
                <w:sz w:val="18"/>
              </w:rPr>
              <w:t>(voor mijlpalen)</w:t>
            </w:r>
          </w:p>
        </w:tc>
        <w:tc>
          <w:tcPr>
            <w:tcW w:w="2697" w:type="dxa"/>
            <w:gridSpan w:val="3"/>
            <w:tcBorders>
              <w:top w:val="single" w:sz="4" w:space="0" w:color="auto"/>
              <w:left w:val="single" w:sz="4" w:space="0" w:color="auto"/>
              <w:bottom w:val="single" w:sz="4" w:space="0" w:color="auto"/>
              <w:right w:val="single" w:sz="4" w:space="0" w:color="auto"/>
            </w:tcBorders>
            <w:shd w:val="clear" w:color="auto" w:fill="BDD7EE"/>
            <w:vAlign w:val="center"/>
            <w:hideMark/>
          </w:tcPr>
          <w:p w14:paraId="2DE37C5C" w14:textId="77777777" w:rsidR="00480F1C" w:rsidRDefault="00A201F6">
            <w:pPr>
              <w:spacing w:after="0" w:line="240" w:lineRule="auto"/>
              <w:jc w:val="center"/>
              <w:rPr>
                <w:rFonts w:ascii="Times New Roman" w:eastAsia="Times New Roman" w:hAnsi="Times New Roman" w:cs="Times New Roman"/>
                <w:b/>
                <w:noProof/>
                <w:sz w:val="24"/>
              </w:rPr>
            </w:pPr>
            <w:r>
              <w:rPr>
                <w:rFonts w:ascii="Times New Roman" w:hAnsi="Times New Roman"/>
                <w:b/>
                <w:noProof/>
                <w:color w:val="000000"/>
                <w:sz w:val="18"/>
              </w:rPr>
              <w:t>Kwantitatieve indicatoren</w:t>
            </w:r>
            <w:r>
              <w:rPr>
                <w:noProof/>
              </w:rPr>
              <w:t xml:space="preserve"> </w:t>
            </w:r>
            <w:r>
              <w:rPr>
                <w:noProof/>
              </w:rPr>
              <w:br/>
            </w:r>
            <w:r>
              <w:rPr>
                <w:rFonts w:ascii="Times New Roman" w:hAnsi="Times New Roman"/>
                <w:b/>
                <w:noProof/>
                <w:color w:val="000000"/>
                <w:sz w:val="18"/>
              </w:rPr>
              <w:t>(voor streefcijfers)</w:t>
            </w:r>
          </w:p>
        </w:tc>
        <w:tc>
          <w:tcPr>
            <w:tcW w:w="1762" w:type="dxa"/>
            <w:gridSpan w:val="2"/>
            <w:tcBorders>
              <w:top w:val="single" w:sz="4" w:space="0" w:color="auto"/>
              <w:left w:val="nil"/>
              <w:bottom w:val="single" w:sz="4" w:space="0" w:color="auto"/>
              <w:right w:val="single" w:sz="4" w:space="0" w:color="auto"/>
            </w:tcBorders>
            <w:shd w:val="clear" w:color="auto" w:fill="BDD7EE"/>
            <w:vAlign w:val="center"/>
            <w:hideMark/>
          </w:tcPr>
          <w:p w14:paraId="0B268F92" w14:textId="494777AE" w:rsidR="00480F1C" w:rsidRDefault="00A201F6">
            <w:pPr>
              <w:pStyle w:val="P68B1DB1-Normal40"/>
              <w:spacing w:after="0" w:line="240" w:lineRule="auto"/>
              <w:jc w:val="center"/>
              <w:rPr>
                <w:rFonts w:eastAsia="Times New Roman" w:cs="Times New Roman"/>
                <w:noProof/>
                <w:sz w:val="24"/>
              </w:rPr>
            </w:pPr>
            <w:r>
              <w:rPr>
                <w:noProof/>
              </w:rPr>
              <w:t>Indicatieve termijn voor voltooiing</w:t>
            </w:r>
          </w:p>
        </w:tc>
        <w:tc>
          <w:tcPr>
            <w:tcW w:w="4146"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615E85B7" w14:textId="77777777" w:rsidR="00480F1C" w:rsidRDefault="00A201F6">
            <w:pPr>
              <w:pStyle w:val="P68B1DB1-Normal40"/>
              <w:spacing w:after="0" w:line="240" w:lineRule="auto"/>
              <w:jc w:val="center"/>
              <w:rPr>
                <w:rFonts w:eastAsia="Times New Roman" w:cs="Times New Roman"/>
                <w:noProof/>
                <w:sz w:val="24"/>
              </w:rPr>
            </w:pPr>
            <w:r>
              <w:rPr>
                <w:noProof/>
              </w:rPr>
              <w:t>Beschrijving van elke mijlpaal en doelstelling</w:t>
            </w:r>
          </w:p>
        </w:tc>
      </w:tr>
      <w:tr w:rsidR="00480F1C" w14:paraId="79B69BD9" w14:textId="77777777">
        <w:trPr>
          <w:trHeight w:val="1013"/>
          <w:tblHeader/>
          <w:jc w:val="center"/>
        </w:trPr>
        <w:tc>
          <w:tcPr>
            <w:tcW w:w="809" w:type="dxa"/>
            <w:vMerge/>
            <w:tcBorders>
              <w:top w:val="single" w:sz="4" w:space="0" w:color="auto"/>
              <w:left w:val="single" w:sz="4" w:space="0" w:color="auto"/>
              <w:bottom w:val="single" w:sz="4" w:space="0" w:color="auto"/>
              <w:right w:val="single" w:sz="4" w:space="0" w:color="auto"/>
            </w:tcBorders>
            <w:hideMark/>
          </w:tcPr>
          <w:p w14:paraId="6BFB7A23" w14:textId="77777777" w:rsidR="00480F1C" w:rsidRDefault="00480F1C">
            <w:pPr>
              <w:spacing w:after="0" w:line="240" w:lineRule="auto"/>
              <w:jc w:val="center"/>
              <w:rPr>
                <w:rFonts w:ascii="Times New Roman" w:eastAsia="Times New Roman" w:hAnsi="Times New Roman" w:cs="Times New Roman"/>
                <w:b/>
                <w:noProof/>
                <w:sz w:val="18"/>
              </w:rPr>
            </w:pPr>
          </w:p>
        </w:tc>
        <w:tc>
          <w:tcPr>
            <w:tcW w:w="1474" w:type="dxa"/>
            <w:vMerge/>
            <w:tcBorders>
              <w:top w:val="single" w:sz="4" w:space="0" w:color="auto"/>
              <w:left w:val="single" w:sz="4" w:space="0" w:color="auto"/>
              <w:bottom w:val="single" w:sz="4" w:space="0" w:color="auto"/>
              <w:right w:val="single" w:sz="4" w:space="0" w:color="auto"/>
            </w:tcBorders>
            <w:vAlign w:val="center"/>
            <w:hideMark/>
          </w:tcPr>
          <w:p w14:paraId="29897C51" w14:textId="77777777" w:rsidR="00480F1C" w:rsidRDefault="00480F1C">
            <w:pPr>
              <w:spacing w:after="0" w:line="240" w:lineRule="auto"/>
              <w:rPr>
                <w:rFonts w:ascii="Times New Roman" w:eastAsia="Times New Roman" w:hAnsi="Times New Roman" w:cs="Times New Roman"/>
                <w:b/>
                <w:noProof/>
                <w:sz w:val="24"/>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14:paraId="1A72F3B0" w14:textId="77777777" w:rsidR="00480F1C" w:rsidRDefault="00480F1C">
            <w:pPr>
              <w:spacing w:after="0" w:line="240" w:lineRule="auto"/>
              <w:rPr>
                <w:rFonts w:ascii="Times New Roman" w:eastAsia="Times New Roman" w:hAnsi="Times New Roman" w:cs="Times New Roman"/>
                <w:b/>
                <w:noProof/>
                <w:sz w:val="24"/>
              </w:rPr>
            </w:pPr>
          </w:p>
        </w:tc>
        <w:tc>
          <w:tcPr>
            <w:tcW w:w="1874" w:type="dxa"/>
            <w:vMerge/>
            <w:tcBorders>
              <w:top w:val="single" w:sz="4" w:space="0" w:color="auto"/>
              <w:left w:val="single" w:sz="4" w:space="0" w:color="auto"/>
              <w:bottom w:val="single" w:sz="4" w:space="0" w:color="auto"/>
              <w:right w:val="single" w:sz="4" w:space="0" w:color="auto"/>
            </w:tcBorders>
            <w:vAlign w:val="center"/>
            <w:hideMark/>
          </w:tcPr>
          <w:p w14:paraId="46FB6C9F" w14:textId="77777777" w:rsidR="00480F1C" w:rsidRDefault="00480F1C">
            <w:pPr>
              <w:spacing w:after="0" w:line="240" w:lineRule="auto"/>
              <w:rPr>
                <w:rFonts w:ascii="Times New Roman" w:eastAsia="Times New Roman" w:hAnsi="Times New Roman" w:cs="Times New Roman"/>
                <w:b/>
                <w:noProof/>
                <w:sz w:val="24"/>
              </w:rPr>
            </w:pPr>
          </w:p>
        </w:tc>
        <w:tc>
          <w:tcPr>
            <w:tcW w:w="1606" w:type="dxa"/>
            <w:vMerge/>
            <w:tcBorders>
              <w:top w:val="single" w:sz="4" w:space="0" w:color="auto"/>
              <w:left w:val="single" w:sz="4" w:space="0" w:color="auto"/>
              <w:bottom w:val="single" w:sz="4" w:space="0" w:color="auto"/>
              <w:right w:val="single" w:sz="4" w:space="0" w:color="auto"/>
            </w:tcBorders>
            <w:vAlign w:val="center"/>
            <w:hideMark/>
          </w:tcPr>
          <w:p w14:paraId="3682E6C1" w14:textId="77777777" w:rsidR="00480F1C" w:rsidRDefault="00480F1C">
            <w:pPr>
              <w:spacing w:after="0" w:line="240" w:lineRule="auto"/>
              <w:rPr>
                <w:rFonts w:ascii="Times New Roman" w:eastAsia="Times New Roman" w:hAnsi="Times New Roman" w:cs="Times New Roman"/>
                <w:b/>
                <w:noProof/>
                <w:sz w:val="24"/>
              </w:rPr>
            </w:pPr>
          </w:p>
        </w:tc>
        <w:tc>
          <w:tcPr>
            <w:tcW w:w="1076" w:type="dxa"/>
            <w:tcBorders>
              <w:top w:val="nil"/>
              <w:left w:val="single" w:sz="4" w:space="0" w:color="auto"/>
              <w:bottom w:val="single" w:sz="4" w:space="0" w:color="auto"/>
              <w:right w:val="single" w:sz="4" w:space="0" w:color="auto"/>
            </w:tcBorders>
            <w:shd w:val="clear" w:color="auto" w:fill="BDD7EE"/>
            <w:vAlign w:val="center"/>
            <w:hideMark/>
          </w:tcPr>
          <w:p w14:paraId="56DB4F88" w14:textId="77777777" w:rsidR="00480F1C" w:rsidRDefault="00A201F6">
            <w:pPr>
              <w:pStyle w:val="P68B1DB1-Normal39"/>
              <w:spacing w:after="0" w:line="240" w:lineRule="auto"/>
              <w:jc w:val="center"/>
              <w:rPr>
                <w:rFonts w:eastAsia="Times New Roman" w:cs="Times New Roman"/>
                <w:noProof/>
              </w:rPr>
            </w:pPr>
            <w:r>
              <w:rPr>
                <w:noProof/>
              </w:rPr>
              <w:t>Eenheid</w:t>
            </w:r>
          </w:p>
        </w:tc>
        <w:tc>
          <w:tcPr>
            <w:tcW w:w="943" w:type="dxa"/>
            <w:tcBorders>
              <w:top w:val="nil"/>
              <w:left w:val="nil"/>
              <w:bottom w:val="single" w:sz="4" w:space="0" w:color="auto"/>
              <w:right w:val="single" w:sz="4" w:space="0" w:color="auto"/>
            </w:tcBorders>
            <w:shd w:val="clear" w:color="auto" w:fill="BDD7EE"/>
            <w:vAlign w:val="center"/>
            <w:hideMark/>
          </w:tcPr>
          <w:p w14:paraId="3686F0F2" w14:textId="43548EF5" w:rsidR="00480F1C" w:rsidRDefault="00A201F6">
            <w:pPr>
              <w:pStyle w:val="P68B1DB1-Normal39"/>
              <w:spacing w:after="0" w:line="240" w:lineRule="auto"/>
              <w:jc w:val="center"/>
              <w:rPr>
                <w:rFonts w:eastAsia="Times New Roman" w:cs="Times New Roman"/>
                <w:noProof/>
              </w:rPr>
            </w:pPr>
            <w:r>
              <w:rPr>
                <w:noProof/>
              </w:rPr>
              <w:t>Basislijn</w:t>
            </w:r>
          </w:p>
        </w:tc>
        <w:tc>
          <w:tcPr>
            <w:tcW w:w="678" w:type="dxa"/>
            <w:tcBorders>
              <w:top w:val="nil"/>
              <w:left w:val="nil"/>
              <w:bottom w:val="single" w:sz="4" w:space="0" w:color="auto"/>
              <w:right w:val="single" w:sz="4" w:space="0" w:color="auto"/>
            </w:tcBorders>
            <w:shd w:val="clear" w:color="auto" w:fill="BDD7EE"/>
            <w:vAlign w:val="center"/>
            <w:hideMark/>
          </w:tcPr>
          <w:p w14:paraId="71D633E6" w14:textId="1DFD27BF" w:rsidR="00480F1C" w:rsidRDefault="00A201F6">
            <w:pPr>
              <w:pStyle w:val="P68B1DB1-Normal39"/>
              <w:spacing w:after="0" w:line="240" w:lineRule="auto"/>
              <w:jc w:val="center"/>
              <w:rPr>
                <w:rFonts w:eastAsia="Times New Roman" w:cs="Times New Roman"/>
                <w:noProof/>
              </w:rPr>
            </w:pPr>
            <w:r>
              <w:rPr>
                <w:noProof/>
              </w:rPr>
              <w:t>Doelstelling</w:t>
            </w:r>
          </w:p>
        </w:tc>
        <w:tc>
          <w:tcPr>
            <w:tcW w:w="878" w:type="dxa"/>
            <w:tcBorders>
              <w:top w:val="nil"/>
              <w:left w:val="nil"/>
              <w:bottom w:val="single" w:sz="4" w:space="0" w:color="auto"/>
              <w:right w:val="single" w:sz="4" w:space="0" w:color="auto"/>
            </w:tcBorders>
            <w:shd w:val="clear" w:color="auto" w:fill="BDD7EE"/>
            <w:vAlign w:val="center"/>
            <w:hideMark/>
          </w:tcPr>
          <w:p w14:paraId="41920367" w14:textId="77777777" w:rsidR="00480F1C" w:rsidRDefault="00A201F6">
            <w:pPr>
              <w:pStyle w:val="P68B1DB1-Normal39"/>
              <w:spacing w:after="0" w:line="240" w:lineRule="auto"/>
              <w:jc w:val="center"/>
              <w:rPr>
                <w:rFonts w:eastAsia="Times New Roman" w:cs="Times New Roman"/>
                <w:noProof/>
              </w:rPr>
            </w:pPr>
            <w:r>
              <w:rPr>
                <w:noProof/>
              </w:rPr>
              <w:t>Kwartaal</w:t>
            </w:r>
          </w:p>
        </w:tc>
        <w:tc>
          <w:tcPr>
            <w:tcW w:w="884" w:type="dxa"/>
            <w:tcBorders>
              <w:top w:val="nil"/>
              <w:left w:val="nil"/>
              <w:bottom w:val="single" w:sz="4" w:space="0" w:color="auto"/>
              <w:right w:val="single" w:sz="4" w:space="0" w:color="auto"/>
            </w:tcBorders>
            <w:shd w:val="clear" w:color="auto" w:fill="BDD7EE"/>
            <w:vAlign w:val="center"/>
            <w:hideMark/>
          </w:tcPr>
          <w:p w14:paraId="19996235" w14:textId="77777777" w:rsidR="00480F1C" w:rsidRDefault="00A201F6">
            <w:pPr>
              <w:pStyle w:val="P68B1DB1-Normal39"/>
              <w:spacing w:after="0" w:line="240" w:lineRule="auto"/>
              <w:jc w:val="center"/>
              <w:rPr>
                <w:rFonts w:eastAsia="Times New Roman" w:cs="Times New Roman"/>
                <w:noProof/>
              </w:rPr>
            </w:pPr>
            <w:r>
              <w:rPr>
                <w:noProof/>
              </w:rPr>
              <w:t>Jaar</w:t>
            </w:r>
          </w:p>
        </w:tc>
        <w:tc>
          <w:tcPr>
            <w:tcW w:w="4146" w:type="dxa"/>
            <w:vMerge/>
            <w:tcBorders>
              <w:top w:val="single" w:sz="4" w:space="0" w:color="auto"/>
              <w:bottom w:val="single" w:sz="4" w:space="0" w:color="auto"/>
              <w:right w:val="single" w:sz="4" w:space="0" w:color="auto"/>
            </w:tcBorders>
            <w:vAlign w:val="center"/>
            <w:hideMark/>
          </w:tcPr>
          <w:p w14:paraId="2C59524A" w14:textId="77777777" w:rsidR="00480F1C" w:rsidRDefault="00480F1C">
            <w:pPr>
              <w:spacing w:after="0" w:line="240" w:lineRule="auto"/>
              <w:rPr>
                <w:rFonts w:ascii="Times New Roman" w:eastAsia="Times New Roman" w:hAnsi="Times New Roman" w:cs="Times New Roman"/>
                <w:b/>
                <w:noProof/>
                <w:sz w:val="24"/>
              </w:rPr>
            </w:pPr>
          </w:p>
        </w:tc>
      </w:tr>
      <w:tr w:rsidR="00480F1C" w14:paraId="0137BD41" w14:textId="77777777">
        <w:trPr>
          <w:trHeight w:val="309"/>
          <w:jc w:val="center"/>
        </w:trPr>
        <w:tc>
          <w:tcPr>
            <w:tcW w:w="809" w:type="dxa"/>
            <w:tcBorders>
              <w:top w:val="single" w:sz="4" w:space="0" w:color="auto"/>
              <w:left w:val="single" w:sz="4" w:space="0" w:color="auto"/>
              <w:bottom w:val="single" w:sz="4" w:space="0" w:color="auto"/>
              <w:right w:val="single" w:sz="4" w:space="0" w:color="auto"/>
            </w:tcBorders>
            <w:shd w:val="clear" w:color="auto" w:fill="C6EFCE"/>
            <w:noWrap/>
          </w:tcPr>
          <w:p w14:paraId="6D85D229" w14:textId="6E8D852C" w:rsidR="00480F1C" w:rsidRDefault="00A201F6">
            <w:pPr>
              <w:pStyle w:val="P68B1DB1-Normal25"/>
              <w:spacing w:after="0" w:line="240" w:lineRule="auto"/>
              <w:jc w:val="center"/>
              <w:rPr>
                <w:rFonts w:eastAsia="Times New Roman" w:cs="Times New Roman"/>
                <w:noProof/>
              </w:rPr>
            </w:pPr>
            <w:r>
              <w:rPr>
                <w:noProof/>
              </w:rPr>
              <w:t>G1L</w:t>
            </w:r>
          </w:p>
        </w:tc>
        <w:tc>
          <w:tcPr>
            <w:tcW w:w="1474" w:type="dxa"/>
            <w:tcBorders>
              <w:top w:val="single" w:sz="4" w:space="0" w:color="auto"/>
              <w:left w:val="single" w:sz="4" w:space="0" w:color="auto"/>
              <w:bottom w:val="single" w:sz="4" w:space="0" w:color="auto"/>
              <w:right w:val="single" w:sz="4" w:space="0" w:color="auto"/>
            </w:tcBorders>
            <w:shd w:val="clear" w:color="auto" w:fill="C6EFCE"/>
            <w:noWrap/>
          </w:tcPr>
          <w:p w14:paraId="3C4F157E" w14:textId="33A1552B" w:rsidR="00480F1C" w:rsidRDefault="00A201F6">
            <w:pPr>
              <w:pStyle w:val="P68B1DB1-Normal25"/>
              <w:spacing w:after="0" w:line="240" w:lineRule="auto"/>
              <w:rPr>
                <w:rFonts w:eastAsia="Times New Roman" w:cs="Times New Roman"/>
                <w:noProof/>
              </w:rPr>
            </w:pPr>
            <w:r>
              <w:rPr>
                <w:noProof/>
              </w:rPr>
              <w:t>G3.1.1 stroomlijning van het vergunningsproces voor hernieuwbare energiebronnen</w:t>
            </w:r>
          </w:p>
        </w:tc>
        <w:tc>
          <w:tcPr>
            <w:tcW w:w="1077" w:type="dxa"/>
            <w:tcBorders>
              <w:top w:val="single" w:sz="4" w:space="0" w:color="auto"/>
              <w:left w:val="single" w:sz="4" w:space="0" w:color="auto"/>
              <w:bottom w:val="single" w:sz="4" w:space="0" w:color="auto"/>
              <w:right w:val="single" w:sz="4" w:space="0" w:color="auto"/>
            </w:tcBorders>
            <w:shd w:val="clear" w:color="auto" w:fill="C6EFCE"/>
            <w:noWrap/>
          </w:tcPr>
          <w:p w14:paraId="40F8465C" w14:textId="77777777" w:rsidR="00480F1C" w:rsidRDefault="00A201F6">
            <w:pPr>
              <w:pStyle w:val="P68B1DB1-Normal25"/>
              <w:spacing w:after="0" w:line="240" w:lineRule="auto"/>
              <w:rPr>
                <w:rFonts w:eastAsia="Times New Roman" w:cs="Times New Roman"/>
                <w:noProof/>
              </w:rPr>
            </w:pPr>
            <w:r>
              <w:rPr>
                <w:noProof/>
              </w:rPr>
              <w:t>Mijlpaal</w:t>
            </w:r>
          </w:p>
        </w:tc>
        <w:tc>
          <w:tcPr>
            <w:tcW w:w="1874" w:type="dxa"/>
            <w:tcBorders>
              <w:top w:val="single" w:sz="4" w:space="0" w:color="auto"/>
              <w:left w:val="single" w:sz="4" w:space="0" w:color="auto"/>
              <w:bottom w:val="single" w:sz="4" w:space="0" w:color="auto"/>
              <w:right w:val="single" w:sz="4" w:space="0" w:color="auto"/>
            </w:tcBorders>
            <w:shd w:val="clear" w:color="auto" w:fill="C6EFCE"/>
            <w:noWrap/>
          </w:tcPr>
          <w:p w14:paraId="0FB00B1F" w14:textId="77777777" w:rsidR="00480F1C" w:rsidRDefault="00A201F6">
            <w:pPr>
              <w:pStyle w:val="P68B1DB1-Normal25"/>
              <w:spacing w:after="0" w:line="240" w:lineRule="auto"/>
              <w:rPr>
                <w:rFonts w:eastAsia="Times New Roman" w:cs="Times New Roman"/>
                <w:noProof/>
              </w:rPr>
            </w:pPr>
            <w:r>
              <w:rPr>
                <w:noProof/>
              </w:rPr>
              <w:t>Inventarisatie van het potentieel voor hernieuwbare energie voor fotovoltaïsche en onshore-windinstallaties</w:t>
            </w:r>
          </w:p>
        </w:tc>
        <w:tc>
          <w:tcPr>
            <w:tcW w:w="1606" w:type="dxa"/>
            <w:tcBorders>
              <w:top w:val="single" w:sz="4" w:space="0" w:color="auto"/>
              <w:left w:val="single" w:sz="4" w:space="0" w:color="auto"/>
              <w:bottom w:val="single" w:sz="4" w:space="0" w:color="auto"/>
              <w:right w:val="single" w:sz="4" w:space="0" w:color="auto"/>
            </w:tcBorders>
            <w:shd w:val="clear" w:color="auto" w:fill="C6EFCE"/>
            <w:noWrap/>
          </w:tcPr>
          <w:p w14:paraId="013FA673" w14:textId="43CC38BF" w:rsidR="00480F1C" w:rsidRDefault="00A201F6">
            <w:pPr>
              <w:pStyle w:val="P68B1DB1-Normal25"/>
              <w:spacing w:after="0" w:line="240" w:lineRule="auto"/>
              <w:rPr>
                <w:rFonts w:eastAsia="Times New Roman" w:cs="Times New Roman"/>
                <w:noProof/>
              </w:rPr>
            </w:pPr>
            <w:r>
              <w:rPr>
                <w:noProof/>
              </w:rPr>
              <w:t>Publicatie, via een passend digitaal kanaal, van kaarten van het potentieel voor hernieuwbare energie voor fotovoltaïsche en onshorewindenergie</w:t>
            </w:r>
          </w:p>
        </w:tc>
        <w:tc>
          <w:tcPr>
            <w:tcW w:w="1076" w:type="dxa"/>
            <w:tcBorders>
              <w:top w:val="single" w:sz="4" w:space="0" w:color="auto"/>
              <w:left w:val="single" w:sz="4" w:space="0" w:color="auto"/>
              <w:bottom w:val="single" w:sz="4" w:space="0" w:color="auto"/>
              <w:right w:val="single" w:sz="4" w:space="0" w:color="auto"/>
            </w:tcBorders>
            <w:shd w:val="clear" w:color="auto" w:fill="C6EFCE"/>
            <w:noWrap/>
          </w:tcPr>
          <w:p w14:paraId="01E1395C" w14:textId="77777777" w:rsidR="00480F1C" w:rsidRDefault="00480F1C">
            <w:pPr>
              <w:spacing w:after="0" w:line="240" w:lineRule="auto"/>
              <w:rPr>
                <w:rFonts w:ascii="Times New Roman" w:eastAsia="Times New Roman" w:hAnsi="Times New Roman" w:cs="Times New Roman"/>
                <w:noProof/>
                <w:sz w:val="18"/>
              </w:rPr>
            </w:pPr>
          </w:p>
        </w:tc>
        <w:tc>
          <w:tcPr>
            <w:tcW w:w="943" w:type="dxa"/>
            <w:tcBorders>
              <w:top w:val="single" w:sz="4" w:space="0" w:color="auto"/>
              <w:left w:val="single" w:sz="4" w:space="0" w:color="auto"/>
              <w:bottom w:val="single" w:sz="4" w:space="0" w:color="auto"/>
              <w:right w:val="single" w:sz="4" w:space="0" w:color="auto"/>
            </w:tcBorders>
            <w:shd w:val="clear" w:color="auto" w:fill="C6EFCE"/>
            <w:noWrap/>
          </w:tcPr>
          <w:p w14:paraId="38623F03" w14:textId="77777777" w:rsidR="00480F1C" w:rsidRDefault="00480F1C">
            <w:pPr>
              <w:spacing w:after="0" w:line="240" w:lineRule="auto"/>
              <w:jc w:val="center"/>
              <w:rPr>
                <w:rFonts w:ascii="Times New Roman" w:eastAsia="Times New Roman" w:hAnsi="Times New Roman" w:cs="Times New Roman"/>
                <w:noProof/>
                <w:sz w:val="18"/>
              </w:rPr>
            </w:pPr>
          </w:p>
        </w:tc>
        <w:tc>
          <w:tcPr>
            <w:tcW w:w="678" w:type="dxa"/>
            <w:tcBorders>
              <w:top w:val="single" w:sz="4" w:space="0" w:color="auto"/>
              <w:left w:val="single" w:sz="4" w:space="0" w:color="auto"/>
              <w:bottom w:val="single" w:sz="4" w:space="0" w:color="auto"/>
              <w:right w:val="single" w:sz="4" w:space="0" w:color="auto"/>
            </w:tcBorders>
            <w:shd w:val="clear" w:color="auto" w:fill="C6EFCE"/>
            <w:noWrap/>
          </w:tcPr>
          <w:p w14:paraId="2C182B18" w14:textId="77777777" w:rsidR="00480F1C" w:rsidRDefault="00480F1C">
            <w:pPr>
              <w:spacing w:after="0" w:line="240" w:lineRule="auto"/>
              <w:jc w:val="center"/>
              <w:rPr>
                <w:rFonts w:ascii="Times New Roman" w:eastAsia="Times New Roman" w:hAnsi="Times New Roman" w:cs="Times New Roman"/>
                <w:noProof/>
                <w:sz w:val="18"/>
              </w:rPr>
            </w:pPr>
          </w:p>
        </w:tc>
        <w:tc>
          <w:tcPr>
            <w:tcW w:w="878" w:type="dxa"/>
            <w:tcBorders>
              <w:top w:val="single" w:sz="4" w:space="0" w:color="auto"/>
              <w:left w:val="single" w:sz="4" w:space="0" w:color="auto"/>
              <w:bottom w:val="single" w:sz="4" w:space="0" w:color="auto"/>
              <w:right w:val="single" w:sz="4" w:space="0" w:color="auto"/>
            </w:tcBorders>
            <w:shd w:val="clear" w:color="auto" w:fill="C6EFCE"/>
            <w:noWrap/>
          </w:tcPr>
          <w:p w14:paraId="363A1082" w14:textId="77777777" w:rsidR="00480F1C" w:rsidRDefault="00A201F6">
            <w:pPr>
              <w:pStyle w:val="P68B1DB1-Normal25"/>
              <w:jc w:val="center"/>
              <w:rPr>
                <w:rFonts w:eastAsia="Times New Roman" w:cs="Times New Roman"/>
                <w:noProof/>
              </w:rPr>
            </w:pPr>
            <w:r>
              <w:rPr>
                <w:noProof/>
              </w:rPr>
              <w:t>KWARTAAL 4</w:t>
            </w:r>
          </w:p>
        </w:tc>
        <w:tc>
          <w:tcPr>
            <w:tcW w:w="884" w:type="dxa"/>
            <w:tcBorders>
              <w:top w:val="single" w:sz="4" w:space="0" w:color="auto"/>
              <w:left w:val="single" w:sz="4" w:space="0" w:color="auto"/>
              <w:bottom w:val="single" w:sz="4" w:space="0" w:color="auto"/>
              <w:right w:val="single" w:sz="4" w:space="0" w:color="auto"/>
            </w:tcBorders>
            <w:shd w:val="clear" w:color="auto" w:fill="C6EFCE"/>
            <w:noWrap/>
          </w:tcPr>
          <w:p w14:paraId="6C982E6E" w14:textId="77777777" w:rsidR="00480F1C" w:rsidRDefault="00A201F6">
            <w:pPr>
              <w:pStyle w:val="P68B1DB1-Normal25"/>
              <w:spacing w:after="0" w:line="240" w:lineRule="auto"/>
              <w:jc w:val="center"/>
              <w:rPr>
                <w:rFonts w:eastAsia="Times New Roman" w:cs="Times New Roman"/>
                <w:noProof/>
              </w:rPr>
            </w:pPr>
            <w:r>
              <w:rPr>
                <w:noProof/>
              </w:rPr>
              <w:t>2024</w:t>
            </w:r>
          </w:p>
        </w:tc>
        <w:tc>
          <w:tcPr>
            <w:tcW w:w="4146" w:type="dxa"/>
            <w:tcBorders>
              <w:top w:val="single" w:sz="4" w:space="0" w:color="auto"/>
              <w:left w:val="single" w:sz="4" w:space="0" w:color="auto"/>
              <w:bottom w:val="single" w:sz="4" w:space="0" w:color="auto"/>
              <w:right w:val="single" w:sz="4" w:space="0" w:color="auto"/>
            </w:tcBorders>
            <w:shd w:val="clear" w:color="auto" w:fill="C6EFCE"/>
            <w:noWrap/>
          </w:tcPr>
          <w:p w14:paraId="58C65B43" w14:textId="77777777" w:rsidR="00480F1C" w:rsidRDefault="00A201F6">
            <w:pPr>
              <w:pStyle w:val="P68B1DB1-Normal25"/>
              <w:spacing w:after="0" w:line="240" w:lineRule="auto"/>
              <w:rPr>
                <w:rFonts w:eastAsia="Times New Roman" w:cs="Times New Roman"/>
                <w:noProof/>
              </w:rPr>
            </w:pPr>
            <w:r>
              <w:rPr>
                <w:noProof/>
              </w:rPr>
              <w:t xml:space="preserve">Het ministerie van Klimaat en Milieu geeft opdracht tot het in kaart brengen van het potentieel voor hernieuwbare energie voor fotovoltaïsche en onshorewindinstallaties en maakt de daaruit voortvloeiende hulpbronnenkaart openbaar via een geschikt digitaal kanaal, zoals een website.  </w:t>
            </w:r>
          </w:p>
          <w:p w14:paraId="3E1F2F13" w14:textId="77777777" w:rsidR="00480F1C" w:rsidRDefault="00480F1C">
            <w:pPr>
              <w:spacing w:after="0" w:line="240" w:lineRule="auto"/>
              <w:rPr>
                <w:rFonts w:ascii="Times New Roman" w:eastAsia="Times New Roman" w:hAnsi="Times New Roman" w:cs="Times New Roman"/>
                <w:noProof/>
                <w:sz w:val="18"/>
              </w:rPr>
            </w:pPr>
          </w:p>
          <w:p w14:paraId="253A1EAF" w14:textId="64D79941" w:rsidR="00480F1C" w:rsidRDefault="00A201F6">
            <w:pPr>
              <w:pStyle w:val="P68B1DB1-Normal25"/>
              <w:spacing w:after="0" w:line="240" w:lineRule="auto"/>
              <w:rPr>
                <w:rFonts w:eastAsia="Times New Roman" w:cs="Times New Roman"/>
                <w:noProof/>
              </w:rPr>
            </w:pPr>
            <w:r>
              <w:rPr>
                <w:noProof/>
              </w:rPr>
              <w:t xml:space="preserve">De hulpbronnenkaart bestrijkt het gehele grondgebied van Polen en is beschikbaar in een formaat dat een gemakkelijke integratie in de procedures voor ruimtelijke ordening mogelijk maakt met het oog op de aanwijzing van gebieden voor hernieuwbare energie (zoals gedefinieerd in artikel 15 ter van Richtlijn (EU) 2023/2413 van 18 oktober 2023 (RED III) en gebieden voor de versnelling van hernieuwbare energie (zoals gedefinieerd in de artikelen 2 (2) (9 bis) en 15 quater van RED III). </w:t>
            </w:r>
          </w:p>
          <w:p w14:paraId="41B7E8A1" w14:textId="77777777" w:rsidR="00480F1C" w:rsidRDefault="00480F1C">
            <w:pPr>
              <w:spacing w:after="0" w:line="240" w:lineRule="auto"/>
              <w:rPr>
                <w:rFonts w:ascii="Times New Roman" w:eastAsia="Times New Roman" w:hAnsi="Times New Roman" w:cs="Times New Roman"/>
                <w:noProof/>
                <w:sz w:val="18"/>
              </w:rPr>
            </w:pPr>
          </w:p>
          <w:p w14:paraId="6CE3FB97" w14:textId="17E206CF" w:rsidR="00480F1C" w:rsidRDefault="00A201F6">
            <w:pPr>
              <w:pStyle w:val="P68B1DB1-Normal25"/>
              <w:spacing w:after="0" w:line="240" w:lineRule="auto"/>
              <w:rPr>
                <w:rFonts w:eastAsia="Times New Roman" w:cs="Times New Roman"/>
                <w:noProof/>
              </w:rPr>
            </w:pPr>
            <w:r>
              <w:rPr>
                <w:noProof/>
              </w:rPr>
              <w:t>Het in kaart brengen omvat een analyse van de energiedichtheid voor fotovoltaïsche en onshorewindenergie, alsook van andere aspecten die van belang zijn voor de integratie van fotovoltaïsche en onshore-windinstallaties in de ruimtelijke ordening, zoals beperkingen op het gebied van milieu- en natuurbescherming of de toegankelijkheid van netwerken, met inbegrip van de aanwijzing van versnellingsgebieden;</w:t>
            </w:r>
          </w:p>
        </w:tc>
      </w:tr>
      <w:tr w:rsidR="00480F1C" w14:paraId="6584318B" w14:textId="77777777">
        <w:trPr>
          <w:trHeight w:val="309"/>
          <w:jc w:val="center"/>
        </w:trPr>
        <w:tc>
          <w:tcPr>
            <w:tcW w:w="809" w:type="dxa"/>
            <w:tcBorders>
              <w:top w:val="single" w:sz="4" w:space="0" w:color="auto"/>
              <w:left w:val="single" w:sz="4" w:space="0" w:color="auto"/>
              <w:bottom w:val="single" w:sz="4" w:space="0" w:color="auto"/>
              <w:right w:val="single" w:sz="4" w:space="0" w:color="auto"/>
            </w:tcBorders>
            <w:shd w:val="clear" w:color="auto" w:fill="C6EFCE"/>
            <w:noWrap/>
          </w:tcPr>
          <w:p w14:paraId="52642195" w14:textId="37D91754" w:rsidR="00480F1C" w:rsidRDefault="00A201F6">
            <w:pPr>
              <w:pStyle w:val="P68B1DB1-Normal25"/>
              <w:spacing w:after="0" w:line="240" w:lineRule="auto"/>
              <w:jc w:val="center"/>
              <w:rPr>
                <w:rFonts w:eastAsia="Times New Roman" w:cs="Times New Roman"/>
                <w:noProof/>
              </w:rPr>
            </w:pPr>
            <w:r>
              <w:rPr>
                <w:noProof/>
              </w:rPr>
              <w:t>G2L</w:t>
            </w:r>
          </w:p>
        </w:tc>
        <w:tc>
          <w:tcPr>
            <w:tcW w:w="1474" w:type="dxa"/>
            <w:tcBorders>
              <w:top w:val="single" w:sz="4" w:space="0" w:color="auto"/>
              <w:left w:val="nil"/>
              <w:bottom w:val="single" w:sz="4" w:space="0" w:color="auto"/>
              <w:right w:val="single" w:sz="4" w:space="0" w:color="auto"/>
            </w:tcBorders>
            <w:shd w:val="clear" w:color="auto" w:fill="C6EFCE"/>
            <w:noWrap/>
          </w:tcPr>
          <w:p w14:paraId="6B5A6C76" w14:textId="2D973408" w:rsidR="00480F1C" w:rsidRDefault="00A201F6">
            <w:pPr>
              <w:pStyle w:val="P68B1DB1-Normal25"/>
              <w:spacing w:after="0" w:line="240" w:lineRule="auto"/>
              <w:rPr>
                <w:rFonts w:eastAsia="Times New Roman" w:cs="Times New Roman"/>
                <w:noProof/>
              </w:rPr>
            </w:pPr>
            <w:r>
              <w:rPr>
                <w:noProof/>
              </w:rPr>
              <w:t>G3.1.1 stroomlijning van het vergunningsproces voor hernieuwbare energiebronnen</w:t>
            </w:r>
          </w:p>
        </w:tc>
        <w:tc>
          <w:tcPr>
            <w:tcW w:w="1077" w:type="dxa"/>
            <w:tcBorders>
              <w:top w:val="single" w:sz="4" w:space="0" w:color="auto"/>
              <w:left w:val="nil"/>
              <w:bottom w:val="single" w:sz="4" w:space="0" w:color="auto"/>
              <w:right w:val="single" w:sz="4" w:space="0" w:color="auto"/>
            </w:tcBorders>
            <w:shd w:val="clear" w:color="auto" w:fill="C6EFCE"/>
            <w:noWrap/>
          </w:tcPr>
          <w:p w14:paraId="06FFD68B" w14:textId="77777777" w:rsidR="00480F1C" w:rsidRDefault="00A201F6">
            <w:pPr>
              <w:pStyle w:val="P68B1DB1-Normal25"/>
              <w:spacing w:after="0" w:line="240" w:lineRule="auto"/>
              <w:rPr>
                <w:rFonts w:eastAsia="Times New Roman" w:cs="Times New Roman"/>
                <w:noProof/>
              </w:rPr>
            </w:pPr>
            <w:r>
              <w:rPr>
                <w:noProof/>
              </w:rPr>
              <w:t>Mijlpaal</w:t>
            </w:r>
          </w:p>
        </w:tc>
        <w:tc>
          <w:tcPr>
            <w:tcW w:w="1874" w:type="dxa"/>
            <w:tcBorders>
              <w:top w:val="single" w:sz="4" w:space="0" w:color="auto"/>
              <w:left w:val="nil"/>
              <w:bottom w:val="single" w:sz="4" w:space="0" w:color="auto"/>
              <w:right w:val="single" w:sz="4" w:space="0" w:color="auto"/>
            </w:tcBorders>
            <w:shd w:val="clear" w:color="auto" w:fill="C6EFCE"/>
            <w:noWrap/>
          </w:tcPr>
          <w:p w14:paraId="1FD646B9" w14:textId="10EF8481" w:rsidR="00480F1C" w:rsidRDefault="00A201F6">
            <w:pPr>
              <w:pStyle w:val="P68B1DB1-Normal25"/>
              <w:spacing w:after="0" w:line="240" w:lineRule="auto"/>
              <w:rPr>
                <w:rFonts w:eastAsia="Times New Roman" w:cs="Times New Roman"/>
                <w:noProof/>
              </w:rPr>
            </w:pPr>
            <w:r>
              <w:rPr>
                <w:noProof/>
              </w:rPr>
              <w:t>Versnelling van vergunningsprocedures</w:t>
            </w:r>
          </w:p>
        </w:tc>
        <w:tc>
          <w:tcPr>
            <w:tcW w:w="1606" w:type="dxa"/>
            <w:tcBorders>
              <w:top w:val="single" w:sz="4" w:space="0" w:color="auto"/>
              <w:left w:val="nil"/>
              <w:bottom w:val="single" w:sz="4" w:space="0" w:color="auto"/>
              <w:right w:val="single" w:sz="4" w:space="0" w:color="auto"/>
            </w:tcBorders>
            <w:shd w:val="clear" w:color="auto" w:fill="C6EFCE"/>
            <w:noWrap/>
          </w:tcPr>
          <w:p w14:paraId="7A63F1D5" w14:textId="77777777" w:rsidR="00480F1C" w:rsidRDefault="00A201F6">
            <w:pPr>
              <w:pStyle w:val="P68B1DB1-Normal25"/>
              <w:spacing w:after="0" w:line="240" w:lineRule="auto"/>
              <w:rPr>
                <w:rFonts w:eastAsia="Times New Roman" w:cs="Times New Roman"/>
                <w:noProof/>
              </w:rPr>
            </w:pPr>
            <w:r>
              <w:rPr>
                <w:noProof/>
              </w:rPr>
              <w:t xml:space="preserve">Bepaling in de rechtshandelingen die de inwerkingtreding ervan aangeven   </w:t>
            </w:r>
          </w:p>
          <w:p w14:paraId="67417548" w14:textId="77777777" w:rsidR="00480F1C" w:rsidRDefault="00480F1C">
            <w:pPr>
              <w:spacing w:after="0" w:line="240" w:lineRule="auto"/>
              <w:rPr>
                <w:rFonts w:ascii="Times New Roman" w:eastAsia="Times New Roman" w:hAnsi="Times New Roman" w:cs="Times New Roman"/>
                <w:noProof/>
                <w:sz w:val="18"/>
              </w:rPr>
            </w:pPr>
          </w:p>
          <w:p w14:paraId="553D4391" w14:textId="77777777" w:rsidR="00480F1C" w:rsidRDefault="00480F1C">
            <w:pPr>
              <w:pStyle w:val="Normal0"/>
              <w:spacing w:after="0" w:line="240" w:lineRule="auto"/>
              <w:rPr>
                <w:rFonts w:ascii="Times New Roman" w:eastAsia="Times New Roman" w:hAnsi="Times New Roman" w:cs="Times New Roman"/>
                <w:noProof/>
                <w:sz w:val="18"/>
              </w:rPr>
            </w:pPr>
          </w:p>
        </w:tc>
        <w:tc>
          <w:tcPr>
            <w:tcW w:w="1076" w:type="dxa"/>
            <w:tcBorders>
              <w:top w:val="single" w:sz="4" w:space="0" w:color="auto"/>
              <w:left w:val="nil"/>
              <w:bottom w:val="single" w:sz="4" w:space="0" w:color="auto"/>
              <w:right w:val="single" w:sz="4" w:space="0" w:color="auto"/>
            </w:tcBorders>
            <w:shd w:val="clear" w:color="auto" w:fill="C6EFCE"/>
            <w:noWrap/>
          </w:tcPr>
          <w:p w14:paraId="2A55E78C" w14:textId="77777777" w:rsidR="00480F1C" w:rsidRDefault="00480F1C">
            <w:pPr>
              <w:spacing w:after="0" w:line="240" w:lineRule="auto"/>
              <w:rPr>
                <w:rFonts w:ascii="Times New Roman" w:eastAsia="Times New Roman" w:hAnsi="Times New Roman" w:cs="Times New Roman"/>
                <w:noProof/>
                <w:sz w:val="18"/>
              </w:rPr>
            </w:pPr>
          </w:p>
        </w:tc>
        <w:tc>
          <w:tcPr>
            <w:tcW w:w="943" w:type="dxa"/>
            <w:tcBorders>
              <w:top w:val="single" w:sz="4" w:space="0" w:color="auto"/>
              <w:left w:val="nil"/>
              <w:bottom w:val="single" w:sz="4" w:space="0" w:color="auto"/>
              <w:right w:val="single" w:sz="4" w:space="0" w:color="auto"/>
            </w:tcBorders>
            <w:shd w:val="clear" w:color="auto" w:fill="C6EFCE"/>
            <w:noWrap/>
          </w:tcPr>
          <w:p w14:paraId="3CA09F7B" w14:textId="77777777" w:rsidR="00480F1C" w:rsidRDefault="00480F1C">
            <w:pPr>
              <w:spacing w:after="0" w:line="240" w:lineRule="auto"/>
              <w:jc w:val="center"/>
              <w:rPr>
                <w:rFonts w:ascii="Times New Roman" w:eastAsia="Times New Roman" w:hAnsi="Times New Roman" w:cs="Times New Roman"/>
                <w:noProof/>
                <w:sz w:val="18"/>
              </w:rPr>
            </w:pPr>
          </w:p>
        </w:tc>
        <w:tc>
          <w:tcPr>
            <w:tcW w:w="678" w:type="dxa"/>
            <w:tcBorders>
              <w:top w:val="single" w:sz="4" w:space="0" w:color="auto"/>
              <w:left w:val="nil"/>
              <w:bottom w:val="single" w:sz="4" w:space="0" w:color="auto"/>
              <w:right w:val="single" w:sz="4" w:space="0" w:color="auto"/>
            </w:tcBorders>
            <w:shd w:val="clear" w:color="auto" w:fill="C6EFCE"/>
            <w:noWrap/>
          </w:tcPr>
          <w:p w14:paraId="7912FF4E" w14:textId="77777777" w:rsidR="00480F1C" w:rsidRDefault="00480F1C">
            <w:pPr>
              <w:spacing w:after="0" w:line="240" w:lineRule="auto"/>
              <w:jc w:val="center"/>
              <w:rPr>
                <w:rFonts w:ascii="Times New Roman" w:eastAsia="Times New Roman" w:hAnsi="Times New Roman" w:cs="Times New Roman"/>
                <w:noProof/>
                <w:sz w:val="18"/>
              </w:rPr>
            </w:pPr>
          </w:p>
        </w:tc>
        <w:tc>
          <w:tcPr>
            <w:tcW w:w="878" w:type="dxa"/>
            <w:tcBorders>
              <w:top w:val="single" w:sz="4" w:space="0" w:color="auto"/>
              <w:left w:val="nil"/>
              <w:bottom w:val="single" w:sz="4" w:space="0" w:color="auto"/>
              <w:right w:val="single" w:sz="4" w:space="0" w:color="auto"/>
            </w:tcBorders>
            <w:shd w:val="clear" w:color="auto" w:fill="C6EFCE"/>
            <w:noWrap/>
          </w:tcPr>
          <w:p w14:paraId="68D95A6E" w14:textId="77777777" w:rsidR="00480F1C" w:rsidRDefault="00A201F6">
            <w:pPr>
              <w:pStyle w:val="P68B1DB1-Normal25"/>
              <w:spacing w:after="0" w:line="240" w:lineRule="auto"/>
              <w:jc w:val="center"/>
              <w:rPr>
                <w:rFonts w:eastAsia="Times New Roman" w:cs="Times New Roman"/>
                <w:noProof/>
              </w:rPr>
            </w:pPr>
            <w:r>
              <w:rPr>
                <w:noProof/>
              </w:rPr>
              <w:t>KWARTAAL 4</w:t>
            </w:r>
          </w:p>
        </w:tc>
        <w:tc>
          <w:tcPr>
            <w:tcW w:w="884" w:type="dxa"/>
            <w:tcBorders>
              <w:top w:val="single" w:sz="4" w:space="0" w:color="auto"/>
              <w:left w:val="nil"/>
              <w:bottom w:val="single" w:sz="4" w:space="0" w:color="auto"/>
              <w:right w:val="single" w:sz="4" w:space="0" w:color="auto"/>
            </w:tcBorders>
            <w:shd w:val="clear" w:color="auto" w:fill="C6EFCE"/>
            <w:noWrap/>
          </w:tcPr>
          <w:p w14:paraId="756F1AFB" w14:textId="77777777" w:rsidR="00480F1C" w:rsidRDefault="00A201F6">
            <w:pPr>
              <w:pStyle w:val="P68B1DB1-Normal25"/>
              <w:spacing w:after="0" w:line="240" w:lineRule="auto"/>
              <w:jc w:val="center"/>
              <w:rPr>
                <w:rFonts w:eastAsia="Times New Roman" w:cs="Times New Roman"/>
                <w:noProof/>
              </w:rPr>
            </w:pPr>
            <w:r>
              <w:rPr>
                <w:noProof/>
              </w:rPr>
              <w:t>2024</w:t>
            </w:r>
          </w:p>
        </w:tc>
        <w:tc>
          <w:tcPr>
            <w:tcW w:w="4146" w:type="dxa"/>
            <w:tcBorders>
              <w:top w:val="single" w:sz="4" w:space="0" w:color="auto"/>
              <w:left w:val="nil"/>
              <w:bottom w:val="single" w:sz="4" w:space="0" w:color="auto"/>
              <w:right w:val="single" w:sz="4" w:space="0" w:color="auto"/>
            </w:tcBorders>
            <w:shd w:val="clear" w:color="auto" w:fill="C6EFCE"/>
            <w:noWrap/>
          </w:tcPr>
          <w:p w14:paraId="6E9D0985" w14:textId="7963CD9F" w:rsidR="00480F1C" w:rsidRDefault="00A201F6">
            <w:pPr>
              <w:pStyle w:val="P68B1DB1-Normal25"/>
              <w:spacing w:after="0" w:line="240" w:lineRule="auto"/>
              <w:rPr>
                <w:rFonts w:eastAsia="Times New Roman" w:cs="Times New Roman"/>
                <w:noProof/>
              </w:rPr>
            </w:pPr>
            <w:r>
              <w:rPr>
                <w:noProof/>
              </w:rPr>
              <w:t xml:space="preserve">Inwerkingtreding van rechtshandelingen waarin een rechtskader wordt vastgesteld voor de aanwijzing van gebieden voor de versnelling van hernieuwbare energie voor zowel onshore-wind- als fotovoltaïsche installaties. </w:t>
            </w:r>
          </w:p>
          <w:p w14:paraId="40B203B3" w14:textId="77777777" w:rsidR="00480F1C" w:rsidRDefault="00480F1C">
            <w:pPr>
              <w:spacing w:after="0" w:line="240" w:lineRule="auto"/>
              <w:rPr>
                <w:rFonts w:ascii="Times New Roman" w:eastAsia="Times New Roman" w:hAnsi="Times New Roman" w:cs="Times New Roman"/>
                <w:noProof/>
                <w:sz w:val="18"/>
              </w:rPr>
            </w:pPr>
          </w:p>
          <w:p w14:paraId="28920A1F" w14:textId="5552518D" w:rsidR="00480F1C" w:rsidRDefault="00A201F6">
            <w:pPr>
              <w:pStyle w:val="P68B1DB1-Normal25"/>
              <w:spacing w:after="0" w:line="240" w:lineRule="auto"/>
              <w:rPr>
                <w:rFonts w:eastAsia="Times New Roman" w:cs="Times New Roman"/>
                <w:noProof/>
              </w:rPr>
            </w:pPr>
            <w:r>
              <w:rPr>
                <w:noProof/>
              </w:rPr>
              <w:t xml:space="preserve">Voor de toepassing van deze mijlpaal worden gebieden voor versnelling begrepen als gedefinieerd in en gereguleerd in de richtlijn hernieuwbare energie III (artikelen 2 (2) (9 bis), 15 quater, 16 (2), 16 bis en 16 quater (2) van Richtlijn (EU) 2018/2001 als gewijzigd bij Richtlijn (EU) 2023/2413 van 18 oktober 2023). </w:t>
            </w:r>
          </w:p>
          <w:p w14:paraId="2B06F77B" w14:textId="77777777" w:rsidR="00480F1C" w:rsidRDefault="00480F1C">
            <w:pPr>
              <w:spacing w:after="0" w:line="240" w:lineRule="auto"/>
              <w:rPr>
                <w:rFonts w:ascii="Times New Roman" w:eastAsia="Times New Roman" w:hAnsi="Times New Roman" w:cs="Times New Roman"/>
                <w:noProof/>
                <w:sz w:val="18"/>
              </w:rPr>
            </w:pPr>
          </w:p>
          <w:p w14:paraId="6612423E" w14:textId="1BD95A69" w:rsidR="00480F1C" w:rsidRDefault="00A201F6">
            <w:pPr>
              <w:pStyle w:val="P68B1DB1-Normal25"/>
              <w:spacing w:after="0" w:line="240" w:lineRule="auto"/>
              <w:rPr>
                <w:rFonts w:eastAsia="Times New Roman" w:cs="Times New Roman"/>
                <w:noProof/>
              </w:rPr>
            </w:pPr>
            <w:r>
              <w:rPr>
                <w:noProof/>
              </w:rPr>
              <w:t>In dit rechtskader worden ten minste i) de bevoegde autoriteiten omschreven die verantwoordelijk zijn voor de aanwijzing van gebieden voor de versnelde uitrol van hernieuwbare energie, ii) hun verplichtingen, onder meer om ervoor te zorgen dat de aanwijzing van gebieden voor de versnelling van hernieuwbare energie geen negatieve gevolgen heeft voor de bescherming van de natuur en de biodiversiteit; en iii) de vergunningsprocedures voor onshore-wind- en fotovoltaïsche installaties die van toepassing zijn op gebieden waar hernieuwbare energie wordt versneld.</w:t>
            </w:r>
          </w:p>
        </w:tc>
      </w:tr>
      <w:tr w:rsidR="00480F1C" w14:paraId="002F5C9C"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39ABAB6B" w14:textId="37AF14DA" w:rsidR="00480F1C" w:rsidRDefault="00A201F6">
            <w:pPr>
              <w:pStyle w:val="P68B1DB1-Normal25"/>
              <w:spacing w:after="0" w:line="240" w:lineRule="auto"/>
              <w:jc w:val="center"/>
              <w:rPr>
                <w:rFonts w:eastAsia="Times New Roman" w:cs="Times New Roman"/>
                <w:noProof/>
              </w:rPr>
            </w:pPr>
            <w:r>
              <w:rPr>
                <w:noProof/>
              </w:rPr>
              <w:t>G3L</w:t>
            </w:r>
          </w:p>
        </w:tc>
        <w:tc>
          <w:tcPr>
            <w:tcW w:w="1474" w:type="dxa"/>
            <w:tcBorders>
              <w:top w:val="nil"/>
              <w:left w:val="nil"/>
              <w:bottom w:val="single" w:sz="4" w:space="0" w:color="auto"/>
              <w:right w:val="single" w:sz="4" w:space="0" w:color="auto"/>
            </w:tcBorders>
            <w:shd w:val="clear" w:color="auto" w:fill="C6EFCE"/>
            <w:noWrap/>
          </w:tcPr>
          <w:p w14:paraId="09DBEAC9" w14:textId="28071B09" w:rsidR="00480F1C" w:rsidRDefault="00A201F6">
            <w:pPr>
              <w:pStyle w:val="P68B1DB1-Normal25"/>
              <w:spacing w:after="0" w:line="240" w:lineRule="auto"/>
              <w:rPr>
                <w:rFonts w:eastAsia="Times New Roman" w:cs="Times New Roman"/>
                <w:noProof/>
              </w:rPr>
            </w:pPr>
            <w:r>
              <w:rPr>
                <w:noProof/>
              </w:rPr>
              <w:t>G3.1.1 stroomlijning van het vergunningsproces voor hernieuwbare energiebronnen</w:t>
            </w:r>
          </w:p>
        </w:tc>
        <w:tc>
          <w:tcPr>
            <w:tcW w:w="1077" w:type="dxa"/>
            <w:tcBorders>
              <w:top w:val="nil"/>
              <w:left w:val="nil"/>
              <w:bottom w:val="single" w:sz="4" w:space="0" w:color="auto"/>
              <w:right w:val="single" w:sz="4" w:space="0" w:color="auto"/>
            </w:tcBorders>
            <w:shd w:val="clear" w:color="auto" w:fill="C6EFCE"/>
            <w:noWrap/>
          </w:tcPr>
          <w:p w14:paraId="33A4E915" w14:textId="77777777" w:rsidR="00480F1C" w:rsidRDefault="00A201F6">
            <w:pPr>
              <w:pStyle w:val="P68B1DB1-Normal25"/>
              <w:spacing w:line="240" w:lineRule="auto"/>
              <w:rPr>
                <w:rFonts w:eastAsia="Times New Roman" w:cs="Times New Roman"/>
                <w:noProof/>
              </w:rPr>
            </w:pPr>
            <w:r>
              <w:rPr>
                <w:noProof/>
              </w:rPr>
              <w:t>Mijlpaal</w:t>
            </w:r>
          </w:p>
          <w:p w14:paraId="54CADC5D" w14:textId="77777777" w:rsidR="00480F1C" w:rsidRDefault="00480F1C">
            <w:pPr>
              <w:spacing w:after="0" w:line="240" w:lineRule="auto"/>
              <w:rPr>
                <w:rFonts w:ascii="Times New Roman" w:eastAsia="Times New Roman" w:hAnsi="Times New Roman" w:cs="Times New Roman"/>
                <w:noProof/>
                <w:sz w:val="18"/>
              </w:rPr>
            </w:pPr>
          </w:p>
        </w:tc>
        <w:tc>
          <w:tcPr>
            <w:tcW w:w="1874" w:type="dxa"/>
            <w:tcBorders>
              <w:top w:val="nil"/>
              <w:left w:val="nil"/>
              <w:bottom w:val="single" w:sz="4" w:space="0" w:color="auto"/>
              <w:right w:val="single" w:sz="4" w:space="0" w:color="auto"/>
            </w:tcBorders>
            <w:shd w:val="clear" w:color="auto" w:fill="C6EFCE"/>
            <w:noWrap/>
          </w:tcPr>
          <w:p w14:paraId="588EA90A" w14:textId="77777777" w:rsidR="00480F1C" w:rsidRDefault="00A201F6">
            <w:pPr>
              <w:pStyle w:val="P68B1DB1-Normal25"/>
              <w:spacing w:after="0" w:line="240" w:lineRule="auto"/>
              <w:rPr>
                <w:rFonts w:eastAsia="Times New Roman" w:cs="Times New Roman"/>
                <w:noProof/>
              </w:rPr>
            </w:pPr>
            <w:r>
              <w:rPr>
                <w:noProof/>
              </w:rPr>
              <w:t xml:space="preserve">Digitalisering van vergunningsprocedures  </w:t>
            </w:r>
          </w:p>
          <w:p w14:paraId="0574B03C" w14:textId="77777777" w:rsidR="00480F1C" w:rsidRDefault="00480F1C">
            <w:pPr>
              <w:spacing w:after="0" w:line="240" w:lineRule="auto"/>
              <w:rPr>
                <w:rFonts w:ascii="Times New Roman" w:eastAsia="Times New Roman" w:hAnsi="Times New Roman" w:cs="Times New Roman"/>
                <w:noProof/>
                <w:sz w:val="18"/>
              </w:rPr>
            </w:pPr>
          </w:p>
        </w:tc>
        <w:tc>
          <w:tcPr>
            <w:tcW w:w="1606" w:type="dxa"/>
            <w:tcBorders>
              <w:top w:val="nil"/>
              <w:left w:val="nil"/>
              <w:bottom w:val="single" w:sz="4" w:space="0" w:color="auto"/>
              <w:right w:val="single" w:sz="4" w:space="0" w:color="auto"/>
            </w:tcBorders>
            <w:shd w:val="clear" w:color="auto" w:fill="C6EFCE"/>
            <w:noWrap/>
          </w:tcPr>
          <w:p w14:paraId="6899961B" w14:textId="750E42E9" w:rsidR="00480F1C" w:rsidRDefault="00A201F6">
            <w:pPr>
              <w:pStyle w:val="P68B1DB1-Normal25"/>
              <w:spacing w:after="0" w:line="240" w:lineRule="auto"/>
              <w:rPr>
                <w:rFonts w:eastAsia="Times New Roman" w:cs="Times New Roman"/>
                <w:noProof/>
              </w:rPr>
            </w:pPr>
            <w:r>
              <w:rPr>
                <w:noProof/>
              </w:rPr>
              <w:t>Afronding van de algemene technische specificaties voor het IT-platform voor één digitaal kader voor de verlening van vergunningen voor hernieuwbare energiebronnen</w:t>
            </w:r>
          </w:p>
        </w:tc>
        <w:tc>
          <w:tcPr>
            <w:tcW w:w="1076" w:type="dxa"/>
            <w:tcBorders>
              <w:top w:val="nil"/>
              <w:left w:val="nil"/>
              <w:bottom w:val="single" w:sz="4" w:space="0" w:color="auto"/>
              <w:right w:val="single" w:sz="4" w:space="0" w:color="auto"/>
            </w:tcBorders>
            <w:shd w:val="clear" w:color="auto" w:fill="C6EFCE"/>
            <w:noWrap/>
          </w:tcPr>
          <w:p w14:paraId="67207F5E" w14:textId="77777777" w:rsidR="00480F1C" w:rsidRDefault="00480F1C">
            <w:pPr>
              <w:spacing w:after="0" w:line="240" w:lineRule="auto"/>
              <w:rPr>
                <w:rFonts w:ascii="Times New Roman" w:eastAsia="Times New Roman" w:hAnsi="Times New Roman" w:cs="Times New Roman"/>
                <w:noProof/>
                <w:sz w:val="18"/>
              </w:rPr>
            </w:pPr>
          </w:p>
        </w:tc>
        <w:tc>
          <w:tcPr>
            <w:tcW w:w="943" w:type="dxa"/>
            <w:tcBorders>
              <w:top w:val="nil"/>
              <w:left w:val="nil"/>
              <w:bottom w:val="single" w:sz="4" w:space="0" w:color="auto"/>
              <w:right w:val="single" w:sz="4" w:space="0" w:color="auto"/>
            </w:tcBorders>
            <w:shd w:val="clear" w:color="auto" w:fill="C6EFCE"/>
            <w:noWrap/>
          </w:tcPr>
          <w:p w14:paraId="64C33920" w14:textId="77777777" w:rsidR="00480F1C" w:rsidRDefault="00480F1C">
            <w:pPr>
              <w:spacing w:after="0" w:line="240" w:lineRule="auto"/>
              <w:jc w:val="center"/>
              <w:rPr>
                <w:rFonts w:ascii="Times New Roman" w:eastAsia="Times New Roman" w:hAnsi="Times New Roman" w:cs="Times New Roman"/>
                <w:noProof/>
                <w:sz w:val="18"/>
              </w:rPr>
            </w:pPr>
          </w:p>
        </w:tc>
        <w:tc>
          <w:tcPr>
            <w:tcW w:w="678" w:type="dxa"/>
            <w:tcBorders>
              <w:top w:val="nil"/>
              <w:left w:val="nil"/>
              <w:bottom w:val="single" w:sz="4" w:space="0" w:color="auto"/>
              <w:right w:val="single" w:sz="4" w:space="0" w:color="auto"/>
            </w:tcBorders>
            <w:shd w:val="clear" w:color="auto" w:fill="C6EFCE"/>
            <w:noWrap/>
          </w:tcPr>
          <w:p w14:paraId="307363C2" w14:textId="77777777" w:rsidR="00480F1C" w:rsidRDefault="00480F1C">
            <w:pPr>
              <w:spacing w:after="0" w:line="240" w:lineRule="auto"/>
              <w:jc w:val="center"/>
              <w:rPr>
                <w:rFonts w:ascii="Times New Roman" w:eastAsia="Times New Roman" w:hAnsi="Times New Roman" w:cs="Times New Roman"/>
                <w:noProof/>
                <w:sz w:val="18"/>
              </w:rPr>
            </w:pPr>
          </w:p>
        </w:tc>
        <w:tc>
          <w:tcPr>
            <w:tcW w:w="878" w:type="dxa"/>
            <w:tcBorders>
              <w:top w:val="nil"/>
              <w:left w:val="nil"/>
              <w:bottom w:val="single" w:sz="4" w:space="0" w:color="auto"/>
              <w:right w:val="single" w:sz="4" w:space="0" w:color="auto"/>
            </w:tcBorders>
            <w:shd w:val="clear" w:color="auto" w:fill="C6EFCE"/>
            <w:noWrap/>
          </w:tcPr>
          <w:p w14:paraId="55C6C8DD" w14:textId="7B8389D3" w:rsidR="00480F1C" w:rsidRDefault="00A201F6">
            <w:pPr>
              <w:pStyle w:val="P68B1DB1-Normal25"/>
              <w:spacing w:after="0" w:line="240" w:lineRule="auto"/>
              <w:jc w:val="center"/>
              <w:rPr>
                <w:rFonts w:eastAsia="Times New Roman" w:cs="Times New Roman"/>
                <w:noProof/>
              </w:rPr>
            </w:pPr>
            <w:r>
              <w:rPr>
                <w:noProof/>
              </w:rPr>
              <w:t>KWARTAAL 3</w:t>
            </w:r>
          </w:p>
        </w:tc>
        <w:tc>
          <w:tcPr>
            <w:tcW w:w="884" w:type="dxa"/>
            <w:tcBorders>
              <w:top w:val="nil"/>
              <w:left w:val="nil"/>
              <w:bottom w:val="single" w:sz="4" w:space="0" w:color="auto"/>
              <w:right w:val="single" w:sz="4" w:space="0" w:color="auto"/>
            </w:tcBorders>
            <w:shd w:val="clear" w:color="auto" w:fill="C6EFCE"/>
            <w:noWrap/>
          </w:tcPr>
          <w:p w14:paraId="4614B9C0" w14:textId="497314C3" w:rsidR="00480F1C" w:rsidRDefault="00A201F6">
            <w:pPr>
              <w:pStyle w:val="P68B1DB1-Normal25"/>
              <w:spacing w:after="0" w:line="240" w:lineRule="auto"/>
              <w:jc w:val="center"/>
              <w:rPr>
                <w:rFonts w:eastAsia="Times New Roman" w:cs="Times New Roman"/>
                <w:noProof/>
              </w:rPr>
            </w:pPr>
            <w:r>
              <w:rPr>
                <w:noProof/>
              </w:rPr>
              <w:t>2024</w:t>
            </w:r>
          </w:p>
        </w:tc>
        <w:tc>
          <w:tcPr>
            <w:tcW w:w="4146" w:type="dxa"/>
            <w:tcBorders>
              <w:top w:val="nil"/>
              <w:left w:val="nil"/>
              <w:bottom w:val="single" w:sz="4" w:space="0" w:color="auto"/>
              <w:right w:val="single" w:sz="4" w:space="0" w:color="auto"/>
            </w:tcBorders>
            <w:shd w:val="clear" w:color="auto" w:fill="C6EFCE"/>
            <w:noWrap/>
          </w:tcPr>
          <w:p w14:paraId="058D223A" w14:textId="520F65D0" w:rsidR="00480F1C" w:rsidRDefault="00A201F6">
            <w:pPr>
              <w:pStyle w:val="P68B1DB1-Normal25"/>
              <w:spacing w:after="0" w:line="240" w:lineRule="auto"/>
              <w:rPr>
                <w:rFonts w:eastAsia="Times New Roman" w:cs="Times New Roman"/>
                <w:noProof/>
              </w:rPr>
            </w:pPr>
            <w:r>
              <w:rPr>
                <w:noProof/>
              </w:rPr>
              <w:t>De bevoegde Poolse autoriteiten moeten algemene technische specificaties hebben opgesteld en afgerond die nodig zijn voor de ontwikkeling en uitrol van een IT-platform voor één digitaal kader voor vergunningsprocedures voor hernieuwbare energiebronnen.</w:t>
            </w:r>
          </w:p>
          <w:p w14:paraId="279C0A16" w14:textId="77777777" w:rsidR="00480F1C" w:rsidRDefault="00480F1C">
            <w:pPr>
              <w:spacing w:after="0" w:line="240" w:lineRule="auto"/>
              <w:rPr>
                <w:rFonts w:ascii="Times New Roman" w:eastAsia="Times New Roman" w:hAnsi="Times New Roman" w:cs="Times New Roman"/>
                <w:noProof/>
                <w:sz w:val="18"/>
              </w:rPr>
            </w:pPr>
          </w:p>
          <w:p w14:paraId="461FEF5F" w14:textId="2F42C458" w:rsidR="00480F1C" w:rsidRDefault="00A201F6">
            <w:pPr>
              <w:pStyle w:val="P68B1DB1-Normal25"/>
              <w:spacing w:after="0" w:line="240" w:lineRule="auto"/>
              <w:rPr>
                <w:rFonts w:eastAsia="Times New Roman" w:cs="Times New Roman"/>
                <w:noProof/>
              </w:rPr>
            </w:pPr>
            <w:r>
              <w:rPr>
                <w:noProof/>
              </w:rPr>
              <w:t>Het IT-platform omvat alle relevante administratieve stappen die nodig zijn voor de vergunningverlening voor de bouw en exploitatie van installaties voor hernieuwbare energie (met uitzondering van de aansluiting op het net). De uitrol van dit IT-platform doet geen afbreuk aan de toewijzing van bevoegdheden op het gebied van vergunningverlening (wat betekent dat dit geen gevolgen heeft voor de administratieve autoriteit die bevoegd is voor een bepaalde vergunning).</w:t>
            </w:r>
          </w:p>
          <w:p w14:paraId="3378CF29" w14:textId="77777777" w:rsidR="00480F1C" w:rsidRDefault="00480F1C">
            <w:pPr>
              <w:spacing w:after="0" w:line="240" w:lineRule="auto"/>
              <w:rPr>
                <w:rFonts w:ascii="Times New Roman" w:eastAsia="Times New Roman" w:hAnsi="Times New Roman" w:cs="Times New Roman"/>
                <w:noProof/>
                <w:sz w:val="18"/>
              </w:rPr>
            </w:pPr>
          </w:p>
          <w:p w14:paraId="070F4496" w14:textId="43B17EC9" w:rsidR="00480F1C" w:rsidRDefault="00A201F6">
            <w:pPr>
              <w:pStyle w:val="P68B1DB1-Normal25"/>
              <w:spacing w:after="0" w:line="240" w:lineRule="auto"/>
              <w:rPr>
                <w:rFonts w:eastAsia="Times New Roman" w:cs="Times New Roman"/>
                <w:noProof/>
              </w:rPr>
            </w:pPr>
            <w:r>
              <w:rPr>
                <w:noProof/>
              </w:rPr>
              <w:t>Het IT-platform kan worden geïntegreerd in en voortbouwen op een bestaand digitaal platform (zoals ePUAP).</w:t>
            </w:r>
          </w:p>
          <w:p w14:paraId="5F2B3AEB" w14:textId="77777777" w:rsidR="00480F1C" w:rsidRDefault="00480F1C">
            <w:pPr>
              <w:spacing w:after="0" w:line="240" w:lineRule="auto"/>
              <w:rPr>
                <w:rFonts w:ascii="Times New Roman" w:eastAsia="Times New Roman" w:hAnsi="Times New Roman" w:cs="Times New Roman"/>
                <w:noProof/>
                <w:sz w:val="18"/>
              </w:rPr>
            </w:pPr>
          </w:p>
          <w:p w14:paraId="6D02DE89" w14:textId="3943F73A" w:rsidR="00480F1C" w:rsidRDefault="00A201F6">
            <w:pPr>
              <w:pStyle w:val="P68B1DB1-Normal25"/>
              <w:spacing w:after="0" w:line="240" w:lineRule="auto"/>
              <w:rPr>
                <w:rFonts w:eastAsia="Times New Roman" w:cs="Times New Roman"/>
                <w:noProof/>
              </w:rPr>
            </w:pPr>
            <w:r>
              <w:rPr>
                <w:noProof/>
              </w:rPr>
              <w:t>Het IT-platform biedt een dashboard met ten minste de volgende kenmerken:</w:t>
            </w:r>
          </w:p>
          <w:p w14:paraId="45621685" w14:textId="45E2ABEC" w:rsidR="00480F1C" w:rsidRDefault="00A201F6">
            <w:pPr>
              <w:pStyle w:val="P68B1DB1-ListParagraph34"/>
              <w:numPr>
                <w:ilvl w:val="1"/>
                <w:numId w:val="22"/>
              </w:numPr>
              <w:spacing w:after="0" w:line="240" w:lineRule="auto"/>
              <w:ind w:left="421" w:hanging="142"/>
              <w:rPr>
                <w:rFonts w:eastAsia="Times New Roman" w:cs="Times New Roman"/>
                <w:noProof/>
              </w:rPr>
            </w:pPr>
            <w:r>
              <w:rPr>
                <w:noProof/>
              </w:rPr>
              <w:t>de presentatie, op een gemakkelijk toegankelijke wijze, van een uitgebreid overzicht van de eisen voor de bouw en exploitatie van installaties voor hernieuwbare energie, in termen van alle relevante vergunningen (bv. zonering, bouw, gebruik), besluiten (bv. milieu), vergunningen, andere documenten of raadplegingen;</w:t>
            </w:r>
          </w:p>
          <w:p w14:paraId="27F4E8B1" w14:textId="2A70E6E4" w:rsidR="00480F1C" w:rsidRDefault="00A201F6">
            <w:pPr>
              <w:pStyle w:val="P68B1DB1-ListParagraph34"/>
              <w:numPr>
                <w:ilvl w:val="1"/>
                <w:numId w:val="22"/>
              </w:numPr>
              <w:spacing w:after="0" w:line="240" w:lineRule="auto"/>
              <w:ind w:left="421" w:hanging="142"/>
              <w:rPr>
                <w:rFonts w:eastAsia="Times New Roman" w:cs="Times New Roman"/>
                <w:noProof/>
              </w:rPr>
            </w:pPr>
            <w:r>
              <w:rPr>
                <w:noProof/>
              </w:rPr>
              <w:t>het identificeren van a) de respectieve bevoegde administratieve autoriteiten, agentschappen, organen of andere entiteiten die de documenten verlenen of betrokken zijn bij het verstrekken van de documenten of betrokken zijn bij het overleg onder i); b) de contactgegevens van deze entiteiten; en, facultatief, c) de zaakbehandelaar in elke entiteit voor een bepaald project;</w:t>
            </w:r>
          </w:p>
          <w:p w14:paraId="1678E7B5" w14:textId="07C6C547" w:rsidR="00480F1C" w:rsidRDefault="00A201F6">
            <w:pPr>
              <w:pStyle w:val="P68B1DB1-ListParagraph34"/>
              <w:numPr>
                <w:ilvl w:val="1"/>
                <w:numId w:val="22"/>
              </w:numPr>
              <w:spacing w:after="0" w:line="240" w:lineRule="auto"/>
              <w:ind w:left="421" w:hanging="142"/>
              <w:rPr>
                <w:rFonts w:eastAsia="Times New Roman" w:cs="Times New Roman"/>
                <w:noProof/>
              </w:rPr>
            </w:pPr>
            <w:r>
              <w:rPr>
                <w:noProof/>
              </w:rPr>
              <w:t>het opstellen en beschikbaar stellen van alle relevante wetgeving, regelgevingsteksten, templates en richtsnoeren voor de voorbereiding van projecten;</w:t>
            </w:r>
          </w:p>
          <w:p w14:paraId="4EB128BD" w14:textId="33C1C35D" w:rsidR="00480F1C" w:rsidRDefault="00A201F6">
            <w:pPr>
              <w:pStyle w:val="P68B1DB1-ListParagraph34"/>
              <w:numPr>
                <w:ilvl w:val="1"/>
                <w:numId w:val="22"/>
              </w:numPr>
              <w:spacing w:after="0" w:line="240" w:lineRule="auto"/>
              <w:ind w:left="421" w:hanging="142"/>
              <w:rPr>
                <w:rFonts w:eastAsia="Times New Roman" w:cs="Times New Roman"/>
                <w:noProof/>
              </w:rPr>
            </w:pPr>
            <w:r>
              <w:rPr>
                <w:noProof/>
              </w:rPr>
              <w:t>het bieden van de mogelijkheid om aanvragen online in te dienen bij alle in punt ii), onder a), bedoelde entiteiten en de volledige aanvraagprocedure digitaal te laten behandelen via het IT-platform;</w:t>
            </w:r>
          </w:p>
          <w:p w14:paraId="438EBAA2" w14:textId="14ED76B2" w:rsidR="00480F1C" w:rsidRDefault="00A201F6">
            <w:pPr>
              <w:pStyle w:val="P68B1DB1-ListParagraph34"/>
              <w:numPr>
                <w:ilvl w:val="1"/>
                <w:numId w:val="22"/>
              </w:numPr>
              <w:spacing w:after="0" w:line="240" w:lineRule="auto"/>
              <w:ind w:left="421" w:hanging="142"/>
              <w:rPr>
                <w:rFonts w:eastAsia="Times New Roman" w:cs="Times New Roman"/>
                <w:noProof/>
              </w:rPr>
            </w:pPr>
            <w:r>
              <w:rPr>
                <w:noProof/>
              </w:rPr>
              <w:t>een functie, voor facultatief gebruik door de bevoegde entiteiten, die het mogelijk maakt de behandeling van een aanvraag te monitoren, door de status van de aanvraag aan te geven en door communicatie met de betrokken zaakbehandelaar via het IT-platform mogelijk te maken;</w:t>
            </w:r>
          </w:p>
          <w:p w14:paraId="735D7A16" w14:textId="6E8AE529" w:rsidR="00480F1C" w:rsidRDefault="00A201F6">
            <w:pPr>
              <w:pStyle w:val="P68B1DB1-ListParagraph34"/>
              <w:numPr>
                <w:ilvl w:val="1"/>
                <w:numId w:val="22"/>
              </w:numPr>
              <w:spacing w:after="0" w:line="240" w:lineRule="auto"/>
              <w:ind w:left="421" w:hanging="142"/>
              <w:rPr>
                <w:rFonts w:eastAsia="Times New Roman" w:cs="Times New Roman"/>
                <w:noProof/>
              </w:rPr>
            </w:pPr>
            <w:r>
              <w:rPr>
                <w:noProof/>
              </w:rPr>
              <w:t>het bieden van de mogelijkheid om contact op te nemen met een centraal (bestaand) nationaal orgaan om bezorgdheid te uiten of verbeteringen in de vergunningsprocedures voor te stellen (dit vormt geen mogelijkheid of vervanging van bestaande mogelijkheden voor administratieve of rechterlijke toetsing);</w:t>
            </w:r>
          </w:p>
          <w:p w14:paraId="23BCF8E8" w14:textId="17C2AD2D" w:rsidR="00480F1C" w:rsidRDefault="00A201F6">
            <w:pPr>
              <w:pStyle w:val="P68B1DB1-ListParagraph34"/>
              <w:numPr>
                <w:ilvl w:val="1"/>
                <w:numId w:val="22"/>
              </w:numPr>
              <w:spacing w:after="0" w:line="240" w:lineRule="auto"/>
              <w:ind w:left="421" w:hanging="142"/>
              <w:rPr>
                <w:rFonts w:eastAsia="Times New Roman" w:cs="Times New Roman"/>
                <w:noProof/>
              </w:rPr>
            </w:pPr>
            <w:r>
              <w:rPr>
                <w:noProof/>
              </w:rPr>
              <w:t xml:space="preserve"> de informatie of gegevens die met het publiek kunnen worden gedeeld, beschikbaar te stellen (of een link naar de relevante bestaande landingspagina vanwaar de aanvraagprocedure kan worden gestart, of naar de webapplicatie) en:</w:t>
            </w:r>
          </w:p>
          <w:p w14:paraId="78ECBC70" w14:textId="49840B6B" w:rsidR="00480F1C" w:rsidRDefault="00A201F6">
            <w:pPr>
              <w:pStyle w:val="P68B1DB1-ListParagraph34"/>
              <w:numPr>
                <w:ilvl w:val="2"/>
                <w:numId w:val="22"/>
              </w:numPr>
              <w:spacing w:after="0" w:line="240" w:lineRule="auto"/>
              <w:ind w:left="846"/>
              <w:rPr>
                <w:rFonts w:eastAsia="Times New Roman" w:cs="Times New Roman"/>
                <w:noProof/>
              </w:rPr>
            </w:pPr>
            <w:r>
              <w:rPr>
                <w:noProof/>
              </w:rPr>
              <w:t>het resultaat zal zijn van de functionaliteiten van het IT-instrument waarnaar wordt verwezen in de mijlpalen G10G en G11G;</w:t>
            </w:r>
          </w:p>
          <w:p w14:paraId="12410069" w14:textId="275CDC08" w:rsidR="00480F1C" w:rsidRDefault="00A201F6">
            <w:pPr>
              <w:pStyle w:val="P68B1DB1-ListParagraph34"/>
              <w:numPr>
                <w:ilvl w:val="2"/>
                <w:numId w:val="22"/>
              </w:numPr>
              <w:spacing w:after="0" w:line="240" w:lineRule="auto"/>
              <w:ind w:left="846"/>
              <w:rPr>
                <w:rFonts w:eastAsia="Times New Roman" w:cs="Times New Roman"/>
                <w:noProof/>
              </w:rPr>
            </w:pPr>
            <w:r>
              <w:rPr>
                <w:noProof/>
              </w:rPr>
              <w:t>wordt vermeld in mijlpaal G14G, onder b);</w:t>
            </w:r>
          </w:p>
          <w:p w14:paraId="19000CAF" w14:textId="32BAAE1E" w:rsidR="00480F1C" w:rsidRDefault="00A201F6">
            <w:pPr>
              <w:pStyle w:val="P68B1DB1-ListParagraph34"/>
              <w:numPr>
                <w:ilvl w:val="2"/>
                <w:numId w:val="22"/>
              </w:numPr>
              <w:spacing w:after="0" w:line="240" w:lineRule="auto"/>
              <w:ind w:left="846"/>
              <w:rPr>
                <w:rFonts w:eastAsia="Times New Roman" w:cs="Times New Roman"/>
                <w:noProof/>
              </w:rPr>
            </w:pPr>
            <w:r>
              <w:rPr>
                <w:noProof/>
              </w:rPr>
              <w:t>verband houdt met de in het kader van mijlpaal G1L vereiste kartering; en het</w:t>
            </w:r>
          </w:p>
          <w:p w14:paraId="7A50EF06" w14:textId="1F6C43F5" w:rsidR="00480F1C" w:rsidRDefault="00A201F6">
            <w:pPr>
              <w:pStyle w:val="P68B1DB1-ListParagraph34"/>
              <w:numPr>
                <w:ilvl w:val="2"/>
                <w:numId w:val="22"/>
              </w:numPr>
              <w:spacing w:after="0" w:line="240" w:lineRule="auto"/>
              <w:ind w:left="846"/>
              <w:rPr>
                <w:rFonts w:eastAsia="Times New Roman" w:cs="Times New Roman"/>
                <w:noProof/>
              </w:rPr>
            </w:pPr>
            <w:r>
              <w:rPr>
                <w:noProof/>
              </w:rPr>
              <w:t>verband houdt met de gebieden voor de versnelling van hernieuwbare energie als bedoeld in mijlpaal G2L.</w:t>
            </w:r>
          </w:p>
          <w:p w14:paraId="2426D112" w14:textId="29F36AB2" w:rsidR="00480F1C" w:rsidRDefault="00480F1C">
            <w:pPr>
              <w:spacing w:after="0" w:line="240" w:lineRule="auto"/>
              <w:rPr>
                <w:rFonts w:ascii="Times New Roman" w:eastAsia="Times New Roman" w:hAnsi="Times New Roman" w:cs="Times New Roman"/>
                <w:noProof/>
                <w:sz w:val="18"/>
              </w:rPr>
            </w:pPr>
          </w:p>
        </w:tc>
      </w:tr>
      <w:tr w:rsidR="00480F1C" w14:paraId="30BBD9E1"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4043EA97" w14:textId="485BBB92" w:rsidR="00480F1C" w:rsidRDefault="00A201F6">
            <w:pPr>
              <w:pStyle w:val="P68B1DB1-Normal25"/>
              <w:spacing w:after="0" w:line="240" w:lineRule="auto"/>
              <w:jc w:val="center"/>
              <w:rPr>
                <w:rFonts w:eastAsia="Times New Roman" w:cs="Times New Roman"/>
                <w:noProof/>
              </w:rPr>
            </w:pPr>
            <w:r>
              <w:rPr>
                <w:noProof/>
              </w:rPr>
              <w:t>G4L</w:t>
            </w:r>
          </w:p>
        </w:tc>
        <w:tc>
          <w:tcPr>
            <w:tcW w:w="1474" w:type="dxa"/>
            <w:tcBorders>
              <w:top w:val="nil"/>
              <w:left w:val="nil"/>
              <w:bottom w:val="single" w:sz="4" w:space="0" w:color="auto"/>
              <w:right w:val="single" w:sz="4" w:space="0" w:color="auto"/>
            </w:tcBorders>
            <w:shd w:val="clear" w:color="auto" w:fill="C6EFCE"/>
            <w:noWrap/>
          </w:tcPr>
          <w:p w14:paraId="088B8B29" w14:textId="30E8FD42" w:rsidR="00480F1C" w:rsidRDefault="00A201F6">
            <w:pPr>
              <w:pStyle w:val="P68B1DB1-Normal25"/>
              <w:spacing w:after="0" w:line="240" w:lineRule="auto"/>
              <w:rPr>
                <w:rFonts w:eastAsia="Times New Roman" w:cs="Times New Roman"/>
                <w:noProof/>
              </w:rPr>
            </w:pPr>
            <w:r>
              <w:rPr>
                <w:noProof/>
              </w:rPr>
              <w:t>G3.1.1 stroomlijning van het vergunningsproces voor hernieuwbare energiebronnen</w:t>
            </w:r>
          </w:p>
        </w:tc>
        <w:tc>
          <w:tcPr>
            <w:tcW w:w="1077" w:type="dxa"/>
            <w:tcBorders>
              <w:top w:val="nil"/>
              <w:left w:val="nil"/>
              <w:bottom w:val="single" w:sz="4" w:space="0" w:color="auto"/>
              <w:right w:val="single" w:sz="4" w:space="0" w:color="auto"/>
            </w:tcBorders>
            <w:shd w:val="clear" w:color="auto" w:fill="C6EFCE"/>
            <w:noWrap/>
          </w:tcPr>
          <w:p w14:paraId="7548A29E" w14:textId="77777777" w:rsidR="00480F1C" w:rsidRDefault="00A201F6">
            <w:pPr>
              <w:pStyle w:val="P68B1DB1-Normal25"/>
              <w:spacing w:line="240" w:lineRule="auto"/>
              <w:rPr>
                <w:rFonts w:eastAsia="Times New Roman" w:cs="Times New Roman"/>
                <w:noProof/>
              </w:rPr>
            </w:pPr>
            <w:r>
              <w:rPr>
                <w:noProof/>
              </w:rPr>
              <w:t>Mijlpaal</w:t>
            </w:r>
          </w:p>
          <w:p w14:paraId="6C665160" w14:textId="77777777" w:rsidR="00480F1C" w:rsidRDefault="00480F1C">
            <w:pPr>
              <w:spacing w:after="0" w:line="240" w:lineRule="auto"/>
              <w:rPr>
                <w:rFonts w:ascii="Times New Roman" w:eastAsia="Times New Roman" w:hAnsi="Times New Roman" w:cs="Times New Roman"/>
                <w:noProof/>
                <w:sz w:val="18"/>
              </w:rPr>
            </w:pPr>
          </w:p>
        </w:tc>
        <w:tc>
          <w:tcPr>
            <w:tcW w:w="1874" w:type="dxa"/>
            <w:tcBorders>
              <w:top w:val="nil"/>
              <w:left w:val="nil"/>
              <w:bottom w:val="single" w:sz="4" w:space="0" w:color="auto"/>
              <w:right w:val="single" w:sz="4" w:space="0" w:color="auto"/>
            </w:tcBorders>
            <w:shd w:val="clear" w:color="auto" w:fill="C6EFCE"/>
            <w:noWrap/>
          </w:tcPr>
          <w:p w14:paraId="7E9378D6" w14:textId="77777777" w:rsidR="00480F1C" w:rsidRDefault="00A201F6">
            <w:pPr>
              <w:pStyle w:val="P68B1DB1-Normal25"/>
              <w:spacing w:after="0" w:line="240" w:lineRule="auto"/>
              <w:rPr>
                <w:rFonts w:eastAsia="Times New Roman" w:cs="Times New Roman"/>
                <w:noProof/>
              </w:rPr>
            </w:pPr>
            <w:r>
              <w:rPr>
                <w:noProof/>
              </w:rPr>
              <w:t xml:space="preserve">Digitalisering van vergunningsprocedures  </w:t>
            </w:r>
          </w:p>
          <w:p w14:paraId="2C4CB388" w14:textId="77777777" w:rsidR="00480F1C" w:rsidRDefault="00480F1C">
            <w:pPr>
              <w:spacing w:after="0" w:line="240" w:lineRule="auto"/>
              <w:rPr>
                <w:rFonts w:ascii="Times New Roman" w:eastAsia="Times New Roman" w:hAnsi="Times New Roman" w:cs="Times New Roman"/>
                <w:noProof/>
                <w:sz w:val="18"/>
              </w:rPr>
            </w:pPr>
          </w:p>
        </w:tc>
        <w:tc>
          <w:tcPr>
            <w:tcW w:w="1606" w:type="dxa"/>
            <w:tcBorders>
              <w:top w:val="nil"/>
              <w:left w:val="nil"/>
              <w:bottom w:val="single" w:sz="4" w:space="0" w:color="auto"/>
              <w:right w:val="single" w:sz="4" w:space="0" w:color="auto"/>
            </w:tcBorders>
            <w:shd w:val="clear" w:color="auto" w:fill="C6EFCE"/>
            <w:noWrap/>
          </w:tcPr>
          <w:p w14:paraId="1590325D" w14:textId="1F3954A4" w:rsidR="00480F1C" w:rsidRDefault="00A201F6">
            <w:pPr>
              <w:pStyle w:val="P68B1DB1-Normal25"/>
              <w:spacing w:after="0" w:line="240" w:lineRule="auto"/>
              <w:rPr>
                <w:rFonts w:eastAsia="Times New Roman" w:cs="Times New Roman"/>
                <w:noProof/>
              </w:rPr>
            </w:pPr>
            <w:r>
              <w:rPr>
                <w:noProof/>
              </w:rPr>
              <w:t>Testen van een proefversie voor het IT-platform voor één digitaal kader voor de verlening van vergunningen voor hernieuwbare energiebronnen voltooid</w:t>
            </w:r>
          </w:p>
        </w:tc>
        <w:tc>
          <w:tcPr>
            <w:tcW w:w="1076" w:type="dxa"/>
            <w:tcBorders>
              <w:top w:val="nil"/>
              <w:left w:val="nil"/>
              <w:bottom w:val="single" w:sz="4" w:space="0" w:color="auto"/>
              <w:right w:val="single" w:sz="4" w:space="0" w:color="auto"/>
            </w:tcBorders>
            <w:shd w:val="clear" w:color="auto" w:fill="C6EFCE"/>
            <w:noWrap/>
          </w:tcPr>
          <w:p w14:paraId="57E8D7F9" w14:textId="77777777" w:rsidR="00480F1C" w:rsidRDefault="00480F1C">
            <w:pPr>
              <w:spacing w:after="0" w:line="240" w:lineRule="auto"/>
              <w:rPr>
                <w:rFonts w:ascii="Times New Roman" w:eastAsia="Times New Roman" w:hAnsi="Times New Roman" w:cs="Times New Roman"/>
                <w:noProof/>
                <w:sz w:val="18"/>
              </w:rPr>
            </w:pPr>
          </w:p>
        </w:tc>
        <w:tc>
          <w:tcPr>
            <w:tcW w:w="943" w:type="dxa"/>
            <w:tcBorders>
              <w:top w:val="nil"/>
              <w:left w:val="nil"/>
              <w:bottom w:val="single" w:sz="4" w:space="0" w:color="auto"/>
              <w:right w:val="single" w:sz="4" w:space="0" w:color="auto"/>
            </w:tcBorders>
            <w:shd w:val="clear" w:color="auto" w:fill="C6EFCE"/>
            <w:noWrap/>
          </w:tcPr>
          <w:p w14:paraId="1AB26285" w14:textId="77777777" w:rsidR="00480F1C" w:rsidRDefault="00480F1C">
            <w:pPr>
              <w:spacing w:after="0" w:line="240" w:lineRule="auto"/>
              <w:jc w:val="center"/>
              <w:rPr>
                <w:rFonts w:ascii="Times New Roman" w:eastAsia="Times New Roman" w:hAnsi="Times New Roman" w:cs="Times New Roman"/>
                <w:noProof/>
                <w:sz w:val="18"/>
              </w:rPr>
            </w:pPr>
          </w:p>
        </w:tc>
        <w:tc>
          <w:tcPr>
            <w:tcW w:w="678" w:type="dxa"/>
            <w:tcBorders>
              <w:top w:val="nil"/>
              <w:left w:val="nil"/>
              <w:bottom w:val="single" w:sz="4" w:space="0" w:color="auto"/>
              <w:right w:val="single" w:sz="4" w:space="0" w:color="auto"/>
            </w:tcBorders>
            <w:shd w:val="clear" w:color="auto" w:fill="C6EFCE"/>
            <w:noWrap/>
          </w:tcPr>
          <w:p w14:paraId="487A53D8" w14:textId="77777777" w:rsidR="00480F1C" w:rsidRDefault="00480F1C">
            <w:pPr>
              <w:spacing w:after="0" w:line="240" w:lineRule="auto"/>
              <w:jc w:val="center"/>
              <w:rPr>
                <w:rFonts w:ascii="Times New Roman" w:eastAsia="Times New Roman" w:hAnsi="Times New Roman" w:cs="Times New Roman"/>
                <w:noProof/>
                <w:sz w:val="18"/>
              </w:rPr>
            </w:pPr>
          </w:p>
        </w:tc>
        <w:tc>
          <w:tcPr>
            <w:tcW w:w="878" w:type="dxa"/>
            <w:tcBorders>
              <w:top w:val="nil"/>
              <w:left w:val="nil"/>
              <w:bottom w:val="single" w:sz="4" w:space="0" w:color="auto"/>
              <w:right w:val="single" w:sz="4" w:space="0" w:color="auto"/>
            </w:tcBorders>
            <w:shd w:val="clear" w:color="auto" w:fill="C6EFCE"/>
            <w:noWrap/>
          </w:tcPr>
          <w:p w14:paraId="17EF62E8" w14:textId="6032FF81" w:rsidR="00480F1C" w:rsidRDefault="00A201F6">
            <w:pPr>
              <w:pStyle w:val="P68B1DB1-Normal25"/>
              <w:spacing w:after="0" w:line="240" w:lineRule="auto"/>
              <w:jc w:val="center"/>
              <w:rPr>
                <w:rFonts w:eastAsia="Times New Roman" w:cs="Times New Roman"/>
                <w:noProof/>
              </w:rPr>
            </w:pPr>
            <w:r>
              <w:rPr>
                <w:noProof/>
              </w:rPr>
              <w:t>KWARTAAL 4</w:t>
            </w:r>
          </w:p>
        </w:tc>
        <w:tc>
          <w:tcPr>
            <w:tcW w:w="884" w:type="dxa"/>
            <w:tcBorders>
              <w:top w:val="nil"/>
              <w:left w:val="nil"/>
              <w:bottom w:val="single" w:sz="4" w:space="0" w:color="auto"/>
              <w:right w:val="single" w:sz="4" w:space="0" w:color="auto"/>
            </w:tcBorders>
            <w:shd w:val="clear" w:color="auto" w:fill="C6EFCE"/>
            <w:noWrap/>
          </w:tcPr>
          <w:p w14:paraId="55B2252A" w14:textId="63853783" w:rsidR="00480F1C" w:rsidRDefault="00A201F6">
            <w:pPr>
              <w:pStyle w:val="P68B1DB1-Normal25"/>
              <w:spacing w:after="0" w:line="240" w:lineRule="auto"/>
              <w:jc w:val="center"/>
              <w:rPr>
                <w:rFonts w:eastAsia="Times New Roman" w:cs="Times New Roman"/>
                <w:noProof/>
              </w:rPr>
            </w:pPr>
            <w:r>
              <w:rPr>
                <w:noProof/>
              </w:rPr>
              <w:t>2025</w:t>
            </w:r>
          </w:p>
        </w:tc>
        <w:tc>
          <w:tcPr>
            <w:tcW w:w="4146" w:type="dxa"/>
            <w:tcBorders>
              <w:top w:val="nil"/>
              <w:left w:val="nil"/>
              <w:bottom w:val="single" w:sz="4" w:space="0" w:color="auto"/>
              <w:right w:val="single" w:sz="4" w:space="0" w:color="auto"/>
            </w:tcBorders>
            <w:shd w:val="clear" w:color="auto" w:fill="C6EFCE"/>
            <w:noWrap/>
          </w:tcPr>
          <w:p w14:paraId="2E488FA8" w14:textId="7765FA5D" w:rsidR="00480F1C" w:rsidRDefault="00A201F6">
            <w:pPr>
              <w:pStyle w:val="P68B1DB1-Normal25"/>
              <w:spacing w:after="0" w:line="240" w:lineRule="auto"/>
              <w:rPr>
                <w:rFonts w:eastAsia="Times New Roman" w:cs="Times New Roman"/>
                <w:noProof/>
              </w:rPr>
            </w:pPr>
            <w:r>
              <w:rPr>
                <w:noProof/>
              </w:rPr>
              <w:t>Het testen van een proefversie van het IT-platform voor één digitaal kader voor het verlenen van vergunningen voor hernieuwbare energiebronnen, dat voldoet aan de eisen van mijlpaal G3L, wordt voltooid.</w:t>
            </w:r>
          </w:p>
        </w:tc>
      </w:tr>
      <w:tr w:rsidR="00480F1C" w14:paraId="24E63644"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1A7495FB" w14:textId="0A955CF4" w:rsidR="00480F1C" w:rsidRDefault="00A201F6">
            <w:pPr>
              <w:pStyle w:val="P68B1DB1-Normal25"/>
              <w:spacing w:after="0" w:line="240" w:lineRule="auto"/>
              <w:jc w:val="center"/>
              <w:rPr>
                <w:rFonts w:eastAsia="Times New Roman" w:cs="Times New Roman"/>
                <w:noProof/>
              </w:rPr>
            </w:pPr>
            <w:r>
              <w:rPr>
                <w:noProof/>
              </w:rPr>
              <w:t>G5L</w:t>
            </w:r>
          </w:p>
        </w:tc>
        <w:tc>
          <w:tcPr>
            <w:tcW w:w="1474" w:type="dxa"/>
            <w:tcBorders>
              <w:top w:val="nil"/>
              <w:left w:val="nil"/>
              <w:bottom w:val="single" w:sz="4" w:space="0" w:color="auto"/>
              <w:right w:val="single" w:sz="4" w:space="0" w:color="auto"/>
            </w:tcBorders>
            <w:shd w:val="clear" w:color="auto" w:fill="C6EFCE"/>
            <w:noWrap/>
          </w:tcPr>
          <w:p w14:paraId="05AA8179" w14:textId="3640A851" w:rsidR="00480F1C" w:rsidRDefault="00A201F6">
            <w:pPr>
              <w:pStyle w:val="P68B1DB1-Normal25"/>
              <w:spacing w:after="0" w:line="240" w:lineRule="auto"/>
              <w:rPr>
                <w:rFonts w:eastAsia="Times New Roman" w:cs="Times New Roman"/>
                <w:noProof/>
              </w:rPr>
            </w:pPr>
            <w:r>
              <w:rPr>
                <w:noProof/>
              </w:rPr>
              <w:t>G3.1.1 stroomlijning van het vergunningsproces voor hernieuwbare energiebronnen</w:t>
            </w:r>
          </w:p>
        </w:tc>
        <w:tc>
          <w:tcPr>
            <w:tcW w:w="1077" w:type="dxa"/>
            <w:tcBorders>
              <w:top w:val="nil"/>
              <w:left w:val="nil"/>
              <w:bottom w:val="single" w:sz="4" w:space="0" w:color="auto"/>
              <w:right w:val="single" w:sz="4" w:space="0" w:color="auto"/>
            </w:tcBorders>
            <w:shd w:val="clear" w:color="auto" w:fill="C6EFCE"/>
            <w:noWrap/>
          </w:tcPr>
          <w:p w14:paraId="6985EC76" w14:textId="77777777" w:rsidR="00480F1C" w:rsidRDefault="00A201F6">
            <w:pPr>
              <w:pStyle w:val="P68B1DB1-Normal25"/>
              <w:spacing w:line="240" w:lineRule="auto"/>
              <w:rPr>
                <w:rFonts w:eastAsia="Times New Roman" w:cs="Times New Roman"/>
                <w:noProof/>
              </w:rPr>
            </w:pPr>
            <w:r>
              <w:rPr>
                <w:noProof/>
              </w:rPr>
              <w:t>Mijlpaal</w:t>
            </w:r>
          </w:p>
          <w:p w14:paraId="7935B6C7" w14:textId="77777777" w:rsidR="00480F1C" w:rsidRDefault="00480F1C">
            <w:pPr>
              <w:spacing w:after="0" w:line="240" w:lineRule="auto"/>
              <w:rPr>
                <w:rFonts w:ascii="Times New Roman" w:eastAsia="Times New Roman" w:hAnsi="Times New Roman" w:cs="Times New Roman"/>
                <w:noProof/>
                <w:sz w:val="18"/>
              </w:rPr>
            </w:pPr>
          </w:p>
        </w:tc>
        <w:tc>
          <w:tcPr>
            <w:tcW w:w="1874" w:type="dxa"/>
            <w:tcBorders>
              <w:top w:val="nil"/>
              <w:left w:val="nil"/>
              <w:bottom w:val="single" w:sz="4" w:space="0" w:color="auto"/>
              <w:right w:val="single" w:sz="4" w:space="0" w:color="auto"/>
            </w:tcBorders>
            <w:shd w:val="clear" w:color="auto" w:fill="C6EFCE"/>
            <w:noWrap/>
          </w:tcPr>
          <w:p w14:paraId="51CD5E2E" w14:textId="77777777" w:rsidR="00480F1C" w:rsidRDefault="00A201F6">
            <w:pPr>
              <w:pStyle w:val="P68B1DB1-Normal25"/>
              <w:spacing w:after="0" w:line="240" w:lineRule="auto"/>
              <w:rPr>
                <w:rFonts w:eastAsia="Times New Roman" w:cs="Times New Roman"/>
                <w:noProof/>
              </w:rPr>
            </w:pPr>
            <w:r>
              <w:rPr>
                <w:noProof/>
              </w:rPr>
              <w:t xml:space="preserve">Digitalisering van vergunningsprocedures  </w:t>
            </w:r>
          </w:p>
          <w:p w14:paraId="1CB1D67F" w14:textId="77777777" w:rsidR="00480F1C" w:rsidRDefault="00480F1C">
            <w:pPr>
              <w:spacing w:after="0" w:line="240" w:lineRule="auto"/>
              <w:rPr>
                <w:rFonts w:ascii="Times New Roman" w:eastAsia="Times New Roman" w:hAnsi="Times New Roman" w:cs="Times New Roman"/>
                <w:noProof/>
                <w:sz w:val="18"/>
              </w:rPr>
            </w:pPr>
          </w:p>
        </w:tc>
        <w:tc>
          <w:tcPr>
            <w:tcW w:w="1606" w:type="dxa"/>
            <w:tcBorders>
              <w:top w:val="nil"/>
              <w:left w:val="nil"/>
              <w:bottom w:val="single" w:sz="4" w:space="0" w:color="auto"/>
              <w:right w:val="single" w:sz="4" w:space="0" w:color="auto"/>
            </w:tcBorders>
            <w:shd w:val="clear" w:color="auto" w:fill="C6EFCE"/>
            <w:noWrap/>
          </w:tcPr>
          <w:p w14:paraId="6D7E96AF" w14:textId="188E14A3" w:rsidR="00480F1C" w:rsidRDefault="00A201F6">
            <w:pPr>
              <w:pStyle w:val="P68B1DB1-Normal25"/>
              <w:spacing w:after="0" w:line="240" w:lineRule="auto"/>
              <w:rPr>
                <w:rFonts w:eastAsia="Times New Roman" w:cs="Times New Roman"/>
                <w:noProof/>
              </w:rPr>
            </w:pPr>
            <w:r>
              <w:rPr>
                <w:noProof/>
              </w:rPr>
              <w:t>Ingebruikneming van het IT-platform voor één digitaal kader voor de verlening van vergunningen voor hernieuwbare energiebronnen</w:t>
            </w:r>
          </w:p>
        </w:tc>
        <w:tc>
          <w:tcPr>
            <w:tcW w:w="1076" w:type="dxa"/>
            <w:tcBorders>
              <w:top w:val="nil"/>
              <w:left w:val="nil"/>
              <w:bottom w:val="single" w:sz="4" w:space="0" w:color="auto"/>
              <w:right w:val="single" w:sz="4" w:space="0" w:color="auto"/>
            </w:tcBorders>
            <w:shd w:val="clear" w:color="auto" w:fill="C6EFCE"/>
            <w:noWrap/>
          </w:tcPr>
          <w:p w14:paraId="2C679B88" w14:textId="77777777" w:rsidR="00480F1C" w:rsidRDefault="00480F1C">
            <w:pPr>
              <w:spacing w:after="0" w:line="240" w:lineRule="auto"/>
              <w:rPr>
                <w:rFonts w:ascii="Times New Roman" w:eastAsia="Times New Roman" w:hAnsi="Times New Roman" w:cs="Times New Roman"/>
                <w:noProof/>
                <w:sz w:val="18"/>
              </w:rPr>
            </w:pPr>
          </w:p>
        </w:tc>
        <w:tc>
          <w:tcPr>
            <w:tcW w:w="943" w:type="dxa"/>
            <w:tcBorders>
              <w:top w:val="nil"/>
              <w:left w:val="nil"/>
              <w:bottom w:val="single" w:sz="4" w:space="0" w:color="auto"/>
              <w:right w:val="single" w:sz="4" w:space="0" w:color="auto"/>
            </w:tcBorders>
            <w:shd w:val="clear" w:color="auto" w:fill="C6EFCE"/>
            <w:noWrap/>
          </w:tcPr>
          <w:p w14:paraId="1DC66FDF" w14:textId="77777777" w:rsidR="00480F1C" w:rsidRDefault="00480F1C">
            <w:pPr>
              <w:spacing w:after="0" w:line="240" w:lineRule="auto"/>
              <w:jc w:val="center"/>
              <w:rPr>
                <w:rFonts w:ascii="Times New Roman" w:eastAsia="Times New Roman" w:hAnsi="Times New Roman" w:cs="Times New Roman"/>
                <w:noProof/>
                <w:sz w:val="18"/>
              </w:rPr>
            </w:pPr>
          </w:p>
        </w:tc>
        <w:tc>
          <w:tcPr>
            <w:tcW w:w="678" w:type="dxa"/>
            <w:tcBorders>
              <w:top w:val="nil"/>
              <w:left w:val="nil"/>
              <w:bottom w:val="single" w:sz="4" w:space="0" w:color="auto"/>
              <w:right w:val="single" w:sz="4" w:space="0" w:color="auto"/>
            </w:tcBorders>
            <w:shd w:val="clear" w:color="auto" w:fill="C6EFCE"/>
            <w:noWrap/>
          </w:tcPr>
          <w:p w14:paraId="60BE9214" w14:textId="77777777" w:rsidR="00480F1C" w:rsidRDefault="00480F1C">
            <w:pPr>
              <w:spacing w:after="0" w:line="240" w:lineRule="auto"/>
              <w:jc w:val="center"/>
              <w:rPr>
                <w:rFonts w:ascii="Times New Roman" w:eastAsia="Times New Roman" w:hAnsi="Times New Roman" w:cs="Times New Roman"/>
                <w:noProof/>
                <w:sz w:val="18"/>
              </w:rPr>
            </w:pPr>
          </w:p>
        </w:tc>
        <w:tc>
          <w:tcPr>
            <w:tcW w:w="878" w:type="dxa"/>
            <w:tcBorders>
              <w:top w:val="nil"/>
              <w:left w:val="nil"/>
              <w:bottom w:val="single" w:sz="4" w:space="0" w:color="auto"/>
              <w:right w:val="single" w:sz="4" w:space="0" w:color="auto"/>
            </w:tcBorders>
            <w:shd w:val="clear" w:color="auto" w:fill="C6EFCE"/>
            <w:noWrap/>
          </w:tcPr>
          <w:p w14:paraId="09F701D4" w14:textId="0DA40D97" w:rsidR="00480F1C" w:rsidRDefault="00A201F6">
            <w:pPr>
              <w:pStyle w:val="P68B1DB1-Normal25"/>
              <w:spacing w:after="0" w:line="240" w:lineRule="auto"/>
              <w:jc w:val="center"/>
              <w:rPr>
                <w:rFonts w:eastAsia="Times New Roman" w:cs="Times New Roman"/>
                <w:noProof/>
              </w:rPr>
            </w:pPr>
            <w:r>
              <w:rPr>
                <w:noProof/>
              </w:rPr>
              <w:t>KWARTAAL 2</w:t>
            </w:r>
          </w:p>
        </w:tc>
        <w:tc>
          <w:tcPr>
            <w:tcW w:w="884" w:type="dxa"/>
            <w:tcBorders>
              <w:top w:val="nil"/>
              <w:left w:val="nil"/>
              <w:bottom w:val="single" w:sz="4" w:space="0" w:color="auto"/>
              <w:right w:val="single" w:sz="4" w:space="0" w:color="auto"/>
            </w:tcBorders>
            <w:shd w:val="clear" w:color="auto" w:fill="C6EFCE"/>
            <w:noWrap/>
          </w:tcPr>
          <w:p w14:paraId="640DDF74" w14:textId="563C50FA" w:rsidR="00480F1C" w:rsidRDefault="00A201F6">
            <w:pPr>
              <w:pStyle w:val="P68B1DB1-Normal25"/>
              <w:spacing w:after="0" w:line="240" w:lineRule="auto"/>
              <w:jc w:val="center"/>
              <w:rPr>
                <w:rFonts w:eastAsia="Times New Roman" w:cs="Times New Roman"/>
                <w:noProof/>
              </w:rPr>
            </w:pPr>
            <w:r>
              <w:rPr>
                <w:noProof/>
              </w:rPr>
              <w:t>2026</w:t>
            </w:r>
          </w:p>
        </w:tc>
        <w:tc>
          <w:tcPr>
            <w:tcW w:w="4146" w:type="dxa"/>
            <w:tcBorders>
              <w:top w:val="nil"/>
              <w:left w:val="nil"/>
              <w:bottom w:val="single" w:sz="4" w:space="0" w:color="auto"/>
              <w:right w:val="single" w:sz="4" w:space="0" w:color="auto"/>
            </w:tcBorders>
            <w:shd w:val="clear" w:color="auto" w:fill="C6EFCE"/>
            <w:noWrap/>
          </w:tcPr>
          <w:p w14:paraId="03426340" w14:textId="59E90933" w:rsidR="00480F1C" w:rsidRDefault="00A201F6">
            <w:pPr>
              <w:pStyle w:val="P68B1DB1-Normal25"/>
              <w:spacing w:after="0" w:line="240" w:lineRule="auto"/>
              <w:rPr>
                <w:rFonts w:eastAsia="Times New Roman" w:cs="Times New Roman"/>
                <w:noProof/>
              </w:rPr>
            </w:pPr>
            <w:r>
              <w:rPr>
                <w:noProof/>
              </w:rPr>
              <w:t>Ingebruikneming van het IT-platform voor één digitaal kader voor het verlenen van vergunningen voor hernieuwbare energiebronnen, dat voldoet aan de vereisten van mijlpaal G3L.</w:t>
            </w:r>
          </w:p>
        </w:tc>
      </w:tr>
      <w:tr w:rsidR="00480F1C" w14:paraId="2750927D"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60899DF8" w14:textId="1F1BAE78" w:rsidR="00480F1C" w:rsidRDefault="00A201F6">
            <w:pPr>
              <w:pStyle w:val="P68B1DB1-Normal25"/>
              <w:spacing w:after="0" w:line="240" w:lineRule="auto"/>
              <w:jc w:val="center"/>
              <w:rPr>
                <w:rFonts w:eastAsia="Times New Roman" w:cs="Times New Roman"/>
                <w:noProof/>
              </w:rPr>
            </w:pPr>
            <w:r>
              <w:rPr>
                <w:noProof/>
              </w:rPr>
              <w:t>G6L</w:t>
            </w:r>
          </w:p>
        </w:tc>
        <w:tc>
          <w:tcPr>
            <w:tcW w:w="1474" w:type="dxa"/>
            <w:tcBorders>
              <w:top w:val="nil"/>
              <w:left w:val="nil"/>
              <w:bottom w:val="single" w:sz="4" w:space="0" w:color="auto"/>
              <w:right w:val="single" w:sz="4" w:space="0" w:color="auto"/>
            </w:tcBorders>
            <w:shd w:val="clear" w:color="auto" w:fill="C6EFCE"/>
            <w:noWrap/>
          </w:tcPr>
          <w:p w14:paraId="18FED290" w14:textId="77777777" w:rsidR="00480F1C" w:rsidRDefault="00A201F6">
            <w:pPr>
              <w:pStyle w:val="P68B1DB1-Normal25"/>
              <w:spacing w:line="240" w:lineRule="auto"/>
              <w:rPr>
                <w:rFonts w:eastAsia="Times New Roman" w:cs="Times New Roman"/>
                <w:noProof/>
              </w:rPr>
            </w:pPr>
            <w:r>
              <w:rPr>
                <w:noProof/>
              </w:rPr>
              <w:t>G3.1.1 stroomlijning van het vergunningsproces voor hernieuwbare energiebronnen</w:t>
            </w:r>
          </w:p>
          <w:p w14:paraId="1A7E1387" w14:textId="77777777" w:rsidR="00480F1C" w:rsidRDefault="00480F1C">
            <w:pPr>
              <w:spacing w:after="0" w:line="240" w:lineRule="auto"/>
              <w:rPr>
                <w:rFonts w:ascii="Times New Roman" w:eastAsia="Times New Roman" w:hAnsi="Times New Roman" w:cs="Times New Roman"/>
                <w:noProof/>
                <w:sz w:val="18"/>
              </w:rPr>
            </w:pPr>
          </w:p>
        </w:tc>
        <w:tc>
          <w:tcPr>
            <w:tcW w:w="1077" w:type="dxa"/>
            <w:tcBorders>
              <w:top w:val="nil"/>
              <w:left w:val="nil"/>
              <w:bottom w:val="single" w:sz="4" w:space="0" w:color="auto"/>
              <w:right w:val="single" w:sz="4" w:space="0" w:color="auto"/>
            </w:tcBorders>
            <w:shd w:val="clear" w:color="auto" w:fill="C6EFCE"/>
            <w:noWrap/>
          </w:tcPr>
          <w:p w14:paraId="71BFF31D" w14:textId="02E095EA" w:rsidR="00480F1C" w:rsidRDefault="00A201F6">
            <w:pPr>
              <w:pStyle w:val="P68B1DB1-Normal25"/>
              <w:spacing w:line="240" w:lineRule="auto"/>
              <w:rPr>
                <w:rFonts w:eastAsia="Times New Roman" w:cs="Times New Roman"/>
                <w:noProof/>
              </w:rPr>
            </w:pPr>
            <w:r>
              <w:rPr>
                <w:noProof/>
              </w:rPr>
              <w:t>Doel</w:t>
            </w:r>
          </w:p>
        </w:tc>
        <w:tc>
          <w:tcPr>
            <w:tcW w:w="1874" w:type="dxa"/>
            <w:tcBorders>
              <w:top w:val="nil"/>
              <w:left w:val="nil"/>
              <w:bottom w:val="single" w:sz="4" w:space="0" w:color="auto"/>
              <w:right w:val="single" w:sz="4" w:space="0" w:color="auto"/>
            </w:tcBorders>
            <w:shd w:val="clear" w:color="auto" w:fill="C6EFCE"/>
            <w:noWrap/>
          </w:tcPr>
          <w:p w14:paraId="6BDE8DE7" w14:textId="7CE3DCF0" w:rsidR="00480F1C" w:rsidRDefault="00A201F6">
            <w:pPr>
              <w:pStyle w:val="P68B1DB1-Normal25"/>
              <w:spacing w:after="0" w:line="240" w:lineRule="auto"/>
              <w:rPr>
                <w:rFonts w:eastAsia="Times New Roman" w:cs="Times New Roman"/>
                <w:noProof/>
              </w:rPr>
            </w:pPr>
            <w:r>
              <w:rPr>
                <w:noProof/>
              </w:rPr>
              <w:t>Geïnstalleerde capaciteit van wind- en fotovoltaïsche installaties op het land (in GW)</w:t>
            </w:r>
          </w:p>
        </w:tc>
        <w:tc>
          <w:tcPr>
            <w:tcW w:w="1606" w:type="dxa"/>
            <w:tcBorders>
              <w:top w:val="nil"/>
              <w:left w:val="nil"/>
              <w:bottom w:val="single" w:sz="4" w:space="0" w:color="auto"/>
              <w:right w:val="single" w:sz="4" w:space="0" w:color="auto"/>
            </w:tcBorders>
            <w:shd w:val="clear" w:color="auto" w:fill="C6EFCE"/>
            <w:noWrap/>
          </w:tcPr>
          <w:p w14:paraId="53F6C630" w14:textId="3726E674" w:rsidR="00480F1C" w:rsidRDefault="00480F1C">
            <w:pPr>
              <w:spacing w:after="0" w:line="240" w:lineRule="auto"/>
              <w:rPr>
                <w:rFonts w:ascii="Times New Roman" w:eastAsia="Times New Roman" w:hAnsi="Times New Roman" w:cs="Times New Roman"/>
                <w:noProof/>
                <w:sz w:val="18"/>
              </w:rPr>
            </w:pPr>
          </w:p>
        </w:tc>
        <w:tc>
          <w:tcPr>
            <w:tcW w:w="1076" w:type="dxa"/>
            <w:tcBorders>
              <w:top w:val="nil"/>
              <w:left w:val="nil"/>
              <w:bottom w:val="single" w:sz="4" w:space="0" w:color="auto"/>
              <w:right w:val="single" w:sz="4" w:space="0" w:color="auto"/>
            </w:tcBorders>
            <w:shd w:val="clear" w:color="auto" w:fill="C6EFCE"/>
            <w:noWrap/>
          </w:tcPr>
          <w:p w14:paraId="3D1DEF3D" w14:textId="7294553A" w:rsidR="00480F1C" w:rsidRDefault="00A201F6">
            <w:pPr>
              <w:pStyle w:val="P68B1DB1-Normal25"/>
              <w:spacing w:after="0" w:line="240" w:lineRule="auto"/>
              <w:rPr>
                <w:rFonts w:eastAsia="Times New Roman" w:cs="Times New Roman"/>
                <w:noProof/>
              </w:rPr>
            </w:pPr>
            <w:r>
              <w:rPr>
                <w:noProof/>
              </w:rPr>
              <w:t>Aantal</w:t>
            </w:r>
          </w:p>
        </w:tc>
        <w:tc>
          <w:tcPr>
            <w:tcW w:w="943" w:type="dxa"/>
            <w:tcBorders>
              <w:top w:val="nil"/>
              <w:left w:val="nil"/>
              <w:bottom w:val="single" w:sz="4" w:space="0" w:color="auto"/>
              <w:right w:val="single" w:sz="4" w:space="0" w:color="auto"/>
            </w:tcBorders>
            <w:shd w:val="clear" w:color="auto" w:fill="C6EFCE"/>
            <w:noWrap/>
          </w:tcPr>
          <w:p w14:paraId="406FBBCB" w14:textId="025631C5" w:rsidR="00480F1C" w:rsidRDefault="00A201F6">
            <w:pPr>
              <w:pStyle w:val="P68B1DB1-Normal25"/>
              <w:spacing w:after="0" w:line="240" w:lineRule="auto"/>
              <w:jc w:val="center"/>
              <w:rPr>
                <w:rFonts w:eastAsia="Times New Roman" w:cs="Times New Roman"/>
                <w:noProof/>
              </w:rPr>
            </w:pPr>
            <w:r>
              <w:rPr>
                <w:noProof/>
              </w:rPr>
              <w:t>23.5</w:t>
            </w:r>
          </w:p>
        </w:tc>
        <w:tc>
          <w:tcPr>
            <w:tcW w:w="678" w:type="dxa"/>
            <w:tcBorders>
              <w:top w:val="nil"/>
              <w:left w:val="nil"/>
              <w:bottom w:val="single" w:sz="4" w:space="0" w:color="auto"/>
              <w:right w:val="single" w:sz="4" w:space="0" w:color="auto"/>
            </w:tcBorders>
            <w:shd w:val="clear" w:color="auto" w:fill="C6EFCE"/>
            <w:noWrap/>
          </w:tcPr>
          <w:p w14:paraId="19844346" w14:textId="4427CC02" w:rsidR="00480F1C" w:rsidRDefault="00A201F6">
            <w:pPr>
              <w:pStyle w:val="P68B1DB1-Normal25"/>
              <w:spacing w:after="0" w:line="240" w:lineRule="auto"/>
              <w:jc w:val="center"/>
              <w:rPr>
                <w:rFonts w:eastAsia="Times New Roman" w:cs="Times New Roman"/>
                <w:noProof/>
              </w:rPr>
            </w:pPr>
            <w:r>
              <w:rPr>
                <w:noProof/>
              </w:rPr>
              <w:t>28</w:t>
            </w:r>
          </w:p>
        </w:tc>
        <w:tc>
          <w:tcPr>
            <w:tcW w:w="878" w:type="dxa"/>
            <w:tcBorders>
              <w:top w:val="nil"/>
              <w:left w:val="nil"/>
              <w:bottom w:val="single" w:sz="4" w:space="0" w:color="auto"/>
              <w:right w:val="single" w:sz="4" w:space="0" w:color="auto"/>
            </w:tcBorders>
            <w:shd w:val="clear" w:color="auto" w:fill="C6EFCE"/>
            <w:noWrap/>
          </w:tcPr>
          <w:p w14:paraId="021596D2" w14:textId="7A8E102C" w:rsidR="00480F1C" w:rsidRDefault="00A201F6">
            <w:pPr>
              <w:pStyle w:val="P68B1DB1-Normal25"/>
              <w:spacing w:after="0" w:line="240" w:lineRule="auto"/>
              <w:jc w:val="center"/>
              <w:rPr>
                <w:rFonts w:eastAsia="Times New Roman" w:cs="Times New Roman"/>
                <w:noProof/>
              </w:rPr>
            </w:pPr>
            <w:r>
              <w:rPr>
                <w:noProof/>
              </w:rPr>
              <w:t>KWARTAAL 4</w:t>
            </w:r>
          </w:p>
        </w:tc>
        <w:tc>
          <w:tcPr>
            <w:tcW w:w="884" w:type="dxa"/>
            <w:tcBorders>
              <w:top w:val="nil"/>
              <w:left w:val="nil"/>
              <w:bottom w:val="single" w:sz="4" w:space="0" w:color="auto"/>
              <w:right w:val="single" w:sz="4" w:space="0" w:color="auto"/>
            </w:tcBorders>
            <w:shd w:val="clear" w:color="auto" w:fill="C6EFCE"/>
            <w:noWrap/>
          </w:tcPr>
          <w:p w14:paraId="1147A738" w14:textId="65FD0118" w:rsidR="00480F1C" w:rsidRDefault="00A201F6">
            <w:pPr>
              <w:pStyle w:val="P68B1DB1-Normal25"/>
              <w:spacing w:after="0" w:line="240" w:lineRule="auto"/>
              <w:jc w:val="center"/>
              <w:rPr>
                <w:rFonts w:eastAsia="Times New Roman" w:cs="Times New Roman"/>
                <w:noProof/>
              </w:rPr>
            </w:pPr>
            <w:r>
              <w:rPr>
                <w:noProof/>
              </w:rPr>
              <w:t>2025</w:t>
            </w:r>
          </w:p>
        </w:tc>
        <w:tc>
          <w:tcPr>
            <w:tcW w:w="4146" w:type="dxa"/>
            <w:tcBorders>
              <w:top w:val="nil"/>
              <w:left w:val="nil"/>
              <w:bottom w:val="single" w:sz="4" w:space="0" w:color="auto"/>
              <w:right w:val="single" w:sz="4" w:space="0" w:color="auto"/>
            </w:tcBorders>
            <w:shd w:val="clear" w:color="auto" w:fill="C6EFCE"/>
            <w:noWrap/>
          </w:tcPr>
          <w:p w14:paraId="04E6DA47" w14:textId="3E5B7FE0" w:rsidR="00480F1C" w:rsidRDefault="00A201F6">
            <w:pPr>
              <w:pStyle w:val="P68B1DB1-Normal010"/>
              <w:spacing w:after="0" w:line="240" w:lineRule="auto"/>
              <w:rPr>
                <w:rFonts w:eastAsia="Times New Roman" w:cs="Times New Roman"/>
                <w:noProof/>
              </w:rPr>
            </w:pPr>
            <w:r>
              <w:rPr>
                <w:noProof/>
              </w:rPr>
              <w:t>Totale geïnstalleerde capaciteit (in GW) van onshorewind- en fotovoltaïsche installaties.</w:t>
            </w:r>
          </w:p>
        </w:tc>
      </w:tr>
      <w:tr w:rsidR="00480F1C" w14:paraId="49D83CE3"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0A3E0C3B" w14:textId="5B7A37B9" w:rsidR="00480F1C" w:rsidRDefault="00A201F6">
            <w:pPr>
              <w:pStyle w:val="P68B1DB1-Normal25"/>
              <w:spacing w:after="0" w:line="240" w:lineRule="auto"/>
              <w:jc w:val="center"/>
              <w:rPr>
                <w:rFonts w:eastAsia="Times New Roman" w:cs="Times New Roman"/>
                <w:noProof/>
              </w:rPr>
            </w:pPr>
            <w:r>
              <w:rPr>
                <w:noProof/>
              </w:rPr>
              <w:t>G7L</w:t>
            </w:r>
          </w:p>
        </w:tc>
        <w:tc>
          <w:tcPr>
            <w:tcW w:w="1474" w:type="dxa"/>
            <w:tcBorders>
              <w:top w:val="nil"/>
              <w:left w:val="nil"/>
              <w:bottom w:val="single" w:sz="4" w:space="0" w:color="auto"/>
              <w:right w:val="single" w:sz="4" w:space="0" w:color="auto"/>
            </w:tcBorders>
            <w:shd w:val="clear" w:color="auto" w:fill="C6EFCE"/>
            <w:noWrap/>
          </w:tcPr>
          <w:p w14:paraId="7B17151A" w14:textId="77777777" w:rsidR="00480F1C" w:rsidRDefault="00A201F6">
            <w:pPr>
              <w:pStyle w:val="P68B1DB1-Normal25"/>
              <w:spacing w:line="240" w:lineRule="auto"/>
              <w:rPr>
                <w:rFonts w:eastAsia="Times New Roman" w:cs="Times New Roman"/>
                <w:noProof/>
              </w:rPr>
            </w:pPr>
            <w:r>
              <w:rPr>
                <w:noProof/>
              </w:rPr>
              <w:t>G3.1.1 stroomlijning van het vergunningsproces voor hernieuwbare energiebronnen</w:t>
            </w:r>
          </w:p>
          <w:p w14:paraId="0967E9D6" w14:textId="77777777" w:rsidR="00480F1C" w:rsidRDefault="00480F1C">
            <w:pPr>
              <w:spacing w:after="0" w:line="240" w:lineRule="auto"/>
              <w:rPr>
                <w:rFonts w:ascii="Times New Roman" w:eastAsia="Times New Roman" w:hAnsi="Times New Roman" w:cs="Times New Roman"/>
                <w:noProof/>
                <w:sz w:val="18"/>
              </w:rPr>
            </w:pPr>
          </w:p>
        </w:tc>
        <w:tc>
          <w:tcPr>
            <w:tcW w:w="1077" w:type="dxa"/>
            <w:tcBorders>
              <w:top w:val="nil"/>
              <w:left w:val="nil"/>
              <w:bottom w:val="single" w:sz="4" w:space="0" w:color="auto"/>
              <w:right w:val="single" w:sz="4" w:space="0" w:color="auto"/>
            </w:tcBorders>
            <w:shd w:val="clear" w:color="auto" w:fill="C6EFCE"/>
            <w:noWrap/>
          </w:tcPr>
          <w:p w14:paraId="72826545" w14:textId="3F91727E" w:rsidR="00480F1C" w:rsidRDefault="00A201F6">
            <w:pPr>
              <w:pStyle w:val="P68B1DB1-Normal25"/>
              <w:spacing w:line="240" w:lineRule="auto"/>
              <w:rPr>
                <w:rFonts w:eastAsia="Times New Roman" w:cs="Times New Roman"/>
                <w:noProof/>
              </w:rPr>
            </w:pPr>
            <w:r>
              <w:rPr>
                <w:noProof/>
              </w:rPr>
              <w:t>Doel</w:t>
            </w:r>
          </w:p>
        </w:tc>
        <w:tc>
          <w:tcPr>
            <w:tcW w:w="1874" w:type="dxa"/>
            <w:tcBorders>
              <w:top w:val="nil"/>
              <w:left w:val="nil"/>
              <w:bottom w:val="single" w:sz="4" w:space="0" w:color="auto"/>
              <w:right w:val="single" w:sz="4" w:space="0" w:color="auto"/>
            </w:tcBorders>
            <w:shd w:val="clear" w:color="auto" w:fill="C6EFCE"/>
            <w:noWrap/>
          </w:tcPr>
          <w:p w14:paraId="0F74008E" w14:textId="49E222EA" w:rsidR="00480F1C" w:rsidRDefault="00A201F6">
            <w:pPr>
              <w:pStyle w:val="P68B1DB1-Normal25"/>
              <w:spacing w:after="0" w:line="240" w:lineRule="auto"/>
              <w:rPr>
                <w:rFonts w:eastAsia="Times New Roman" w:cs="Times New Roman"/>
                <w:noProof/>
              </w:rPr>
            </w:pPr>
            <w:r>
              <w:rPr>
                <w:noProof/>
              </w:rPr>
              <w:t>Geïnstalleerde capaciteit van wind- en fotovoltaïsche installaties op het land (in GW)</w:t>
            </w:r>
          </w:p>
        </w:tc>
        <w:tc>
          <w:tcPr>
            <w:tcW w:w="1606" w:type="dxa"/>
            <w:tcBorders>
              <w:top w:val="nil"/>
              <w:left w:val="nil"/>
              <w:bottom w:val="single" w:sz="4" w:space="0" w:color="auto"/>
              <w:right w:val="single" w:sz="4" w:space="0" w:color="auto"/>
            </w:tcBorders>
            <w:shd w:val="clear" w:color="auto" w:fill="C6EFCE"/>
            <w:noWrap/>
          </w:tcPr>
          <w:p w14:paraId="7045FE0E" w14:textId="33BD2C4F" w:rsidR="00480F1C" w:rsidRDefault="00480F1C">
            <w:pPr>
              <w:spacing w:after="0" w:line="240" w:lineRule="auto"/>
              <w:rPr>
                <w:rFonts w:ascii="Times New Roman" w:eastAsia="Times New Roman" w:hAnsi="Times New Roman" w:cs="Times New Roman"/>
                <w:noProof/>
                <w:sz w:val="18"/>
              </w:rPr>
            </w:pPr>
          </w:p>
        </w:tc>
        <w:tc>
          <w:tcPr>
            <w:tcW w:w="1076" w:type="dxa"/>
            <w:tcBorders>
              <w:top w:val="nil"/>
              <w:left w:val="nil"/>
              <w:bottom w:val="single" w:sz="4" w:space="0" w:color="auto"/>
              <w:right w:val="single" w:sz="4" w:space="0" w:color="auto"/>
            </w:tcBorders>
            <w:shd w:val="clear" w:color="auto" w:fill="C6EFCE"/>
            <w:noWrap/>
          </w:tcPr>
          <w:p w14:paraId="48306150" w14:textId="6D651A14" w:rsidR="00480F1C" w:rsidRDefault="00A201F6">
            <w:pPr>
              <w:pStyle w:val="P68B1DB1-Normal25"/>
              <w:spacing w:after="0" w:line="240" w:lineRule="auto"/>
              <w:rPr>
                <w:rFonts w:eastAsia="Times New Roman" w:cs="Times New Roman"/>
                <w:noProof/>
              </w:rPr>
            </w:pPr>
            <w:r>
              <w:rPr>
                <w:noProof/>
              </w:rPr>
              <w:t>Aantal</w:t>
            </w:r>
          </w:p>
        </w:tc>
        <w:tc>
          <w:tcPr>
            <w:tcW w:w="943" w:type="dxa"/>
            <w:tcBorders>
              <w:top w:val="nil"/>
              <w:left w:val="nil"/>
              <w:bottom w:val="single" w:sz="4" w:space="0" w:color="auto"/>
              <w:right w:val="single" w:sz="4" w:space="0" w:color="auto"/>
            </w:tcBorders>
            <w:shd w:val="clear" w:color="auto" w:fill="C6EFCE"/>
            <w:noWrap/>
          </w:tcPr>
          <w:p w14:paraId="03120837" w14:textId="60A371B3" w:rsidR="00480F1C" w:rsidRDefault="00A201F6">
            <w:pPr>
              <w:pStyle w:val="P68B1DB1-Normal25"/>
              <w:spacing w:after="0" w:line="240" w:lineRule="auto"/>
              <w:jc w:val="center"/>
              <w:rPr>
                <w:rFonts w:eastAsia="Times New Roman" w:cs="Times New Roman"/>
                <w:noProof/>
              </w:rPr>
            </w:pPr>
            <w:r>
              <w:rPr>
                <w:noProof/>
              </w:rPr>
              <w:t>28</w:t>
            </w:r>
          </w:p>
        </w:tc>
        <w:tc>
          <w:tcPr>
            <w:tcW w:w="678" w:type="dxa"/>
            <w:tcBorders>
              <w:top w:val="nil"/>
              <w:left w:val="nil"/>
              <w:bottom w:val="single" w:sz="4" w:space="0" w:color="auto"/>
              <w:right w:val="single" w:sz="4" w:space="0" w:color="auto"/>
            </w:tcBorders>
            <w:shd w:val="clear" w:color="auto" w:fill="C6EFCE"/>
            <w:noWrap/>
          </w:tcPr>
          <w:p w14:paraId="65D1EAC3" w14:textId="35B24D64" w:rsidR="00480F1C" w:rsidRDefault="00A201F6">
            <w:pPr>
              <w:pStyle w:val="P68B1DB1-Normal25"/>
              <w:spacing w:after="0" w:line="240" w:lineRule="auto"/>
              <w:jc w:val="center"/>
              <w:rPr>
                <w:rFonts w:eastAsia="Times New Roman" w:cs="Times New Roman"/>
                <w:noProof/>
              </w:rPr>
            </w:pPr>
            <w:r>
              <w:rPr>
                <w:noProof/>
              </w:rPr>
              <w:t>30</w:t>
            </w:r>
          </w:p>
        </w:tc>
        <w:tc>
          <w:tcPr>
            <w:tcW w:w="878" w:type="dxa"/>
            <w:tcBorders>
              <w:top w:val="nil"/>
              <w:left w:val="nil"/>
              <w:bottom w:val="single" w:sz="4" w:space="0" w:color="auto"/>
              <w:right w:val="single" w:sz="4" w:space="0" w:color="auto"/>
            </w:tcBorders>
            <w:shd w:val="clear" w:color="auto" w:fill="C6EFCE"/>
            <w:noWrap/>
          </w:tcPr>
          <w:p w14:paraId="4128314E" w14:textId="5B698642" w:rsidR="00480F1C" w:rsidRDefault="00A201F6">
            <w:pPr>
              <w:pStyle w:val="P68B1DB1-Normal25"/>
              <w:spacing w:after="0" w:line="240" w:lineRule="auto"/>
              <w:jc w:val="center"/>
              <w:rPr>
                <w:rFonts w:eastAsia="Times New Roman" w:cs="Times New Roman"/>
                <w:noProof/>
              </w:rPr>
            </w:pPr>
            <w:r>
              <w:rPr>
                <w:noProof/>
              </w:rPr>
              <w:t>KWARTAAL 2</w:t>
            </w:r>
          </w:p>
        </w:tc>
        <w:tc>
          <w:tcPr>
            <w:tcW w:w="884" w:type="dxa"/>
            <w:tcBorders>
              <w:top w:val="nil"/>
              <w:left w:val="nil"/>
              <w:bottom w:val="single" w:sz="4" w:space="0" w:color="auto"/>
              <w:right w:val="single" w:sz="4" w:space="0" w:color="auto"/>
            </w:tcBorders>
            <w:shd w:val="clear" w:color="auto" w:fill="C6EFCE"/>
            <w:noWrap/>
          </w:tcPr>
          <w:p w14:paraId="3DF84E7C" w14:textId="7A507D1F" w:rsidR="00480F1C" w:rsidRDefault="00A201F6">
            <w:pPr>
              <w:pStyle w:val="P68B1DB1-Normal25"/>
              <w:spacing w:after="0" w:line="240" w:lineRule="auto"/>
              <w:jc w:val="center"/>
              <w:rPr>
                <w:rFonts w:eastAsia="Times New Roman" w:cs="Times New Roman"/>
                <w:noProof/>
              </w:rPr>
            </w:pPr>
            <w:r>
              <w:rPr>
                <w:noProof/>
              </w:rPr>
              <w:t>2026</w:t>
            </w:r>
          </w:p>
        </w:tc>
        <w:tc>
          <w:tcPr>
            <w:tcW w:w="4146" w:type="dxa"/>
            <w:tcBorders>
              <w:top w:val="nil"/>
              <w:left w:val="nil"/>
              <w:bottom w:val="single" w:sz="4" w:space="0" w:color="auto"/>
              <w:right w:val="single" w:sz="4" w:space="0" w:color="auto"/>
            </w:tcBorders>
            <w:shd w:val="clear" w:color="auto" w:fill="C6EFCE"/>
            <w:noWrap/>
          </w:tcPr>
          <w:p w14:paraId="79E7BA05" w14:textId="5E859370" w:rsidR="00480F1C" w:rsidRDefault="00A201F6">
            <w:pPr>
              <w:pStyle w:val="P68B1DB1-Normal25"/>
              <w:spacing w:after="0" w:line="240" w:lineRule="auto"/>
              <w:rPr>
                <w:rFonts w:eastAsia="Times New Roman" w:cs="Times New Roman"/>
                <w:noProof/>
              </w:rPr>
            </w:pPr>
            <w:r>
              <w:rPr>
                <w:noProof/>
              </w:rPr>
              <w:t>Totale geïnstalleerde capaciteit (in GW) van onshorewind- en fotovoltaïsche installaties.</w:t>
            </w:r>
          </w:p>
        </w:tc>
      </w:tr>
      <w:tr w:rsidR="00480F1C" w14:paraId="4E9808F6"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297A532D" w14:textId="086D17C8" w:rsidR="00480F1C" w:rsidRDefault="00A201F6">
            <w:pPr>
              <w:pStyle w:val="P68B1DB1-Normal25"/>
              <w:spacing w:after="0" w:line="240" w:lineRule="auto"/>
              <w:jc w:val="center"/>
              <w:rPr>
                <w:rFonts w:eastAsia="Times New Roman" w:cs="Times New Roman"/>
                <w:noProof/>
              </w:rPr>
            </w:pPr>
            <w:r>
              <w:rPr>
                <w:noProof/>
              </w:rPr>
              <w:t>G8L</w:t>
            </w:r>
          </w:p>
        </w:tc>
        <w:tc>
          <w:tcPr>
            <w:tcW w:w="1474" w:type="dxa"/>
            <w:tcBorders>
              <w:top w:val="nil"/>
              <w:left w:val="nil"/>
              <w:bottom w:val="single" w:sz="4" w:space="0" w:color="auto"/>
              <w:right w:val="single" w:sz="4" w:space="0" w:color="auto"/>
            </w:tcBorders>
            <w:shd w:val="clear" w:color="auto" w:fill="C6EFCE"/>
            <w:noWrap/>
          </w:tcPr>
          <w:p w14:paraId="54D5B9CA" w14:textId="4F3C0632" w:rsidR="00480F1C" w:rsidRDefault="00A201F6">
            <w:pPr>
              <w:pStyle w:val="P68B1DB1-Normal25"/>
              <w:spacing w:after="0" w:line="240" w:lineRule="auto"/>
              <w:rPr>
                <w:rFonts w:eastAsia="Times New Roman" w:cs="Times New Roman"/>
                <w:noProof/>
              </w:rPr>
            </w:pPr>
            <w:r>
              <w:rPr>
                <w:noProof/>
              </w:rPr>
              <w:t>G3.1.2 Vaardigheden voor de groene transitie</w:t>
            </w:r>
          </w:p>
        </w:tc>
        <w:tc>
          <w:tcPr>
            <w:tcW w:w="1077" w:type="dxa"/>
            <w:tcBorders>
              <w:top w:val="nil"/>
              <w:left w:val="nil"/>
              <w:bottom w:val="single" w:sz="4" w:space="0" w:color="auto"/>
              <w:right w:val="single" w:sz="4" w:space="0" w:color="auto"/>
            </w:tcBorders>
            <w:shd w:val="clear" w:color="auto" w:fill="C6EFCE"/>
            <w:noWrap/>
          </w:tcPr>
          <w:p w14:paraId="26456F6C" w14:textId="77777777" w:rsidR="00480F1C" w:rsidRDefault="00A201F6">
            <w:pPr>
              <w:pStyle w:val="P68B1DB1-Normal25"/>
              <w:spacing w:after="0" w:line="240" w:lineRule="auto"/>
              <w:rPr>
                <w:rFonts w:eastAsia="Times New Roman" w:cs="Times New Roman"/>
                <w:noProof/>
              </w:rPr>
            </w:pPr>
            <w:r>
              <w:rPr>
                <w:noProof/>
              </w:rPr>
              <w:t>Mijlpaal</w:t>
            </w:r>
          </w:p>
        </w:tc>
        <w:tc>
          <w:tcPr>
            <w:tcW w:w="1874" w:type="dxa"/>
            <w:tcBorders>
              <w:top w:val="nil"/>
              <w:left w:val="nil"/>
              <w:bottom w:val="single" w:sz="4" w:space="0" w:color="auto"/>
              <w:right w:val="single" w:sz="4" w:space="0" w:color="auto"/>
            </w:tcBorders>
            <w:shd w:val="clear" w:color="auto" w:fill="C6EFCE"/>
            <w:noWrap/>
          </w:tcPr>
          <w:p w14:paraId="50D0516F" w14:textId="5A985C04" w:rsidR="00480F1C" w:rsidRDefault="00A201F6">
            <w:pPr>
              <w:pStyle w:val="P68B1DB1-Normal25"/>
              <w:spacing w:after="0" w:line="240" w:lineRule="auto"/>
              <w:rPr>
                <w:rFonts w:eastAsia="Times New Roman" w:cs="Times New Roman"/>
                <w:noProof/>
              </w:rPr>
            </w:pPr>
            <w:r>
              <w:rPr>
                <w:noProof/>
              </w:rPr>
              <w:t xml:space="preserve">Wijziging van drie sectorale kwalificatiekaders voor groene transformatie </w:t>
            </w:r>
          </w:p>
        </w:tc>
        <w:tc>
          <w:tcPr>
            <w:tcW w:w="1606" w:type="dxa"/>
            <w:tcBorders>
              <w:top w:val="nil"/>
              <w:left w:val="nil"/>
              <w:bottom w:val="single" w:sz="4" w:space="0" w:color="auto"/>
              <w:right w:val="single" w:sz="4" w:space="0" w:color="auto"/>
            </w:tcBorders>
            <w:shd w:val="clear" w:color="auto" w:fill="C6EFCE"/>
            <w:noWrap/>
          </w:tcPr>
          <w:p w14:paraId="62D0E8F0" w14:textId="7CA52B3F" w:rsidR="00480F1C" w:rsidRDefault="00A201F6">
            <w:pPr>
              <w:pStyle w:val="P68B1DB1-Normal25"/>
              <w:spacing w:after="0" w:line="240" w:lineRule="auto"/>
              <w:rPr>
                <w:rFonts w:eastAsia="Times New Roman" w:cs="Times New Roman"/>
                <w:noProof/>
              </w:rPr>
            </w:pPr>
            <w:r>
              <w:rPr>
                <w:noProof/>
              </w:rPr>
              <w:t>Publicatie van de verslagen met de gewijzigde sectorale kwalificatiekaders voor bouw, waterbeheer en afvalbeheer</w:t>
            </w:r>
          </w:p>
        </w:tc>
        <w:tc>
          <w:tcPr>
            <w:tcW w:w="1076" w:type="dxa"/>
            <w:tcBorders>
              <w:top w:val="nil"/>
              <w:left w:val="nil"/>
              <w:bottom w:val="single" w:sz="4" w:space="0" w:color="auto"/>
              <w:right w:val="single" w:sz="4" w:space="0" w:color="auto"/>
            </w:tcBorders>
            <w:shd w:val="clear" w:color="auto" w:fill="C6EFCE"/>
            <w:noWrap/>
          </w:tcPr>
          <w:p w14:paraId="03852252" w14:textId="77777777" w:rsidR="00480F1C" w:rsidRDefault="00480F1C">
            <w:pPr>
              <w:spacing w:after="0" w:line="240" w:lineRule="auto"/>
              <w:rPr>
                <w:rFonts w:ascii="Times New Roman" w:eastAsia="Times New Roman" w:hAnsi="Times New Roman" w:cs="Times New Roman"/>
                <w:noProof/>
                <w:sz w:val="18"/>
              </w:rPr>
            </w:pPr>
          </w:p>
        </w:tc>
        <w:tc>
          <w:tcPr>
            <w:tcW w:w="943" w:type="dxa"/>
            <w:tcBorders>
              <w:top w:val="nil"/>
              <w:left w:val="nil"/>
              <w:bottom w:val="single" w:sz="4" w:space="0" w:color="auto"/>
              <w:right w:val="single" w:sz="4" w:space="0" w:color="auto"/>
            </w:tcBorders>
            <w:shd w:val="clear" w:color="auto" w:fill="C6EFCE"/>
            <w:noWrap/>
          </w:tcPr>
          <w:p w14:paraId="2582632E" w14:textId="77777777" w:rsidR="00480F1C" w:rsidRDefault="00480F1C">
            <w:pPr>
              <w:spacing w:after="0" w:line="240" w:lineRule="auto"/>
              <w:jc w:val="center"/>
              <w:rPr>
                <w:rFonts w:ascii="Times New Roman" w:eastAsia="Times New Roman" w:hAnsi="Times New Roman" w:cs="Times New Roman"/>
                <w:noProof/>
                <w:sz w:val="18"/>
              </w:rPr>
            </w:pPr>
          </w:p>
        </w:tc>
        <w:tc>
          <w:tcPr>
            <w:tcW w:w="678" w:type="dxa"/>
            <w:tcBorders>
              <w:top w:val="nil"/>
              <w:left w:val="nil"/>
              <w:bottom w:val="single" w:sz="4" w:space="0" w:color="auto"/>
              <w:right w:val="single" w:sz="4" w:space="0" w:color="auto"/>
            </w:tcBorders>
            <w:shd w:val="clear" w:color="auto" w:fill="C6EFCE"/>
            <w:noWrap/>
          </w:tcPr>
          <w:p w14:paraId="1623A8D1" w14:textId="77777777" w:rsidR="00480F1C" w:rsidRDefault="00480F1C">
            <w:pPr>
              <w:spacing w:after="0" w:line="240" w:lineRule="auto"/>
              <w:jc w:val="center"/>
              <w:rPr>
                <w:rFonts w:ascii="Times New Roman" w:eastAsia="Times New Roman" w:hAnsi="Times New Roman" w:cs="Times New Roman"/>
                <w:noProof/>
                <w:sz w:val="18"/>
              </w:rPr>
            </w:pPr>
          </w:p>
        </w:tc>
        <w:tc>
          <w:tcPr>
            <w:tcW w:w="878" w:type="dxa"/>
            <w:tcBorders>
              <w:top w:val="nil"/>
              <w:left w:val="nil"/>
              <w:bottom w:val="single" w:sz="4" w:space="0" w:color="auto"/>
              <w:right w:val="single" w:sz="4" w:space="0" w:color="auto"/>
            </w:tcBorders>
            <w:shd w:val="clear" w:color="auto" w:fill="C6EFCE"/>
            <w:noWrap/>
          </w:tcPr>
          <w:p w14:paraId="711009E1" w14:textId="0AE2A84E" w:rsidR="00480F1C" w:rsidRDefault="00A201F6">
            <w:pPr>
              <w:pStyle w:val="P68B1DB1-Normal25"/>
              <w:spacing w:after="0" w:line="240" w:lineRule="auto"/>
              <w:jc w:val="center"/>
              <w:rPr>
                <w:rFonts w:eastAsia="Times New Roman" w:cs="Times New Roman"/>
                <w:noProof/>
              </w:rPr>
            </w:pPr>
            <w:r>
              <w:rPr>
                <w:noProof/>
              </w:rPr>
              <w:t>KWARTAAL 2</w:t>
            </w:r>
          </w:p>
        </w:tc>
        <w:tc>
          <w:tcPr>
            <w:tcW w:w="884" w:type="dxa"/>
            <w:tcBorders>
              <w:top w:val="nil"/>
              <w:left w:val="nil"/>
              <w:bottom w:val="single" w:sz="4" w:space="0" w:color="auto"/>
              <w:right w:val="single" w:sz="4" w:space="0" w:color="auto"/>
            </w:tcBorders>
            <w:shd w:val="clear" w:color="auto" w:fill="C6EFCE"/>
            <w:noWrap/>
          </w:tcPr>
          <w:p w14:paraId="0F57E02C" w14:textId="77777777" w:rsidR="00480F1C" w:rsidRDefault="00A201F6">
            <w:pPr>
              <w:pStyle w:val="P68B1DB1-Normal25"/>
              <w:spacing w:after="0" w:line="240" w:lineRule="auto"/>
              <w:jc w:val="center"/>
              <w:rPr>
                <w:rFonts w:eastAsia="Times New Roman" w:cs="Times New Roman"/>
                <w:noProof/>
              </w:rPr>
            </w:pPr>
            <w:r>
              <w:rPr>
                <w:noProof/>
              </w:rPr>
              <w:t>2025</w:t>
            </w:r>
          </w:p>
        </w:tc>
        <w:tc>
          <w:tcPr>
            <w:tcW w:w="4146" w:type="dxa"/>
            <w:tcBorders>
              <w:top w:val="nil"/>
              <w:left w:val="nil"/>
              <w:bottom w:val="single" w:sz="4" w:space="0" w:color="auto"/>
              <w:right w:val="single" w:sz="4" w:space="0" w:color="auto"/>
            </w:tcBorders>
            <w:shd w:val="clear" w:color="auto" w:fill="C6EFCE"/>
            <w:noWrap/>
          </w:tcPr>
          <w:p w14:paraId="6109E846" w14:textId="3071F8E5" w:rsidR="00480F1C" w:rsidRDefault="00A201F6">
            <w:pPr>
              <w:pStyle w:val="P68B1DB1-Normal25"/>
              <w:spacing w:after="0" w:line="240" w:lineRule="auto"/>
              <w:rPr>
                <w:rFonts w:eastAsia="Times New Roman" w:cs="Times New Roman"/>
                <w:noProof/>
              </w:rPr>
            </w:pPr>
            <w:r>
              <w:rPr>
                <w:noProof/>
              </w:rPr>
              <w:t>In samenwerking met de sectorale sociale partners, met inbegrip van de sectorale competentieraden, wordt het sectorale kwalificatiekader voor de sectoren bouw, waterbeheer en afvalbeheer gewijzigd om daarin vaardigheden op te nemen die bijdragen tot de verwezenlijking van de doelstellingen van de Europese Green Deal en klimaatneutraliteit tegen 2050.</w:t>
            </w:r>
          </w:p>
          <w:p w14:paraId="393FACF6" w14:textId="1F6648CD" w:rsidR="00480F1C" w:rsidRDefault="00A201F6">
            <w:pPr>
              <w:pStyle w:val="P68B1DB1-Normal25"/>
              <w:spacing w:after="0" w:line="240" w:lineRule="auto"/>
              <w:rPr>
                <w:rFonts w:eastAsia="Times New Roman" w:cs="Times New Roman"/>
                <w:noProof/>
              </w:rPr>
            </w:pPr>
            <w:r>
              <w:rPr>
                <w:noProof/>
              </w:rPr>
              <w:t xml:space="preserve">De verslagen met de gewijzigde gewijzigde sectorale kwalificatiekaders voor bouw, waterbeheer en afvalbeheer worden gepubliceerd. </w:t>
            </w:r>
          </w:p>
          <w:p w14:paraId="5ADB1CF4" w14:textId="77777777" w:rsidR="00480F1C" w:rsidRDefault="00A201F6">
            <w:pPr>
              <w:pStyle w:val="P68B1DB1-Normal25"/>
              <w:spacing w:after="0" w:line="240" w:lineRule="auto"/>
              <w:rPr>
                <w:rFonts w:eastAsia="Times New Roman" w:cs="Times New Roman"/>
                <w:noProof/>
              </w:rPr>
            </w:pPr>
            <w:r>
              <w:rPr>
                <w:noProof/>
              </w:rPr>
              <w:t xml:space="preserve"> </w:t>
            </w:r>
          </w:p>
          <w:p w14:paraId="22F29056" w14:textId="30BB8BB4" w:rsidR="00480F1C" w:rsidRDefault="00480F1C">
            <w:pPr>
              <w:spacing w:after="0" w:line="240" w:lineRule="auto"/>
              <w:rPr>
                <w:rFonts w:ascii="Times New Roman" w:eastAsia="Times New Roman" w:hAnsi="Times New Roman" w:cs="Times New Roman"/>
                <w:noProof/>
                <w:sz w:val="18"/>
              </w:rPr>
            </w:pPr>
          </w:p>
        </w:tc>
      </w:tr>
      <w:tr w:rsidR="00480F1C" w14:paraId="066F317A"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4850F753" w14:textId="1F8017BE" w:rsidR="00480F1C" w:rsidRDefault="00A201F6">
            <w:pPr>
              <w:pStyle w:val="P68B1DB1-Normal25"/>
              <w:spacing w:after="0" w:line="240" w:lineRule="auto"/>
              <w:jc w:val="center"/>
              <w:rPr>
                <w:rFonts w:eastAsia="Times New Roman" w:cs="Times New Roman"/>
                <w:noProof/>
              </w:rPr>
            </w:pPr>
            <w:r>
              <w:rPr>
                <w:noProof/>
              </w:rPr>
              <w:t>G9L</w:t>
            </w:r>
          </w:p>
        </w:tc>
        <w:tc>
          <w:tcPr>
            <w:tcW w:w="1474" w:type="dxa"/>
            <w:tcBorders>
              <w:top w:val="nil"/>
              <w:left w:val="nil"/>
              <w:bottom w:val="single" w:sz="4" w:space="0" w:color="auto"/>
              <w:right w:val="single" w:sz="4" w:space="0" w:color="auto"/>
            </w:tcBorders>
            <w:shd w:val="clear" w:color="auto" w:fill="C6EFCE"/>
            <w:noWrap/>
          </w:tcPr>
          <w:p w14:paraId="652D1327" w14:textId="3C4A1D68" w:rsidR="00480F1C" w:rsidRDefault="00A201F6">
            <w:pPr>
              <w:pStyle w:val="P68B1DB1-Normal25"/>
              <w:spacing w:after="0" w:line="240" w:lineRule="auto"/>
              <w:rPr>
                <w:rFonts w:eastAsia="Times New Roman" w:cs="Times New Roman"/>
                <w:noProof/>
              </w:rPr>
            </w:pPr>
            <w:r>
              <w:rPr>
                <w:noProof/>
              </w:rPr>
              <w:t>G3.1.2 Vaardigheden voor de groene transitie</w:t>
            </w:r>
          </w:p>
        </w:tc>
        <w:tc>
          <w:tcPr>
            <w:tcW w:w="1077" w:type="dxa"/>
            <w:tcBorders>
              <w:top w:val="nil"/>
              <w:left w:val="nil"/>
              <w:bottom w:val="single" w:sz="4" w:space="0" w:color="auto"/>
              <w:right w:val="single" w:sz="4" w:space="0" w:color="auto"/>
            </w:tcBorders>
            <w:shd w:val="clear" w:color="auto" w:fill="C6EFCE"/>
            <w:noWrap/>
          </w:tcPr>
          <w:p w14:paraId="0D449D82" w14:textId="0256EBA9" w:rsidR="00480F1C" w:rsidRDefault="00A201F6">
            <w:pPr>
              <w:pStyle w:val="P68B1DB1-Normal25"/>
              <w:spacing w:after="0" w:line="240" w:lineRule="auto"/>
              <w:rPr>
                <w:rFonts w:eastAsia="Times New Roman" w:cs="Times New Roman"/>
                <w:noProof/>
              </w:rPr>
            </w:pPr>
            <w:r>
              <w:rPr>
                <w:noProof/>
              </w:rPr>
              <w:t>Mijlpaal</w:t>
            </w:r>
          </w:p>
        </w:tc>
        <w:tc>
          <w:tcPr>
            <w:tcW w:w="1874" w:type="dxa"/>
            <w:tcBorders>
              <w:top w:val="nil"/>
              <w:left w:val="nil"/>
              <w:bottom w:val="single" w:sz="4" w:space="0" w:color="auto"/>
              <w:right w:val="single" w:sz="4" w:space="0" w:color="auto"/>
            </w:tcBorders>
            <w:shd w:val="clear" w:color="auto" w:fill="C6EFCE"/>
            <w:noWrap/>
          </w:tcPr>
          <w:p w14:paraId="1C5B2BA4" w14:textId="10A15329" w:rsidR="00480F1C" w:rsidRDefault="00A201F6">
            <w:pPr>
              <w:pStyle w:val="P68B1DB1-Normal25"/>
              <w:spacing w:after="0" w:line="240" w:lineRule="auto"/>
              <w:rPr>
                <w:rFonts w:eastAsia="Times New Roman" w:cs="Times New Roman"/>
                <w:noProof/>
              </w:rPr>
            </w:pPr>
            <w:r>
              <w:rPr>
                <w:noProof/>
              </w:rPr>
              <w:t>Wijziging van het sectorale kwalificatiekader voor energie</w:t>
            </w:r>
          </w:p>
        </w:tc>
        <w:tc>
          <w:tcPr>
            <w:tcW w:w="1606" w:type="dxa"/>
            <w:tcBorders>
              <w:top w:val="nil"/>
              <w:left w:val="nil"/>
              <w:bottom w:val="single" w:sz="4" w:space="0" w:color="auto"/>
              <w:right w:val="single" w:sz="4" w:space="0" w:color="auto"/>
            </w:tcBorders>
            <w:shd w:val="clear" w:color="auto" w:fill="C6EFCE"/>
            <w:noWrap/>
          </w:tcPr>
          <w:p w14:paraId="70A5FAE2" w14:textId="3203B19F" w:rsidR="00480F1C" w:rsidRDefault="00A201F6">
            <w:pPr>
              <w:pStyle w:val="P68B1DB1-Normal25"/>
              <w:spacing w:after="0" w:line="240" w:lineRule="auto"/>
              <w:rPr>
                <w:rFonts w:eastAsia="Times New Roman" w:cs="Times New Roman"/>
                <w:noProof/>
              </w:rPr>
            </w:pPr>
            <w:r>
              <w:rPr>
                <w:noProof/>
              </w:rPr>
              <w:t>Publicatie van het verslag met het gewijzigde sectorale kwalificatiekader voor energie</w:t>
            </w:r>
          </w:p>
        </w:tc>
        <w:tc>
          <w:tcPr>
            <w:tcW w:w="1076" w:type="dxa"/>
            <w:tcBorders>
              <w:top w:val="nil"/>
              <w:left w:val="nil"/>
              <w:bottom w:val="single" w:sz="4" w:space="0" w:color="auto"/>
              <w:right w:val="single" w:sz="4" w:space="0" w:color="auto"/>
            </w:tcBorders>
            <w:shd w:val="clear" w:color="auto" w:fill="C6EFCE"/>
            <w:noWrap/>
          </w:tcPr>
          <w:p w14:paraId="2A9694CF" w14:textId="77777777" w:rsidR="00480F1C" w:rsidRDefault="00480F1C">
            <w:pPr>
              <w:spacing w:after="0" w:line="240" w:lineRule="auto"/>
              <w:rPr>
                <w:rFonts w:ascii="Times New Roman" w:eastAsia="Times New Roman" w:hAnsi="Times New Roman" w:cs="Times New Roman"/>
                <w:noProof/>
                <w:sz w:val="18"/>
              </w:rPr>
            </w:pPr>
          </w:p>
        </w:tc>
        <w:tc>
          <w:tcPr>
            <w:tcW w:w="943" w:type="dxa"/>
            <w:tcBorders>
              <w:top w:val="nil"/>
              <w:left w:val="nil"/>
              <w:bottom w:val="single" w:sz="4" w:space="0" w:color="auto"/>
              <w:right w:val="single" w:sz="4" w:space="0" w:color="auto"/>
            </w:tcBorders>
            <w:shd w:val="clear" w:color="auto" w:fill="C6EFCE"/>
            <w:noWrap/>
          </w:tcPr>
          <w:p w14:paraId="6DD78178" w14:textId="77777777" w:rsidR="00480F1C" w:rsidRDefault="00480F1C">
            <w:pPr>
              <w:spacing w:after="0" w:line="240" w:lineRule="auto"/>
              <w:jc w:val="center"/>
              <w:rPr>
                <w:rFonts w:ascii="Times New Roman" w:eastAsia="Times New Roman" w:hAnsi="Times New Roman" w:cs="Times New Roman"/>
                <w:noProof/>
                <w:sz w:val="18"/>
              </w:rPr>
            </w:pPr>
          </w:p>
        </w:tc>
        <w:tc>
          <w:tcPr>
            <w:tcW w:w="678" w:type="dxa"/>
            <w:tcBorders>
              <w:top w:val="nil"/>
              <w:left w:val="nil"/>
              <w:bottom w:val="single" w:sz="4" w:space="0" w:color="auto"/>
              <w:right w:val="single" w:sz="4" w:space="0" w:color="auto"/>
            </w:tcBorders>
            <w:shd w:val="clear" w:color="auto" w:fill="C6EFCE"/>
            <w:noWrap/>
          </w:tcPr>
          <w:p w14:paraId="7F8EC23D" w14:textId="77777777" w:rsidR="00480F1C" w:rsidRDefault="00480F1C">
            <w:pPr>
              <w:spacing w:after="0" w:line="240" w:lineRule="auto"/>
              <w:jc w:val="center"/>
              <w:rPr>
                <w:rFonts w:ascii="Times New Roman" w:eastAsia="Times New Roman" w:hAnsi="Times New Roman" w:cs="Times New Roman"/>
                <w:noProof/>
                <w:sz w:val="18"/>
              </w:rPr>
            </w:pPr>
          </w:p>
        </w:tc>
        <w:tc>
          <w:tcPr>
            <w:tcW w:w="878" w:type="dxa"/>
            <w:tcBorders>
              <w:top w:val="nil"/>
              <w:left w:val="nil"/>
              <w:bottom w:val="single" w:sz="4" w:space="0" w:color="auto"/>
              <w:right w:val="single" w:sz="4" w:space="0" w:color="auto"/>
            </w:tcBorders>
            <w:shd w:val="clear" w:color="auto" w:fill="C6EFCE"/>
            <w:noWrap/>
          </w:tcPr>
          <w:p w14:paraId="22BEA2DC" w14:textId="2523678B" w:rsidR="00480F1C" w:rsidRDefault="00A201F6">
            <w:pPr>
              <w:pStyle w:val="P68B1DB1-Normal25"/>
              <w:spacing w:after="0" w:line="240" w:lineRule="auto"/>
              <w:jc w:val="center"/>
              <w:rPr>
                <w:rFonts w:eastAsia="Times New Roman" w:cs="Times New Roman"/>
                <w:noProof/>
              </w:rPr>
            </w:pPr>
            <w:r>
              <w:rPr>
                <w:noProof/>
              </w:rPr>
              <w:t xml:space="preserve">KWARTAAL 2 </w:t>
            </w:r>
          </w:p>
        </w:tc>
        <w:tc>
          <w:tcPr>
            <w:tcW w:w="884" w:type="dxa"/>
            <w:tcBorders>
              <w:top w:val="nil"/>
              <w:left w:val="nil"/>
              <w:bottom w:val="single" w:sz="4" w:space="0" w:color="auto"/>
              <w:right w:val="single" w:sz="4" w:space="0" w:color="auto"/>
            </w:tcBorders>
            <w:shd w:val="clear" w:color="auto" w:fill="C6EFCE"/>
            <w:noWrap/>
          </w:tcPr>
          <w:p w14:paraId="067A9FC7" w14:textId="5A480AF3" w:rsidR="00480F1C" w:rsidRDefault="00A201F6">
            <w:pPr>
              <w:pStyle w:val="P68B1DB1-Normal25"/>
              <w:spacing w:after="0" w:line="240" w:lineRule="auto"/>
              <w:jc w:val="center"/>
              <w:rPr>
                <w:rFonts w:eastAsia="Times New Roman" w:cs="Times New Roman"/>
                <w:noProof/>
              </w:rPr>
            </w:pPr>
            <w:r>
              <w:rPr>
                <w:noProof/>
              </w:rPr>
              <w:t>2025</w:t>
            </w:r>
          </w:p>
        </w:tc>
        <w:tc>
          <w:tcPr>
            <w:tcW w:w="4146" w:type="dxa"/>
            <w:tcBorders>
              <w:top w:val="nil"/>
              <w:left w:val="nil"/>
              <w:bottom w:val="single" w:sz="4" w:space="0" w:color="auto"/>
              <w:right w:val="single" w:sz="4" w:space="0" w:color="auto"/>
            </w:tcBorders>
            <w:shd w:val="clear" w:color="auto" w:fill="C6EFCE"/>
            <w:noWrap/>
          </w:tcPr>
          <w:p w14:paraId="1DC3C7C9" w14:textId="0B2A07A5" w:rsidR="00480F1C" w:rsidRDefault="00A201F6">
            <w:pPr>
              <w:spacing w:after="0" w:line="240" w:lineRule="auto"/>
              <w:rPr>
                <w:rFonts w:ascii="Times New Roman" w:eastAsia="Times New Roman" w:hAnsi="Times New Roman" w:cs="Times New Roman"/>
                <w:noProof/>
                <w:sz w:val="18"/>
              </w:rPr>
            </w:pPr>
            <w:r>
              <w:rPr>
                <w:noProof/>
              </w:rPr>
              <w:t>In</w:t>
            </w:r>
            <w:r>
              <w:rPr>
                <w:rFonts w:ascii="Times New Roman" w:hAnsi="Times New Roman"/>
                <w:noProof/>
                <w:sz w:val="18"/>
              </w:rPr>
              <w:t>samenwerking met de sectorale sociale partners, met inbegrip van de sectorcompetentieraad, wordt het sectorale kwalificatiekader voor energie gewijzigd door daarin de kwalificaties voor hernieuwbare energiebronnen</w:t>
            </w:r>
            <w:r>
              <w:rPr>
                <w:noProof/>
              </w:rPr>
              <w:t xml:space="preserve"> op te nemen </w:t>
            </w:r>
            <w:r>
              <w:rPr>
                <w:rFonts w:ascii="Times New Roman" w:hAnsi="Times New Roman"/>
                <w:noProof/>
                <w:sz w:val="18"/>
              </w:rPr>
              <w:t>die betrekking hebben op vaardigheden die bijdragen tot de verwezenlijking van de doelstellingen van de Europese Green Deal en klimaatneutraliteit tegen 2050.</w:t>
            </w:r>
          </w:p>
          <w:p w14:paraId="364B6F6E" w14:textId="77777777" w:rsidR="00480F1C" w:rsidRDefault="00480F1C">
            <w:pPr>
              <w:spacing w:after="0" w:line="240" w:lineRule="auto"/>
              <w:rPr>
                <w:rFonts w:ascii="Times New Roman" w:eastAsia="Times New Roman" w:hAnsi="Times New Roman" w:cs="Times New Roman"/>
                <w:noProof/>
                <w:sz w:val="18"/>
              </w:rPr>
            </w:pPr>
          </w:p>
          <w:p w14:paraId="29503E35" w14:textId="2AA374C2" w:rsidR="00480F1C" w:rsidRDefault="00A201F6">
            <w:pPr>
              <w:pStyle w:val="P68B1DB1-Normal25"/>
              <w:spacing w:after="0" w:line="240" w:lineRule="auto"/>
              <w:rPr>
                <w:rFonts w:eastAsia="Times New Roman" w:cs="Times New Roman"/>
                <w:noProof/>
              </w:rPr>
            </w:pPr>
            <w:r>
              <w:rPr>
                <w:noProof/>
              </w:rPr>
              <w:t xml:space="preserve">Het verslag met het gewijzigde sectorale kwalificatiekader wordt gepubliceerd. </w:t>
            </w:r>
          </w:p>
        </w:tc>
      </w:tr>
      <w:tr w:rsidR="00480F1C" w14:paraId="184690B6"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1B904DCB" w14:textId="101B90DE" w:rsidR="00480F1C" w:rsidRDefault="00A201F6">
            <w:pPr>
              <w:pStyle w:val="P68B1DB1-Normal25"/>
              <w:spacing w:after="0" w:line="240" w:lineRule="auto"/>
              <w:jc w:val="center"/>
              <w:rPr>
                <w:rFonts w:eastAsia="Times New Roman" w:cs="Times New Roman"/>
                <w:noProof/>
              </w:rPr>
            </w:pPr>
            <w:r>
              <w:rPr>
                <w:noProof/>
              </w:rPr>
              <w:t>G10L</w:t>
            </w:r>
          </w:p>
        </w:tc>
        <w:tc>
          <w:tcPr>
            <w:tcW w:w="1474" w:type="dxa"/>
            <w:tcBorders>
              <w:top w:val="nil"/>
              <w:left w:val="nil"/>
              <w:bottom w:val="single" w:sz="4" w:space="0" w:color="auto"/>
              <w:right w:val="single" w:sz="4" w:space="0" w:color="auto"/>
            </w:tcBorders>
            <w:shd w:val="clear" w:color="auto" w:fill="C6EFCE"/>
            <w:noWrap/>
          </w:tcPr>
          <w:p w14:paraId="0A051CDF" w14:textId="4FD4C162" w:rsidR="00480F1C" w:rsidRDefault="00A201F6">
            <w:pPr>
              <w:pStyle w:val="P68B1DB1-Normal25"/>
              <w:spacing w:after="0" w:line="240" w:lineRule="auto"/>
              <w:rPr>
                <w:rFonts w:eastAsia="Times New Roman" w:cs="Times New Roman"/>
                <w:noProof/>
              </w:rPr>
            </w:pPr>
            <w:r>
              <w:rPr>
                <w:noProof/>
              </w:rPr>
              <w:t>G3.1.2 Vaardigheden voor de groene transitie</w:t>
            </w:r>
          </w:p>
        </w:tc>
        <w:tc>
          <w:tcPr>
            <w:tcW w:w="1077" w:type="dxa"/>
            <w:tcBorders>
              <w:top w:val="nil"/>
              <w:left w:val="nil"/>
              <w:bottom w:val="single" w:sz="4" w:space="0" w:color="auto"/>
              <w:right w:val="single" w:sz="4" w:space="0" w:color="auto"/>
            </w:tcBorders>
            <w:shd w:val="clear" w:color="auto" w:fill="C6EFCE"/>
            <w:noWrap/>
          </w:tcPr>
          <w:p w14:paraId="01314C5D" w14:textId="300BB7C0" w:rsidR="00480F1C" w:rsidRDefault="00A201F6">
            <w:pPr>
              <w:pStyle w:val="P68B1DB1-Normal25"/>
              <w:spacing w:after="0" w:line="240" w:lineRule="auto"/>
              <w:rPr>
                <w:rFonts w:eastAsia="Times New Roman" w:cs="Times New Roman"/>
                <w:noProof/>
              </w:rPr>
            </w:pPr>
            <w:r>
              <w:rPr>
                <w:noProof/>
              </w:rPr>
              <w:t>Mijlpaal</w:t>
            </w:r>
          </w:p>
        </w:tc>
        <w:tc>
          <w:tcPr>
            <w:tcW w:w="1874" w:type="dxa"/>
            <w:tcBorders>
              <w:top w:val="nil"/>
              <w:left w:val="nil"/>
              <w:bottom w:val="single" w:sz="4" w:space="0" w:color="auto"/>
              <w:right w:val="single" w:sz="4" w:space="0" w:color="auto"/>
            </w:tcBorders>
            <w:shd w:val="clear" w:color="auto" w:fill="C6EFCE"/>
            <w:noWrap/>
          </w:tcPr>
          <w:p w14:paraId="5B4B4BD9" w14:textId="4C9510D9" w:rsidR="00480F1C" w:rsidRDefault="00A201F6">
            <w:pPr>
              <w:pStyle w:val="P68B1DB1-Normal25"/>
              <w:spacing w:after="0" w:line="240" w:lineRule="auto"/>
              <w:rPr>
                <w:rFonts w:eastAsia="Times New Roman" w:cs="Times New Roman"/>
                <w:noProof/>
              </w:rPr>
            </w:pPr>
            <w:r>
              <w:rPr>
                <w:noProof/>
              </w:rPr>
              <w:t>Sectorale kwalificatiekaders in de meest kritieke sectoren van de groene transformatie die zijn opgenomen in het geïntegreerd kwalificatiesysteem</w:t>
            </w:r>
          </w:p>
        </w:tc>
        <w:tc>
          <w:tcPr>
            <w:tcW w:w="1606" w:type="dxa"/>
            <w:tcBorders>
              <w:top w:val="nil"/>
              <w:left w:val="nil"/>
              <w:bottom w:val="single" w:sz="4" w:space="0" w:color="auto"/>
              <w:right w:val="single" w:sz="4" w:space="0" w:color="auto"/>
            </w:tcBorders>
            <w:shd w:val="clear" w:color="auto" w:fill="C6EFCE"/>
            <w:noWrap/>
          </w:tcPr>
          <w:p w14:paraId="0DB43558" w14:textId="77777777" w:rsidR="00480F1C" w:rsidRDefault="00A201F6">
            <w:pPr>
              <w:pStyle w:val="P68B1DB1-Normal25"/>
              <w:spacing w:after="0" w:line="240" w:lineRule="auto"/>
              <w:rPr>
                <w:rFonts w:eastAsia="Times New Roman" w:cs="Times New Roman"/>
                <w:noProof/>
              </w:rPr>
            </w:pPr>
            <w:r>
              <w:rPr>
                <w:noProof/>
              </w:rPr>
              <w:t xml:space="preserve">Bepaling in de desbetreffende rechtshandeling </w:t>
            </w:r>
          </w:p>
          <w:p w14:paraId="72A9A949" w14:textId="556F22A5" w:rsidR="00480F1C" w:rsidRDefault="00A201F6">
            <w:pPr>
              <w:pStyle w:val="P68B1DB1-Normal25"/>
              <w:spacing w:after="0" w:line="240" w:lineRule="auto"/>
              <w:rPr>
                <w:rFonts w:eastAsia="Times New Roman" w:cs="Times New Roman"/>
                <w:noProof/>
              </w:rPr>
            </w:pPr>
            <w:r>
              <w:rPr>
                <w:noProof/>
              </w:rPr>
              <w:t>met vermelding van de inwerkingtreding</w:t>
            </w:r>
          </w:p>
        </w:tc>
        <w:tc>
          <w:tcPr>
            <w:tcW w:w="1076" w:type="dxa"/>
            <w:tcBorders>
              <w:top w:val="nil"/>
              <w:left w:val="nil"/>
              <w:bottom w:val="single" w:sz="4" w:space="0" w:color="auto"/>
              <w:right w:val="single" w:sz="4" w:space="0" w:color="auto"/>
            </w:tcBorders>
            <w:shd w:val="clear" w:color="auto" w:fill="C6EFCE"/>
            <w:noWrap/>
          </w:tcPr>
          <w:p w14:paraId="71D03892" w14:textId="77777777" w:rsidR="00480F1C" w:rsidRDefault="00480F1C">
            <w:pPr>
              <w:spacing w:after="0" w:line="240" w:lineRule="auto"/>
              <w:rPr>
                <w:rFonts w:ascii="Times New Roman" w:eastAsia="Times New Roman" w:hAnsi="Times New Roman" w:cs="Times New Roman"/>
                <w:noProof/>
                <w:sz w:val="18"/>
              </w:rPr>
            </w:pPr>
          </w:p>
        </w:tc>
        <w:tc>
          <w:tcPr>
            <w:tcW w:w="943" w:type="dxa"/>
            <w:tcBorders>
              <w:top w:val="nil"/>
              <w:left w:val="nil"/>
              <w:bottom w:val="single" w:sz="4" w:space="0" w:color="auto"/>
              <w:right w:val="single" w:sz="4" w:space="0" w:color="auto"/>
            </w:tcBorders>
            <w:shd w:val="clear" w:color="auto" w:fill="C6EFCE"/>
            <w:noWrap/>
          </w:tcPr>
          <w:p w14:paraId="5C173E56" w14:textId="77777777" w:rsidR="00480F1C" w:rsidRDefault="00480F1C">
            <w:pPr>
              <w:spacing w:after="0" w:line="240" w:lineRule="auto"/>
              <w:jc w:val="center"/>
              <w:rPr>
                <w:rFonts w:ascii="Times New Roman" w:eastAsia="Times New Roman" w:hAnsi="Times New Roman" w:cs="Times New Roman"/>
                <w:noProof/>
                <w:sz w:val="18"/>
              </w:rPr>
            </w:pPr>
          </w:p>
        </w:tc>
        <w:tc>
          <w:tcPr>
            <w:tcW w:w="678" w:type="dxa"/>
            <w:tcBorders>
              <w:top w:val="nil"/>
              <w:left w:val="nil"/>
              <w:bottom w:val="single" w:sz="4" w:space="0" w:color="auto"/>
              <w:right w:val="single" w:sz="4" w:space="0" w:color="auto"/>
            </w:tcBorders>
            <w:shd w:val="clear" w:color="auto" w:fill="C6EFCE"/>
            <w:noWrap/>
          </w:tcPr>
          <w:p w14:paraId="02BF487B" w14:textId="77777777" w:rsidR="00480F1C" w:rsidRDefault="00480F1C">
            <w:pPr>
              <w:spacing w:after="0" w:line="240" w:lineRule="auto"/>
              <w:jc w:val="center"/>
              <w:rPr>
                <w:rFonts w:ascii="Times New Roman" w:eastAsia="Times New Roman" w:hAnsi="Times New Roman" w:cs="Times New Roman"/>
                <w:noProof/>
                <w:sz w:val="18"/>
              </w:rPr>
            </w:pPr>
          </w:p>
        </w:tc>
        <w:tc>
          <w:tcPr>
            <w:tcW w:w="878" w:type="dxa"/>
            <w:tcBorders>
              <w:top w:val="nil"/>
              <w:left w:val="nil"/>
              <w:bottom w:val="single" w:sz="4" w:space="0" w:color="auto"/>
              <w:right w:val="single" w:sz="4" w:space="0" w:color="auto"/>
            </w:tcBorders>
            <w:shd w:val="clear" w:color="auto" w:fill="C6EFCE"/>
            <w:noWrap/>
          </w:tcPr>
          <w:p w14:paraId="7F4C44FC" w14:textId="18D8E2BF" w:rsidR="00480F1C" w:rsidRDefault="00A201F6">
            <w:pPr>
              <w:pStyle w:val="P68B1DB1-Normal25"/>
              <w:spacing w:after="0" w:line="240" w:lineRule="auto"/>
              <w:jc w:val="center"/>
              <w:rPr>
                <w:rFonts w:eastAsia="Times New Roman" w:cs="Times New Roman"/>
                <w:noProof/>
              </w:rPr>
            </w:pPr>
            <w:r>
              <w:rPr>
                <w:noProof/>
              </w:rPr>
              <w:t>KWARTAAL 4</w:t>
            </w:r>
          </w:p>
        </w:tc>
        <w:tc>
          <w:tcPr>
            <w:tcW w:w="884" w:type="dxa"/>
            <w:tcBorders>
              <w:top w:val="nil"/>
              <w:left w:val="nil"/>
              <w:bottom w:val="single" w:sz="4" w:space="0" w:color="auto"/>
              <w:right w:val="single" w:sz="4" w:space="0" w:color="auto"/>
            </w:tcBorders>
            <w:shd w:val="clear" w:color="auto" w:fill="C6EFCE"/>
            <w:noWrap/>
          </w:tcPr>
          <w:p w14:paraId="2BFF817E" w14:textId="537F8464" w:rsidR="00480F1C" w:rsidRDefault="00A201F6">
            <w:pPr>
              <w:pStyle w:val="P68B1DB1-Normal25"/>
              <w:spacing w:after="0" w:line="240" w:lineRule="auto"/>
              <w:jc w:val="center"/>
              <w:rPr>
                <w:rFonts w:eastAsia="Times New Roman" w:cs="Times New Roman"/>
                <w:noProof/>
              </w:rPr>
            </w:pPr>
            <w:r>
              <w:rPr>
                <w:noProof/>
              </w:rPr>
              <w:t>2025</w:t>
            </w:r>
          </w:p>
        </w:tc>
        <w:tc>
          <w:tcPr>
            <w:tcW w:w="4146" w:type="dxa"/>
            <w:tcBorders>
              <w:top w:val="nil"/>
              <w:left w:val="nil"/>
              <w:bottom w:val="single" w:sz="4" w:space="0" w:color="auto"/>
              <w:right w:val="single" w:sz="4" w:space="0" w:color="auto"/>
            </w:tcBorders>
            <w:shd w:val="clear" w:color="auto" w:fill="C6EFCE"/>
            <w:noWrap/>
          </w:tcPr>
          <w:p w14:paraId="0417989E" w14:textId="66740334" w:rsidR="00480F1C" w:rsidRDefault="00A201F6">
            <w:pPr>
              <w:pStyle w:val="P68B1DB1-Normal25"/>
              <w:spacing w:after="0" w:line="240" w:lineRule="auto"/>
              <w:rPr>
                <w:rFonts w:eastAsia="Times New Roman" w:cs="Times New Roman"/>
                <w:noProof/>
                <w:highlight w:val="yellow"/>
              </w:rPr>
            </w:pPr>
            <w:r>
              <w:rPr>
                <w:noProof/>
              </w:rPr>
              <w:t>De gewijzigde sectorale kwalificatiekaders voor bouw, waterbeheer, afvalbeheer en energie worden door middel van een verordening in het geïntegreerd kwalificatiesysteem opgenomen.</w:t>
            </w:r>
          </w:p>
        </w:tc>
      </w:tr>
      <w:tr w:rsidR="00480F1C" w14:paraId="60D4F6FF"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4AF09233" w14:textId="3F5D24B5" w:rsidR="00480F1C" w:rsidRDefault="00A201F6">
            <w:pPr>
              <w:pStyle w:val="P68B1DB1-Normal25"/>
              <w:spacing w:after="0" w:line="240" w:lineRule="auto"/>
              <w:jc w:val="center"/>
              <w:rPr>
                <w:rFonts w:eastAsia="Times New Roman" w:cs="Times New Roman"/>
                <w:noProof/>
              </w:rPr>
            </w:pPr>
            <w:r>
              <w:rPr>
                <w:noProof/>
              </w:rPr>
              <w:t>G11L</w:t>
            </w:r>
          </w:p>
        </w:tc>
        <w:tc>
          <w:tcPr>
            <w:tcW w:w="1474" w:type="dxa"/>
            <w:tcBorders>
              <w:top w:val="nil"/>
              <w:left w:val="nil"/>
              <w:bottom w:val="single" w:sz="4" w:space="0" w:color="auto"/>
              <w:right w:val="single" w:sz="4" w:space="0" w:color="auto"/>
            </w:tcBorders>
            <w:shd w:val="clear" w:color="auto" w:fill="C6EFCE"/>
            <w:noWrap/>
          </w:tcPr>
          <w:p w14:paraId="0A258FF0" w14:textId="4B06AAA3" w:rsidR="00480F1C" w:rsidRDefault="00A201F6">
            <w:pPr>
              <w:pStyle w:val="P68B1DB1-Normal25"/>
              <w:spacing w:after="0" w:line="240" w:lineRule="auto"/>
              <w:rPr>
                <w:rFonts w:eastAsia="Times New Roman" w:cs="Times New Roman"/>
                <w:noProof/>
              </w:rPr>
            </w:pPr>
            <w:r>
              <w:rPr>
                <w:noProof/>
              </w:rPr>
              <w:t>G3.1.3 Verbetering van de energie-efficiëntie en versnelling van de uitfasering van fossiele brandstoffen voor verwarming</w:t>
            </w:r>
          </w:p>
        </w:tc>
        <w:tc>
          <w:tcPr>
            <w:tcW w:w="1077" w:type="dxa"/>
            <w:tcBorders>
              <w:top w:val="nil"/>
              <w:left w:val="nil"/>
              <w:bottom w:val="single" w:sz="4" w:space="0" w:color="auto"/>
              <w:right w:val="single" w:sz="4" w:space="0" w:color="auto"/>
            </w:tcBorders>
            <w:shd w:val="clear" w:color="auto" w:fill="C6EFCE"/>
            <w:noWrap/>
          </w:tcPr>
          <w:p w14:paraId="5E0FA2C2" w14:textId="77777777" w:rsidR="00480F1C" w:rsidRDefault="00A201F6">
            <w:pPr>
              <w:pStyle w:val="P68B1DB1-Normal25"/>
              <w:spacing w:after="0" w:line="240" w:lineRule="auto"/>
              <w:rPr>
                <w:rFonts w:eastAsia="Times New Roman" w:cs="Times New Roman"/>
                <w:noProof/>
              </w:rPr>
            </w:pPr>
            <w:r>
              <w:rPr>
                <w:noProof/>
              </w:rPr>
              <w:t>Mijlpaal</w:t>
            </w:r>
          </w:p>
        </w:tc>
        <w:tc>
          <w:tcPr>
            <w:tcW w:w="1874" w:type="dxa"/>
            <w:tcBorders>
              <w:top w:val="nil"/>
              <w:left w:val="nil"/>
              <w:bottom w:val="single" w:sz="4" w:space="0" w:color="auto"/>
              <w:right w:val="single" w:sz="4" w:space="0" w:color="auto"/>
            </w:tcBorders>
            <w:shd w:val="clear" w:color="auto" w:fill="C6EFCE"/>
            <w:noWrap/>
          </w:tcPr>
          <w:p w14:paraId="18E3CBA3" w14:textId="0F4257D2" w:rsidR="00480F1C" w:rsidRDefault="00A201F6">
            <w:pPr>
              <w:pStyle w:val="P68B1DB1-Normal25"/>
              <w:spacing w:after="0" w:line="240" w:lineRule="auto"/>
              <w:rPr>
                <w:rFonts w:eastAsia="Times New Roman" w:cs="Times New Roman"/>
                <w:noProof/>
              </w:rPr>
            </w:pPr>
            <w:r>
              <w:rPr>
                <w:noProof/>
              </w:rPr>
              <w:t>Goedkeuring van een resolutie tot actualisering of invoering van een nieuw prioritair programma voor geïntegreerde diensten voor woningrenovatie</w:t>
            </w:r>
          </w:p>
        </w:tc>
        <w:tc>
          <w:tcPr>
            <w:tcW w:w="1606" w:type="dxa"/>
            <w:tcBorders>
              <w:top w:val="nil"/>
              <w:left w:val="nil"/>
              <w:bottom w:val="single" w:sz="4" w:space="0" w:color="auto"/>
              <w:right w:val="single" w:sz="4" w:space="0" w:color="auto"/>
            </w:tcBorders>
            <w:shd w:val="clear" w:color="auto" w:fill="C6EFCE"/>
            <w:noWrap/>
          </w:tcPr>
          <w:p w14:paraId="2B0B6DB6" w14:textId="15C1ADDC" w:rsidR="00480F1C" w:rsidRDefault="00A201F6">
            <w:pPr>
              <w:pStyle w:val="P68B1DB1-Normal25"/>
              <w:spacing w:after="0" w:line="240" w:lineRule="auto"/>
              <w:rPr>
                <w:rFonts w:eastAsia="Times New Roman" w:cs="Times New Roman"/>
                <w:noProof/>
              </w:rPr>
            </w:pPr>
            <w:r>
              <w:rPr>
                <w:noProof/>
              </w:rPr>
              <w:t>Resolutie aangenomen en van toepassing</w:t>
            </w:r>
          </w:p>
        </w:tc>
        <w:tc>
          <w:tcPr>
            <w:tcW w:w="1076" w:type="dxa"/>
            <w:tcBorders>
              <w:top w:val="nil"/>
              <w:left w:val="nil"/>
              <w:bottom w:val="single" w:sz="4" w:space="0" w:color="auto"/>
              <w:right w:val="single" w:sz="4" w:space="0" w:color="auto"/>
            </w:tcBorders>
            <w:shd w:val="clear" w:color="auto" w:fill="C6EFCE"/>
            <w:noWrap/>
          </w:tcPr>
          <w:p w14:paraId="707CA193" w14:textId="77777777" w:rsidR="00480F1C" w:rsidRDefault="00480F1C">
            <w:pPr>
              <w:spacing w:after="0" w:line="240" w:lineRule="auto"/>
              <w:rPr>
                <w:rFonts w:ascii="Times New Roman" w:eastAsia="Times New Roman" w:hAnsi="Times New Roman" w:cs="Times New Roman"/>
                <w:noProof/>
                <w:sz w:val="18"/>
              </w:rPr>
            </w:pPr>
          </w:p>
        </w:tc>
        <w:tc>
          <w:tcPr>
            <w:tcW w:w="943" w:type="dxa"/>
            <w:tcBorders>
              <w:top w:val="nil"/>
              <w:left w:val="nil"/>
              <w:bottom w:val="single" w:sz="4" w:space="0" w:color="auto"/>
              <w:right w:val="single" w:sz="4" w:space="0" w:color="auto"/>
            </w:tcBorders>
            <w:shd w:val="clear" w:color="auto" w:fill="C6EFCE"/>
            <w:noWrap/>
          </w:tcPr>
          <w:p w14:paraId="784F8906" w14:textId="77777777" w:rsidR="00480F1C" w:rsidRDefault="00480F1C">
            <w:pPr>
              <w:spacing w:after="0" w:line="240" w:lineRule="auto"/>
              <w:jc w:val="center"/>
              <w:rPr>
                <w:rFonts w:ascii="Times New Roman" w:eastAsia="Times New Roman" w:hAnsi="Times New Roman" w:cs="Times New Roman"/>
                <w:noProof/>
                <w:sz w:val="18"/>
              </w:rPr>
            </w:pPr>
          </w:p>
        </w:tc>
        <w:tc>
          <w:tcPr>
            <w:tcW w:w="678" w:type="dxa"/>
            <w:tcBorders>
              <w:top w:val="nil"/>
              <w:left w:val="nil"/>
              <w:bottom w:val="single" w:sz="4" w:space="0" w:color="auto"/>
              <w:right w:val="single" w:sz="4" w:space="0" w:color="auto"/>
            </w:tcBorders>
            <w:shd w:val="clear" w:color="auto" w:fill="C6EFCE"/>
            <w:noWrap/>
          </w:tcPr>
          <w:p w14:paraId="1E489881" w14:textId="77777777" w:rsidR="00480F1C" w:rsidRDefault="00480F1C">
            <w:pPr>
              <w:spacing w:after="0" w:line="240" w:lineRule="auto"/>
              <w:jc w:val="center"/>
              <w:rPr>
                <w:rFonts w:ascii="Times New Roman" w:eastAsia="Times New Roman" w:hAnsi="Times New Roman" w:cs="Times New Roman"/>
                <w:noProof/>
                <w:sz w:val="18"/>
              </w:rPr>
            </w:pPr>
          </w:p>
        </w:tc>
        <w:tc>
          <w:tcPr>
            <w:tcW w:w="878" w:type="dxa"/>
            <w:tcBorders>
              <w:top w:val="nil"/>
              <w:left w:val="nil"/>
              <w:bottom w:val="single" w:sz="4" w:space="0" w:color="auto"/>
              <w:right w:val="single" w:sz="4" w:space="0" w:color="auto"/>
            </w:tcBorders>
            <w:shd w:val="clear" w:color="auto" w:fill="C6EFCE"/>
            <w:noWrap/>
          </w:tcPr>
          <w:p w14:paraId="620F40F0" w14:textId="77777777" w:rsidR="00480F1C" w:rsidRDefault="00A201F6">
            <w:pPr>
              <w:pStyle w:val="P68B1DB1-Normal25"/>
              <w:spacing w:after="0" w:line="240" w:lineRule="auto"/>
              <w:jc w:val="center"/>
              <w:rPr>
                <w:rFonts w:eastAsia="Times New Roman" w:cs="Times New Roman"/>
                <w:noProof/>
              </w:rPr>
            </w:pPr>
            <w:r>
              <w:rPr>
                <w:noProof/>
              </w:rPr>
              <w:t>KWARTAAL 4</w:t>
            </w:r>
          </w:p>
        </w:tc>
        <w:tc>
          <w:tcPr>
            <w:tcW w:w="884" w:type="dxa"/>
            <w:tcBorders>
              <w:top w:val="nil"/>
              <w:left w:val="nil"/>
              <w:bottom w:val="single" w:sz="4" w:space="0" w:color="auto"/>
              <w:right w:val="single" w:sz="4" w:space="0" w:color="auto"/>
            </w:tcBorders>
            <w:shd w:val="clear" w:color="auto" w:fill="C6EFCE"/>
            <w:noWrap/>
          </w:tcPr>
          <w:p w14:paraId="7E3B1A3D" w14:textId="77777777" w:rsidR="00480F1C" w:rsidRDefault="00A201F6">
            <w:pPr>
              <w:pStyle w:val="P68B1DB1-Normal25"/>
              <w:spacing w:after="0" w:line="240" w:lineRule="auto"/>
              <w:jc w:val="center"/>
              <w:rPr>
                <w:rFonts w:eastAsia="Times New Roman" w:cs="Times New Roman"/>
                <w:noProof/>
              </w:rPr>
            </w:pPr>
            <w:r>
              <w:rPr>
                <w:noProof/>
              </w:rPr>
              <w:t>2024</w:t>
            </w:r>
          </w:p>
        </w:tc>
        <w:tc>
          <w:tcPr>
            <w:tcW w:w="4146" w:type="dxa"/>
            <w:tcBorders>
              <w:top w:val="nil"/>
              <w:left w:val="nil"/>
              <w:bottom w:val="single" w:sz="4" w:space="0" w:color="auto"/>
              <w:right w:val="single" w:sz="4" w:space="0" w:color="auto"/>
            </w:tcBorders>
            <w:shd w:val="clear" w:color="auto" w:fill="C6EFCE"/>
            <w:noWrap/>
          </w:tcPr>
          <w:p w14:paraId="3C6A9B4F" w14:textId="5BBA2824" w:rsidR="00480F1C" w:rsidRDefault="00A201F6">
            <w:pPr>
              <w:pStyle w:val="P68B1DB1-Normal25"/>
              <w:spacing w:after="0" w:line="240" w:lineRule="auto"/>
              <w:rPr>
                <w:rFonts w:eastAsia="Times New Roman" w:cs="Times New Roman"/>
                <w:noProof/>
              </w:rPr>
            </w:pPr>
            <w:r>
              <w:rPr>
                <w:noProof/>
              </w:rPr>
              <w:t>De raad van bestuur van het Nationaal Fonds voor milieubescherming en waterbeheer neemt een resolutie aan tot actualisering van een bestaand prioritair programma of tot invoering van een nieuw prioritair programma van het Nationaal Fonds voor milieubescherming en waterbeheer ter ondersteuning van geïntegreerde diensten voor woningrenovatie. Het programma biedt financiële steun aan aanbieders van geïntegreerde diensten voor woningrenovatie met als doel de energiearmoede terug te dringen door eigenaren van onroerend goed die met energiearmoede worden bedreigd, te helpen bij het uitvoeren van woningrenovaties.</w:t>
            </w:r>
          </w:p>
        </w:tc>
      </w:tr>
      <w:tr w:rsidR="00480F1C" w14:paraId="2856CF32"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6514718C" w14:textId="73560A71" w:rsidR="00480F1C" w:rsidRDefault="00A201F6">
            <w:pPr>
              <w:pStyle w:val="P68B1DB1-Normal25"/>
              <w:spacing w:after="0" w:line="240" w:lineRule="auto"/>
              <w:jc w:val="center"/>
              <w:rPr>
                <w:rFonts w:eastAsia="Times New Roman" w:cs="Times New Roman"/>
                <w:noProof/>
              </w:rPr>
            </w:pPr>
            <w:r>
              <w:rPr>
                <w:noProof/>
              </w:rPr>
              <w:t>G12L</w:t>
            </w:r>
          </w:p>
        </w:tc>
        <w:tc>
          <w:tcPr>
            <w:tcW w:w="1474" w:type="dxa"/>
            <w:tcBorders>
              <w:top w:val="nil"/>
              <w:left w:val="nil"/>
              <w:bottom w:val="single" w:sz="4" w:space="0" w:color="auto"/>
              <w:right w:val="single" w:sz="4" w:space="0" w:color="auto"/>
            </w:tcBorders>
            <w:shd w:val="clear" w:color="auto" w:fill="C6EFCE"/>
            <w:noWrap/>
          </w:tcPr>
          <w:p w14:paraId="5C54EAB0" w14:textId="0FA2CAE4" w:rsidR="00480F1C" w:rsidRDefault="00A201F6">
            <w:pPr>
              <w:pStyle w:val="P68B1DB1-Normal25"/>
              <w:spacing w:after="0" w:line="240" w:lineRule="auto"/>
              <w:rPr>
                <w:rFonts w:eastAsia="Times New Roman" w:cs="Times New Roman"/>
                <w:noProof/>
              </w:rPr>
            </w:pPr>
            <w:r>
              <w:rPr>
                <w:noProof/>
              </w:rPr>
              <w:t>G3.1.4 Steun voor het nationale energiesysteem (Energiesteunfonds)</w:t>
            </w:r>
          </w:p>
        </w:tc>
        <w:tc>
          <w:tcPr>
            <w:tcW w:w="1077" w:type="dxa"/>
            <w:tcBorders>
              <w:top w:val="nil"/>
              <w:left w:val="nil"/>
              <w:bottom w:val="single" w:sz="4" w:space="0" w:color="auto"/>
              <w:right w:val="single" w:sz="4" w:space="0" w:color="auto"/>
            </w:tcBorders>
            <w:shd w:val="clear" w:color="auto" w:fill="C6EFCE"/>
            <w:noWrap/>
          </w:tcPr>
          <w:p w14:paraId="40BC522E" w14:textId="77777777" w:rsidR="00480F1C" w:rsidRDefault="00A201F6">
            <w:pPr>
              <w:pStyle w:val="P68B1DB1-Normal25"/>
              <w:spacing w:after="0" w:line="240" w:lineRule="auto"/>
              <w:rPr>
                <w:rFonts w:eastAsia="Times New Roman" w:cs="Times New Roman"/>
                <w:noProof/>
              </w:rPr>
            </w:pPr>
            <w:r>
              <w:rPr>
                <w:noProof/>
              </w:rPr>
              <w:t>Mijlpaal</w:t>
            </w:r>
          </w:p>
        </w:tc>
        <w:tc>
          <w:tcPr>
            <w:tcW w:w="1874" w:type="dxa"/>
            <w:tcBorders>
              <w:top w:val="nil"/>
              <w:left w:val="nil"/>
              <w:bottom w:val="single" w:sz="4" w:space="0" w:color="auto"/>
              <w:right w:val="single" w:sz="4" w:space="0" w:color="auto"/>
            </w:tcBorders>
            <w:shd w:val="clear" w:color="auto" w:fill="C6EFCE"/>
            <w:noWrap/>
          </w:tcPr>
          <w:p w14:paraId="13A98C4D" w14:textId="77777777" w:rsidR="00480F1C" w:rsidRDefault="00A201F6">
            <w:pPr>
              <w:pStyle w:val="P68B1DB1-Normal25"/>
              <w:spacing w:after="0" w:line="240" w:lineRule="auto"/>
              <w:rPr>
                <w:rFonts w:eastAsia="Times New Roman" w:cs="Times New Roman"/>
                <w:noProof/>
              </w:rPr>
            </w:pPr>
            <w:r>
              <w:rPr>
                <w:noProof/>
              </w:rPr>
              <w:t>Uitwerkingsovereenkomst</w:t>
            </w:r>
          </w:p>
        </w:tc>
        <w:tc>
          <w:tcPr>
            <w:tcW w:w="1606" w:type="dxa"/>
            <w:tcBorders>
              <w:top w:val="nil"/>
              <w:left w:val="nil"/>
              <w:bottom w:val="single" w:sz="4" w:space="0" w:color="auto"/>
              <w:right w:val="single" w:sz="4" w:space="0" w:color="auto"/>
            </w:tcBorders>
            <w:shd w:val="clear" w:color="auto" w:fill="C6EFCE"/>
            <w:noWrap/>
          </w:tcPr>
          <w:p w14:paraId="6A78146D" w14:textId="77777777" w:rsidR="00480F1C" w:rsidRDefault="00A201F6">
            <w:pPr>
              <w:pStyle w:val="P68B1DB1-Normal25"/>
              <w:spacing w:after="0" w:line="240" w:lineRule="auto"/>
              <w:rPr>
                <w:rFonts w:eastAsia="Times New Roman" w:cs="Times New Roman"/>
                <w:noProof/>
              </w:rPr>
            </w:pPr>
            <w:r>
              <w:rPr>
                <w:noProof/>
              </w:rPr>
              <w:t>Inwerkingtreding van de uitvoeringsovereenkomst</w:t>
            </w:r>
          </w:p>
        </w:tc>
        <w:tc>
          <w:tcPr>
            <w:tcW w:w="1076" w:type="dxa"/>
            <w:tcBorders>
              <w:top w:val="nil"/>
              <w:left w:val="nil"/>
              <w:bottom w:val="single" w:sz="4" w:space="0" w:color="auto"/>
              <w:right w:val="single" w:sz="4" w:space="0" w:color="auto"/>
            </w:tcBorders>
            <w:shd w:val="clear" w:color="auto" w:fill="C6EFCE"/>
            <w:noWrap/>
          </w:tcPr>
          <w:p w14:paraId="1BB48B1E" w14:textId="77777777" w:rsidR="00480F1C" w:rsidRDefault="00480F1C">
            <w:pPr>
              <w:spacing w:after="0" w:line="240" w:lineRule="auto"/>
              <w:rPr>
                <w:rFonts w:ascii="Times New Roman" w:eastAsia="Times New Roman" w:hAnsi="Times New Roman" w:cs="Times New Roman"/>
                <w:noProof/>
                <w:sz w:val="18"/>
              </w:rPr>
            </w:pPr>
          </w:p>
        </w:tc>
        <w:tc>
          <w:tcPr>
            <w:tcW w:w="943" w:type="dxa"/>
            <w:tcBorders>
              <w:top w:val="nil"/>
              <w:left w:val="nil"/>
              <w:bottom w:val="single" w:sz="4" w:space="0" w:color="auto"/>
              <w:right w:val="single" w:sz="4" w:space="0" w:color="auto"/>
            </w:tcBorders>
            <w:shd w:val="clear" w:color="auto" w:fill="C6EFCE"/>
            <w:noWrap/>
          </w:tcPr>
          <w:p w14:paraId="7849B87D" w14:textId="77777777" w:rsidR="00480F1C" w:rsidRDefault="00480F1C">
            <w:pPr>
              <w:spacing w:after="0" w:line="240" w:lineRule="auto"/>
              <w:jc w:val="center"/>
              <w:rPr>
                <w:rFonts w:ascii="Times New Roman" w:eastAsia="Times New Roman" w:hAnsi="Times New Roman" w:cs="Times New Roman"/>
                <w:noProof/>
                <w:sz w:val="18"/>
              </w:rPr>
            </w:pPr>
          </w:p>
        </w:tc>
        <w:tc>
          <w:tcPr>
            <w:tcW w:w="678" w:type="dxa"/>
            <w:tcBorders>
              <w:top w:val="nil"/>
              <w:left w:val="nil"/>
              <w:bottom w:val="single" w:sz="4" w:space="0" w:color="auto"/>
              <w:right w:val="single" w:sz="4" w:space="0" w:color="auto"/>
            </w:tcBorders>
            <w:shd w:val="clear" w:color="auto" w:fill="C6EFCE"/>
            <w:noWrap/>
          </w:tcPr>
          <w:p w14:paraId="3F379543" w14:textId="77777777" w:rsidR="00480F1C" w:rsidRDefault="00480F1C">
            <w:pPr>
              <w:spacing w:after="0" w:line="240" w:lineRule="auto"/>
              <w:jc w:val="center"/>
              <w:rPr>
                <w:rFonts w:ascii="Times New Roman" w:eastAsia="Times New Roman" w:hAnsi="Times New Roman" w:cs="Times New Roman"/>
                <w:noProof/>
                <w:sz w:val="18"/>
              </w:rPr>
            </w:pPr>
          </w:p>
        </w:tc>
        <w:tc>
          <w:tcPr>
            <w:tcW w:w="878" w:type="dxa"/>
            <w:tcBorders>
              <w:top w:val="nil"/>
              <w:left w:val="nil"/>
              <w:bottom w:val="single" w:sz="4" w:space="0" w:color="auto"/>
              <w:right w:val="single" w:sz="4" w:space="0" w:color="auto"/>
            </w:tcBorders>
            <w:shd w:val="clear" w:color="auto" w:fill="C6EFCE"/>
            <w:noWrap/>
          </w:tcPr>
          <w:p w14:paraId="5265FCF0" w14:textId="77777777" w:rsidR="00480F1C" w:rsidRDefault="00A201F6">
            <w:pPr>
              <w:pStyle w:val="P68B1DB1-Normal25"/>
              <w:spacing w:after="0" w:line="240" w:lineRule="auto"/>
              <w:jc w:val="center"/>
              <w:rPr>
                <w:rFonts w:eastAsia="Times New Roman" w:cs="Times New Roman"/>
                <w:noProof/>
              </w:rPr>
            </w:pPr>
            <w:r>
              <w:rPr>
                <w:noProof/>
              </w:rPr>
              <w:t>KWARTAAL 2</w:t>
            </w:r>
          </w:p>
        </w:tc>
        <w:tc>
          <w:tcPr>
            <w:tcW w:w="884" w:type="dxa"/>
            <w:tcBorders>
              <w:top w:val="nil"/>
              <w:left w:val="nil"/>
              <w:bottom w:val="single" w:sz="4" w:space="0" w:color="auto"/>
              <w:right w:val="single" w:sz="4" w:space="0" w:color="auto"/>
            </w:tcBorders>
            <w:shd w:val="clear" w:color="auto" w:fill="C6EFCE"/>
            <w:noWrap/>
          </w:tcPr>
          <w:p w14:paraId="2DA5559C" w14:textId="77777777" w:rsidR="00480F1C" w:rsidRDefault="00A201F6">
            <w:pPr>
              <w:pStyle w:val="P68B1DB1-Normal25"/>
              <w:spacing w:after="0" w:line="240" w:lineRule="auto"/>
              <w:jc w:val="center"/>
              <w:rPr>
                <w:rFonts w:eastAsia="Times New Roman" w:cs="Times New Roman"/>
                <w:noProof/>
              </w:rPr>
            </w:pPr>
            <w:r>
              <w:rPr>
                <w:noProof/>
              </w:rPr>
              <w:t>2024</w:t>
            </w:r>
          </w:p>
        </w:tc>
        <w:tc>
          <w:tcPr>
            <w:tcW w:w="4146" w:type="dxa"/>
            <w:tcBorders>
              <w:top w:val="nil"/>
              <w:left w:val="nil"/>
              <w:bottom w:val="single" w:sz="4" w:space="0" w:color="auto"/>
              <w:right w:val="single" w:sz="4" w:space="0" w:color="auto"/>
            </w:tcBorders>
            <w:shd w:val="clear" w:color="auto" w:fill="C6EFCE"/>
            <w:noWrap/>
          </w:tcPr>
          <w:p w14:paraId="3AD21405" w14:textId="77777777" w:rsidR="00480F1C" w:rsidRDefault="00A201F6">
            <w:pPr>
              <w:pStyle w:val="P68B1DB1-Normal25"/>
              <w:spacing w:after="0" w:line="240" w:lineRule="auto"/>
              <w:rPr>
                <w:rFonts w:eastAsia="Times New Roman" w:cs="Times New Roman"/>
                <w:noProof/>
              </w:rPr>
            </w:pPr>
            <w:r>
              <w:rPr>
                <w:noProof/>
              </w:rPr>
              <w:t>Inwerkingtreding van de uitvoeringsovereenkomst.</w:t>
            </w:r>
          </w:p>
        </w:tc>
      </w:tr>
      <w:tr w:rsidR="00480F1C" w14:paraId="6FA56F14"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255780AA" w14:textId="46DB9752" w:rsidR="00480F1C" w:rsidRDefault="00A201F6">
            <w:pPr>
              <w:pStyle w:val="P68B1DB1-Normal25"/>
              <w:spacing w:after="0" w:line="240" w:lineRule="auto"/>
              <w:jc w:val="center"/>
              <w:rPr>
                <w:rFonts w:eastAsia="Times New Roman" w:cs="Times New Roman"/>
                <w:noProof/>
              </w:rPr>
            </w:pPr>
            <w:r>
              <w:rPr>
                <w:noProof/>
              </w:rPr>
              <w:t>G13L</w:t>
            </w:r>
          </w:p>
        </w:tc>
        <w:tc>
          <w:tcPr>
            <w:tcW w:w="1474" w:type="dxa"/>
            <w:tcBorders>
              <w:top w:val="nil"/>
              <w:left w:val="nil"/>
              <w:bottom w:val="single" w:sz="4" w:space="0" w:color="auto"/>
              <w:right w:val="single" w:sz="4" w:space="0" w:color="auto"/>
            </w:tcBorders>
            <w:shd w:val="clear" w:color="auto" w:fill="C6EFCE"/>
            <w:noWrap/>
          </w:tcPr>
          <w:p w14:paraId="28EFC8E2" w14:textId="734E5030" w:rsidR="00480F1C" w:rsidRDefault="00A201F6">
            <w:pPr>
              <w:pStyle w:val="P68B1DB1-Normal25"/>
              <w:spacing w:after="0" w:line="240" w:lineRule="auto"/>
              <w:rPr>
                <w:rFonts w:eastAsia="Times New Roman" w:cs="Times New Roman"/>
                <w:noProof/>
              </w:rPr>
            </w:pPr>
            <w:r>
              <w:rPr>
                <w:noProof/>
              </w:rPr>
              <w:t>G3.1.4 Steun voor het nationale energiesysteem (Energiesteunfonds)</w:t>
            </w:r>
          </w:p>
        </w:tc>
        <w:tc>
          <w:tcPr>
            <w:tcW w:w="1077" w:type="dxa"/>
            <w:tcBorders>
              <w:top w:val="nil"/>
              <w:left w:val="nil"/>
              <w:bottom w:val="single" w:sz="4" w:space="0" w:color="auto"/>
              <w:right w:val="single" w:sz="4" w:space="0" w:color="auto"/>
            </w:tcBorders>
            <w:shd w:val="clear" w:color="auto" w:fill="C6EFCE"/>
            <w:noWrap/>
          </w:tcPr>
          <w:p w14:paraId="11FA58C0" w14:textId="77777777" w:rsidR="00480F1C" w:rsidRDefault="00A201F6">
            <w:pPr>
              <w:pStyle w:val="P68B1DB1-Normal25"/>
              <w:spacing w:after="0" w:line="240" w:lineRule="auto"/>
              <w:rPr>
                <w:rFonts w:eastAsia="Times New Roman" w:cs="Times New Roman"/>
                <w:noProof/>
              </w:rPr>
            </w:pPr>
            <w:r>
              <w:rPr>
                <w:noProof/>
              </w:rPr>
              <w:t>Doel</w:t>
            </w:r>
          </w:p>
        </w:tc>
        <w:tc>
          <w:tcPr>
            <w:tcW w:w="1874" w:type="dxa"/>
            <w:tcBorders>
              <w:top w:val="nil"/>
              <w:left w:val="nil"/>
              <w:bottom w:val="single" w:sz="4" w:space="0" w:color="auto"/>
              <w:right w:val="single" w:sz="4" w:space="0" w:color="auto"/>
            </w:tcBorders>
            <w:shd w:val="clear" w:color="auto" w:fill="C6EFCE"/>
            <w:noWrap/>
          </w:tcPr>
          <w:p w14:paraId="4C2B7EA3" w14:textId="77777777" w:rsidR="00480F1C" w:rsidRDefault="00A201F6">
            <w:pPr>
              <w:pStyle w:val="P68B1DB1-Normal25"/>
              <w:spacing w:after="0" w:line="240" w:lineRule="auto"/>
              <w:rPr>
                <w:rFonts w:eastAsia="Times New Roman" w:cs="Times New Roman"/>
                <w:noProof/>
              </w:rPr>
            </w:pPr>
            <w:r>
              <w:rPr>
                <w:noProof/>
              </w:rPr>
              <w:t>Juridische overeenkomsten met eindbegunstigden</w:t>
            </w:r>
          </w:p>
        </w:tc>
        <w:tc>
          <w:tcPr>
            <w:tcW w:w="1606" w:type="dxa"/>
            <w:tcBorders>
              <w:top w:val="nil"/>
              <w:left w:val="nil"/>
              <w:bottom w:val="single" w:sz="4" w:space="0" w:color="auto"/>
              <w:right w:val="single" w:sz="4" w:space="0" w:color="auto"/>
            </w:tcBorders>
            <w:shd w:val="clear" w:color="auto" w:fill="C6EFCE"/>
            <w:noWrap/>
          </w:tcPr>
          <w:p w14:paraId="3BA61898" w14:textId="77777777" w:rsidR="00480F1C" w:rsidRDefault="00480F1C">
            <w:pPr>
              <w:spacing w:after="0" w:line="240" w:lineRule="auto"/>
              <w:rPr>
                <w:rFonts w:ascii="Times New Roman" w:eastAsia="Times New Roman" w:hAnsi="Times New Roman" w:cs="Times New Roman"/>
                <w:noProof/>
                <w:sz w:val="18"/>
              </w:rPr>
            </w:pPr>
          </w:p>
        </w:tc>
        <w:tc>
          <w:tcPr>
            <w:tcW w:w="1076" w:type="dxa"/>
            <w:tcBorders>
              <w:top w:val="nil"/>
              <w:left w:val="nil"/>
              <w:bottom w:val="single" w:sz="4" w:space="0" w:color="auto"/>
              <w:right w:val="single" w:sz="4" w:space="0" w:color="auto"/>
            </w:tcBorders>
            <w:shd w:val="clear" w:color="auto" w:fill="C6EFCE"/>
            <w:noWrap/>
          </w:tcPr>
          <w:p w14:paraId="6E0A4FD7" w14:textId="77777777" w:rsidR="00480F1C" w:rsidRDefault="00A201F6">
            <w:pPr>
              <w:pStyle w:val="P68B1DB1-Normal25"/>
              <w:spacing w:after="0" w:line="240" w:lineRule="auto"/>
              <w:rPr>
                <w:rFonts w:eastAsia="Times New Roman" w:cs="Times New Roman"/>
                <w:noProof/>
              </w:rPr>
            </w:pPr>
            <w:r>
              <w:rPr>
                <w:noProof/>
              </w:rPr>
              <w:t>Percentage (%)</w:t>
            </w:r>
          </w:p>
        </w:tc>
        <w:tc>
          <w:tcPr>
            <w:tcW w:w="943" w:type="dxa"/>
            <w:tcBorders>
              <w:top w:val="nil"/>
              <w:left w:val="nil"/>
              <w:bottom w:val="single" w:sz="4" w:space="0" w:color="auto"/>
              <w:right w:val="single" w:sz="4" w:space="0" w:color="auto"/>
            </w:tcBorders>
            <w:shd w:val="clear" w:color="auto" w:fill="C6EFCE"/>
            <w:noWrap/>
          </w:tcPr>
          <w:p w14:paraId="1CA5D608" w14:textId="77777777" w:rsidR="00480F1C" w:rsidRDefault="00A201F6">
            <w:pPr>
              <w:pStyle w:val="P68B1DB1-Normal25"/>
              <w:spacing w:after="0" w:line="240" w:lineRule="auto"/>
              <w:jc w:val="center"/>
              <w:rPr>
                <w:rFonts w:eastAsia="Times New Roman" w:cs="Times New Roman"/>
                <w:noProof/>
              </w:rPr>
            </w:pPr>
            <w:r>
              <w:rPr>
                <w:noProof/>
              </w:rPr>
              <w:t>0</w:t>
            </w:r>
          </w:p>
        </w:tc>
        <w:tc>
          <w:tcPr>
            <w:tcW w:w="678" w:type="dxa"/>
            <w:tcBorders>
              <w:top w:val="nil"/>
              <w:left w:val="nil"/>
              <w:bottom w:val="single" w:sz="4" w:space="0" w:color="auto"/>
              <w:right w:val="single" w:sz="4" w:space="0" w:color="auto"/>
            </w:tcBorders>
            <w:shd w:val="clear" w:color="auto" w:fill="C6EFCE"/>
            <w:noWrap/>
          </w:tcPr>
          <w:p w14:paraId="2110AC2D" w14:textId="6843E07D" w:rsidR="00480F1C" w:rsidRDefault="00A201F6">
            <w:pPr>
              <w:pStyle w:val="P68B1DB1-Normal25"/>
              <w:spacing w:after="0" w:line="240" w:lineRule="auto"/>
              <w:jc w:val="center"/>
              <w:rPr>
                <w:rFonts w:eastAsia="Times New Roman" w:cs="Times New Roman"/>
                <w:noProof/>
              </w:rPr>
            </w:pPr>
            <w:r>
              <w:rPr>
                <w:noProof/>
              </w:rPr>
              <w:t>30 %</w:t>
            </w:r>
          </w:p>
        </w:tc>
        <w:tc>
          <w:tcPr>
            <w:tcW w:w="878" w:type="dxa"/>
            <w:tcBorders>
              <w:top w:val="nil"/>
              <w:left w:val="nil"/>
              <w:bottom w:val="single" w:sz="4" w:space="0" w:color="auto"/>
              <w:right w:val="single" w:sz="4" w:space="0" w:color="auto"/>
            </w:tcBorders>
            <w:shd w:val="clear" w:color="auto" w:fill="C6EFCE"/>
            <w:noWrap/>
          </w:tcPr>
          <w:p w14:paraId="17AA07D4" w14:textId="0DAF5607" w:rsidR="00480F1C" w:rsidRDefault="00A201F6">
            <w:pPr>
              <w:pStyle w:val="P68B1DB1-Normal25"/>
              <w:spacing w:after="0" w:line="240" w:lineRule="auto"/>
              <w:jc w:val="center"/>
              <w:rPr>
                <w:rFonts w:eastAsia="Times New Roman" w:cs="Times New Roman"/>
                <w:noProof/>
              </w:rPr>
            </w:pPr>
            <w:r>
              <w:rPr>
                <w:noProof/>
              </w:rPr>
              <w:t>KWARTAAL 3</w:t>
            </w:r>
          </w:p>
        </w:tc>
        <w:tc>
          <w:tcPr>
            <w:tcW w:w="884" w:type="dxa"/>
            <w:tcBorders>
              <w:top w:val="nil"/>
              <w:left w:val="nil"/>
              <w:bottom w:val="single" w:sz="4" w:space="0" w:color="auto"/>
              <w:right w:val="single" w:sz="4" w:space="0" w:color="auto"/>
            </w:tcBorders>
            <w:shd w:val="clear" w:color="auto" w:fill="C6EFCE"/>
            <w:noWrap/>
          </w:tcPr>
          <w:p w14:paraId="70FAFC72" w14:textId="77777777" w:rsidR="00480F1C" w:rsidRDefault="00A201F6">
            <w:pPr>
              <w:pStyle w:val="P68B1DB1-Normal25"/>
              <w:spacing w:after="0" w:line="240" w:lineRule="auto"/>
              <w:jc w:val="center"/>
              <w:rPr>
                <w:rFonts w:eastAsia="Times New Roman" w:cs="Times New Roman"/>
                <w:noProof/>
              </w:rPr>
            </w:pPr>
            <w:r>
              <w:rPr>
                <w:noProof/>
              </w:rPr>
              <w:t>2025</w:t>
            </w:r>
          </w:p>
        </w:tc>
        <w:tc>
          <w:tcPr>
            <w:tcW w:w="4146" w:type="dxa"/>
            <w:tcBorders>
              <w:top w:val="nil"/>
              <w:left w:val="nil"/>
              <w:bottom w:val="single" w:sz="4" w:space="0" w:color="auto"/>
              <w:right w:val="single" w:sz="4" w:space="0" w:color="auto"/>
            </w:tcBorders>
            <w:shd w:val="clear" w:color="auto" w:fill="C6EFCE"/>
            <w:noWrap/>
          </w:tcPr>
          <w:p w14:paraId="67B3969A" w14:textId="40826D66" w:rsidR="00480F1C" w:rsidRDefault="00A201F6">
            <w:pPr>
              <w:pStyle w:val="P68B1DB1-Normal25"/>
              <w:spacing w:after="0" w:line="240" w:lineRule="auto"/>
              <w:rPr>
                <w:rFonts w:eastAsia="Times New Roman" w:cs="Times New Roman"/>
                <w:noProof/>
              </w:rPr>
            </w:pPr>
            <w:r>
              <w:rPr>
                <w:noProof/>
              </w:rPr>
              <w:t>BGK moet juridische financieringsovereenkomsten met eindbegunstigden hebben gesloten voor een bedrag dat nodig is om ten minste 30 % van de RRF-investering in de faciliteit te gebruiken (rekening houdend met beheerskosten). BGK stelt aan de hand van de methode in bijlage VI bij de RRF-verordening een verslag op met een gedetailleerde beschrijving van het percentage van deze financiering dat bijdraagt aan de klimaatdoelstellingen.</w:t>
            </w:r>
          </w:p>
        </w:tc>
      </w:tr>
      <w:tr w:rsidR="00480F1C" w14:paraId="0A36C25C"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38A34A00" w14:textId="714911CF" w:rsidR="00480F1C" w:rsidRDefault="00A201F6">
            <w:pPr>
              <w:pStyle w:val="P68B1DB1-Normal25"/>
              <w:spacing w:after="0" w:line="240" w:lineRule="auto"/>
              <w:jc w:val="center"/>
              <w:rPr>
                <w:rFonts w:eastAsia="Times New Roman" w:cs="Times New Roman"/>
                <w:noProof/>
              </w:rPr>
            </w:pPr>
            <w:r>
              <w:rPr>
                <w:noProof/>
              </w:rPr>
              <w:t>G14L</w:t>
            </w:r>
          </w:p>
        </w:tc>
        <w:tc>
          <w:tcPr>
            <w:tcW w:w="1474" w:type="dxa"/>
            <w:tcBorders>
              <w:top w:val="nil"/>
              <w:left w:val="nil"/>
              <w:bottom w:val="single" w:sz="4" w:space="0" w:color="auto"/>
              <w:right w:val="single" w:sz="4" w:space="0" w:color="auto"/>
            </w:tcBorders>
            <w:shd w:val="clear" w:color="auto" w:fill="C6EFCE"/>
            <w:noWrap/>
          </w:tcPr>
          <w:p w14:paraId="6B5AC607" w14:textId="1E672698" w:rsidR="00480F1C" w:rsidRDefault="00A201F6">
            <w:pPr>
              <w:pStyle w:val="P68B1DB1-Normal25"/>
              <w:spacing w:after="0" w:line="240" w:lineRule="auto"/>
              <w:rPr>
                <w:rFonts w:eastAsia="Times New Roman" w:cs="Times New Roman"/>
                <w:noProof/>
              </w:rPr>
            </w:pPr>
            <w:r>
              <w:rPr>
                <w:noProof/>
              </w:rPr>
              <w:t xml:space="preserve">G3.1.4 Steun voor het nationale energiesysteem (Energiesteunfonds) </w:t>
            </w:r>
          </w:p>
        </w:tc>
        <w:tc>
          <w:tcPr>
            <w:tcW w:w="1077" w:type="dxa"/>
            <w:tcBorders>
              <w:top w:val="nil"/>
              <w:left w:val="nil"/>
              <w:bottom w:val="single" w:sz="4" w:space="0" w:color="auto"/>
              <w:right w:val="single" w:sz="4" w:space="0" w:color="auto"/>
            </w:tcBorders>
            <w:shd w:val="clear" w:color="auto" w:fill="C6EFCE"/>
            <w:noWrap/>
          </w:tcPr>
          <w:p w14:paraId="146BE731" w14:textId="77777777" w:rsidR="00480F1C" w:rsidRDefault="00A201F6">
            <w:pPr>
              <w:pStyle w:val="P68B1DB1-Normal25"/>
              <w:spacing w:after="0" w:line="240" w:lineRule="auto"/>
              <w:rPr>
                <w:rFonts w:eastAsia="Times New Roman" w:cs="Times New Roman"/>
                <w:noProof/>
              </w:rPr>
            </w:pPr>
            <w:r>
              <w:rPr>
                <w:noProof/>
              </w:rPr>
              <w:t>Doel</w:t>
            </w:r>
          </w:p>
        </w:tc>
        <w:tc>
          <w:tcPr>
            <w:tcW w:w="1874" w:type="dxa"/>
            <w:tcBorders>
              <w:top w:val="nil"/>
              <w:left w:val="nil"/>
              <w:bottom w:val="single" w:sz="4" w:space="0" w:color="auto"/>
              <w:right w:val="single" w:sz="4" w:space="0" w:color="auto"/>
            </w:tcBorders>
            <w:shd w:val="clear" w:color="auto" w:fill="C6EFCE"/>
            <w:noWrap/>
          </w:tcPr>
          <w:p w14:paraId="0A9104F7" w14:textId="77777777" w:rsidR="00480F1C" w:rsidRDefault="00A201F6">
            <w:pPr>
              <w:pStyle w:val="P68B1DB1-Normal25"/>
              <w:spacing w:after="0" w:line="240" w:lineRule="auto"/>
              <w:rPr>
                <w:rFonts w:eastAsia="Times New Roman" w:cs="Times New Roman"/>
                <w:noProof/>
              </w:rPr>
            </w:pPr>
            <w:r>
              <w:rPr>
                <w:noProof/>
              </w:rPr>
              <w:t>Juridische overeenkomsten met eindbegunstigden</w:t>
            </w:r>
          </w:p>
        </w:tc>
        <w:tc>
          <w:tcPr>
            <w:tcW w:w="1606" w:type="dxa"/>
            <w:tcBorders>
              <w:top w:val="nil"/>
              <w:left w:val="nil"/>
              <w:bottom w:val="single" w:sz="4" w:space="0" w:color="auto"/>
              <w:right w:val="single" w:sz="4" w:space="0" w:color="auto"/>
            </w:tcBorders>
            <w:shd w:val="clear" w:color="auto" w:fill="C6EFCE"/>
            <w:noWrap/>
          </w:tcPr>
          <w:p w14:paraId="78783A1D" w14:textId="77777777" w:rsidR="00480F1C" w:rsidRDefault="00480F1C">
            <w:pPr>
              <w:spacing w:after="0" w:line="240" w:lineRule="auto"/>
              <w:rPr>
                <w:rFonts w:ascii="Times New Roman" w:eastAsia="Times New Roman" w:hAnsi="Times New Roman" w:cs="Times New Roman"/>
                <w:noProof/>
                <w:sz w:val="18"/>
              </w:rPr>
            </w:pPr>
          </w:p>
        </w:tc>
        <w:tc>
          <w:tcPr>
            <w:tcW w:w="1076" w:type="dxa"/>
            <w:tcBorders>
              <w:top w:val="nil"/>
              <w:left w:val="nil"/>
              <w:bottom w:val="single" w:sz="4" w:space="0" w:color="auto"/>
              <w:right w:val="single" w:sz="4" w:space="0" w:color="auto"/>
            </w:tcBorders>
            <w:shd w:val="clear" w:color="auto" w:fill="C6EFCE"/>
            <w:noWrap/>
          </w:tcPr>
          <w:p w14:paraId="375A6831" w14:textId="77777777" w:rsidR="00480F1C" w:rsidRDefault="00A201F6">
            <w:pPr>
              <w:pStyle w:val="P68B1DB1-Normal25"/>
              <w:spacing w:after="0" w:line="240" w:lineRule="auto"/>
              <w:rPr>
                <w:rFonts w:eastAsia="Times New Roman" w:cs="Times New Roman"/>
                <w:noProof/>
              </w:rPr>
            </w:pPr>
            <w:r>
              <w:rPr>
                <w:noProof/>
              </w:rPr>
              <w:t>Percentage (%)</w:t>
            </w:r>
          </w:p>
        </w:tc>
        <w:tc>
          <w:tcPr>
            <w:tcW w:w="943" w:type="dxa"/>
            <w:tcBorders>
              <w:top w:val="nil"/>
              <w:left w:val="nil"/>
              <w:bottom w:val="single" w:sz="4" w:space="0" w:color="auto"/>
              <w:right w:val="single" w:sz="4" w:space="0" w:color="auto"/>
            </w:tcBorders>
            <w:shd w:val="clear" w:color="auto" w:fill="C6EFCE"/>
            <w:noWrap/>
          </w:tcPr>
          <w:p w14:paraId="225BEACE" w14:textId="2C1C7560" w:rsidR="00480F1C" w:rsidRDefault="00A201F6">
            <w:pPr>
              <w:pStyle w:val="P68B1DB1-Normal25"/>
              <w:spacing w:after="0" w:line="240" w:lineRule="auto"/>
              <w:jc w:val="center"/>
              <w:rPr>
                <w:rFonts w:eastAsia="Times New Roman" w:cs="Times New Roman"/>
                <w:noProof/>
              </w:rPr>
            </w:pPr>
            <w:r>
              <w:rPr>
                <w:noProof/>
              </w:rPr>
              <w:t>30 %</w:t>
            </w:r>
          </w:p>
        </w:tc>
        <w:tc>
          <w:tcPr>
            <w:tcW w:w="678" w:type="dxa"/>
            <w:tcBorders>
              <w:top w:val="nil"/>
              <w:left w:val="nil"/>
              <w:bottom w:val="single" w:sz="4" w:space="0" w:color="auto"/>
              <w:right w:val="single" w:sz="4" w:space="0" w:color="auto"/>
            </w:tcBorders>
            <w:shd w:val="clear" w:color="auto" w:fill="C6EFCE"/>
            <w:noWrap/>
          </w:tcPr>
          <w:p w14:paraId="3B4BB3DB" w14:textId="77777777" w:rsidR="00480F1C" w:rsidRDefault="00A201F6">
            <w:pPr>
              <w:pStyle w:val="P68B1DB1-Normal25"/>
              <w:spacing w:after="0" w:line="240" w:lineRule="auto"/>
              <w:jc w:val="center"/>
              <w:rPr>
                <w:rFonts w:eastAsia="Times New Roman" w:cs="Times New Roman"/>
                <w:noProof/>
              </w:rPr>
            </w:pPr>
            <w:r>
              <w:rPr>
                <w:noProof/>
              </w:rPr>
              <w:t>100 %</w:t>
            </w:r>
          </w:p>
        </w:tc>
        <w:tc>
          <w:tcPr>
            <w:tcW w:w="878" w:type="dxa"/>
            <w:tcBorders>
              <w:top w:val="nil"/>
              <w:left w:val="nil"/>
              <w:bottom w:val="single" w:sz="4" w:space="0" w:color="auto"/>
              <w:right w:val="single" w:sz="4" w:space="0" w:color="auto"/>
            </w:tcBorders>
            <w:shd w:val="clear" w:color="auto" w:fill="C6EFCE"/>
            <w:noWrap/>
          </w:tcPr>
          <w:p w14:paraId="623FBC49" w14:textId="77777777" w:rsidR="00480F1C" w:rsidRDefault="00A201F6">
            <w:pPr>
              <w:pStyle w:val="P68B1DB1-Normal25"/>
              <w:spacing w:after="0" w:line="240" w:lineRule="auto"/>
              <w:jc w:val="center"/>
              <w:rPr>
                <w:rFonts w:eastAsia="Times New Roman" w:cs="Times New Roman"/>
                <w:noProof/>
              </w:rPr>
            </w:pPr>
            <w:r>
              <w:rPr>
                <w:noProof/>
              </w:rPr>
              <w:t>KWARTAAL 3</w:t>
            </w:r>
          </w:p>
        </w:tc>
        <w:tc>
          <w:tcPr>
            <w:tcW w:w="884" w:type="dxa"/>
            <w:tcBorders>
              <w:top w:val="nil"/>
              <w:left w:val="nil"/>
              <w:bottom w:val="single" w:sz="4" w:space="0" w:color="auto"/>
              <w:right w:val="single" w:sz="4" w:space="0" w:color="auto"/>
            </w:tcBorders>
            <w:shd w:val="clear" w:color="auto" w:fill="C6EFCE"/>
            <w:noWrap/>
          </w:tcPr>
          <w:p w14:paraId="422733A8" w14:textId="77777777" w:rsidR="00480F1C" w:rsidRDefault="00A201F6">
            <w:pPr>
              <w:pStyle w:val="P68B1DB1-Normal25"/>
              <w:spacing w:after="0" w:line="240" w:lineRule="auto"/>
              <w:jc w:val="center"/>
              <w:rPr>
                <w:rFonts w:eastAsia="Times New Roman" w:cs="Times New Roman"/>
                <w:noProof/>
              </w:rPr>
            </w:pPr>
            <w:r>
              <w:rPr>
                <w:noProof/>
              </w:rPr>
              <w:t>2026</w:t>
            </w:r>
          </w:p>
        </w:tc>
        <w:tc>
          <w:tcPr>
            <w:tcW w:w="4146" w:type="dxa"/>
            <w:tcBorders>
              <w:top w:val="nil"/>
              <w:left w:val="nil"/>
              <w:bottom w:val="single" w:sz="4" w:space="0" w:color="auto"/>
              <w:right w:val="single" w:sz="4" w:space="0" w:color="auto"/>
            </w:tcBorders>
            <w:shd w:val="clear" w:color="auto" w:fill="C6EFCE"/>
            <w:noWrap/>
          </w:tcPr>
          <w:p w14:paraId="74F58686" w14:textId="12588D88" w:rsidR="00480F1C" w:rsidRDefault="00A201F6">
            <w:pPr>
              <w:pStyle w:val="P68B1DB1-Normal25"/>
              <w:spacing w:after="0" w:line="240" w:lineRule="auto"/>
              <w:rPr>
                <w:rFonts w:eastAsia="Times New Roman" w:cs="Times New Roman"/>
                <w:noProof/>
              </w:rPr>
            </w:pPr>
            <w:r>
              <w:rPr>
                <w:noProof/>
              </w:rPr>
              <w:t>BGK moet juridische financieringsovereenkomsten met eindbegunstigden hebben gesloten voor een bedrag dat nodig is om 100 % van de RRF-investering in de faciliteit te gebruiken (rekening houdend met beheerskosten). Ten minste 53 % van deze financiering draagt bij aan klimaatdoelstellingen aan de hand van de methode in bijlage VI bij de RRF-verordening.</w:t>
            </w:r>
          </w:p>
        </w:tc>
      </w:tr>
      <w:tr w:rsidR="00480F1C" w14:paraId="44F60326"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71CB0AAD" w14:textId="1B3D170E" w:rsidR="00480F1C" w:rsidRDefault="00A201F6">
            <w:pPr>
              <w:pStyle w:val="P68B1DB1-Normal25"/>
              <w:spacing w:after="0" w:line="240" w:lineRule="auto"/>
              <w:jc w:val="center"/>
              <w:rPr>
                <w:rFonts w:eastAsia="Times New Roman" w:cs="Times New Roman"/>
                <w:noProof/>
              </w:rPr>
            </w:pPr>
            <w:r>
              <w:rPr>
                <w:noProof/>
              </w:rPr>
              <w:t>G15L</w:t>
            </w:r>
          </w:p>
        </w:tc>
        <w:tc>
          <w:tcPr>
            <w:tcW w:w="1474" w:type="dxa"/>
            <w:tcBorders>
              <w:top w:val="nil"/>
              <w:left w:val="nil"/>
              <w:bottom w:val="single" w:sz="4" w:space="0" w:color="auto"/>
              <w:right w:val="single" w:sz="4" w:space="0" w:color="auto"/>
            </w:tcBorders>
            <w:shd w:val="clear" w:color="auto" w:fill="C6EFCE"/>
            <w:noWrap/>
          </w:tcPr>
          <w:p w14:paraId="15658516" w14:textId="6A3A5320" w:rsidR="00480F1C" w:rsidRDefault="00A201F6">
            <w:pPr>
              <w:pStyle w:val="P68B1DB1-Normal25"/>
              <w:spacing w:after="0" w:line="240" w:lineRule="auto"/>
              <w:rPr>
                <w:rFonts w:eastAsia="Times New Roman" w:cs="Times New Roman"/>
                <w:noProof/>
              </w:rPr>
            </w:pPr>
            <w:r>
              <w:rPr>
                <w:noProof/>
              </w:rPr>
              <w:t>G3.1.4 Steun voor het nationale energiesysteem (Energiesteunfonds)</w:t>
            </w:r>
          </w:p>
        </w:tc>
        <w:tc>
          <w:tcPr>
            <w:tcW w:w="1077" w:type="dxa"/>
            <w:tcBorders>
              <w:top w:val="nil"/>
              <w:left w:val="nil"/>
              <w:bottom w:val="single" w:sz="4" w:space="0" w:color="auto"/>
              <w:right w:val="single" w:sz="4" w:space="0" w:color="auto"/>
            </w:tcBorders>
            <w:shd w:val="clear" w:color="auto" w:fill="C6EFCE"/>
            <w:noWrap/>
          </w:tcPr>
          <w:p w14:paraId="72AF68BE" w14:textId="77777777" w:rsidR="00480F1C" w:rsidRDefault="00A201F6">
            <w:pPr>
              <w:pStyle w:val="P68B1DB1-Normal25"/>
              <w:spacing w:after="0" w:line="240" w:lineRule="auto"/>
              <w:rPr>
                <w:rFonts w:eastAsia="Times New Roman" w:cs="Times New Roman"/>
                <w:noProof/>
              </w:rPr>
            </w:pPr>
            <w:r>
              <w:rPr>
                <w:noProof/>
              </w:rPr>
              <w:t>Mijlpaal</w:t>
            </w:r>
          </w:p>
        </w:tc>
        <w:tc>
          <w:tcPr>
            <w:tcW w:w="1874" w:type="dxa"/>
            <w:tcBorders>
              <w:top w:val="nil"/>
              <w:left w:val="nil"/>
              <w:bottom w:val="single" w:sz="4" w:space="0" w:color="auto"/>
              <w:right w:val="single" w:sz="4" w:space="0" w:color="auto"/>
            </w:tcBorders>
            <w:shd w:val="clear" w:color="auto" w:fill="C6EFCE"/>
            <w:noWrap/>
          </w:tcPr>
          <w:p w14:paraId="4E52335D" w14:textId="77777777" w:rsidR="00480F1C" w:rsidRDefault="00A201F6">
            <w:pPr>
              <w:pStyle w:val="P68B1DB1-Normal25"/>
              <w:spacing w:after="0" w:line="240" w:lineRule="auto"/>
              <w:rPr>
                <w:rFonts w:eastAsia="Times New Roman" w:cs="Times New Roman"/>
                <w:noProof/>
              </w:rPr>
            </w:pPr>
            <w:r>
              <w:rPr>
                <w:noProof/>
              </w:rPr>
              <w:t>Ministerie heeft de investering voltooid</w:t>
            </w:r>
          </w:p>
        </w:tc>
        <w:tc>
          <w:tcPr>
            <w:tcW w:w="1606" w:type="dxa"/>
            <w:tcBorders>
              <w:top w:val="nil"/>
              <w:left w:val="nil"/>
              <w:bottom w:val="single" w:sz="4" w:space="0" w:color="auto"/>
              <w:right w:val="single" w:sz="4" w:space="0" w:color="auto"/>
            </w:tcBorders>
            <w:shd w:val="clear" w:color="auto" w:fill="C6EFCE"/>
            <w:noWrap/>
          </w:tcPr>
          <w:p w14:paraId="428957D1" w14:textId="77777777" w:rsidR="00480F1C" w:rsidRDefault="00A201F6">
            <w:pPr>
              <w:pStyle w:val="P68B1DB1-Normal25"/>
              <w:spacing w:after="0" w:line="240" w:lineRule="auto"/>
              <w:rPr>
                <w:rFonts w:eastAsia="Times New Roman" w:cs="Times New Roman"/>
                <w:noProof/>
              </w:rPr>
            </w:pPr>
            <w:r>
              <w:rPr>
                <w:noProof/>
              </w:rPr>
              <w:t xml:space="preserve">Overdrachtscertificaat  </w:t>
            </w:r>
          </w:p>
        </w:tc>
        <w:tc>
          <w:tcPr>
            <w:tcW w:w="1076" w:type="dxa"/>
            <w:tcBorders>
              <w:top w:val="nil"/>
              <w:left w:val="nil"/>
              <w:bottom w:val="single" w:sz="4" w:space="0" w:color="auto"/>
              <w:right w:val="single" w:sz="4" w:space="0" w:color="auto"/>
            </w:tcBorders>
            <w:shd w:val="clear" w:color="auto" w:fill="C6EFCE"/>
            <w:noWrap/>
          </w:tcPr>
          <w:p w14:paraId="29FACF62" w14:textId="77777777" w:rsidR="00480F1C" w:rsidRDefault="00480F1C">
            <w:pPr>
              <w:spacing w:after="0" w:line="240" w:lineRule="auto"/>
              <w:rPr>
                <w:rFonts w:ascii="Times New Roman" w:eastAsia="Times New Roman" w:hAnsi="Times New Roman" w:cs="Times New Roman"/>
                <w:noProof/>
                <w:sz w:val="18"/>
              </w:rPr>
            </w:pPr>
          </w:p>
        </w:tc>
        <w:tc>
          <w:tcPr>
            <w:tcW w:w="943" w:type="dxa"/>
            <w:tcBorders>
              <w:top w:val="nil"/>
              <w:left w:val="nil"/>
              <w:bottom w:val="single" w:sz="4" w:space="0" w:color="auto"/>
              <w:right w:val="single" w:sz="4" w:space="0" w:color="auto"/>
            </w:tcBorders>
            <w:shd w:val="clear" w:color="auto" w:fill="C6EFCE"/>
            <w:noWrap/>
          </w:tcPr>
          <w:p w14:paraId="15F2B001" w14:textId="77777777" w:rsidR="00480F1C" w:rsidRDefault="00480F1C">
            <w:pPr>
              <w:spacing w:after="0" w:line="240" w:lineRule="auto"/>
              <w:jc w:val="center"/>
              <w:rPr>
                <w:rFonts w:ascii="Times New Roman" w:eastAsia="Times New Roman" w:hAnsi="Times New Roman" w:cs="Times New Roman"/>
                <w:noProof/>
                <w:sz w:val="18"/>
              </w:rPr>
            </w:pPr>
          </w:p>
        </w:tc>
        <w:tc>
          <w:tcPr>
            <w:tcW w:w="678" w:type="dxa"/>
            <w:tcBorders>
              <w:top w:val="nil"/>
              <w:left w:val="nil"/>
              <w:bottom w:val="single" w:sz="4" w:space="0" w:color="auto"/>
              <w:right w:val="single" w:sz="4" w:space="0" w:color="auto"/>
            </w:tcBorders>
            <w:shd w:val="clear" w:color="auto" w:fill="C6EFCE"/>
            <w:noWrap/>
          </w:tcPr>
          <w:p w14:paraId="1A56E231" w14:textId="77777777" w:rsidR="00480F1C" w:rsidRDefault="00480F1C">
            <w:pPr>
              <w:spacing w:after="0" w:line="240" w:lineRule="auto"/>
              <w:jc w:val="center"/>
              <w:rPr>
                <w:rFonts w:ascii="Times New Roman" w:eastAsia="Times New Roman" w:hAnsi="Times New Roman" w:cs="Times New Roman"/>
                <w:noProof/>
                <w:sz w:val="18"/>
              </w:rPr>
            </w:pPr>
          </w:p>
        </w:tc>
        <w:tc>
          <w:tcPr>
            <w:tcW w:w="878" w:type="dxa"/>
            <w:tcBorders>
              <w:top w:val="nil"/>
              <w:left w:val="nil"/>
              <w:bottom w:val="single" w:sz="4" w:space="0" w:color="auto"/>
              <w:right w:val="single" w:sz="4" w:space="0" w:color="auto"/>
            </w:tcBorders>
            <w:shd w:val="clear" w:color="auto" w:fill="C6EFCE"/>
            <w:noWrap/>
          </w:tcPr>
          <w:p w14:paraId="123044C0" w14:textId="77777777" w:rsidR="00480F1C" w:rsidRDefault="00A201F6">
            <w:pPr>
              <w:pStyle w:val="P68B1DB1-Normal25"/>
              <w:spacing w:after="0" w:line="240" w:lineRule="auto"/>
              <w:jc w:val="center"/>
              <w:rPr>
                <w:rFonts w:eastAsia="Times New Roman" w:cs="Times New Roman"/>
                <w:noProof/>
              </w:rPr>
            </w:pPr>
            <w:r>
              <w:rPr>
                <w:noProof/>
              </w:rPr>
              <w:t>KWARTAAL 3</w:t>
            </w:r>
          </w:p>
        </w:tc>
        <w:tc>
          <w:tcPr>
            <w:tcW w:w="884" w:type="dxa"/>
            <w:tcBorders>
              <w:top w:val="nil"/>
              <w:left w:val="nil"/>
              <w:bottom w:val="single" w:sz="4" w:space="0" w:color="auto"/>
              <w:right w:val="single" w:sz="4" w:space="0" w:color="auto"/>
            </w:tcBorders>
            <w:shd w:val="clear" w:color="auto" w:fill="C6EFCE"/>
            <w:noWrap/>
          </w:tcPr>
          <w:p w14:paraId="60CA3025" w14:textId="77777777" w:rsidR="00480F1C" w:rsidRDefault="00A201F6">
            <w:pPr>
              <w:pStyle w:val="P68B1DB1-Normal25"/>
              <w:spacing w:after="0" w:line="240" w:lineRule="auto"/>
              <w:jc w:val="center"/>
              <w:rPr>
                <w:rFonts w:eastAsia="Times New Roman" w:cs="Times New Roman"/>
                <w:noProof/>
              </w:rPr>
            </w:pPr>
            <w:r>
              <w:rPr>
                <w:noProof/>
              </w:rPr>
              <w:t>2026</w:t>
            </w:r>
          </w:p>
        </w:tc>
        <w:tc>
          <w:tcPr>
            <w:tcW w:w="4146" w:type="dxa"/>
            <w:tcBorders>
              <w:top w:val="nil"/>
              <w:left w:val="nil"/>
              <w:bottom w:val="single" w:sz="4" w:space="0" w:color="auto"/>
              <w:right w:val="single" w:sz="4" w:space="0" w:color="auto"/>
            </w:tcBorders>
            <w:shd w:val="clear" w:color="auto" w:fill="C6EFCE"/>
            <w:noWrap/>
          </w:tcPr>
          <w:p w14:paraId="47A5F6B3" w14:textId="5A93DFB8" w:rsidR="00480F1C" w:rsidRDefault="00A201F6">
            <w:pPr>
              <w:pStyle w:val="P68B1DB1-Normal25"/>
              <w:spacing w:after="0" w:line="240" w:lineRule="auto"/>
              <w:rPr>
                <w:rFonts w:eastAsia="Times New Roman" w:cs="Times New Roman"/>
                <w:noProof/>
              </w:rPr>
            </w:pPr>
            <w:r>
              <w:rPr>
                <w:noProof/>
              </w:rPr>
              <w:t>Polen draagt 17 103 863 518 EUR over aan BGK voor de faciliteit. </w:t>
            </w:r>
          </w:p>
        </w:tc>
      </w:tr>
      <w:tr w:rsidR="00480F1C" w14:paraId="7EA1F8E3"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2CE3A5A4" w14:textId="11AA3A72" w:rsidR="00480F1C" w:rsidRDefault="00A201F6">
            <w:pPr>
              <w:pStyle w:val="P68B1DB1-Normal25"/>
              <w:spacing w:after="0" w:line="240" w:lineRule="auto"/>
              <w:jc w:val="center"/>
              <w:rPr>
                <w:rFonts w:eastAsia="Times New Roman" w:cs="Times New Roman"/>
                <w:noProof/>
              </w:rPr>
            </w:pPr>
            <w:r>
              <w:rPr>
                <w:noProof/>
              </w:rPr>
              <w:t>G16L</w:t>
            </w:r>
          </w:p>
        </w:tc>
        <w:tc>
          <w:tcPr>
            <w:tcW w:w="1474" w:type="dxa"/>
            <w:tcBorders>
              <w:top w:val="nil"/>
              <w:left w:val="nil"/>
              <w:bottom w:val="single" w:sz="4" w:space="0" w:color="auto"/>
              <w:right w:val="single" w:sz="4" w:space="0" w:color="auto"/>
            </w:tcBorders>
            <w:shd w:val="clear" w:color="auto" w:fill="C6EFCE"/>
            <w:noWrap/>
          </w:tcPr>
          <w:p w14:paraId="34566071" w14:textId="264D3F36" w:rsidR="00480F1C" w:rsidRDefault="00A201F6">
            <w:pPr>
              <w:pStyle w:val="P68B1DB1-Normal25"/>
              <w:spacing w:after="0" w:line="240" w:lineRule="auto"/>
              <w:rPr>
                <w:rFonts w:eastAsia="Times New Roman" w:cs="Times New Roman"/>
                <w:noProof/>
              </w:rPr>
            </w:pPr>
            <w:r>
              <w:rPr>
                <w:noProof/>
              </w:rPr>
              <w:t>G3.1.5 Bouw van windmolenparken op zee (windenergiefonds op zee)</w:t>
            </w:r>
          </w:p>
        </w:tc>
        <w:tc>
          <w:tcPr>
            <w:tcW w:w="1077" w:type="dxa"/>
            <w:tcBorders>
              <w:top w:val="nil"/>
              <w:left w:val="nil"/>
              <w:bottom w:val="single" w:sz="4" w:space="0" w:color="auto"/>
              <w:right w:val="single" w:sz="4" w:space="0" w:color="auto"/>
            </w:tcBorders>
            <w:shd w:val="clear" w:color="auto" w:fill="C6EFCE"/>
            <w:noWrap/>
          </w:tcPr>
          <w:p w14:paraId="70BE9D0C" w14:textId="77777777" w:rsidR="00480F1C" w:rsidRDefault="00A201F6">
            <w:pPr>
              <w:pStyle w:val="P68B1DB1-Normal25"/>
              <w:spacing w:after="0" w:line="240" w:lineRule="auto"/>
              <w:rPr>
                <w:rFonts w:eastAsia="Times New Roman" w:cs="Times New Roman"/>
                <w:noProof/>
              </w:rPr>
            </w:pPr>
            <w:r>
              <w:rPr>
                <w:noProof/>
              </w:rPr>
              <w:t>Mijlpaal</w:t>
            </w:r>
          </w:p>
        </w:tc>
        <w:tc>
          <w:tcPr>
            <w:tcW w:w="1874" w:type="dxa"/>
            <w:tcBorders>
              <w:top w:val="nil"/>
              <w:left w:val="nil"/>
              <w:bottom w:val="single" w:sz="4" w:space="0" w:color="auto"/>
              <w:right w:val="single" w:sz="4" w:space="0" w:color="auto"/>
            </w:tcBorders>
            <w:shd w:val="clear" w:color="auto" w:fill="C6EFCE"/>
            <w:noWrap/>
          </w:tcPr>
          <w:p w14:paraId="5B9BD8EF" w14:textId="77777777" w:rsidR="00480F1C" w:rsidRDefault="00A201F6">
            <w:pPr>
              <w:pStyle w:val="P68B1DB1-Normal25"/>
              <w:spacing w:after="0" w:line="240" w:lineRule="auto"/>
              <w:rPr>
                <w:rFonts w:eastAsia="Times New Roman" w:cs="Times New Roman"/>
                <w:noProof/>
              </w:rPr>
            </w:pPr>
            <w:r>
              <w:rPr>
                <w:noProof/>
              </w:rPr>
              <w:t>Uitwerkingsovereenkomst</w:t>
            </w:r>
          </w:p>
        </w:tc>
        <w:tc>
          <w:tcPr>
            <w:tcW w:w="1606" w:type="dxa"/>
            <w:tcBorders>
              <w:top w:val="nil"/>
              <w:left w:val="nil"/>
              <w:bottom w:val="single" w:sz="4" w:space="0" w:color="auto"/>
              <w:right w:val="single" w:sz="4" w:space="0" w:color="auto"/>
            </w:tcBorders>
            <w:shd w:val="clear" w:color="auto" w:fill="C6EFCE"/>
            <w:noWrap/>
          </w:tcPr>
          <w:p w14:paraId="04DE212B" w14:textId="77777777" w:rsidR="00480F1C" w:rsidRDefault="00A201F6">
            <w:pPr>
              <w:pStyle w:val="P68B1DB1-Normal25"/>
              <w:spacing w:after="0" w:line="240" w:lineRule="auto"/>
              <w:rPr>
                <w:rFonts w:eastAsia="Times New Roman" w:cs="Times New Roman"/>
                <w:noProof/>
              </w:rPr>
            </w:pPr>
            <w:r>
              <w:rPr>
                <w:noProof/>
              </w:rPr>
              <w:t>Inwerkingtreding van de uitvoeringsovereenkomst</w:t>
            </w:r>
          </w:p>
        </w:tc>
        <w:tc>
          <w:tcPr>
            <w:tcW w:w="1076" w:type="dxa"/>
            <w:tcBorders>
              <w:top w:val="nil"/>
              <w:left w:val="nil"/>
              <w:bottom w:val="single" w:sz="4" w:space="0" w:color="auto"/>
              <w:right w:val="single" w:sz="4" w:space="0" w:color="auto"/>
            </w:tcBorders>
            <w:shd w:val="clear" w:color="auto" w:fill="C6EFCE"/>
            <w:noWrap/>
          </w:tcPr>
          <w:p w14:paraId="58AB2804" w14:textId="77777777" w:rsidR="00480F1C" w:rsidRDefault="00480F1C">
            <w:pPr>
              <w:spacing w:after="0" w:line="240" w:lineRule="auto"/>
              <w:rPr>
                <w:rFonts w:ascii="Times New Roman" w:eastAsia="Times New Roman" w:hAnsi="Times New Roman" w:cs="Times New Roman"/>
                <w:noProof/>
                <w:sz w:val="18"/>
              </w:rPr>
            </w:pPr>
          </w:p>
        </w:tc>
        <w:tc>
          <w:tcPr>
            <w:tcW w:w="943" w:type="dxa"/>
            <w:tcBorders>
              <w:top w:val="nil"/>
              <w:left w:val="nil"/>
              <w:bottom w:val="single" w:sz="4" w:space="0" w:color="auto"/>
              <w:right w:val="single" w:sz="4" w:space="0" w:color="auto"/>
            </w:tcBorders>
            <w:shd w:val="clear" w:color="auto" w:fill="C6EFCE"/>
            <w:noWrap/>
          </w:tcPr>
          <w:p w14:paraId="392B008A" w14:textId="77777777" w:rsidR="00480F1C" w:rsidRDefault="00480F1C">
            <w:pPr>
              <w:spacing w:after="0" w:line="240" w:lineRule="auto"/>
              <w:jc w:val="center"/>
              <w:rPr>
                <w:rFonts w:ascii="Times New Roman" w:eastAsia="Times New Roman" w:hAnsi="Times New Roman" w:cs="Times New Roman"/>
                <w:noProof/>
                <w:sz w:val="18"/>
              </w:rPr>
            </w:pPr>
          </w:p>
        </w:tc>
        <w:tc>
          <w:tcPr>
            <w:tcW w:w="678" w:type="dxa"/>
            <w:tcBorders>
              <w:top w:val="nil"/>
              <w:left w:val="nil"/>
              <w:bottom w:val="single" w:sz="4" w:space="0" w:color="auto"/>
              <w:right w:val="single" w:sz="4" w:space="0" w:color="auto"/>
            </w:tcBorders>
            <w:shd w:val="clear" w:color="auto" w:fill="C6EFCE"/>
            <w:noWrap/>
          </w:tcPr>
          <w:p w14:paraId="41C074DE" w14:textId="77777777" w:rsidR="00480F1C" w:rsidRDefault="00480F1C">
            <w:pPr>
              <w:spacing w:after="0" w:line="240" w:lineRule="auto"/>
              <w:jc w:val="center"/>
              <w:rPr>
                <w:rFonts w:ascii="Times New Roman" w:eastAsia="Times New Roman" w:hAnsi="Times New Roman" w:cs="Times New Roman"/>
                <w:noProof/>
                <w:sz w:val="18"/>
              </w:rPr>
            </w:pPr>
          </w:p>
        </w:tc>
        <w:tc>
          <w:tcPr>
            <w:tcW w:w="878" w:type="dxa"/>
            <w:tcBorders>
              <w:top w:val="nil"/>
              <w:left w:val="nil"/>
              <w:bottom w:val="single" w:sz="4" w:space="0" w:color="auto"/>
              <w:right w:val="single" w:sz="4" w:space="0" w:color="auto"/>
            </w:tcBorders>
            <w:shd w:val="clear" w:color="auto" w:fill="C6EFCE"/>
            <w:noWrap/>
          </w:tcPr>
          <w:p w14:paraId="0F502E1C" w14:textId="77777777" w:rsidR="00480F1C" w:rsidRDefault="00A201F6">
            <w:pPr>
              <w:pStyle w:val="P68B1DB1-Normal25"/>
              <w:spacing w:after="0" w:line="240" w:lineRule="auto"/>
              <w:jc w:val="center"/>
              <w:rPr>
                <w:rFonts w:eastAsia="Times New Roman" w:cs="Times New Roman"/>
                <w:noProof/>
              </w:rPr>
            </w:pPr>
            <w:r>
              <w:rPr>
                <w:noProof/>
              </w:rPr>
              <w:t>KWARTAAL 3</w:t>
            </w:r>
          </w:p>
        </w:tc>
        <w:tc>
          <w:tcPr>
            <w:tcW w:w="884" w:type="dxa"/>
            <w:tcBorders>
              <w:top w:val="nil"/>
              <w:left w:val="nil"/>
              <w:bottom w:val="single" w:sz="4" w:space="0" w:color="auto"/>
              <w:right w:val="single" w:sz="4" w:space="0" w:color="auto"/>
            </w:tcBorders>
            <w:shd w:val="clear" w:color="auto" w:fill="C6EFCE"/>
            <w:noWrap/>
          </w:tcPr>
          <w:p w14:paraId="1205AA43" w14:textId="77777777" w:rsidR="00480F1C" w:rsidRDefault="00A201F6">
            <w:pPr>
              <w:pStyle w:val="P68B1DB1-Normal25"/>
              <w:spacing w:after="0" w:line="240" w:lineRule="auto"/>
              <w:jc w:val="center"/>
              <w:rPr>
                <w:rFonts w:eastAsia="Times New Roman" w:cs="Times New Roman"/>
                <w:noProof/>
              </w:rPr>
            </w:pPr>
            <w:r>
              <w:rPr>
                <w:noProof/>
              </w:rPr>
              <w:t>2024</w:t>
            </w:r>
          </w:p>
        </w:tc>
        <w:tc>
          <w:tcPr>
            <w:tcW w:w="4146" w:type="dxa"/>
            <w:tcBorders>
              <w:top w:val="nil"/>
              <w:left w:val="nil"/>
              <w:bottom w:val="single" w:sz="4" w:space="0" w:color="auto"/>
              <w:right w:val="single" w:sz="4" w:space="0" w:color="auto"/>
            </w:tcBorders>
            <w:shd w:val="clear" w:color="auto" w:fill="C6EFCE"/>
            <w:noWrap/>
          </w:tcPr>
          <w:p w14:paraId="7E6187C1" w14:textId="77777777" w:rsidR="00480F1C" w:rsidRDefault="00A201F6">
            <w:pPr>
              <w:pStyle w:val="P68B1DB1-Normal25"/>
              <w:spacing w:after="0" w:line="240" w:lineRule="auto"/>
              <w:rPr>
                <w:rFonts w:eastAsia="Times New Roman" w:cs="Times New Roman"/>
                <w:noProof/>
              </w:rPr>
            </w:pPr>
            <w:r>
              <w:rPr>
                <w:noProof/>
              </w:rPr>
              <w:t>Inwerkingtreding van de uitvoeringsovereenkomst.</w:t>
            </w:r>
          </w:p>
        </w:tc>
      </w:tr>
      <w:tr w:rsidR="00480F1C" w14:paraId="070650F3"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26D60D62" w14:textId="4A90F065" w:rsidR="00480F1C" w:rsidRDefault="00A201F6">
            <w:pPr>
              <w:pStyle w:val="P68B1DB1-Normal25"/>
              <w:spacing w:after="0" w:line="240" w:lineRule="auto"/>
              <w:jc w:val="center"/>
              <w:rPr>
                <w:rFonts w:eastAsia="Times New Roman" w:cs="Times New Roman"/>
                <w:noProof/>
              </w:rPr>
            </w:pPr>
            <w:r>
              <w:rPr>
                <w:noProof/>
              </w:rPr>
              <w:t>G17L</w:t>
            </w:r>
          </w:p>
        </w:tc>
        <w:tc>
          <w:tcPr>
            <w:tcW w:w="1474" w:type="dxa"/>
            <w:tcBorders>
              <w:top w:val="nil"/>
              <w:left w:val="nil"/>
              <w:bottom w:val="single" w:sz="4" w:space="0" w:color="auto"/>
              <w:right w:val="single" w:sz="4" w:space="0" w:color="auto"/>
            </w:tcBorders>
            <w:shd w:val="clear" w:color="auto" w:fill="C6EFCE"/>
            <w:noWrap/>
          </w:tcPr>
          <w:p w14:paraId="7CCC383F" w14:textId="2420126D" w:rsidR="00480F1C" w:rsidRDefault="00A201F6">
            <w:pPr>
              <w:pStyle w:val="P68B1DB1-Normal25"/>
              <w:spacing w:after="0" w:line="240" w:lineRule="auto"/>
              <w:rPr>
                <w:rFonts w:eastAsia="Times New Roman" w:cs="Times New Roman"/>
                <w:noProof/>
              </w:rPr>
            </w:pPr>
            <w:r>
              <w:rPr>
                <w:noProof/>
              </w:rPr>
              <w:t>G3.1.5 Bouw van windmolenparken op zee (windenergiefonds op zee)</w:t>
            </w:r>
          </w:p>
        </w:tc>
        <w:tc>
          <w:tcPr>
            <w:tcW w:w="1077" w:type="dxa"/>
            <w:tcBorders>
              <w:top w:val="nil"/>
              <w:left w:val="nil"/>
              <w:bottom w:val="single" w:sz="4" w:space="0" w:color="auto"/>
              <w:right w:val="single" w:sz="4" w:space="0" w:color="auto"/>
            </w:tcBorders>
            <w:shd w:val="clear" w:color="auto" w:fill="C6EFCE"/>
            <w:noWrap/>
          </w:tcPr>
          <w:p w14:paraId="4196CC50" w14:textId="77777777" w:rsidR="00480F1C" w:rsidRDefault="00A201F6">
            <w:pPr>
              <w:pStyle w:val="P68B1DB1-Normal25"/>
              <w:spacing w:after="0" w:line="240" w:lineRule="auto"/>
              <w:rPr>
                <w:rFonts w:eastAsia="Times New Roman" w:cs="Times New Roman"/>
                <w:noProof/>
              </w:rPr>
            </w:pPr>
            <w:r>
              <w:rPr>
                <w:noProof/>
              </w:rPr>
              <w:t>Doel</w:t>
            </w:r>
          </w:p>
        </w:tc>
        <w:tc>
          <w:tcPr>
            <w:tcW w:w="1874" w:type="dxa"/>
            <w:tcBorders>
              <w:top w:val="nil"/>
              <w:left w:val="nil"/>
              <w:bottom w:val="single" w:sz="4" w:space="0" w:color="auto"/>
              <w:right w:val="single" w:sz="4" w:space="0" w:color="auto"/>
            </w:tcBorders>
            <w:shd w:val="clear" w:color="auto" w:fill="C6EFCE"/>
            <w:noWrap/>
          </w:tcPr>
          <w:p w14:paraId="5128E39E" w14:textId="77777777" w:rsidR="00480F1C" w:rsidRDefault="00A201F6">
            <w:pPr>
              <w:pStyle w:val="P68B1DB1-Normal25"/>
              <w:spacing w:after="0" w:line="240" w:lineRule="auto"/>
              <w:rPr>
                <w:rFonts w:eastAsia="Times New Roman" w:cs="Times New Roman"/>
                <w:noProof/>
              </w:rPr>
            </w:pPr>
            <w:r>
              <w:rPr>
                <w:noProof/>
              </w:rPr>
              <w:t>Juridische overeenkomsten met eindbegunstigden</w:t>
            </w:r>
          </w:p>
        </w:tc>
        <w:tc>
          <w:tcPr>
            <w:tcW w:w="1606" w:type="dxa"/>
            <w:tcBorders>
              <w:top w:val="nil"/>
              <w:left w:val="nil"/>
              <w:bottom w:val="single" w:sz="4" w:space="0" w:color="auto"/>
              <w:right w:val="single" w:sz="4" w:space="0" w:color="auto"/>
            </w:tcBorders>
            <w:shd w:val="clear" w:color="auto" w:fill="C6EFCE"/>
            <w:noWrap/>
          </w:tcPr>
          <w:p w14:paraId="28B0F3F9" w14:textId="77777777" w:rsidR="00480F1C" w:rsidRDefault="00480F1C">
            <w:pPr>
              <w:spacing w:after="0" w:line="240" w:lineRule="auto"/>
              <w:rPr>
                <w:rFonts w:ascii="Times New Roman" w:eastAsia="Times New Roman" w:hAnsi="Times New Roman" w:cs="Times New Roman"/>
                <w:noProof/>
                <w:sz w:val="18"/>
              </w:rPr>
            </w:pPr>
          </w:p>
        </w:tc>
        <w:tc>
          <w:tcPr>
            <w:tcW w:w="1076" w:type="dxa"/>
            <w:tcBorders>
              <w:top w:val="nil"/>
              <w:left w:val="nil"/>
              <w:bottom w:val="single" w:sz="4" w:space="0" w:color="auto"/>
              <w:right w:val="single" w:sz="4" w:space="0" w:color="auto"/>
            </w:tcBorders>
            <w:shd w:val="clear" w:color="auto" w:fill="C6EFCE"/>
            <w:noWrap/>
          </w:tcPr>
          <w:p w14:paraId="278C6D8D" w14:textId="77777777" w:rsidR="00480F1C" w:rsidRDefault="00A201F6">
            <w:pPr>
              <w:pStyle w:val="P68B1DB1-Normal25"/>
              <w:spacing w:after="0" w:line="240" w:lineRule="auto"/>
              <w:rPr>
                <w:rFonts w:eastAsia="Times New Roman" w:cs="Times New Roman"/>
                <w:noProof/>
              </w:rPr>
            </w:pPr>
            <w:r>
              <w:rPr>
                <w:noProof/>
              </w:rPr>
              <w:t>Percentage (%)</w:t>
            </w:r>
          </w:p>
        </w:tc>
        <w:tc>
          <w:tcPr>
            <w:tcW w:w="943" w:type="dxa"/>
            <w:tcBorders>
              <w:top w:val="nil"/>
              <w:left w:val="nil"/>
              <w:bottom w:val="single" w:sz="4" w:space="0" w:color="auto"/>
              <w:right w:val="single" w:sz="4" w:space="0" w:color="auto"/>
            </w:tcBorders>
            <w:shd w:val="clear" w:color="auto" w:fill="C6EFCE"/>
            <w:noWrap/>
          </w:tcPr>
          <w:p w14:paraId="515388BF" w14:textId="77777777" w:rsidR="00480F1C" w:rsidRDefault="00A201F6">
            <w:pPr>
              <w:pStyle w:val="P68B1DB1-Normal25"/>
              <w:spacing w:after="0" w:line="240" w:lineRule="auto"/>
              <w:jc w:val="center"/>
              <w:rPr>
                <w:rFonts w:eastAsia="Times New Roman" w:cs="Times New Roman"/>
                <w:noProof/>
              </w:rPr>
            </w:pPr>
            <w:r>
              <w:rPr>
                <w:noProof/>
              </w:rPr>
              <w:t>0</w:t>
            </w:r>
          </w:p>
        </w:tc>
        <w:tc>
          <w:tcPr>
            <w:tcW w:w="678" w:type="dxa"/>
            <w:tcBorders>
              <w:top w:val="nil"/>
              <w:left w:val="nil"/>
              <w:bottom w:val="single" w:sz="4" w:space="0" w:color="auto"/>
              <w:right w:val="single" w:sz="4" w:space="0" w:color="auto"/>
            </w:tcBorders>
            <w:shd w:val="clear" w:color="auto" w:fill="C6EFCE"/>
            <w:noWrap/>
          </w:tcPr>
          <w:p w14:paraId="0CB1EF04" w14:textId="77777777" w:rsidR="00480F1C" w:rsidRDefault="00A201F6">
            <w:pPr>
              <w:pStyle w:val="P68B1DB1-Normal25"/>
              <w:spacing w:after="0" w:line="240" w:lineRule="auto"/>
              <w:jc w:val="center"/>
              <w:rPr>
                <w:rFonts w:eastAsia="Times New Roman" w:cs="Times New Roman"/>
                <w:noProof/>
              </w:rPr>
            </w:pPr>
            <w:r>
              <w:rPr>
                <w:noProof/>
              </w:rPr>
              <w:t>40 %</w:t>
            </w:r>
          </w:p>
        </w:tc>
        <w:tc>
          <w:tcPr>
            <w:tcW w:w="878" w:type="dxa"/>
            <w:tcBorders>
              <w:top w:val="nil"/>
              <w:left w:val="nil"/>
              <w:bottom w:val="single" w:sz="4" w:space="0" w:color="auto"/>
              <w:right w:val="single" w:sz="4" w:space="0" w:color="auto"/>
            </w:tcBorders>
            <w:shd w:val="clear" w:color="auto" w:fill="C6EFCE"/>
            <w:noWrap/>
          </w:tcPr>
          <w:p w14:paraId="212B27F3" w14:textId="77777777" w:rsidR="00480F1C" w:rsidRDefault="00A201F6">
            <w:pPr>
              <w:pStyle w:val="P68B1DB1-Normal25"/>
              <w:spacing w:after="0" w:line="240" w:lineRule="auto"/>
              <w:jc w:val="center"/>
              <w:rPr>
                <w:rFonts w:eastAsia="Times New Roman" w:cs="Times New Roman"/>
                <w:noProof/>
              </w:rPr>
            </w:pPr>
            <w:r>
              <w:rPr>
                <w:noProof/>
              </w:rPr>
              <w:t>KWARTAAL 2</w:t>
            </w:r>
          </w:p>
        </w:tc>
        <w:tc>
          <w:tcPr>
            <w:tcW w:w="884" w:type="dxa"/>
            <w:tcBorders>
              <w:top w:val="nil"/>
              <w:left w:val="nil"/>
              <w:bottom w:val="single" w:sz="4" w:space="0" w:color="auto"/>
              <w:right w:val="single" w:sz="4" w:space="0" w:color="auto"/>
            </w:tcBorders>
            <w:shd w:val="clear" w:color="auto" w:fill="C6EFCE"/>
            <w:noWrap/>
          </w:tcPr>
          <w:p w14:paraId="0FA8514C" w14:textId="77777777" w:rsidR="00480F1C" w:rsidRDefault="00A201F6">
            <w:pPr>
              <w:pStyle w:val="P68B1DB1-Normal25"/>
              <w:spacing w:after="0" w:line="240" w:lineRule="auto"/>
              <w:jc w:val="center"/>
              <w:rPr>
                <w:rFonts w:eastAsia="Times New Roman" w:cs="Times New Roman"/>
                <w:noProof/>
              </w:rPr>
            </w:pPr>
            <w:r>
              <w:rPr>
                <w:noProof/>
              </w:rPr>
              <w:t>2025</w:t>
            </w:r>
          </w:p>
        </w:tc>
        <w:tc>
          <w:tcPr>
            <w:tcW w:w="4146" w:type="dxa"/>
            <w:tcBorders>
              <w:top w:val="nil"/>
              <w:left w:val="nil"/>
              <w:bottom w:val="single" w:sz="4" w:space="0" w:color="auto"/>
              <w:right w:val="single" w:sz="4" w:space="0" w:color="auto"/>
            </w:tcBorders>
            <w:shd w:val="clear" w:color="auto" w:fill="C6EFCE"/>
            <w:noWrap/>
          </w:tcPr>
          <w:p w14:paraId="4743970B" w14:textId="77777777" w:rsidR="00480F1C" w:rsidRDefault="00A201F6">
            <w:pPr>
              <w:pStyle w:val="P68B1DB1-Normal25"/>
              <w:spacing w:after="0" w:line="240" w:lineRule="auto"/>
              <w:rPr>
                <w:rFonts w:eastAsia="Times New Roman" w:cs="Times New Roman"/>
                <w:noProof/>
              </w:rPr>
            </w:pPr>
            <w:r>
              <w:rPr>
                <w:noProof/>
              </w:rPr>
              <w:t>BGK moet juridische financieringsovereenkomsten met eindbegunstigden hebben gesloten voor een bedrag dat nodig is om ten minste 40 % van de RRF-investering in de faciliteit te gebruiken (rekening houdend met beheerskosten).</w:t>
            </w:r>
          </w:p>
        </w:tc>
      </w:tr>
      <w:tr w:rsidR="00480F1C" w14:paraId="1F94A379"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185C267D" w14:textId="35632962" w:rsidR="00480F1C" w:rsidRDefault="00A201F6">
            <w:pPr>
              <w:pStyle w:val="P68B1DB1-Normal25"/>
              <w:spacing w:after="0" w:line="240" w:lineRule="auto"/>
              <w:jc w:val="center"/>
              <w:rPr>
                <w:rFonts w:eastAsia="Times New Roman" w:cs="Times New Roman"/>
                <w:noProof/>
              </w:rPr>
            </w:pPr>
            <w:r>
              <w:rPr>
                <w:noProof/>
              </w:rPr>
              <w:t>G18L</w:t>
            </w:r>
          </w:p>
        </w:tc>
        <w:tc>
          <w:tcPr>
            <w:tcW w:w="1474" w:type="dxa"/>
            <w:tcBorders>
              <w:top w:val="nil"/>
              <w:left w:val="nil"/>
              <w:bottom w:val="single" w:sz="4" w:space="0" w:color="auto"/>
              <w:right w:val="single" w:sz="4" w:space="0" w:color="auto"/>
            </w:tcBorders>
            <w:shd w:val="clear" w:color="auto" w:fill="C6EFCE"/>
            <w:noWrap/>
          </w:tcPr>
          <w:p w14:paraId="223D4355" w14:textId="7D6FA20E" w:rsidR="00480F1C" w:rsidRDefault="00A201F6">
            <w:pPr>
              <w:pStyle w:val="P68B1DB1-Normal25"/>
              <w:spacing w:after="0" w:line="240" w:lineRule="auto"/>
              <w:rPr>
                <w:rFonts w:eastAsia="Times New Roman" w:cs="Times New Roman"/>
                <w:noProof/>
              </w:rPr>
            </w:pPr>
            <w:r>
              <w:rPr>
                <w:noProof/>
              </w:rPr>
              <w:t>G3.1.5 Bouw van windmolenparken op zee (windenergiefonds op zee)</w:t>
            </w:r>
          </w:p>
        </w:tc>
        <w:tc>
          <w:tcPr>
            <w:tcW w:w="1077" w:type="dxa"/>
            <w:tcBorders>
              <w:top w:val="nil"/>
              <w:left w:val="nil"/>
              <w:bottom w:val="single" w:sz="4" w:space="0" w:color="auto"/>
              <w:right w:val="single" w:sz="4" w:space="0" w:color="auto"/>
            </w:tcBorders>
            <w:shd w:val="clear" w:color="auto" w:fill="C6EFCE"/>
            <w:noWrap/>
          </w:tcPr>
          <w:p w14:paraId="234CD704" w14:textId="77777777" w:rsidR="00480F1C" w:rsidRDefault="00A201F6">
            <w:pPr>
              <w:pStyle w:val="P68B1DB1-Normal25"/>
              <w:spacing w:after="0" w:line="240" w:lineRule="auto"/>
              <w:rPr>
                <w:rFonts w:eastAsia="Times New Roman" w:cs="Times New Roman"/>
                <w:noProof/>
              </w:rPr>
            </w:pPr>
            <w:r>
              <w:rPr>
                <w:noProof/>
              </w:rPr>
              <w:t>Doel</w:t>
            </w:r>
          </w:p>
        </w:tc>
        <w:tc>
          <w:tcPr>
            <w:tcW w:w="1874" w:type="dxa"/>
            <w:tcBorders>
              <w:top w:val="nil"/>
              <w:left w:val="nil"/>
              <w:bottom w:val="single" w:sz="4" w:space="0" w:color="auto"/>
              <w:right w:val="single" w:sz="4" w:space="0" w:color="auto"/>
            </w:tcBorders>
            <w:shd w:val="clear" w:color="auto" w:fill="C6EFCE"/>
            <w:noWrap/>
          </w:tcPr>
          <w:p w14:paraId="55E184B3" w14:textId="77777777" w:rsidR="00480F1C" w:rsidRDefault="00A201F6">
            <w:pPr>
              <w:pStyle w:val="P68B1DB1-Normal25"/>
              <w:spacing w:after="0" w:line="240" w:lineRule="auto"/>
              <w:rPr>
                <w:rFonts w:eastAsia="Times New Roman" w:cs="Times New Roman"/>
                <w:noProof/>
              </w:rPr>
            </w:pPr>
            <w:r>
              <w:rPr>
                <w:noProof/>
              </w:rPr>
              <w:t>Juridische overeenkomsten met eindbegunstigden</w:t>
            </w:r>
          </w:p>
        </w:tc>
        <w:tc>
          <w:tcPr>
            <w:tcW w:w="1606" w:type="dxa"/>
            <w:tcBorders>
              <w:top w:val="nil"/>
              <w:left w:val="nil"/>
              <w:bottom w:val="single" w:sz="4" w:space="0" w:color="auto"/>
              <w:right w:val="single" w:sz="4" w:space="0" w:color="auto"/>
            </w:tcBorders>
            <w:shd w:val="clear" w:color="auto" w:fill="C6EFCE"/>
            <w:noWrap/>
          </w:tcPr>
          <w:p w14:paraId="47ACB579" w14:textId="77777777" w:rsidR="00480F1C" w:rsidRDefault="00480F1C">
            <w:pPr>
              <w:spacing w:after="0" w:line="240" w:lineRule="auto"/>
              <w:rPr>
                <w:rFonts w:ascii="Times New Roman" w:eastAsia="Times New Roman" w:hAnsi="Times New Roman" w:cs="Times New Roman"/>
                <w:noProof/>
                <w:sz w:val="18"/>
              </w:rPr>
            </w:pPr>
          </w:p>
        </w:tc>
        <w:tc>
          <w:tcPr>
            <w:tcW w:w="1076" w:type="dxa"/>
            <w:tcBorders>
              <w:top w:val="nil"/>
              <w:left w:val="nil"/>
              <w:bottom w:val="single" w:sz="4" w:space="0" w:color="auto"/>
              <w:right w:val="single" w:sz="4" w:space="0" w:color="auto"/>
            </w:tcBorders>
            <w:shd w:val="clear" w:color="auto" w:fill="C6EFCE"/>
            <w:noWrap/>
          </w:tcPr>
          <w:p w14:paraId="47BAB2C1" w14:textId="77777777" w:rsidR="00480F1C" w:rsidRDefault="00A201F6">
            <w:pPr>
              <w:pStyle w:val="P68B1DB1-Normal25"/>
              <w:spacing w:after="0" w:line="240" w:lineRule="auto"/>
              <w:rPr>
                <w:rFonts w:eastAsia="Times New Roman" w:cs="Times New Roman"/>
                <w:noProof/>
              </w:rPr>
            </w:pPr>
            <w:r>
              <w:rPr>
                <w:noProof/>
              </w:rPr>
              <w:t>Percentage (%)</w:t>
            </w:r>
          </w:p>
        </w:tc>
        <w:tc>
          <w:tcPr>
            <w:tcW w:w="943" w:type="dxa"/>
            <w:tcBorders>
              <w:top w:val="nil"/>
              <w:left w:val="nil"/>
              <w:bottom w:val="single" w:sz="4" w:space="0" w:color="auto"/>
              <w:right w:val="single" w:sz="4" w:space="0" w:color="auto"/>
            </w:tcBorders>
            <w:shd w:val="clear" w:color="auto" w:fill="C6EFCE"/>
            <w:noWrap/>
          </w:tcPr>
          <w:p w14:paraId="6068811C" w14:textId="77777777" w:rsidR="00480F1C" w:rsidRDefault="00A201F6">
            <w:pPr>
              <w:pStyle w:val="P68B1DB1-Normal25"/>
              <w:spacing w:after="0" w:line="240" w:lineRule="auto"/>
              <w:jc w:val="center"/>
              <w:rPr>
                <w:rFonts w:eastAsia="Times New Roman" w:cs="Times New Roman"/>
                <w:noProof/>
              </w:rPr>
            </w:pPr>
            <w:r>
              <w:rPr>
                <w:noProof/>
              </w:rPr>
              <w:t>40 %</w:t>
            </w:r>
          </w:p>
        </w:tc>
        <w:tc>
          <w:tcPr>
            <w:tcW w:w="678" w:type="dxa"/>
            <w:tcBorders>
              <w:top w:val="nil"/>
              <w:left w:val="nil"/>
              <w:bottom w:val="single" w:sz="4" w:space="0" w:color="auto"/>
              <w:right w:val="single" w:sz="4" w:space="0" w:color="auto"/>
            </w:tcBorders>
            <w:shd w:val="clear" w:color="auto" w:fill="C6EFCE"/>
            <w:noWrap/>
          </w:tcPr>
          <w:p w14:paraId="242DF7B3" w14:textId="77777777" w:rsidR="00480F1C" w:rsidRDefault="00A201F6">
            <w:pPr>
              <w:pStyle w:val="P68B1DB1-Normal25"/>
              <w:spacing w:after="0" w:line="240" w:lineRule="auto"/>
              <w:jc w:val="center"/>
              <w:rPr>
                <w:rFonts w:eastAsia="Times New Roman" w:cs="Times New Roman"/>
                <w:noProof/>
              </w:rPr>
            </w:pPr>
            <w:r>
              <w:rPr>
                <w:noProof/>
              </w:rPr>
              <w:t>100 %</w:t>
            </w:r>
          </w:p>
        </w:tc>
        <w:tc>
          <w:tcPr>
            <w:tcW w:w="878" w:type="dxa"/>
            <w:tcBorders>
              <w:top w:val="nil"/>
              <w:left w:val="nil"/>
              <w:bottom w:val="single" w:sz="4" w:space="0" w:color="auto"/>
              <w:right w:val="single" w:sz="4" w:space="0" w:color="auto"/>
            </w:tcBorders>
            <w:shd w:val="clear" w:color="auto" w:fill="C6EFCE"/>
            <w:noWrap/>
          </w:tcPr>
          <w:p w14:paraId="1284506B" w14:textId="77777777" w:rsidR="00480F1C" w:rsidRDefault="00A201F6">
            <w:pPr>
              <w:pStyle w:val="P68B1DB1-Normal25"/>
              <w:spacing w:after="0" w:line="240" w:lineRule="auto"/>
              <w:jc w:val="center"/>
              <w:rPr>
                <w:rFonts w:eastAsia="Times New Roman" w:cs="Times New Roman"/>
                <w:noProof/>
              </w:rPr>
            </w:pPr>
            <w:r>
              <w:rPr>
                <w:noProof/>
              </w:rPr>
              <w:t>KWARTAAL 3</w:t>
            </w:r>
          </w:p>
        </w:tc>
        <w:tc>
          <w:tcPr>
            <w:tcW w:w="884" w:type="dxa"/>
            <w:tcBorders>
              <w:top w:val="nil"/>
              <w:left w:val="nil"/>
              <w:bottom w:val="single" w:sz="4" w:space="0" w:color="auto"/>
              <w:right w:val="single" w:sz="4" w:space="0" w:color="auto"/>
            </w:tcBorders>
            <w:shd w:val="clear" w:color="auto" w:fill="C6EFCE"/>
            <w:noWrap/>
          </w:tcPr>
          <w:p w14:paraId="790DC9CC" w14:textId="77777777" w:rsidR="00480F1C" w:rsidRDefault="00A201F6">
            <w:pPr>
              <w:pStyle w:val="P68B1DB1-Normal25"/>
              <w:spacing w:after="0" w:line="240" w:lineRule="auto"/>
              <w:jc w:val="center"/>
              <w:rPr>
                <w:rFonts w:eastAsia="Times New Roman" w:cs="Times New Roman"/>
                <w:noProof/>
              </w:rPr>
            </w:pPr>
            <w:r>
              <w:rPr>
                <w:noProof/>
              </w:rPr>
              <w:t>2026</w:t>
            </w:r>
          </w:p>
        </w:tc>
        <w:tc>
          <w:tcPr>
            <w:tcW w:w="4146" w:type="dxa"/>
            <w:tcBorders>
              <w:top w:val="nil"/>
              <w:left w:val="nil"/>
              <w:bottom w:val="single" w:sz="4" w:space="0" w:color="auto"/>
              <w:right w:val="single" w:sz="4" w:space="0" w:color="auto"/>
            </w:tcBorders>
            <w:shd w:val="clear" w:color="auto" w:fill="C6EFCE"/>
            <w:noWrap/>
          </w:tcPr>
          <w:p w14:paraId="21038867" w14:textId="77777777" w:rsidR="00480F1C" w:rsidRDefault="00A201F6">
            <w:pPr>
              <w:pStyle w:val="P68B1DB1-Normal25"/>
              <w:spacing w:after="0" w:line="240" w:lineRule="auto"/>
              <w:rPr>
                <w:rFonts w:eastAsia="Times New Roman" w:cs="Times New Roman"/>
                <w:noProof/>
              </w:rPr>
            </w:pPr>
            <w:r>
              <w:rPr>
                <w:noProof/>
              </w:rPr>
              <w:t>BGK moet juridische financieringsovereenkomsten met eindbegunstigden hebben gesloten voor een bedrag dat nodig is om 100 % van de RRF-investering in de faciliteit te gebruiken (rekening houdend met beheerskosten).</w:t>
            </w:r>
          </w:p>
        </w:tc>
      </w:tr>
      <w:tr w:rsidR="00480F1C" w14:paraId="3134BF24"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24501A72" w14:textId="38377483" w:rsidR="00480F1C" w:rsidRDefault="00A201F6">
            <w:pPr>
              <w:pStyle w:val="P68B1DB1-Normal25"/>
              <w:spacing w:after="0" w:line="240" w:lineRule="auto"/>
              <w:jc w:val="center"/>
              <w:rPr>
                <w:rFonts w:eastAsia="Times New Roman" w:cs="Times New Roman"/>
                <w:noProof/>
              </w:rPr>
            </w:pPr>
            <w:r>
              <w:rPr>
                <w:noProof/>
              </w:rPr>
              <w:t>G19L</w:t>
            </w:r>
          </w:p>
        </w:tc>
        <w:tc>
          <w:tcPr>
            <w:tcW w:w="1474" w:type="dxa"/>
            <w:tcBorders>
              <w:top w:val="nil"/>
              <w:left w:val="nil"/>
              <w:bottom w:val="single" w:sz="4" w:space="0" w:color="auto"/>
              <w:right w:val="single" w:sz="4" w:space="0" w:color="auto"/>
            </w:tcBorders>
            <w:shd w:val="clear" w:color="auto" w:fill="C6EFCE"/>
            <w:noWrap/>
          </w:tcPr>
          <w:p w14:paraId="301357D0" w14:textId="3EA8F7B6" w:rsidR="00480F1C" w:rsidRDefault="00A201F6">
            <w:pPr>
              <w:pStyle w:val="P68B1DB1-Normal25"/>
              <w:spacing w:after="0" w:line="240" w:lineRule="auto"/>
              <w:rPr>
                <w:rFonts w:eastAsia="Times New Roman" w:cs="Times New Roman"/>
                <w:noProof/>
              </w:rPr>
            </w:pPr>
            <w:r>
              <w:rPr>
                <w:noProof/>
              </w:rPr>
              <w:t>G3.1.5 Bouw van windmolenparken op zee (windenergiefonds op zee)</w:t>
            </w:r>
          </w:p>
        </w:tc>
        <w:tc>
          <w:tcPr>
            <w:tcW w:w="1077" w:type="dxa"/>
            <w:tcBorders>
              <w:top w:val="nil"/>
              <w:left w:val="nil"/>
              <w:bottom w:val="single" w:sz="4" w:space="0" w:color="auto"/>
              <w:right w:val="single" w:sz="4" w:space="0" w:color="auto"/>
            </w:tcBorders>
            <w:shd w:val="clear" w:color="auto" w:fill="C6EFCE"/>
            <w:noWrap/>
          </w:tcPr>
          <w:p w14:paraId="711C9C94" w14:textId="77777777" w:rsidR="00480F1C" w:rsidRDefault="00A201F6">
            <w:pPr>
              <w:pStyle w:val="P68B1DB1-Normal25"/>
              <w:spacing w:after="0" w:line="240" w:lineRule="auto"/>
              <w:rPr>
                <w:rFonts w:eastAsia="Times New Roman" w:cs="Times New Roman"/>
                <w:noProof/>
              </w:rPr>
            </w:pPr>
            <w:r>
              <w:rPr>
                <w:noProof/>
              </w:rPr>
              <w:t>Mijlpaal</w:t>
            </w:r>
          </w:p>
        </w:tc>
        <w:tc>
          <w:tcPr>
            <w:tcW w:w="1874" w:type="dxa"/>
            <w:tcBorders>
              <w:top w:val="nil"/>
              <w:left w:val="nil"/>
              <w:bottom w:val="single" w:sz="4" w:space="0" w:color="auto"/>
              <w:right w:val="single" w:sz="4" w:space="0" w:color="auto"/>
            </w:tcBorders>
            <w:shd w:val="clear" w:color="auto" w:fill="C6EFCE"/>
            <w:noWrap/>
          </w:tcPr>
          <w:p w14:paraId="71AFC7AF" w14:textId="77777777" w:rsidR="00480F1C" w:rsidRDefault="00A201F6">
            <w:pPr>
              <w:pStyle w:val="P68B1DB1-Normal25"/>
              <w:spacing w:after="0" w:line="240" w:lineRule="auto"/>
              <w:rPr>
                <w:rFonts w:eastAsia="Times New Roman" w:cs="Times New Roman"/>
                <w:noProof/>
              </w:rPr>
            </w:pPr>
            <w:r>
              <w:rPr>
                <w:noProof/>
              </w:rPr>
              <w:t>Ministerie heeft de investering voltooid</w:t>
            </w:r>
          </w:p>
        </w:tc>
        <w:tc>
          <w:tcPr>
            <w:tcW w:w="1606" w:type="dxa"/>
            <w:tcBorders>
              <w:top w:val="nil"/>
              <w:left w:val="nil"/>
              <w:bottom w:val="single" w:sz="4" w:space="0" w:color="auto"/>
              <w:right w:val="single" w:sz="4" w:space="0" w:color="auto"/>
            </w:tcBorders>
            <w:shd w:val="clear" w:color="auto" w:fill="C6EFCE"/>
            <w:noWrap/>
          </w:tcPr>
          <w:p w14:paraId="7F8C7064" w14:textId="77777777" w:rsidR="00480F1C" w:rsidRDefault="00A201F6">
            <w:pPr>
              <w:pStyle w:val="P68B1DB1-Normal25"/>
              <w:spacing w:after="0" w:line="240" w:lineRule="auto"/>
              <w:rPr>
                <w:rFonts w:eastAsia="Times New Roman" w:cs="Times New Roman"/>
                <w:noProof/>
              </w:rPr>
            </w:pPr>
            <w:r>
              <w:rPr>
                <w:noProof/>
              </w:rPr>
              <w:t xml:space="preserve">Overdrachtscertificaat  </w:t>
            </w:r>
          </w:p>
        </w:tc>
        <w:tc>
          <w:tcPr>
            <w:tcW w:w="1076" w:type="dxa"/>
            <w:tcBorders>
              <w:top w:val="nil"/>
              <w:left w:val="nil"/>
              <w:bottom w:val="single" w:sz="4" w:space="0" w:color="auto"/>
              <w:right w:val="single" w:sz="4" w:space="0" w:color="auto"/>
            </w:tcBorders>
            <w:shd w:val="clear" w:color="auto" w:fill="C6EFCE"/>
            <w:noWrap/>
          </w:tcPr>
          <w:p w14:paraId="49C0BB37" w14:textId="77777777" w:rsidR="00480F1C" w:rsidRDefault="00480F1C">
            <w:pPr>
              <w:spacing w:after="0" w:line="240" w:lineRule="auto"/>
              <w:rPr>
                <w:rFonts w:ascii="Times New Roman" w:eastAsia="Times New Roman" w:hAnsi="Times New Roman" w:cs="Times New Roman"/>
                <w:noProof/>
                <w:sz w:val="18"/>
              </w:rPr>
            </w:pPr>
          </w:p>
        </w:tc>
        <w:tc>
          <w:tcPr>
            <w:tcW w:w="943" w:type="dxa"/>
            <w:tcBorders>
              <w:top w:val="nil"/>
              <w:left w:val="nil"/>
              <w:bottom w:val="single" w:sz="4" w:space="0" w:color="auto"/>
              <w:right w:val="single" w:sz="4" w:space="0" w:color="auto"/>
            </w:tcBorders>
            <w:shd w:val="clear" w:color="auto" w:fill="C6EFCE"/>
            <w:noWrap/>
          </w:tcPr>
          <w:p w14:paraId="01DB15CF" w14:textId="77777777" w:rsidR="00480F1C" w:rsidRDefault="00480F1C">
            <w:pPr>
              <w:spacing w:after="0" w:line="240" w:lineRule="auto"/>
              <w:jc w:val="center"/>
              <w:rPr>
                <w:rFonts w:ascii="Times New Roman" w:eastAsia="Times New Roman" w:hAnsi="Times New Roman" w:cs="Times New Roman"/>
                <w:noProof/>
                <w:sz w:val="18"/>
              </w:rPr>
            </w:pPr>
          </w:p>
        </w:tc>
        <w:tc>
          <w:tcPr>
            <w:tcW w:w="678" w:type="dxa"/>
            <w:tcBorders>
              <w:top w:val="nil"/>
              <w:left w:val="nil"/>
              <w:bottom w:val="single" w:sz="4" w:space="0" w:color="auto"/>
              <w:right w:val="single" w:sz="4" w:space="0" w:color="auto"/>
            </w:tcBorders>
            <w:shd w:val="clear" w:color="auto" w:fill="C6EFCE"/>
            <w:noWrap/>
          </w:tcPr>
          <w:p w14:paraId="4CE05E18" w14:textId="77777777" w:rsidR="00480F1C" w:rsidRDefault="00480F1C">
            <w:pPr>
              <w:spacing w:after="0" w:line="240" w:lineRule="auto"/>
              <w:jc w:val="center"/>
              <w:rPr>
                <w:rFonts w:ascii="Times New Roman" w:eastAsia="Times New Roman" w:hAnsi="Times New Roman" w:cs="Times New Roman"/>
                <w:noProof/>
                <w:sz w:val="18"/>
              </w:rPr>
            </w:pPr>
          </w:p>
        </w:tc>
        <w:tc>
          <w:tcPr>
            <w:tcW w:w="878" w:type="dxa"/>
            <w:tcBorders>
              <w:top w:val="nil"/>
              <w:left w:val="nil"/>
              <w:bottom w:val="single" w:sz="4" w:space="0" w:color="auto"/>
              <w:right w:val="single" w:sz="4" w:space="0" w:color="auto"/>
            </w:tcBorders>
            <w:shd w:val="clear" w:color="auto" w:fill="C6EFCE"/>
            <w:noWrap/>
          </w:tcPr>
          <w:p w14:paraId="5686ABE4" w14:textId="77777777" w:rsidR="00480F1C" w:rsidRDefault="00A201F6">
            <w:pPr>
              <w:pStyle w:val="P68B1DB1-Normal25"/>
              <w:spacing w:after="0" w:line="240" w:lineRule="auto"/>
              <w:jc w:val="center"/>
              <w:rPr>
                <w:rFonts w:eastAsia="Times New Roman" w:cs="Times New Roman"/>
                <w:noProof/>
              </w:rPr>
            </w:pPr>
            <w:r>
              <w:rPr>
                <w:noProof/>
              </w:rPr>
              <w:t>KWARTAAL 3</w:t>
            </w:r>
          </w:p>
        </w:tc>
        <w:tc>
          <w:tcPr>
            <w:tcW w:w="884" w:type="dxa"/>
            <w:tcBorders>
              <w:top w:val="nil"/>
              <w:left w:val="nil"/>
              <w:bottom w:val="single" w:sz="4" w:space="0" w:color="auto"/>
              <w:right w:val="single" w:sz="4" w:space="0" w:color="auto"/>
            </w:tcBorders>
            <w:shd w:val="clear" w:color="auto" w:fill="C6EFCE"/>
            <w:noWrap/>
          </w:tcPr>
          <w:p w14:paraId="077D2D43" w14:textId="77777777" w:rsidR="00480F1C" w:rsidRDefault="00A201F6">
            <w:pPr>
              <w:pStyle w:val="P68B1DB1-Normal25"/>
              <w:spacing w:after="0" w:line="240" w:lineRule="auto"/>
              <w:jc w:val="center"/>
              <w:rPr>
                <w:rFonts w:eastAsia="Times New Roman" w:cs="Times New Roman"/>
                <w:noProof/>
              </w:rPr>
            </w:pPr>
            <w:r>
              <w:rPr>
                <w:noProof/>
              </w:rPr>
              <w:t>2026</w:t>
            </w:r>
          </w:p>
        </w:tc>
        <w:tc>
          <w:tcPr>
            <w:tcW w:w="4146" w:type="dxa"/>
            <w:tcBorders>
              <w:top w:val="nil"/>
              <w:left w:val="nil"/>
              <w:bottom w:val="single" w:sz="4" w:space="0" w:color="auto"/>
              <w:right w:val="single" w:sz="4" w:space="0" w:color="auto"/>
            </w:tcBorders>
            <w:shd w:val="clear" w:color="auto" w:fill="C6EFCE"/>
            <w:noWrap/>
          </w:tcPr>
          <w:p w14:paraId="683E183D" w14:textId="77777777" w:rsidR="00480F1C" w:rsidRDefault="00A201F6">
            <w:pPr>
              <w:pStyle w:val="P68B1DB1-Normal25"/>
              <w:spacing w:after="0" w:line="240" w:lineRule="auto"/>
              <w:rPr>
                <w:rFonts w:eastAsia="Times New Roman" w:cs="Times New Roman"/>
                <w:noProof/>
              </w:rPr>
            </w:pPr>
            <w:r>
              <w:rPr>
                <w:noProof/>
              </w:rPr>
              <w:t>Polen draagt 4 785 000 000 EUR over aan BGK voor de faciliteit.</w:t>
            </w:r>
          </w:p>
        </w:tc>
      </w:tr>
    </w:tbl>
    <w:p w14:paraId="4F959FE5" w14:textId="77777777" w:rsidR="00480F1C" w:rsidRDefault="00480F1C">
      <w:pPr>
        <w:spacing w:before="120" w:after="120" w:line="240" w:lineRule="auto"/>
        <w:jc w:val="both"/>
        <w:rPr>
          <w:rFonts w:ascii="Times New Roman" w:hAnsi="Times New Roman" w:cs="Times New Roman"/>
          <w:noProof/>
          <w:sz w:val="24"/>
        </w:rPr>
      </w:pPr>
    </w:p>
    <w:p w14:paraId="4DE5C31D" w14:textId="6E4BFC2C" w:rsidR="00480F1C" w:rsidRDefault="00A201F6">
      <w:pPr>
        <w:pStyle w:val="P68B1DB1-Text138"/>
        <w:keepNext/>
        <w:pageBreakBefore/>
        <w:ind w:left="0"/>
        <w:rPr>
          <w:noProof/>
        </w:rPr>
      </w:pPr>
      <w:r>
        <w:rPr>
          <w:noProof/>
        </w:rPr>
        <w:t>Subcomponent G3.2 — Verbetering van de energie-infrastructuur en -faciliteiten om te voldoen aan de onmiddellijke behoeften inzake voorzieningszekerheid voor gas</w:t>
      </w:r>
    </w:p>
    <w:p w14:paraId="0B29C25C" w14:textId="77777777" w:rsidR="00480F1C" w:rsidRDefault="00480F1C">
      <w:pPr>
        <w:spacing w:before="120" w:after="120" w:line="240" w:lineRule="auto"/>
        <w:jc w:val="both"/>
        <w:rPr>
          <w:rFonts w:ascii="Times New Roman" w:hAnsi="Times New Roman" w:cs="Times New Roman"/>
          <w:noProof/>
          <w:sz w:val="24"/>
        </w:rPr>
      </w:pPr>
    </w:p>
    <w:tbl>
      <w:tblPr>
        <w:tblW w:w="15309" w:type="dxa"/>
        <w:jc w:val="center"/>
        <w:tblLayout w:type="fixed"/>
        <w:tblLook w:val="04A0" w:firstRow="1" w:lastRow="0" w:firstColumn="1" w:lastColumn="0" w:noHBand="0" w:noVBand="1"/>
      </w:tblPr>
      <w:tblGrid>
        <w:gridCol w:w="803"/>
        <w:gridCol w:w="1461"/>
        <w:gridCol w:w="1068"/>
        <w:gridCol w:w="1857"/>
        <w:gridCol w:w="1591"/>
        <w:gridCol w:w="1067"/>
        <w:gridCol w:w="936"/>
        <w:gridCol w:w="673"/>
        <w:gridCol w:w="871"/>
        <w:gridCol w:w="877"/>
        <w:gridCol w:w="4105"/>
      </w:tblGrid>
      <w:tr w:rsidR="00480F1C" w14:paraId="35D19366" w14:textId="77777777">
        <w:trPr>
          <w:trHeight w:val="927"/>
          <w:tblHeader/>
          <w:jc w:val="center"/>
        </w:trPr>
        <w:tc>
          <w:tcPr>
            <w:tcW w:w="809"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5C120775" w14:textId="77777777" w:rsidR="00480F1C" w:rsidRDefault="00A201F6">
            <w:pPr>
              <w:pStyle w:val="P68B1DB1-Normal39"/>
              <w:spacing w:after="0" w:line="240" w:lineRule="auto"/>
              <w:jc w:val="center"/>
              <w:rPr>
                <w:rFonts w:eastAsia="Times New Roman" w:cs="Times New Roman"/>
                <w:noProof/>
              </w:rPr>
            </w:pPr>
            <w:r>
              <w:rPr>
                <w:noProof/>
              </w:rPr>
              <w:t>Volgende NR.</w:t>
            </w:r>
          </w:p>
        </w:tc>
        <w:tc>
          <w:tcPr>
            <w:tcW w:w="1474"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3AB4EAA5" w14:textId="77777777" w:rsidR="00480F1C" w:rsidRDefault="00A201F6">
            <w:pPr>
              <w:pStyle w:val="P68B1DB1-Normal40"/>
              <w:spacing w:after="0" w:line="240" w:lineRule="auto"/>
              <w:jc w:val="center"/>
              <w:rPr>
                <w:rFonts w:eastAsia="Times New Roman" w:cs="Times New Roman"/>
                <w:noProof/>
                <w:sz w:val="24"/>
              </w:rPr>
            </w:pPr>
            <w:r>
              <w:rPr>
                <w:noProof/>
              </w:rPr>
              <w:t>Gerelateerde maatregel (hervorming of investering)</w:t>
            </w:r>
          </w:p>
        </w:tc>
        <w:tc>
          <w:tcPr>
            <w:tcW w:w="1077"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499A9F4C" w14:textId="77777777" w:rsidR="00480F1C" w:rsidRDefault="00A201F6">
            <w:pPr>
              <w:pStyle w:val="P68B1DB1-Normal40"/>
              <w:spacing w:after="0" w:line="240" w:lineRule="auto"/>
              <w:jc w:val="center"/>
              <w:rPr>
                <w:rFonts w:eastAsia="Times New Roman" w:cs="Times New Roman"/>
                <w:noProof/>
                <w:sz w:val="24"/>
              </w:rPr>
            </w:pPr>
            <w:r>
              <w:rPr>
                <w:noProof/>
              </w:rPr>
              <w:t>Mijlpaal/Doelstelling</w:t>
            </w:r>
          </w:p>
        </w:tc>
        <w:tc>
          <w:tcPr>
            <w:tcW w:w="1874"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4BDDFAE7" w14:textId="77777777" w:rsidR="00480F1C" w:rsidRDefault="00A201F6">
            <w:pPr>
              <w:pStyle w:val="P68B1DB1-Normal40"/>
              <w:spacing w:after="0" w:line="240" w:lineRule="auto"/>
              <w:jc w:val="center"/>
              <w:rPr>
                <w:rFonts w:eastAsia="Times New Roman" w:cs="Times New Roman"/>
                <w:noProof/>
                <w:sz w:val="24"/>
              </w:rPr>
            </w:pPr>
            <w:r>
              <w:rPr>
                <w:noProof/>
              </w:rPr>
              <w:t>Naam</w:t>
            </w:r>
          </w:p>
        </w:tc>
        <w:tc>
          <w:tcPr>
            <w:tcW w:w="1606"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1DEF5706" w14:textId="77777777" w:rsidR="00480F1C" w:rsidRDefault="00A201F6">
            <w:pPr>
              <w:spacing w:after="0" w:line="240" w:lineRule="auto"/>
              <w:jc w:val="center"/>
              <w:rPr>
                <w:rFonts w:ascii="Times New Roman" w:eastAsia="Times New Roman" w:hAnsi="Times New Roman" w:cs="Times New Roman"/>
                <w:b/>
                <w:noProof/>
                <w:sz w:val="24"/>
              </w:rPr>
            </w:pPr>
            <w:r>
              <w:rPr>
                <w:rFonts w:ascii="Times New Roman" w:hAnsi="Times New Roman"/>
                <w:b/>
                <w:noProof/>
                <w:color w:val="000000"/>
                <w:sz w:val="18"/>
              </w:rPr>
              <w:t>Kwalitatieve indicatoren</w:t>
            </w:r>
            <w:r>
              <w:rPr>
                <w:noProof/>
              </w:rPr>
              <w:t xml:space="preserve"> </w:t>
            </w:r>
            <w:r>
              <w:rPr>
                <w:noProof/>
              </w:rPr>
              <w:br/>
            </w:r>
            <w:r>
              <w:rPr>
                <w:rFonts w:ascii="Times New Roman" w:hAnsi="Times New Roman"/>
                <w:b/>
                <w:noProof/>
                <w:color w:val="000000"/>
                <w:sz w:val="18"/>
              </w:rPr>
              <w:t>(voor mijlpalen)</w:t>
            </w:r>
          </w:p>
        </w:tc>
        <w:tc>
          <w:tcPr>
            <w:tcW w:w="2697" w:type="dxa"/>
            <w:gridSpan w:val="3"/>
            <w:tcBorders>
              <w:top w:val="single" w:sz="4" w:space="0" w:color="auto"/>
              <w:left w:val="single" w:sz="4" w:space="0" w:color="auto"/>
              <w:bottom w:val="single" w:sz="4" w:space="0" w:color="auto"/>
              <w:right w:val="single" w:sz="4" w:space="0" w:color="auto"/>
            </w:tcBorders>
            <w:shd w:val="clear" w:color="auto" w:fill="BDD7EE"/>
            <w:vAlign w:val="center"/>
            <w:hideMark/>
          </w:tcPr>
          <w:p w14:paraId="01EA3243" w14:textId="77777777" w:rsidR="00480F1C" w:rsidRDefault="00A201F6">
            <w:pPr>
              <w:spacing w:after="0" w:line="240" w:lineRule="auto"/>
              <w:jc w:val="center"/>
              <w:rPr>
                <w:rFonts w:ascii="Times New Roman" w:eastAsia="Times New Roman" w:hAnsi="Times New Roman" w:cs="Times New Roman"/>
                <w:b/>
                <w:noProof/>
                <w:sz w:val="24"/>
              </w:rPr>
            </w:pPr>
            <w:r>
              <w:rPr>
                <w:rFonts w:ascii="Times New Roman" w:hAnsi="Times New Roman"/>
                <w:b/>
                <w:noProof/>
                <w:color w:val="000000"/>
                <w:sz w:val="18"/>
              </w:rPr>
              <w:t>Kwantitatieve indicatoren</w:t>
            </w:r>
            <w:r>
              <w:rPr>
                <w:noProof/>
              </w:rPr>
              <w:t xml:space="preserve"> </w:t>
            </w:r>
            <w:r>
              <w:rPr>
                <w:noProof/>
              </w:rPr>
              <w:br/>
            </w:r>
            <w:r>
              <w:rPr>
                <w:rFonts w:ascii="Times New Roman" w:hAnsi="Times New Roman"/>
                <w:b/>
                <w:noProof/>
                <w:color w:val="000000"/>
                <w:sz w:val="18"/>
              </w:rPr>
              <w:t>(voor streefcijfers)</w:t>
            </w:r>
          </w:p>
        </w:tc>
        <w:tc>
          <w:tcPr>
            <w:tcW w:w="1762" w:type="dxa"/>
            <w:gridSpan w:val="2"/>
            <w:tcBorders>
              <w:top w:val="single" w:sz="4" w:space="0" w:color="auto"/>
              <w:left w:val="nil"/>
              <w:bottom w:val="single" w:sz="4" w:space="0" w:color="auto"/>
              <w:right w:val="single" w:sz="4" w:space="0" w:color="auto"/>
            </w:tcBorders>
            <w:shd w:val="clear" w:color="auto" w:fill="BDD7EE"/>
            <w:vAlign w:val="center"/>
            <w:hideMark/>
          </w:tcPr>
          <w:p w14:paraId="1096E6D8" w14:textId="77777777" w:rsidR="00480F1C" w:rsidRDefault="00A201F6">
            <w:pPr>
              <w:pStyle w:val="P68B1DB1-Normal40"/>
              <w:spacing w:after="0" w:line="240" w:lineRule="auto"/>
              <w:jc w:val="center"/>
              <w:rPr>
                <w:rFonts w:eastAsia="Times New Roman" w:cs="Times New Roman"/>
                <w:noProof/>
                <w:sz w:val="24"/>
              </w:rPr>
            </w:pPr>
            <w:r>
              <w:rPr>
                <w:noProof/>
              </w:rPr>
              <w:t>Indicatieve termijn voor voltooiing</w:t>
            </w:r>
          </w:p>
        </w:tc>
        <w:tc>
          <w:tcPr>
            <w:tcW w:w="4146" w:type="dxa"/>
            <w:vMerge w:val="restart"/>
            <w:tcBorders>
              <w:top w:val="single" w:sz="4" w:space="0" w:color="auto"/>
              <w:left w:val="single" w:sz="4" w:space="0" w:color="auto"/>
              <w:bottom w:val="single" w:sz="4" w:space="0" w:color="auto"/>
              <w:right w:val="single" w:sz="4" w:space="0" w:color="auto"/>
            </w:tcBorders>
            <w:shd w:val="clear" w:color="auto" w:fill="BDD7EE"/>
            <w:vAlign w:val="center"/>
            <w:hideMark/>
          </w:tcPr>
          <w:p w14:paraId="0822B049" w14:textId="77777777" w:rsidR="00480F1C" w:rsidRDefault="00A201F6">
            <w:pPr>
              <w:pStyle w:val="P68B1DB1-Normal40"/>
              <w:spacing w:after="0" w:line="240" w:lineRule="auto"/>
              <w:jc w:val="center"/>
              <w:rPr>
                <w:rFonts w:eastAsia="Times New Roman" w:cs="Times New Roman"/>
                <w:noProof/>
                <w:sz w:val="24"/>
              </w:rPr>
            </w:pPr>
            <w:r>
              <w:rPr>
                <w:noProof/>
              </w:rPr>
              <w:t>Beschrijving van elke mijlpaal en doelstelling</w:t>
            </w:r>
          </w:p>
        </w:tc>
      </w:tr>
      <w:tr w:rsidR="00480F1C" w14:paraId="4547436C" w14:textId="77777777">
        <w:trPr>
          <w:trHeight w:val="1013"/>
          <w:tblHeader/>
          <w:jc w:val="center"/>
        </w:trPr>
        <w:tc>
          <w:tcPr>
            <w:tcW w:w="809" w:type="dxa"/>
            <w:vMerge/>
            <w:tcBorders>
              <w:top w:val="single" w:sz="4" w:space="0" w:color="auto"/>
              <w:left w:val="single" w:sz="4" w:space="0" w:color="auto"/>
              <w:bottom w:val="single" w:sz="4" w:space="0" w:color="auto"/>
              <w:right w:val="single" w:sz="4" w:space="0" w:color="auto"/>
            </w:tcBorders>
            <w:hideMark/>
          </w:tcPr>
          <w:p w14:paraId="44107058" w14:textId="77777777" w:rsidR="00480F1C" w:rsidRDefault="00480F1C">
            <w:pPr>
              <w:spacing w:after="0" w:line="240" w:lineRule="auto"/>
              <w:jc w:val="center"/>
              <w:rPr>
                <w:rFonts w:ascii="Times New Roman" w:eastAsia="Times New Roman" w:hAnsi="Times New Roman" w:cs="Times New Roman"/>
                <w:b/>
                <w:noProof/>
                <w:sz w:val="18"/>
              </w:rPr>
            </w:pPr>
          </w:p>
        </w:tc>
        <w:tc>
          <w:tcPr>
            <w:tcW w:w="1474" w:type="dxa"/>
            <w:vMerge/>
            <w:tcBorders>
              <w:top w:val="single" w:sz="4" w:space="0" w:color="auto"/>
              <w:left w:val="single" w:sz="4" w:space="0" w:color="auto"/>
              <w:bottom w:val="single" w:sz="4" w:space="0" w:color="auto"/>
              <w:right w:val="single" w:sz="4" w:space="0" w:color="auto"/>
            </w:tcBorders>
            <w:vAlign w:val="center"/>
            <w:hideMark/>
          </w:tcPr>
          <w:p w14:paraId="45B2B3F7" w14:textId="77777777" w:rsidR="00480F1C" w:rsidRDefault="00480F1C">
            <w:pPr>
              <w:spacing w:after="0" w:line="240" w:lineRule="auto"/>
              <w:rPr>
                <w:rFonts w:ascii="Times New Roman" w:eastAsia="Times New Roman" w:hAnsi="Times New Roman" w:cs="Times New Roman"/>
                <w:b/>
                <w:noProof/>
                <w:sz w:val="24"/>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14:paraId="73AED5F5" w14:textId="77777777" w:rsidR="00480F1C" w:rsidRDefault="00480F1C">
            <w:pPr>
              <w:spacing w:after="0" w:line="240" w:lineRule="auto"/>
              <w:rPr>
                <w:rFonts w:ascii="Times New Roman" w:eastAsia="Times New Roman" w:hAnsi="Times New Roman" w:cs="Times New Roman"/>
                <w:b/>
                <w:noProof/>
                <w:sz w:val="24"/>
              </w:rPr>
            </w:pPr>
          </w:p>
        </w:tc>
        <w:tc>
          <w:tcPr>
            <w:tcW w:w="1874" w:type="dxa"/>
            <w:vMerge/>
            <w:tcBorders>
              <w:top w:val="single" w:sz="4" w:space="0" w:color="auto"/>
              <w:left w:val="single" w:sz="4" w:space="0" w:color="auto"/>
              <w:bottom w:val="single" w:sz="4" w:space="0" w:color="auto"/>
              <w:right w:val="single" w:sz="4" w:space="0" w:color="auto"/>
            </w:tcBorders>
            <w:vAlign w:val="center"/>
            <w:hideMark/>
          </w:tcPr>
          <w:p w14:paraId="1552FFEF" w14:textId="77777777" w:rsidR="00480F1C" w:rsidRDefault="00480F1C">
            <w:pPr>
              <w:spacing w:after="0" w:line="240" w:lineRule="auto"/>
              <w:rPr>
                <w:rFonts w:ascii="Times New Roman" w:eastAsia="Times New Roman" w:hAnsi="Times New Roman" w:cs="Times New Roman"/>
                <w:b/>
                <w:noProof/>
                <w:sz w:val="24"/>
              </w:rPr>
            </w:pPr>
          </w:p>
        </w:tc>
        <w:tc>
          <w:tcPr>
            <w:tcW w:w="1606" w:type="dxa"/>
            <w:vMerge/>
            <w:tcBorders>
              <w:top w:val="single" w:sz="4" w:space="0" w:color="auto"/>
              <w:left w:val="single" w:sz="4" w:space="0" w:color="auto"/>
              <w:bottom w:val="single" w:sz="4" w:space="0" w:color="auto"/>
              <w:right w:val="single" w:sz="4" w:space="0" w:color="auto"/>
            </w:tcBorders>
            <w:vAlign w:val="center"/>
            <w:hideMark/>
          </w:tcPr>
          <w:p w14:paraId="2C3124E7" w14:textId="77777777" w:rsidR="00480F1C" w:rsidRDefault="00480F1C">
            <w:pPr>
              <w:spacing w:after="0" w:line="240" w:lineRule="auto"/>
              <w:rPr>
                <w:rFonts w:ascii="Times New Roman" w:eastAsia="Times New Roman" w:hAnsi="Times New Roman" w:cs="Times New Roman"/>
                <w:b/>
                <w:noProof/>
                <w:sz w:val="24"/>
              </w:rPr>
            </w:pPr>
          </w:p>
        </w:tc>
        <w:tc>
          <w:tcPr>
            <w:tcW w:w="1076" w:type="dxa"/>
            <w:tcBorders>
              <w:top w:val="nil"/>
              <w:left w:val="single" w:sz="4" w:space="0" w:color="auto"/>
              <w:bottom w:val="single" w:sz="4" w:space="0" w:color="auto"/>
              <w:right w:val="single" w:sz="4" w:space="0" w:color="auto"/>
            </w:tcBorders>
            <w:shd w:val="clear" w:color="auto" w:fill="BDD7EE"/>
            <w:vAlign w:val="center"/>
            <w:hideMark/>
          </w:tcPr>
          <w:p w14:paraId="74618AC8" w14:textId="77777777" w:rsidR="00480F1C" w:rsidRDefault="00A201F6">
            <w:pPr>
              <w:pStyle w:val="P68B1DB1-Normal39"/>
              <w:spacing w:after="0" w:line="240" w:lineRule="auto"/>
              <w:jc w:val="center"/>
              <w:rPr>
                <w:rFonts w:eastAsia="Times New Roman" w:cs="Times New Roman"/>
                <w:noProof/>
              </w:rPr>
            </w:pPr>
            <w:r>
              <w:rPr>
                <w:noProof/>
              </w:rPr>
              <w:t>Eenheid</w:t>
            </w:r>
          </w:p>
        </w:tc>
        <w:tc>
          <w:tcPr>
            <w:tcW w:w="943" w:type="dxa"/>
            <w:tcBorders>
              <w:top w:val="nil"/>
              <w:left w:val="nil"/>
              <w:bottom w:val="single" w:sz="4" w:space="0" w:color="auto"/>
              <w:right w:val="single" w:sz="4" w:space="0" w:color="auto"/>
            </w:tcBorders>
            <w:shd w:val="clear" w:color="auto" w:fill="BDD7EE"/>
            <w:vAlign w:val="center"/>
            <w:hideMark/>
          </w:tcPr>
          <w:p w14:paraId="5D1604D4" w14:textId="77777777" w:rsidR="00480F1C" w:rsidRDefault="00A201F6">
            <w:pPr>
              <w:pStyle w:val="P68B1DB1-Normal39"/>
              <w:spacing w:after="0" w:line="240" w:lineRule="auto"/>
              <w:jc w:val="center"/>
              <w:rPr>
                <w:rFonts w:eastAsia="Times New Roman" w:cs="Times New Roman"/>
                <w:noProof/>
              </w:rPr>
            </w:pPr>
            <w:r>
              <w:rPr>
                <w:noProof/>
              </w:rPr>
              <w:t>Basislijn</w:t>
            </w:r>
          </w:p>
        </w:tc>
        <w:tc>
          <w:tcPr>
            <w:tcW w:w="678" w:type="dxa"/>
            <w:tcBorders>
              <w:top w:val="nil"/>
              <w:left w:val="nil"/>
              <w:bottom w:val="single" w:sz="4" w:space="0" w:color="auto"/>
              <w:right w:val="single" w:sz="4" w:space="0" w:color="auto"/>
            </w:tcBorders>
            <w:shd w:val="clear" w:color="auto" w:fill="BDD7EE"/>
            <w:vAlign w:val="center"/>
            <w:hideMark/>
          </w:tcPr>
          <w:p w14:paraId="30C421B1" w14:textId="77777777" w:rsidR="00480F1C" w:rsidRDefault="00A201F6">
            <w:pPr>
              <w:pStyle w:val="P68B1DB1-Normal39"/>
              <w:spacing w:after="0" w:line="240" w:lineRule="auto"/>
              <w:jc w:val="center"/>
              <w:rPr>
                <w:rFonts w:eastAsia="Times New Roman" w:cs="Times New Roman"/>
                <w:noProof/>
              </w:rPr>
            </w:pPr>
            <w:r>
              <w:rPr>
                <w:noProof/>
              </w:rPr>
              <w:t>Doelstelling</w:t>
            </w:r>
          </w:p>
        </w:tc>
        <w:tc>
          <w:tcPr>
            <w:tcW w:w="878" w:type="dxa"/>
            <w:tcBorders>
              <w:top w:val="nil"/>
              <w:left w:val="nil"/>
              <w:bottom w:val="single" w:sz="4" w:space="0" w:color="auto"/>
              <w:right w:val="single" w:sz="4" w:space="0" w:color="auto"/>
            </w:tcBorders>
            <w:shd w:val="clear" w:color="auto" w:fill="BDD7EE"/>
            <w:vAlign w:val="center"/>
            <w:hideMark/>
          </w:tcPr>
          <w:p w14:paraId="6F4D539F" w14:textId="77777777" w:rsidR="00480F1C" w:rsidRDefault="00A201F6">
            <w:pPr>
              <w:pStyle w:val="P68B1DB1-Normal39"/>
              <w:spacing w:after="0" w:line="240" w:lineRule="auto"/>
              <w:jc w:val="center"/>
              <w:rPr>
                <w:rFonts w:eastAsia="Times New Roman" w:cs="Times New Roman"/>
                <w:noProof/>
              </w:rPr>
            </w:pPr>
            <w:r>
              <w:rPr>
                <w:noProof/>
              </w:rPr>
              <w:t>Kwartaal</w:t>
            </w:r>
          </w:p>
        </w:tc>
        <w:tc>
          <w:tcPr>
            <w:tcW w:w="884" w:type="dxa"/>
            <w:tcBorders>
              <w:top w:val="nil"/>
              <w:left w:val="nil"/>
              <w:bottom w:val="single" w:sz="4" w:space="0" w:color="auto"/>
              <w:right w:val="single" w:sz="4" w:space="0" w:color="auto"/>
            </w:tcBorders>
            <w:shd w:val="clear" w:color="auto" w:fill="BDD7EE"/>
            <w:vAlign w:val="center"/>
            <w:hideMark/>
          </w:tcPr>
          <w:p w14:paraId="048DF02E" w14:textId="77777777" w:rsidR="00480F1C" w:rsidRDefault="00A201F6">
            <w:pPr>
              <w:pStyle w:val="P68B1DB1-Normal39"/>
              <w:spacing w:after="0" w:line="240" w:lineRule="auto"/>
              <w:jc w:val="center"/>
              <w:rPr>
                <w:rFonts w:eastAsia="Times New Roman" w:cs="Times New Roman"/>
                <w:noProof/>
              </w:rPr>
            </w:pPr>
            <w:r>
              <w:rPr>
                <w:noProof/>
              </w:rPr>
              <w:t>Jaar</w:t>
            </w:r>
          </w:p>
        </w:tc>
        <w:tc>
          <w:tcPr>
            <w:tcW w:w="4146" w:type="dxa"/>
            <w:vMerge/>
            <w:tcBorders>
              <w:top w:val="single" w:sz="4" w:space="0" w:color="auto"/>
              <w:bottom w:val="single" w:sz="4" w:space="0" w:color="auto"/>
              <w:right w:val="single" w:sz="4" w:space="0" w:color="auto"/>
            </w:tcBorders>
            <w:vAlign w:val="center"/>
            <w:hideMark/>
          </w:tcPr>
          <w:p w14:paraId="5443BA19" w14:textId="77777777" w:rsidR="00480F1C" w:rsidRDefault="00480F1C">
            <w:pPr>
              <w:spacing w:after="0" w:line="240" w:lineRule="auto"/>
              <w:rPr>
                <w:rFonts w:ascii="Times New Roman" w:eastAsia="Times New Roman" w:hAnsi="Times New Roman" w:cs="Times New Roman"/>
                <w:b/>
                <w:noProof/>
                <w:sz w:val="24"/>
              </w:rPr>
            </w:pPr>
          </w:p>
        </w:tc>
      </w:tr>
      <w:tr w:rsidR="00480F1C" w14:paraId="79A7AC6F" w14:textId="77777777">
        <w:trPr>
          <w:trHeight w:val="309"/>
          <w:jc w:val="center"/>
        </w:trPr>
        <w:tc>
          <w:tcPr>
            <w:tcW w:w="809" w:type="dxa"/>
            <w:tcBorders>
              <w:top w:val="single" w:sz="4" w:space="0" w:color="auto"/>
              <w:left w:val="single" w:sz="4" w:space="0" w:color="auto"/>
              <w:bottom w:val="single" w:sz="4" w:space="0" w:color="auto"/>
              <w:right w:val="single" w:sz="4" w:space="0" w:color="auto"/>
            </w:tcBorders>
            <w:shd w:val="clear" w:color="auto" w:fill="C6EFCE"/>
            <w:noWrap/>
          </w:tcPr>
          <w:p w14:paraId="33722662" w14:textId="427D8C3F" w:rsidR="00480F1C" w:rsidRDefault="00A201F6">
            <w:pPr>
              <w:pStyle w:val="P68B1DB1-Normal12"/>
              <w:spacing w:after="0" w:line="240" w:lineRule="auto"/>
              <w:jc w:val="center"/>
              <w:rPr>
                <w:rFonts w:eastAsia="Times New Roman" w:cs="Times New Roman"/>
                <w:noProof/>
              </w:rPr>
            </w:pPr>
            <w:r>
              <w:rPr>
                <w:noProof/>
              </w:rPr>
              <w:t>G20L</w:t>
            </w:r>
          </w:p>
        </w:tc>
        <w:tc>
          <w:tcPr>
            <w:tcW w:w="1474" w:type="dxa"/>
            <w:tcBorders>
              <w:top w:val="single" w:sz="4" w:space="0" w:color="auto"/>
              <w:left w:val="nil"/>
              <w:bottom w:val="single" w:sz="4" w:space="0" w:color="auto"/>
              <w:right w:val="single" w:sz="4" w:space="0" w:color="auto"/>
            </w:tcBorders>
            <w:shd w:val="clear" w:color="auto" w:fill="C6EFCE"/>
            <w:noWrap/>
          </w:tcPr>
          <w:p w14:paraId="3D375A83" w14:textId="59ECA877" w:rsidR="00480F1C" w:rsidRDefault="00A201F6">
            <w:pPr>
              <w:pStyle w:val="P68B1DB1-Normal12"/>
              <w:spacing w:after="0" w:line="240" w:lineRule="auto"/>
              <w:rPr>
                <w:rFonts w:eastAsia="Times New Roman" w:cs="Times New Roman"/>
                <w:noProof/>
              </w:rPr>
            </w:pPr>
            <w:r>
              <w:rPr>
                <w:noProof/>
              </w:rPr>
              <w:t xml:space="preserve">G3.2.1 Bouw van aardgasinfrastructuur om energiezekerheid te waarborgen </w:t>
            </w:r>
          </w:p>
        </w:tc>
        <w:tc>
          <w:tcPr>
            <w:tcW w:w="1077" w:type="dxa"/>
            <w:tcBorders>
              <w:top w:val="single" w:sz="4" w:space="0" w:color="auto"/>
              <w:left w:val="nil"/>
              <w:bottom w:val="single" w:sz="4" w:space="0" w:color="auto"/>
              <w:right w:val="single" w:sz="4" w:space="0" w:color="auto"/>
            </w:tcBorders>
            <w:shd w:val="clear" w:color="auto" w:fill="C6EFCE"/>
            <w:noWrap/>
          </w:tcPr>
          <w:p w14:paraId="0F98366C" w14:textId="6707CDFF" w:rsidR="00480F1C" w:rsidRDefault="00A201F6">
            <w:pPr>
              <w:pStyle w:val="P68B1DB1-Normal12"/>
              <w:spacing w:after="0" w:line="240" w:lineRule="auto"/>
              <w:rPr>
                <w:rFonts w:eastAsia="Times New Roman" w:cs="Times New Roman"/>
                <w:noProof/>
              </w:rPr>
            </w:pPr>
            <w:r>
              <w:rPr>
                <w:noProof/>
              </w:rPr>
              <w:t xml:space="preserve">Mijlpaal </w:t>
            </w:r>
          </w:p>
        </w:tc>
        <w:tc>
          <w:tcPr>
            <w:tcW w:w="1874" w:type="dxa"/>
            <w:tcBorders>
              <w:top w:val="single" w:sz="4" w:space="0" w:color="auto"/>
              <w:left w:val="nil"/>
              <w:bottom w:val="single" w:sz="4" w:space="0" w:color="auto"/>
              <w:right w:val="single" w:sz="4" w:space="0" w:color="auto"/>
            </w:tcBorders>
            <w:shd w:val="clear" w:color="auto" w:fill="C6EFCE"/>
            <w:noWrap/>
          </w:tcPr>
          <w:p w14:paraId="5D6C971D" w14:textId="19D75728" w:rsidR="00480F1C" w:rsidRDefault="00A201F6">
            <w:pPr>
              <w:pStyle w:val="P68B1DB1-Normal12"/>
              <w:spacing w:after="0" w:line="240" w:lineRule="auto"/>
              <w:rPr>
                <w:rFonts w:eastAsia="Times New Roman" w:cs="Times New Roman"/>
                <w:noProof/>
              </w:rPr>
            </w:pPr>
            <w:r>
              <w:rPr>
                <w:noProof/>
              </w:rPr>
              <w:t>Afgifte van de bouwvergunningen</w:t>
            </w:r>
          </w:p>
        </w:tc>
        <w:tc>
          <w:tcPr>
            <w:tcW w:w="1606" w:type="dxa"/>
            <w:tcBorders>
              <w:top w:val="single" w:sz="4" w:space="0" w:color="auto"/>
              <w:left w:val="nil"/>
              <w:bottom w:val="single" w:sz="4" w:space="0" w:color="auto"/>
              <w:right w:val="single" w:sz="4" w:space="0" w:color="auto"/>
            </w:tcBorders>
            <w:shd w:val="clear" w:color="auto" w:fill="C6EFCE"/>
            <w:noWrap/>
          </w:tcPr>
          <w:p w14:paraId="29EE111F" w14:textId="07DBCF60" w:rsidR="00480F1C" w:rsidRDefault="00A201F6">
            <w:pPr>
              <w:pStyle w:val="P68B1DB1-Normal12"/>
              <w:spacing w:after="0" w:line="240" w:lineRule="auto"/>
              <w:rPr>
                <w:rFonts w:eastAsia="Times New Roman" w:cs="Times New Roman"/>
                <w:noProof/>
              </w:rPr>
            </w:pPr>
            <w:r>
              <w:rPr>
                <w:noProof/>
              </w:rPr>
              <w:t>Verlening van bouwvergunningen</w:t>
            </w:r>
          </w:p>
        </w:tc>
        <w:tc>
          <w:tcPr>
            <w:tcW w:w="1076" w:type="dxa"/>
            <w:tcBorders>
              <w:top w:val="nil"/>
              <w:left w:val="nil"/>
              <w:bottom w:val="single" w:sz="4" w:space="0" w:color="auto"/>
              <w:right w:val="single" w:sz="4" w:space="0" w:color="auto"/>
            </w:tcBorders>
            <w:shd w:val="clear" w:color="auto" w:fill="C6EFCE"/>
            <w:noWrap/>
          </w:tcPr>
          <w:p w14:paraId="2D13A715" w14:textId="77777777" w:rsidR="00480F1C" w:rsidRDefault="00480F1C">
            <w:pPr>
              <w:spacing w:after="0" w:line="240" w:lineRule="auto"/>
              <w:rPr>
                <w:rFonts w:ascii="Times New Roman" w:eastAsia="Times New Roman" w:hAnsi="Times New Roman" w:cs="Times New Roman"/>
                <w:noProof/>
                <w:color w:val="000000" w:themeColor="text1"/>
                <w:sz w:val="18"/>
              </w:rPr>
            </w:pPr>
          </w:p>
        </w:tc>
        <w:tc>
          <w:tcPr>
            <w:tcW w:w="943" w:type="dxa"/>
            <w:tcBorders>
              <w:top w:val="nil"/>
              <w:left w:val="nil"/>
              <w:bottom w:val="single" w:sz="4" w:space="0" w:color="auto"/>
              <w:right w:val="single" w:sz="4" w:space="0" w:color="auto"/>
            </w:tcBorders>
            <w:shd w:val="clear" w:color="auto" w:fill="C6EFCE"/>
            <w:noWrap/>
          </w:tcPr>
          <w:p w14:paraId="65FD9BC8" w14:textId="77777777" w:rsidR="00480F1C" w:rsidRDefault="00480F1C">
            <w:pPr>
              <w:spacing w:after="0" w:line="240" w:lineRule="auto"/>
              <w:jc w:val="center"/>
              <w:rPr>
                <w:rFonts w:ascii="Times New Roman" w:eastAsia="Times New Roman" w:hAnsi="Times New Roman" w:cs="Times New Roman"/>
                <w:noProof/>
                <w:color w:val="000000" w:themeColor="text1"/>
                <w:sz w:val="18"/>
              </w:rPr>
            </w:pPr>
          </w:p>
        </w:tc>
        <w:tc>
          <w:tcPr>
            <w:tcW w:w="678" w:type="dxa"/>
            <w:tcBorders>
              <w:top w:val="nil"/>
              <w:left w:val="nil"/>
              <w:bottom w:val="single" w:sz="4" w:space="0" w:color="auto"/>
              <w:right w:val="single" w:sz="4" w:space="0" w:color="auto"/>
            </w:tcBorders>
            <w:shd w:val="clear" w:color="auto" w:fill="C6EFCE"/>
            <w:noWrap/>
          </w:tcPr>
          <w:p w14:paraId="4D4E289D" w14:textId="395F9C3C" w:rsidR="00480F1C" w:rsidRDefault="00480F1C">
            <w:pPr>
              <w:spacing w:after="0" w:line="240" w:lineRule="auto"/>
              <w:jc w:val="center"/>
              <w:rPr>
                <w:rFonts w:ascii="Times New Roman" w:eastAsia="Times New Roman" w:hAnsi="Times New Roman" w:cs="Times New Roman"/>
                <w:noProof/>
                <w:color w:val="000000" w:themeColor="text1"/>
                <w:sz w:val="18"/>
              </w:rPr>
            </w:pPr>
          </w:p>
        </w:tc>
        <w:tc>
          <w:tcPr>
            <w:tcW w:w="878" w:type="dxa"/>
            <w:tcBorders>
              <w:top w:val="nil"/>
              <w:left w:val="nil"/>
              <w:bottom w:val="single" w:sz="4" w:space="0" w:color="auto"/>
              <w:right w:val="single" w:sz="4" w:space="0" w:color="auto"/>
            </w:tcBorders>
            <w:shd w:val="clear" w:color="auto" w:fill="C6EFCE"/>
            <w:noWrap/>
          </w:tcPr>
          <w:p w14:paraId="4A78EA86" w14:textId="4B7C730A" w:rsidR="00480F1C" w:rsidRDefault="00A201F6">
            <w:pPr>
              <w:pStyle w:val="P68B1DB1-Normal12"/>
              <w:spacing w:after="0" w:line="240" w:lineRule="auto"/>
              <w:jc w:val="center"/>
              <w:rPr>
                <w:rFonts w:eastAsia="Times New Roman" w:cs="Times New Roman"/>
                <w:noProof/>
              </w:rPr>
            </w:pPr>
            <w:r>
              <w:rPr>
                <w:noProof/>
              </w:rPr>
              <w:t>KWARTAAL 2</w:t>
            </w:r>
          </w:p>
        </w:tc>
        <w:tc>
          <w:tcPr>
            <w:tcW w:w="884" w:type="dxa"/>
            <w:tcBorders>
              <w:top w:val="nil"/>
              <w:left w:val="nil"/>
              <w:bottom w:val="single" w:sz="4" w:space="0" w:color="auto"/>
              <w:right w:val="single" w:sz="4" w:space="0" w:color="auto"/>
            </w:tcBorders>
            <w:shd w:val="clear" w:color="auto" w:fill="C6EFCE"/>
            <w:noWrap/>
          </w:tcPr>
          <w:p w14:paraId="1BC9E834" w14:textId="27CA33C9" w:rsidR="00480F1C" w:rsidRDefault="00A201F6">
            <w:pPr>
              <w:pStyle w:val="P68B1DB1-Normal12"/>
              <w:spacing w:after="0" w:line="240" w:lineRule="auto"/>
              <w:jc w:val="center"/>
              <w:rPr>
                <w:rFonts w:eastAsia="Times New Roman" w:cs="Times New Roman"/>
                <w:noProof/>
              </w:rPr>
            </w:pPr>
            <w:r>
              <w:rPr>
                <w:noProof/>
              </w:rPr>
              <w:t>2024</w:t>
            </w:r>
          </w:p>
        </w:tc>
        <w:tc>
          <w:tcPr>
            <w:tcW w:w="4146" w:type="dxa"/>
            <w:tcBorders>
              <w:top w:val="single" w:sz="4" w:space="0" w:color="auto"/>
              <w:left w:val="nil"/>
              <w:bottom w:val="single" w:sz="4" w:space="0" w:color="auto"/>
              <w:right w:val="single" w:sz="4" w:space="0" w:color="auto"/>
            </w:tcBorders>
            <w:shd w:val="clear" w:color="auto" w:fill="C6EFCE"/>
            <w:noWrap/>
          </w:tcPr>
          <w:p w14:paraId="2BDDDE58" w14:textId="2CEC5B46" w:rsidR="00480F1C" w:rsidRDefault="00A201F6">
            <w:pPr>
              <w:pStyle w:val="P68B1DB1-Normal12"/>
              <w:spacing w:after="0" w:line="240" w:lineRule="auto"/>
              <w:rPr>
                <w:rFonts w:eastAsia="Times New Roman" w:cs="Times New Roman"/>
                <w:noProof/>
              </w:rPr>
            </w:pPr>
            <w:r>
              <w:rPr>
                <w:noProof/>
              </w:rPr>
              <w:t>De bouwvergunningen voor de gaspijpleiding Gdańsk en Gustorzyn, met een lengte van 250 km, zijn verleend.</w:t>
            </w:r>
          </w:p>
        </w:tc>
      </w:tr>
      <w:tr w:rsidR="00480F1C" w14:paraId="360C44E3"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3166D580" w14:textId="1BD30C3C" w:rsidR="00480F1C" w:rsidRDefault="00A201F6">
            <w:pPr>
              <w:pStyle w:val="P68B1DB1-Normal25"/>
              <w:spacing w:after="0" w:line="240" w:lineRule="auto"/>
              <w:jc w:val="center"/>
              <w:rPr>
                <w:rFonts w:eastAsia="Times New Roman" w:cs="Times New Roman"/>
                <w:noProof/>
              </w:rPr>
            </w:pPr>
            <w:r>
              <w:rPr>
                <w:noProof/>
                <w:color w:val="000000" w:themeColor="text1"/>
              </w:rPr>
              <w:t>G21L</w:t>
            </w:r>
            <w:r>
              <w:rPr>
                <w:noProof/>
                <w:color w:val="0078D4"/>
              </w:rPr>
              <w:t xml:space="preserve"> </w:t>
            </w:r>
          </w:p>
        </w:tc>
        <w:tc>
          <w:tcPr>
            <w:tcW w:w="1474" w:type="dxa"/>
            <w:tcBorders>
              <w:top w:val="nil"/>
              <w:left w:val="nil"/>
              <w:bottom w:val="single" w:sz="4" w:space="0" w:color="auto"/>
              <w:right w:val="single" w:sz="4" w:space="0" w:color="auto"/>
            </w:tcBorders>
            <w:shd w:val="clear" w:color="auto" w:fill="C6EFCE"/>
            <w:noWrap/>
          </w:tcPr>
          <w:p w14:paraId="5119619F" w14:textId="67DA00B7" w:rsidR="00480F1C" w:rsidRDefault="00A201F6">
            <w:pPr>
              <w:pStyle w:val="P68B1DB1-Normal25"/>
              <w:spacing w:after="0" w:line="240" w:lineRule="auto"/>
              <w:rPr>
                <w:rFonts w:eastAsia="Times New Roman" w:cs="Times New Roman"/>
                <w:noProof/>
              </w:rPr>
            </w:pPr>
            <w:r>
              <w:rPr>
                <w:noProof/>
                <w:color w:val="000000" w:themeColor="text1"/>
              </w:rPr>
              <w:t> G3.2.1 Bouw van aardgasinfrastructuur om energiezekerheid te waarborgen</w:t>
            </w:r>
            <w:r>
              <w:rPr>
                <w:noProof/>
                <w:color w:val="0078D4"/>
              </w:rPr>
              <w:t xml:space="preserve"> </w:t>
            </w:r>
          </w:p>
        </w:tc>
        <w:tc>
          <w:tcPr>
            <w:tcW w:w="1077" w:type="dxa"/>
            <w:tcBorders>
              <w:top w:val="nil"/>
              <w:left w:val="nil"/>
              <w:bottom w:val="single" w:sz="4" w:space="0" w:color="auto"/>
              <w:right w:val="single" w:sz="4" w:space="0" w:color="auto"/>
            </w:tcBorders>
            <w:shd w:val="clear" w:color="auto" w:fill="C6EFCE"/>
            <w:noWrap/>
          </w:tcPr>
          <w:p w14:paraId="55C2ED99" w14:textId="315A47D2" w:rsidR="00480F1C" w:rsidRDefault="00A201F6">
            <w:pPr>
              <w:pStyle w:val="P68B1DB1-Normal25"/>
              <w:spacing w:after="0" w:line="240" w:lineRule="auto"/>
              <w:rPr>
                <w:rFonts w:eastAsia="Times New Roman" w:cs="Times New Roman"/>
                <w:noProof/>
              </w:rPr>
            </w:pPr>
            <w:r>
              <w:rPr>
                <w:noProof/>
                <w:color w:val="000000" w:themeColor="text1"/>
              </w:rPr>
              <w:t>Mijlpaal</w:t>
            </w:r>
            <w:r>
              <w:rPr>
                <w:noProof/>
                <w:color w:val="0078D4"/>
              </w:rPr>
              <w:t xml:space="preserve"> </w:t>
            </w:r>
          </w:p>
        </w:tc>
        <w:tc>
          <w:tcPr>
            <w:tcW w:w="1874" w:type="dxa"/>
            <w:tcBorders>
              <w:top w:val="nil"/>
              <w:left w:val="nil"/>
              <w:bottom w:val="single" w:sz="4" w:space="0" w:color="auto"/>
              <w:right w:val="single" w:sz="4" w:space="0" w:color="auto"/>
            </w:tcBorders>
            <w:shd w:val="clear" w:color="auto" w:fill="C6EFCE"/>
            <w:noWrap/>
          </w:tcPr>
          <w:p w14:paraId="3221E272" w14:textId="02765809" w:rsidR="00480F1C" w:rsidRDefault="00A201F6">
            <w:pPr>
              <w:pStyle w:val="P68B1DB1-Normal25"/>
              <w:spacing w:after="0" w:line="240" w:lineRule="auto"/>
              <w:rPr>
                <w:rFonts w:eastAsia="Times New Roman" w:cs="Times New Roman"/>
                <w:noProof/>
              </w:rPr>
            </w:pPr>
            <w:r>
              <w:rPr>
                <w:noProof/>
                <w:color w:val="000000" w:themeColor="text1"/>
              </w:rPr>
              <w:t>Selectie van de contractant</w:t>
            </w:r>
            <w:r>
              <w:rPr>
                <w:noProof/>
                <w:color w:val="0078D4"/>
              </w:rPr>
              <w:t xml:space="preserve"> </w:t>
            </w:r>
          </w:p>
        </w:tc>
        <w:tc>
          <w:tcPr>
            <w:tcW w:w="1606" w:type="dxa"/>
            <w:tcBorders>
              <w:top w:val="nil"/>
              <w:left w:val="nil"/>
              <w:bottom w:val="single" w:sz="4" w:space="0" w:color="auto"/>
              <w:right w:val="single" w:sz="4" w:space="0" w:color="auto"/>
            </w:tcBorders>
            <w:shd w:val="clear" w:color="auto" w:fill="C6EFCE"/>
            <w:noWrap/>
          </w:tcPr>
          <w:p w14:paraId="58F8FD6A" w14:textId="6A4E9311" w:rsidR="00480F1C" w:rsidRDefault="00A201F6">
            <w:pPr>
              <w:pStyle w:val="P68B1DB1-Normal25"/>
              <w:spacing w:after="0" w:line="240" w:lineRule="auto"/>
              <w:rPr>
                <w:rFonts w:eastAsia="Times New Roman" w:cs="Times New Roman"/>
                <w:noProof/>
              </w:rPr>
            </w:pPr>
            <w:r>
              <w:rPr>
                <w:noProof/>
                <w:color w:val="000000" w:themeColor="text1"/>
              </w:rPr>
              <w:t>Kennisgeving van de gunning van de opdracht</w:t>
            </w:r>
            <w:r>
              <w:rPr>
                <w:noProof/>
                <w:color w:val="0078D4"/>
              </w:rPr>
              <w:t xml:space="preserve"> </w:t>
            </w:r>
          </w:p>
        </w:tc>
        <w:tc>
          <w:tcPr>
            <w:tcW w:w="1076" w:type="dxa"/>
            <w:tcBorders>
              <w:top w:val="nil"/>
              <w:left w:val="nil"/>
              <w:bottom w:val="single" w:sz="4" w:space="0" w:color="auto"/>
              <w:right w:val="single" w:sz="4" w:space="0" w:color="auto"/>
            </w:tcBorders>
            <w:shd w:val="clear" w:color="auto" w:fill="C6EFCE"/>
            <w:noWrap/>
          </w:tcPr>
          <w:p w14:paraId="631EA8B7" w14:textId="636CEF55" w:rsidR="00480F1C" w:rsidRDefault="00A201F6">
            <w:pPr>
              <w:pStyle w:val="P68B1DB1-Normal25"/>
              <w:spacing w:after="0" w:line="240" w:lineRule="auto"/>
              <w:rPr>
                <w:rFonts w:eastAsia="Times New Roman" w:cs="Times New Roman"/>
                <w:noProof/>
              </w:rPr>
            </w:pPr>
            <w:r>
              <w:rPr>
                <w:noProof/>
              </w:rPr>
              <w:t xml:space="preserve"> </w:t>
            </w:r>
          </w:p>
        </w:tc>
        <w:tc>
          <w:tcPr>
            <w:tcW w:w="943" w:type="dxa"/>
            <w:tcBorders>
              <w:top w:val="nil"/>
              <w:left w:val="nil"/>
              <w:bottom w:val="single" w:sz="4" w:space="0" w:color="auto"/>
              <w:right w:val="single" w:sz="4" w:space="0" w:color="auto"/>
            </w:tcBorders>
            <w:shd w:val="clear" w:color="auto" w:fill="C6EFCE"/>
            <w:noWrap/>
          </w:tcPr>
          <w:p w14:paraId="2A3B7330" w14:textId="652668E4" w:rsidR="00480F1C" w:rsidRDefault="00A201F6">
            <w:pPr>
              <w:pStyle w:val="P68B1DB1-Normal25"/>
              <w:spacing w:after="0" w:line="240" w:lineRule="auto"/>
              <w:jc w:val="center"/>
              <w:rPr>
                <w:rFonts w:eastAsia="Times New Roman" w:cs="Times New Roman"/>
                <w:noProof/>
              </w:rPr>
            </w:pPr>
            <w:r>
              <w:rPr>
                <w:noProof/>
              </w:rPr>
              <w:t xml:space="preserve"> </w:t>
            </w:r>
          </w:p>
        </w:tc>
        <w:tc>
          <w:tcPr>
            <w:tcW w:w="678" w:type="dxa"/>
            <w:tcBorders>
              <w:top w:val="nil"/>
              <w:left w:val="nil"/>
              <w:bottom w:val="single" w:sz="4" w:space="0" w:color="auto"/>
              <w:right w:val="single" w:sz="4" w:space="0" w:color="auto"/>
            </w:tcBorders>
            <w:shd w:val="clear" w:color="auto" w:fill="C6EFCE"/>
            <w:noWrap/>
          </w:tcPr>
          <w:p w14:paraId="45BEB1D5" w14:textId="0D92EAF1" w:rsidR="00480F1C" w:rsidRDefault="00A201F6">
            <w:pPr>
              <w:pStyle w:val="P68B1DB1-Normal25"/>
              <w:spacing w:after="0" w:line="240" w:lineRule="auto"/>
              <w:jc w:val="center"/>
              <w:rPr>
                <w:rFonts w:eastAsia="Times New Roman" w:cs="Times New Roman"/>
                <w:noProof/>
              </w:rPr>
            </w:pPr>
            <w:r>
              <w:rPr>
                <w:noProof/>
              </w:rPr>
              <w:t xml:space="preserve"> </w:t>
            </w:r>
          </w:p>
        </w:tc>
        <w:tc>
          <w:tcPr>
            <w:tcW w:w="878" w:type="dxa"/>
            <w:tcBorders>
              <w:top w:val="nil"/>
              <w:left w:val="nil"/>
              <w:bottom w:val="single" w:sz="4" w:space="0" w:color="auto"/>
              <w:right w:val="single" w:sz="4" w:space="0" w:color="auto"/>
            </w:tcBorders>
            <w:shd w:val="clear" w:color="auto" w:fill="C6EFCE"/>
            <w:noWrap/>
          </w:tcPr>
          <w:p w14:paraId="3FB91777" w14:textId="584BD98B" w:rsidR="00480F1C" w:rsidRDefault="00A201F6">
            <w:pPr>
              <w:pStyle w:val="P68B1DB1-Normal25"/>
              <w:spacing w:after="0" w:line="240" w:lineRule="auto"/>
              <w:jc w:val="center"/>
              <w:rPr>
                <w:rFonts w:eastAsia="Times New Roman" w:cs="Times New Roman"/>
                <w:noProof/>
              </w:rPr>
            </w:pPr>
            <w:r>
              <w:rPr>
                <w:noProof/>
                <w:color w:val="000000" w:themeColor="text1"/>
              </w:rPr>
              <w:t xml:space="preserve">KWARTAAL 1 </w:t>
            </w:r>
            <w:r>
              <w:rPr>
                <w:noProof/>
                <w:color w:val="0078D4"/>
              </w:rPr>
              <w:t xml:space="preserve"> </w:t>
            </w:r>
          </w:p>
        </w:tc>
        <w:tc>
          <w:tcPr>
            <w:tcW w:w="884" w:type="dxa"/>
            <w:tcBorders>
              <w:top w:val="nil"/>
              <w:left w:val="nil"/>
              <w:bottom w:val="single" w:sz="4" w:space="0" w:color="auto"/>
              <w:right w:val="single" w:sz="4" w:space="0" w:color="auto"/>
            </w:tcBorders>
            <w:shd w:val="clear" w:color="auto" w:fill="C6EFCE"/>
            <w:noWrap/>
          </w:tcPr>
          <w:p w14:paraId="3AC5F6F7" w14:textId="70E599F6" w:rsidR="00480F1C" w:rsidRDefault="00A201F6">
            <w:pPr>
              <w:pStyle w:val="P68B1DB1-Normal25"/>
              <w:spacing w:after="0" w:line="240" w:lineRule="auto"/>
              <w:jc w:val="center"/>
              <w:rPr>
                <w:rFonts w:eastAsia="Times New Roman" w:cs="Times New Roman"/>
                <w:noProof/>
              </w:rPr>
            </w:pPr>
            <w:r>
              <w:rPr>
                <w:noProof/>
                <w:color w:val="000000" w:themeColor="text1"/>
              </w:rPr>
              <w:t>2025</w:t>
            </w:r>
            <w:r>
              <w:rPr>
                <w:noProof/>
                <w:color w:val="0078D4"/>
              </w:rPr>
              <w:t xml:space="preserve"> </w:t>
            </w:r>
          </w:p>
        </w:tc>
        <w:tc>
          <w:tcPr>
            <w:tcW w:w="4146" w:type="dxa"/>
            <w:tcBorders>
              <w:top w:val="nil"/>
              <w:left w:val="nil"/>
              <w:bottom w:val="single" w:sz="4" w:space="0" w:color="auto"/>
              <w:right w:val="single" w:sz="4" w:space="0" w:color="auto"/>
            </w:tcBorders>
            <w:shd w:val="clear" w:color="auto" w:fill="C6EFCE"/>
            <w:noWrap/>
          </w:tcPr>
          <w:p w14:paraId="57A02730" w14:textId="335064DC" w:rsidR="00480F1C" w:rsidRDefault="00A201F6">
            <w:pPr>
              <w:pStyle w:val="P68B1DB1-Normal25"/>
              <w:spacing w:after="0" w:line="240" w:lineRule="auto"/>
              <w:rPr>
                <w:rFonts w:eastAsia="Times New Roman" w:cs="Times New Roman"/>
                <w:noProof/>
              </w:rPr>
            </w:pPr>
            <w:r>
              <w:rPr>
                <w:noProof/>
                <w:color w:val="000000" w:themeColor="text1"/>
              </w:rPr>
              <w:t>Kennisgeving van de gunning van de opdracht voor de aanleg van de gasleiding Gdańsk-Gustorzyn.</w:t>
            </w:r>
            <w:r>
              <w:rPr>
                <w:noProof/>
                <w:color w:val="0078D4"/>
              </w:rPr>
              <w:t xml:space="preserve"> </w:t>
            </w:r>
          </w:p>
        </w:tc>
      </w:tr>
      <w:tr w:rsidR="00480F1C" w14:paraId="2C6ED650"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0AD72A79" w14:textId="0A8914D8" w:rsidR="00480F1C" w:rsidRDefault="00A201F6">
            <w:pPr>
              <w:pStyle w:val="P68B1DB1-Normal25"/>
              <w:spacing w:after="0" w:line="240" w:lineRule="auto"/>
              <w:jc w:val="center"/>
              <w:rPr>
                <w:rFonts w:eastAsia="Times New Roman" w:cs="Times New Roman"/>
                <w:noProof/>
              </w:rPr>
            </w:pPr>
            <w:r>
              <w:rPr>
                <w:noProof/>
                <w:color w:val="000000" w:themeColor="text1"/>
              </w:rPr>
              <w:t>G22L</w:t>
            </w:r>
            <w:r>
              <w:rPr>
                <w:noProof/>
                <w:color w:val="0078D4"/>
              </w:rPr>
              <w:t xml:space="preserve"> </w:t>
            </w:r>
          </w:p>
        </w:tc>
        <w:tc>
          <w:tcPr>
            <w:tcW w:w="1474" w:type="dxa"/>
            <w:tcBorders>
              <w:top w:val="nil"/>
              <w:left w:val="nil"/>
              <w:bottom w:val="single" w:sz="4" w:space="0" w:color="auto"/>
              <w:right w:val="single" w:sz="4" w:space="0" w:color="auto"/>
            </w:tcBorders>
            <w:shd w:val="clear" w:color="auto" w:fill="C6EFCE"/>
            <w:noWrap/>
          </w:tcPr>
          <w:p w14:paraId="7B8523A5" w14:textId="5EEB569A" w:rsidR="00480F1C" w:rsidRDefault="00A201F6">
            <w:pPr>
              <w:pStyle w:val="P68B1DB1-Normal25"/>
              <w:spacing w:after="0" w:line="240" w:lineRule="auto"/>
              <w:rPr>
                <w:rFonts w:eastAsia="Times New Roman" w:cs="Times New Roman"/>
                <w:noProof/>
              </w:rPr>
            </w:pPr>
            <w:r>
              <w:rPr>
                <w:noProof/>
                <w:color w:val="000000" w:themeColor="text1"/>
              </w:rPr>
              <w:t> G3.2.1 Bouw van aardgasinfrastructuur om energiezekerheid te waarborgen</w:t>
            </w:r>
            <w:r>
              <w:rPr>
                <w:noProof/>
                <w:color w:val="0078D4"/>
              </w:rPr>
              <w:t xml:space="preserve"> </w:t>
            </w:r>
          </w:p>
        </w:tc>
        <w:tc>
          <w:tcPr>
            <w:tcW w:w="1077" w:type="dxa"/>
            <w:tcBorders>
              <w:top w:val="nil"/>
              <w:left w:val="nil"/>
              <w:bottom w:val="single" w:sz="4" w:space="0" w:color="auto"/>
              <w:right w:val="single" w:sz="4" w:space="0" w:color="auto"/>
            </w:tcBorders>
            <w:shd w:val="clear" w:color="auto" w:fill="C6EFCE"/>
            <w:noWrap/>
          </w:tcPr>
          <w:p w14:paraId="3DB559EB" w14:textId="05664CAF" w:rsidR="00480F1C" w:rsidRDefault="00A201F6">
            <w:pPr>
              <w:pStyle w:val="P68B1DB1-Normal25"/>
              <w:spacing w:after="0" w:line="240" w:lineRule="auto"/>
              <w:rPr>
                <w:rFonts w:eastAsia="Times New Roman" w:cs="Times New Roman"/>
                <w:noProof/>
              </w:rPr>
            </w:pPr>
            <w:r>
              <w:rPr>
                <w:noProof/>
                <w:color w:val="000000" w:themeColor="text1"/>
              </w:rPr>
              <w:t>Mijlpaal</w:t>
            </w:r>
            <w:r>
              <w:rPr>
                <w:noProof/>
                <w:color w:val="0078D4"/>
              </w:rPr>
              <w:t xml:space="preserve"> </w:t>
            </w:r>
          </w:p>
        </w:tc>
        <w:tc>
          <w:tcPr>
            <w:tcW w:w="1874" w:type="dxa"/>
            <w:tcBorders>
              <w:top w:val="nil"/>
              <w:left w:val="nil"/>
              <w:bottom w:val="single" w:sz="4" w:space="0" w:color="auto"/>
              <w:right w:val="single" w:sz="4" w:space="0" w:color="auto"/>
            </w:tcBorders>
            <w:shd w:val="clear" w:color="auto" w:fill="C6EFCE"/>
            <w:noWrap/>
          </w:tcPr>
          <w:p w14:paraId="71475247" w14:textId="322F69CC" w:rsidR="00480F1C" w:rsidRDefault="00A201F6">
            <w:pPr>
              <w:pStyle w:val="P68B1DB1-Normal25"/>
              <w:spacing w:after="0" w:line="240" w:lineRule="auto"/>
              <w:rPr>
                <w:rFonts w:eastAsia="Times New Roman" w:cs="Times New Roman"/>
                <w:noProof/>
              </w:rPr>
            </w:pPr>
            <w:r>
              <w:rPr>
                <w:noProof/>
              </w:rPr>
              <w:t>Aanvang van de bouwwerkzaamheden</w:t>
            </w:r>
          </w:p>
        </w:tc>
        <w:tc>
          <w:tcPr>
            <w:tcW w:w="1606" w:type="dxa"/>
            <w:tcBorders>
              <w:top w:val="nil"/>
              <w:left w:val="nil"/>
              <w:bottom w:val="single" w:sz="4" w:space="0" w:color="auto"/>
              <w:right w:val="single" w:sz="4" w:space="0" w:color="auto"/>
            </w:tcBorders>
            <w:shd w:val="clear" w:color="auto" w:fill="C6EFCE"/>
            <w:noWrap/>
          </w:tcPr>
          <w:p w14:paraId="582C59B0" w14:textId="111C0F50" w:rsidR="00480F1C" w:rsidRDefault="00A201F6">
            <w:pPr>
              <w:pStyle w:val="P68B1DB1-Normal25"/>
              <w:spacing w:after="0" w:line="240" w:lineRule="auto"/>
              <w:rPr>
                <w:rFonts w:eastAsia="Times New Roman" w:cs="Times New Roman"/>
                <w:noProof/>
              </w:rPr>
            </w:pPr>
            <w:r>
              <w:rPr>
                <w:noProof/>
              </w:rPr>
              <w:t>Voortgangsverslag van de bevoegde autoriteiten waaruit de start van de bouwwerkzaamheden blijkt</w:t>
            </w:r>
          </w:p>
        </w:tc>
        <w:tc>
          <w:tcPr>
            <w:tcW w:w="1076" w:type="dxa"/>
            <w:tcBorders>
              <w:top w:val="nil"/>
              <w:left w:val="nil"/>
              <w:bottom w:val="single" w:sz="4" w:space="0" w:color="auto"/>
              <w:right w:val="single" w:sz="4" w:space="0" w:color="auto"/>
            </w:tcBorders>
            <w:shd w:val="clear" w:color="auto" w:fill="C6EFCE"/>
            <w:noWrap/>
          </w:tcPr>
          <w:p w14:paraId="3879A45B" w14:textId="77777777" w:rsidR="00480F1C" w:rsidRDefault="00480F1C">
            <w:pPr>
              <w:spacing w:after="0" w:line="240" w:lineRule="auto"/>
              <w:rPr>
                <w:rFonts w:ascii="Times New Roman" w:eastAsia="Times New Roman" w:hAnsi="Times New Roman" w:cs="Times New Roman"/>
                <w:noProof/>
                <w:sz w:val="18"/>
              </w:rPr>
            </w:pPr>
          </w:p>
        </w:tc>
        <w:tc>
          <w:tcPr>
            <w:tcW w:w="943" w:type="dxa"/>
            <w:tcBorders>
              <w:top w:val="nil"/>
              <w:left w:val="nil"/>
              <w:bottom w:val="single" w:sz="4" w:space="0" w:color="auto"/>
              <w:right w:val="single" w:sz="4" w:space="0" w:color="auto"/>
            </w:tcBorders>
            <w:shd w:val="clear" w:color="auto" w:fill="C6EFCE"/>
            <w:noWrap/>
          </w:tcPr>
          <w:p w14:paraId="2DA314B8" w14:textId="5F71FFF9" w:rsidR="00480F1C" w:rsidRDefault="00480F1C">
            <w:pPr>
              <w:spacing w:after="0" w:line="240" w:lineRule="auto"/>
              <w:jc w:val="center"/>
              <w:rPr>
                <w:rFonts w:ascii="Times New Roman" w:eastAsia="Times New Roman" w:hAnsi="Times New Roman" w:cs="Times New Roman"/>
                <w:noProof/>
                <w:sz w:val="18"/>
              </w:rPr>
            </w:pPr>
          </w:p>
        </w:tc>
        <w:tc>
          <w:tcPr>
            <w:tcW w:w="678" w:type="dxa"/>
            <w:tcBorders>
              <w:top w:val="nil"/>
              <w:left w:val="nil"/>
              <w:bottom w:val="single" w:sz="4" w:space="0" w:color="auto"/>
              <w:right w:val="single" w:sz="4" w:space="0" w:color="auto"/>
            </w:tcBorders>
            <w:shd w:val="clear" w:color="auto" w:fill="C6EFCE"/>
            <w:noWrap/>
          </w:tcPr>
          <w:p w14:paraId="645EB2A1" w14:textId="77777777" w:rsidR="00480F1C" w:rsidRDefault="00480F1C">
            <w:pPr>
              <w:spacing w:after="0" w:line="240" w:lineRule="auto"/>
              <w:jc w:val="center"/>
              <w:rPr>
                <w:rFonts w:ascii="Times New Roman" w:eastAsia="Times New Roman" w:hAnsi="Times New Roman" w:cs="Times New Roman"/>
                <w:noProof/>
                <w:sz w:val="18"/>
              </w:rPr>
            </w:pPr>
          </w:p>
        </w:tc>
        <w:tc>
          <w:tcPr>
            <w:tcW w:w="878" w:type="dxa"/>
            <w:tcBorders>
              <w:top w:val="nil"/>
              <w:left w:val="nil"/>
              <w:bottom w:val="single" w:sz="4" w:space="0" w:color="auto"/>
              <w:right w:val="single" w:sz="4" w:space="0" w:color="auto"/>
            </w:tcBorders>
            <w:shd w:val="clear" w:color="auto" w:fill="C6EFCE"/>
            <w:noWrap/>
          </w:tcPr>
          <w:p w14:paraId="1FF7B7E3" w14:textId="47F15B0A" w:rsidR="00480F1C" w:rsidRDefault="00A201F6">
            <w:pPr>
              <w:pStyle w:val="P68B1DB1-Normal25"/>
              <w:spacing w:after="0" w:line="240" w:lineRule="auto"/>
              <w:jc w:val="center"/>
              <w:rPr>
                <w:rFonts w:eastAsia="Times New Roman" w:cs="Times New Roman"/>
                <w:noProof/>
              </w:rPr>
            </w:pPr>
            <w:r>
              <w:rPr>
                <w:noProof/>
              </w:rPr>
              <w:t>KWARTAAL 2</w:t>
            </w:r>
          </w:p>
        </w:tc>
        <w:tc>
          <w:tcPr>
            <w:tcW w:w="884" w:type="dxa"/>
            <w:tcBorders>
              <w:top w:val="nil"/>
              <w:left w:val="nil"/>
              <w:bottom w:val="single" w:sz="4" w:space="0" w:color="auto"/>
              <w:right w:val="single" w:sz="4" w:space="0" w:color="auto"/>
            </w:tcBorders>
            <w:shd w:val="clear" w:color="auto" w:fill="C6EFCE"/>
            <w:noWrap/>
          </w:tcPr>
          <w:p w14:paraId="7D563A6E" w14:textId="4279E61C" w:rsidR="00480F1C" w:rsidRDefault="00A201F6">
            <w:pPr>
              <w:pStyle w:val="P68B1DB1-Normal25"/>
              <w:spacing w:after="0" w:line="240" w:lineRule="auto"/>
              <w:jc w:val="center"/>
              <w:rPr>
                <w:rFonts w:eastAsia="Times New Roman" w:cs="Times New Roman"/>
                <w:noProof/>
              </w:rPr>
            </w:pPr>
            <w:r>
              <w:rPr>
                <w:noProof/>
              </w:rPr>
              <w:t>2025</w:t>
            </w:r>
          </w:p>
        </w:tc>
        <w:tc>
          <w:tcPr>
            <w:tcW w:w="4146" w:type="dxa"/>
            <w:tcBorders>
              <w:top w:val="nil"/>
              <w:left w:val="nil"/>
              <w:bottom w:val="single" w:sz="4" w:space="0" w:color="auto"/>
              <w:right w:val="single" w:sz="4" w:space="0" w:color="auto"/>
            </w:tcBorders>
            <w:shd w:val="clear" w:color="auto" w:fill="C6EFCE"/>
            <w:noWrap/>
          </w:tcPr>
          <w:p w14:paraId="700C8C4A" w14:textId="145BAF8A" w:rsidR="00480F1C" w:rsidRDefault="00A201F6">
            <w:pPr>
              <w:pStyle w:val="P68B1DB1-Normal25"/>
              <w:spacing w:after="0" w:line="240" w:lineRule="auto"/>
              <w:rPr>
                <w:rFonts w:eastAsia="Times New Roman" w:cs="Times New Roman"/>
                <w:noProof/>
              </w:rPr>
            </w:pPr>
            <w:r>
              <w:rPr>
                <w:noProof/>
              </w:rPr>
              <w:t>De bouwwerkzaamheden moeten van start zijn gegaan voor ten minste één deel van de pijpleiding.</w:t>
            </w:r>
          </w:p>
        </w:tc>
      </w:tr>
      <w:tr w:rsidR="00480F1C" w14:paraId="1FE63AA3"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1A1EA60A" w14:textId="2306D273" w:rsidR="00480F1C" w:rsidRDefault="00A201F6">
            <w:pPr>
              <w:pStyle w:val="P68B1DB1-Normal25"/>
              <w:spacing w:after="0" w:line="240" w:lineRule="auto"/>
              <w:jc w:val="center"/>
              <w:rPr>
                <w:rFonts w:eastAsia="Times New Roman" w:cs="Times New Roman"/>
                <w:noProof/>
              </w:rPr>
            </w:pPr>
            <w:r>
              <w:rPr>
                <w:noProof/>
                <w:color w:val="000000" w:themeColor="text1"/>
              </w:rPr>
              <w:t>G23L</w:t>
            </w:r>
            <w:r>
              <w:rPr>
                <w:noProof/>
                <w:color w:val="0078D4"/>
              </w:rPr>
              <w:t xml:space="preserve"> </w:t>
            </w:r>
          </w:p>
        </w:tc>
        <w:tc>
          <w:tcPr>
            <w:tcW w:w="1474" w:type="dxa"/>
            <w:tcBorders>
              <w:top w:val="nil"/>
              <w:left w:val="nil"/>
              <w:bottom w:val="single" w:sz="4" w:space="0" w:color="auto"/>
              <w:right w:val="single" w:sz="4" w:space="0" w:color="auto"/>
            </w:tcBorders>
            <w:shd w:val="clear" w:color="auto" w:fill="C6EFCE"/>
            <w:noWrap/>
          </w:tcPr>
          <w:p w14:paraId="24D49125" w14:textId="6A1894FA" w:rsidR="00480F1C" w:rsidRDefault="00A201F6">
            <w:pPr>
              <w:pStyle w:val="P68B1DB1-Normal25"/>
              <w:spacing w:after="0" w:line="240" w:lineRule="auto"/>
              <w:rPr>
                <w:rFonts w:eastAsia="Times New Roman" w:cs="Times New Roman"/>
                <w:noProof/>
              </w:rPr>
            </w:pPr>
            <w:r>
              <w:rPr>
                <w:noProof/>
                <w:color w:val="000000" w:themeColor="text1"/>
              </w:rPr>
              <w:t> G3.2.1 Bouw van aardgasinfrastructuur om energiezekerheid te waarborgen</w:t>
            </w:r>
            <w:r>
              <w:rPr>
                <w:noProof/>
                <w:color w:val="0078D4"/>
              </w:rPr>
              <w:t xml:space="preserve"> </w:t>
            </w:r>
          </w:p>
        </w:tc>
        <w:tc>
          <w:tcPr>
            <w:tcW w:w="1077" w:type="dxa"/>
            <w:tcBorders>
              <w:top w:val="nil"/>
              <w:left w:val="nil"/>
              <w:bottom w:val="single" w:sz="4" w:space="0" w:color="auto"/>
              <w:right w:val="single" w:sz="4" w:space="0" w:color="auto"/>
            </w:tcBorders>
            <w:shd w:val="clear" w:color="auto" w:fill="C6EFCE"/>
            <w:noWrap/>
          </w:tcPr>
          <w:p w14:paraId="09D1052C" w14:textId="436B4DB3" w:rsidR="00480F1C" w:rsidRDefault="00A201F6">
            <w:pPr>
              <w:pStyle w:val="P68B1DB1-Normal25"/>
              <w:spacing w:after="0" w:line="240" w:lineRule="auto"/>
              <w:rPr>
                <w:rFonts w:eastAsia="Times New Roman" w:cs="Times New Roman"/>
                <w:noProof/>
              </w:rPr>
            </w:pPr>
            <w:r>
              <w:rPr>
                <w:noProof/>
              </w:rPr>
              <w:t>Mijlpaal</w:t>
            </w:r>
          </w:p>
        </w:tc>
        <w:tc>
          <w:tcPr>
            <w:tcW w:w="1874" w:type="dxa"/>
            <w:tcBorders>
              <w:top w:val="nil"/>
              <w:left w:val="nil"/>
              <w:bottom w:val="single" w:sz="4" w:space="0" w:color="auto"/>
              <w:right w:val="single" w:sz="4" w:space="0" w:color="auto"/>
            </w:tcBorders>
            <w:shd w:val="clear" w:color="auto" w:fill="C6EFCE"/>
            <w:noWrap/>
          </w:tcPr>
          <w:p w14:paraId="32C01C76" w14:textId="57C4471D" w:rsidR="00480F1C" w:rsidRDefault="00A201F6">
            <w:pPr>
              <w:pStyle w:val="P68B1DB1-Normal25"/>
              <w:spacing w:after="0" w:line="240" w:lineRule="auto"/>
              <w:rPr>
                <w:rFonts w:eastAsia="Times New Roman" w:cs="Times New Roman"/>
                <w:noProof/>
              </w:rPr>
            </w:pPr>
            <w:r>
              <w:rPr>
                <w:noProof/>
              </w:rPr>
              <w:t>Voltooiing van de aanleg van de gasleiding</w:t>
            </w:r>
          </w:p>
        </w:tc>
        <w:tc>
          <w:tcPr>
            <w:tcW w:w="1606" w:type="dxa"/>
            <w:tcBorders>
              <w:top w:val="nil"/>
              <w:left w:val="nil"/>
              <w:bottom w:val="single" w:sz="4" w:space="0" w:color="auto"/>
              <w:right w:val="single" w:sz="4" w:space="0" w:color="auto"/>
            </w:tcBorders>
            <w:shd w:val="clear" w:color="auto" w:fill="C6EFCE"/>
            <w:noWrap/>
          </w:tcPr>
          <w:p w14:paraId="0F10AC8B" w14:textId="4A8C03AE" w:rsidR="00480F1C" w:rsidRDefault="00A201F6">
            <w:pPr>
              <w:pStyle w:val="P68B1DB1-Normal25"/>
              <w:spacing w:after="0" w:line="240" w:lineRule="auto"/>
              <w:rPr>
                <w:rFonts w:eastAsia="Times New Roman" w:cs="Times New Roman"/>
                <w:noProof/>
              </w:rPr>
            </w:pPr>
            <w:r>
              <w:rPr>
                <w:noProof/>
              </w:rPr>
              <w:t>Technische aanvaarding van de gasleiding</w:t>
            </w:r>
          </w:p>
        </w:tc>
        <w:tc>
          <w:tcPr>
            <w:tcW w:w="1076" w:type="dxa"/>
            <w:tcBorders>
              <w:top w:val="nil"/>
              <w:left w:val="nil"/>
              <w:bottom w:val="single" w:sz="4" w:space="0" w:color="auto"/>
              <w:right w:val="single" w:sz="4" w:space="0" w:color="auto"/>
            </w:tcBorders>
            <w:shd w:val="clear" w:color="auto" w:fill="C6EFCE"/>
            <w:noWrap/>
          </w:tcPr>
          <w:p w14:paraId="0DB80387" w14:textId="77777777" w:rsidR="00480F1C" w:rsidRDefault="00480F1C">
            <w:pPr>
              <w:spacing w:after="0" w:line="240" w:lineRule="auto"/>
              <w:rPr>
                <w:rFonts w:ascii="Times New Roman" w:eastAsia="Times New Roman" w:hAnsi="Times New Roman" w:cs="Times New Roman"/>
                <w:noProof/>
                <w:sz w:val="18"/>
              </w:rPr>
            </w:pPr>
          </w:p>
        </w:tc>
        <w:tc>
          <w:tcPr>
            <w:tcW w:w="943" w:type="dxa"/>
            <w:tcBorders>
              <w:top w:val="nil"/>
              <w:left w:val="nil"/>
              <w:bottom w:val="single" w:sz="4" w:space="0" w:color="auto"/>
              <w:right w:val="single" w:sz="4" w:space="0" w:color="auto"/>
            </w:tcBorders>
            <w:shd w:val="clear" w:color="auto" w:fill="C6EFCE"/>
            <w:noWrap/>
          </w:tcPr>
          <w:p w14:paraId="676BF9E7" w14:textId="77777777" w:rsidR="00480F1C" w:rsidRDefault="00480F1C">
            <w:pPr>
              <w:spacing w:after="0" w:line="240" w:lineRule="auto"/>
              <w:jc w:val="center"/>
              <w:rPr>
                <w:rFonts w:ascii="Times New Roman" w:eastAsia="Times New Roman" w:hAnsi="Times New Roman" w:cs="Times New Roman"/>
                <w:noProof/>
                <w:sz w:val="18"/>
              </w:rPr>
            </w:pPr>
          </w:p>
        </w:tc>
        <w:tc>
          <w:tcPr>
            <w:tcW w:w="678" w:type="dxa"/>
            <w:tcBorders>
              <w:top w:val="nil"/>
              <w:left w:val="nil"/>
              <w:bottom w:val="single" w:sz="4" w:space="0" w:color="auto"/>
              <w:right w:val="single" w:sz="4" w:space="0" w:color="auto"/>
            </w:tcBorders>
            <w:shd w:val="clear" w:color="auto" w:fill="C6EFCE"/>
            <w:noWrap/>
          </w:tcPr>
          <w:p w14:paraId="345F0509" w14:textId="77777777" w:rsidR="00480F1C" w:rsidRDefault="00480F1C">
            <w:pPr>
              <w:spacing w:after="0" w:line="240" w:lineRule="auto"/>
              <w:jc w:val="center"/>
              <w:rPr>
                <w:rFonts w:ascii="Times New Roman" w:eastAsia="Times New Roman" w:hAnsi="Times New Roman" w:cs="Times New Roman"/>
                <w:noProof/>
                <w:sz w:val="18"/>
              </w:rPr>
            </w:pPr>
          </w:p>
        </w:tc>
        <w:tc>
          <w:tcPr>
            <w:tcW w:w="878" w:type="dxa"/>
            <w:tcBorders>
              <w:top w:val="nil"/>
              <w:left w:val="nil"/>
              <w:bottom w:val="single" w:sz="4" w:space="0" w:color="auto"/>
              <w:right w:val="single" w:sz="4" w:space="0" w:color="auto"/>
            </w:tcBorders>
            <w:shd w:val="clear" w:color="auto" w:fill="C6EFCE"/>
            <w:noWrap/>
          </w:tcPr>
          <w:p w14:paraId="3C50F63F" w14:textId="78761761" w:rsidR="00480F1C" w:rsidRDefault="00A201F6">
            <w:pPr>
              <w:pStyle w:val="P68B1DB1-Normal25"/>
              <w:spacing w:after="0" w:line="240" w:lineRule="auto"/>
              <w:jc w:val="center"/>
              <w:rPr>
                <w:rFonts w:eastAsia="Times New Roman" w:cs="Times New Roman"/>
                <w:noProof/>
              </w:rPr>
            </w:pPr>
            <w:r>
              <w:rPr>
                <w:noProof/>
              </w:rPr>
              <w:t>KWARTAAL 3</w:t>
            </w:r>
          </w:p>
        </w:tc>
        <w:tc>
          <w:tcPr>
            <w:tcW w:w="884" w:type="dxa"/>
            <w:tcBorders>
              <w:top w:val="nil"/>
              <w:left w:val="nil"/>
              <w:bottom w:val="single" w:sz="4" w:space="0" w:color="auto"/>
              <w:right w:val="single" w:sz="4" w:space="0" w:color="auto"/>
            </w:tcBorders>
            <w:shd w:val="clear" w:color="auto" w:fill="C6EFCE"/>
            <w:noWrap/>
          </w:tcPr>
          <w:p w14:paraId="0903AFC6" w14:textId="3BC2879D" w:rsidR="00480F1C" w:rsidRDefault="00A201F6">
            <w:pPr>
              <w:pStyle w:val="P68B1DB1-Normal25"/>
              <w:spacing w:after="0" w:line="240" w:lineRule="auto"/>
              <w:jc w:val="center"/>
              <w:rPr>
                <w:rFonts w:eastAsia="Times New Roman" w:cs="Times New Roman"/>
                <w:noProof/>
              </w:rPr>
            </w:pPr>
            <w:r>
              <w:rPr>
                <w:noProof/>
              </w:rPr>
              <w:t>2026</w:t>
            </w:r>
          </w:p>
        </w:tc>
        <w:tc>
          <w:tcPr>
            <w:tcW w:w="4146" w:type="dxa"/>
            <w:tcBorders>
              <w:top w:val="nil"/>
              <w:left w:val="nil"/>
              <w:bottom w:val="single" w:sz="4" w:space="0" w:color="auto"/>
              <w:right w:val="single" w:sz="4" w:space="0" w:color="auto"/>
            </w:tcBorders>
            <w:shd w:val="clear" w:color="auto" w:fill="C6EFCE"/>
            <w:noWrap/>
          </w:tcPr>
          <w:p w14:paraId="6D7AED15" w14:textId="1A82EBB5" w:rsidR="00480F1C" w:rsidRDefault="00A201F6">
            <w:pPr>
              <w:pStyle w:val="P68B1DB1-Normal12"/>
              <w:spacing w:after="0" w:line="240" w:lineRule="auto"/>
              <w:rPr>
                <w:rFonts w:eastAsia="Times New Roman" w:cs="Times New Roman"/>
                <w:noProof/>
              </w:rPr>
            </w:pPr>
            <w:r>
              <w:rPr>
                <w:noProof/>
              </w:rPr>
              <w:t>De gaspijpleiding Gdańsk en Gustorzyn, met een lengte van ten minste 250 km, wordt uiterlijk op 31 augustus 2026 aangelegd.</w:t>
            </w:r>
          </w:p>
        </w:tc>
      </w:tr>
      <w:tr w:rsidR="00480F1C" w14:paraId="7FBCCA84" w14:textId="77777777">
        <w:trPr>
          <w:trHeight w:val="309"/>
          <w:jc w:val="center"/>
        </w:trPr>
        <w:tc>
          <w:tcPr>
            <w:tcW w:w="809" w:type="dxa"/>
            <w:tcBorders>
              <w:top w:val="nil"/>
              <w:left w:val="single" w:sz="4" w:space="0" w:color="auto"/>
              <w:bottom w:val="single" w:sz="4" w:space="0" w:color="auto"/>
              <w:right w:val="single" w:sz="4" w:space="0" w:color="auto"/>
            </w:tcBorders>
            <w:shd w:val="clear" w:color="auto" w:fill="C6EFCE"/>
            <w:noWrap/>
          </w:tcPr>
          <w:p w14:paraId="1AF05490" w14:textId="39CA7A06" w:rsidR="00480F1C" w:rsidRDefault="00A201F6">
            <w:pPr>
              <w:pStyle w:val="P68B1DB1-Normal12"/>
              <w:spacing w:line="240" w:lineRule="auto"/>
              <w:jc w:val="center"/>
              <w:rPr>
                <w:noProof/>
              </w:rPr>
            </w:pPr>
            <w:r>
              <w:rPr>
                <w:noProof/>
              </w:rPr>
              <w:t>G24L</w:t>
            </w:r>
          </w:p>
        </w:tc>
        <w:tc>
          <w:tcPr>
            <w:tcW w:w="1474" w:type="dxa"/>
            <w:tcBorders>
              <w:top w:val="nil"/>
              <w:left w:val="nil"/>
              <w:bottom w:val="single" w:sz="4" w:space="0" w:color="auto"/>
              <w:right w:val="single" w:sz="4" w:space="0" w:color="auto"/>
            </w:tcBorders>
            <w:shd w:val="clear" w:color="auto" w:fill="C6EFCE"/>
            <w:noWrap/>
          </w:tcPr>
          <w:p w14:paraId="7F465FB0" w14:textId="6A77041A" w:rsidR="00480F1C" w:rsidRDefault="00A201F6">
            <w:pPr>
              <w:pStyle w:val="P68B1DB1-Normal12"/>
              <w:spacing w:line="240" w:lineRule="auto"/>
              <w:rPr>
                <w:noProof/>
              </w:rPr>
            </w:pPr>
            <w:r>
              <w:rPr>
                <w:noProof/>
              </w:rPr>
              <w:t>G3.3.1 Systemen voor energieopslag (terugvorderbare steun)</w:t>
            </w:r>
          </w:p>
        </w:tc>
        <w:tc>
          <w:tcPr>
            <w:tcW w:w="1077" w:type="dxa"/>
            <w:tcBorders>
              <w:top w:val="nil"/>
              <w:left w:val="nil"/>
              <w:bottom w:val="single" w:sz="4" w:space="0" w:color="auto"/>
              <w:right w:val="single" w:sz="4" w:space="0" w:color="auto"/>
            </w:tcBorders>
            <w:shd w:val="clear" w:color="auto" w:fill="C6EFCE"/>
            <w:noWrap/>
          </w:tcPr>
          <w:p w14:paraId="6F1A64FA" w14:textId="11B73C37" w:rsidR="00480F1C" w:rsidRDefault="00A201F6">
            <w:pPr>
              <w:pStyle w:val="P68B1DB1-Normal25"/>
              <w:spacing w:line="240" w:lineRule="auto"/>
              <w:rPr>
                <w:noProof/>
              </w:rPr>
            </w:pPr>
            <w:r>
              <w:rPr>
                <w:noProof/>
              </w:rPr>
              <w:t>Mijlpaal</w:t>
            </w:r>
          </w:p>
        </w:tc>
        <w:tc>
          <w:tcPr>
            <w:tcW w:w="1874" w:type="dxa"/>
            <w:tcBorders>
              <w:top w:val="nil"/>
              <w:left w:val="nil"/>
              <w:bottom w:val="single" w:sz="4" w:space="0" w:color="auto"/>
              <w:right w:val="single" w:sz="4" w:space="0" w:color="auto"/>
            </w:tcBorders>
            <w:shd w:val="clear" w:color="auto" w:fill="C6EFCE"/>
            <w:noWrap/>
          </w:tcPr>
          <w:p w14:paraId="0C3529A3" w14:textId="2A5C7702" w:rsidR="00480F1C" w:rsidRDefault="00A201F6">
            <w:pPr>
              <w:pStyle w:val="P68B1DB1-Normal25"/>
              <w:spacing w:line="240" w:lineRule="auto"/>
              <w:rPr>
                <w:noProof/>
              </w:rPr>
            </w:pPr>
            <w:r>
              <w:rPr>
                <w:noProof/>
              </w:rPr>
              <w:t>Modernisering van de bestaande pompopslagfaciliteit</w:t>
            </w:r>
          </w:p>
        </w:tc>
        <w:tc>
          <w:tcPr>
            <w:tcW w:w="1606" w:type="dxa"/>
            <w:tcBorders>
              <w:top w:val="nil"/>
              <w:left w:val="nil"/>
              <w:bottom w:val="single" w:sz="4" w:space="0" w:color="auto"/>
              <w:right w:val="single" w:sz="4" w:space="0" w:color="auto"/>
            </w:tcBorders>
            <w:shd w:val="clear" w:color="auto" w:fill="C6EFCE"/>
            <w:noWrap/>
          </w:tcPr>
          <w:p w14:paraId="6EBEEE93" w14:textId="42F2B1E6" w:rsidR="00480F1C" w:rsidRDefault="00A201F6">
            <w:pPr>
              <w:pStyle w:val="P68B1DB1-Normal25"/>
              <w:spacing w:line="240" w:lineRule="auto"/>
              <w:rPr>
                <w:noProof/>
              </w:rPr>
            </w:pPr>
            <w:r>
              <w:rPr>
                <w:noProof/>
              </w:rPr>
              <w:t>Voltooiing van de modernisering</w:t>
            </w:r>
          </w:p>
        </w:tc>
        <w:tc>
          <w:tcPr>
            <w:tcW w:w="1076" w:type="dxa"/>
            <w:tcBorders>
              <w:top w:val="nil"/>
              <w:left w:val="nil"/>
              <w:bottom w:val="single" w:sz="4" w:space="0" w:color="auto"/>
              <w:right w:val="single" w:sz="4" w:space="0" w:color="auto"/>
            </w:tcBorders>
            <w:shd w:val="clear" w:color="auto" w:fill="C6EFCE"/>
            <w:noWrap/>
          </w:tcPr>
          <w:p w14:paraId="73B6D105" w14:textId="4C09F3A3" w:rsidR="00480F1C" w:rsidRDefault="00480F1C">
            <w:pPr>
              <w:spacing w:line="240" w:lineRule="auto"/>
              <w:rPr>
                <w:rFonts w:ascii="Times New Roman" w:eastAsia="Times New Roman" w:hAnsi="Times New Roman" w:cs="Times New Roman"/>
                <w:noProof/>
                <w:sz w:val="18"/>
              </w:rPr>
            </w:pPr>
          </w:p>
        </w:tc>
        <w:tc>
          <w:tcPr>
            <w:tcW w:w="943" w:type="dxa"/>
            <w:tcBorders>
              <w:top w:val="nil"/>
              <w:left w:val="nil"/>
              <w:bottom w:val="single" w:sz="4" w:space="0" w:color="auto"/>
              <w:right w:val="single" w:sz="4" w:space="0" w:color="auto"/>
            </w:tcBorders>
            <w:shd w:val="clear" w:color="auto" w:fill="C6EFCE"/>
            <w:noWrap/>
          </w:tcPr>
          <w:p w14:paraId="3F2DDCE4" w14:textId="02E66C7F" w:rsidR="00480F1C" w:rsidRDefault="00480F1C">
            <w:pPr>
              <w:spacing w:line="240" w:lineRule="auto"/>
              <w:jc w:val="center"/>
              <w:rPr>
                <w:rFonts w:ascii="Times New Roman" w:eastAsia="Times New Roman" w:hAnsi="Times New Roman" w:cs="Times New Roman"/>
                <w:noProof/>
                <w:sz w:val="18"/>
              </w:rPr>
            </w:pPr>
          </w:p>
        </w:tc>
        <w:tc>
          <w:tcPr>
            <w:tcW w:w="678" w:type="dxa"/>
            <w:tcBorders>
              <w:top w:val="nil"/>
              <w:left w:val="nil"/>
              <w:bottom w:val="single" w:sz="4" w:space="0" w:color="auto"/>
              <w:right w:val="single" w:sz="4" w:space="0" w:color="auto"/>
            </w:tcBorders>
            <w:shd w:val="clear" w:color="auto" w:fill="C6EFCE"/>
            <w:noWrap/>
          </w:tcPr>
          <w:p w14:paraId="1AB0D6D1" w14:textId="52BB6970" w:rsidR="00480F1C" w:rsidRDefault="00480F1C">
            <w:pPr>
              <w:spacing w:line="240" w:lineRule="auto"/>
              <w:jc w:val="center"/>
              <w:rPr>
                <w:rFonts w:ascii="Times New Roman" w:eastAsia="Times New Roman" w:hAnsi="Times New Roman" w:cs="Times New Roman"/>
                <w:noProof/>
                <w:sz w:val="18"/>
              </w:rPr>
            </w:pPr>
          </w:p>
        </w:tc>
        <w:tc>
          <w:tcPr>
            <w:tcW w:w="878" w:type="dxa"/>
            <w:tcBorders>
              <w:top w:val="nil"/>
              <w:left w:val="nil"/>
              <w:bottom w:val="single" w:sz="4" w:space="0" w:color="auto"/>
              <w:right w:val="single" w:sz="4" w:space="0" w:color="auto"/>
            </w:tcBorders>
            <w:shd w:val="clear" w:color="auto" w:fill="C6EFCE"/>
            <w:noWrap/>
          </w:tcPr>
          <w:p w14:paraId="3C0AEC9B" w14:textId="278444DC" w:rsidR="00480F1C" w:rsidRDefault="00A201F6">
            <w:pPr>
              <w:pStyle w:val="P68B1DB1-Normal25"/>
              <w:spacing w:line="240" w:lineRule="auto"/>
              <w:jc w:val="center"/>
              <w:rPr>
                <w:noProof/>
              </w:rPr>
            </w:pPr>
            <w:r>
              <w:rPr>
                <w:noProof/>
              </w:rPr>
              <w:t>KWARTAAL 2</w:t>
            </w:r>
          </w:p>
        </w:tc>
        <w:tc>
          <w:tcPr>
            <w:tcW w:w="884" w:type="dxa"/>
            <w:tcBorders>
              <w:top w:val="nil"/>
              <w:left w:val="nil"/>
              <w:bottom w:val="single" w:sz="4" w:space="0" w:color="auto"/>
              <w:right w:val="single" w:sz="4" w:space="0" w:color="auto"/>
            </w:tcBorders>
            <w:shd w:val="clear" w:color="auto" w:fill="C6EFCE"/>
            <w:noWrap/>
          </w:tcPr>
          <w:p w14:paraId="4B28D3DE" w14:textId="61E0B32A" w:rsidR="00480F1C" w:rsidRDefault="00A201F6">
            <w:pPr>
              <w:pStyle w:val="P68B1DB1-Normal25"/>
              <w:spacing w:line="240" w:lineRule="auto"/>
              <w:jc w:val="center"/>
              <w:rPr>
                <w:noProof/>
              </w:rPr>
            </w:pPr>
            <w:r>
              <w:rPr>
                <w:noProof/>
              </w:rPr>
              <w:t>2026</w:t>
            </w:r>
          </w:p>
        </w:tc>
        <w:tc>
          <w:tcPr>
            <w:tcW w:w="4146" w:type="dxa"/>
            <w:tcBorders>
              <w:top w:val="nil"/>
              <w:left w:val="nil"/>
              <w:bottom w:val="single" w:sz="4" w:space="0" w:color="auto"/>
              <w:right w:val="single" w:sz="4" w:space="0" w:color="auto"/>
            </w:tcBorders>
            <w:shd w:val="clear" w:color="auto" w:fill="C6EFCE"/>
            <w:noWrap/>
          </w:tcPr>
          <w:p w14:paraId="02EBF6F6" w14:textId="0FEF713A" w:rsidR="00480F1C" w:rsidRDefault="00A201F6">
            <w:pPr>
              <w:pStyle w:val="P68B1DB1-Normal12"/>
              <w:spacing w:line="240" w:lineRule="auto"/>
              <w:rPr>
                <w:noProof/>
              </w:rPr>
            </w:pPr>
            <w:r>
              <w:rPr>
                <w:noProof/>
              </w:rPr>
              <w:t>Voltooiing van de modernisering van het bovenste reservoir, de bovenste waterinlaat- en afgeleide tunnels en één hydrogenerator van de opslag- en pompcentrale.</w:t>
            </w:r>
          </w:p>
          <w:p w14:paraId="034A1DDF" w14:textId="6A935242" w:rsidR="00480F1C" w:rsidRDefault="00A201F6">
            <w:pPr>
              <w:pStyle w:val="P68B1DB1-Normal12"/>
              <w:spacing w:line="240" w:lineRule="auto"/>
              <w:rPr>
                <w:noProof/>
              </w:rPr>
            </w:pPr>
            <w:r>
              <w:rPr>
                <w:noProof/>
              </w:rPr>
              <w:t>Het project leidt tot een toename van de beschikbaarheid en efficiëntie van de energiecentrale in de opwekkings- en pompmodus, en de gemoderniseerde faciliteit moet een capaciteit (turbinemodus) van ten minste 135 MW hebben.</w:t>
            </w:r>
          </w:p>
        </w:tc>
      </w:tr>
    </w:tbl>
    <w:p w14:paraId="2CFB420A" w14:textId="13749C96" w:rsidR="00480F1C" w:rsidRDefault="00480F1C">
      <w:pPr>
        <w:rPr>
          <w:rFonts w:ascii="Times New Roman" w:hAnsi="Times New Roman" w:cs="Times New Roman"/>
          <w:noProof/>
          <w:sz w:val="24"/>
        </w:rPr>
      </w:pPr>
    </w:p>
    <w:p w14:paraId="4B433FB9" w14:textId="5C18582B" w:rsidR="00480F1C" w:rsidRDefault="00480F1C">
      <w:pPr>
        <w:rPr>
          <w:rFonts w:ascii="Times New Roman" w:hAnsi="Times New Roman" w:cs="Times New Roman"/>
          <w:noProof/>
          <w:sz w:val="24"/>
        </w:rPr>
        <w:sectPr w:rsidR="00480F1C" w:rsidSect="00A17569">
          <w:headerReference w:type="even" r:id="rId181"/>
          <w:headerReference w:type="default" r:id="rId182"/>
          <w:footerReference w:type="even" r:id="rId183"/>
          <w:footerReference w:type="default" r:id="rId184"/>
          <w:headerReference w:type="first" r:id="rId185"/>
          <w:footerReference w:type="first" r:id="rId186"/>
          <w:pgSz w:w="16839" w:h="11907" w:orient="landscape"/>
          <w:pgMar w:top="1418" w:right="720" w:bottom="1418" w:left="720" w:header="709" w:footer="709" w:gutter="0"/>
          <w:cols w:space="720"/>
          <w:docGrid w:linePitch="299"/>
        </w:sectPr>
      </w:pPr>
    </w:p>
    <w:p w14:paraId="7F96C69F" w14:textId="78BE79E4" w:rsidR="00480F1C" w:rsidRDefault="00A201F6">
      <w:pPr>
        <w:pStyle w:val="P68B1DB1-Normal42"/>
        <w:rPr>
          <w:rFonts w:eastAsia="Times New Roman" w:cs="Times New Roman"/>
          <w:noProof/>
        </w:rPr>
      </w:pPr>
      <w:r>
        <w:rPr>
          <w:noProof/>
        </w:rPr>
        <w:t xml:space="preserve">DEEL 2: FINANCIËLE ONDERSTEUNING </w:t>
      </w:r>
    </w:p>
    <w:p w14:paraId="6DD6D074" w14:textId="32800FAB" w:rsidR="00480F1C" w:rsidRDefault="00A201F6">
      <w:pPr>
        <w:pStyle w:val="P68B1DB1-ListParagraph43"/>
        <w:numPr>
          <w:ilvl w:val="3"/>
          <w:numId w:val="97"/>
        </w:numPr>
        <w:tabs>
          <w:tab w:val="num" w:pos="850"/>
        </w:tabs>
        <w:spacing w:before="120" w:after="120" w:line="240" w:lineRule="auto"/>
        <w:ind w:left="426"/>
        <w:jc w:val="both"/>
        <w:rPr>
          <w:noProof/>
        </w:rPr>
      </w:pPr>
      <w:r>
        <w:rPr>
          <w:noProof/>
        </w:rPr>
        <w:t xml:space="preserve">Financiële bijdrage </w:t>
      </w:r>
    </w:p>
    <w:p w14:paraId="6507E1B5" w14:textId="6ACD2530" w:rsidR="00480F1C" w:rsidRDefault="00A201F6">
      <w:pPr>
        <w:pStyle w:val="P68B1DB1-Normal44"/>
        <w:tabs>
          <w:tab w:val="num" w:pos="850"/>
        </w:tabs>
        <w:spacing w:before="120" w:after="120" w:line="240" w:lineRule="auto"/>
        <w:ind w:left="850" w:hanging="850"/>
        <w:jc w:val="both"/>
        <w:rPr>
          <w:noProof/>
        </w:rPr>
      </w:pPr>
      <w:r>
        <w:rPr>
          <w:noProof/>
        </w:rPr>
        <w:t>De in artikel 2, lid 2, bedoelde tranches worden als volgt georganiseerd:</w:t>
      </w:r>
    </w:p>
    <w:p w14:paraId="5B188D0F" w14:textId="0A264BD7" w:rsidR="00480F1C" w:rsidRDefault="00480F1C">
      <w:pPr>
        <w:tabs>
          <w:tab w:val="num" w:pos="850"/>
        </w:tabs>
        <w:spacing w:before="120" w:after="120" w:line="240" w:lineRule="auto"/>
        <w:ind w:left="850" w:hanging="850"/>
        <w:jc w:val="both"/>
        <w:rPr>
          <w:rFonts w:ascii="Times New Roman" w:hAnsi="Times New Roman" w:cs="Times New Roman"/>
          <w:noProof/>
          <w:sz w:val="24"/>
        </w:rPr>
      </w:pPr>
    </w:p>
    <w:p w14:paraId="7984432B" w14:textId="77777777" w:rsidR="00480F1C" w:rsidRDefault="00A201F6">
      <w:pPr>
        <w:pStyle w:val="P68B1DB1-Normal45"/>
        <w:spacing w:before="120" w:after="120" w:line="240" w:lineRule="auto"/>
        <w:rPr>
          <w:rFonts w:eastAsia="Times New Roman" w:cs="Times New Roman"/>
          <w:noProof/>
        </w:rPr>
      </w:pPr>
      <w:bookmarkStart w:id="4" w:name="_Hlk150508445"/>
      <w:r>
        <w:rPr>
          <w:noProof/>
        </w:rPr>
        <w:t>2.1.1 eerste tranche (niet-terugvorderbare steun):</w:t>
      </w:r>
    </w:p>
    <w:tbl>
      <w:tblPr>
        <w:tblW w:w="10482" w:type="dxa"/>
        <w:tblLayout w:type="fixed"/>
        <w:tblLook w:val="0000" w:firstRow="0" w:lastRow="0" w:firstColumn="0" w:lastColumn="0" w:noHBand="0" w:noVBand="0"/>
      </w:tblPr>
      <w:tblGrid>
        <w:gridCol w:w="1220"/>
        <w:gridCol w:w="4213"/>
        <w:gridCol w:w="1219"/>
        <w:gridCol w:w="3830"/>
      </w:tblGrid>
      <w:tr w:rsidR="00480F1C" w14:paraId="108D8BDD" w14:textId="77777777">
        <w:trPr>
          <w:trHeight w:val="661"/>
          <w:tblHeader/>
        </w:trPr>
        <w:tc>
          <w:tcPr>
            <w:tcW w:w="1247" w:type="dxa"/>
            <w:tcBorders>
              <w:top w:val="single" w:sz="6" w:space="0" w:color="auto"/>
              <w:left w:val="single" w:sz="6" w:space="0" w:color="auto"/>
              <w:bottom w:val="single" w:sz="6" w:space="0" w:color="auto"/>
              <w:right w:val="single" w:sz="6" w:space="0" w:color="auto"/>
            </w:tcBorders>
            <w:shd w:val="clear" w:color="auto" w:fill="BDD6EE"/>
            <w:vAlign w:val="center"/>
          </w:tcPr>
          <w:p w14:paraId="6211BCFC" w14:textId="77777777" w:rsidR="00480F1C" w:rsidRDefault="00A201F6">
            <w:pPr>
              <w:pStyle w:val="P68B1DB1-Normal42"/>
              <w:spacing w:line="240" w:lineRule="auto"/>
              <w:jc w:val="center"/>
              <w:rPr>
                <w:rFonts w:eastAsia="Times New Roman" w:cs="Times New Roman"/>
                <w:noProof/>
              </w:rPr>
            </w:pPr>
            <w:r>
              <w:rPr>
                <w:noProof/>
              </w:rPr>
              <w:t>Volgnummer</w:t>
            </w:r>
          </w:p>
        </w:tc>
        <w:tc>
          <w:tcPr>
            <w:tcW w:w="4320" w:type="dxa"/>
            <w:tcBorders>
              <w:top w:val="single" w:sz="6" w:space="0" w:color="auto"/>
              <w:left w:val="single" w:sz="6" w:space="0" w:color="auto"/>
              <w:bottom w:val="single" w:sz="6" w:space="0" w:color="auto"/>
              <w:right w:val="single" w:sz="6" w:space="0" w:color="auto"/>
            </w:tcBorders>
            <w:shd w:val="clear" w:color="auto" w:fill="BDD6EE"/>
            <w:vAlign w:val="center"/>
          </w:tcPr>
          <w:p w14:paraId="5D8BECD5" w14:textId="77777777" w:rsidR="00480F1C" w:rsidRDefault="00A201F6">
            <w:pPr>
              <w:pStyle w:val="P68B1DB1-Normal42"/>
              <w:spacing w:line="240" w:lineRule="auto"/>
              <w:jc w:val="center"/>
              <w:rPr>
                <w:rFonts w:eastAsia="Times New Roman" w:cs="Times New Roman"/>
                <w:noProof/>
              </w:rPr>
            </w:pPr>
            <w:r>
              <w:rPr>
                <w:noProof/>
              </w:rPr>
              <w:t>Gerelateerde maatregel (hervorming of investering)</w:t>
            </w:r>
          </w:p>
        </w:tc>
        <w:tc>
          <w:tcPr>
            <w:tcW w:w="1245" w:type="dxa"/>
            <w:tcBorders>
              <w:top w:val="single" w:sz="6" w:space="0" w:color="auto"/>
              <w:left w:val="single" w:sz="6" w:space="0" w:color="auto"/>
              <w:bottom w:val="single" w:sz="6" w:space="0" w:color="auto"/>
              <w:right w:val="single" w:sz="6" w:space="0" w:color="auto"/>
            </w:tcBorders>
            <w:shd w:val="clear" w:color="auto" w:fill="BDD6EE"/>
            <w:vAlign w:val="center"/>
          </w:tcPr>
          <w:p w14:paraId="5C0986B0" w14:textId="77777777" w:rsidR="00480F1C" w:rsidRDefault="00A201F6">
            <w:pPr>
              <w:pStyle w:val="P68B1DB1-Normal42"/>
              <w:spacing w:line="240" w:lineRule="auto"/>
              <w:jc w:val="center"/>
              <w:rPr>
                <w:rFonts w:eastAsia="Times New Roman" w:cs="Times New Roman"/>
                <w:noProof/>
              </w:rPr>
            </w:pPr>
            <w:r>
              <w:rPr>
                <w:noProof/>
              </w:rPr>
              <w:t>Mijlpaal/Doelstelling</w:t>
            </w:r>
          </w:p>
        </w:tc>
        <w:tc>
          <w:tcPr>
            <w:tcW w:w="3927" w:type="dxa"/>
            <w:tcBorders>
              <w:top w:val="single" w:sz="6" w:space="0" w:color="auto"/>
              <w:left w:val="single" w:sz="6" w:space="0" w:color="auto"/>
              <w:bottom w:val="single" w:sz="6" w:space="0" w:color="auto"/>
              <w:right w:val="single" w:sz="6" w:space="0" w:color="auto"/>
            </w:tcBorders>
            <w:shd w:val="clear" w:color="auto" w:fill="BDD6EE"/>
            <w:vAlign w:val="center"/>
          </w:tcPr>
          <w:p w14:paraId="7480E992" w14:textId="77777777" w:rsidR="00480F1C" w:rsidRDefault="00A201F6">
            <w:pPr>
              <w:pStyle w:val="P68B1DB1-Normal42"/>
              <w:spacing w:line="240" w:lineRule="auto"/>
              <w:jc w:val="center"/>
              <w:rPr>
                <w:rFonts w:eastAsia="Times New Roman" w:cs="Times New Roman"/>
                <w:noProof/>
              </w:rPr>
            </w:pPr>
            <w:r>
              <w:rPr>
                <w:noProof/>
              </w:rPr>
              <w:t>Naam</w:t>
            </w:r>
          </w:p>
        </w:tc>
      </w:tr>
      <w:tr w:rsidR="00480F1C" w14:paraId="5E54ECFE"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213B60A6" w14:textId="77777777" w:rsidR="00480F1C" w:rsidRDefault="00A201F6">
            <w:pPr>
              <w:pStyle w:val="P68B1DB1-Normal46"/>
              <w:spacing w:line="240" w:lineRule="auto"/>
              <w:jc w:val="center"/>
              <w:rPr>
                <w:rFonts w:eastAsia="Times New Roman" w:cs="Times New Roman"/>
                <w:noProof/>
              </w:rPr>
            </w:pPr>
            <w:r>
              <w:rPr>
                <w:noProof/>
              </w:rPr>
              <w:t>A1G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7DF77F17" w14:textId="77777777" w:rsidR="00480F1C" w:rsidRDefault="00A201F6">
            <w:pPr>
              <w:pStyle w:val="P68B1DB1-Normal46"/>
              <w:spacing w:line="240" w:lineRule="auto"/>
              <w:rPr>
                <w:rFonts w:eastAsia="Times New Roman" w:cs="Times New Roman"/>
                <w:noProof/>
              </w:rPr>
            </w:pPr>
            <w:r>
              <w:rPr>
                <w:noProof/>
              </w:rPr>
              <w:t>A1.1 Hervorming van het begrotingskader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AD39DCD"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3599278" w14:textId="77777777" w:rsidR="00480F1C" w:rsidRDefault="00A201F6">
            <w:pPr>
              <w:pStyle w:val="P68B1DB1-Normal46"/>
              <w:spacing w:line="240" w:lineRule="auto"/>
              <w:rPr>
                <w:rFonts w:eastAsia="Times New Roman" w:cs="Times New Roman"/>
                <w:noProof/>
              </w:rPr>
            </w:pPr>
            <w:r>
              <w:rPr>
                <w:noProof/>
              </w:rPr>
              <w:t>Ontwikkeling van een conceptnota over het gestandaardiseerde rekeningstelsel dat is geïntegreerd met de begrotingsclassificatie</w:t>
            </w:r>
          </w:p>
        </w:tc>
      </w:tr>
      <w:tr w:rsidR="00480F1C" w14:paraId="1F50749E"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7B14BF96" w14:textId="77777777" w:rsidR="00480F1C" w:rsidRDefault="00A201F6">
            <w:pPr>
              <w:pStyle w:val="P68B1DB1-Normal46"/>
              <w:spacing w:line="240" w:lineRule="auto"/>
              <w:jc w:val="center"/>
              <w:rPr>
                <w:rFonts w:eastAsia="Times New Roman" w:cs="Times New Roman"/>
                <w:noProof/>
              </w:rPr>
            </w:pPr>
            <w:r>
              <w:rPr>
                <w:noProof/>
              </w:rPr>
              <w:t>A3G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6606CC3C" w14:textId="77777777" w:rsidR="00480F1C" w:rsidRDefault="00A201F6">
            <w:pPr>
              <w:pStyle w:val="P68B1DB1-Normal46"/>
              <w:spacing w:line="240" w:lineRule="auto"/>
              <w:rPr>
                <w:rFonts w:eastAsia="Times New Roman" w:cs="Times New Roman"/>
                <w:noProof/>
              </w:rPr>
            </w:pPr>
            <w:r>
              <w:rPr>
                <w:noProof/>
              </w:rPr>
              <w:t>A1.1 Hervorming van het begrotingskader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DD6059F"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6A266DA" w14:textId="77777777" w:rsidR="00480F1C" w:rsidRDefault="00A201F6">
            <w:pPr>
              <w:pStyle w:val="P68B1DB1-Normal46"/>
              <w:spacing w:line="240" w:lineRule="auto"/>
              <w:rPr>
                <w:rFonts w:eastAsia="Times New Roman" w:cs="Times New Roman"/>
                <w:noProof/>
              </w:rPr>
            </w:pPr>
            <w:r>
              <w:rPr>
                <w:noProof/>
              </w:rPr>
              <w:t>Inwerkingtreding van een wijziging van de wet op de openbare financiën waarbij het toepassingsgebied van de stabiliserende uitgavenregel (SER) wordt uitgebreid tot staatsfondsen voor speciale doeleinden</w:t>
            </w:r>
          </w:p>
        </w:tc>
      </w:tr>
      <w:tr w:rsidR="00480F1C" w14:paraId="5C24FE36"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6C968672" w14:textId="77777777" w:rsidR="00480F1C" w:rsidRDefault="00A201F6">
            <w:pPr>
              <w:pStyle w:val="P68B1DB1-Normal46"/>
              <w:spacing w:line="240" w:lineRule="auto"/>
              <w:jc w:val="center"/>
              <w:rPr>
                <w:rFonts w:eastAsia="Times New Roman" w:cs="Times New Roman"/>
                <w:noProof/>
              </w:rPr>
            </w:pPr>
            <w:r>
              <w:rPr>
                <w:noProof/>
              </w:rPr>
              <w:t>A5G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65B0B454" w14:textId="77777777" w:rsidR="00480F1C" w:rsidRDefault="00A201F6">
            <w:pPr>
              <w:pStyle w:val="P68B1DB1-Normal46"/>
              <w:spacing w:line="240" w:lineRule="auto"/>
              <w:rPr>
                <w:rFonts w:eastAsia="Times New Roman" w:cs="Times New Roman"/>
                <w:noProof/>
              </w:rPr>
            </w:pPr>
            <w:r>
              <w:rPr>
                <w:noProof/>
              </w:rPr>
              <w:t>A1.2 Verdere vermindering van de regelgevings- en administratieve lasten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702F087"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6D2481A" w14:textId="77777777" w:rsidR="00480F1C" w:rsidRDefault="00A201F6">
            <w:pPr>
              <w:pStyle w:val="P68B1DB1-Normal46"/>
              <w:spacing w:line="240" w:lineRule="auto"/>
              <w:rPr>
                <w:rFonts w:eastAsia="Times New Roman" w:cs="Times New Roman"/>
                <w:noProof/>
              </w:rPr>
            </w:pPr>
            <w:r>
              <w:rPr>
                <w:noProof/>
              </w:rPr>
              <w:t>Inwerkingtreding van een wetgevingspakket ter vermindering van de administratieve lasten voor bedrijven en burgers</w:t>
            </w:r>
          </w:p>
        </w:tc>
      </w:tr>
      <w:tr w:rsidR="00480F1C" w14:paraId="0C39A909"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1239459F" w14:textId="77777777" w:rsidR="00480F1C" w:rsidRDefault="00A201F6">
            <w:pPr>
              <w:pStyle w:val="P68B1DB1-Normal46"/>
              <w:spacing w:line="240" w:lineRule="auto"/>
              <w:jc w:val="center"/>
              <w:rPr>
                <w:rFonts w:eastAsia="Times New Roman" w:cs="Times New Roman"/>
                <w:noProof/>
              </w:rPr>
            </w:pPr>
            <w:r>
              <w:rPr>
                <w:noProof/>
              </w:rPr>
              <w:t>A18G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3A309CBC" w14:textId="77777777" w:rsidR="00480F1C" w:rsidRDefault="00A201F6">
            <w:pPr>
              <w:pStyle w:val="P68B1DB1-Normal46"/>
              <w:spacing w:line="240" w:lineRule="auto"/>
              <w:rPr>
                <w:rFonts w:eastAsia="Times New Roman" w:cs="Times New Roman"/>
                <w:noProof/>
              </w:rPr>
            </w:pPr>
            <w:r>
              <w:rPr>
                <w:noProof/>
              </w:rPr>
              <w:t>A1.4 Hervorming ter verbetering van het concurrentievermogen en de bescherming van producenten/consumenten in de landbouwsector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5F9A612"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564EF36" w14:textId="77777777" w:rsidR="00480F1C" w:rsidRDefault="00A201F6">
            <w:pPr>
              <w:pStyle w:val="P68B1DB1-Normal46"/>
              <w:spacing w:line="240" w:lineRule="auto"/>
              <w:rPr>
                <w:rFonts w:eastAsia="Times New Roman" w:cs="Times New Roman"/>
                <w:noProof/>
              </w:rPr>
            </w:pPr>
            <w:r>
              <w:rPr>
                <w:noProof/>
              </w:rPr>
              <w:t>Inwerkingtreding van een nieuwe wet ter bestrijding van het oneerlijke gebruik van contractuele voordelen in de landbouw- en voedingsmiddelensector</w:t>
            </w:r>
          </w:p>
        </w:tc>
      </w:tr>
      <w:tr w:rsidR="00480F1C" w14:paraId="556F1990"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1B167D83" w14:textId="77777777" w:rsidR="00480F1C" w:rsidRDefault="00A201F6">
            <w:pPr>
              <w:pStyle w:val="P68B1DB1-Normal46"/>
              <w:spacing w:line="240" w:lineRule="auto"/>
              <w:jc w:val="center"/>
              <w:rPr>
                <w:rFonts w:eastAsia="Times New Roman" w:cs="Times New Roman"/>
                <w:noProof/>
              </w:rPr>
            </w:pPr>
            <w:r>
              <w:rPr>
                <w:noProof/>
              </w:rPr>
              <w:t>A20G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48D9C9C1" w14:textId="77777777" w:rsidR="00480F1C" w:rsidRDefault="00A201F6">
            <w:pPr>
              <w:pStyle w:val="P68B1DB1-Normal46"/>
              <w:spacing w:line="240" w:lineRule="auto"/>
              <w:rPr>
                <w:rFonts w:eastAsia="Times New Roman" w:cs="Times New Roman"/>
                <w:noProof/>
              </w:rPr>
            </w:pPr>
            <w:r>
              <w:rPr>
                <w:noProof/>
              </w:rPr>
              <w:t>A1.4.1 Investeringen om de toeleveringsketen van landbouw- en voedingsproducten te diversifiëren en te verkorten en de veerkracht van de entiteiten in de keten op te bouwen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61DCFAC"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0B4DC2B" w14:textId="77777777" w:rsidR="00480F1C" w:rsidRDefault="00A201F6">
            <w:pPr>
              <w:pStyle w:val="P68B1DB1-Normal46"/>
              <w:spacing w:line="240" w:lineRule="auto"/>
              <w:rPr>
                <w:rFonts w:eastAsia="Times New Roman" w:cs="Times New Roman"/>
                <w:noProof/>
              </w:rPr>
            </w:pPr>
            <w:r>
              <w:rPr>
                <w:noProof/>
              </w:rPr>
              <w:t>Vaststelling van criteria voor de selectie van begunstigden voor alle projecten in het kader van deze investering</w:t>
            </w:r>
          </w:p>
        </w:tc>
      </w:tr>
      <w:tr w:rsidR="00480F1C" w14:paraId="72DEAD93"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22348F24" w14:textId="77777777" w:rsidR="00480F1C" w:rsidRDefault="00A201F6">
            <w:pPr>
              <w:pStyle w:val="P68B1DB1-Normal46"/>
              <w:spacing w:line="240" w:lineRule="auto"/>
              <w:jc w:val="center"/>
              <w:rPr>
                <w:rFonts w:eastAsia="Times New Roman" w:cs="Times New Roman"/>
                <w:noProof/>
              </w:rPr>
            </w:pPr>
            <w:r>
              <w:rPr>
                <w:noProof/>
              </w:rPr>
              <w:t>A27G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55642C26" w14:textId="77777777" w:rsidR="00480F1C" w:rsidRDefault="00A201F6">
            <w:pPr>
              <w:pStyle w:val="P68B1DB1-Normal46"/>
              <w:spacing w:line="240" w:lineRule="auto"/>
              <w:rPr>
                <w:rFonts w:eastAsia="Times New Roman" w:cs="Times New Roman"/>
                <w:noProof/>
              </w:rPr>
            </w:pPr>
            <w:r>
              <w:rPr>
                <w:noProof/>
              </w:rPr>
              <w:t>A2.1 Versnellen van robotisering en digitalisering en innovatieprocessen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EFE7FFF"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48163CF" w14:textId="77777777" w:rsidR="00480F1C" w:rsidRDefault="00A201F6">
            <w:pPr>
              <w:pStyle w:val="P68B1DB1-Normal46"/>
              <w:spacing w:line="240" w:lineRule="auto"/>
              <w:rPr>
                <w:rFonts w:eastAsia="Times New Roman" w:cs="Times New Roman"/>
                <w:noProof/>
              </w:rPr>
            </w:pPr>
            <w:r>
              <w:rPr>
                <w:noProof/>
              </w:rPr>
              <w:t>Inwerkingtreding van een nieuwe wet ter ondersteuning van de automatisering, digitalisering en innovatie van ondernemingen door de invoering van een belastingvermindering voor robotisering</w:t>
            </w:r>
          </w:p>
        </w:tc>
      </w:tr>
      <w:tr w:rsidR="00480F1C" w14:paraId="2E86F331"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63B5D524" w14:textId="77777777" w:rsidR="00480F1C" w:rsidRDefault="00A201F6">
            <w:pPr>
              <w:pStyle w:val="P68B1DB1-Normal46"/>
              <w:spacing w:line="240" w:lineRule="auto"/>
              <w:jc w:val="center"/>
              <w:rPr>
                <w:rFonts w:eastAsia="Times New Roman" w:cs="Times New Roman"/>
                <w:noProof/>
              </w:rPr>
            </w:pPr>
            <w:r>
              <w:rPr>
                <w:noProof/>
              </w:rPr>
              <w:t>A38G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51BE9FEB" w14:textId="77777777" w:rsidR="00480F1C" w:rsidRDefault="00A201F6">
            <w:pPr>
              <w:pStyle w:val="P68B1DB1-Normal46"/>
              <w:spacing w:line="240" w:lineRule="auto"/>
              <w:rPr>
                <w:rFonts w:eastAsia="Times New Roman" w:cs="Times New Roman"/>
                <w:noProof/>
              </w:rPr>
            </w:pPr>
            <w:r>
              <w:rPr>
                <w:noProof/>
              </w:rPr>
              <w:t>A2.4 Versterking van de samenwerkingsmechanismen tussen wetenschap en industrie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909CC0C"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7E59B63" w14:textId="77777777" w:rsidR="00480F1C" w:rsidRDefault="00A201F6">
            <w:pPr>
              <w:pStyle w:val="P68B1DB1-Normal46"/>
              <w:spacing w:line="240" w:lineRule="auto"/>
              <w:rPr>
                <w:rFonts w:eastAsia="Times New Roman" w:cs="Times New Roman"/>
                <w:noProof/>
              </w:rPr>
            </w:pPr>
            <w:r>
              <w:rPr>
                <w:noProof/>
              </w:rPr>
              <w:t>Inwerkingtreding van een wet tot wijziging van de wet op het hoger onderwijs en de wetenschap met betrekking tot de lijst van entiteiten die samen met universiteiten special purpose vehicles kunnen oprichten</w:t>
            </w:r>
          </w:p>
        </w:tc>
      </w:tr>
      <w:tr w:rsidR="00480F1C" w14:paraId="3B8E9F38"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0A2C6A8F" w14:textId="77777777" w:rsidR="00480F1C" w:rsidRDefault="00A201F6">
            <w:pPr>
              <w:pStyle w:val="P68B1DB1-Normal46"/>
              <w:spacing w:line="240" w:lineRule="auto"/>
              <w:jc w:val="center"/>
              <w:rPr>
                <w:rFonts w:eastAsia="Times New Roman" w:cs="Times New Roman"/>
                <w:noProof/>
              </w:rPr>
            </w:pPr>
            <w:r>
              <w:rPr>
                <w:noProof/>
              </w:rPr>
              <w:t>A39G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65009590" w14:textId="77777777" w:rsidR="00480F1C" w:rsidRDefault="00A201F6">
            <w:pPr>
              <w:pStyle w:val="P68B1DB1-Normal46"/>
              <w:spacing w:line="240" w:lineRule="auto"/>
              <w:rPr>
                <w:rFonts w:eastAsia="Times New Roman" w:cs="Times New Roman"/>
                <w:noProof/>
              </w:rPr>
            </w:pPr>
            <w:r>
              <w:rPr>
                <w:noProof/>
              </w:rPr>
              <w:t>A2.4 Versterking van de samenwerkingsmechanismen tussen wetenschap en industrie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2769631"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A6CD0AE" w14:textId="77777777" w:rsidR="00480F1C" w:rsidRDefault="00A201F6">
            <w:pPr>
              <w:pStyle w:val="P68B1DB1-Normal46"/>
              <w:spacing w:line="240" w:lineRule="auto"/>
              <w:rPr>
                <w:rFonts w:eastAsia="Times New Roman" w:cs="Times New Roman"/>
                <w:noProof/>
              </w:rPr>
            </w:pPr>
            <w:r>
              <w:rPr>
                <w:noProof/>
              </w:rPr>
              <w:t xml:space="preserve">Vaststelling van regels voor het gebruik van laboratoria en kennisoverdracht van instituten onder toezicht van de minister van Landbouw en Plattelandsontwikkeling  </w:t>
            </w:r>
          </w:p>
        </w:tc>
      </w:tr>
      <w:tr w:rsidR="00480F1C" w14:paraId="6CB94ABE"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697EF27F" w14:textId="77777777" w:rsidR="00480F1C" w:rsidRDefault="00A201F6">
            <w:pPr>
              <w:pStyle w:val="P68B1DB1-Normal46"/>
              <w:spacing w:line="240" w:lineRule="auto"/>
              <w:jc w:val="center"/>
              <w:rPr>
                <w:rFonts w:eastAsia="Times New Roman" w:cs="Times New Roman"/>
                <w:noProof/>
              </w:rPr>
            </w:pPr>
            <w:r>
              <w:rPr>
                <w:noProof/>
              </w:rPr>
              <w:t>A59G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4629D318" w14:textId="77777777" w:rsidR="00480F1C" w:rsidRDefault="00A201F6">
            <w:pPr>
              <w:pStyle w:val="P68B1DB1-Normal46"/>
              <w:spacing w:line="240" w:lineRule="auto"/>
              <w:rPr>
                <w:rFonts w:eastAsia="Times New Roman" w:cs="Times New Roman"/>
                <w:noProof/>
              </w:rPr>
            </w:pPr>
            <w:r>
              <w:rPr>
                <w:noProof/>
              </w:rPr>
              <w:t>A4.2 Hervorming om de arbeidsmarktsituatie van ouders te verbeteren door de toegang tot kinderopvang voor kinderen tot drie jaar te verbeteren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D941B35"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5E491C7" w14:textId="77777777" w:rsidR="00480F1C" w:rsidRDefault="00A201F6">
            <w:pPr>
              <w:pStyle w:val="P68B1DB1-Normal46"/>
              <w:spacing w:line="240" w:lineRule="auto"/>
              <w:rPr>
                <w:rFonts w:eastAsia="Times New Roman" w:cs="Times New Roman"/>
                <w:noProof/>
              </w:rPr>
            </w:pPr>
            <w:r>
              <w:rPr>
                <w:noProof/>
              </w:rPr>
              <w:t>Inwerkingtreding van een wet tot wijziging van de Wet op de opvang van kinderen tot drie jaar met als doel de organisatie van het systeem voor de financiering van de zorg voor kinderen tot drie jaar te wijzigen met het oog op de invoering van één coherent financieringsbeheersysteem voor de oprichting en werking van de kinderopvang voor kinderen tot drie jaar</w:t>
            </w:r>
          </w:p>
        </w:tc>
      </w:tr>
      <w:tr w:rsidR="00480F1C" w14:paraId="1370A398"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1B7557DB" w14:textId="77777777" w:rsidR="00480F1C" w:rsidRDefault="00A201F6">
            <w:pPr>
              <w:pStyle w:val="P68B1DB1-Normal46"/>
              <w:spacing w:line="240" w:lineRule="auto"/>
              <w:jc w:val="center"/>
              <w:rPr>
                <w:rFonts w:eastAsia="Times New Roman" w:cs="Times New Roman"/>
                <w:noProof/>
              </w:rPr>
            </w:pPr>
            <w:r>
              <w:rPr>
                <w:noProof/>
              </w:rPr>
              <w:t>A60G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7FB837B5" w14:textId="77777777" w:rsidR="00480F1C" w:rsidRDefault="00A201F6">
            <w:pPr>
              <w:pStyle w:val="P68B1DB1-Normal46"/>
              <w:spacing w:line="240" w:lineRule="auto"/>
              <w:rPr>
                <w:noProof/>
              </w:rPr>
            </w:pPr>
            <w:r>
              <w:rPr>
                <w:noProof/>
              </w:rPr>
              <w:t>A4.2.1 Steun voor kinderopvangfaciliteiten voor kinderen tot drie jaar (kinderdagverblijven, kinderclubs) onder Maluch +</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93E2213"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FAE0E8A" w14:textId="77777777" w:rsidR="00480F1C" w:rsidRDefault="00A201F6">
            <w:pPr>
              <w:pStyle w:val="P68B1DB1-Normal46"/>
              <w:spacing w:line="240" w:lineRule="auto"/>
              <w:rPr>
                <w:rFonts w:eastAsia="Times New Roman" w:cs="Times New Roman"/>
                <w:noProof/>
              </w:rPr>
            </w:pPr>
            <w:r>
              <w:rPr>
                <w:noProof/>
              </w:rPr>
              <w:t>Opzetten van een IT-systeem voor het beheer van de financiering en het opzetten van kinderopvangfaciliteiten voor kinderen tot drie jaar, waarbij verschillende financieringsbronnen voor kinderopvang worden gecombineerd</w:t>
            </w:r>
          </w:p>
        </w:tc>
      </w:tr>
      <w:tr w:rsidR="00480F1C" w14:paraId="5ED4AA81"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6340C16D" w14:textId="77777777" w:rsidR="00480F1C" w:rsidRDefault="00A201F6">
            <w:pPr>
              <w:pStyle w:val="P68B1DB1-Normal46"/>
              <w:spacing w:line="240" w:lineRule="auto"/>
              <w:jc w:val="center"/>
              <w:rPr>
                <w:rFonts w:eastAsia="Times New Roman" w:cs="Times New Roman"/>
                <w:noProof/>
              </w:rPr>
            </w:pPr>
            <w:r>
              <w:rPr>
                <w:noProof/>
              </w:rPr>
              <w:t>A62G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4649702D" w14:textId="77777777" w:rsidR="00480F1C" w:rsidRDefault="00A201F6">
            <w:pPr>
              <w:pStyle w:val="P68B1DB1-Normal46"/>
              <w:spacing w:line="240" w:lineRule="auto"/>
              <w:rPr>
                <w:rFonts w:eastAsia="Times New Roman" w:cs="Times New Roman"/>
                <w:noProof/>
              </w:rPr>
            </w:pPr>
            <w:r>
              <w:rPr>
                <w:noProof/>
              </w:rPr>
              <w:t>A4.3 Tenuitvoerlegging van het rechtskader voor entiteiten van de sociale economie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A6158AD"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3938EA8" w14:textId="77777777" w:rsidR="00480F1C" w:rsidRDefault="00A201F6">
            <w:pPr>
              <w:pStyle w:val="P68B1DB1-Normal46"/>
              <w:spacing w:line="240" w:lineRule="auto"/>
              <w:rPr>
                <w:rFonts w:eastAsia="Times New Roman" w:cs="Times New Roman"/>
                <w:noProof/>
              </w:rPr>
            </w:pPr>
            <w:r>
              <w:rPr>
                <w:noProof/>
              </w:rPr>
              <w:t>Inwerkingtreding van een wet inzake de sociale economie</w:t>
            </w:r>
          </w:p>
        </w:tc>
      </w:tr>
      <w:tr w:rsidR="00480F1C" w14:paraId="02AA846E"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1F9E1126" w14:textId="77777777" w:rsidR="00480F1C" w:rsidRDefault="00A201F6">
            <w:pPr>
              <w:pStyle w:val="P68B1DB1-Normal46"/>
              <w:spacing w:line="240" w:lineRule="auto"/>
              <w:jc w:val="center"/>
              <w:rPr>
                <w:rFonts w:eastAsia="Times New Roman" w:cs="Times New Roman"/>
                <w:noProof/>
              </w:rPr>
            </w:pPr>
            <w:r>
              <w:rPr>
                <w:noProof/>
              </w:rPr>
              <w:t>B1G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0E04A311" w14:textId="77777777" w:rsidR="00480F1C" w:rsidRDefault="00A201F6">
            <w:pPr>
              <w:pStyle w:val="P68B1DB1-Normal46"/>
              <w:spacing w:line="240" w:lineRule="auto"/>
              <w:rPr>
                <w:rFonts w:eastAsia="Times New Roman" w:cs="Times New Roman"/>
                <w:noProof/>
              </w:rPr>
            </w:pPr>
            <w:r>
              <w:rPr>
                <w:noProof/>
              </w:rPr>
              <w:t>B1.1 Schone lucht en energie-efficiëntie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2F088DB"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0BF36EA" w14:textId="77777777" w:rsidR="00480F1C" w:rsidRDefault="00A201F6">
            <w:pPr>
              <w:pStyle w:val="P68B1DB1-Normal46"/>
              <w:spacing w:line="240" w:lineRule="auto"/>
              <w:rPr>
                <w:rFonts w:eastAsia="Times New Roman" w:cs="Times New Roman"/>
                <w:noProof/>
              </w:rPr>
            </w:pPr>
            <w:r>
              <w:rPr>
                <w:noProof/>
              </w:rPr>
              <w:t>Inwerkingtreding van een wet tot wijziging van de energie-efficiëntiewet en de daarmee samenhangende wetgevingsbesluiten</w:t>
            </w:r>
          </w:p>
        </w:tc>
      </w:tr>
      <w:tr w:rsidR="00480F1C" w14:paraId="3D1992DA"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62A72622" w14:textId="77777777" w:rsidR="00480F1C" w:rsidRDefault="00A201F6">
            <w:pPr>
              <w:pStyle w:val="P68B1DB1-Normal46"/>
              <w:spacing w:line="240" w:lineRule="auto"/>
              <w:jc w:val="center"/>
              <w:rPr>
                <w:rFonts w:eastAsia="Times New Roman" w:cs="Times New Roman"/>
                <w:noProof/>
              </w:rPr>
            </w:pPr>
            <w:r>
              <w:rPr>
                <w:noProof/>
              </w:rPr>
              <w:t>B3G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416ECCB5" w14:textId="77777777" w:rsidR="00480F1C" w:rsidRDefault="00A201F6">
            <w:pPr>
              <w:pStyle w:val="P68B1DB1-Normal46"/>
              <w:spacing w:line="240" w:lineRule="auto"/>
              <w:rPr>
                <w:rFonts w:eastAsia="Times New Roman" w:cs="Times New Roman"/>
                <w:noProof/>
              </w:rPr>
            </w:pPr>
            <w:r>
              <w:rPr>
                <w:noProof/>
              </w:rPr>
              <w:t>B1.1 Schone lucht en energie-efficiëntie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2B00AE1"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69E2C62" w14:textId="77777777" w:rsidR="00480F1C" w:rsidRDefault="00A201F6">
            <w:pPr>
              <w:pStyle w:val="P68B1DB1-Normal46"/>
              <w:spacing w:line="240" w:lineRule="auto"/>
              <w:rPr>
                <w:rFonts w:eastAsia="Times New Roman" w:cs="Times New Roman"/>
                <w:noProof/>
              </w:rPr>
            </w:pPr>
            <w:r>
              <w:rPr>
                <w:noProof/>
              </w:rPr>
              <w:t>Actualisering van het nationale programma voor de bescherming van de lucht</w:t>
            </w:r>
          </w:p>
        </w:tc>
      </w:tr>
      <w:tr w:rsidR="00480F1C" w14:paraId="2F4A42DF"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19239A93" w14:textId="77777777" w:rsidR="00480F1C" w:rsidRDefault="00A201F6">
            <w:pPr>
              <w:pStyle w:val="P68B1DB1-Normal46"/>
              <w:spacing w:line="240" w:lineRule="auto"/>
              <w:jc w:val="center"/>
              <w:rPr>
                <w:rFonts w:eastAsia="Times New Roman" w:cs="Times New Roman"/>
                <w:noProof/>
              </w:rPr>
            </w:pPr>
            <w:r>
              <w:rPr>
                <w:noProof/>
              </w:rPr>
              <w:t>B16G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05EDCA07" w14:textId="77777777" w:rsidR="00480F1C" w:rsidRDefault="00A201F6">
            <w:pPr>
              <w:pStyle w:val="P68B1DB1-Normal46"/>
              <w:spacing w:line="240" w:lineRule="auto"/>
              <w:rPr>
                <w:rFonts w:eastAsia="Times New Roman" w:cs="Times New Roman"/>
                <w:noProof/>
              </w:rPr>
            </w:pPr>
            <w:r>
              <w:rPr>
                <w:noProof/>
              </w:rPr>
              <w:t>B2.1 Verbetering van de voorwaarden voor de ontwikkeling van waterstoftechnologieën en andere koolstofvrije gassen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E6C331B"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7F14E00" w14:textId="77777777" w:rsidR="00480F1C" w:rsidRDefault="00A201F6">
            <w:pPr>
              <w:pStyle w:val="P68B1DB1-Normal46"/>
              <w:spacing w:line="240" w:lineRule="auto"/>
              <w:rPr>
                <w:rFonts w:eastAsia="Times New Roman" w:cs="Times New Roman"/>
                <w:noProof/>
              </w:rPr>
            </w:pPr>
            <w:r>
              <w:rPr>
                <w:noProof/>
              </w:rPr>
              <w:t>Inwerkingtreding van handelingen tot wijziging van de wetgevingshandelingen voor waterstof als alternatieve brandstof voor vervoer</w:t>
            </w:r>
          </w:p>
        </w:tc>
      </w:tr>
      <w:tr w:rsidR="00480F1C" w14:paraId="10C4855D"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4EF43BEE" w14:textId="77777777" w:rsidR="00480F1C" w:rsidRDefault="00A201F6">
            <w:pPr>
              <w:pStyle w:val="P68B1DB1-Normal46"/>
              <w:spacing w:line="240" w:lineRule="auto"/>
              <w:jc w:val="center"/>
              <w:rPr>
                <w:rFonts w:eastAsia="Times New Roman" w:cs="Times New Roman"/>
                <w:noProof/>
              </w:rPr>
            </w:pPr>
            <w:r>
              <w:rPr>
                <w:noProof/>
              </w:rPr>
              <w:t>B39G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0AABE7EA" w14:textId="77777777" w:rsidR="00480F1C" w:rsidRDefault="00A201F6">
            <w:pPr>
              <w:pStyle w:val="P68B1DB1-Normal46"/>
              <w:spacing w:line="240" w:lineRule="auto"/>
              <w:rPr>
                <w:rFonts w:eastAsia="Times New Roman" w:cs="Times New Roman"/>
                <w:noProof/>
              </w:rPr>
            </w:pPr>
            <w:r>
              <w:rPr>
                <w:noProof/>
              </w:rPr>
              <w:t>B3.1 Duurzaam water- en afvalwaterbeheer in plattelandsgebieden ondersteunen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FECB64C"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71A8DF3" w14:textId="77777777" w:rsidR="00480F1C" w:rsidRDefault="00A201F6">
            <w:pPr>
              <w:pStyle w:val="P68B1DB1-Normal46"/>
              <w:spacing w:line="240" w:lineRule="auto"/>
              <w:rPr>
                <w:rFonts w:eastAsia="Times New Roman" w:cs="Times New Roman"/>
                <w:noProof/>
              </w:rPr>
            </w:pPr>
            <w:r>
              <w:rPr>
                <w:noProof/>
              </w:rPr>
              <w:t>Ontwikkeling van regels voor de territorialisering van steun voor investeringen in watervoorziening of riolering in plattelandsgebieden</w:t>
            </w:r>
          </w:p>
        </w:tc>
      </w:tr>
      <w:tr w:rsidR="00480F1C" w14:paraId="737A917C"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5E3CEB58" w14:textId="77777777" w:rsidR="00480F1C" w:rsidRDefault="00A201F6">
            <w:pPr>
              <w:pStyle w:val="P68B1DB1-Normal46"/>
              <w:spacing w:line="240" w:lineRule="auto"/>
              <w:jc w:val="center"/>
              <w:rPr>
                <w:rFonts w:eastAsia="Times New Roman" w:cs="Times New Roman"/>
                <w:noProof/>
              </w:rPr>
            </w:pPr>
            <w:r>
              <w:rPr>
                <w:noProof/>
              </w:rPr>
              <w:t>B4039G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621D6F66" w14:textId="77777777" w:rsidR="00480F1C" w:rsidRDefault="00A201F6">
            <w:pPr>
              <w:pStyle w:val="P68B1DB1-Normal46"/>
              <w:spacing w:line="240" w:lineRule="auto"/>
              <w:rPr>
                <w:rFonts w:eastAsia="Times New Roman" w:cs="Times New Roman"/>
                <w:noProof/>
              </w:rPr>
            </w:pPr>
            <w:r>
              <w:rPr>
                <w:noProof/>
              </w:rPr>
              <w:t>B3.1 Duurzaam water- en afvalwaterbeheer in plattelandsgebieden ondersteunen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E47937E"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AF210C8" w14:textId="77777777" w:rsidR="00480F1C" w:rsidRDefault="00A201F6">
            <w:pPr>
              <w:pStyle w:val="P68B1DB1-Normal46"/>
              <w:spacing w:line="240" w:lineRule="auto"/>
              <w:rPr>
                <w:rFonts w:eastAsia="Times New Roman" w:cs="Times New Roman"/>
                <w:noProof/>
              </w:rPr>
            </w:pPr>
            <w:r>
              <w:rPr>
                <w:noProof/>
              </w:rPr>
              <w:t>Inwerkingtreding van een rechtshandeling tot vaststelling van de verplichting om regelmatig toezicht en controle uit te oefenen op passende individuele systemen</w:t>
            </w:r>
          </w:p>
        </w:tc>
      </w:tr>
      <w:tr w:rsidR="00480F1C" w14:paraId="573064C3"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402C312A" w14:textId="77777777" w:rsidR="00480F1C" w:rsidRDefault="00A201F6">
            <w:pPr>
              <w:pStyle w:val="P68B1DB1-Normal46"/>
              <w:spacing w:line="240" w:lineRule="auto"/>
              <w:jc w:val="center"/>
              <w:rPr>
                <w:rFonts w:eastAsia="Times New Roman" w:cs="Times New Roman"/>
                <w:noProof/>
              </w:rPr>
            </w:pPr>
            <w:r>
              <w:rPr>
                <w:noProof/>
              </w:rPr>
              <w:t>C1G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7A67007B" w14:textId="77777777" w:rsidR="00480F1C" w:rsidRDefault="00A201F6">
            <w:pPr>
              <w:pStyle w:val="P68B1DB1-Normal46"/>
              <w:spacing w:line="240" w:lineRule="auto"/>
              <w:rPr>
                <w:rFonts w:eastAsia="Times New Roman" w:cs="Times New Roman"/>
                <w:noProof/>
              </w:rPr>
            </w:pPr>
            <w:r>
              <w:rPr>
                <w:noProof/>
              </w:rPr>
              <w:t>C1.1 Bevordering van de ontwikkeling van netwerkinfrastructuur om universele toegang tot hogesnelheidsinternet te waarborgen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C8A61EC"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3DB82A9" w14:textId="77777777" w:rsidR="00480F1C" w:rsidRDefault="00A201F6">
            <w:pPr>
              <w:pStyle w:val="P68B1DB1-Normal46"/>
              <w:spacing w:line="240" w:lineRule="auto"/>
              <w:rPr>
                <w:rFonts w:eastAsia="Times New Roman" w:cs="Times New Roman"/>
                <w:noProof/>
              </w:rPr>
            </w:pPr>
            <w:r>
              <w:rPr>
                <w:noProof/>
              </w:rPr>
              <w:t>Door de kanselarij van de premier opgesteld kader voor de medefinanciering van breedbandprojecten in witte gebieden van Next Generation Access (NGA), waar momenteel geen NGA-netwerk bestaat</w:t>
            </w:r>
          </w:p>
        </w:tc>
      </w:tr>
      <w:tr w:rsidR="00480F1C" w14:paraId="32950EA5"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76965EBC" w14:textId="77777777" w:rsidR="00480F1C" w:rsidRDefault="00A201F6">
            <w:pPr>
              <w:pStyle w:val="P68B1DB1-Normal46"/>
              <w:spacing w:line="240" w:lineRule="auto"/>
              <w:jc w:val="center"/>
              <w:rPr>
                <w:rFonts w:eastAsia="Times New Roman" w:cs="Times New Roman"/>
                <w:noProof/>
              </w:rPr>
            </w:pPr>
            <w:r>
              <w:rPr>
                <w:noProof/>
              </w:rPr>
              <w:t>D23G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01BD4098" w14:textId="77777777" w:rsidR="00480F1C" w:rsidRDefault="00A201F6">
            <w:pPr>
              <w:pStyle w:val="P68B1DB1-Normal46"/>
              <w:spacing w:line="240" w:lineRule="auto"/>
              <w:rPr>
                <w:rFonts w:eastAsia="Times New Roman" w:cs="Times New Roman"/>
                <w:noProof/>
              </w:rPr>
            </w:pPr>
            <w:r>
              <w:rPr>
                <w:noProof/>
              </w:rPr>
              <w:t>D2.1 De juiste voorwaarden scheppen voor een toename van het aantal medisch personeel</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463C914"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325F783" w14:textId="77777777" w:rsidR="00480F1C" w:rsidRDefault="00A201F6">
            <w:pPr>
              <w:pStyle w:val="P68B1DB1-Normal46"/>
              <w:spacing w:line="240" w:lineRule="auto"/>
              <w:rPr>
                <w:rFonts w:eastAsia="Times New Roman" w:cs="Times New Roman"/>
                <w:noProof/>
              </w:rPr>
            </w:pPr>
            <w:r>
              <w:rPr>
                <w:noProof/>
              </w:rPr>
              <w:t>Wijziging van de wet op het hoger onderwijs en de wetenschappen en op de beroepen van arts en tandarts om te voorzien in een rechtsgrondslag voor financiële steun vanaf het academisch jaar 2021/2022 voor studenten op het gebied van geneeskunde in Polen</w:t>
            </w:r>
          </w:p>
        </w:tc>
      </w:tr>
      <w:tr w:rsidR="00480F1C" w14:paraId="061F5986"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1B5F904F" w14:textId="77777777" w:rsidR="00480F1C" w:rsidRDefault="00A201F6">
            <w:pPr>
              <w:pStyle w:val="P68B1DB1-Normal46"/>
              <w:spacing w:line="240" w:lineRule="auto"/>
              <w:jc w:val="center"/>
              <w:rPr>
                <w:rFonts w:eastAsia="Times New Roman" w:cs="Times New Roman"/>
                <w:noProof/>
              </w:rPr>
            </w:pPr>
            <w:r>
              <w:rPr>
                <w:noProof/>
              </w:rPr>
              <w:t>D29G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3C2FDB4D" w14:textId="77777777" w:rsidR="00480F1C" w:rsidRDefault="00A201F6">
            <w:pPr>
              <w:pStyle w:val="P68B1DB1-Normal46"/>
              <w:spacing w:line="240" w:lineRule="auto"/>
              <w:rPr>
                <w:rFonts w:eastAsia="Times New Roman" w:cs="Times New Roman"/>
                <w:noProof/>
              </w:rPr>
            </w:pPr>
            <w:r>
              <w:rPr>
                <w:noProof/>
              </w:rPr>
              <w:t>D2.1.1 Investeringen in verband met de modernisering en aanpassing van onderwijsvoorzieningen met het oog op een verhoging van de toelatingsgrenzen voor medische studies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2FCE015"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A2D4792" w14:textId="77777777" w:rsidR="00480F1C" w:rsidRDefault="00A201F6">
            <w:pPr>
              <w:pStyle w:val="P68B1DB1-Normal46"/>
              <w:spacing w:line="240" w:lineRule="auto"/>
              <w:rPr>
                <w:rFonts w:eastAsia="Times New Roman" w:cs="Times New Roman"/>
                <w:noProof/>
              </w:rPr>
            </w:pPr>
            <w:r>
              <w:rPr>
                <w:noProof/>
              </w:rPr>
              <w:t>Inwerkingtreding van een rechtshandeling tot vaststelling van een systeem van stimulansen voor het volgen en voortzetten van studies in geselecteerde medische faculteiten door middel van studiebeurzen, studiefinanciering en mentorschap</w:t>
            </w:r>
          </w:p>
        </w:tc>
      </w:tr>
      <w:tr w:rsidR="00480F1C" w14:paraId="5095D395"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7BBA26F8" w14:textId="77777777" w:rsidR="00480F1C" w:rsidRDefault="00A201F6">
            <w:pPr>
              <w:pStyle w:val="P68B1DB1-Normal46"/>
              <w:spacing w:line="240" w:lineRule="auto"/>
              <w:jc w:val="center"/>
              <w:rPr>
                <w:rFonts w:eastAsia="Times New Roman" w:cs="Times New Roman"/>
                <w:noProof/>
              </w:rPr>
            </w:pPr>
            <w:r>
              <w:rPr>
                <w:noProof/>
              </w:rPr>
              <w:t>E8G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2F75E843" w14:textId="77777777" w:rsidR="00480F1C" w:rsidRDefault="00A201F6">
            <w:pPr>
              <w:pStyle w:val="P68B1DB1-Normal46"/>
              <w:spacing w:line="240" w:lineRule="auto"/>
              <w:rPr>
                <w:rFonts w:eastAsia="Times New Roman" w:cs="Times New Roman"/>
                <w:noProof/>
              </w:rPr>
            </w:pPr>
            <w:r>
              <w:rPr>
                <w:noProof/>
              </w:rPr>
              <w:t>E1.1.1 Steun voor een koolstofarme economie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95C2908"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F9EF7D1" w14:textId="77777777" w:rsidR="00480F1C" w:rsidRDefault="00A201F6">
            <w:pPr>
              <w:pStyle w:val="P68B1DB1-Normal46"/>
              <w:spacing w:line="240" w:lineRule="auto"/>
              <w:rPr>
                <w:rFonts w:eastAsia="Times New Roman" w:cs="Times New Roman"/>
                <w:noProof/>
              </w:rPr>
            </w:pPr>
            <w:r>
              <w:rPr>
                <w:noProof/>
              </w:rPr>
              <w:t>Oprichting van een financieel instrument (fonds) voor emissievrije en emissiearme mobiliteit en energie</w:t>
            </w:r>
          </w:p>
        </w:tc>
      </w:tr>
      <w:tr w:rsidR="00480F1C" w14:paraId="448FABE9"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1EE2DFFC" w14:textId="77777777" w:rsidR="00480F1C" w:rsidRDefault="00A201F6">
            <w:pPr>
              <w:pStyle w:val="P68B1DB1-Normal46"/>
              <w:spacing w:line="240" w:lineRule="auto"/>
              <w:jc w:val="center"/>
              <w:rPr>
                <w:rFonts w:eastAsia="Times New Roman" w:cs="Times New Roman"/>
                <w:noProof/>
              </w:rPr>
            </w:pPr>
            <w:r>
              <w:rPr>
                <w:noProof/>
              </w:rPr>
              <w:t>E23G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00B78CC2" w14:textId="77777777" w:rsidR="00480F1C" w:rsidRDefault="00A201F6">
            <w:pPr>
              <w:pStyle w:val="P68B1DB1-Normal46"/>
              <w:spacing w:line="240" w:lineRule="auto"/>
              <w:rPr>
                <w:rFonts w:eastAsia="Times New Roman" w:cs="Times New Roman"/>
                <w:noProof/>
              </w:rPr>
            </w:pPr>
            <w:r>
              <w:rPr>
                <w:noProof/>
              </w:rPr>
              <w:t>E2.2 Verbetering van de veiligheid van het vervoer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C9FA986"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4373241" w14:textId="77777777" w:rsidR="00480F1C" w:rsidRDefault="00A201F6">
            <w:pPr>
              <w:pStyle w:val="P68B1DB1-Normal46"/>
              <w:spacing w:line="240" w:lineRule="auto"/>
              <w:rPr>
                <w:rFonts w:eastAsia="Times New Roman" w:cs="Times New Roman"/>
                <w:noProof/>
              </w:rPr>
            </w:pPr>
            <w:r>
              <w:rPr>
                <w:noProof/>
              </w:rPr>
              <w:t>Inwerkingtreding van rechtshandelingen tot invoering van: prioriteit voor voetgangers op kruisingen, uniforme snelheid in bebouwde gebieden minimumafstand tussen voertuigen, verkeersveiligheidsdoelstellingen tegen 2030 (-50 % doden bij ongevallen)</w:t>
            </w:r>
          </w:p>
        </w:tc>
      </w:tr>
      <w:tr w:rsidR="00480F1C" w14:paraId="4C2941E5"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56C2E5FE" w14:textId="77777777" w:rsidR="00480F1C" w:rsidRDefault="00A201F6">
            <w:pPr>
              <w:pStyle w:val="P68B1DB1-Normal46"/>
              <w:spacing w:line="240" w:lineRule="auto"/>
              <w:jc w:val="center"/>
              <w:rPr>
                <w:rFonts w:eastAsia="Times New Roman" w:cs="Times New Roman"/>
                <w:noProof/>
              </w:rPr>
            </w:pPr>
            <w:r>
              <w:rPr>
                <w:noProof/>
              </w:rPr>
              <w:t>F1G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0DFE296D" w14:textId="77777777" w:rsidR="00480F1C" w:rsidRDefault="00A201F6">
            <w:pPr>
              <w:pStyle w:val="P68B1DB1-Normal46"/>
              <w:spacing w:line="240" w:lineRule="auto"/>
              <w:rPr>
                <w:rFonts w:eastAsia="Times New Roman" w:cs="Times New Roman"/>
                <w:noProof/>
              </w:rPr>
            </w:pPr>
            <w:r>
              <w:rPr>
                <w:noProof/>
              </w:rPr>
              <w:t>F1.1 Hervorming ter versterking van de onafhankelijkheid en onpartijdigheid van rechtbanken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A880081"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E8840C2" w14:textId="77777777" w:rsidR="00480F1C" w:rsidRDefault="00A201F6">
            <w:pPr>
              <w:pStyle w:val="P68B1DB1-Normal46"/>
              <w:spacing w:line="240" w:lineRule="auto"/>
              <w:rPr>
                <w:rFonts w:eastAsia="Times New Roman" w:cs="Times New Roman"/>
                <w:noProof/>
              </w:rPr>
            </w:pPr>
            <w:r>
              <w:rPr>
                <w:noProof/>
              </w:rPr>
              <w:t>Inwerkingtreding van een hervorming ter versterking van de onafhankelijkheid en onpartijdigheid van de rechtbanken</w:t>
            </w:r>
          </w:p>
        </w:tc>
      </w:tr>
      <w:tr w:rsidR="00480F1C" w14:paraId="45BF946B"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65D1CBED" w14:textId="77777777" w:rsidR="00480F1C" w:rsidRDefault="00A201F6">
            <w:pPr>
              <w:pStyle w:val="P68B1DB1-Normal46"/>
              <w:spacing w:line="240" w:lineRule="auto"/>
              <w:jc w:val="center"/>
              <w:rPr>
                <w:rFonts w:eastAsia="Times New Roman" w:cs="Times New Roman"/>
                <w:noProof/>
              </w:rPr>
            </w:pPr>
            <w:r>
              <w:rPr>
                <w:noProof/>
              </w:rPr>
              <w:t>F2G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3C8925DB" w14:textId="77777777" w:rsidR="00480F1C" w:rsidRDefault="00A201F6">
            <w:pPr>
              <w:pStyle w:val="P68B1DB1-Normal46"/>
              <w:spacing w:line="240" w:lineRule="auto"/>
              <w:rPr>
                <w:rFonts w:eastAsia="Times New Roman" w:cs="Times New Roman"/>
                <w:noProof/>
              </w:rPr>
            </w:pPr>
            <w:r>
              <w:rPr>
                <w:noProof/>
              </w:rPr>
              <w:t>F2.1 Hervorming om de situatie te verhelpen van rechters die worden geraakt door de beslissingen van de tuchtkamer van het hooggerechtshof in tuchtzaken en zaken inzake rechterlijke immuniteit</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47E0577"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1A4AE4D" w14:textId="77777777" w:rsidR="00480F1C" w:rsidRDefault="00A201F6">
            <w:pPr>
              <w:pStyle w:val="P68B1DB1-Normal46"/>
              <w:spacing w:line="240" w:lineRule="auto"/>
              <w:rPr>
                <w:rFonts w:eastAsia="Times New Roman" w:cs="Times New Roman"/>
                <w:noProof/>
              </w:rPr>
            </w:pPr>
            <w:r>
              <w:rPr>
                <w:noProof/>
              </w:rPr>
              <w:t>Inwerkingtreding van een hervorming ter versterking van de onafhankelijkheid en onpartijdigheid van de rechtbanken</w:t>
            </w:r>
          </w:p>
        </w:tc>
      </w:tr>
      <w:tr w:rsidR="00480F1C" w14:paraId="234F4961"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61AD9B8B" w14:textId="77777777" w:rsidR="00480F1C" w:rsidRDefault="00A201F6">
            <w:pPr>
              <w:pStyle w:val="P68B1DB1-Normal46"/>
              <w:spacing w:line="240" w:lineRule="auto"/>
              <w:jc w:val="center"/>
              <w:rPr>
                <w:rFonts w:eastAsia="Times New Roman" w:cs="Times New Roman"/>
                <w:noProof/>
              </w:rPr>
            </w:pPr>
            <w:r>
              <w:rPr>
                <w:noProof/>
              </w:rPr>
              <w:t>F5G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5C35190F" w14:textId="77777777" w:rsidR="00480F1C" w:rsidRDefault="00A201F6">
            <w:pPr>
              <w:pStyle w:val="P68B1DB1-Normal46"/>
              <w:spacing w:line="240" w:lineRule="auto"/>
              <w:rPr>
                <w:rFonts w:eastAsia="Times New Roman" w:cs="Times New Roman"/>
                <w:noProof/>
              </w:rPr>
            </w:pPr>
            <w:r>
              <w:rPr>
                <w:noProof/>
              </w:rPr>
              <w:t>F3.1 Verbetering van de voorwaarden voor de uitvoering van het herstel- en veerkrachtplan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C0F2E0F"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D66FEF1" w14:textId="77777777" w:rsidR="00480F1C" w:rsidRDefault="00A201F6">
            <w:pPr>
              <w:pStyle w:val="P68B1DB1-Normal46"/>
              <w:spacing w:line="240" w:lineRule="auto"/>
              <w:rPr>
                <w:rFonts w:eastAsia="Times New Roman" w:cs="Times New Roman"/>
                <w:noProof/>
              </w:rPr>
            </w:pPr>
            <w:r>
              <w:rPr>
                <w:noProof/>
              </w:rPr>
              <w:t xml:space="preserve"> Inwerkingtreding van een rechtshandeling waarbij een monitoringcomité wordt opgericht en dat comité belast met het toezicht op de doeltreffende uitvoering van het herstel- en veerkrachtplan</w:t>
            </w:r>
          </w:p>
        </w:tc>
      </w:tr>
      <w:tr w:rsidR="00480F1C" w14:paraId="234FE2FC" w14:textId="77777777">
        <w:trPr>
          <w:trHeight w:val="300"/>
        </w:trPr>
        <w:tc>
          <w:tcPr>
            <w:tcW w:w="1247" w:type="dxa"/>
            <w:tcBorders>
              <w:top w:val="single" w:sz="6" w:space="0" w:color="auto"/>
              <w:left w:val="single" w:sz="6" w:space="0" w:color="auto"/>
              <w:bottom w:val="single" w:sz="6" w:space="0" w:color="auto"/>
              <w:right w:val="single" w:sz="6" w:space="0" w:color="auto"/>
            </w:tcBorders>
            <w:shd w:val="clear" w:color="auto" w:fill="C6EFCE"/>
          </w:tcPr>
          <w:p w14:paraId="33BEE262" w14:textId="77777777" w:rsidR="00480F1C" w:rsidRDefault="00A201F6">
            <w:pPr>
              <w:pStyle w:val="P68B1DB1-Normal46"/>
              <w:spacing w:line="240" w:lineRule="auto"/>
              <w:jc w:val="center"/>
              <w:rPr>
                <w:rFonts w:eastAsia="Times New Roman" w:cs="Times New Roman"/>
                <w:noProof/>
              </w:rPr>
            </w:pPr>
            <w:r>
              <w:rPr>
                <w:noProof/>
              </w:rPr>
              <w:t>F6G</w:t>
            </w:r>
          </w:p>
        </w:tc>
        <w:tc>
          <w:tcPr>
            <w:tcW w:w="4320" w:type="dxa"/>
            <w:tcBorders>
              <w:top w:val="single" w:sz="6" w:space="0" w:color="auto"/>
              <w:left w:val="single" w:sz="6" w:space="0" w:color="auto"/>
              <w:bottom w:val="single" w:sz="6" w:space="0" w:color="auto"/>
              <w:right w:val="single" w:sz="6" w:space="0" w:color="auto"/>
            </w:tcBorders>
            <w:shd w:val="clear" w:color="auto" w:fill="C6EFCE"/>
          </w:tcPr>
          <w:p w14:paraId="3CFFA2C4" w14:textId="77777777" w:rsidR="00480F1C" w:rsidRDefault="00A201F6">
            <w:pPr>
              <w:pStyle w:val="P68B1DB1-Normal46"/>
              <w:spacing w:line="240" w:lineRule="auto"/>
              <w:rPr>
                <w:rFonts w:eastAsia="Times New Roman" w:cs="Times New Roman"/>
                <w:noProof/>
              </w:rPr>
            </w:pPr>
            <w:r>
              <w:rPr>
                <w:noProof/>
              </w:rPr>
              <w:t>F3.1 Verbetering van de voorwaarden voor de uitvoering van het herstel- en veerkrachtplan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61418E3"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C0B9495" w14:textId="77777777" w:rsidR="00480F1C" w:rsidRDefault="00A201F6">
            <w:pPr>
              <w:pStyle w:val="P68B1DB1-Normal46"/>
              <w:spacing w:line="240" w:lineRule="auto"/>
              <w:rPr>
                <w:rFonts w:eastAsia="Times New Roman" w:cs="Times New Roman"/>
                <w:noProof/>
              </w:rPr>
            </w:pPr>
            <w:r>
              <w:rPr>
                <w:noProof/>
              </w:rPr>
              <w:t>Goedkeuring van de richtsnoeren door de minister belast met regionale ontwikkeling tot vaststelling van de regels voor de betrokkenheid van belanghebbenden en sociale partners bij de uitvoering van het herstel- en veerkrachtplan</w:t>
            </w:r>
          </w:p>
        </w:tc>
      </w:tr>
      <w:tr w:rsidR="00480F1C" w14:paraId="22BCD263" w14:textId="77777777">
        <w:tc>
          <w:tcPr>
            <w:tcW w:w="1247" w:type="dxa"/>
            <w:tcBorders>
              <w:top w:val="single" w:sz="6" w:space="0" w:color="auto"/>
              <w:left w:val="single" w:sz="6" w:space="0" w:color="auto"/>
              <w:bottom w:val="single" w:sz="4" w:space="0" w:color="auto"/>
              <w:right w:val="single" w:sz="6" w:space="0" w:color="auto"/>
            </w:tcBorders>
            <w:shd w:val="clear" w:color="auto" w:fill="C6EFCE"/>
          </w:tcPr>
          <w:p w14:paraId="4AC3A2A1" w14:textId="77777777" w:rsidR="00480F1C" w:rsidRDefault="00A201F6">
            <w:pPr>
              <w:pStyle w:val="P68B1DB1-Normal46"/>
              <w:spacing w:line="240" w:lineRule="auto"/>
              <w:jc w:val="center"/>
              <w:rPr>
                <w:rFonts w:eastAsia="Times New Roman" w:cs="Times New Roman"/>
                <w:noProof/>
              </w:rPr>
            </w:pPr>
            <w:r>
              <w:rPr>
                <w:noProof/>
              </w:rPr>
              <w:t>F7G</w:t>
            </w:r>
          </w:p>
        </w:tc>
        <w:tc>
          <w:tcPr>
            <w:tcW w:w="4320" w:type="dxa"/>
            <w:tcBorders>
              <w:top w:val="single" w:sz="6" w:space="0" w:color="auto"/>
              <w:left w:val="single" w:sz="6" w:space="0" w:color="auto"/>
              <w:bottom w:val="single" w:sz="4" w:space="0" w:color="auto"/>
              <w:right w:val="single" w:sz="6" w:space="0" w:color="auto"/>
            </w:tcBorders>
            <w:shd w:val="clear" w:color="auto" w:fill="C6EFCE"/>
          </w:tcPr>
          <w:p w14:paraId="4E42E676" w14:textId="77777777" w:rsidR="00480F1C" w:rsidRDefault="00A201F6">
            <w:pPr>
              <w:pStyle w:val="P68B1DB1-Normal46"/>
              <w:spacing w:line="240" w:lineRule="auto"/>
              <w:rPr>
                <w:rFonts w:eastAsia="Times New Roman" w:cs="Times New Roman"/>
                <w:noProof/>
              </w:rPr>
            </w:pPr>
            <w:r>
              <w:rPr>
                <w:noProof/>
              </w:rPr>
              <w:t>F3.1 Verbetering van de voorwaarden voor de uitvoering van het herstel- en veerkrachtplan</w:t>
            </w:r>
          </w:p>
        </w:tc>
        <w:tc>
          <w:tcPr>
            <w:tcW w:w="1245" w:type="dxa"/>
            <w:tcBorders>
              <w:top w:val="single" w:sz="6" w:space="0" w:color="auto"/>
              <w:left w:val="single" w:sz="6" w:space="0" w:color="auto"/>
              <w:bottom w:val="single" w:sz="4" w:space="0" w:color="auto"/>
              <w:right w:val="single" w:sz="6" w:space="0" w:color="auto"/>
            </w:tcBorders>
            <w:shd w:val="clear" w:color="auto" w:fill="C6EFCE"/>
          </w:tcPr>
          <w:p w14:paraId="77900CE3"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4" w:space="0" w:color="auto"/>
              <w:right w:val="single" w:sz="6" w:space="0" w:color="auto"/>
            </w:tcBorders>
            <w:shd w:val="clear" w:color="auto" w:fill="C6EFCE"/>
          </w:tcPr>
          <w:p w14:paraId="6C4B605D" w14:textId="77777777" w:rsidR="00480F1C" w:rsidRDefault="00A201F6">
            <w:pPr>
              <w:pStyle w:val="P68B1DB1-Normal46"/>
              <w:spacing w:line="240" w:lineRule="auto"/>
              <w:rPr>
                <w:rFonts w:eastAsia="Times New Roman" w:cs="Times New Roman"/>
                <w:noProof/>
              </w:rPr>
            </w:pPr>
            <w:r>
              <w:rPr>
                <w:noProof/>
              </w:rPr>
              <w:t>Zorgen voor een doeltreffende audit en controle in het kader van de uitvoering van de herstel- en veerkrachtfaciliteit ter bescherming van de financiële belangen van de Unie</w:t>
            </w:r>
          </w:p>
        </w:tc>
      </w:tr>
      <w:tr w:rsidR="00480F1C" w14:paraId="5D45829A" w14:textId="77777777">
        <w:tc>
          <w:tcPr>
            <w:tcW w:w="1247" w:type="dxa"/>
            <w:tcBorders>
              <w:top w:val="single" w:sz="4" w:space="0" w:color="auto"/>
              <w:left w:val="single" w:sz="6" w:space="0" w:color="auto"/>
              <w:bottom w:val="single" w:sz="6" w:space="0" w:color="auto"/>
              <w:right w:val="single" w:sz="6" w:space="0" w:color="auto"/>
            </w:tcBorders>
            <w:shd w:val="clear" w:color="auto" w:fill="C6EFCE"/>
            <w:vAlign w:val="center"/>
          </w:tcPr>
          <w:p w14:paraId="40DFEA85" w14:textId="77777777" w:rsidR="00480F1C" w:rsidRDefault="00480F1C">
            <w:pPr>
              <w:spacing w:line="240" w:lineRule="auto"/>
              <w:rPr>
                <w:rFonts w:ascii="Times New Roman" w:eastAsia="Times New Roman" w:hAnsi="Times New Roman" w:cs="Times New Roman"/>
                <w:noProof/>
              </w:rPr>
            </w:pPr>
          </w:p>
        </w:tc>
        <w:tc>
          <w:tcPr>
            <w:tcW w:w="4320" w:type="dxa"/>
            <w:tcBorders>
              <w:top w:val="single" w:sz="4" w:space="0" w:color="auto"/>
              <w:left w:val="single" w:sz="6" w:space="0" w:color="auto"/>
              <w:bottom w:val="single" w:sz="6" w:space="0" w:color="auto"/>
              <w:right w:val="single" w:sz="6" w:space="0" w:color="auto"/>
            </w:tcBorders>
            <w:shd w:val="clear" w:color="auto" w:fill="C6EFCE"/>
            <w:vAlign w:val="center"/>
          </w:tcPr>
          <w:p w14:paraId="6934BFE3"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4" w:space="0" w:color="auto"/>
              <w:left w:val="single" w:sz="6" w:space="0" w:color="auto"/>
              <w:bottom w:val="single" w:sz="6" w:space="0" w:color="auto"/>
              <w:right w:val="single" w:sz="6" w:space="0" w:color="auto"/>
            </w:tcBorders>
            <w:shd w:val="clear" w:color="auto" w:fill="C6EFCE"/>
            <w:vAlign w:val="center"/>
          </w:tcPr>
          <w:p w14:paraId="27B263EC" w14:textId="77777777" w:rsidR="00480F1C" w:rsidRDefault="00A201F6">
            <w:pPr>
              <w:pStyle w:val="P68B1DB1-Normal46"/>
              <w:spacing w:line="240" w:lineRule="auto"/>
              <w:rPr>
                <w:rFonts w:eastAsia="Times New Roman" w:cs="Times New Roman"/>
                <w:noProof/>
              </w:rPr>
            </w:pPr>
            <w:r>
              <w:rPr>
                <w:noProof/>
              </w:rPr>
              <w:t>Termijnbedrag</w:t>
            </w:r>
          </w:p>
        </w:tc>
        <w:tc>
          <w:tcPr>
            <w:tcW w:w="3927" w:type="dxa"/>
            <w:tcBorders>
              <w:top w:val="single" w:sz="4" w:space="0" w:color="auto"/>
              <w:left w:val="single" w:sz="6" w:space="0" w:color="auto"/>
              <w:bottom w:val="single" w:sz="6" w:space="0" w:color="auto"/>
              <w:right w:val="single" w:sz="6" w:space="0" w:color="auto"/>
            </w:tcBorders>
            <w:shd w:val="clear" w:color="auto" w:fill="C6EFCE"/>
            <w:vAlign w:val="center"/>
          </w:tcPr>
          <w:p w14:paraId="01B02343" w14:textId="77777777" w:rsidR="00480F1C" w:rsidRDefault="00A201F6">
            <w:pPr>
              <w:pStyle w:val="P68B1DB1-Normal46"/>
              <w:spacing w:line="240" w:lineRule="auto"/>
              <w:rPr>
                <w:rFonts w:eastAsia="Times New Roman" w:cs="Times New Roman"/>
                <w:noProof/>
              </w:rPr>
            </w:pPr>
            <w:r>
              <w:rPr>
                <w:noProof/>
              </w:rPr>
              <w:t xml:space="preserve">EUR 2 758 738 902 </w:t>
            </w:r>
          </w:p>
        </w:tc>
      </w:tr>
      <w:bookmarkEnd w:id="4"/>
    </w:tbl>
    <w:p w14:paraId="4EB02FCE" w14:textId="77777777" w:rsidR="00480F1C" w:rsidRDefault="00480F1C">
      <w:pPr>
        <w:spacing w:before="120" w:after="120" w:line="240" w:lineRule="auto"/>
        <w:rPr>
          <w:rFonts w:ascii="Times New Roman" w:eastAsia="Times New Roman" w:hAnsi="Times New Roman" w:cs="Times New Roman"/>
          <w:noProof/>
          <w:color w:val="000000" w:themeColor="text1"/>
        </w:rPr>
      </w:pPr>
    </w:p>
    <w:p w14:paraId="5826C4DB" w14:textId="77777777" w:rsidR="00480F1C" w:rsidRDefault="00A201F6">
      <w:pPr>
        <w:pStyle w:val="P68B1DB1-Normal45"/>
        <w:spacing w:before="120" w:after="120" w:line="240" w:lineRule="auto"/>
        <w:rPr>
          <w:rFonts w:eastAsia="Times New Roman" w:cs="Times New Roman"/>
          <w:noProof/>
        </w:rPr>
      </w:pPr>
      <w:r>
        <w:rPr>
          <w:noProof/>
        </w:rPr>
        <w:t>2.1.2 tweede tranche (niet-terugvorderbare steun):</w:t>
      </w:r>
    </w:p>
    <w:tbl>
      <w:tblPr>
        <w:tblW w:w="10482" w:type="dxa"/>
        <w:tblLayout w:type="fixed"/>
        <w:tblLook w:val="0000" w:firstRow="0" w:lastRow="0" w:firstColumn="0" w:lastColumn="0" w:noHBand="0" w:noVBand="0"/>
      </w:tblPr>
      <w:tblGrid>
        <w:gridCol w:w="1350"/>
        <w:gridCol w:w="3960"/>
        <w:gridCol w:w="1245"/>
        <w:gridCol w:w="3927"/>
      </w:tblGrid>
      <w:tr w:rsidR="00480F1C" w14:paraId="1715C7AE" w14:textId="77777777">
        <w:trPr>
          <w:trHeight w:val="764"/>
          <w:tblHeader/>
        </w:trPr>
        <w:tc>
          <w:tcPr>
            <w:tcW w:w="1350" w:type="dxa"/>
            <w:tcBorders>
              <w:top w:val="single" w:sz="6" w:space="0" w:color="auto"/>
              <w:left w:val="single" w:sz="6" w:space="0" w:color="auto"/>
              <w:bottom w:val="single" w:sz="6" w:space="0" w:color="auto"/>
              <w:right w:val="single" w:sz="6" w:space="0" w:color="auto"/>
            </w:tcBorders>
            <w:shd w:val="clear" w:color="auto" w:fill="BDD6EE"/>
            <w:vAlign w:val="center"/>
          </w:tcPr>
          <w:p w14:paraId="625AE949" w14:textId="77777777" w:rsidR="00480F1C" w:rsidRDefault="00A201F6">
            <w:pPr>
              <w:pStyle w:val="P68B1DB1-Normal42"/>
              <w:spacing w:line="240" w:lineRule="auto"/>
              <w:jc w:val="center"/>
              <w:rPr>
                <w:rFonts w:eastAsia="Times New Roman" w:cs="Times New Roman"/>
                <w:noProof/>
              </w:rPr>
            </w:pPr>
            <w:r>
              <w:rPr>
                <w:noProof/>
              </w:rPr>
              <w:t>Volgnummer</w:t>
            </w:r>
          </w:p>
        </w:tc>
        <w:tc>
          <w:tcPr>
            <w:tcW w:w="3960" w:type="dxa"/>
            <w:tcBorders>
              <w:top w:val="single" w:sz="6" w:space="0" w:color="auto"/>
              <w:left w:val="single" w:sz="6" w:space="0" w:color="auto"/>
              <w:bottom w:val="single" w:sz="6" w:space="0" w:color="auto"/>
              <w:right w:val="single" w:sz="6" w:space="0" w:color="auto"/>
            </w:tcBorders>
            <w:shd w:val="clear" w:color="auto" w:fill="BDD6EE"/>
            <w:vAlign w:val="center"/>
          </w:tcPr>
          <w:p w14:paraId="54B48CA8" w14:textId="77777777" w:rsidR="00480F1C" w:rsidRDefault="00A201F6">
            <w:pPr>
              <w:pStyle w:val="P68B1DB1-Normal42"/>
              <w:spacing w:line="240" w:lineRule="auto"/>
              <w:jc w:val="center"/>
              <w:rPr>
                <w:rFonts w:eastAsia="Times New Roman" w:cs="Times New Roman"/>
                <w:noProof/>
              </w:rPr>
            </w:pPr>
            <w:r>
              <w:rPr>
                <w:noProof/>
              </w:rPr>
              <w:t>Gerelateerde maatregel (hervorming of investering)</w:t>
            </w:r>
          </w:p>
        </w:tc>
        <w:tc>
          <w:tcPr>
            <w:tcW w:w="1245" w:type="dxa"/>
            <w:tcBorders>
              <w:top w:val="single" w:sz="6" w:space="0" w:color="auto"/>
              <w:left w:val="single" w:sz="6" w:space="0" w:color="auto"/>
              <w:bottom w:val="single" w:sz="6" w:space="0" w:color="auto"/>
              <w:right w:val="single" w:sz="6" w:space="0" w:color="auto"/>
            </w:tcBorders>
            <w:shd w:val="clear" w:color="auto" w:fill="BDD6EE"/>
            <w:vAlign w:val="center"/>
          </w:tcPr>
          <w:p w14:paraId="2D84DB87" w14:textId="77777777" w:rsidR="00480F1C" w:rsidRDefault="00A201F6">
            <w:pPr>
              <w:pStyle w:val="P68B1DB1-Normal42"/>
              <w:spacing w:line="240" w:lineRule="auto"/>
              <w:jc w:val="center"/>
              <w:rPr>
                <w:rFonts w:eastAsia="Times New Roman" w:cs="Times New Roman"/>
                <w:noProof/>
              </w:rPr>
            </w:pPr>
            <w:r>
              <w:rPr>
                <w:noProof/>
              </w:rPr>
              <w:t>Mijlpaal/Doelstelling</w:t>
            </w:r>
          </w:p>
        </w:tc>
        <w:tc>
          <w:tcPr>
            <w:tcW w:w="3927" w:type="dxa"/>
            <w:tcBorders>
              <w:top w:val="single" w:sz="6" w:space="0" w:color="auto"/>
              <w:left w:val="single" w:sz="6" w:space="0" w:color="auto"/>
              <w:bottom w:val="single" w:sz="6" w:space="0" w:color="auto"/>
              <w:right w:val="single" w:sz="6" w:space="0" w:color="auto"/>
            </w:tcBorders>
            <w:shd w:val="clear" w:color="auto" w:fill="BDD6EE"/>
            <w:vAlign w:val="center"/>
          </w:tcPr>
          <w:p w14:paraId="5CE6A35B" w14:textId="77777777" w:rsidR="00480F1C" w:rsidRDefault="00A201F6">
            <w:pPr>
              <w:pStyle w:val="P68B1DB1-Normal42"/>
              <w:spacing w:line="240" w:lineRule="auto"/>
              <w:jc w:val="center"/>
              <w:rPr>
                <w:rFonts w:eastAsia="Times New Roman" w:cs="Times New Roman"/>
                <w:noProof/>
              </w:rPr>
            </w:pPr>
            <w:r>
              <w:rPr>
                <w:noProof/>
              </w:rPr>
              <w:t>Naam</w:t>
            </w:r>
          </w:p>
        </w:tc>
      </w:tr>
      <w:tr w:rsidR="00480F1C" w14:paraId="54422C3A"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B00A27C" w14:textId="77777777" w:rsidR="00480F1C" w:rsidRDefault="00A201F6">
            <w:pPr>
              <w:pStyle w:val="P68B1DB1-Normal46"/>
              <w:spacing w:line="240" w:lineRule="auto"/>
              <w:jc w:val="center"/>
              <w:rPr>
                <w:rFonts w:eastAsia="Times New Roman" w:cs="Times New Roman"/>
                <w:noProof/>
              </w:rPr>
            </w:pPr>
            <w:r>
              <w:rPr>
                <w:noProof/>
              </w:rPr>
              <w:t>A13G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2663CFA" w14:textId="77777777" w:rsidR="00480F1C" w:rsidRDefault="00A201F6">
            <w:pPr>
              <w:pStyle w:val="P68B1DB1-Normal46"/>
              <w:spacing w:line="240" w:lineRule="auto"/>
              <w:rPr>
                <w:rFonts w:eastAsia="Times New Roman" w:cs="Times New Roman"/>
                <w:noProof/>
              </w:rPr>
            </w:pPr>
            <w:r>
              <w:rPr>
                <w:noProof/>
              </w:rPr>
              <w:t>A1.3.1 Uitvoering van de hervorming van de ruimtelijke ordening</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73E09B4"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20711C9" w14:textId="77777777" w:rsidR="00480F1C" w:rsidRDefault="00A201F6">
            <w:pPr>
              <w:pStyle w:val="P68B1DB1-Normal46"/>
              <w:spacing w:line="240" w:lineRule="auto"/>
              <w:rPr>
                <w:rFonts w:eastAsia="Times New Roman" w:cs="Times New Roman"/>
                <w:noProof/>
              </w:rPr>
            </w:pPr>
            <w:r>
              <w:rPr>
                <w:noProof/>
              </w:rPr>
              <w:t>Publicatie van een document waarin het toewijzingsmechanisme en het indicatieve bedrag van de aan elke gemeente in Polen te verlenen steun voor de uitvoering van de hervorming van de ruimtelijke ordening worden vastgesteld</w:t>
            </w:r>
          </w:p>
        </w:tc>
      </w:tr>
      <w:tr w:rsidR="00480F1C" w14:paraId="13E5A899"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9A78F9B" w14:textId="77777777" w:rsidR="00480F1C" w:rsidRDefault="00A201F6">
            <w:pPr>
              <w:pStyle w:val="P68B1DB1-Normal46"/>
              <w:spacing w:line="240" w:lineRule="auto"/>
              <w:jc w:val="center"/>
              <w:rPr>
                <w:rFonts w:eastAsia="Times New Roman" w:cs="Times New Roman"/>
                <w:noProof/>
              </w:rPr>
            </w:pPr>
            <w:r>
              <w:rPr>
                <w:noProof/>
              </w:rPr>
              <w:t>A49G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C3CDB50" w14:textId="77777777" w:rsidR="00480F1C" w:rsidRDefault="00A201F6">
            <w:pPr>
              <w:pStyle w:val="P68B1DB1-Normal46"/>
              <w:spacing w:line="240" w:lineRule="auto"/>
              <w:rPr>
                <w:rFonts w:eastAsia="Times New Roman" w:cs="Times New Roman"/>
                <w:noProof/>
              </w:rPr>
            </w:pPr>
            <w:r>
              <w:rPr>
                <w:noProof/>
              </w:rPr>
              <w:t>A3.1.1 Investeringen in moderne beroepsopleiding, hoger onderwijs en een leven lang leren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5B67A22"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4783DC0" w14:textId="77777777" w:rsidR="00480F1C" w:rsidRDefault="00A201F6">
            <w:pPr>
              <w:pStyle w:val="P68B1DB1-Normal46"/>
              <w:spacing w:line="240" w:lineRule="auto"/>
              <w:rPr>
                <w:rFonts w:eastAsia="Times New Roman" w:cs="Times New Roman"/>
                <w:noProof/>
              </w:rPr>
            </w:pPr>
            <w:r>
              <w:rPr>
                <w:noProof/>
              </w:rPr>
              <w:t>Oprichting van functionerende regionale coördinatieteams die het beleid op het gebied van beroepsonderwijs en -opleiding en een leven lang leren coördineren</w:t>
            </w:r>
          </w:p>
        </w:tc>
      </w:tr>
      <w:tr w:rsidR="00480F1C" w14:paraId="46258D87"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C81B1BF" w14:textId="77777777" w:rsidR="00480F1C" w:rsidRDefault="00A201F6">
            <w:pPr>
              <w:pStyle w:val="P68B1DB1-Normal46"/>
              <w:spacing w:line="240" w:lineRule="auto"/>
              <w:jc w:val="center"/>
              <w:rPr>
                <w:rFonts w:eastAsia="Times New Roman" w:cs="Times New Roman"/>
                <w:noProof/>
              </w:rPr>
            </w:pPr>
            <w:r>
              <w:rPr>
                <w:noProof/>
              </w:rPr>
              <w:t>A51G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68CE71F" w14:textId="77777777" w:rsidR="00480F1C" w:rsidRDefault="00A201F6">
            <w:pPr>
              <w:pStyle w:val="P68B1DB1-Normal46"/>
              <w:spacing w:line="240" w:lineRule="auto"/>
              <w:rPr>
                <w:rFonts w:eastAsia="Times New Roman" w:cs="Times New Roman"/>
                <w:noProof/>
              </w:rPr>
            </w:pPr>
            <w:r>
              <w:rPr>
                <w:noProof/>
              </w:rPr>
              <w:t>A4.1 Effectieve instellingen voor de arbeidsmarkt</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68B581F"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AC05828" w14:textId="77777777" w:rsidR="00480F1C" w:rsidRDefault="00A201F6">
            <w:pPr>
              <w:pStyle w:val="P68B1DB1-Normal46"/>
              <w:spacing w:line="240" w:lineRule="auto"/>
              <w:rPr>
                <w:rFonts w:eastAsia="Times New Roman" w:cs="Times New Roman"/>
                <w:noProof/>
              </w:rPr>
            </w:pPr>
            <w:r>
              <w:rPr>
                <w:noProof/>
              </w:rPr>
              <w:t>Inwerkingtreding van nieuwe wetten inzake de openbare diensten voor arbeidsvoorziening, de tewerkstelling van onderdanen van derde landen en de elektronische sluiting van bepaalde arbeidsovereenkomsten:</w:t>
            </w:r>
          </w:p>
          <w:p w14:paraId="5002C787" w14:textId="77777777" w:rsidR="00480F1C" w:rsidRDefault="00A201F6">
            <w:pPr>
              <w:pStyle w:val="P68B1DB1-Normal46"/>
              <w:spacing w:line="240" w:lineRule="auto"/>
              <w:rPr>
                <w:rFonts w:eastAsia="Times New Roman" w:cs="Times New Roman"/>
                <w:noProof/>
              </w:rPr>
            </w:pPr>
            <w:r>
              <w:rPr>
                <w:noProof/>
              </w:rPr>
              <w:t>— het doorvoeren van veranderingen in de openbare diensten voor arbeidsvoorziening en het actieve arbeidsmarktbeleid om de arbeidsparticipatie te verhogen</w:t>
            </w:r>
          </w:p>
          <w:p w14:paraId="15AD6D72" w14:textId="77777777" w:rsidR="00480F1C" w:rsidRDefault="00A201F6">
            <w:pPr>
              <w:pStyle w:val="P68B1DB1-Normal46"/>
              <w:spacing w:line="240" w:lineRule="auto"/>
              <w:rPr>
                <w:rFonts w:eastAsia="Times New Roman" w:cs="Times New Roman"/>
                <w:noProof/>
              </w:rPr>
            </w:pPr>
            <w:r>
              <w:rPr>
                <w:noProof/>
              </w:rPr>
              <w:t>vermindering van de administratieve belemmeringen voor het in dienst nemen van buitenlanders</w:t>
            </w:r>
          </w:p>
          <w:p w14:paraId="394C7B5E" w14:textId="77777777" w:rsidR="00480F1C" w:rsidRDefault="00A201F6">
            <w:pPr>
              <w:pStyle w:val="P68B1DB1-Normal46"/>
              <w:spacing w:line="240" w:lineRule="auto"/>
              <w:rPr>
                <w:rFonts w:eastAsia="Times New Roman" w:cs="Times New Roman"/>
                <w:noProof/>
              </w:rPr>
            </w:pPr>
            <w:r>
              <w:rPr>
                <w:noProof/>
              </w:rPr>
              <w:t>vereenvoudiging van de procedure voor het sluiten van bepaalde overeenkomsten</w:t>
            </w:r>
          </w:p>
        </w:tc>
      </w:tr>
      <w:tr w:rsidR="00480F1C" w14:paraId="56D50C2D"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9B35FB7" w14:textId="77777777" w:rsidR="00480F1C" w:rsidRDefault="00A201F6">
            <w:pPr>
              <w:pStyle w:val="P68B1DB1-Normal46"/>
              <w:spacing w:line="240" w:lineRule="auto"/>
              <w:jc w:val="center"/>
              <w:rPr>
                <w:rFonts w:eastAsia="Times New Roman" w:cs="Times New Roman"/>
                <w:noProof/>
              </w:rPr>
            </w:pPr>
            <w:r>
              <w:rPr>
                <w:noProof/>
              </w:rPr>
              <w:t>A53G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16BC9FE" w14:textId="77777777" w:rsidR="00480F1C" w:rsidRDefault="00A201F6">
            <w:pPr>
              <w:pStyle w:val="P68B1DB1-Normal46"/>
              <w:spacing w:line="240" w:lineRule="auto"/>
              <w:rPr>
                <w:rFonts w:eastAsia="Times New Roman" w:cs="Times New Roman"/>
                <w:noProof/>
              </w:rPr>
            </w:pPr>
            <w:r>
              <w:rPr>
                <w:noProof/>
              </w:rPr>
              <w:t>A4.1 Effectieve instellingen voor de arbeidsmarkt</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F30FF4B"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5BEE147" w14:textId="77777777" w:rsidR="00480F1C" w:rsidRDefault="00A201F6">
            <w:pPr>
              <w:pStyle w:val="P68B1DB1-Normal46"/>
              <w:spacing w:line="240" w:lineRule="auto"/>
              <w:rPr>
                <w:rFonts w:eastAsia="Times New Roman" w:cs="Times New Roman"/>
                <w:noProof/>
              </w:rPr>
            </w:pPr>
            <w:r>
              <w:rPr>
                <w:noProof/>
              </w:rPr>
              <w:t>De sociale partners te raadplegen over de mogelijkheden voor collectieve overeenkomsten en een uitgebreide studie uit te voeren naar de mogelijke rol van één arbeidscontract om nieuwe flexibiliteit en zekerheid op de Poolse arbeidsmarkt te creëren</w:t>
            </w:r>
          </w:p>
        </w:tc>
      </w:tr>
      <w:tr w:rsidR="00480F1C" w14:paraId="7C442AF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640FAB5" w14:textId="77777777" w:rsidR="00480F1C" w:rsidRDefault="00A201F6">
            <w:pPr>
              <w:pStyle w:val="P68B1DB1-Normal46"/>
              <w:spacing w:line="240" w:lineRule="auto"/>
              <w:jc w:val="center"/>
              <w:rPr>
                <w:rFonts w:eastAsia="Times New Roman" w:cs="Times New Roman"/>
                <w:noProof/>
              </w:rPr>
            </w:pPr>
            <w:r>
              <w:rPr>
                <w:noProof/>
              </w:rPr>
              <w:t>A65G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5DEBBDC" w14:textId="77777777" w:rsidR="00480F1C" w:rsidRDefault="00A201F6">
            <w:pPr>
              <w:pStyle w:val="P68B1DB1-Normal46"/>
              <w:spacing w:line="240" w:lineRule="auto"/>
              <w:rPr>
                <w:rFonts w:eastAsia="Times New Roman" w:cs="Times New Roman"/>
                <w:noProof/>
              </w:rPr>
            </w:pPr>
            <w:r>
              <w:rPr>
                <w:noProof/>
              </w:rPr>
              <w:t>A4.4 Werkvormen flexibeler maken en werken op afstand invoeren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CD9B30D"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6B6C22E" w14:textId="77777777" w:rsidR="00480F1C" w:rsidRDefault="00A201F6">
            <w:pPr>
              <w:pStyle w:val="P68B1DB1-Normal46"/>
              <w:spacing w:line="240" w:lineRule="auto"/>
              <w:rPr>
                <w:rFonts w:eastAsia="Times New Roman" w:cs="Times New Roman"/>
                <w:noProof/>
              </w:rPr>
            </w:pPr>
            <w:r>
              <w:rPr>
                <w:noProof/>
              </w:rPr>
              <w:t>Inwerkingtreding van de wet tot wijziging van het arbeidswetboek waarbij de bepalingen van het arbeidswetboek en flexibele vormen van arbeidstijdregelingen worden opgenomen in de permanente instelling van telewerken</w:t>
            </w:r>
          </w:p>
        </w:tc>
      </w:tr>
      <w:tr w:rsidR="00480F1C" w14:paraId="11E0DDC1"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E32024D" w14:textId="77777777" w:rsidR="00480F1C" w:rsidRDefault="00A201F6">
            <w:pPr>
              <w:pStyle w:val="P68B1DB1-Normal46"/>
              <w:spacing w:line="240" w:lineRule="auto"/>
              <w:jc w:val="center"/>
              <w:rPr>
                <w:rFonts w:eastAsia="Times New Roman" w:cs="Times New Roman"/>
                <w:noProof/>
              </w:rPr>
            </w:pPr>
            <w:r>
              <w:rPr>
                <w:noProof/>
              </w:rPr>
              <w:t>A67G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F8F2E72" w14:textId="77777777" w:rsidR="00480F1C" w:rsidRDefault="00A201F6">
            <w:pPr>
              <w:pStyle w:val="P68B1DB1-Normal46"/>
              <w:spacing w:line="240" w:lineRule="auto"/>
              <w:rPr>
                <w:rFonts w:eastAsia="Times New Roman" w:cs="Times New Roman"/>
                <w:noProof/>
              </w:rPr>
            </w:pPr>
            <w:r>
              <w:rPr>
                <w:noProof/>
              </w:rPr>
              <w:t>A4.5 loopbanen uitbreiden en werken na de wettelijke pensioenleeftijd bevorderen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2F5A985"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57558EA" w14:textId="77777777" w:rsidR="00480F1C" w:rsidRDefault="00A201F6">
            <w:pPr>
              <w:pStyle w:val="P68B1DB1-Normal46"/>
              <w:spacing w:line="240" w:lineRule="auto"/>
              <w:rPr>
                <w:rFonts w:eastAsia="Times New Roman" w:cs="Times New Roman"/>
                <w:noProof/>
              </w:rPr>
            </w:pPr>
            <w:r>
              <w:rPr>
                <w:noProof/>
              </w:rPr>
              <w:t>Inwerkingtreding van de wet tot wijziging van de Wet op de inkomstenbelasting, waarbij vanaf 2023 een verlaging van de personenbelasting wordt ingevoerd voor personen die de pensioengerechtigde leeftijd hebben bereikt, maar blijven werken</w:t>
            </w:r>
          </w:p>
        </w:tc>
      </w:tr>
      <w:tr w:rsidR="00480F1C" w14:paraId="0CBFF82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AA7F94B" w14:textId="77777777" w:rsidR="00480F1C" w:rsidRDefault="00A201F6">
            <w:pPr>
              <w:pStyle w:val="P68B1DB1-Normal46"/>
              <w:spacing w:line="240" w:lineRule="auto"/>
              <w:jc w:val="center"/>
              <w:rPr>
                <w:rFonts w:eastAsia="Times New Roman" w:cs="Times New Roman"/>
                <w:noProof/>
              </w:rPr>
            </w:pPr>
            <w:r>
              <w:rPr>
                <w:noProof/>
              </w:rPr>
              <w:t>B4G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913BDB1" w14:textId="77777777" w:rsidR="00480F1C" w:rsidRDefault="00A201F6">
            <w:pPr>
              <w:pStyle w:val="P68B1DB1-Normal46"/>
              <w:spacing w:line="240" w:lineRule="auto"/>
              <w:rPr>
                <w:rFonts w:eastAsia="Times New Roman" w:cs="Times New Roman"/>
                <w:noProof/>
              </w:rPr>
            </w:pPr>
            <w:r>
              <w:rPr>
                <w:noProof/>
              </w:rPr>
              <w:t>B1.1 Schone lucht en energie-efficiëntie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560E421"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11C7BA4" w14:textId="77777777" w:rsidR="00480F1C" w:rsidRDefault="00A201F6">
            <w:pPr>
              <w:pStyle w:val="P68B1DB1-Normal46"/>
              <w:spacing w:line="240" w:lineRule="auto"/>
              <w:rPr>
                <w:rFonts w:eastAsia="Times New Roman" w:cs="Times New Roman"/>
                <w:noProof/>
              </w:rPr>
            </w:pPr>
            <w:r>
              <w:rPr>
                <w:noProof/>
              </w:rPr>
              <w:t>Inwerkingtreding van een wijziging van de Regeling door de minister van Klimaat en Milieu inzake kwaliteitsnormen voor vaste brandstoffen</w:t>
            </w:r>
          </w:p>
        </w:tc>
      </w:tr>
      <w:tr w:rsidR="00480F1C" w14:paraId="5A78595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B9FC523" w14:textId="77777777" w:rsidR="00480F1C" w:rsidRDefault="00A201F6">
            <w:pPr>
              <w:pStyle w:val="P68B1DB1-Normal46"/>
              <w:spacing w:line="240" w:lineRule="auto"/>
              <w:jc w:val="center"/>
              <w:rPr>
                <w:rFonts w:eastAsia="Times New Roman" w:cs="Times New Roman"/>
                <w:noProof/>
              </w:rPr>
            </w:pPr>
            <w:r>
              <w:rPr>
                <w:noProof/>
              </w:rPr>
              <w:t>C3G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B5AA8CD" w14:textId="77777777" w:rsidR="00480F1C" w:rsidRDefault="00A201F6">
            <w:pPr>
              <w:pStyle w:val="P68B1DB1-Normal46"/>
              <w:spacing w:line="240" w:lineRule="auto"/>
              <w:rPr>
                <w:rFonts w:eastAsia="Times New Roman" w:cs="Times New Roman"/>
                <w:noProof/>
              </w:rPr>
            </w:pPr>
            <w:r>
              <w:rPr>
                <w:noProof/>
              </w:rPr>
              <w:t>C1.1 Bevordering van de ontwikkeling van netwerkinfrastructuur om universele toegang tot hogesnelheidsinternet te waarborgen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00ABF8D"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7636076" w14:textId="77777777" w:rsidR="00480F1C" w:rsidRDefault="00A201F6">
            <w:pPr>
              <w:pStyle w:val="P68B1DB1-Normal46"/>
              <w:spacing w:line="240" w:lineRule="auto"/>
              <w:rPr>
                <w:rFonts w:eastAsia="Times New Roman" w:cs="Times New Roman"/>
                <w:noProof/>
              </w:rPr>
            </w:pPr>
            <w:r>
              <w:rPr>
                <w:noProof/>
              </w:rPr>
              <w:t>Wijziging van de verordening inzake het centrale informatiepunt door de premier</w:t>
            </w:r>
          </w:p>
        </w:tc>
      </w:tr>
      <w:tr w:rsidR="00480F1C" w14:paraId="31DC3CC0"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60873F0" w14:textId="77777777" w:rsidR="00480F1C" w:rsidRDefault="00A201F6">
            <w:pPr>
              <w:pStyle w:val="P68B1DB1-Normal46"/>
              <w:spacing w:line="240" w:lineRule="auto"/>
              <w:jc w:val="center"/>
              <w:rPr>
                <w:rFonts w:eastAsia="Times New Roman" w:cs="Times New Roman"/>
                <w:noProof/>
              </w:rPr>
            </w:pPr>
            <w:r>
              <w:rPr>
                <w:noProof/>
              </w:rPr>
              <w:t>C9G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D549867" w14:textId="77777777" w:rsidR="00480F1C" w:rsidRDefault="00A201F6">
            <w:pPr>
              <w:pStyle w:val="P68B1DB1-Normal46"/>
              <w:spacing w:line="240" w:lineRule="auto"/>
              <w:rPr>
                <w:rFonts w:eastAsia="Times New Roman" w:cs="Times New Roman"/>
                <w:noProof/>
              </w:rPr>
            </w:pPr>
            <w:r>
              <w:rPr>
                <w:noProof/>
              </w:rPr>
              <w:t>C2.1 Het opschalen van digitale toepassingen in de publieke ruimte, de economie en de samenleving</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1677591"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91626D4" w14:textId="77777777" w:rsidR="00480F1C" w:rsidRDefault="00A201F6">
            <w:pPr>
              <w:pStyle w:val="P68B1DB1-Normal46"/>
              <w:spacing w:line="240" w:lineRule="auto"/>
              <w:rPr>
                <w:rFonts w:eastAsia="Times New Roman" w:cs="Times New Roman"/>
                <w:noProof/>
              </w:rPr>
            </w:pPr>
            <w:r>
              <w:rPr>
                <w:noProof/>
              </w:rPr>
              <w:t>Bindende minimumnormen voor het uitrusten van alle scholen met digitale infrastructuur om het gebruik van digitale technologieën bij het leren op voet van gelijkheid in elke school mogelijk te maken</w:t>
            </w:r>
          </w:p>
        </w:tc>
      </w:tr>
      <w:tr w:rsidR="00480F1C" w14:paraId="6DC3C5D0"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9137241" w14:textId="77777777" w:rsidR="00480F1C" w:rsidRDefault="00A201F6">
            <w:pPr>
              <w:pStyle w:val="P68B1DB1-Normal46"/>
              <w:spacing w:line="240" w:lineRule="auto"/>
              <w:jc w:val="center"/>
              <w:rPr>
                <w:rFonts w:eastAsia="Times New Roman" w:cs="Times New Roman"/>
                <w:noProof/>
              </w:rPr>
            </w:pPr>
            <w:r>
              <w:rPr>
                <w:noProof/>
              </w:rPr>
              <w:t>C10G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A132605" w14:textId="77777777" w:rsidR="00480F1C" w:rsidRDefault="00A201F6">
            <w:pPr>
              <w:pStyle w:val="P68B1DB1-Normal46"/>
              <w:spacing w:line="240" w:lineRule="auto"/>
              <w:rPr>
                <w:rFonts w:eastAsia="Times New Roman" w:cs="Times New Roman"/>
                <w:noProof/>
              </w:rPr>
            </w:pPr>
            <w:r>
              <w:rPr>
                <w:noProof/>
              </w:rPr>
              <w:t>C2.1 Het opschalen van digitale toepassingen in de publieke ruimte, de economie en de samenleving</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BA651B4"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6992F98" w14:textId="77777777" w:rsidR="00480F1C" w:rsidRDefault="00A201F6">
            <w:pPr>
              <w:pStyle w:val="P68B1DB1-Normal46"/>
              <w:spacing w:line="240" w:lineRule="auto"/>
              <w:rPr>
                <w:rFonts w:eastAsia="Times New Roman" w:cs="Times New Roman"/>
                <w:noProof/>
              </w:rPr>
            </w:pPr>
            <w:r>
              <w:rPr>
                <w:noProof/>
              </w:rPr>
              <w:t>Inwerkingtreding van de resolutie van de Raad van Ministers over het programma voor de ontwikkeling van digitale competenties om de ontwikkeling van digitale competenties en digitaal onderwijs voor burgers en werknemers in verschillende sectoren te beheren. Dit omvat de oprichting van het Centrum voor de ontwikkeling van digitale competenties (Digital Competence Development Centre — DCDC).</w:t>
            </w:r>
          </w:p>
        </w:tc>
      </w:tr>
      <w:tr w:rsidR="00480F1C" w14:paraId="6EEEEBE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A88B679" w14:textId="77777777" w:rsidR="00480F1C" w:rsidRDefault="00A201F6">
            <w:pPr>
              <w:pStyle w:val="P68B1DB1-Normal46"/>
              <w:spacing w:line="240" w:lineRule="auto"/>
              <w:jc w:val="center"/>
              <w:rPr>
                <w:rFonts w:eastAsia="Times New Roman" w:cs="Times New Roman"/>
                <w:noProof/>
              </w:rPr>
            </w:pPr>
            <w:r>
              <w:rPr>
                <w:noProof/>
              </w:rPr>
              <w:t>C16G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9CD07D0" w14:textId="77777777" w:rsidR="00480F1C" w:rsidRDefault="00A201F6">
            <w:pPr>
              <w:pStyle w:val="P68B1DB1-Normal46"/>
              <w:spacing w:line="240" w:lineRule="auto"/>
              <w:rPr>
                <w:rFonts w:eastAsia="Times New Roman" w:cs="Times New Roman"/>
                <w:noProof/>
              </w:rPr>
            </w:pPr>
            <w:r>
              <w:rPr>
                <w:noProof/>
              </w:rPr>
              <w:t>C2.1.3 e-competenties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9B197D3"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D1A2448" w14:textId="77777777" w:rsidR="00480F1C" w:rsidRDefault="00A201F6">
            <w:pPr>
              <w:pStyle w:val="P68B1DB1-Normal46"/>
              <w:spacing w:line="240" w:lineRule="auto"/>
              <w:rPr>
                <w:rFonts w:eastAsia="Times New Roman" w:cs="Times New Roman"/>
                <w:noProof/>
              </w:rPr>
            </w:pPr>
            <w:r>
              <w:rPr>
                <w:noProof/>
              </w:rPr>
              <w:t>Oprichting van een centrum voor de ontwikkeling van digitale competenties (Digital Competence Development Centre — DCDC)</w:t>
            </w:r>
          </w:p>
        </w:tc>
      </w:tr>
      <w:tr w:rsidR="00480F1C" w14:paraId="2DF2BE30"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EDD89AF" w14:textId="77777777" w:rsidR="00480F1C" w:rsidRDefault="00A201F6">
            <w:pPr>
              <w:pStyle w:val="P68B1DB1-Normal46"/>
              <w:spacing w:line="240" w:lineRule="auto"/>
              <w:jc w:val="center"/>
              <w:rPr>
                <w:rFonts w:eastAsia="Times New Roman" w:cs="Times New Roman"/>
                <w:noProof/>
              </w:rPr>
            </w:pPr>
            <w:r>
              <w:rPr>
                <w:noProof/>
              </w:rPr>
              <w:t>C21G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3F7ED64" w14:textId="77777777" w:rsidR="00480F1C" w:rsidRDefault="00A201F6">
            <w:pPr>
              <w:pStyle w:val="P68B1DB1-Normal46"/>
              <w:spacing w:line="240" w:lineRule="auto"/>
              <w:rPr>
                <w:rFonts w:eastAsia="Times New Roman" w:cs="Times New Roman"/>
                <w:noProof/>
              </w:rPr>
            </w:pPr>
            <w:r>
              <w:rPr>
                <w:noProof/>
              </w:rPr>
              <w:t xml:space="preserve">C3.1 Verbetering van de cyberbeveiliging van informatiesystemen, versterking van de infrastructuur voor gegevensverwerking en optimalisering van de infrastructuur van de overheidsdiensten die verantwoordelijk zijn voor veiligheid. </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95B07F9"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44D8BA4" w14:textId="77777777" w:rsidR="00480F1C" w:rsidRDefault="00A201F6">
            <w:pPr>
              <w:pStyle w:val="P68B1DB1-Normal46"/>
              <w:spacing w:line="240" w:lineRule="auto"/>
              <w:rPr>
                <w:rFonts w:eastAsia="Times New Roman" w:cs="Times New Roman"/>
                <w:noProof/>
              </w:rPr>
            </w:pPr>
            <w:r>
              <w:rPr>
                <w:noProof/>
              </w:rPr>
              <w:t>Wijziging van de wet van 5 juli 2018 betreffende het nationale cyberbeveiligingssysteem, tot uitvoering van de NIS-richtlijn en tot vaststelling van een alomvattende wettelijke en organisatorische basis voor cyberbeveiliging voor een nationaal cyberbeveiligingssysteem</w:t>
            </w:r>
          </w:p>
        </w:tc>
      </w:tr>
      <w:tr w:rsidR="00480F1C" w14:paraId="2A2506BD"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4770656" w14:textId="77777777" w:rsidR="00480F1C" w:rsidRDefault="00A201F6">
            <w:pPr>
              <w:pStyle w:val="P68B1DB1-Normal46"/>
              <w:spacing w:line="240" w:lineRule="auto"/>
              <w:jc w:val="center"/>
              <w:rPr>
                <w:rFonts w:eastAsia="Times New Roman" w:cs="Times New Roman"/>
                <w:noProof/>
              </w:rPr>
            </w:pPr>
            <w:r>
              <w:rPr>
                <w:noProof/>
              </w:rPr>
              <w:t>D1G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53AF558" w14:textId="77777777" w:rsidR="00480F1C" w:rsidRDefault="00A201F6">
            <w:pPr>
              <w:pStyle w:val="P68B1DB1-Normal46"/>
              <w:spacing w:line="240" w:lineRule="auto"/>
              <w:rPr>
                <w:rFonts w:eastAsia="Times New Roman" w:cs="Times New Roman"/>
                <w:noProof/>
              </w:rPr>
            </w:pPr>
            <w:r>
              <w:rPr>
                <w:noProof/>
              </w:rPr>
              <w:t>D1.1 Verbetering van de doeltreffendheid, toegankelijkheid en kwaliteit van gezondheidsdiensten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1E32495"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1FF4C76" w14:textId="77777777" w:rsidR="00480F1C" w:rsidRDefault="00A201F6">
            <w:pPr>
              <w:pStyle w:val="P68B1DB1-Normal46"/>
              <w:spacing w:line="240" w:lineRule="auto"/>
              <w:rPr>
                <w:rFonts w:eastAsia="Times New Roman" w:cs="Times New Roman"/>
                <w:noProof/>
              </w:rPr>
            </w:pPr>
            <w:r>
              <w:rPr>
                <w:noProof/>
              </w:rPr>
              <w:t>Inwerkingtreding van de wet inzake de modernisering en verbetering van de efficiëntie van ziekenhuizen</w:t>
            </w:r>
          </w:p>
        </w:tc>
      </w:tr>
      <w:tr w:rsidR="00480F1C" w14:paraId="70F151FE"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9803927" w14:textId="77777777" w:rsidR="00480F1C" w:rsidRDefault="00A201F6">
            <w:pPr>
              <w:pStyle w:val="P68B1DB1-Normal46"/>
              <w:spacing w:line="240" w:lineRule="auto"/>
              <w:jc w:val="center"/>
              <w:rPr>
                <w:rFonts w:eastAsia="Times New Roman" w:cs="Times New Roman"/>
                <w:noProof/>
              </w:rPr>
            </w:pPr>
            <w:r>
              <w:rPr>
                <w:noProof/>
              </w:rPr>
              <w:t>D2G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71D8BB8" w14:textId="77777777" w:rsidR="00480F1C" w:rsidRDefault="00A201F6">
            <w:pPr>
              <w:pStyle w:val="P68B1DB1-Normal46"/>
              <w:spacing w:line="240" w:lineRule="auto"/>
              <w:rPr>
                <w:rFonts w:eastAsia="Times New Roman" w:cs="Times New Roman"/>
                <w:noProof/>
              </w:rPr>
            </w:pPr>
            <w:r>
              <w:rPr>
                <w:noProof/>
              </w:rPr>
              <w:t>D1.1 Verbetering van de doeltreffendheid, toegankelijkheid en kwaliteit van gezondheidsdiensten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3860A07"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83B95DF" w14:textId="77777777" w:rsidR="00480F1C" w:rsidRDefault="00A201F6">
            <w:pPr>
              <w:pStyle w:val="P68B1DB1-Normal46"/>
              <w:spacing w:line="240" w:lineRule="auto"/>
              <w:rPr>
                <w:rFonts w:eastAsia="Times New Roman" w:cs="Times New Roman"/>
                <w:noProof/>
              </w:rPr>
            </w:pPr>
            <w:r>
              <w:rPr>
                <w:noProof/>
              </w:rPr>
              <w:t>Inwerkingtreding van het besluit van de voorzitter van het Nationaal Gezondheidsfonds (NFZ) inzake de versterking van de eerstelijnszorg en gecoördineerde zorg, gevolgd door financiële bepalingen (met inbegrip van wijzigingen van contracten), waardoor de uitvoering op nationaal niveau mogelijk is.</w:t>
            </w:r>
          </w:p>
        </w:tc>
      </w:tr>
      <w:tr w:rsidR="00480F1C" w14:paraId="4786CFB6"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4E37023" w14:textId="77777777" w:rsidR="00480F1C" w:rsidRDefault="00A201F6">
            <w:pPr>
              <w:pStyle w:val="P68B1DB1-Normal46"/>
              <w:spacing w:line="240" w:lineRule="auto"/>
              <w:jc w:val="center"/>
              <w:rPr>
                <w:rFonts w:eastAsia="Times New Roman" w:cs="Times New Roman"/>
                <w:noProof/>
              </w:rPr>
            </w:pPr>
            <w:r>
              <w:rPr>
                <w:noProof/>
              </w:rPr>
              <w:t>D3G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451DA16" w14:textId="77777777" w:rsidR="00480F1C" w:rsidRDefault="00A201F6">
            <w:pPr>
              <w:pStyle w:val="P68B1DB1-Normal46"/>
              <w:spacing w:line="240" w:lineRule="auto"/>
              <w:rPr>
                <w:rFonts w:eastAsia="Times New Roman" w:cs="Times New Roman"/>
                <w:noProof/>
              </w:rPr>
            </w:pPr>
            <w:r>
              <w:rPr>
                <w:noProof/>
              </w:rPr>
              <w:t>D1.1 Verbetering van de doeltreffendheid, toegankelijkheid en kwaliteit van gezondheidsdiensten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3286312"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F6D84A7" w14:textId="77777777" w:rsidR="00480F1C" w:rsidRDefault="00A201F6">
            <w:pPr>
              <w:pStyle w:val="P68B1DB1-Normal46"/>
              <w:spacing w:line="240" w:lineRule="auto"/>
              <w:rPr>
                <w:rFonts w:eastAsia="Times New Roman" w:cs="Times New Roman"/>
                <w:noProof/>
              </w:rPr>
            </w:pPr>
            <w:r>
              <w:rPr>
                <w:noProof/>
              </w:rPr>
              <w:t>Inwerkingtreding van de Wet kwaliteit gezondheidszorg en patiëntveiligheid, samen met de nodige uitvoeringsregelingen</w:t>
            </w:r>
          </w:p>
        </w:tc>
      </w:tr>
      <w:tr w:rsidR="00480F1C" w14:paraId="72096F6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9DB592E" w14:textId="77777777" w:rsidR="00480F1C" w:rsidRDefault="00A201F6">
            <w:pPr>
              <w:pStyle w:val="P68B1DB1-Normal46"/>
              <w:spacing w:line="240" w:lineRule="auto"/>
              <w:jc w:val="center"/>
              <w:rPr>
                <w:rFonts w:eastAsia="Times New Roman" w:cs="Times New Roman"/>
                <w:noProof/>
              </w:rPr>
            </w:pPr>
            <w:r>
              <w:rPr>
                <w:noProof/>
              </w:rPr>
              <w:t>D4G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EF8E7F2" w14:textId="77777777" w:rsidR="00480F1C" w:rsidRDefault="00A201F6">
            <w:pPr>
              <w:pStyle w:val="P68B1DB1-Normal46"/>
              <w:spacing w:line="240" w:lineRule="auto"/>
              <w:rPr>
                <w:rFonts w:eastAsia="Times New Roman" w:cs="Times New Roman"/>
                <w:noProof/>
              </w:rPr>
            </w:pPr>
            <w:r>
              <w:rPr>
                <w:noProof/>
              </w:rPr>
              <w:t>D1.1 Verbetering van de doeltreffendheid, toegankelijkheid en kwaliteit van gezondheidsdiensten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DE6E529"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DF24338" w14:textId="77777777" w:rsidR="00480F1C" w:rsidRDefault="00A201F6">
            <w:pPr>
              <w:pStyle w:val="P68B1DB1-Normal46"/>
              <w:spacing w:line="240" w:lineRule="auto"/>
              <w:rPr>
                <w:rFonts w:eastAsia="Times New Roman" w:cs="Times New Roman"/>
                <w:noProof/>
              </w:rPr>
            </w:pPr>
            <w:r>
              <w:rPr>
                <w:noProof/>
              </w:rPr>
              <w:t>Inwerkingtreding van de wet inzake het nationaal oncologisch netwerk tot vaststelling van de regels voor de werking van het netwerk door de invoering van een nieuwe structuur en een nieuw model voor kankerzorg</w:t>
            </w:r>
          </w:p>
        </w:tc>
      </w:tr>
      <w:tr w:rsidR="00480F1C" w14:paraId="3A46E6F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F043EEC" w14:textId="77777777" w:rsidR="00480F1C" w:rsidRDefault="00A201F6">
            <w:pPr>
              <w:pStyle w:val="P68B1DB1-Normal46"/>
              <w:spacing w:line="240" w:lineRule="auto"/>
              <w:jc w:val="center"/>
              <w:rPr>
                <w:rFonts w:eastAsia="Times New Roman" w:cs="Times New Roman"/>
                <w:noProof/>
              </w:rPr>
            </w:pPr>
            <w:r>
              <w:rPr>
                <w:noProof/>
              </w:rPr>
              <w:t>D9G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0EEE909" w14:textId="77777777" w:rsidR="00480F1C" w:rsidRDefault="00A201F6">
            <w:pPr>
              <w:pStyle w:val="P68B1DB1-Normal46"/>
              <w:spacing w:line="240" w:lineRule="auto"/>
              <w:rPr>
                <w:rFonts w:eastAsia="Times New Roman" w:cs="Times New Roman"/>
                <w:noProof/>
              </w:rPr>
            </w:pPr>
            <w:r>
              <w:rPr>
                <w:noProof/>
              </w:rPr>
              <w:t>D1.1.1 Ontwikkeling en modernisering van de infrastructuur van zeer gespecialiseerde zorgcentra en andere zorgaanbieders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86EB724"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A74B4C0" w14:textId="77777777" w:rsidR="00480F1C" w:rsidRDefault="00A201F6">
            <w:pPr>
              <w:pStyle w:val="P68B1DB1-Normal46"/>
              <w:spacing w:line="240" w:lineRule="auto"/>
              <w:rPr>
                <w:rFonts w:eastAsia="Times New Roman" w:cs="Times New Roman"/>
                <w:noProof/>
              </w:rPr>
            </w:pPr>
            <w:r>
              <w:rPr>
                <w:noProof/>
              </w:rPr>
              <w:t>Inwerkingtreding van een rechtshandeling betreffende de lijst van precieze criteria om ziekenhuizen in aanmerking te laten komen voor specifieke categorieën om de investeringsbehoeften als gevolg van de hervorming te helpen bepalen</w:t>
            </w:r>
          </w:p>
        </w:tc>
      </w:tr>
      <w:tr w:rsidR="00480F1C" w14:paraId="36C7558A"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D177AEE" w14:textId="77777777" w:rsidR="00480F1C" w:rsidRDefault="00A201F6">
            <w:pPr>
              <w:pStyle w:val="P68B1DB1-Normal46"/>
              <w:spacing w:line="240" w:lineRule="auto"/>
              <w:jc w:val="center"/>
              <w:rPr>
                <w:rFonts w:eastAsia="Times New Roman" w:cs="Times New Roman"/>
                <w:noProof/>
              </w:rPr>
            </w:pPr>
            <w:r>
              <w:rPr>
                <w:noProof/>
              </w:rPr>
              <w:t>D25G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8D3D734" w14:textId="77777777" w:rsidR="00480F1C" w:rsidRDefault="00A201F6">
            <w:pPr>
              <w:pStyle w:val="P68B1DB1-Normal46"/>
              <w:spacing w:line="240" w:lineRule="auto"/>
              <w:rPr>
                <w:rFonts w:eastAsia="Times New Roman" w:cs="Times New Roman"/>
                <w:noProof/>
              </w:rPr>
            </w:pPr>
            <w:r>
              <w:rPr>
                <w:noProof/>
              </w:rPr>
              <w:t>D2.1 De juiste voorwaarden scheppen voor een toename van het aantal medisch personeel</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1F39819"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91E9F05" w14:textId="77777777" w:rsidR="00480F1C" w:rsidRDefault="00A201F6">
            <w:pPr>
              <w:pStyle w:val="P68B1DB1-Normal46"/>
              <w:spacing w:line="240" w:lineRule="auto"/>
              <w:rPr>
                <w:rFonts w:eastAsia="Times New Roman" w:cs="Times New Roman"/>
                <w:noProof/>
              </w:rPr>
            </w:pPr>
            <w:r>
              <w:rPr>
                <w:noProof/>
              </w:rPr>
              <w:t>Inwerkingtreding van de wetgevingswet betreffende het beroep van paramedisch en zelfbestuur van paramedisch personeel, waardoor de mogelijkheid wordt ingevoerd om programma’s van de tweede cyclus op te zetten op het gebied van de voorbereiding van het beroep van paramediaan</w:t>
            </w:r>
          </w:p>
        </w:tc>
      </w:tr>
      <w:tr w:rsidR="00480F1C" w14:paraId="4035486D"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82956FE" w14:textId="77777777" w:rsidR="00480F1C" w:rsidRDefault="00A201F6">
            <w:pPr>
              <w:pStyle w:val="P68B1DB1-Normal46"/>
              <w:spacing w:line="240" w:lineRule="auto"/>
              <w:jc w:val="center"/>
              <w:rPr>
                <w:rFonts w:eastAsia="Times New Roman" w:cs="Times New Roman"/>
                <w:noProof/>
              </w:rPr>
            </w:pPr>
            <w:r>
              <w:rPr>
                <w:noProof/>
              </w:rPr>
              <w:t>D27G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4FB092C" w14:textId="77777777" w:rsidR="00480F1C" w:rsidRDefault="00A201F6">
            <w:pPr>
              <w:pStyle w:val="P68B1DB1-Normal46"/>
              <w:spacing w:line="240" w:lineRule="auto"/>
              <w:rPr>
                <w:rFonts w:eastAsia="Times New Roman" w:cs="Times New Roman"/>
                <w:noProof/>
              </w:rPr>
            </w:pPr>
            <w:r>
              <w:rPr>
                <w:noProof/>
              </w:rPr>
              <w:t>D2.1 De juiste voorwaarden scheppen voor een toename van het aantal medisch personeel</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D9B879F"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2AE9FCD" w14:textId="77777777" w:rsidR="00480F1C" w:rsidRDefault="00A201F6">
            <w:pPr>
              <w:pStyle w:val="P68B1DB1-Normal46"/>
              <w:spacing w:line="240" w:lineRule="auto"/>
              <w:rPr>
                <w:rFonts w:eastAsia="Times New Roman" w:cs="Times New Roman"/>
                <w:noProof/>
              </w:rPr>
            </w:pPr>
            <w:r>
              <w:rPr>
                <w:noProof/>
              </w:rPr>
              <w:t>Inwerkingtreding van rechtshandelingen die tot doel hebben medische banen en arbeidsomstandigheden voor medisch personeel aantrekkelijker te maken</w:t>
            </w:r>
          </w:p>
        </w:tc>
      </w:tr>
      <w:tr w:rsidR="00480F1C" w14:paraId="210DBC29"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72845FA" w14:textId="77777777" w:rsidR="00480F1C" w:rsidRDefault="00A201F6">
            <w:pPr>
              <w:pStyle w:val="P68B1DB1-Normal46"/>
              <w:spacing w:line="240" w:lineRule="auto"/>
              <w:jc w:val="center"/>
              <w:rPr>
                <w:rFonts w:eastAsia="Times New Roman" w:cs="Times New Roman"/>
                <w:noProof/>
              </w:rPr>
            </w:pPr>
            <w:r>
              <w:rPr>
                <w:noProof/>
              </w:rPr>
              <w:t>D32G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F11737E" w14:textId="77777777" w:rsidR="00480F1C" w:rsidRDefault="00A201F6">
            <w:pPr>
              <w:pStyle w:val="P68B1DB1-Normal46"/>
              <w:spacing w:line="240" w:lineRule="auto"/>
              <w:rPr>
                <w:rFonts w:eastAsia="Times New Roman" w:cs="Times New Roman"/>
                <w:noProof/>
              </w:rPr>
            </w:pPr>
            <w:r>
              <w:rPr>
                <w:noProof/>
              </w:rPr>
              <w:t>D3.1 Verbetering van de efficiëntie en kwaliteit van het gezondheidszorgstelsel door ondersteuning van het Poolse onderzoeks- en ontwikkelingspotentieel op het gebied van medische en gezondheidswetenschappen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B88834A"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F21718B" w14:textId="77777777" w:rsidR="00480F1C" w:rsidRDefault="00A201F6">
            <w:pPr>
              <w:pStyle w:val="P68B1DB1-Normal46"/>
              <w:spacing w:line="240" w:lineRule="auto"/>
              <w:rPr>
                <w:rFonts w:eastAsia="Times New Roman" w:cs="Times New Roman"/>
                <w:noProof/>
              </w:rPr>
            </w:pPr>
            <w:r>
              <w:rPr>
                <w:noProof/>
              </w:rPr>
              <w:t>Inwerkingtreding van de Wet klinische proeven geneesmiddelen voor menselijk gebruik</w:t>
            </w:r>
          </w:p>
        </w:tc>
      </w:tr>
      <w:tr w:rsidR="00480F1C" w14:paraId="537E6B9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6F8427E" w14:textId="77777777" w:rsidR="00480F1C" w:rsidRDefault="00A201F6">
            <w:pPr>
              <w:pStyle w:val="P68B1DB1-Normal46"/>
              <w:spacing w:line="240" w:lineRule="auto"/>
              <w:jc w:val="center"/>
              <w:rPr>
                <w:rFonts w:eastAsia="Times New Roman" w:cs="Times New Roman"/>
                <w:noProof/>
              </w:rPr>
            </w:pPr>
            <w:r>
              <w:rPr>
                <w:noProof/>
              </w:rPr>
              <w:t>D33G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D1BAE32" w14:textId="77777777" w:rsidR="00480F1C" w:rsidRDefault="00A201F6">
            <w:pPr>
              <w:pStyle w:val="P68B1DB1-Normal46"/>
              <w:spacing w:line="240" w:lineRule="auto"/>
              <w:rPr>
                <w:rFonts w:eastAsia="Times New Roman" w:cs="Times New Roman"/>
                <w:noProof/>
              </w:rPr>
            </w:pPr>
            <w:r>
              <w:rPr>
                <w:noProof/>
              </w:rPr>
              <w:t>D3.1 Verbetering van de efficiëntie en kwaliteit van het gezondheidszorgstelsel door ondersteuning van het Poolse onderzoeks- en ontwikkelingspotentieel op het gebied van medische en gezondheidswetenschappen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9F68683"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1931AF9" w14:textId="77777777" w:rsidR="00480F1C" w:rsidRDefault="00A201F6">
            <w:pPr>
              <w:pStyle w:val="P68B1DB1-Normal46"/>
              <w:spacing w:line="240" w:lineRule="auto"/>
              <w:rPr>
                <w:rFonts w:eastAsia="Times New Roman" w:cs="Times New Roman"/>
                <w:noProof/>
              </w:rPr>
            </w:pPr>
            <w:r>
              <w:rPr>
                <w:noProof/>
              </w:rPr>
              <w:t>Inwerkingtreding of uitvoering van de kernacties die zijn gespecificeerd in het strategisch plan voor de ontwikkeling van de biomedische sector van de regering, overeenkomstig het tijdschema van het strategisch plan</w:t>
            </w:r>
          </w:p>
        </w:tc>
      </w:tr>
      <w:tr w:rsidR="00480F1C" w14:paraId="586255E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3F27558" w14:textId="77777777" w:rsidR="00480F1C" w:rsidRDefault="00A201F6">
            <w:pPr>
              <w:pStyle w:val="P68B1DB1-Normal46"/>
              <w:spacing w:line="240" w:lineRule="auto"/>
              <w:jc w:val="center"/>
              <w:rPr>
                <w:rFonts w:eastAsia="Times New Roman" w:cs="Times New Roman"/>
                <w:noProof/>
              </w:rPr>
            </w:pPr>
            <w:r>
              <w:rPr>
                <w:noProof/>
              </w:rPr>
              <w:t>D34G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78C839D" w14:textId="77777777" w:rsidR="00480F1C" w:rsidRDefault="00A201F6">
            <w:pPr>
              <w:pStyle w:val="P68B1DB1-Normal46"/>
              <w:spacing w:line="240" w:lineRule="auto"/>
              <w:rPr>
                <w:rFonts w:eastAsia="Times New Roman" w:cs="Times New Roman"/>
                <w:noProof/>
              </w:rPr>
            </w:pPr>
            <w:r>
              <w:rPr>
                <w:noProof/>
              </w:rPr>
              <w:t>D3.1.1 Algemene ontwikkeling van onderzoek op het gebied van medische en gezondheidswetenschappen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4A20549"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6B1A70C" w14:textId="77777777" w:rsidR="00480F1C" w:rsidRDefault="00A201F6">
            <w:pPr>
              <w:pStyle w:val="P68B1DB1-Normal46"/>
              <w:spacing w:line="240" w:lineRule="auto"/>
              <w:rPr>
                <w:rFonts w:eastAsia="Times New Roman" w:cs="Times New Roman"/>
                <w:noProof/>
              </w:rPr>
            </w:pPr>
            <w:r>
              <w:rPr>
                <w:noProof/>
              </w:rPr>
              <w:t>Ingebruikneming van een elektronisch platform voor het Poolse netwerk van centra voor klinisch onderzoek</w:t>
            </w:r>
          </w:p>
        </w:tc>
      </w:tr>
      <w:tr w:rsidR="00480F1C" w14:paraId="58D70C53"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F86FB0D" w14:textId="77777777" w:rsidR="00480F1C" w:rsidRDefault="00A201F6">
            <w:pPr>
              <w:pStyle w:val="P68B1DB1-Normal46"/>
              <w:spacing w:line="240" w:lineRule="auto"/>
              <w:jc w:val="center"/>
              <w:rPr>
                <w:rFonts w:eastAsia="Times New Roman" w:cs="Times New Roman"/>
                <w:noProof/>
              </w:rPr>
            </w:pPr>
            <w:r>
              <w:rPr>
                <w:noProof/>
              </w:rPr>
              <w:t>E1G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85A0408" w14:textId="77777777" w:rsidR="00480F1C" w:rsidRDefault="00A201F6">
            <w:pPr>
              <w:pStyle w:val="P68B1DB1-Normal46"/>
              <w:spacing w:line="240" w:lineRule="auto"/>
              <w:rPr>
                <w:rFonts w:eastAsia="Times New Roman" w:cs="Times New Roman"/>
                <w:noProof/>
              </w:rPr>
            </w:pPr>
            <w:r>
              <w:rPr>
                <w:noProof/>
              </w:rPr>
              <w:t>E1.1 Verhoging van het gebruik van milieuvriendelijk vervoer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0596660"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0B91E96" w14:textId="77777777" w:rsidR="00480F1C" w:rsidRDefault="00A201F6">
            <w:pPr>
              <w:pStyle w:val="P68B1DB1-Normal46"/>
              <w:spacing w:line="240" w:lineRule="auto"/>
              <w:rPr>
                <w:rFonts w:eastAsia="Times New Roman" w:cs="Times New Roman"/>
                <w:noProof/>
              </w:rPr>
            </w:pPr>
            <w:r>
              <w:rPr>
                <w:noProof/>
              </w:rPr>
              <w:t>Inwerkingtreding van een wet die de verplichting oplegt om vanaf 100,000 uitsluitend emissiearme en emissievrije bussen te kopen in steden met meer dan 2025 inwoners</w:t>
            </w:r>
          </w:p>
        </w:tc>
      </w:tr>
      <w:tr w:rsidR="00480F1C" w14:paraId="7A6599B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D00BE54" w14:textId="77777777" w:rsidR="00480F1C" w:rsidRDefault="00A201F6">
            <w:pPr>
              <w:pStyle w:val="P68B1DB1-Normal46"/>
              <w:spacing w:line="240" w:lineRule="auto"/>
              <w:jc w:val="center"/>
              <w:rPr>
                <w:rFonts w:eastAsia="Times New Roman" w:cs="Times New Roman"/>
                <w:noProof/>
              </w:rPr>
            </w:pPr>
            <w:r>
              <w:rPr>
                <w:noProof/>
              </w:rPr>
              <w:t>E9G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0928A70" w14:textId="77777777" w:rsidR="00480F1C" w:rsidRDefault="00A201F6">
            <w:pPr>
              <w:pStyle w:val="P68B1DB1-Normal46"/>
              <w:spacing w:line="240" w:lineRule="auto"/>
              <w:rPr>
                <w:rFonts w:eastAsia="Times New Roman" w:cs="Times New Roman"/>
                <w:noProof/>
              </w:rPr>
            </w:pPr>
            <w:r>
              <w:rPr>
                <w:noProof/>
              </w:rPr>
              <w:t>E1.1.1 Steun voor een koolstofarme economie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0D5B013"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0D08406" w14:textId="77777777" w:rsidR="00480F1C" w:rsidRDefault="00A201F6">
            <w:pPr>
              <w:pStyle w:val="P68B1DB1-Normal46"/>
              <w:spacing w:line="240" w:lineRule="auto"/>
              <w:rPr>
                <w:rFonts w:eastAsia="Times New Roman" w:cs="Times New Roman"/>
                <w:noProof/>
              </w:rPr>
            </w:pPr>
            <w:r>
              <w:rPr>
                <w:noProof/>
              </w:rPr>
              <w:t>Selectie van financiële tussenpersonen</w:t>
            </w:r>
          </w:p>
        </w:tc>
      </w:tr>
      <w:tr w:rsidR="00480F1C" w14:paraId="784B28EA"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6C70E63" w14:textId="77777777" w:rsidR="00480F1C" w:rsidRDefault="00A201F6">
            <w:pPr>
              <w:pStyle w:val="P68B1DB1-Normal46"/>
              <w:spacing w:line="240" w:lineRule="auto"/>
              <w:jc w:val="center"/>
              <w:rPr>
                <w:rFonts w:eastAsia="Times New Roman" w:cs="Times New Roman"/>
                <w:noProof/>
              </w:rPr>
            </w:pPr>
            <w:r>
              <w:rPr>
                <w:noProof/>
              </w:rPr>
              <w:t>E15G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D7FA270" w14:textId="77777777" w:rsidR="00480F1C" w:rsidRDefault="00A201F6">
            <w:pPr>
              <w:pStyle w:val="P68B1DB1-Normal46"/>
              <w:spacing w:line="240" w:lineRule="auto"/>
              <w:rPr>
                <w:rFonts w:eastAsia="Times New Roman" w:cs="Times New Roman"/>
                <w:noProof/>
              </w:rPr>
            </w:pPr>
            <w:r>
              <w:rPr>
                <w:noProof/>
              </w:rPr>
              <w:t>E2.1 Versterking van het concurrentievermogen van de spoorwegsector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4877E8C"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D0EB539" w14:textId="77777777" w:rsidR="00480F1C" w:rsidRDefault="00A201F6">
            <w:pPr>
              <w:pStyle w:val="P68B1DB1-Normal46"/>
              <w:spacing w:line="240" w:lineRule="auto"/>
              <w:rPr>
                <w:rFonts w:eastAsia="Times New Roman" w:cs="Times New Roman"/>
                <w:noProof/>
              </w:rPr>
            </w:pPr>
            <w:r>
              <w:rPr>
                <w:noProof/>
              </w:rPr>
              <w:t>Inwerkingtreding van een wet tot wijziging van de wet spoorwegvervoer om de veerkracht van spoorwegexploitanten te waarborgen. Ministerieel besluit tot vaststelling van prioriteiten voor intermodaal vervoer en over het wegwerken van knelpunten ter bevordering van de spoorwegcapaciteit</w:t>
            </w:r>
          </w:p>
        </w:tc>
      </w:tr>
      <w:tr w:rsidR="00480F1C" w14:paraId="273504A6"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66D97B5" w14:textId="77777777" w:rsidR="00480F1C" w:rsidRDefault="00A201F6">
            <w:pPr>
              <w:pStyle w:val="P68B1DB1-Normal46"/>
              <w:spacing w:line="240" w:lineRule="auto"/>
              <w:jc w:val="center"/>
              <w:rPr>
                <w:rFonts w:eastAsia="Times New Roman" w:cs="Times New Roman"/>
                <w:noProof/>
              </w:rPr>
            </w:pPr>
            <w:r>
              <w:rPr>
                <w:noProof/>
              </w:rPr>
              <w:t>F4G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56200F3" w14:textId="77777777" w:rsidR="00480F1C" w:rsidRDefault="00A201F6">
            <w:pPr>
              <w:pStyle w:val="P68B1DB1-Normal46"/>
              <w:spacing w:line="240" w:lineRule="auto"/>
              <w:rPr>
                <w:rFonts w:eastAsia="Times New Roman" w:cs="Times New Roman"/>
                <w:noProof/>
              </w:rPr>
            </w:pPr>
            <w:r>
              <w:rPr>
                <w:noProof/>
              </w:rPr>
              <w:t>F3.1 Verbetering van het wetgevingsproces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BCB5067"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1D86F5C" w14:textId="77777777" w:rsidR="00480F1C" w:rsidRDefault="00A201F6">
            <w:pPr>
              <w:pStyle w:val="P68B1DB1-Normal46"/>
              <w:spacing w:line="240" w:lineRule="auto"/>
              <w:rPr>
                <w:rFonts w:eastAsia="Times New Roman" w:cs="Times New Roman"/>
                <w:noProof/>
              </w:rPr>
            </w:pPr>
            <w:r>
              <w:rPr>
                <w:noProof/>
              </w:rPr>
              <w:t>Goedkeuring van een wijziging van het Reglement van het Parlement, de Senaat en de Raad van Ministers om het gebruik van openbare raadplegingen en effectbeoordelingen in het wetgevingsproces te bevorderen</w:t>
            </w:r>
          </w:p>
        </w:tc>
      </w:tr>
      <w:tr w:rsidR="00480F1C" w14:paraId="3F795312" w14:textId="77777777">
        <w:tc>
          <w:tcPr>
            <w:tcW w:w="1350" w:type="dxa"/>
            <w:tcBorders>
              <w:top w:val="single" w:sz="6" w:space="0" w:color="auto"/>
              <w:left w:val="single" w:sz="6" w:space="0" w:color="auto"/>
              <w:bottom w:val="single" w:sz="6" w:space="0" w:color="auto"/>
              <w:right w:val="single" w:sz="6" w:space="0" w:color="auto"/>
            </w:tcBorders>
            <w:shd w:val="clear" w:color="auto" w:fill="C6EFCE"/>
            <w:vAlign w:val="center"/>
          </w:tcPr>
          <w:p w14:paraId="3800212F" w14:textId="77777777" w:rsidR="00480F1C" w:rsidRDefault="00480F1C">
            <w:pPr>
              <w:spacing w:line="240" w:lineRule="auto"/>
              <w:rPr>
                <w:rFonts w:ascii="Times New Roman" w:eastAsia="Times New Roman" w:hAnsi="Times New Roman" w:cs="Times New Roman"/>
                <w:noProof/>
              </w:rPr>
            </w:pPr>
          </w:p>
        </w:tc>
        <w:tc>
          <w:tcPr>
            <w:tcW w:w="3960" w:type="dxa"/>
            <w:tcBorders>
              <w:top w:val="single" w:sz="6" w:space="0" w:color="auto"/>
              <w:left w:val="single" w:sz="6" w:space="0" w:color="auto"/>
              <w:bottom w:val="single" w:sz="6" w:space="0" w:color="auto"/>
              <w:right w:val="single" w:sz="6" w:space="0" w:color="auto"/>
            </w:tcBorders>
            <w:shd w:val="clear" w:color="auto" w:fill="C6EFCE"/>
            <w:vAlign w:val="center"/>
          </w:tcPr>
          <w:p w14:paraId="7805C97C"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vAlign w:val="center"/>
          </w:tcPr>
          <w:p w14:paraId="110F89D8" w14:textId="77777777" w:rsidR="00480F1C" w:rsidRDefault="00A201F6">
            <w:pPr>
              <w:pStyle w:val="P68B1DB1-Normal46"/>
              <w:spacing w:line="240" w:lineRule="auto"/>
              <w:rPr>
                <w:rFonts w:eastAsia="Times New Roman" w:cs="Times New Roman"/>
                <w:noProof/>
              </w:rPr>
            </w:pPr>
            <w:r>
              <w:rPr>
                <w:noProof/>
              </w:rPr>
              <w:t>Termijnbedrag</w:t>
            </w:r>
          </w:p>
        </w:tc>
        <w:tc>
          <w:tcPr>
            <w:tcW w:w="3927" w:type="dxa"/>
            <w:tcBorders>
              <w:top w:val="single" w:sz="6" w:space="0" w:color="auto"/>
              <w:left w:val="single" w:sz="6" w:space="0" w:color="auto"/>
              <w:bottom w:val="single" w:sz="6" w:space="0" w:color="auto"/>
              <w:right w:val="single" w:sz="6" w:space="0" w:color="auto"/>
            </w:tcBorders>
            <w:shd w:val="clear" w:color="auto" w:fill="C6EFCE"/>
            <w:vAlign w:val="center"/>
          </w:tcPr>
          <w:p w14:paraId="1C27D73F" w14:textId="77777777" w:rsidR="00480F1C" w:rsidRDefault="00A201F6">
            <w:pPr>
              <w:pStyle w:val="P68B1DB1-Normal46"/>
              <w:spacing w:line="240" w:lineRule="auto"/>
              <w:rPr>
                <w:rFonts w:eastAsia="Times New Roman" w:cs="Times New Roman"/>
                <w:noProof/>
              </w:rPr>
            </w:pPr>
            <w:r>
              <w:rPr>
                <w:noProof/>
              </w:rPr>
              <w:t xml:space="preserve">EUR 3 097 113 475 </w:t>
            </w:r>
          </w:p>
        </w:tc>
      </w:tr>
    </w:tbl>
    <w:p w14:paraId="2C74A272" w14:textId="77777777" w:rsidR="00480F1C" w:rsidRDefault="00480F1C">
      <w:pPr>
        <w:spacing w:before="120" w:after="120" w:line="240" w:lineRule="auto"/>
        <w:rPr>
          <w:rFonts w:ascii="Times New Roman" w:eastAsia="Times New Roman" w:hAnsi="Times New Roman" w:cs="Times New Roman"/>
          <w:noProof/>
          <w:color w:val="000000" w:themeColor="text1"/>
        </w:rPr>
      </w:pPr>
    </w:p>
    <w:p w14:paraId="1188BF24" w14:textId="77777777" w:rsidR="00480F1C" w:rsidRDefault="00A201F6">
      <w:pPr>
        <w:pStyle w:val="P68B1DB1-Normal45"/>
        <w:spacing w:before="120" w:after="120" w:line="240" w:lineRule="auto"/>
        <w:rPr>
          <w:rFonts w:eastAsia="Times New Roman" w:cs="Times New Roman"/>
          <w:noProof/>
        </w:rPr>
      </w:pPr>
      <w:r>
        <w:rPr>
          <w:noProof/>
        </w:rPr>
        <w:t>2.1.3 derde tranche (niet-terugvorderbare steun):</w:t>
      </w:r>
    </w:p>
    <w:tbl>
      <w:tblPr>
        <w:tblW w:w="10482" w:type="dxa"/>
        <w:tblLayout w:type="fixed"/>
        <w:tblLook w:val="0000" w:firstRow="0" w:lastRow="0" w:firstColumn="0" w:lastColumn="0" w:noHBand="0" w:noVBand="0"/>
      </w:tblPr>
      <w:tblGrid>
        <w:gridCol w:w="1350"/>
        <w:gridCol w:w="3960"/>
        <w:gridCol w:w="1245"/>
        <w:gridCol w:w="3927"/>
      </w:tblGrid>
      <w:tr w:rsidR="00480F1C" w14:paraId="2A0AB9D0" w14:textId="77777777">
        <w:trPr>
          <w:trHeight w:val="856"/>
          <w:tblHeader/>
        </w:trPr>
        <w:tc>
          <w:tcPr>
            <w:tcW w:w="1350" w:type="dxa"/>
            <w:tcBorders>
              <w:top w:val="single" w:sz="6" w:space="0" w:color="auto"/>
              <w:left w:val="single" w:sz="6" w:space="0" w:color="auto"/>
              <w:bottom w:val="single" w:sz="6" w:space="0" w:color="auto"/>
              <w:right w:val="single" w:sz="6" w:space="0" w:color="auto"/>
            </w:tcBorders>
            <w:shd w:val="clear" w:color="auto" w:fill="BDD6EE"/>
            <w:vAlign w:val="center"/>
          </w:tcPr>
          <w:p w14:paraId="461985BE" w14:textId="77777777" w:rsidR="00480F1C" w:rsidRDefault="00A201F6">
            <w:pPr>
              <w:pStyle w:val="P68B1DB1-Normal42"/>
              <w:spacing w:line="240" w:lineRule="auto"/>
              <w:jc w:val="center"/>
              <w:rPr>
                <w:rFonts w:eastAsia="Times New Roman" w:cs="Times New Roman"/>
                <w:noProof/>
              </w:rPr>
            </w:pPr>
            <w:r>
              <w:rPr>
                <w:noProof/>
              </w:rPr>
              <w:t>Volgnummer</w:t>
            </w:r>
          </w:p>
        </w:tc>
        <w:tc>
          <w:tcPr>
            <w:tcW w:w="3960" w:type="dxa"/>
            <w:tcBorders>
              <w:top w:val="single" w:sz="6" w:space="0" w:color="auto"/>
              <w:left w:val="single" w:sz="6" w:space="0" w:color="auto"/>
              <w:bottom w:val="single" w:sz="6" w:space="0" w:color="auto"/>
              <w:right w:val="single" w:sz="6" w:space="0" w:color="auto"/>
            </w:tcBorders>
            <w:shd w:val="clear" w:color="auto" w:fill="BDD6EE"/>
            <w:vAlign w:val="center"/>
          </w:tcPr>
          <w:p w14:paraId="5C2CB6AB" w14:textId="77777777" w:rsidR="00480F1C" w:rsidRDefault="00A201F6">
            <w:pPr>
              <w:pStyle w:val="P68B1DB1-Normal42"/>
              <w:spacing w:line="240" w:lineRule="auto"/>
              <w:jc w:val="center"/>
              <w:rPr>
                <w:rFonts w:eastAsia="Times New Roman" w:cs="Times New Roman"/>
                <w:noProof/>
              </w:rPr>
            </w:pPr>
            <w:r>
              <w:rPr>
                <w:noProof/>
              </w:rPr>
              <w:t>Gerelateerde maatregel (hervorming of investering)</w:t>
            </w:r>
          </w:p>
        </w:tc>
        <w:tc>
          <w:tcPr>
            <w:tcW w:w="1245" w:type="dxa"/>
            <w:tcBorders>
              <w:top w:val="single" w:sz="6" w:space="0" w:color="auto"/>
              <w:left w:val="single" w:sz="6" w:space="0" w:color="auto"/>
              <w:bottom w:val="single" w:sz="6" w:space="0" w:color="auto"/>
              <w:right w:val="single" w:sz="6" w:space="0" w:color="auto"/>
            </w:tcBorders>
            <w:shd w:val="clear" w:color="auto" w:fill="BDD6EE"/>
            <w:vAlign w:val="center"/>
          </w:tcPr>
          <w:p w14:paraId="3A68A67F" w14:textId="77777777" w:rsidR="00480F1C" w:rsidRDefault="00A201F6">
            <w:pPr>
              <w:pStyle w:val="P68B1DB1-Normal42"/>
              <w:spacing w:line="240" w:lineRule="auto"/>
              <w:jc w:val="center"/>
              <w:rPr>
                <w:rFonts w:eastAsia="Times New Roman" w:cs="Times New Roman"/>
                <w:noProof/>
              </w:rPr>
            </w:pPr>
            <w:r>
              <w:rPr>
                <w:noProof/>
              </w:rPr>
              <w:t>Mijlpaal/Doelstelling</w:t>
            </w:r>
          </w:p>
        </w:tc>
        <w:tc>
          <w:tcPr>
            <w:tcW w:w="3927" w:type="dxa"/>
            <w:tcBorders>
              <w:top w:val="single" w:sz="6" w:space="0" w:color="auto"/>
              <w:left w:val="single" w:sz="6" w:space="0" w:color="auto"/>
              <w:bottom w:val="single" w:sz="6" w:space="0" w:color="auto"/>
              <w:right w:val="single" w:sz="6" w:space="0" w:color="auto"/>
            </w:tcBorders>
            <w:shd w:val="clear" w:color="auto" w:fill="BDD6EE"/>
            <w:vAlign w:val="center"/>
          </w:tcPr>
          <w:p w14:paraId="5BC830F3" w14:textId="77777777" w:rsidR="00480F1C" w:rsidRDefault="00A201F6">
            <w:pPr>
              <w:pStyle w:val="P68B1DB1-Normal42"/>
              <w:spacing w:line="240" w:lineRule="auto"/>
              <w:jc w:val="center"/>
              <w:rPr>
                <w:rFonts w:eastAsia="Times New Roman" w:cs="Times New Roman"/>
                <w:noProof/>
              </w:rPr>
            </w:pPr>
            <w:r>
              <w:rPr>
                <w:noProof/>
              </w:rPr>
              <w:t>Naam</w:t>
            </w:r>
          </w:p>
        </w:tc>
      </w:tr>
      <w:tr w:rsidR="00480F1C" w14:paraId="1C93E36E"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8872ABD" w14:textId="77777777" w:rsidR="00480F1C" w:rsidRDefault="00A201F6">
            <w:pPr>
              <w:pStyle w:val="P68B1DB1-Normal46"/>
              <w:spacing w:line="240" w:lineRule="auto"/>
              <w:jc w:val="center"/>
              <w:rPr>
                <w:rFonts w:eastAsia="Times New Roman" w:cs="Times New Roman"/>
                <w:noProof/>
              </w:rPr>
            </w:pPr>
            <w:r>
              <w:rPr>
                <w:noProof/>
              </w:rPr>
              <w:t>A12G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47F8E1E" w14:textId="77777777" w:rsidR="00480F1C" w:rsidRDefault="00A201F6">
            <w:pPr>
              <w:pStyle w:val="P68B1DB1-Normal46"/>
              <w:spacing w:line="240" w:lineRule="auto"/>
              <w:rPr>
                <w:rFonts w:eastAsia="Times New Roman" w:cs="Times New Roman"/>
                <w:noProof/>
              </w:rPr>
            </w:pPr>
            <w:r>
              <w:rPr>
                <w:noProof/>
              </w:rPr>
              <w:t>A1.3 Hervorming van de ruimtelijke ordening</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C7BFFAB"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C0C3D2F" w14:textId="77777777" w:rsidR="00480F1C" w:rsidRDefault="00A201F6">
            <w:pPr>
              <w:pStyle w:val="P68B1DB1-Normal46"/>
              <w:spacing w:line="240" w:lineRule="auto"/>
              <w:rPr>
                <w:rFonts w:eastAsia="Times New Roman" w:cs="Times New Roman"/>
                <w:noProof/>
              </w:rPr>
            </w:pPr>
            <w:r>
              <w:rPr>
                <w:noProof/>
              </w:rPr>
              <w:t>Inwerkingtreding van een nieuwe wet inzake ruimtelijke ordening</w:t>
            </w:r>
          </w:p>
        </w:tc>
      </w:tr>
      <w:tr w:rsidR="00480F1C" w14:paraId="6DBF5277"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088C501" w14:textId="77777777" w:rsidR="00480F1C" w:rsidRDefault="00A201F6">
            <w:pPr>
              <w:pStyle w:val="P68B1DB1-Normal46"/>
              <w:spacing w:line="240" w:lineRule="auto"/>
              <w:jc w:val="center"/>
              <w:rPr>
                <w:rFonts w:eastAsia="Times New Roman" w:cs="Times New Roman"/>
                <w:noProof/>
              </w:rPr>
            </w:pPr>
            <w:r>
              <w:rPr>
                <w:noProof/>
              </w:rPr>
              <w:t>A33G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9FAB398" w14:textId="77777777" w:rsidR="00480F1C" w:rsidRDefault="00A201F6">
            <w:pPr>
              <w:pStyle w:val="P68B1DB1-Normal46"/>
              <w:spacing w:line="240" w:lineRule="auto"/>
              <w:rPr>
                <w:rFonts w:eastAsia="Times New Roman" w:cs="Times New Roman"/>
                <w:noProof/>
              </w:rPr>
            </w:pPr>
            <w:r>
              <w:rPr>
                <w:noProof/>
              </w:rPr>
              <w:t>A2.3 Het bieden van een institutionele en juridische basis voor de ontwikkeling van onbemande luchtvaartuigen (UAV)</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1C8AE5A"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AD58E41" w14:textId="77777777" w:rsidR="00480F1C" w:rsidRDefault="00A201F6">
            <w:pPr>
              <w:pStyle w:val="P68B1DB1-Normal46"/>
              <w:spacing w:line="240" w:lineRule="auto"/>
              <w:rPr>
                <w:rFonts w:eastAsia="Times New Roman" w:cs="Times New Roman"/>
                <w:noProof/>
              </w:rPr>
            </w:pPr>
            <w:r>
              <w:rPr>
                <w:noProof/>
              </w:rPr>
              <w:t>Inwerkingtreding van een wet tot wijziging van de wet op het Poolse agentschap voor luchtvaartnavigatiediensten</w:t>
            </w:r>
          </w:p>
        </w:tc>
      </w:tr>
      <w:tr w:rsidR="00480F1C" w14:paraId="74D47CBF"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FCB8D00" w14:textId="77777777" w:rsidR="00480F1C" w:rsidRDefault="00A201F6">
            <w:pPr>
              <w:pStyle w:val="P68B1DB1-Normal46"/>
              <w:spacing w:line="240" w:lineRule="auto"/>
              <w:jc w:val="center"/>
              <w:rPr>
                <w:rFonts w:eastAsia="Times New Roman" w:cs="Times New Roman"/>
                <w:noProof/>
              </w:rPr>
            </w:pPr>
            <w:r>
              <w:rPr>
                <w:noProof/>
              </w:rPr>
              <w:t>A57G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EED16E3" w14:textId="77777777" w:rsidR="00480F1C" w:rsidRDefault="00A201F6">
            <w:pPr>
              <w:pStyle w:val="P68B1DB1-Normal46"/>
              <w:spacing w:line="240" w:lineRule="auto"/>
              <w:rPr>
                <w:rFonts w:eastAsia="Times New Roman" w:cs="Times New Roman"/>
                <w:noProof/>
              </w:rPr>
            </w:pPr>
            <w:r>
              <w:rPr>
                <w:noProof/>
              </w:rPr>
              <w:t>A4.2 Hervorming om de arbeidsmarktsituatie van ouders te verbeteren door de toegang tot hoogwaardige kinderopvang voor kinderen tot drie jaar te verbeteren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893CCCC"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92468C8" w14:textId="77777777" w:rsidR="00480F1C" w:rsidRDefault="00A201F6">
            <w:pPr>
              <w:pStyle w:val="P68B1DB1-Normal46"/>
              <w:spacing w:line="240" w:lineRule="auto"/>
              <w:rPr>
                <w:rFonts w:eastAsia="Times New Roman" w:cs="Times New Roman"/>
                <w:noProof/>
              </w:rPr>
            </w:pPr>
            <w:r>
              <w:rPr>
                <w:noProof/>
              </w:rPr>
              <w:t>Vaststelling van kwaliteitsnormen voor kinderopvang, met inbegrip van onderwijsrichtsnoeren en normen voor zorgdiensten voor kinderen jonger dan drie jaar, waarbij hoge kwaliteit wordt gewaarborgd, met inbegrip van onderwijs en zorg</w:t>
            </w:r>
          </w:p>
        </w:tc>
      </w:tr>
      <w:tr w:rsidR="00480F1C" w14:paraId="25ACCEED"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6C29F27" w14:textId="77777777" w:rsidR="00480F1C" w:rsidRDefault="00A201F6">
            <w:pPr>
              <w:pStyle w:val="P68B1DB1-Normal46"/>
              <w:spacing w:line="240" w:lineRule="auto"/>
              <w:jc w:val="center"/>
              <w:rPr>
                <w:rFonts w:eastAsia="Times New Roman" w:cs="Times New Roman"/>
                <w:noProof/>
              </w:rPr>
            </w:pPr>
            <w:r>
              <w:rPr>
                <w:noProof/>
              </w:rPr>
              <w:t>B2G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3606712" w14:textId="77777777" w:rsidR="00480F1C" w:rsidRDefault="00A201F6">
            <w:pPr>
              <w:pStyle w:val="P68B1DB1-Normal46"/>
              <w:spacing w:line="240" w:lineRule="auto"/>
              <w:rPr>
                <w:rFonts w:eastAsia="Times New Roman" w:cs="Times New Roman"/>
                <w:noProof/>
              </w:rPr>
            </w:pPr>
            <w:r>
              <w:rPr>
                <w:noProof/>
              </w:rPr>
              <w:t>B1.1 Schone lucht en energie-efficiëntie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45EF773"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A47F5C8" w14:textId="77777777" w:rsidR="00480F1C" w:rsidRDefault="00A201F6">
            <w:pPr>
              <w:pStyle w:val="P68B1DB1-Normal46"/>
              <w:spacing w:line="240" w:lineRule="auto"/>
              <w:rPr>
                <w:rFonts w:eastAsia="Times New Roman" w:cs="Times New Roman"/>
                <w:noProof/>
              </w:rPr>
            </w:pPr>
            <w:r>
              <w:rPr>
                <w:noProof/>
              </w:rPr>
              <w:t>Actualisering van het prioritaire programma „Schone lucht”</w:t>
            </w:r>
          </w:p>
        </w:tc>
      </w:tr>
      <w:tr w:rsidR="00480F1C" w14:paraId="68A12B49"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18B28B2" w14:textId="77777777" w:rsidR="00480F1C" w:rsidRDefault="00A201F6">
            <w:pPr>
              <w:pStyle w:val="P68B1DB1-Normal46"/>
              <w:spacing w:line="240" w:lineRule="auto"/>
              <w:jc w:val="center"/>
              <w:rPr>
                <w:rFonts w:eastAsia="Times New Roman" w:cs="Times New Roman"/>
                <w:noProof/>
              </w:rPr>
            </w:pPr>
            <w:r>
              <w:rPr>
                <w:noProof/>
              </w:rPr>
              <w:t>C2G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2A52343" w14:textId="77777777" w:rsidR="00480F1C" w:rsidRDefault="00A201F6">
            <w:pPr>
              <w:pStyle w:val="P68B1DB1-Normal46"/>
              <w:spacing w:line="240" w:lineRule="auto"/>
              <w:rPr>
                <w:rFonts w:eastAsia="Times New Roman" w:cs="Times New Roman"/>
                <w:noProof/>
              </w:rPr>
            </w:pPr>
            <w:r>
              <w:rPr>
                <w:noProof/>
              </w:rPr>
              <w:t>C1.1 Bevordering van de ontwikkeling van netwerkinfrastructuur om universele toegang tot hogesnelheidsinternet te waarborgen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44678B7"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E91C0DF" w14:textId="77777777" w:rsidR="00480F1C" w:rsidRDefault="00A201F6">
            <w:pPr>
              <w:pStyle w:val="P68B1DB1-Normal46"/>
              <w:spacing w:line="240" w:lineRule="auto"/>
              <w:rPr>
                <w:rFonts w:eastAsia="Times New Roman" w:cs="Times New Roman"/>
                <w:noProof/>
              </w:rPr>
            </w:pPr>
            <w:r>
              <w:rPr>
                <w:noProof/>
              </w:rPr>
              <w:t>Wijziging van de regeling van de minister voor Digitalisering van de jaarlijkse inventaris van telecommunicatie-infrastructuur &amp; -diensten</w:t>
            </w:r>
          </w:p>
        </w:tc>
      </w:tr>
      <w:tr w:rsidR="00480F1C" w14:paraId="35159DD5"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A068E87" w14:textId="77777777" w:rsidR="00480F1C" w:rsidRDefault="00A201F6">
            <w:pPr>
              <w:pStyle w:val="P68B1DB1-Normal46"/>
              <w:spacing w:line="240" w:lineRule="auto"/>
              <w:jc w:val="center"/>
              <w:rPr>
                <w:rFonts w:eastAsia="Times New Roman" w:cs="Times New Roman"/>
                <w:noProof/>
              </w:rPr>
            </w:pPr>
            <w:r>
              <w:rPr>
                <w:noProof/>
              </w:rPr>
              <w:t>D7G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8967FF3" w14:textId="77777777" w:rsidR="00480F1C" w:rsidRDefault="00A201F6">
            <w:pPr>
              <w:pStyle w:val="P68B1DB1-Normal46"/>
              <w:spacing w:line="240" w:lineRule="auto"/>
              <w:rPr>
                <w:rFonts w:eastAsia="Times New Roman" w:cs="Times New Roman"/>
                <w:noProof/>
              </w:rPr>
            </w:pPr>
            <w:r>
              <w:rPr>
                <w:noProof/>
              </w:rPr>
              <w:t>D1.1 Verbetering van de doeltreffendheid, toegankelijkheid en kwaliteit van gezondheidsdiensten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0B75BE2"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54C8EF9" w14:textId="77777777" w:rsidR="00480F1C" w:rsidRDefault="00A201F6">
            <w:pPr>
              <w:pStyle w:val="P68B1DB1-Normal46"/>
              <w:spacing w:line="240" w:lineRule="auto"/>
              <w:rPr>
                <w:rFonts w:eastAsia="Times New Roman" w:cs="Times New Roman"/>
                <w:noProof/>
              </w:rPr>
            </w:pPr>
            <w:r>
              <w:rPr>
                <w:noProof/>
              </w:rPr>
              <w:t>Inwerkingtreding van de verordening betreffende de lijst van voivodship controlecentra voor het oncologisch netwerk</w:t>
            </w:r>
          </w:p>
        </w:tc>
      </w:tr>
      <w:tr w:rsidR="00480F1C" w14:paraId="5D0E459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954BC46" w14:textId="77777777" w:rsidR="00480F1C" w:rsidRDefault="00A201F6">
            <w:pPr>
              <w:pStyle w:val="P68B1DB1-Normal46"/>
              <w:spacing w:line="240" w:lineRule="auto"/>
              <w:jc w:val="center"/>
              <w:rPr>
                <w:rFonts w:eastAsia="Times New Roman" w:cs="Times New Roman"/>
                <w:noProof/>
              </w:rPr>
            </w:pPr>
            <w:r>
              <w:rPr>
                <w:noProof/>
              </w:rPr>
              <w:t>D10G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2C79AFD" w14:textId="77777777" w:rsidR="00480F1C" w:rsidRDefault="00A201F6">
            <w:pPr>
              <w:pStyle w:val="P68B1DB1-Normal46"/>
              <w:spacing w:line="240" w:lineRule="auto"/>
              <w:rPr>
                <w:rFonts w:eastAsia="Times New Roman" w:cs="Times New Roman"/>
                <w:noProof/>
              </w:rPr>
            </w:pPr>
            <w:r>
              <w:rPr>
                <w:noProof/>
              </w:rPr>
              <w:t>D1.1.1 Ontwikkeling en modernisering van de infrastructuur van zeer gespecialiseerde zorgcentra en andere zorgaanbieders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E91BE08"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833FA18" w14:textId="77777777" w:rsidR="00480F1C" w:rsidRDefault="00A201F6">
            <w:pPr>
              <w:pStyle w:val="P68B1DB1-Normal46"/>
              <w:spacing w:line="240" w:lineRule="auto"/>
              <w:rPr>
                <w:rFonts w:eastAsia="Times New Roman" w:cs="Times New Roman"/>
                <w:noProof/>
              </w:rPr>
            </w:pPr>
            <w:r>
              <w:rPr>
                <w:noProof/>
              </w:rPr>
              <w:t>Eerste oproep tot het indienen van voorstellen voor ziekenhuizen die financiering aanvragen</w:t>
            </w:r>
          </w:p>
        </w:tc>
      </w:tr>
      <w:tr w:rsidR="00480F1C" w14:paraId="5BB41A15"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79131D0" w14:textId="77777777" w:rsidR="00480F1C" w:rsidRDefault="00A201F6">
            <w:pPr>
              <w:pStyle w:val="P68B1DB1-Normal46"/>
              <w:spacing w:line="240" w:lineRule="auto"/>
              <w:jc w:val="center"/>
              <w:rPr>
                <w:rFonts w:eastAsia="Times New Roman" w:cs="Times New Roman"/>
                <w:noProof/>
              </w:rPr>
            </w:pPr>
            <w:r>
              <w:rPr>
                <w:noProof/>
              </w:rPr>
              <w:t>E2G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830BE9E" w14:textId="77777777" w:rsidR="00480F1C" w:rsidRDefault="00A201F6">
            <w:pPr>
              <w:pStyle w:val="P68B1DB1-Normal46"/>
              <w:spacing w:line="240" w:lineRule="auto"/>
              <w:rPr>
                <w:rFonts w:eastAsia="Times New Roman" w:cs="Times New Roman"/>
                <w:noProof/>
              </w:rPr>
            </w:pPr>
            <w:r>
              <w:rPr>
                <w:noProof/>
              </w:rPr>
              <w:t>E1.1 Verhoging van het gebruik van milieuvriendelijk vervoer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10DAD3C"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4BB979B" w14:textId="77777777" w:rsidR="00480F1C" w:rsidRDefault="00A201F6">
            <w:pPr>
              <w:pStyle w:val="P68B1DB1-Normal46"/>
              <w:spacing w:line="240" w:lineRule="auto"/>
              <w:rPr>
                <w:rFonts w:eastAsia="Times New Roman" w:cs="Times New Roman"/>
                <w:noProof/>
              </w:rPr>
            </w:pPr>
            <w:r>
              <w:rPr>
                <w:noProof/>
              </w:rPr>
              <w:t>Maatregelen ter ondersteuning van de ontwikkeling van duurzame stedelijke mobiliteitsplannen (SUMP’s) en goedkeuring van stimulansen voor de uitvoering van SUMP’s, waarbij technische en financiële steun wordt verleend aan alle functionele stedelijke gebieden door het ministerie van Infrastructuur.</w:t>
            </w:r>
          </w:p>
        </w:tc>
      </w:tr>
      <w:tr w:rsidR="00480F1C" w14:paraId="25480494" w14:textId="77777777">
        <w:tc>
          <w:tcPr>
            <w:tcW w:w="1350" w:type="dxa"/>
            <w:tcBorders>
              <w:top w:val="single" w:sz="6" w:space="0" w:color="auto"/>
              <w:left w:val="single" w:sz="6" w:space="0" w:color="auto"/>
              <w:bottom w:val="single" w:sz="6" w:space="0" w:color="auto"/>
              <w:right w:val="single" w:sz="6" w:space="0" w:color="auto"/>
            </w:tcBorders>
            <w:shd w:val="clear" w:color="auto" w:fill="C6EFCE"/>
            <w:vAlign w:val="center"/>
          </w:tcPr>
          <w:p w14:paraId="27596C60" w14:textId="77777777" w:rsidR="00480F1C" w:rsidRDefault="00480F1C">
            <w:pPr>
              <w:spacing w:line="240" w:lineRule="auto"/>
              <w:rPr>
                <w:rFonts w:ascii="Times New Roman" w:eastAsia="Times New Roman" w:hAnsi="Times New Roman" w:cs="Times New Roman"/>
                <w:noProof/>
              </w:rPr>
            </w:pPr>
          </w:p>
        </w:tc>
        <w:tc>
          <w:tcPr>
            <w:tcW w:w="3960" w:type="dxa"/>
            <w:tcBorders>
              <w:top w:val="single" w:sz="6" w:space="0" w:color="auto"/>
              <w:left w:val="single" w:sz="6" w:space="0" w:color="auto"/>
              <w:bottom w:val="single" w:sz="6" w:space="0" w:color="auto"/>
              <w:right w:val="single" w:sz="6" w:space="0" w:color="auto"/>
            </w:tcBorders>
            <w:shd w:val="clear" w:color="auto" w:fill="C6EFCE"/>
            <w:vAlign w:val="center"/>
          </w:tcPr>
          <w:p w14:paraId="2C9F6310"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vAlign w:val="center"/>
          </w:tcPr>
          <w:p w14:paraId="79A81B86" w14:textId="77777777" w:rsidR="00480F1C" w:rsidRDefault="00A201F6">
            <w:pPr>
              <w:pStyle w:val="P68B1DB1-Normal46"/>
              <w:spacing w:line="240" w:lineRule="auto"/>
              <w:rPr>
                <w:rFonts w:eastAsia="Times New Roman" w:cs="Times New Roman"/>
                <w:noProof/>
              </w:rPr>
            </w:pPr>
            <w:r>
              <w:rPr>
                <w:noProof/>
              </w:rPr>
              <w:t>Termijnbedrag</w:t>
            </w:r>
          </w:p>
        </w:tc>
        <w:tc>
          <w:tcPr>
            <w:tcW w:w="3927" w:type="dxa"/>
            <w:tcBorders>
              <w:top w:val="single" w:sz="6" w:space="0" w:color="auto"/>
              <w:left w:val="single" w:sz="6" w:space="0" w:color="auto"/>
              <w:bottom w:val="single" w:sz="6" w:space="0" w:color="auto"/>
              <w:right w:val="single" w:sz="6" w:space="0" w:color="auto"/>
            </w:tcBorders>
            <w:shd w:val="clear" w:color="auto" w:fill="C6EFCE"/>
            <w:vAlign w:val="center"/>
          </w:tcPr>
          <w:p w14:paraId="4134E528" w14:textId="77777777" w:rsidR="00480F1C" w:rsidRDefault="00A201F6">
            <w:pPr>
              <w:pStyle w:val="P68B1DB1-Normal46"/>
              <w:spacing w:line="240" w:lineRule="auto"/>
              <w:rPr>
                <w:rFonts w:eastAsia="Times New Roman" w:cs="Times New Roman"/>
                <w:noProof/>
              </w:rPr>
            </w:pPr>
            <w:r>
              <w:rPr>
                <w:noProof/>
              </w:rPr>
              <w:t xml:space="preserve">EUR 2 079 743 156 </w:t>
            </w:r>
          </w:p>
        </w:tc>
      </w:tr>
    </w:tbl>
    <w:p w14:paraId="56E45B76" w14:textId="77777777" w:rsidR="00480F1C" w:rsidRDefault="00480F1C">
      <w:pPr>
        <w:spacing w:before="120" w:after="120" w:line="240" w:lineRule="auto"/>
        <w:rPr>
          <w:rFonts w:ascii="Times New Roman" w:eastAsia="Times New Roman" w:hAnsi="Times New Roman" w:cs="Times New Roman"/>
          <w:noProof/>
          <w:color w:val="000000" w:themeColor="text1"/>
        </w:rPr>
      </w:pPr>
    </w:p>
    <w:p w14:paraId="11959277" w14:textId="77777777" w:rsidR="00480F1C" w:rsidRDefault="00A201F6">
      <w:pPr>
        <w:pStyle w:val="P68B1DB1-Normal45"/>
        <w:spacing w:before="120" w:after="120" w:line="240" w:lineRule="auto"/>
        <w:rPr>
          <w:rFonts w:eastAsia="Times New Roman" w:cs="Times New Roman"/>
          <w:noProof/>
        </w:rPr>
      </w:pPr>
      <w:r>
        <w:rPr>
          <w:noProof/>
        </w:rPr>
        <w:t>2.1.4 vierde tranche (niet-terugvorderbare steun):</w:t>
      </w:r>
    </w:p>
    <w:tbl>
      <w:tblPr>
        <w:tblW w:w="10482" w:type="dxa"/>
        <w:tblLayout w:type="fixed"/>
        <w:tblLook w:val="0000" w:firstRow="0" w:lastRow="0" w:firstColumn="0" w:lastColumn="0" w:noHBand="0" w:noVBand="0"/>
      </w:tblPr>
      <w:tblGrid>
        <w:gridCol w:w="1350"/>
        <w:gridCol w:w="3960"/>
        <w:gridCol w:w="1245"/>
        <w:gridCol w:w="3927"/>
      </w:tblGrid>
      <w:tr w:rsidR="00480F1C" w14:paraId="4652081F" w14:textId="77777777">
        <w:trPr>
          <w:trHeight w:val="753"/>
          <w:tblHeader/>
        </w:trPr>
        <w:tc>
          <w:tcPr>
            <w:tcW w:w="1350" w:type="dxa"/>
            <w:tcBorders>
              <w:top w:val="single" w:sz="6" w:space="0" w:color="auto"/>
              <w:left w:val="single" w:sz="6" w:space="0" w:color="auto"/>
              <w:bottom w:val="single" w:sz="6" w:space="0" w:color="auto"/>
              <w:right w:val="single" w:sz="6" w:space="0" w:color="auto"/>
            </w:tcBorders>
            <w:shd w:val="clear" w:color="auto" w:fill="BDD6EE"/>
            <w:vAlign w:val="center"/>
          </w:tcPr>
          <w:p w14:paraId="3220957B" w14:textId="77777777" w:rsidR="00480F1C" w:rsidRDefault="00A201F6">
            <w:pPr>
              <w:pStyle w:val="P68B1DB1-Normal42"/>
              <w:spacing w:line="240" w:lineRule="auto"/>
              <w:jc w:val="center"/>
              <w:rPr>
                <w:rFonts w:eastAsia="Times New Roman" w:cs="Times New Roman"/>
                <w:noProof/>
              </w:rPr>
            </w:pPr>
            <w:r>
              <w:rPr>
                <w:noProof/>
              </w:rPr>
              <w:t>Volgnummer</w:t>
            </w:r>
          </w:p>
        </w:tc>
        <w:tc>
          <w:tcPr>
            <w:tcW w:w="3960" w:type="dxa"/>
            <w:tcBorders>
              <w:top w:val="single" w:sz="6" w:space="0" w:color="auto"/>
              <w:left w:val="single" w:sz="6" w:space="0" w:color="auto"/>
              <w:bottom w:val="single" w:sz="6" w:space="0" w:color="auto"/>
              <w:right w:val="single" w:sz="6" w:space="0" w:color="auto"/>
            </w:tcBorders>
            <w:shd w:val="clear" w:color="auto" w:fill="BDD6EE"/>
            <w:vAlign w:val="center"/>
          </w:tcPr>
          <w:p w14:paraId="271356A4" w14:textId="77777777" w:rsidR="00480F1C" w:rsidRDefault="00A201F6">
            <w:pPr>
              <w:pStyle w:val="P68B1DB1-Normal42"/>
              <w:spacing w:line="240" w:lineRule="auto"/>
              <w:jc w:val="center"/>
              <w:rPr>
                <w:rFonts w:eastAsia="Times New Roman" w:cs="Times New Roman"/>
                <w:noProof/>
              </w:rPr>
            </w:pPr>
            <w:r>
              <w:rPr>
                <w:noProof/>
              </w:rPr>
              <w:t>Gerelateerde maatregel (hervorming of investering)</w:t>
            </w:r>
          </w:p>
        </w:tc>
        <w:tc>
          <w:tcPr>
            <w:tcW w:w="1245" w:type="dxa"/>
            <w:tcBorders>
              <w:top w:val="single" w:sz="6" w:space="0" w:color="auto"/>
              <w:left w:val="single" w:sz="6" w:space="0" w:color="auto"/>
              <w:bottom w:val="single" w:sz="6" w:space="0" w:color="auto"/>
              <w:right w:val="single" w:sz="6" w:space="0" w:color="auto"/>
            </w:tcBorders>
            <w:shd w:val="clear" w:color="auto" w:fill="BDD6EE"/>
            <w:vAlign w:val="center"/>
          </w:tcPr>
          <w:p w14:paraId="2BEFABF1" w14:textId="77777777" w:rsidR="00480F1C" w:rsidRDefault="00A201F6">
            <w:pPr>
              <w:pStyle w:val="P68B1DB1-Normal42"/>
              <w:spacing w:line="240" w:lineRule="auto"/>
              <w:jc w:val="center"/>
              <w:rPr>
                <w:rFonts w:eastAsia="Times New Roman" w:cs="Times New Roman"/>
                <w:noProof/>
              </w:rPr>
            </w:pPr>
            <w:r>
              <w:rPr>
                <w:noProof/>
              </w:rPr>
              <w:t>Mijlpaal/Doelstelling</w:t>
            </w:r>
          </w:p>
        </w:tc>
        <w:tc>
          <w:tcPr>
            <w:tcW w:w="3927" w:type="dxa"/>
            <w:tcBorders>
              <w:top w:val="single" w:sz="6" w:space="0" w:color="auto"/>
              <w:left w:val="single" w:sz="6" w:space="0" w:color="auto"/>
              <w:bottom w:val="single" w:sz="6" w:space="0" w:color="auto"/>
              <w:right w:val="single" w:sz="6" w:space="0" w:color="auto"/>
            </w:tcBorders>
            <w:shd w:val="clear" w:color="auto" w:fill="BDD6EE"/>
            <w:vAlign w:val="center"/>
          </w:tcPr>
          <w:p w14:paraId="24A418A4" w14:textId="77777777" w:rsidR="00480F1C" w:rsidRDefault="00A201F6">
            <w:pPr>
              <w:pStyle w:val="P68B1DB1-Normal42"/>
              <w:spacing w:line="240" w:lineRule="auto"/>
              <w:jc w:val="center"/>
              <w:rPr>
                <w:rFonts w:eastAsia="Times New Roman" w:cs="Times New Roman"/>
                <w:noProof/>
              </w:rPr>
            </w:pPr>
            <w:r>
              <w:rPr>
                <w:noProof/>
              </w:rPr>
              <w:t>Naam</w:t>
            </w:r>
          </w:p>
        </w:tc>
      </w:tr>
      <w:tr w:rsidR="00480F1C" w14:paraId="506CFCA5"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40E5E1C" w14:textId="77777777" w:rsidR="00480F1C" w:rsidRDefault="00A201F6">
            <w:pPr>
              <w:pStyle w:val="P68B1DB1-Normal46"/>
              <w:spacing w:line="240" w:lineRule="auto"/>
              <w:jc w:val="center"/>
              <w:rPr>
                <w:rFonts w:eastAsia="Times New Roman" w:cs="Times New Roman"/>
                <w:noProof/>
              </w:rPr>
            </w:pPr>
            <w:r>
              <w:rPr>
                <w:noProof/>
              </w:rPr>
              <w:t>A25G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63D31A3" w14:textId="77777777" w:rsidR="00480F1C" w:rsidRDefault="00A201F6">
            <w:pPr>
              <w:pStyle w:val="P68B1DB1-Normal46"/>
              <w:spacing w:line="240" w:lineRule="auto"/>
              <w:rPr>
                <w:rFonts w:eastAsia="Times New Roman" w:cs="Times New Roman"/>
                <w:noProof/>
              </w:rPr>
            </w:pPr>
            <w:r>
              <w:rPr>
                <w:noProof/>
              </w:rPr>
              <w:t>A1.4.1 Investeringen om de toeleveringsketen van landbouw- en voedingsproducten te diversifiëren en te verkorten en de veerkracht van de entiteiten in de keten op te bouwen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4A60F69"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1A9F6C6" w14:textId="77777777" w:rsidR="00480F1C" w:rsidRDefault="00A201F6">
            <w:pPr>
              <w:pStyle w:val="P68B1DB1-Normal46"/>
              <w:spacing w:line="240" w:lineRule="auto"/>
              <w:rPr>
                <w:rFonts w:eastAsia="Times New Roman" w:cs="Times New Roman"/>
                <w:noProof/>
              </w:rPr>
            </w:pPr>
            <w:r>
              <w:rPr>
                <w:noProof/>
              </w:rPr>
              <w:t xml:space="preserve">Landbouwers en vissers die projecten hebben afgerond om hun infrastructuur en uitrusting te moderniseren, de voedselvoorzieningsketens te verkorten en landbouwoplossingen toe te passen 4.0 in productieprocessen  </w:t>
            </w:r>
          </w:p>
        </w:tc>
      </w:tr>
      <w:tr w:rsidR="00480F1C" w14:paraId="051C2A7F"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025234E" w14:textId="77777777" w:rsidR="00480F1C" w:rsidRDefault="00A201F6">
            <w:pPr>
              <w:pStyle w:val="P68B1DB1-Normal46"/>
              <w:spacing w:line="240" w:lineRule="auto"/>
              <w:jc w:val="center"/>
              <w:rPr>
                <w:rFonts w:eastAsia="Times New Roman" w:cs="Times New Roman"/>
                <w:noProof/>
              </w:rPr>
            </w:pPr>
            <w:r>
              <w:rPr>
                <w:noProof/>
              </w:rPr>
              <w:t>A41G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BC82740" w14:textId="77777777" w:rsidR="00480F1C" w:rsidRDefault="00A201F6">
            <w:pPr>
              <w:pStyle w:val="P68B1DB1-Normal46"/>
              <w:spacing w:line="240" w:lineRule="auto"/>
              <w:rPr>
                <w:rFonts w:eastAsia="Times New Roman" w:cs="Times New Roman"/>
                <w:noProof/>
              </w:rPr>
            </w:pPr>
            <w:r>
              <w:rPr>
                <w:noProof/>
              </w:rPr>
              <w:t>A3.1 Werknemers voor de moderne economie: betere afstemming van vaardigheden en kwalificaties op de behoeften van de arbeidsmarkt dankzij de invoering van nieuwe technologieën in de economie en de groene en digitale transformatie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89699C5"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495E26D" w14:textId="77777777" w:rsidR="00480F1C" w:rsidRDefault="00A201F6">
            <w:pPr>
              <w:pStyle w:val="P68B1DB1-Normal46"/>
              <w:spacing w:line="240" w:lineRule="auto"/>
              <w:rPr>
                <w:rFonts w:eastAsia="Times New Roman" w:cs="Times New Roman"/>
                <w:noProof/>
              </w:rPr>
            </w:pPr>
            <w:r>
              <w:rPr>
                <w:noProof/>
              </w:rPr>
              <w:t xml:space="preserve"> Inwerkingtreding van de wet tot wijziging van de onderwijswet, tot vaststelling van het rechtskader voor het netwerk van centra voor sectorale vaardigheden, met gerichte bij- en omscholing die zeer relevant zijn voor de behoeften van de arbeidsmarkt  </w:t>
            </w:r>
          </w:p>
        </w:tc>
      </w:tr>
      <w:tr w:rsidR="00480F1C" w14:paraId="6BA0417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496F4C6" w14:textId="77777777" w:rsidR="00480F1C" w:rsidRDefault="00A201F6">
            <w:pPr>
              <w:pStyle w:val="P68B1DB1-Normal46"/>
              <w:spacing w:line="240" w:lineRule="auto"/>
              <w:jc w:val="center"/>
              <w:rPr>
                <w:rFonts w:eastAsia="Times New Roman" w:cs="Times New Roman"/>
                <w:noProof/>
              </w:rPr>
            </w:pPr>
            <w:r>
              <w:rPr>
                <w:noProof/>
              </w:rPr>
              <w:t>A42G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E3910F8" w14:textId="77777777" w:rsidR="00480F1C" w:rsidRDefault="00A201F6">
            <w:pPr>
              <w:pStyle w:val="P68B1DB1-Normal46"/>
              <w:spacing w:line="240" w:lineRule="auto"/>
              <w:rPr>
                <w:rFonts w:eastAsia="Times New Roman" w:cs="Times New Roman"/>
                <w:noProof/>
              </w:rPr>
            </w:pPr>
            <w:r>
              <w:rPr>
                <w:noProof/>
              </w:rPr>
              <w:t>A3.1 Werknemers voor de moderne economie: betere afstemming van vaardigheden en kwalificaties op de behoeften van de arbeidsmarkt dankzij de invoering van nieuwe technologieën in de economie en de groene en digitale transformatie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E4CC70B"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27CDFBD" w14:textId="77777777" w:rsidR="00480F1C" w:rsidRDefault="00A201F6">
            <w:pPr>
              <w:pStyle w:val="P68B1DB1-Normal46"/>
              <w:spacing w:line="240" w:lineRule="auto"/>
              <w:rPr>
                <w:rFonts w:eastAsia="Times New Roman" w:cs="Times New Roman"/>
                <w:noProof/>
              </w:rPr>
            </w:pPr>
            <w:r>
              <w:rPr>
                <w:noProof/>
              </w:rPr>
              <w:t xml:space="preserve"> Inwerkingtreding van de wet tot wijziging van de Wet op de lerarenopleiding die de permanente beroepsopleiding van leerkrachten mogelijk maakt in de centra voor sectorale vaardigheden</w:t>
            </w:r>
          </w:p>
        </w:tc>
      </w:tr>
      <w:tr w:rsidR="00480F1C" w14:paraId="414A923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DFCF421" w14:textId="77777777" w:rsidR="00480F1C" w:rsidRDefault="00A201F6">
            <w:pPr>
              <w:pStyle w:val="P68B1DB1-Normal46"/>
              <w:spacing w:line="240" w:lineRule="auto"/>
              <w:jc w:val="center"/>
              <w:rPr>
                <w:rFonts w:eastAsia="Times New Roman" w:cs="Times New Roman"/>
                <w:noProof/>
              </w:rPr>
            </w:pPr>
            <w:r>
              <w:rPr>
                <w:noProof/>
              </w:rPr>
              <w:t>A50G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C2E9E48" w14:textId="77777777" w:rsidR="00480F1C" w:rsidRDefault="00A201F6">
            <w:pPr>
              <w:pStyle w:val="P68B1DB1-Normal46"/>
              <w:spacing w:line="240" w:lineRule="auto"/>
              <w:rPr>
                <w:rFonts w:eastAsia="Times New Roman" w:cs="Times New Roman"/>
                <w:noProof/>
              </w:rPr>
            </w:pPr>
            <w:r>
              <w:rPr>
                <w:noProof/>
              </w:rPr>
              <w:t>A3.1.1 Investeringen in moderne beroepsopleiding, hoger onderwijs en een leven lang leren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37B1994"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491327C" w14:textId="77777777" w:rsidR="00480F1C" w:rsidRDefault="00A201F6">
            <w:pPr>
              <w:pStyle w:val="P68B1DB1-Normal46"/>
              <w:spacing w:line="240" w:lineRule="auto"/>
              <w:rPr>
                <w:rFonts w:eastAsia="Times New Roman" w:cs="Times New Roman"/>
                <w:noProof/>
              </w:rPr>
            </w:pPr>
            <w:r>
              <w:rPr>
                <w:noProof/>
              </w:rPr>
              <w:t>Ontwikkeling van operationele uitvoeringsprogramma’s voor de geïntegreerde vaardighedenstrategie op regionaal niveau door de opgerichte regionale coördinatiegroepen voor beroepsonderwijs en -opleiding en een leven lang leren</w:t>
            </w:r>
          </w:p>
        </w:tc>
      </w:tr>
      <w:tr w:rsidR="00480F1C" w14:paraId="796EF07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4D839A5" w14:textId="77777777" w:rsidR="00480F1C" w:rsidRDefault="00A201F6">
            <w:pPr>
              <w:pStyle w:val="P68B1DB1-Normal46"/>
              <w:spacing w:line="240" w:lineRule="auto"/>
              <w:jc w:val="center"/>
              <w:rPr>
                <w:rFonts w:eastAsia="Times New Roman" w:cs="Times New Roman"/>
                <w:noProof/>
              </w:rPr>
            </w:pPr>
            <w:r>
              <w:rPr>
                <w:noProof/>
              </w:rPr>
              <w:t>A52G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6285DD6" w14:textId="77777777" w:rsidR="00480F1C" w:rsidRDefault="00A201F6">
            <w:pPr>
              <w:pStyle w:val="P68B1DB1-Normal46"/>
              <w:spacing w:line="240" w:lineRule="auto"/>
              <w:rPr>
                <w:rFonts w:eastAsia="Times New Roman" w:cs="Times New Roman"/>
                <w:noProof/>
              </w:rPr>
            </w:pPr>
            <w:r>
              <w:rPr>
                <w:noProof/>
              </w:rPr>
              <w:t>A4.1 Effectieve instellingen voor de arbeidsmarkt</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5A4ADFC"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9B3952E" w14:textId="77777777" w:rsidR="00480F1C" w:rsidRDefault="00A201F6">
            <w:pPr>
              <w:pStyle w:val="P68B1DB1-Normal46"/>
              <w:spacing w:line="240" w:lineRule="auto"/>
              <w:rPr>
                <w:rFonts w:eastAsia="Times New Roman" w:cs="Times New Roman"/>
                <w:noProof/>
              </w:rPr>
            </w:pPr>
            <w:r>
              <w:rPr>
                <w:noProof/>
              </w:rPr>
              <w:t>Nieuwe normen en prestatiekader voor de werking en coördinatie van de openbare diensten voor arbeidsvoorziening</w:t>
            </w:r>
          </w:p>
        </w:tc>
      </w:tr>
      <w:tr w:rsidR="00480F1C" w14:paraId="6836AEF7"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00C98BE" w14:textId="77777777" w:rsidR="00480F1C" w:rsidRDefault="00A201F6">
            <w:pPr>
              <w:pStyle w:val="P68B1DB1-Normal46"/>
              <w:spacing w:line="240" w:lineRule="auto"/>
              <w:jc w:val="center"/>
              <w:rPr>
                <w:rFonts w:eastAsia="Times New Roman" w:cs="Times New Roman"/>
                <w:noProof/>
              </w:rPr>
            </w:pPr>
            <w:r>
              <w:rPr>
                <w:noProof/>
              </w:rPr>
              <w:t>A69G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E4C86D0" w14:textId="77777777" w:rsidR="00480F1C" w:rsidRDefault="00A201F6">
            <w:pPr>
              <w:pStyle w:val="P68B1DB1-Normal46"/>
              <w:spacing w:line="240" w:lineRule="auto"/>
              <w:rPr>
                <w:rFonts w:eastAsia="Times New Roman" w:cs="Times New Roman"/>
                <w:noProof/>
              </w:rPr>
            </w:pPr>
            <w:r>
              <w:rPr>
                <w:noProof/>
              </w:rPr>
              <w:t>A4.6 Verhoging van de arbeidsmarktparticipatie van bepaalde groepen door de ontwikkeling van langdurige zorg</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8DCD8F2"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B7B674D" w14:textId="77777777" w:rsidR="00480F1C" w:rsidRDefault="00A201F6">
            <w:pPr>
              <w:pStyle w:val="P68B1DB1-Normal46"/>
              <w:spacing w:line="240" w:lineRule="auto"/>
              <w:rPr>
                <w:rFonts w:eastAsia="Times New Roman" w:cs="Times New Roman"/>
                <w:noProof/>
              </w:rPr>
            </w:pPr>
            <w:r>
              <w:rPr>
                <w:noProof/>
              </w:rPr>
              <w:t>Strategische evaluatie van langdurige zorg in Polen met het oog op het vaststellen van hervormingsprioriteiten</w:t>
            </w:r>
          </w:p>
        </w:tc>
      </w:tr>
      <w:tr w:rsidR="00480F1C" w14:paraId="4795187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4E32A33" w14:textId="77777777" w:rsidR="00480F1C" w:rsidRDefault="00A201F6">
            <w:pPr>
              <w:pStyle w:val="P68B1DB1-Normal46"/>
              <w:spacing w:line="240" w:lineRule="auto"/>
              <w:jc w:val="center"/>
              <w:rPr>
                <w:rFonts w:eastAsia="Times New Roman" w:cs="Times New Roman"/>
                <w:noProof/>
              </w:rPr>
            </w:pPr>
            <w:r>
              <w:rPr>
                <w:noProof/>
              </w:rPr>
              <w:t>A71G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9D6B2A7" w14:textId="77777777" w:rsidR="00480F1C" w:rsidRDefault="00A201F6">
            <w:pPr>
              <w:pStyle w:val="P68B1DB1-Normal46"/>
              <w:spacing w:line="240" w:lineRule="auto"/>
              <w:rPr>
                <w:rFonts w:eastAsia="Times New Roman" w:cs="Times New Roman"/>
                <w:noProof/>
              </w:rPr>
            </w:pPr>
            <w:r>
              <w:rPr>
                <w:noProof/>
              </w:rPr>
              <w:t>A4.7 De segmentering van de arbeidsmarkt beperken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C909F7C"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3434AB1" w14:textId="77777777" w:rsidR="00480F1C" w:rsidRDefault="00A201F6">
            <w:pPr>
              <w:pStyle w:val="P68B1DB1-Normal46"/>
              <w:spacing w:line="240" w:lineRule="auto"/>
              <w:rPr>
                <w:rFonts w:eastAsia="Times New Roman" w:cs="Times New Roman"/>
                <w:noProof/>
              </w:rPr>
            </w:pPr>
            <w:r>
              <w:rPr>
                <w:noProof/>
              </w:rPr>
              <w:t>Inwerkingtreding van een wet tot wijziging van de wet op het socialezekerheidsstelsel ter beperking van de segmentering van de arbeidsmarkt en ter verbetering van de sociale bescherming van alle personen die op basis van civielrechtelijke overeenkomsten werken, door deze contracten te onderwerpen aan socialezekerheidsbijdragen</w:t>
            </w:r>
          </w:p>
        </w:tc>
      </w:tr>
      <w:tr w:rsidR="00480F1C" w14:paraId="0DFF7E9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DD8F8A8" w14:textId="77777777" w:rsidR="00480F1C" w:rsidRDefault="00A201F6">
            <w:pPr>
              <w:pStyle w:val="P68B1DB1-Normal46"/>
              <w:spacing w:line="240" w:lineRule="auto"/>
              <w:jc w:val="center"/>
              <w:rPr>
                <w:rFonts w:eastAsia="Times New Roman" w:cs="Times New Roman"/>
                <w:noProof/>
              </w:rPr>
            </w:pPr>
            <w:r>
              <w:rPr>
                <w:noProof/>
              </w:rPr>
              <w:t>B5G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7C82AEF" w14:textId="77777777" w:rsidR="00480F1C" w:rsidRDefault="00A201F6">
            <w:pPr>
              <w:pStyle w:val="P68B1DB1-Normal46"/>
              <w:spacing w:line="240" w:lineRule="auto"/>
              <w:rPr>
                <w:rFonts w:eastAsia="Times New Roman" w:cs="Times New Roman"/>
                <w:noProof/>
              </w:rPr>
            </w:pPr>
            <w:r>
              <w:rPr>
                <w:noProof/>
              </w:rPr>
              <w:t>B1.1 Schone lucht en energie-efficiëntie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523EDDC"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E69055D" w14:textId="77777777" w:rsidR="00480F1C" w:rsidRDefault="00A201F6">
            <w:pPr>
              <w:pStyle w:val="P68B1DB1-Normal46"/>
              <w:spacing w:line="240" w:lineRule="auto"/>
              <w:rPr>
                <w:rFonts w:eastAsia="Times New Roman" w:cs="Times New Roman"/>
                <w:noProof/>
              </w:rPr>
            </w:pPr>
            <w:r>
              <w:rPr>
                <w:noProof/>
              </w:rPr>
              <w:t>Inwerkingtreding van de verordening tot vaststelling van kwaliteitsnormen voor vaste biomassabrandstoffen</w:t>
            </w:r>
          </w:p>
        </w:tc>
      </w:tr>
      <w:tr w:rsidR="00480F1C" w14:paraId="7BEB9BEF"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DA8AE2B" w14:textId="77777777" w:rsidR="00480F1C" w:rsidRDefault="00A201F6">
            <w:pPr>
              <w:pStyle w:val="P68B1DB1-Normal46"/>
              <w:spacing w:line="240" w:lineRule="auto"/>
              <w:jc w:val="center"/>
              <w:rPr>
                <w:rFonts w:eastAsia="Times New Roman" w:cs="Times New Roman"/>
                <w:noProof/>
              </w:rPr>
            </w:pPr>
            <w:r>
              <w:rPr>
                <w:noProof/>
              </w:rPr>
              <w:t>B8G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B2E6163" w14:textId="77777777" w:rsidR="00480F1C" w:rsidRDefault="00A201F6">
            <w:pPr>
              <w:pStyle w:val="P68B1DB1-Normal46"/>
              <w:spacing w:line="240" w:lineRule="auto"/>
              <w:rPr>
                <w:rFonts w:eastAsia="Times New Roman" w:cs="Times New Roman"/>
                <w:noProof/>
              </w:rPr>
            </w:pPr>
            <w:r>
              <w:rPr>
                <w:noProof/>
              </w:rPr>
              <w:t>B1.1.2 Vervanging van warmtebronnen en verbetering van de energie-efficiëntie in residentiële gebouwen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D5B14E3"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A3D4778" w14:textId="77777777" w:rsidR="00480F1C" w:rsidRDefault="00A201F6">
            <w:pPr>
              <w:pStyle w:val="P68B1DB1-Normal46"/>
              <w:spacing w:line="240" w:lineRule="auto"/>
              <w:rPr>
                <w:rFonts w:eastAsia="Times New Roman" w:cs="Times New Roman"/>
                <w:noProof/>
              </w:rPr>
            </w:pPr>
            <w:r>
              <w:rPr>
                <w:noProof/>
              </w:rPr>
              <w:t>T1 — Warmtebronvervanging in eengezinsgebouwen</w:t>
            </w:r>
          </w:p>
        </w:tc>
      </w:tr>
      <w:tr w:rsidR="00480F1C" w14:paraId="6963F1C9"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8CA1BC2" w14:textId="77777777" w:rsidR="00480F1C" w:rsidRDefault="00A201F6">
            <w:pPr>
              <w:pStyle w:val="P68B1DB1-Normal46"/>
              <w:spacing w:line="240" w:lineRule="auto"/>
              <w:jc w:val="center"/>
              <w:rPr>
                <w:rFonts w:eastAsia="Times New Roman" w:cs="Times New Roman"/>
                <w:noProof/>
              </w:rPr>
            </w:pPr>
            <w:r>
              <w:rPr>
                <w:noProof/>
              </w:rPr>
              <w:t>B10G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C97A5BD" w14:textId="77777777" w:rsidR="00480F1C" w:rsidRDefault="00A201F6">
            <w:pPr>
              <w:pStyle w:val="P68B1DB1-Normal46"/>
              <w:spacing w:line="240" w:lineRule="auto"/>
              <w:rPr>
                <w:rFonts w:eastAsia="Times New Roman" w:cs="Times New Roman"/>
                <w:noProof/>
              </w:rPr>
            </w:pPr>
            <w:r>
              <w:rPr>
                <w:noProof/>
              </w:rPr>
              <w:t>B1.1.2 Vervanging van warmtebron en verbetering van de energie-efficiëntie in residentiële gebouwen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0BE0959"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5794BF7" w14:textId="77777777" w:rsidR="00480F1C" w:rsidRDefault="00A201F6">
            <w:pPr>
              <w:pStyle w:val="P68B1DB1-Normal46"/>
              <w:spacing w:line="240" w:lineRule="auto"/>
              <w:rPr>
                <w:rFonts w:eastAsia="Times New Roman" w:cs="Times New Roman"/>
                <w:noProof/>
              </w:rPr>
            </w:pPr>
            <w:r>
              <w:rPr>
                <w:noProof/>
              </w:rPr>
              <w:t>T1 — Thermo-modernisering en installatie van hernieuwbare energiebronnen in residentiële gebouwen (eengezins- en meergezinsgebouwen)</w:t>
            </w:r>
          </w:p>
        </w:tc>
      </w:tr>
      <w:tr w:rsidR="00480F1C" w14:paraId="3041AFD6"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A3F940F" w14:textId="77777777" w:rsidR="00480F1C" w:rsidRDefault="00A201F6">
            <w:pPr>
              <w:pStyle w:val="P68B1DB1-Normal46"/>
              <w:spacing w:line="240" w:lineRule="auto"/>
              <w:jc w:val="center"/>
              <w:rPr>
                <w:rFonts w:eastAsia="Times New Roman" w:cs="Times New Roman"/>
                <w:noProof/>
              </w:rPr>
            </w:pPr>
            <w:r>
              <w:rPr>
                <w:noProof/>
              </w:rPr>
              <w:t>B17G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41FD220" w14:textId="77777777" w:rsidR="00480F1C" w:rsidRDefault="00A201F6">
            <w:pPr>
              <w:pStyle w:val="P68B1DB1-Normal46"/>
              <w:spacing w:line="240" w:lineRule="auto"/>
              <w:rPr>
                <w:rFonts w:eastAsia="Times New Roman" w:cs="Times New Roman"/>
                <w:noProof/>
              </w:rPr>
            </w:pPr>
            <w:r>
              <w:rPr>
                <w:noProof/>
              </w:rPr>
              <w:t>B2.1 Verbetering van de voorwaarden voor de ontwikkeling van waterstoftechnologieën en andere koolstofvrije gassen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3CCE4D3"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6734C45" w14:textId="77777777" w:rsidR="00480F1C" w:rsidRDefault="00A201F6">
            <w:pPr>
              <w:pStyle w:val="P68B1DB1-Normal46"/>
              <w:spacing w:line="240" w:lineRule="auto"/>
              <w:rPr>
                <w:rFonts w:eastAsia="Times New Roman" w:cs="Times New Roman"/>
                <w:noProof/>
              </w:rPr>
            </w:pPr>
            <w:r>
              <w:rPr>
                <w:noProof/>
              </w:rPr>
              <w:t>Inwerkingtreding van de wet houdende regels voor waterstof</w:t>
            </w:r>
          </w:p>
        </w:tc>
      </w:tr>
      <w:tr w:rsidR="00480F1C" w14:paraId="4F73A029"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3036421" w14:textId="77777777" w:rsidR="00480F1C" w:rsidRDefault="00A201F6">
            <w:pPr>
              <w:pStyle w:val="P68B1DB1-Normal46"/>
              <w:spacing w:line="240" w:lineRule="auto"/>
              <w:jc w:val="center"/>
              <w:rPr>
                <w:rFonts w:eastAsia="Times New Roman" w:cs="Times New Roman"/>
                <w:noProof/>
              </w:rPr>
            </w:pPr>
            <w:r>
              <w:rPr>
                <w:noProof/>
              </w:rPr>
              <w:t>B18G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4253975" w14:textId="77777777" w:rsidR="00480F1C" w:rsidRDefault="00A201F6">
            <w:pPr>
              <w:pStyle w:val="P68B1DB1-Normal46"/>
              <w:spacing w:line="240" w:lineRule="auto"/>
              <w:rPr>
                <w:rFonts w:eastAsia="Times New Roman" w:cs="Times New Roman"/>
                <w:noProof/>
              </w:rPr>
            </w:pPr>
            <w:r>
              <w:rPr>
                <w:noProof/>
              </w:rPr>
              <w:t>B2.1.1 Investeringen in waterstof, waterstofproductie, -opslag en -transport</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319ED75"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4B784EF" w14:textId="77777777" w:rsidR="00480F1C" w:rsidRDefault="00A201F6">
            <w:pPr>
              <w:pStyle w:val="P68B1DB1-Normal46"/>
              <w:spacing w:line="240" w:lineRule="auto"/>
              <w:rPr>
                <w:rFonts w:eastAsia="Times New Roman" w:cs="Times New Roman"/>
                <w:noProof/>
              </w:rPr>
            </w:pPr>
            <w:r>
              <w:rPr>
                <w:noProof/>
              </w:rPr>
              <w:t>Milieuvergunningen afgegeven voor waterstoftankstations</w:t>
            </w:r>
          </w:p>
        </w:tc>
      </w:tr>
      <w:tr w:rsidR="00480F1C" w14:paraId="7D73EA83"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1D42ED8" w14:textId="77777777" w:rsidR="00480F1C" w:rsidRDefault="00A201F6">
            <w:pPr>
              <w:pStyle w:val="P68B1DB1-Normal46"/>
              <w:spacing w:line="240" w:lineRule="auto"/>
              <w:jc w:val="center"/>
              <w:rPr>
                <w:rFonts w:eastAsia="Times New Roman" w:cs="Times New Roman"/>
                <w:noProof/>
              </w:rPr>
            </w:pPr>
            <w:r>
              <w:rPr>
                <w:noProof/>
              </w:rPr>
              <w:t>C7G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415E829" w14:textId="77777777" w:rsidR="00480F1C" w:rsidRDefault="00A201F6">
            <w:pPr>
              <w:pStyle w:val="P68B1DB1-Normal46"/>
              <w:spacing w:line="240" w:lineRule="auto"/>
              <w:rPr>
                <w:rFonts w:eastAsia="Times New Roman" w:cs="Times New Roman"/>
                <w:noProof/>
              </w:rPr>
            </w:pPr>
            <w:r>
              <w:rPr>
                <w:noProof/>
              </w:rPr>
              <w:t>C2.1 Het opschalen van digitale toepassingen in de publieke ruimte, de economie en de samenleving</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77868FA"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16010DE" w14:textId="77777777" w:rsidR="00480F1C" w:rsidRDefault="00A201F6">
            <w:pPr>
              <w:pStyle w:val="P68B1DB1-Normal46"/>
              <w:spacing w:line="240" w:lineRule="auto"/>
              <w:rPr>
                <w:rFonts w:eastAsia="Times New Roman" w:cs="Times New Roman"/>
                <w:noProof/>
              </w:rPr>
            </w:pPr>
            <w:r>
              <w:rPr>
                <w:noProof/>
              </w:rPr>
              <w:t>Wijziging van de wet van 17 februari 2005 betreffende de automatisering van de activiteiten van entiteiten die overheidstaken verrichten — invoering van standaard digitale vorm van documenten en elektronische vorm van diensten en digitalisering van administratieve processen</w:t>
            </w:r>
          </w:p>
        </w:tc>
      </w:tr>
      <w:tr w:rsidR="00480F1C" w14:paraId="00EA00E5"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2F8A9EF" w14:textId="77777777" w:rsidR="00480F1C" w:rsidRDefault="00A201F6">
            <w:pPr>
              <w:pStyle w:val="P68B1DB1-Normal46"/>
              <w:spacing w:line="240" w:lineRule="auto"/>
              <w:jc w:val="center"/>
              <w:rPr>
                <w:rFonts w:eastAsia="Times New Roman" w:cs="Times New Roman"/>
                <w:noProof/>
              </w:rPr>
            </w:pPr>
            <w:r>
              <w:rPr>
                <w:noProof/>
              </w:rPr>
              <w:t>C22G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89C29E3" w14:textId="77777777" w:rsidR="00480F1C" w:rsidRDefault="00A201F6">
            <w:pPr>
              <w:pStyle w:val="P68B1DB1-Normal46"/>
              <w:spacing w:line="240" w:lineRule="auto"/>
              <w:rPr>
                <w:rFonts w:eastAsia="Times New Roman" w:cs="Times New Roman"/>
                <w:noProof/>
              </w:rPr>
            </w:pPr>
            <w:r>
              <w:rPr>
                <w:noProof/>
              </w:rPr>
              <w:t>C3.1 Verbetering van de cyberbeveiliging van informatiesystemen, versterking van de infrastructuur voor gegevensverwerking en optimalisering van de infrastructuur van de rechtshandhavingsdiensten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9FFD12B"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6082116" w14:textId="77777777" w:rsidR="00480F1C" w:rsidRDefault="00A201F6">
            <w:pPr>
              <w:pStyle w:val="P68B1DB1-Normal46"/>
              <w:spacing w:line="240" w:lineRule="auto"/>
              <w:rPr>
                <w:rFonts w:eastAsia="Times New Roman" w:cs="Times New Roman"/>
                <w:noProof/>
              </w:rPr>
            </w:pPr>
            <w:r>
              <w:rPr>
                <w:noProof/>
              </w:rPr>
              <w:t>Wijziging van de verordening van de ministerraad van 11 september 2018 betreffende de lijst van essentiële diensten en de drempels voor het verstorende effect van een incident voor de verlening van essentiële diensten</w:t>
            </w:r>
          </w:p>
        </w:tc>
      </w:tr>
      <w:tr w:rsidR="00480F1C" w14:paraId="6BC10999"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C30F1A3" w14:textId="77777777" w:rsidR="00480F1C" w:rsidRDefault="00A201F6">
            <w:pPr>
              <w:pStyle w:val="P68B1DB1-Normal46"/>
              <w:spacing w:line="240" w:lineRule="auto"/>
              <w:jc w:val="center"/>
              <w:rPr>
                <w:rFonts w:eastAsia="Times New Roman" w:cs="Times New Roman"/>
                <w:noProof/>
              </w:rPr>
            </w:pPr>
            <w:r>
              <w:rPr>
                <w:noProof/>
              </w:rPr>
              <w:t>C27G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CB2C6A4" w14:textId="77777777" w:rsidR="00480F1C" w:rsidRDefault="00A201F6">
            <w:pPr>
              <w:pStyle w:val="P68B1DB1-Normal46"/>
              <w:spacing w:line="240" w:lineRule="auto"/>
              <w:rPr>
                <w:rFonts w:eastAsia="Times New Roman" w:cs="Times New Roman"/>
                <w:noProof/>
              </w:rPr>
            </w:pPr>
            <w:r>
              <w:rPr>
                <w:noProof/>
              </w:rPr>
              <w:t>C3.1.1 CyberPL, infrastructuur voor gegevensverwerking en optimalisering van de infrastructuur van rechtshandhavingsdiensten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17B7169"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7BA93B3" w14:textId="77777777" w:rsidR="00480F1C" w:rsidRDefault="00A201F6">
            <w:pPr>
              <w:pStyle w:val="P68B1DB1-Normal46"/>
              <w:spacing w:line="240" w:lineRule="auto"/>
              <w:rPr>
                <w:rFonts w:eastAsia="Times New Roman" w:cs="Times New Roman"/>
                <w:noProof/>
              </w:rPr>
            </w:pPr>
            <w:r>
              <w:rPr>
                <w:noProof/>
              </w:rPr>
              <w:t>Belangrijk project van gemeenschappelijk Europees belang (IPCEI): Selectie van cloudprojecten van de volgende generatie en ondertekening van contracten</w:t>
            </w:r>
          </w:p>
        </w:tc>
      </w:tr>
      <w:tr w:rsidR="00480F1C" w14:paraId="0D28E38D" w14:textId="77777777">
        <w:trPr>
          <w:trHeight w:val="1287"/>
        </w:trPr>
        <w:tc>
          <w:tcPr>
            <w:tcW w:w="1350" w:type="dxa"/>
            <w:tcBorders>
              <w:top w:val="single" w:sz="6" w:space="0" w:color="auto"/>
              <w:left w:val="single" w:sz="6" w:space="0" w:color="auto"/>
              <w:bottom w:val="single" w:sz="6" w:space="0" w:color="auto"/>
              <w:right w:val="single" w:sz="6" w:space="0" w:color="auto"/>
            </w:tcBorders>
            <w:shd w:val="clear" w:color="auto" w:fill="C6EFCE"/>
          </w:tcPr>
          <w:p w14:paraId="679A2F09" w14:textId="77777777" w:rsidR="00480F1C" w:rsidRDefault="00A201F6">
            <w:pPr>
              <w:pStyle w:val="P68B1DB1-Normal46"/>
              <w:spacing w:line="240" w:lineRule="auto"/>
              <w:jc w:val="center"/>
              <w:rPr>
                <w:rFonts w:eastAsia="Times New Roman" w:cs="Times New Roman"/>
                <w:noProof/>
              </w:rPr>
            </w:pPr>
            <w:r>
              <w:rPr>
                <w:noProof/>
              </w:rPr>
              <w:t>D11G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10B613C" w14:textId="77777777" w:rsidR="00480F1C" w:rsidRDefault="00A201F6">
            <w:pPr>
              <w:pStyle w:val="P68B1DB1-Normal46"/>
              <w:spacing w:line="240" w:lineRule="auto"/>
              <w:rPr>
                <w:rFonts w:eastAsia="Times New Roman" w:cs="Times New Roman"/>
                <w:noProof/>
              </w:rPr>
            </w:pPr>
            <w:r>
              <w:rPr>
                <w:noProof/>
              </w:rPr>
              <w:t>D1.1.1 Ontwikkeling en modernisering van de infrastructuur van zeer gespecialiseerde zorgcentra en andere zorgaanbieders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C9E0307"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4E70147" w14:textId="77777777" w:rsidR="00480F1C" w:rsidRDefault="00A201F6">
            <w:pPr>
              <w:pStyle w:val="P68B1DB1-Normal46"/>
              <w:spacing w:line="240" w:lineRule="auto"/>
              <w:rPr>
                <w:rFonts w:eastAsia="Times New Roman" w:cs="Times New Roman"/>
                <w:noProof/>
              </w:rPr>
            </w:pPr>
            <w:r>
              <w:rPr>
                <w:noProof/>
              </w:rPr>
              <w:t>T1 — contracten tussen ziekenhuizen en het ministerie van Volksgezondheid voor de aankoop van medische uitrusting of voor investeringen in infrastructuur</w:t>
            </w:r>
          </w:p>
        </w:tc>
      </w:tr>
      <w:tr w:rsidR="00480F1C" w14:paraId="70626ED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4AE5B21" w14:textId="77777777" w:rsidR="00480F1C" w:rsidRDefault="00A201F6">
            <w:pPr>
              <w:pStyle w:val="P68B1DB1-Normal46"/>
              <w:spacing w:line="240" w:lineRule="auto"/>
              <w:jc w:val="center"/>
              <w:rPr>
                <w:rFonts w:eastAsia="Times New Roman" w:cs="Times New Roman"/>
                <w:noProof/>
              </w:rPr>
            </w:pPr>
            <w:r>
              <w:rPr>
                <w:noProof/>
              </w:rPr>
              <w:t>E16G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FEB090E" w14:textId="77777777" w:rsidR="00480F1C" w:rsidRDefault="00A201F6">
            <w:pPr>
              <w:pStyle w:val="P68B1DB1-Normal46"/>
              <w:spacing w:line="240" w:lineRule="auto"/>
              <w:rPr>
                <w:rFonts w:eastAsia="Times New Roman" w:cs="Times New Roman"/>
                <w:noProof/>
              </w:rPr>
            </w:pPr>
            <w:r>
              <w:rPr>
                <w:noProof/>
              </w:rPr>
              <w:t>E2.1 Versterking van het concurrentievermogen van de spoorwegsector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6C758E4"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8AA17DE" w14:textId="77777777" w:rsidR="00480F1C" w:rsidRDefault="00A201F6">
            <w:pPr>
              <w:pStyle w:val="P68B1DB1-Normal46"/>
              <w:spacing w:line="240" w:lineRule="auto"/>
              <w:rPr>
                <w:rFonts w:eastAsia="Times New Roman" w:cs="Times New Roman"/>
                <w:noProof/>
              </w:rPr>
            </w:pPr>
            <w:r>
              <w:rPr>
                <w:noProof/>
              </w:rPr>
              <w:t>Invoering van een tolsysteem op nieuwe wegen</w:t>
            </w:r>
          </w:p>
        </w:tc>
      </w:tr>
      <w:tr w:rsidR="00480F1C" w14:paraId="60FB1D03"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B435473" w14:textId="77777777" w:rsidR="00480F1C" w:rsidRDefault="00A201F6">
            <w:pPr>
              <w:pStyle w:val="P68B1DB1-Normal46"/>
              <w:spacing w:line="240" w:lineRule="auto"/>
              <w:jc w:val="center"/>
              <w:rPr>
                <w:rFonts w:eastAsia="Times New Roman" w:cs="Times New Roman"/>
                <w:noProof/>
              </w:rPr>
            </w:pPr>
            <w:r>
              <w:rPr>
                <w:noProof/>
              </w:rPr>
              <w:t>E24G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10B7C8C" w14:textId="77777777" w:rsidR="00480F1C" w:rsidRDefault="00A201F6">
            <w:pPr>
              <w:pStyle w:val="P68B1DB1-Normal46"/>
              <w:spacing w:line="240" w:lineRule="auto"/>
              <w:rPr>
                <w:rFonts w:eastAsia="Times New Roman" w:cs="Times New Roman"/>
                <w:noProof/>
              </w:rPr>
            </w:pPr>
            <w:r>
              <w:rPr>
                <w:noProof/>
              </w:rPr>
              <w:t>E2.2.1 Investeringen in de veiligheid van het vervoer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0B5C640"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8835259" w14:textId="77777777" w:rsidR="00480F1C" w:rsidRDefault="00A201F6">
            <w:pPr>
              <w:pStyle w:val="P68B1DB1-Normal46"/>
              <w:spacing w:line="240" w:lineRule="auto"/>
              <w:rPr>
                <w:rFonts w:eastAsia="Times New Roman" w:cs="Times New Roman"/>
                <w:noProof/>
              </w:rPr>
            </w:pPr>
            <w:r>
              <w:rPr>
                <w:noProof/>
              </w:rPr>
              <w:t>Voltooiing van de aanleg van bypassingen en verwijdering van zwarte/hotspots voor verkeersveiligheid</w:t>
            </w:r>
          </w:p>
        </w:tc>
      </w:tr>
      <w:tr w:rsidR="00480F1C" w14:paraId="2D15673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C94DF86" w14:textId="77777777" w:rsidR="00480F1C" w:rsidRDefault="00A201F6">
            <w:pPr>
              <w:pStyle w:val="P68B1DB1-Normal46"/>
              <w:spacing w:line="240" w:lineRule="auto"/>
              <w:jc w:val="center"/>
              <w:rPr>
                <w:rFonts w:eastAsia="Times New Roman" w:cs="Times New Roman"/>
                <w:noProof/>
              </w:rPr>
            </w:pPr>
            <w:r>
              <w:rPr>
                <w:noProof/>
              </w:rPr>
              <w:t>F3G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64FCC95" w14:textId="77777777" w:rsidR="00480F1C" w:rsidRDefault="00A201F6">
            <w:pPr>
              <w:pStyle w:val="P68B1DB1-Normal46"/>
              <w:spacing w:line="240" w:lineRule="auto"/>
              <w:rPr>
                <w:rFonts w:eastAsia="Times New Roman" w:cs="Times New Roman"/>
                <w:noProof/>
              </w:rPr>
            </w:pPr>
            <w:r>
              <w:rPr>
                <w:noProof/>
              </w:rPr>
              <w:t>F2.1 Bestrijding van de situatie van rechters die worden geraakt door de beslissingen van de tuchtkamer in tuchtzaken en zaken inzake immuniteit van de rechter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E682CC0"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D897334" w14:textId="77777777" w:rsidR="00480F1C" w:rsidRDefault="00A201F6">
            <w:pPr>
              <w:pStyle w:val="P68B1DB1-Normal46"/>
              <w:spacing w:line="240" w:lineRule="auto"/>
              <w:rPr>
                <w:rFonts w:eastAsia="Times New Roman" w:cs="Times New Roman"/>
                <w:noProof/>
              </w:rPr>
            </w:pPr>
            <w:r>
              <w:rPr>
                <w:noProof/>
              </w:rPr>
              <w:t>Hervorming om de situatie te verhelpen van rechters die worden getroffen door de beslissingen van de tuchtkamer van het hooggerechtshof in tuchtzaken en zaken inzake rechterlijke immuniteit</w:t>
            </w:r>
          </w:p>
        </w:tc>
      </w:tr>
      <w:tr w:rsidR="00480F1C" w14:paraId="1DBC743E"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9263E5E" w14:textId="77777777" w:rsidR="00480F1C" w:rsidRDefault="00A201F6">
            <w:pPr>
              <w:pStyle w:val="P68B1DB1-Normal46"/>
              <w:spacing w:line="240" w:lineRule="auto"/>
              <w:jc w:val="center"/>
              <w:rPr>
                <w:noProof/>
              </w:rPr>
            </w:pPr>
            <w:r>
              <w:rPr>
                <w:noProof/>
              </w:rPr>
              <w:t>G2G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B336042" w14:textId="77777777" w:rsidR="00480F1C" w:rsidRDefault="00A201F6">
            <w:pPr>
              <w:pStyle w:val="P68B1DB1-Normal46"/>
              <w:spacing w:after="0" w:line="240" w:lineRule="auto"/>
              <w:rPr>
                <w:rFonts w:eastAsia="Times New Roman" w:cs="Times New Roman"/>
                <w:noProof/>
              </w:rPr>
            </w:pPr>
            <w:r>
              <w:rPr>
                <w:noProof/>
              </w:rPr>
              <w:t>G1.1.2 installaties voor hernieuwbare energiebronnen uitgevoerd door energiegemeenschappen</w:t>
            </w:r>
          </w:p>
          <w:p w14:paraId="3D00A216" w14:textId="77777777" w:rsidR="00480F1C" w:rsidRDefault="00480F1C">
            <w:pPr>
              <w:spacing w:line="240" w:lineRule="auto"/>
              <w:rPr>
                <w:rFonts w:ascii="Times New Roman" w:hAnsi="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C57053A"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17056BE" w14:textId="77777777" w:rsidR="00480F1C" w:rsidRDefault="00A201F6">
            <w:pPr>
              <w:pStyle w:val="P68B1DB1-Normal46"/>
              <w:spacing w:line="240" w:lineRule="auto"/>
              <w:rPr>
                <w:noProof/>
              </w:rPr>
            </w:pPr>
            <w:r>
              <w:rPr>
                <w:noProof/>
              </w:rPr>
              <w:t>Oproep tot het indienen van voorstellen voor het programma voor investeringssteun</w:t>
            </w:r>
          </w:p>
        </w:tc>
      </w:tr>
      <w:tr w:rsidR="00480F1C" w14:paraId="69EE8757"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1C4315C" w14:textId="77777777" w:rsidR="00480F1C" w:rsidRDefault="00A201F6">
            <w:pPr>
              <w:pStyle w:val="P68B1DB1-Normal46"/>
              <w:spacing w:line="240" w:lineRule="auto"/>
              <w:jc w:val="center"/>
              <w:rPr>
                <w:noProof/>
              </w:rPr>
            </w:pPr>
            <w:r>
              <w:rPr>
                <w:noProof/>
              </w:rPr>
              <w:t>G13G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EA67129" w14:textId="77777777" w:rsidR="00480F1C" w:rsidRDefault="00A201F6">
            <w:pPr>
              <w:pStyle w:val="P68B1DB1-Normal46"/>
              <w:spacing w:after="0" w:line="240" w:lineRule="auto"/>
              <w:rPr>
                <w:noProof/>
              </w:rPr>
            </w:pPr>
            <w:r>
              <w:rPr>
                <w:noProof/>
              </w:rPr>
              <w:t>G1.2.2 Het wegnemen van belemmeringen voor de integratie van hernieuwbare energiebronnen in elektriciteitsnetwerken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2500A76"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3AE1F2B" w14:textId="77777777" w:rsidR="00480F1C" w:rsidRDefault="00A201F6">
            <w:pPr>
              <w:pStyle w:val="P68B1DB1-Normal46"/>
              <w:spacing w:line="240" w:lineRule="auto"/>
              <w:rPr>
                <w:noProof/>
              </w:rPr>
            </w:pPr>
            <w:r>
              <w:rPr>
                <w:noProof/>
              </w:rPr>
              <w:t>Inwerkingtreding van het rechtskader dat kabelpooling mogelijk maakt</w:t>
            </w:r>
          </w:p>
        </w:tc>
      </w:tr>
      <w:tr w:rsidR="00480F1C" w14:paraId="68A27FEA" w14:textId="77777777">
        <w:tc>
          <w:tcPr>
            <w:tcW w:w="1350" w:type="dxa"/>
            <w:tcBorders>
              <w:top w:val="single" w:sz="6" w:space="0" w:color="auto"/>
              <w:left w:val="single" w:sz="6" w:space="0" w:color="auto"/>
              <w:bottom w:val="single" w:sz="6" w:space="0" w:color="auto"/>
              <w:right w:val="single" w:sz="6" w:space="0" w:color="auto"/>
            </w:tcBorders>
            <w:shd w:val="clear" w:color="auto" w:fill="C6EFCE"/>
            <w:vAlign w:val="center"/>
          </w:tcPr>
          <w:p w14:paraId="7ECB02D2" w14:textId="77777777" w:rsidR="00480F1C" w:rsidRDefault="00480F1C">
            <w:pPr>
              <w:spacing w:line="240" w:lineRule="auto"/>
              <w:rPr>
                <w:rFonts w:ascii="Times New Roman" w:eastAsia="Times New Roman" w:hAnsi="Times New Roman" w:cs="Times New Roman"/>
                <w:noProof/>
              </w:rPr>
            </w:pPr>
          </w:p>
        </w:tc>
        <w:tc>
          <w:tcPr>
            <w:tcW w:w="3960" w:type="dxa"/>
            <w:tcBorders>
              <w:top w:val="single" w:sz="6" w:space="0" w:color="auto"/>
              <w:left w:val="single" w:sz="6" w:space="0" w:color="auto"/>
              <w:bottom w:val="single" w:sz="6" w:space="0" w:color="auto"/>
              <w:right w:val="single" w:sz="6" w:space="0" w:color="auto"/>
            </w:tcBorders>
            <w:shd w:val="clear" w:color="auto" w:fill="C6EFCE"/>
            <w:vAlign w:val="center"/>
          </w:tcPr>
          <w:p w14:paraId="4D3839E9"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vAlign w:val="center"/>
          </w:tcPr>
          <w:p w14:paraId="011270CC" w14:textId="77777777" w:rsidR="00480F1C" w:rsidRDefault="00A201F6">
            <w:pPr>
              <w:pStyle w:val="P68B1DB1-Normal46"/>
              <w:spacing w:line="240" w:lineRule="auto"/>
              <w:rPr>
                <w:rFonts w:eastAsia="Times New Roman" w:cs="Times New Roman"/>
                <w:noProof/>
              </w:rPr>
            </w:pPr>
            <w:r>
              <w:rPr>
                <w:noProof/>
              </w:rPr>
              <w:t>Termijnbedrag</w:t>
            </w:r>
          </w:p>
        </w:tc>
        <w:tc>
          <w:tcPr>
            <w:tcW w:w="3927" w:type="dxa"/>
            <w:tcBorders>
              <w:top w:val="single" w:sz="6" w:space="0" w:color="auto"/>
              <w:left w:val="single" w:sz="6" w:space="0" w:color="auto"/>
              <w:bottom w:val="single" w:sz="6" w:space="0" w:color="auto"/>
              <w:right w:val="single" w:sz="6" w:space="0" w:color="auto"/>
            </w:tcBorders>
            <w:shd w:val="clear" w:color="auto" w:fill="C6EFCE"/>
            <w:vAlign w:val="center"/>
          </w:tcPr>
          <w:p w14:paraId="3B7DEAB9" w14:textId="77777777" w:rsidR="00480F1C" w:rsidRDefault="00A201F6">
            <w:pPr>
              <w:pStyle w:val="P68B1DB1-Normal46"/>
              <w:spacing w:line="240" w:lineRule="auto"/>
              <w:rPr>
                <w:rFonts w:eastAsia="Times New Roman" w:cs="Times New Roman"/>
                <w:noProof/>
              </w:rPr>
            </w:pPr>
            <w:r>
              <w:rPr>
                <w:noProof/>
              </w:rPr>
              <w:t xml:space="preserve">EUR 2 429 188 865 </w:t>
            </w:r>
          </w:p>
        </w:tc>
      </w:tr>
    </w:tbl>
    <w:p w14:paraId="3D122EF7" w14:textId="77777777" w:rsidR="00480F1C" w:rsidRDefault="00480F1C">
      <w:pPr>
        <w:spacing w:before="120" w:after="120" w:line="240" w:lineRule="auto"/>
        <w:rPr>
          <w:rFonts w:ascii="Times New Roman" w:eastAsia="Times New Roman" w:hAnsi="Times New Roman" w:cs="Times New Roman"/>
          <w:noProof/>
          <w:color w:val="000000" w:themeColor="text1"/>
        </w:rPr>
      </w:pPr>
    </w:p>
    <w:p w14:paraId="7DA09657" w14:textId="77777777" w:rsidR="00480F1C" w:rsidRDefault="00A201F6">
      <w:pPr>
        <w:pStyle w:val="P68B1DB1-Normal45"/>
        <w:spacing w:before="120" w:after="120" w:line="240" w:lineRule="auto"/>
        <w:rPr>
          <w:rFonts w:eastAsia="Times New Roman" w:cs="Times New Roman"/>
          <w:noProof/>
        </w:rPr>
      </w:pPr>
      <w:r>
        <w:rPr>
          <w:noProof/>
        </w:rPr>
        <w:t>2.1.5 vijfde tranche (niet-terugvorderbare steun):</w:t>
      </w:r>
    </w:p>
    <w:tbl>
      <w:tblPr>
        <w:tblW w:w="10482" w:type="dxa"/>
        <w:tblLayout w:type="fixed"/>
        <w:tblLook w:val="0000" w:firstRow="0" w:lastRow="0" w:firstColumn="0" w:lastColumn="0" w:noHBand="0" w:noVBand="0"/>
      </w:tblPr>
      <w:tblGrid>
        <w:gridCol w:w="1350"/>
        <w:gridCol w:w="3960"/>
        <w:gridCol w:w="1245"/>
        <w:gridCol w:w="3927"/>
      </w:tblGrid>
      <w:tr w:rsidR="00480F1C" w14:paraId="70B3C6E8" w14:textId="77777777">
        <w:trPr>
          <w:trHeight w:val="655"/>
          <w:tblHeader/>
        </w:trPr>
        <w:tc>
          <w:tcPr>
            <w:tcW w:w="1350" w:type="dxa"/>
            <w:tcBorders>
              <w:top w:val="single" w:sz="6" w:space="0" w:color="auto"/>
              <w:left w:val="single" w:sz="6" w:space="0" w:color="auto"/>
              <w:bottom w:val="single" w:sz="6" w:space="0" w:color="auto"/>
              <w:right w:val="single" w:sz="6" w:space="0" w:color="auto"/>
            </w:tcBorders>
            <w:shd w:val="clear" w:color="auto" w:fill="BDD6EE"/>
            <w:vAlign w:val="center"/>
          </w:tcPr>
          <w:p w14:paraId="14B474EE" w14:textId="77777777" w:rsidR="00480F1C" w:rsidRDefault="00A201F6">
            <w:pPr>
              <w:pStyle w:val="P68B1DB1-Normal42"/>
              <w:spacing w:line="240" w:lineRule="auto"/>
              <w:jc w:val="center"/>
              <w:rPr>
                <w:rFonts w:eastAsia="Times New Roman" w:cs="Times New Roman"/>
                <w:noProof/>
              </w:rPr>
            </w:pPr>
            <w:r>
              <w:rPr>
                <w:noProof/>
              </w:rPr>
              <w:t>Volgnummer</w:t>
            </w:r>
          </w:p>
        </w:tc>
        <w:tc>
          <w:tcPr>
            <w:tcW w:w="3960" w:type="dxa"/>
            <w:tcBorders>
              <w:top w:val="single" w:sz="6" w:space="0" w:color="auto"/>
              <w:left w:val="single" w:sz="6" w:space="0" w:color="auto"/>
              <w:bottom w:val="single" w:sz="6" w:space="0" w:color="auto"/>
              <w:right w:val="single" w:sz="6" w:space="0" w:color="auto"/>
            </w:tcBorders>
            <w:shd w:val="clear" w:color="auto" w:fill="BDD6EE"/>
            <w:vAlign w:val="center"/>
          </w:tcPr>
          <w:p w14:paraId="69F68289" w14:textId="77777777" w:rsidR="00480F1C" w:rsidRDefault="00A201F6">
            <w:pPr>
              <w:pStyle w:val="P68B1DB1-Normal42"/>
              <w:spacing w:line="240" w:lineRule="auto"/>
              <w:jc w:val="center"/>
              <w:rPr>
                <w:rFonts w:eastAsia="Times New Roman" w:cs="Times New Roman"/>
                <w:noProof/>
              </w:rPr>
            </w:pPr>
            <w:r>
              <w:rPr>
                <w:noProof/>
              </w:rPr>
              <w:t>Gerelateerde maatregel (hervorming of investering)</w:t>
            </w:r>
          </w:p>
        </w:tc>
        <w:tc>
          <w:tcPr>
            <w:tcW w:w="1245" w:type="dxa"/>
            <w:tcBorders>
              <w:top w:val="single" w:sz="6" w:space="0" w:color="auto"/>
              <w:left w:val="single" w:sz="6" w:space="0" w:color="auto"/>
              <w:bottom w:val="single" w:sz="6" w:space="0" w:color="auto"/>
              <w:right w:val="single" w:sz="6" w:space="0" w:color="auto"/>
            </w:tcBorders>
            <w:shd w:val="clear" w:color="auto" w:fill="BDD6EE"/>
            <w:vAlign w:val="center"/>
          </w:tcPr>
          <w:p w14:paraId="30FAA4D3" w14:textId="77777777" w:rsidR="00480F1C" w:rsidRDefault="00A201F6">
            <w:pPr>
              <w:pStyle w:val="P68B1DB1-Normal42"/>
              <w:spacing w:line="240" w:lineRule="auto"/>
              <w:jc w:val="center"/>
              <w:rPr>
                <w:rFonts w:eastAsia="Times New Roman" w:cs="Times New Roman"/>
                <w:noProof/>
              </w:rPr>
            </w:pPr>
            <w:r>
              <w:rPr>
                <w:noProof/>
              </w:rPr>
              <w:t>Mijlpaal/Doelstelling</w:t>
            </w:r>
          </w:p>
        </w:tc>
        <w:tc>
          <w:tcPr>
            <w:tcW w:w="3927" w:type="dxa"/>
            <w:tcBorders>
              <w:top w:val="single" w:sz="6" w:space="0" w:color="auto"/>
              <w:left w:val="single" w:sz="6" w:space="0" w:color="auto"/>
              <w:bottom w:val="single" w:sz="6" w:space="0" w:color="auto"/>
              <w:right w:val="single" w:sz="6" w:space="0" w:color="auto"/>
            </w:tcBorders>
            <w:shd w:val="clear" w:color="auto" w:fill="BDD6EE"/>
            <w:vAlign w:val="center"/>
          </w:tcPr>
          <w:p w14:paraId="1A921170" w14:textId="77777777" w:rsidR="00480F1C" w:rsidRDefault="00A201F6">
            <w:pPr>
              <w:pStyle w:val="P68B1DB1-Normal42"/>
              <w:spacing w:line="240" w:lineRule="auto"/>
              <w:jc w:val="center"/>
              <w:rPr>
                <w:rFonts w:eastAsia="Times New Roman" w:cs="Times New Roman"/>
                <w:noProof/>
              </w:rPr>
            </w:pPr>
            <w:r>
              <w:rPr>
                <w:noProof/>
              </w:rPr>
              <w:t>Naam</w:t>
            </w:r>
          </w:p>
        </w:tc>
      </w:tr>
      <w:tr w:rsidR="00480F1C" w14:paraId="125891F4"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BE2AE96" w14:textId="77777777" w:rsidR="00480F1C" w:rsidRDefault="00A201F6">
            <w:pPr>
              <w:pStyle w:val="P68B1DB1-Normal46"/>
              <w:spacing w:line="240" w:lineRule="auto"/>
              <w:jc w:val="center"/>
              <w:rPr>
                <w:rFonts w:eastAsia="Times New Roman" w:cs="Times New Roman"/>
                <w:noProof/>
              </w:rPr>
            </w:pPr>
            <w:r>
              <w:rPr>
                <w:noProof/>
              </w:rPr>
              <w:t>A14G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2509786" w14:textId="77777777" w:rsidR="00480F1C" w:rsidRDefault="00A201F6">
            <w:pPr>
              <w:pStyle w:val="P68B1DB1-Normal46"/>
              <w:spacing w:line="240" w:lineRule="auto"/>
              <w:rPr>
                <w:rFonts w:eastAsia="Times New Roman" w:cs="Times New Roman"/>
                <w:noProof/>
              </w:rPr>
            </w:pPr>
            <w:r>
              <w:rPr>
                <w:noProof/>
              </w:rPr>
              <w:t>A1.3.1 Uitvoering van de hervorming van de ruimtelijke ordening</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8D199CA"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C05B75F" w14:textId="77777777" w:rsidR="00480F1C" w:rsidRDefault="00A201F6">
            <w:pPr>
              <w:pStyle w:val="P68B1DB1-Normal46"/>
              <w:spacing w:line="240" w:lineRule="auto"/>
              <w:rPr>
                <w:rFonts w:eastAsia="Times New Roman" w:cs="Times New Roman"/>
                <w:noProof/>
              </w:rPr>
            </w:pPr>
            <w:r>
              <w:rPr>
                <w:noProof/>
              </w:rPr>
              <w:t>Personeel van lokale overheden en ruimtelijke planners dat een cursus over de nieuwe wet inzake ruimtelijke ordening heeft afgerond</w:t>
            </w:r>
          </w:p>
        </w:tc>
      </w:tr>
      <w:tr w:rsidR="00480F1C" w14:paraId="3ABD1E7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AE3FA55" w14:textId="77777777" w:rsidR="00480F1C" w:rsidRDefault="00A201F6">
            <w:pPr>
              <w:pStyle w:val="P68B1DB1-Normal46"/>
              <w:spacing w:line="240" w:lineRule="auto"/>
              <w:jc w:val="center"/>
              <w:rPr>
                <w:rFonts w:eastAsia="Times New Roman" w:cs="Times New Roman"/>
                <w:noProof/>
              </w:rPr>
            </w:pPr>
            <w:r>
              <w:rPr>
                <w:noProof/>
              </w:rPr>
              <w:t>A30G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7076DAA" w14:textId="77777777" w:rsidR="00480F1C" w:rsidRDefault="00A201F6">
            <w:pPr>
              <w:pStyle w:val="P68B1DB1-Normal46"/>
              <w:spacing w:line="240" w:lineRule="auto"/>
              <w:rPr>
                <w:rFonts w:eastAsia="Times New Roman" w:cs="Times New Roman"/>
                <w:noProof/>
              </w:rPr>
            </w:pPr>
            <w:r>
              <w:rPr>
                <w:noProof/>
              </w:rPr>
              <w:t>A2.2 De voorwaarden scheppen voor de overgang naar een circulaire economie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306E40F"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A67C9FF" w14:textId="77777777" w:rsidR="00480F1C" w:rsidRDefault="00A201F6">
            <w:pPr>
              <w:pStyle w:val="P68B1DB1-Normal46"/>
              <w:spacing w:line="240" w:lineRule="auto"/>
              <w:rPr>
                <w:rFonts w:eastAsia="Times New Roman" w:cs="Times New Roman"/>
                <w:noProof/>
              </w:rPr>
            </w:pPr>
            <w:r>
              <w:rPr>
                <w:noProof/>
              </w:rPr>
              <w:t xml:space="preserve">Inwerkingtreding van nieuwe wetgeving tot wijziging van het wetgevingskader om de handel in secundaire grondstoffen mogelijk te maken   </w:t>
            </w:r>
          </w:p>
        </w:tc>
      </w:tr>
      <w:tr w:rsidR="00480F1C" w14:paraId="0FEC1202"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446C27B" w14:textId="77777777" w:rsidR="00480F1C" w:rsidRDefault="00A201F6">
            <w:pPr>
              <w:pStyle w:val="P68B1DB1-Normal46"/>
              <w:spacing w:line="240" w:lineRule="auto"/>
              <w:jc w:val="center"/>
              <w:rPr>
                <w:rFonts w:eastAsia="Times New Roman" w:cs="Times New Roman"/>
                <w:noProof/>
              </w:rPr>
            </w:pPr>
            <w:r>
              <w:rPr>
                <w:noProof/>
              </w:rPr>
              <w:t>A44G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99F96D7" w14:textId="77777777" w:rsidR="00480F1C" w:rsidRDefault="00A201F6">
            <w:pPr>
              <w:pStyle w:val="P68B1DB1-Normal46"/>
              <w:spacing w:line="240" w:lineRule="auto"/>
              <w:rPr>
                <w:rFonts w:eastAsia="Times New Roman" w:cs="Times New Roman"/>
                <w:noProof/>
              </w:rPr>
            </w:pPr>
            <w:r>
              <w:rPr>
                <w:noProof/>
              </w:rPr>
              <w:t>A3.1.1 Investeringen in moderne beroepsopleiding, hoger onderwijs en een leven lang leren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A6A8BBF"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4800FD5" w14:textId="77777777" w:rsidR="00480F1C" w:rsidRDefault="00A201F6">
            <w:pPr>
              <w:pStyle w:val="P68B1DB1-Normal46"/>
              <w:spacing w:line="240" w:lineRule="auto"/>
              <w:rPr>
                <w:rFonts w:eastAsia="Times New Roman" w:cs="Times New Roman"/>
                <w:noProof/>
              </w:rPr>
            </w:pPr>
            <w:r>
              <w:rPr>
                <w:noProof/>
              </w:rPr>
              <w:t>T1 — Opzetten van een netwerk van functionerende centra voor sectorale vaardigheden die gerichte bij- en omscholing bieden die zeer relevant zijn voor de behoeften van de arbeidsmarkt</w:t>
            </w:r>
          </w:p>
        </w:tc>
      </w:tr>
      <w:tr w:rsidR="00480F1C" w14:paraId="34F24075"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E7B8FF8" w14:textId="77777777" w:rsidR="00480F1C" w:rsidRDefault="00A201F6">
            <w:pPr>
              <w:pStyle w:val="P68B1DB1-Normal46"/>
              <w:spacing w:line="240" w:lineRule="auto"/>
              <w:jc w:val="center"/>
              <w:rPr>
                <w:rFonts w:eastAsia="Times New Roman" w:cs="Times New Roman"/>
                <w:noProof/>
              </w:rPr>
            </w:pPr>
            <w:r>
              <w:rPr>
                <w:noProof/>
              </w:rPr>
              <w:t>A58G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54F149B" w14:textId="77777777" w:rsidR="00480F1C" w:rsidRDefault="00A201F6">
            <w:pPr>
              <w:pStyle w:val="P68B1DB1-Normal46"/>
              <w:spacing w:line="240" w:lineRule="auto"/>
              <w:rPr>
                <w:rFonts w:eastAsia="Times New Roman" w:cs="Times New Roman"/>
                <w:noProof/>
              </w:rPr>
            </w:pPr>
            <w:r>
              <w:rPr>
                <w:noProof/>
              </w:rPr>
              <w:t>A4.2 Hervorming om de arbeidsmarktsituatie van ouders te verbeteren door de toegang tot hoogwaardige kinderopvang voor kinderen tot drie jaar te verbeteren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5D64D5C"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9628E19" w14:textId="77777777" w:rsidR="00480F1C" w:rsidRDefault="00A201F6">
            <w:pPr>
              <w:pStyle w:val="P68B1DB1-Normal46"/>
              <w:spacing w:line="240" w:lineRule="auto"/>
              <w:rPr>
                <w:rFonts w:eastAsia="Times New Roman" w:cs="Times New Roman"/>
                <w:noProof/>
              </w:rPr>
            </w:pPr>
            <w:r>
              <w:rPr>
                <w:noProof/>
              </w:rPr>
              <w:t>Inwerkingtreding van een wet tot wijziging van de Wet op de zorg voor kinderen tot drie jaar, die zorgt voor een stabiele langdurige huishoudelijke financiering van de kinderopvang voor kinderen tot drie jaar</w:t>
            </w:r>
          </w:p>
        </w:tc>
      </w:tr>
      <w:tr w:rsidR="00480F1C" w14:paraId="39E7DD99"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C9F8725" w14:textId="77777777" w:rsidR="00480F1C" w:rsidRDefault="00A201F6">
            <w:pPr>
              <w:pStyle w:val="P68B1DB1-Normal46"/>
              <w:spacing w:line="240" w:lineRule="auto"/>
              <w:jc w:val="center"/>
              <w:rPr>
                <w:noProof/>
              </w:rPr>
            </w:pPr>
            <w:r>
              <w:rPr>
                <w:noProof/>
              </w:rPr>
              <w:t>B21aG</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6EFCE"/>
          </w:tcPr>
          <w:p w14:paraId="1F106A97" w14:textId="77777777" w:rsidR="00480F1C" w:rsidRDefault="00A201F6">
            <w:pPr>
              <w:pStyle w:val="P68B1DB1-Normal46"/>
              <w:spacing w:line="240" w:lineRule="auto"/>
              <w:rPr>
                <w:noProof/>
              </w:rPr>
            </w:pPr>
            <w:r>
              <w:rPr>
                <w:noProof/>
              </w:rPr>
              <w:t>B2.1.1 Investeringen in waterstof, waterstofproductie, -opslag en -transport </w:t>
            </w:r>
          </w:p>
        </w:tc>
        <w:tc>
          <w:tcPr>
            <w:tcW w:w="12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6EFCE"/>
          </w:tcPr>
          <w:p w14:paraId="53D5D5A8" w14:textId="77777777" w:rsidR="00480F1C" w:rsidRDefault="00A201F6">
            <w:pPr>
              <w:pStyle w:val="P68B1DB1-Normal46"/>
              <w:spacing w:line="240" w:lineRule="auto"/>
              <w:jc w:val="center"/>
              <w:rPr>
                <w:noProof/>
              </w:rPr>
            </w:pPr>
            <w:r>
              <w:rPr>
                <w:noProof/>
              </w:rPr>
              <w:t>Mijlpaal   </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D726DB7" w14:textId="77777777" w:rsidR="00480F1C" w:rsidRDefault="00A201F6">
            <w:pPr>
              <w:pStyle w:val="P68B1DB1-Normal46"/>
              <w:spacing w:line="240" w:lineRule="auto"/>
              <w:rPr>
                <w:noProof/>
              </w:rPr>
            </w:pPr>
            <w:r>
              <w:rPr>
                <w:noProof/>
              </w:rPr>
              <w:t>Uitwerkingsovereenkomst  </w:t>
            </w:r>
          </w:p>
        </w:tc>
      </w:tr>
      <w:tr w:rsidR="00480F1C" w14:paraId="5B91E912"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F2D0170" w14:textId="77777777" w:rsidR="00480F1C" w:rsidRDefault="00A201F6">
            <w:pPr>
              <w:pStyle w:val="P68B1DB1-Normal46"/>
              <w:spacing w:line="240" w:lineRule="auto"/>
              <w:jc w:val="center"/>
              <w:rPr>
                <w:rFonts w:eastAsia="Times New Roman" w:cs="Times New Roman"/>
                <w:noProof/>
              </w:rPr>
            </w:pPr>
            <w:r>
              <w:rPr>
                <w:noProof/>
              </w:rPr>
              <w:t>C8G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C9CEAC5" w14:textId="77777777" w:rsidR="00480F1C" w:rsidRDefault="00A201F6">
            <w:pPr>
              <w:pStyle w:val="P68B1DB1-Normal46"/>
              <w:spacing w:line="240" w:lineRule="auto"/>
              <w:rPr>
                <w:rFonts w:eastAsia="Times New Roman" w:cs="Times New Roman"/>
                <w:noProof/>
              </w:rPr>
            </w:pPr>
            <w:r>
              <w:rPr>
                <w:noProof/>
              </w:rPr>
              <w:t>C2.1 Het opschalen van digitale toepassingen in de publieke ruimte, de economie en de samenleving</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AE7738A"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C484528" w14:textId="77777777" w:rsidR="00480F1C" w:rsidRDefault="00A201F6">
            <w:pPr>
              <w:pStyle w:val="P68B1DB1-Normal46"/>
              <w:spacing w:line="240" w:lineRule="auto"/>
              <w:rPr>
                <w:rFonts w:eastAsia="Times New Roman" w:cs="Times New Roman"/>
                <w:noProof/>
              </w:rPr>
            </w:pPr>
            <w:r>
              <w:rPr>
                <w:noProof/>
              </w:rPr>
              <w:t>Wijziging van de wet van 11 maart 2004 inzake de belasting op goederen en diensten (gebruik van gestructureerde facturen) — invoering van gestructureerde elektronische facturen op de economische markt en de verplichting om deze uit te reiken en te ontvangen via het nationale systeem van e-facturen</w:t>
            </w:r>
          </w:p>
        </w:tc>
      </w:tr>
      <w:tr w:rsidR="00480F1C" w14:paraId="66CBBA53"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7A733B4" w14:textId="77777777" w:rsidR="00480F1C" w:rsidRDefault="00A201F6">
            <w:pPr>
              <w:pStyle w:val="P68B1DB1-Normal46"/>
              <w:spacing w:line="240" w:lineRule="auto"/>
              <w:jc w:val="center"/>
              <w:rPr>
                <w:rFonts w:eastAsia="Times New Roman" w:cs="Times New Roman"/>
                <w:noProof/>
              </w:rPr>
            </w:pPr>
            <w:r>
              <w:rPr>
                <w:noProof/>
              </w:rPr>
              <w:t>D5G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47743E7" w14:textId="77777777" w:rsidR="00480F1C" w:rsidRDefault="00A201F6">
            <w:pPr>
              <w:pStyle w:val="P68B1DB1-Normal46"/>
              <w:spacing w:line="240" w:lineRule="auto"/>
              <w:rPr>
                <w:rFonts w:eastAsia="Times New Roman" w:cs="Times New Roman"/>
                <w:noProof/>
              </w:rPr>
            </w:pPr>
            <w:r>
              <w:rPr>
                <w:noProof/>
              </w:rPr>
              <w:t>D1.1 Verbetering van de doeltreffendheid, toegankelijkheid en kwaliteit van gezondheidsdiensten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E74C1A5"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035B0C8" w14:textId="77777777" w:rsidR="00480F1C" w:rsidRDefault="00A201F6">
            <w:pPr>
              <w:pStyle w:val="P68B1DB1-Normal46"/>
              <w:spacing w:line="240" w:lineRule="auto"/>
              <w:rPr>
                <w:rFonts w:eastAsia="Times New Roman" w:cs="Times New Roman"/>
                <w:noProof/>
              </w:rPr>
            </w:pPr>
            <w:r>
              <w:rPr>
                <w:noProof/>
              </w:rPr>
              <w:t>Inwerkingtreding van de wet inzake het nationale cardiologische netwerk tot vaststelling van de regels voor de exploitatie van het netwerk door de invoering van een nieuwe structuur en een nieuw model voor cardiologische zorg</w:t>
            </w:r>
          </w:p>
        </w:tc>
      </w:tr>
      <w:tr w:rsidR="00480F1C" w14:paraId="489BCBC7"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0B801E8" w14:textId="77777777" w:rsidR="00480F1C" w:rsidRDefault="00A201F6">
            <w:pPr>
              <w:pStyle w:val="P68B1DB1-Normal46"/>
              <w:spacing w:line="240" w:lineRule="auto"/>
              <w:jc w:val="center"/>
              <w:rPr>
                <w:rFonts w:eastAsia="Times New Roman" w:cs="Times New Roman"/>
                <w:noProof/>
              </w:rPr>
            </w:pPr>
            <w:r>
              <w:rPr>
                <w:noProof/>
              </w:rPr>
              <w:t>E19G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E2DEF82" w14:textId="77777777" w:rsidR="00480F1C" w:rsidRDefault="00A201F6">
            <w:pPr>
              <w:pStyle w:val="P68B1DB1-Normal46"/>
              <w:spacing w:line="240" w:lineRule="auto"/>
              <w:rPr>
                <w:rFonts w:eastAsia="Times New Roman" w:cs="Times New Roman"/>
                <w:noProof/>
              </w:rPr>
            </w:pPr>
            <w:r>
              <w:rPr>
                <w:noProof/>
              </w:rPr>
              <w:t>E2.1.2 Spoorwegen reizigerstreinen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34A19FA"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CD37E2A" w14:textId="77777777" w:rsidR="00480F1C" w:rsidRDefault="00A201F6">
            <w:pPr>
              <w:pStyle w:val="P68B1DB1-Normal46"/>
              <w:spacing w:line="240" w:lineRule="auto"/>
              <w:rPr>
                <w:rFonts w:eastAsia="Times New Roman" w:cs="Times New Roman"/>
                <w:noProof/>
              </w:rPr>
            </w:pPr>
            <w:r>
              <w:rPr>
                <w:noProof/>
              </w:rPr>
              <w:t>Ondertekening van contracten voor reizigerstreinen</w:t>
            </w:r>
          </w:p>
        </w:tc>
      </w:tr>
      <w:tr w:rsidR="00480F1C" w14:paraId="0A2C8D21" w14:textId="77777777">
        <w:tc>
          <w:tcPr>
            <w:tcW w:w="1350" w:type="dxa"/>
            <w:tcBorders>
              <w:top w:val="single" w:sz="4" w:space="0" w:color="auto"/>
              <w:left w:val="single" w:sz="4" w:space="0" w:color="auto"/>
              <w:bottom w:val="single" w:sz="4" w:space="0" w:color="auto"/>
              <w:right w:val="single" w:sz="4" w:space="0" w:color="auto"/>
            </w:tcBorders>
            <w:shd w:val="clear" w:color="auto" w:fill="C6EFCE"/>
          </w:tcPr>
          <w:p w14:paraId="1BE565D1" w14:textId="77777777" w:rsidR="00480F1C" w:rsidRDefault="00A201F6">
            <w:pPr>
              <w:pStyle w:val="P68B1DB1-Normal46"/>
              <w:spacing w:line="240" w:lineRule="auto"/>
              <w:jc w:val="center"/>
              <w:rPr>
                <w:noProof/>
              </w:rPr>
            </w:pPr>
            <w:r>
              <w:rPr>
                <w:noProof/>
              </w:rPr>
              <w:t>F8G</w:t>
            </w:r>
          </w:p>
        </w:tc>
        <w:tc>
          <w:tcPr>
            <w:tcW w:w="3960" w:type="dxa"/>
            <w:tcBorders>
              <w:top w:val="single" w:sz="4" w:space="0" w:color="auto"/>
              <w:left w:val="single" w:sz="4" w:space="0" w:color="auto"/>
              <w:bottom w:val="single" w:sz="4" w:space="0" w:color="auto"/>
              <w:right w:val="single" w:sz="4" w:space="0" w:color="auto"/>
            </w:tcBorders>
            <w:shd w:val="clear" w:color="auto" w:fill="C6EFCE"/>
          </w:tcPr>
          <w:p w14:paraId="4A7FB235" w14:textId="77777777" w:rsidR="00480F1C" w:rsidRDefault="00A201F6">
            <w:pPr>
              <w:pStyle w:val="P68B1DB1-Normal46"/>
              <w:spacing w:line="240" w:lineRule="auto"/>
              <w:rPr>
                <w:noProof/>
              </w:rPr>
            </w:pPr>
            <w:r>
              <w:rPr>
                <w:noProof/>
              </w:rPr>
              <w:t>F3.1 Verbetering van de voorwaarden voor de uitvoering van het herstel- en veerkrachtplan</w:t>
            </w:r>
          </w:p>
        </w:tc>
        <w:tc>
          <w:tcPr>
            <w:tcW w:w="1245" w:type="dxa"/>
            <w:tcBorders>
              <w:top w:val="single" w:sz="4" w:space="0" w:color="auto"/>
              <w:left w:val="single" w:sz="4" w:space="0" w:color="auto"/>
              <w:bottom w:val="single" w:sz="4" w:space="0" w:color="auto"/>
              <w:right w:val="single" w:sz="4" w:space="0" w:color="auto"/>
            </w:tcBorders>
            <w:shd w:val="clear" w:color="auto" w:fill="C6EFCE"/>
          </w:tcPr>
          <w:p w14:paraId="1FE46656" w14:textId="77777777" w:rsidR="00480F1C" w:rsidRDefault="00A201F6">
            <w:pPr>
              <w:pStyle w:val="P68B1DB1-Normal46"/>
              <w:spacing w:line="240" w:lineRule="auto"/>
              <w:jc w:val="center"/>
              <w:rPr>
                <w:noProof/>
              </w:rPr>
            </w:pPr>
            <w:r>
              <w:rPr>
                <w:noProof/>
              </w:rPr>
              <w:t>Mijlpaal</w:t>
            </w:r>
          </w:p>
        </w:tc>
        <w:tc>
          <w:tcPr>
            <w:tcW w:w="3927" w:type="dxa"/>
            <w:tcBorders>
              <w:top w:val="single" w:sz="4" w:space="0" w:color="auto"/>
              <w:left w:val="single" w:sz="4" w:space="0" w:color="auto"/>
              <w:bottom w:val="single" w:sz="4" w:space="0" w:color="auto"/>
              <w:right w:val="single" w:sz="4" w:space="0" w:color="auto"/>
            </w:tcBorders>
            <w:shd w:val="clear" w:color="auto" w:fill="C6EFCE"/>
          </w:tcPr>
          <w:p w14:paraId="1836A4DF" w14:textId="77777777" w:rsidR="00480F1C" w:rsidRDefault="00A201F6">
            <w:pPr>
              <w:pStyle w:val="P68B1DB1-Normal46"/>
              <w:spacing w:after="0" w:line="240" w:lineRule="auto"/>
              <w:rPr>
                <w:rFonts w:eastAsia="Times New Roman" w:cs="Times New Roman"/>
                <w:noProof/>
              </w:rPr>
            </w:pPr>
            <w:r>
              <w:rPr>
                <w:noProof/>
              </w:rPr>
              <w:t>Toewijzing van extra posten in de instellingen die betrokken zijn bij de uitvoering van het herstel- en veerkrachtplan</w:t>
            </w:r>
          </w:p>
          <w:p w14:paraId="035FB843" w14:textId="77777777" w:rsidR="00480F1C" w:rsidRDefault="00480F1C">
            <w:pPr>
              <w:spacing w:line="240" w:lineRule="auto"/>
              <w:rPr>
                <w:rFonts w:ascii="Times New Roman" w:hAnsi="Times New Roman"/>
                <w:noProof/>
              </w:rPr>
            </w:pPr>
          </w:p>
        </w:tc>
      </w:tr>
      <w:tr w:rsidR="00480F1C" w14:paraId="1D5FD259" w14:textId="77777777">
        <w:tc>
          <w:tcPr>
            <w:tcW w:w="1350" w:type="dxa"/>
            <w:tcBorders>
              <w:top w:val="single" w:sz="6" w:space="0" w:color="auto"/>
              <w:left w:val="single" w:sz="6" w:space="0" w:color="auto"/>
              <w:bottom w:val="single" w:sz="6" w:space="0" w:color="auto"/>
              <w:right w:val="single" w:sz="6" w:space="0" w:color="auto"/>
            </w:tcBorders>
            <w:shd w:val="clear" w:color="auto" w:fill="C6EFCE"/>
            <w:vAlign w:val="center"/>
          </w:tcPr>
          <w:p w14:paraId="6A2ED399" w14:textId="77777777" w:rsidR="00480F1C" w:rsidRDefault="00480F1C">
            <w:pPr>
              <w:spacing w:line="240" w:lineRule="auto"/>
              <w:rPr>
                <w:rFonts w:ascii="Times New Roman" w:eastAsia="Times New Roman" w:hAnsi="Times New Roman" w:cs="Times New Roman"/>
                <w:noProof/>
              </w:rPr>
            </w:pPr>
          </w:p>
        </w:tc>
        <w:tc>
          <w:tcPr>
            <w:tcW w:w="3960" w:type="dxa"/>
            <w:tcBorders>
              <w:top w:val="single" w:sz="6" w:space="0" w:color="auto"/>
              <w:left w:val="single" w:sz="6" w:space="0" w:color="auto"/>
              <w:bottom w:val="single" w:sz="6" w:space="0" w:color="auto"/>
              <w:right w:val="single" w:sz="6" w:space="0" w:color="auto"/>
            </w:tcBorders>
            <w:shd w:val="clear" w:color="auto" w:fill="C6EFCE"/>
            <w:vAlign w:val="center"/>
          </w:tcPr>
          <w:p w14:paraId="21787FA8"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vAlign w:val="center"/>
          </w:tcPr>
          <w:p w14:paraId="26C6192A" w14:textId="77777777" w:rsidR="00480F1C" w:rsidRDefault="00A201F6">
            <w:pPr>
              <w:pStyle w:val="P68B1DB1-Normal46"/>
              <w:spacing w:line="240" w:lineRule="auto"/>
              <w:rPr>
                <w:rFonts w:eastAsia="Times New Roman" w:cs="Times New Roman"/>
                <w:noProof/>
              </w:rPr>
            </w:pPr>
            <w:r>
              <w:rPr>
                <w:noProof/>
              </w:rPr>
              <w:t>Termijnbedrag</w:t>
            </w:r>
          </w:p>
        </w:tc>
        <w:tc>
          <w:tcPr>
            <w:tcW w:w="3927" w:type="dxa"/>
            <w:tcBorders>
              <w:top w:val="single" w:sz="6" w:space="0" w:color="auto"/>
              <w:left w:val="single" w:sz="6" w:space="0" w:color="auto"/>
              <w:bottom w:val="single" w:sz="6" w:space="0" w:color="auto"/>
              <w:right w:val="single" w:sz="6" w:space="0" w:color="auto"/>
            </w:tcBorders>
            <w:shd w:val="clear" w:color="auto" w:fill="C6EFCE"/>
            <w:vAlign w:val="center"/>
          </w:tcPr>
          <w:p w14:paraId="18C01E87" w14:textId="77777777" w:rsidR="00480F1C" w:rsidRDefault="00A201F6">
            <w:pPr>
              <w:pStyle w:val="P68B1DB1-Normal46"/>
              <w:spacing w:line="240" w:lineRule="auto"/>
              <w:rPr>
                <w:rFonts w:eastAsia="Times New Roman" w:cs="Times New Roman"/>
                <w:noProof/>
              </w:rPr>
            </w:pPr>
            <w:r>
              <w:rPr>
                <w:noProof/>
              </w:rPr>
              <w:t xml:space="preserve">EUR 2 250 941 985   </w:t>
            </w:r>
          </w:p>
        </w:tc>
      </w:tr>
    </w:tbl>
    <w:p w14:paraId="001567BE" w14:textId="77777777" w:rsidR="00480F1C" w:rsidRDefault="00480F1C">
      <w:pPr>
        <w:spacing w:before="120" w:after="120" w:line="240" w:lineRule="auto"/>
        <w:rPr>
          <w:rFonts w:ascii="Times New Roman" w:eastAsia="Times New Roman" w:hAnsi="Times New Roman" w:cs="Times New Roman"/>
          <w:noProof/>
          <w:color w:val="000000" w:themeColor="text1"/>
        </w:rPr>
      </w:pPr>
    </w:p>
    <w:p w14:paraId="50399B78" w14:textId="77777777" w:rsidR="00480F1C" w:rsidRDefault="00A201F6">
      <w:pPr>
        <w:pStyle w:val="P68B1DB1-Normal45"/>
        <w:pageBreakBefore/>
        <w:spacing w:before="120" w:after="120" w:line="240" w:lineRule="auto"/>
        <w:rPr>
          <w:rFonts w:eastAsia="Times New Roman" w:cs="Times New Roman"/>
          <w:noProof/>
        </w:rPr>
      </w:pPr>
      <w:r>
        <w:rPr>
          <w:noProof/>
        </w:rPr>
        <w:t>2.1.6 Zesde tranche (niet-terugvorderbare steun):</w:t>
      </w:r>
    </w:p>
    <w:tbl>
      <w:tblPr>
        <w:tblW w:w="10567" w:type="dxa"/>
        <w:tblLayout w:type="fixed"/>
        <w:tblLook w:val="0000" w:firstRow="0" w:lastRow="0" w:firstColumn="0" w:lastColumn="0" w:noHBand="0" w:noVBand="0"/>
      </w:tblPr>
      <w:tblGrid>
        <w:gridCol w:w="1410"/>
        <w:gridCol w:w="3827"/>
        <w:gridCol w:w="1276"/>
        <w:gridCol w:w="4054"/>
      </w:tblGrid>
      <w:tr w:rsidR="00480F1C" w14:paraId="3C5C159A" w14:textId="77777777">
        <w:trPr>
          <w:trHeight w:val="714"/>
          <w:tblHeader/>
        </w:trPr>
        <w:tc>
          <w:tcPr>
            <w:tcW w:w="1410" w:type="dxa"/>
            <w:tcBorders>
              <w:top w:val="single" w:sz="6" w:space="0" w:color="auto"/>
              <w:left w:val="single" w:sz="6" w:space="0" w:color="auto"/>
              <w:bottom w:val="single" w:sz="6" w:space="0" w:color="auto"/>
              <w:right w:val="single" w:sz="6" w:space="0" w:color="auto"/>
            </w:tcBorders>
            <w:shd w:val="clear" w:color="auto" w:fill="BDD6EE"/>
            <w:vAlign w:val="center"/>
          </w:tcPr>
          <w:p w14:paraId="4D0E3452" w14:textId="77777777" w:rsidR="00480F1C" w:rsidRDefault="00A201F6">
            <w:pPr>
              <w:pStyle w:val="P68B1DB1-Normal42"/>
              <w:spacing w:line="240" w:lineRule="auto"/>
              <w:jc w:val="center"/>
              <w:rPr>
                <w:rFonts w:eastAsia="Times New Roman" w:cs="Times New Roman"/>
                <w:noProof/>
              </w:rPr>
            </w:pPr>
            <w:r>
              <w:rPr>
                <w:noProof/>
              </w:rPr>
              <w:t>Volgnummer</w:t>
            </w:r>
          </w:p>
        </w:tc>
        <w:tc>
          <w:tcPr>
            <w:tcW w:w="3827" w:type="dxa"/>
            <w:tcBorders>
              <w:top w:val="single" w:sz="6" w:space="0" w:color="auto"/>
              <w:left w:val="single" w:sz="6" w:space="0" w:color="auto"/>
              <w:bottom w:val="single" w:sz="6" w:space="0" w:color="auto"/>
              <w:right w:val="single" w:sz="6" w:space="0" w:color="auto"/>
            </w:tcBorders>
            <w:shd w:val="clear" w:color="auto" w:fill="BDD6EE"/>
            <w:vAlign w:val="center"/>
          </w:tcPr>
          <w:p w14:paraId="34F9FA38" w14:textId="77777777" w:rsidR="00480F1C" w:rsidRDefault="00A201F6">
            <w:pPr>
              <w:pStyle w:val="P68B1DB1-Normal42"/>
              <w:spacing w:line="240" w:lineRule="auto"/>
              <w:jc w:val="center"/>
              <w:rPr>
                <w:rFonts w:eastAsia="Times New Roman" w:cs="Times New Roman"/>
                <w:noProof/>
              </w:rPr>
            </w:pPr>
            <w:r>
              <w:rPr>
                <w:noProof/>
              </w:rPr>
              <w:t>Gerelateerde maatregel (hervorming of investering)</w:t>
            </w:r>
          </w:p>
        </w:tc>
        <w:tc>
          <w:tcPr>
            <w:tcW w:w="1276" w:type="dxa"/>
            <w:tcBorders>
              <w:top w:val="single" w:sz="6" w:space="0" w:color="auto"/>
              <w:left w:val="single" w:sz="6" w:space="0" w:color="auto"/>
              <w:bottom w:val="single" w:sz="6" w:space="0" w:color="auto"/>
              <w:right w:val="single" w:sz="6" w:space="0" w:color="auto"/>
            </w:tcBorders>
            <w:shd w:val="clear" w:color="auto" w:fill="BDD6EE"/>
            <w:vAlign w:val="center"/>
          </w:tcPr>
          <w:p w14:paraId="7500F44E" w14:textId="77777777" w:rsidR="00480F1C" w:rsidRDefault="00A201F6">
            <w:pPr>
              <w:pStyle w:val="P68B1DB1-Normal42"/>
              <w:spacing w:line="240" w:lineRule="auto"/>
              <w:jc w:val="center"/>
              <w:rPr>
                <w:rFonts w:eastAsia="Times New Roman" w:cs="Times New Roman"/>
                <w:noProof/>
              </w:rPr>
            </w:pPr>
            <w:r>
              <w:rPr>
                <w:noProof/>
              </w:rPr>
              <w:t>Mijlpaal/Doelstelling</w:t>
            </w:r>
          </w:p>
        </w:tc>
        <w:tc>
          <w:tcPr>
            <w:tcW w:w="4054" w:type="dxa"/>
            <w:tcBorders>
              <w:top w:val="single" w:sz="6" w:space="0" w:color="auto"/>
              <w:left w:val="single" w:sz="6" w:space="0" w:color="auto"/>
              <w:bottom w:val="single" w:sz="6" w:space="0" w:color="auto"/>
              <w:right w:val="single" w:sz="6" w:space="0" w:color="auto"/>
            </w:tcBorders>
            <w:shd w:val="clear" w:color="auto" w:fill="BDD6EE"/>
            <w:vAlign w:val="center"/>
          </w:tcPr>
          <w:p w14:paraId="40A95CDB" w14:textId="77777777" w:rsidR="00480F1C" w:rsidRDefault="00A201F6">
            <w:pPr>
              <w:pStyle w:val="P68B1DB1-Normal42"/>
              <w:spacing w:line="240" w:lineRule="auto"/>
              <w:jc w:val="center"/>
              <w:rPr>
                <w:rFonts w:eastAsia="Times New Roman" w:cs="Times New Roman"/>
                <w:noProof/>
              </w:rPr>
            </w:pPr>
            <w:r>
              <w:rPr>
                <w:noProof/>
              </w:rPr>
              <w:t>Naam</w:t>
            </w:r>
          </w:p>
        </w:tc>
      </w:tr>
      <w:tr w:rsidR="00480F1C" w14:paraId="638A40AE"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33B578D5" w14:textId="77777777" w:rsidR="00480F1C" w:rsidRDefault="00A201F6">
            <w:pPr>
              <w:pStyle w:val="P68B1DB1-Normal46"/>
              <w:spacing w:line="240" w:lineRule="auto"/>
              <w:jc w:val="center"/>
              <w:rPr>
                <w:rFonts w:eastAsia="Times New Roman" w:cs="Times New Roman"/>
                <w:noProof/>
              </w:rPr>
            </w:pPr>
            <w:r>
              <w:rPr>
                <w:noProof/>
              </w:rPr>
              <w:t>A7G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53E94C95" w14:textId="77777777" w:rsidR="00480F1C" w:rsidRDefault="00A201F6">
            <w:pPr>
              <w:pStyle w:val="P68B1DB1-Normal46"/>
              <w:spacing w:line="240" w:lineRule="auto"/>
              <w:rPr>
                <w:rFonts w:eastAsia="Times New Roman" w:cs="Times New Roman"/>
                <w:noProof/>
              </w:rPr>
            </w:pPr>
            <w:r>
              <w:rPr>
                <w:noProof/>
              </w:rPr>
              <w:t>A1.2.1 Investeringen voor ondernemingen in producten, diensten en competenties van werknemers en personeel in verband met de diversificatie van activiteiten</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382BDBBA" w14:textId="77777777" w:rsidR="00480F1C" w:rsidRDefault="00A201F6">
            <w:pPr>
              <w:pStyle w:val="P68B1DB1-Normal46"/>
              <w:spacing w:line="240" w:lineRule="auto"/>
              <w:jc w:val="center"/>
              <w:rPr>
                <w:rFonts w:eastAsia="Times New Roman" w:cs="Times New Roman"/>
                <w:noProof/>
              </w:rPr>
            </w:pPr>
            <w:r>
              <w:rPr>
                <w:noProof/>
              </w:rPr>
              <w:t>Doel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0599421F" w14:textId="77777777" w:rsidR="00480F1C" w:rsidRDefault="00A201F6">
            <w:pPr>
              <w:pStyle w:val="P68B1DB1-Normal46"/>
              <w:spacing w:line="240" w:lineRule="auto"/>
              <w:rPr>
                <w:rFonts w:eastAsia="Times New Roman" w:cs="Times New Roman"/>
                <w:noProof/>
              </w:rPr>
            </w:pPr>
            <w:r>
              <w:rPr>
                <w:noProof/>
              </w:rPr>
              <w:t xml:space="preserve">T1 — Aantal kmo’s en micro-ondernemingen in de HoReCa-sector, cultuur en toerisme die hun bedrijfsactiviteiten hebben gemoderniseerd  </w:t>
            </w:r>
          </w:p>
        </w:tc>
      </w:tr>
      <w:tr w:rsidR="00480F1C" w14:paraId="2A5E5D87"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49E02D80" w14:textId="77777777" w:rsidR="00480F1C" w:rsidRDefault="00A201F6">
            <w:pPr>
              <w:pStyle w:val="P68B1DB1-Normal46"/>
              <w:spacing w:line="240" w:lineRule="auto"/>
              <w:jc w:val="center"/>
              <w:rPr>
                <w:rFonts w:eastAsia="Times New Roman" w:cs="Times New Roman"/>
                <w:noProof/>
              </w:rPr>
            </w:pPr>
            <w:r>
              <w:rPr>
                <w:noProof/>
              </w:rPr>
              <w:t>A16G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383E5C9F" w14:textId="77777777" w:rsidR="00480F1C" w:rsidRDefault="00A201F6">
            <w:pPr>
              <w:pStyle w:val="P68B1DB1-Normal46"/>
              <w:spacing w:line="240" w:lineRule="auto"/>
              <w:rPr>
                <w:rFonts w:eastAsia="Times New Roman" w:cs="Times New Roman"/>
                <w:noProof/>
              </w:rPr>
            </w:pPr>
            <w:r>
              <w:rPr>
                <w:noProof/>
              </w:rPr>
              <w:t>A1.3.1 Uitvoering van de hervorming van de ruimtelijke ordening</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4B74006D" w14:textId="77777777" w:rsidR="00480F1C" w:rsidRDefault="00A201F6">
            <w:pPr>
              <w:pStyle w:val="P68B1DB1-Normal46"/>
              <w:spacing w:line="240" w:lineRule="auto"/>
              <w:jc w:val="center"/>
              <w:rPr>
                <w:rFonts w:eastAsia="Times New Roman" w:cs="Times New Roman"/>
                <w:noProof/>
              </w:rPr>
            </w:pPr>
            <w:r>
              <w:rPr>
                <w:noProof/>
              </w:rPr>
              <w:t>Doel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3C412612" w14:textId="77777777" w:rsidR="00480F1C" w:rsidRDefault="00A201F6">
            <w:pPr>
              <w:pStyle w:val="P68B1DB1-Normal46"/>
              <w:spacing w:line="240" w:lineRule="auto"/>
              <w:rPr>
                <w:rFonts w:eastAsia="Times New Roman" w:cs="Times New Roman"/>
                <w:noProof/>
              </w:rPr>
            </w:pPr>
            <w:r>
              <w:rPr>
                <w:noProof/>
              </w:rPr>
              <w:t>Percentage gemeenten dat algemene ruimtelijkeordeningsplannen heeft vastgesteld</w:t>
            </w:r>
          </w:p>
        </w:tc>
      </w:tr>
      <w:tr w:rsidR="00480F1C" w14:paraId="52831323"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0136C77C" w14:textId="77777777" w:rsidR="00480F1C" w:rsidRDefault="00A201F6">
            <w:pPr>
              <w:pStyle w:val="P68B1DB1-Normal46"/>
              <w:spacing w:line="240" w:lineRule="auto"/>
              <w:jc w:val="center"/>
              <w:rPr>
                <w:rFonts w:eastAsia="Times New Roman" w:cs="Times New Roman"/>
                <w:noProof/>
              </w:rPr>
            </w:pPr>
            <w:r>
              <w:rPr>
                <w:noProof/>
              </w:rPr>
              <w:t>A22G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2D8F7F71" w14:textId="77777777" w:rsidR="00480F1C" w:rsidRDefault="00A201F6">
            <w:pPr>
              <w:pStyle w:val="P68B1DB1-Normal46"/>
              <w:spacing w:line="240" w:lineRule="auto"/>
              <w:rPr>
                <w:rFonts w:eastAsia="Times New Roman" w:cs="Times New Roman"/>
                <w:noProof/>
              </w:rPr>
            </w:pPr>
            <w:r>
              <w:rPr>
                <w:noProof/>
              </w:rPr>
              <w:t>A1.4.1 Investeringen om de toeleveringsketen van landbouw- en voedingsproducten te diversifiëren en te verkorten en de veerkracht van de entiteiten in de keten op te bouwen</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7518F002" w14:textId="77777777" w:rsidR="00480F1C" w:rsidRDefault="00A201F6">
            <w:pPr>
              <w:pStyle w:val="P68B1DB1-Normal46"/>
              <w:spacing w:line="240" w:lineRule="auto"/>
              <w:jc w:val="center"/>
              <w:rPr>
                <w:rFonts w:eastAsia="Times New Roman" w:cs="Times New Roman"/>
                <w:noProof/>
              </w:rPr>
            </w:pPr>
            <w:r>
              <w:rPr>
                <w:noProof/>
              </w:rPr>
              <w:t>Doel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58BC7FE3" w14:textId="77777777" w:rsidR="00480F1C" w:rsidRDefault="00A201F6">
            <w:pPr>
              <w:pStyle w:val="P68B1DB1-Normal46"/>
              <w:spacing w:line="240" w:lineRule="auto"/>
              <w:rPr>
                <w:rFonts w:eastAsia="Times New Roman" w:cs="Times New Roman"/>
                <w:noProof/>
              </w:rPr>
            </w:pPr>
            <w:r>
              <w:rPr>
                <w:noProof/>
              </w:rPr>
              <w:t>Kmo’s in de agrovoedingssector die projecten hebben afgerond om hun infrastructuur en uitrusting te moderniseren</w:t>
            </w:r>
          </w:p>
        </w:tc>
      </w:tr>
      <w:tr w:rsidR="00480F1C" w14:paraId="75AFA5F2"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0982003B" w14:textId="77777777" w:rsidR="00480F1C" w:rsidRDefault="00A201F6">
            <w:pPr>
              <w:pStyle w:val="P68B1DB1-Normal46"/>
              <w:spacing w:line="240" w:lineRule="auto"/>
              <w:jc w:val="center"/>
              <w:rPr>
                <w:rFonts w:eastAsia="Times New Roman" w:cs="Times New Roman"/>
                <w:noProof/>
              </w:rPr>
            </w:pPr>
            <w:r>
              <w:rPr>
                <w:noProof/>
              </w:rPr>
              <w:t>A28G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5B4F9B18" w14:textId="77777777" w:rsidR="00480F1C" w:rsidRDefault="00A201F6">
            <w:pPr>
              <w:pStyle w:val="P68B1DB1-Normal46"/>
              <w:spacing w:line="240" w:lineRule="auto"/>
              <w:rPr>
                <w:rFonts w:eastAsia="Times New Roman" w:cs="Times New Roman"/>
                <w:noProof/>
              </w:rPr>
            </w:pPr>
            <w:r>
              <w:rPr>
                <w:noProof/>
              </w:rPr>
              <w:t>A2.1.1 Investeringen in robotisering en digitalisering in ondernemingen</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17FDC262" w14:textId="77777777" w:rsidR="00480F1C" w:rsidRDefault="00A201F6">
            <w:pPr>
              <w:pStyle w:val="P68B1DB1-Normal46"/>
              <w:spacing w:line="240" w:lineRule="auto"/>
              <w:jc w:val="center"/>
              <w:rPr>
                <w:rFonts w:eastAsia="Times New Roman" w:cs="Times New Roman"/>
                <w:noProof/>
              </w:rPr>
            </w:pPr>
            <w:r>
              <w:rPr>
                <w:noProof/>
              </w:rPr>
              <w:t>Doel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7D16FB32" w14:textId="77777777" w:rsidR="00480F1C" w:rsidRDefault="00A201F6">
            <w:pPr>
              <w:pStyle w:val="P68B1DB1-Normal46"/>
              <w:spacing w:line="240" w:lineRule="auto"/>
              <w:rPr>
                <w:rFonts w:eastAsia="Times New Roman" w:cs="Times New Roman"/>
                <w:noProof/>
              </w:rPr>
            </w:pPr>
            <w:r>
              <w:rPr>
                <w:noProof/>
              </w:rPr>
              <w:t>T1 — Uitvoering van projecten in verband met robotisering, kunstmatige intelligentie of digitalisering van processen, technologieën, producten of diensten</w:t>
            </w:r>
          </w:p>
        </w:tc>
      </w:tr>
      <w:tr w:rsidR="00480F1C" w14:paraId="7A3E3740"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6E7E2D9F" w14:textId="77777777" w:rsidR="00480F1C" w:rsidRDefault="00A201F6">
            <w:pPr>
              <w:pStyle w:val="P68B1DB1-Normal46"/>
              <w:spacing w:line="240" w:lineRule="auto"/>
              <w:jc w:val="center"/>
              <w:rPr>
                <w:rFonts w:eastAsia="Times New Roman" w:cs="Times New Roman"/>
                <w:noProof/>
              </w:rPr>
            </w:pPr>
            <w:r>
              <w:rPr>
                <w:noProof/>
              </w:rPr>
              <w:t>A46G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79A91E93" w14:textId="77777777" w:rsidR="00480F1C" w:rsidRDefault="00A201F6">
            <w:pPr>
              <w:pStyle w:val="P68B1DB1-Normal46"/>
              <w:spacing w:line="240" w:lineRule="auto"/>
              <w:rPr>
                <w:rFonts w:eastAsia="Times New Roman" w:cs="Times New Roman"/>
                <w:noProof/>
              </w:rPr>
            </w:pPr>
            <w:r>
              <w:rPr>
                <w:noProof/>
              </w:rPr>
              <w:t>A3.1.1 Investeringen in moderne beroepsopleiding, hoger onderwijs en een leven lang leren</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6806EA4E" w14:textId="77777777" w:rsidR="00480F1C" w:rsidRDefault="00A201F6">
            <w:pPr>
              <w:pStyle w:val="P68B1DB1-Normal46"/>
              <w:spacing w:line="240" w:lineRule="auto"/>
              <w:jc w:val="center"/>
              <w:rPr>
                <w:rFonts w:eastAsia="Times New Roman" w:cs="Times New Roman"/>
                <w:noProof/>
              </w:rPr>
            </w:pPr>
            <w:r>
              <w:rPr>
                <w:noProof/>
              </w:rPr>
              <w:t>Doel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6C57AABE" w14:textId="77777777" w:rsidR="00480F1C" w:rsidRDefault="00A201F6">
            <w:pPr>
              <w:pStyle w:val="P68B1DB1-Normal46"/>
              <w:spacing w:line="240" w:lineRule="auto"/>
              <w:rPr>
                <w:rFonts w:eastAsia="Times New Roman" w:cs="Times New Roman"/>
                <w:noProof/>
              </w:rPr>
            </w:pPr>
            <w:r>
              <w:rPr>
                <w:noProof/>
              </w:rPr>
              <w:t>T1 — Vaardigheden voor lerenden in de centra voor sectorale vaardigheden, met inbegrip van certificering van leerresultaten (vaardigheden), afgegeven en erkend door de sector</w:t>
            </w:r>
          </w:p>
        </w:tc>
      </w:tr>
      <w:tr w:rsidR="00480F1C" w14:paraId="4B458699"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3FDA98BF" w14:textId="77777777" w:rsidR="00480F1C" w:rsidRDefault="00A201F6">
            <w:pPr>
              <w:pStyle w:val="P68B1DB1-Normal46"/>
              <w:spacing w:line="240" w:lineRule="auto"/>
              <w:jc w:val="center"/>
              <w:rPr>
                <w:rFonts w:eastAsia="Times New Roman" w:cs="Times New Roman"/>
                <w:noProof/>
              </w:rPr>
            </w:pPr>
            <w:r>
              <w:rPr>
                <w:noProof/>
              </w:rPr>
              <w:t>A54G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4022B306" w14:textId="77777777" w:rsidR="00480F1C" w:rsidRDefault="00A201F6">
            <w:pPr>
              <w:pStyle w:val="P68B1DB1-Normal46"/>
              <w:spacing w:line="240" w:lineRule="auto"/>
              <w:rPr>
                <w:rFonts w:eastAsia="Times New Roman" w:cs="Times New Roman"/>
                <w:noProof/>
              </w:rPr>
            </w:pPr>
            <w:r>
              <w:rPr>
                <w:noProof/>
              </w:rPr>
              <w:t>A4.1 Effectieve instellingen voor de arbeidsmarkt</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0E3ACCA4" w14:textId="77777777" w:rsidR="00480F1C" w:rsidRDefault="00A201F6">
            <w:pPr>
              <w:pStyle w:val="P68B1DB1-Normal46"/>
              <w:spacing w:line="240" w:lineRule="auto"/>
              <w:jc w:val="center"/>
              <w:rPr>
                <w:rFonts w:eastAsia="Times New Roman" w:cs="Times New Roman"/>
                <w:noProof/>
              </w:rPr>
            </w:pPr>
            <w:r>
              <w:rPr>
                <w:noProof/>
              </w:rPr>
              <w:t>Mijlpaal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00C972CB" w14:textId="77777777" w:rsidR="00480F1C" w:rsidRDefault="00A201F6">
            <w:pPr>
              <w:pStyle w:val="P68B1DB1-Normal46"/>
              <w:spacing w:line="240" w:lineRule="auto"/>
              <w:rPr>
                <w:rFonts w:eastAsia="Times New Roman" w:cs="Times New Roman"/>
                <w:noProof/>
              </w:rPr>
            </w:pPr>
            <w:r>
              <w:rPr>
                <w:noProof/>
              </w:rPr>
              <w:t>Inwerkingtreding van een wijziging van de relevante wetten ter uitvoering van de hervormingsprioriteiten die zijn vastgesteld in de raadpleging over collectieve overeenkomsten en in de studie over één arbeidsovereenkomst in Polen</w:t>
            </w:r>
          </w:p>
        </w:tc>
      </w:tr>
      <w:tr w:rsidR="00480F1C" w14:paraId="6DE0A425"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454985E8" w14:textId="77777777" w:rsidR="00480F1C" w:rsidRDefault="00A201F6">
            <w:pPr>
              <w:pStyle w:val="P68B1DB1-Normal46"/>
              <w:spacing w:line="240" w:lineRule="auto"/>
              <w:jc w:val="center"/>
              <w:rPr>
                <w:rFonts w:eastAsia="Times New Roman" w:cs="Times New Roman"/>
                <w:noProof/>
              </w:rPr>
            </w:pPr>
            <w:r>
              <w:rPr>
                <w:noProof/>
              </w:rPr>
              <w:t>A68G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30A2F0EB" w14:textId="77777777" w:rsidR="00480F1C" w:rsidRDefault="00A201F6">
            <w:pPr>
              <w:pStyle w:val="P68B1DB1-Normal46"/>
              <w:spacing w:line="240" w:lineRule="auto"/>
              <w:rPr>
                <w:rFonts w:eastAsia="Times New Roman" w:cs="Times New Roman"/>
                <w:noProof/>
              </w:rPr>
            </w:pPr>
            <w:r>
              <w:rPr>
                <w:noProof/>
              </w:rPr>
              <w:t>A4.5 loopbanen uitbreiden en werken na de wettelijke pensioenleeftijd bevorderen</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760146D4" w14:textId="77777777" w:rsidR="00480F1C" w:rsidRDefault="00A201F6">
            <w:pPr>
              <w:pStyle w:val="P68B1DB1-Normal46"/>
              <w:spacing w:line="240" w:lineRule="auto"/>
              <w:jc w:val="center"/>
              <w:rPr>
                <w:rFonts w:eastAsia="Times New Roman" w:cs="Times New Roman"/>
                <w:noProof/>
              </w:rPr>
            </w:pPr>
            <w:r>
              <w:rPr>
                <w:noProof/>
              </w:rPr>
              <w:t>Mijlpaal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2A071C97" w14:textId="77777777" w:rsidR="00480F1C" w:rsidRDefault="00A201F6">
            <w:pPr>
              <w:pStyle w:val="P68B1DB1-Normal46"/>
              <w:spacing w:line="240" w:lineRule="auto"/>
              <w:rPr>
                <w:rFonts w:eastAsia="Times New Roman" w:cs="Times New Roman"/>
                <w:noProof/>
              </w:rPr>
            </w:pPr>
            <w:r>
              <w:rPr>
                <w:noProof/>
              </w:rPr>
              <w:t>Verslag ter evaluatie van het effect van de maatregelen die zijn genomen om de effectieve pensioenleeftijd te verhogen</w:t>
            </w:r>
          </w:p>
        </w:tc>
      </w:tr>
      <w:tr w:rsidR="00480F1C" w14:paraId="72281CF9"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5E0610BB" w14:textId="77777777" w:rsidR="00480F1C" w:rsidRDefault="00A201F6">
            <w:pPr>
              <w:pStyle w:val="P68B1DB1-Normal46"/>
              <w:spacing w:line="240" w:lineRule="auto"/>
              <w:jc w:val="center"/>
              <w:rPr>
                <w:rFonts w:eastAsia="Times New Roman" w:cs="Times New Roman"/>
                <w:noProof/>
              </w:rPr>
            </w:pPr>
            <w:r>
              <w:rPr>
                <w:noProof/>
              </w:rPr>
              <w:t>A70G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29BCC85A" w14:textId="77777777" w:rsidR="00480F1C" w:rsidRDefault="00A201F6">
            <w:pPr>
              <w:pStyle w:val="P68B1DB1-Normal46"/>
              <w:spacing w:line="240" w:lineRule="auto"/>
              <w:rPr>
                <w:rFonts w:eastAsia="Times New Roman" w:cs="Times New Roman"/>
                <w:noProof/>
              </w:rPr>
            </w:pPr>
            <w:r>
              <w:rPr>
                <w:noProof/>
              </w:rPr>
              <w:t>A4.6 Verhoging van de arbeidsmarktparticipatie van bepaalde groepen door de ontwikkeling van langdurige zorg</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4A5EE62F" w14:textId="77777777" w:rsidR="00480F1C" w:rsidRDefault="00A201F6">
            <w:pPr>
              <w:pStyle w:val="P68B1DB1-Normal46"/>
              <w:spacing w:line="240" w:lineRule="auto"/>
              <w:jc w:val="center"/>
              <w:rPr>
                <w:rFonts w:eastAsia="Times New Roman" w:cs="Times New Roman"/>
                <w:noProof/>
              </w:rPr>
            </w:pPr>
            <w:r>
              <w:rPr>
                <w:noProof/>
              </w:rPr>
              <w:t>Mijlpaal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35B16979" w14:textId="77777777" w:rsidR="00480F1C" w:rsidRDefault="00A201F6">
            <w:pPr>
              <w:pStyle w:val="P68B1DB1-Normal46"/>
              <w:spacing w:line="240" w:lineRule="auto"/>
              <w:rPr>
                <w:rFonts w:eastAsia="Times New Roman" w:cs="Times New Roman"/>
                <w:noProof/>
              </w:rPr>
            </w:pPr>
            <w:r>
              <w:rPr>
                <w:noProof/>
              </w:rPr>
              <w:t>Inwerkingtreding van een wet tot wijziging van de relevante wetten ter uitvoering van de hervormingsprioriteiten die zijn vastgesteld in de strategische evaluatie van langdurige zorg in Polen (in overeenstemming met mijlpaal A69G)</w:t>
            </w:r>
          </w:p>
        </w:tc>
      </w:tr>
      <w:tr w:rsidR="00480F1C" w14:paraId="322D1DD7"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07EC6A61" w14:textId="77777777" w:rsidR="00480F1C" w:rsidRDefault="00A201F6">
            <w:pPr>
              <w:pStyle w:val="P68B1DB1-Normal46"/>
              <w:spacing w:line="240" w:lineRule="auto"/>
              <w:jc w:val="center"/>
              <w:rPr>
                <w:rFonts w:eastAsia="Times New Roman" w:cs="Times New Roman"/>
                <w:noProof/>
              </w:rPr>
            </w:pPr>
            <w:r>
              <w:rPr>
                <w:noProof/>
              </w:rPr>
              <w:t>B6G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13B9D0B3" w14:textId="77777777" w:rsidR="00480F1C" w:rsidRDefault="00A201F6">
            <w:pPr>
              <w:pStyle w:val="P68B1DB1-Normal46"/>
              <w:spacing w:line="240" w:lineRule="auto"/>
              <w:rPr>
                <w:rFonts w:eastAsia="Times New Roman" w:cs="Times New Roman"/>
                <w:noProof/>
              </w:rPr>
            </w:pPr>
            <w:r>
              <w:rPr>
                <w:noProof/>
              </w:rPr>
              <w:t>B1.1.1 Investeringen in warmtebronnen in stadsverwarmingssystemen</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5A88251D" w14:textId="77777777" w:rsidR="00480F1C" w:rsidRDefault="00A201F6">
            <w:pPr>
              <w:pStyle w:val="P68B1DB1-Normal46"/>
              <w:spacing w:line="240" w:lineRule="auto"/>
              <w:jc w:val="center"/>
              <w:rPr>
                <w:rFonts w:eastAsia="Times New Roman" w:cs="Times New Roman"/>
                <w:noProof/>
              </w:rPr>
            </w:pPr>
            <w:r>
              <w:rPr>
                <w:noProof/>
              </w:rPr>
              <w:t>Doel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3404AB51" w14:textId="77777777" w:rsidR="00480F1C" w:rsidRDefault="00A201F6">
            <w:pPr>
              <w:pStyle w:val="P68B1DB1-Normal46"/>
              <w:spacing w:line="240" w:lineRule="auto"/>
              <w:rPr>
                <w:rFonts w:eastAsia="Times New Roman" w:cs="Times New Roman"/>
                <w:noProof/>
              </w:rPr>
            </w:pPr>
            <w:r>
              <w:rPr>
                <w:noProof/>
              </w:rPr>
              <w:t>T1 — Warmtebronnen in stadsverwarmingssystemen</w:t>
            </w:r>
          </w:p>
        </w:tc>
      </w:tr>
      <w:tr w:rsidR="00480F1C" w14:paraId="5C7F6CDD"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07DE8BAA" w14:textId="77777777" w:rsidR="00480F1C" w:rsidRDefault="00A201F6">
            <w:pPr>
              <w:pStyle w:val="P68B1DB1-Normal46"/>
              <w:spacing w:line="240" w:lineRule="auto"/>
              <w:jc w:val="center"/>
              <w:rPr>
                <w:rFonts w:eastAsia="Times New Roman" w:cs="Times New Roman"/>
                <w:noProof/>
              </w:rPr>
            </w:pPr>
            <w:r>
              <w:rPr>
                <w:noProof/>
              </w:rPr>
              <w:t>C4G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7FA0A1F7" w14:textId="77777777" w:rsidR="00480F1C" w:rsidRDefault="00A201F6">
            <w:pPr>
              <w:pStyle w:val="P68B1DB1-Normal46"/>
              <w:spacing w:line="240" w:lineRule="auto"/>
              <w:rPr>
                <w:rFonts w:eastAsia="Times New Roman" w:cs="Times New Roman"/>
                <w:noProof/>
              </w:rPr>
            </w:pPr>
            <w:r>
              <w:rPr>
                <w:noProof/>
              </w:rPr>
              <w:t>C1.1.1 Zorgen voor toegang tot zeer snel internet in witte spots</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50727D30" w14:textId="77777777" w:rsidR="00480F1C" w:rsidRDefault="00A201F6">
            <w:pPr>
              <w:pStyle w:val="P68B1DB1-Normal46"/>
              <w:spacing w:line="240" w:lineRule="auto"/>
              <w:jc w:val="center"/>
              <w:rPr>
                <w:rFonts w:eastAsia="Times New Roman" w:cs="Times New Roman"/>
                <w:noProof/>
              </w:rPr>
            </w:pPr>
            <w:r>
              <w:rPr>
                <w:noProof/>
              </w:rPr>
              <w:t>Doel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53396909" w14:textId="77777777" w:rsidR="00480F1C" w:rsidRDefault="00A201F6">
            <w:pPr>
              <w:pStyle w:val="P68B1DB1-Normal46"/>
              <w:spacing w:line="240" w:lineRule="auto"/>
              <w:rPr>
                <w:rFonts w:eastAsia="Times New Roman" w:cs="Times New Roman"/>
                <w:noProof/>
              </w:rPr>
            </w:pPr>
            <w:r>
              <w:rPr>
                <w:noProof/>
              </w:rPr>
              <w:t>T1 — Bijkomende huishoudens (woningen) met breedbandinternettoegang met een capaciteit van ten minste 100 Mb/s (met de mogelijkheid om dit te verhogen tot gigabitcapaciteit)</w:t>
            </w:r>
          </w:p>
        </w:tc>
      </w:tr>
      <w:tr w:rsidR="00480F1C" w14:paraId="59A37C02"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1F803806" w14:textId="77777777" w:rsidR="00480F1C" w:rsidRDefault="00A201F6">
            <w:pPr>
              <w:pStyle w:val="P68B1DB1-Normal46"/>
              <w:spacing w:line="240" w:lineRule="auto"/>
              <w:jc w:val="center"/>
              <w:rPr>
                <w:rFonts w:eastAsia="Times New Roman" w:cs="Times New Roman"/>
                <w:noProof/>
              </w:rPr>
            </w:pPr>
            <w:r>
              <w:rPr>
                <w:noProof/>
              </w:rPr>
              <w:t>C19G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14F1FA93" w14:textId="77777777" w:rsidR="00480F1C" w:rsidRDefault="00A201F6">
            <w:pPr>
              <w:pStyle w:val="P68B1DB1-Normal46"/>
              <w:spacing w:line="240" w:lineRule="auto"/>
              <w:rPr>
                <w:rFonts w:eastAsia="Times New Roman" w:cs="Times New Roman"/>
                <w:noProof/>
              </w:rPr>
            </w:pPr>
            <w:r>
              <w:rPr>
                <w:noProof/>
              </w:rPr>
              <w:t>C2.1.3 e-competenties</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22269C51" w14:textId="77777777" w:rsidR="00480F1C" w:rsidRDefault="00A201F6">
            <w:pPr>
              <w:pStyle w:val="P68B1DB1-Normal46"/>
              <w:spacing w:line="240" w:lineRule="auto"/>
              <w:jc w:val="center"/>
              <w:rPr>
                <w:rFonts w:eastAsia="Times New Roman" w:cs="Times New Roman"/>
                <w:noProof/>
              </w:rPr>
            </w:pPr>
            <w:r>
              <w:rPr>
                <w:noProof/>
              </w:rPr>
              <w:t>Doel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3E478AC5" w14:textId="77777777" w:rsidR="00480F1C" w:rsidRDefault="00A201F6">
            <w:pPr>
              <w:pStyle w:val="P68B1DB1-Normal46"/>
              <w:spacing w:line="240" w:lineRule="auto"/>
              <w:rPr>
                <w:rFonts w:eastAsia="Times New Roman" w:cs="Times New Roman"/>
                <w:noProof/>
              </w:rPr>
            </w:pPr>
            <w:r>
              <w:rPr>
                <w:noProof/>
              </w:rPr>
              <w:t>T1 — Aanvullende mensen die zijn opgeleid in digitale vaardigheden, met inbegrip van digitale geletterdheid</w:t>
            </w:r>
          </w:p>
        </w:tc>
      </w:tr>
      <w:tr w:rsidR="00480F1C" w14:paraId="5AF99ADB"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6FD94DC3" w14:textId="77777777" w:rsidR="00480F1C" w:rsidRDefault="00A201F6">
            <w:pPr>
              <w:pStyle w:val="P68B1DB1-Normal46"/>
              <w:spacing w:line="240" w:lineRule="auto"/>
              <w:jc w:val="center"/>
              <w:rPr>
                <w:rFonts w:eastAsia="Times New Roman" w:cs="Times New Roman"/>
                <w:noProof/>
              </w:rPr>
            </w:pPr>
            <w:r>
              <w:rPr>
                <w:noProof/>
              </w:rPr>
              <w:t>C24G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7E892766" w14:textId="77777777" w:rsidR="00480F1C" w:rsidRDefault="00A201F6">
            <w:pPr>
              <w:pStyle w:val="P68B1DB1-Normal46"/>
              <w:spacing w:line="240" w:lineRule="auto"/>
              <w:rPr>
                <w:rFonts w:eastAsia="Times New Roman" w:cs="Times New Roman"/>
                <w:noProof/>
              </w:rPr>
            </w:pPr>
            <w:r>
              <w:rPr>
                <w:noProof/>
              </w:rPr>
              <w:t>C3.1.1 CyberPL, infrastructuur voor gegevensverwerking en optimalisering van de infrastructuur van rechtshandhavingsdiensten</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6EB9741B" w14:textId="77777777" w:rsidR="00480F1C" w:rsidRDefault="00A201F6">
            <w:pPr>
              <w:pStyle w:val="P68B1DB1-Normal46"/>
              <w:spacing w:line="240" w:lineRule="auto"/>
              <w:jc w:val="center"/>
              <w:rPr>
                <w:rFonts w:eastAsia="Times New Roman" w:cs="Times New Roman"/>
                <w:noProof/>
              </w:rPr>
            </w:pPr>
            <w:r>
              <w:rPr>
                <w:noProof/>
              </w:rPr>
              <w:t>Mijlpaal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5BA819FB" w14:textId="77777777" w:rsidR="00480F1C" w:rsidRDefault="00A201F6">
            <w:pPr>
              <w:pStyle w:val="P68B1DB1-Normal46"/>
              <w:spacing w:line="240" w:lineRule="auto"/>
              <w:rPr>
                <w:rFonts w:eastAsia="Times New Roman" w:cs="Times New Roman"/>
                <w:noProof/>
              </w:rPr>
            </w:pPr>
            <w:r>
              <w:rPr>
                <w:noProof/>
              </w:rPr>
              <w:t>Ondertekening van de contracten voor de gebouwen van de datacentrumfaciliteiten</w:t>
            </w:r>
          </w:p>
        </w:tc>
      </w:tr>
      <w:tr w:rsidR="00480F1C" w14:paraId="0A62BE0A"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34B6BA3F" w14:textId="77777777" w:rsidR="00480F1C" w:rsidRDefault="00A201F6">
            <w:pPr>
              <w:pStyle w:val="P68B1DB1-Normal46"/>
              <w:spacing w:line="240" w:lineRule="auto"/>
              <w:jc w:val="center"/>
              <w:rPr>
                <w:rFonts w:eastAsia="Times New Roman" w:cs="Times New Roman"/>
                <w:noProof/>
              </w:rPr>
            </w:pPr>
            <w:r>
              <w:rPr>
                <w:noProof/>
              </w:rPr>
              <w:t>D12G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6113D1EF" w14:textId="77777777" w:rsidR="00480F1C" w:rsidRDefault="00A201F6">
            <w:pPr>
              <w:pStyle w:val="P68B1DB1-Normal46"/>
              <w:spacing w:line="240" w:lineRule="auto"/>
              <w:rPr>
                <w:rFonts w:eastAsia="Times New Roman" w:cs="Times New Roman"/>
                <w:noProof/>
              </w:rPr>
            </w:pPr>
            <w:r>
              <w:rPr>
                <w:noProof/>
              </w:rPr>
              <w:t>D1.1.1 Ontwikkeling en modernisering van de infrastructuur van zeer gespecialiseerde zorgcentra en andere zorgaanbieders</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5069AFDD" w14:textId="77777777" w:rsidR="00480F1C" w:rsidRDefault="00A201F6">
            <w:pPr>
              <w:pStyle w:val="P68B1DB1-Normal46"/>
              <w:spacing w:line="240" w:lineRule="auto"/>
              <w:jc w:val="center"/>
              <w:rPr>
                <w:rFonts w:eastAsia="Times New Roman" w:cs="Times New Roman"/>
                <w:noProof/>
              </w:rPr>
            </w:pPr>
            <w:r>
              <w:rPr>
                <w:noProof/>
              </w:rPr>
              <w:t>Doel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018C9CA9" w14:textId="77777777" w:rsidR="00480F1C" w:rsidRDefault="00A201F6">
            <w:pPr>
              <w:pStyle w:val="P68B1DB1-Normal46"/>
              <w:spacing w:line="240" w:lineRule="auto"/>
              <w:rPr>
                <w:rFonts w:eastAsia="Times New Roman" w:cs="Times New Roman"/>
                <w:noProof/>
              </w:rPr>
            </w:pPr>
            <w:r>
              <w:rPr>
                <w:noProof/>
              </w:rPr>
              <w:t>T2 — contracten tussen ziekenhuizen en het ministerie van Volksgezondheid voor de aankoop van medische uitrusting of voor investeringen in infrastructuur</w:t>
            </w:r>
          </w:p>
        </w:tc>
      </w:tr>
      <w:tr w:rsidR="00480F1C" w14:paraId="0671C9BA"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0921336B" w14:textId="77777777" w:rsidR="00480F1C" w:rsidRDefault="00A201F6">
            <w:pPr>
              <w:pStyle w:val="P68B1DB1-Normal46"/>
              <w:spacing w:line="240" w:lineRule="auto"/>
              <w:jc w:val="center"/>
              <w:rPr>
                <w:rFonts w:eastAsia="Times New Roman" w:cs="Times New Roman"/>
                <w:noProof/>
              </w:rPr>
            </w:pPr>
            <w:r>
              <w:rPr>
                <w:noProof/>
              </w:rPr>
              <w:t>E3G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59BE4E2C" w14:textId="77777777" w:rsidR="00480F1C" w:rsidRDefault="00A201F6">
            <w:pPr>
              <w:pStyle w:val="P68B1DB1-Normal46"/>
              <w:spacing w:line="240" w:lineRule="auto"/>
              <w:rPr>
                <w:rFonts w:eastAsia="Times New Roman" w:cs="Times New Roman"/>
                <w:noProof/>
              </w:rPr>
            </w:pPr>
            <w:r>
              <w:rPr>
                <w:noProof/>
              </w:rPr>
              <w:t>E1.1 Verhoging van het gebruik van milieuvriendelijk vervoer</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74C9DC50" w14:textId="77777777" w:rsidR="00480F1C" w:rsidRDefault="00A201F6">
            <w:pPr>
              <w:pStyle w:val="P68B1DB1-Normal46"/>
              <w:spacing w:line="240" w:lineRule="auto"/>
              <w:jc w:val="center"/>
              <w:rPr>
                <w:rFonts w:eastAsia="Times New Roman" w:cs="Times New Roman"/>
                <w:noProof/>
              </w:rPr>
            </w:pPr>
            <w:r>
              <w:rPr>
                <w:noProof/>
              </w:rPr>
              <w:t>Mijlpaal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7F15E7FD" w14:textId="77777777" w:rsidR="00480F1C" w:rsidRDefault="00A201F6">
            <w:pPr>
              <w:pStyle w:val="P68B1DB1-Normal46"/>
              <w:spacing w:line="240" w:lineRule="auto"/>
              <w:rPr>
                <w:rFonts w:eastAsia="Times New Roman" w:cs="Times New Roman"/>
                <w:noProof/>
              </w:rPr>
            </w:pPr>
            <w:r>
              <w:rPr>
                <w:noProof/>
              </w:rPr>
              <w:t>Inwerkingtreding van een rechtshandeling tot invoering van een registratievergoeding voor emissiegerelateerde voertuigen overeenkomstig het beginsel „de vervuiler betaalt”</w:t>
            </w:r>
          </w:p>
        </w:tc>
      </w:tr>
      <w:tr w:rsidR="00480F1C" w14:paraId="2DDEAA72"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56549EF0" w14:textId="77777777" w:rsidR="00480F1C" w:rsidRDefault="00A201F6">
            <w:pPr>
              <w:pStyle w:val="P68B1DB1-Normal46"/>
              <w:spacing w:line="240" w:lineRule="auto"/>
              <w:jc w:val="center"/>
              <w:rPr>
                <w:rFonts w:eastAsia="Times New Roman" w:cs="Times New Roman"/>
                <w:noProof/>
              </w:rPr>
            </w:pPr>
            <w:r>
              <w:rPr>
                <w:noProof/>
              </w:rPr>
              <w:t>E6G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07624A23" w14:textId="77777777" w:rsidR="00480F1C" w:rsidRDefault="00A201F6">
            <w:pPr>
              <w:pStyle w:val="P68B1DB1-Normal46"/>
              <w:spacing w:line="240" w:lineRule="auto"/>
              <w:rPr>
                <w:rFonts w:eastAsia="Times New Roman" w:cs="Times New Roman"/>
                <w:noProof/>
              </w:rPr>
            </w:pPr>
            <w:r>
              <w:rPr>
                <w:noProof/>
              </w:rPr>
              <w:t>E1.1 Verhoging van het gebruik van milieuvriendelijk vervoer</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60C2D83C" w14:textId="77777777" w:rsidR="00480F1C" w:rsidRDefault="00A201F6">
            <w:pPr>
              <w:pStyle w:val="P68B1DB1-Normal46"/>
              <w:spacing w:line="240" w:lineRule="auto"/>
              <w:jc w:val="center"/>
              <w:rPr>
                <w:rFonts w:eastAsia="Times New Roman" w:cs="Times New Roman"/>
                <w:noProof/>
              </w:rPr>
            </w:pPr>
            <w:r>
              <w:rPr>
                <w:noProof/>
              </w:rPr>
              <w:t>Doel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2DEE667E" w14:textId="77777777" w:rsidR="00480F1C" w:rsidRDefault="00A201F6">
            <w:pPr>
              <w:pStyle w:val="P68B1DB1-Normal46"/>
              <w:spacing w:line="240" w:lineRule="auto"/>
              <w:rPr>
                <w:rFonts w:eastAsia="Times New Roman" w:cs="Times New Roman"/>
                <w:noProof/>
              </w:rPr>
            </w:pPr>
            <w:r>
              <w:rPr>
                <w:noProof/>
              </w:rPr>
              <w:t>Buslijnen met steun van het fonds voor openbaar vervoer</w:t>
            </w:r>
          </w:p>
        </w:tc>
      </w:tr>
      <w:tr w:rsidR="00480F1C" w14:paraId="30352E59"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523D9381" w14:textId="77777777" w:rsidR="00480F1C" w:rsidRDefault="00A201F6">
            <w:pPr>
              <w:pStyle w:val="P68B1DB1-Normal46"/>
              <w:spacing w:line="240" w:lineRule="auto"/>
              <w:jc w:val="center"/>
              <w:rPr>
                <w:rFonts w:eastAsia="Times New Roman" w:cs="Times New Roman"/>
                <w:noProof/>
              </w:rPr>
            </w:pPr>
            <w:r>
              <w:rPr>
                <w:noProof/>
              </w:rPr>
              <w:t>E13G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1F50AFA1" w14:textId="77777777" w:rsidR="00480F1C" w:rsidRDefault="00A201F6">
            <w:pPr>
              <w:pStyle w:val="P68B1DB1-Normal46"/>
              <w:spacing w:line="240" w:lineRule="auto"/>
              <w:rPr>
                <w:rFonts w:eastAsia="Times New Roman" w:cs="Times New Roman"/>
                <w:noProof/>
              </w:rPr>
            </w:pPr>
            <w:r>
              <w:rPr>
                <w:noProof/>
              </w:rPr>
              <w:t>E1.1.2 Zero en emissiearm collectief vervoer (bussen)</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756E7F50" w14:textId="77777777" w:rsidR="00480F1C" w:rsidRDefault="00A201F6">
            <w:pPr>
              <w:pStyle w:val="P68B1DB1-Normal46"/>
              <w:spacing w:line="240" w:lineRule="auto"/>
              <w:jc w:val="center"/>
              <w:rPr>
                <w:rFonts w:eastAsia="Times New Roman" w:cs="Times New Roman"/>
                <w:noProof/>
              </w:rPr>
            </w:pPr>
            <w:r>
              <w:rPr>
                <w:noProof/>
              </w:rPr>
              <w:t>Mijlpaal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2B17195F" w14:textId="77777777" w:rsidR="00480F1C" w:rsidRDefault="00A201F6">
            <w:pPr>
              <w:pStyle w:val="P68B1DB1-Normal46"/>
              <w:spacing w:line="240" w:lineRule="auto"/>
              <w:rPr>
                <w:rFonts w:eastAsia="Times New Roman" w:cs="Times New Roman"/>
                <w:noProof/>
              </w:rPr>
            </w:pPr>
            <w:r>
              <w:rPr>
                <w:noProof/>
              </w:rPr>
              <w:t>Emissievrije en emissiearme voertuigen: selectie van begunstigden</w:t>
            </w:r>
          </w:p>
        </w:tc>
      </w:tr>
      <w:tr w:rsidR="00480F1C" w14:paraId="2F041BE2"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033FE833" w14:textId="77777777" w:rsidR="00480F1C" w:rsidRDefault="00A201F6">
            <w:pPr>
              <w:pStyle w:val="P68B1DB1-Normal46"/>
              <w:spacing w:line="240" w:lineRule="auto"/>
              <w:jc w:val="center"/>
              <w:rPr>
                <w:rFonts w:eastAsia="Times New Roman" w:cs="Times New Roman"/>
                <w:noProof/>
              </w:rPr>
            </w:pPr>
            <w:r>
              <w:rPr>
                <w:noProof/>
              </w:rPr>
              <w:t>E17G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45BB942A" w14:textId="77777777" w:rsidR="00480F1C" w:rsidRDefault="00A201F6">
            <w:pPr>
              <w:pStyle w:val="P68B1DB1-Normal46"/>
              <w:spacing w:line="240" w:lineRule="auto"/>
              <w:rPr>
                <w:rFonts w:eastAsia="Times New Roman" w:cs="Times New Roman"/>
                <w:noProof/>
              </w:rPr>
            </w:pPr>
            <w:r>
              <w:rPr>
                <w:noProof/>
              </w:rPr>
              <w:t>E2.1.1 spoorlijnen</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482FEC79" w14:textId="77777777" w:rsidR="00480F1C" w:rsidRDefault="00A201F6">
            <w:pPr>
              <w:pStyle w:val="P68B1DB1-Normal46"/>
              <w:spacing w:line="240" w:lineRule="auto"/>
              <w:jc w:val="center"/>
              <w:rPr>
                <w:rFonts w:eastAsia="Times New Roman" w:cs="Times New Roman"/>
                <w:noProof/>
              </w:rPr>
            </w:pPr>
            <w:r>
              <w:rPr>
                <w:noProof/>
              </w:rPr>
              <w:t>Mijlpaal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718FA6EF" w14:textId="77777777" w:rsidR="00480F1C" w:rsidRDefault="00A201F6">
            <w:pPr>
              <w:pStyle w:val="P68B1DB1-Normal46"/>
              <w:spacing w:line="240" w:lineRule="auto"/>
              <w:rPr>
                <w:rFonts w:eastAsia="Times New Roman" w:cs="Times New Roman"/>
                <w:noProof/>
              </w:rPr>
            </w:pPr>
            <w:r>
              <w:rPr>
                <w:noProof/>
              </w:rPr>
              <w:t>Ondertekening van contracten na openbare en openbare aanbestedingen</w:t>
            </w:r>
          </w:p>
        </w:tc>
      </w:tr>
      <w:tr w:rsidR="00480F1C" w14:paraId="6E948FA7"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4BAE66B9" w14:textId="77777777" w:rsidR="00480F1C" w:rsidRDefault="00A201F6">
            <w:pPr>
              <w:pStyle w:val="P68B1DB1-Normal46"/>
              <w:spacing w:line="240" w:lineRule="auto"/>
              <w:jc w:val="center"/>
              <w:rPr>
                <w:rFonts w:eastAsia="Times New Roman" w:cs="Times New Roman"/>
                <w:noProof/>
              </w:rPr>
            </w:pPr>
            <w:r>
              <w:rPr>
                <w:noProof/>
              </w:rPr>
              <w:t>E21G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7CA794D4" w14:textId="77777777" w:rsidR="00480F1C" w:rsidRDefault="00A201F6">
            <w:pPr>
              <w:pStyle w:val="P68B1DB1-Normal46"/>
              <w:spacing w:line="240" w:lineRule="auto"/>
              <w:rPr>
                <w:rFonts w:eastAsia="Times New Roman" w:cs="Times New Roman"/>
                <w:noProof/>
              </w:rPr>
            </w:pPr>
            <w:r>
              <w:rPr>
                <w:noProof/>
              </w:rPr>
              <w:t>E2.1.3 Intermodale projecten</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4405901D" w14:textId="77777777" w:rsidR="00480F1C" w:rsidRDefault="00A201F6">
            <w:pPr>
              <w:pStyle w:val="P68B1DB1-Normal46"/>
              <w:spacing w:line="240" w:lineRule="auto"/>
              <w:jc w:val="center"/>
              <w:rPr>
                <w:rFonts w:eastAsia="Times New Roman" w:cs="Times New Roman"/>
                <w:noProof/>
              </w:rPr>
            </w:pPr>
            <w:r>
              <w:rPr>
                <w:noProof/>
              </w:rPr>
              <w:t>Mijlpaal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24766F32" w14:textId="77777777" w:rsidR="00480F1C" w:rsidRDefault="00A201F6">
            <w:pPr>
              <w:pStyle w:val="P68B1DB1-Normal46"/>
              <w:spacing w:line="240" w:lineRule="auto"/>
              <w:rPr>
                <w:rFonts w:eastAsia="Times New Roman" w:cs="Times New Roman"/>
                <w:noProof/>
              </w:rPr>
            </w:pPr>
            <w:r>
              <w:rPr>
                <w:noProof/>
              </w:rPr>
              <w:t>Ondertekening van contracten voor intermodale vervoersprojecten</w:t>
            </w:r>
          </w:p>
        </w:tc>
      </w:tr>
      <w:tr w:rsidR="00480F1C" w14:paraId="2FBFEC5C"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5457E63D" w14:textId="77777777" w:rsidR="00480F1C" w:rsidRDefault="00A201F6">
            <w:pPr>
              <w:pStyle w:val="P68B1DB1-Normal46"/>
              <w:spacing w:line="240" w:lineRule="auto"/>
              <w:jc w:val="center"/>
              <w:rPr>
                <w:noProof/>
              </w:rPr>
            </w:pPr>
            <w:r>
              <w:rPr>
                <w:noProof/>
              </w:rPr>
              <w:t>G1G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4B2893A4" w14:textId="77777777" w:rsidR="00480F1C" w:rsidRDefault="00A201F6">
            <w:pPr>
              <w:pStyle w:val="P68B1DB1-Normal46"/>
              <w:spacing w:line="240" w:lineRule="auto"/>
              <w:rPr>
                <w:noProof/>
              </w:rPr>
            </w:pPr>
            <w:r>
              <w:rPr>
                <w:noProof/>
              </w:rPr>
              <w:t xml:space="preserve">G1.1.1 Bevordering van de ontwikkeling van lokale energiegemeenschappen  </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6EB4E07A" w14:textId="77777777" w:rsidR="00480F1C" w:rsidRDefault="00A201F6">
            <w:pPr>
              <w:pStyle w:val="P68B1DB1-Normal46"/>
              <w:spacing w:line="240" w:lineRule="auto"/>
              <w:jc w:val="center"/>
              <w:rPr>
                <w:noProof/>
              </w:rPr>
            </w:pPr>
            <w:r>
              <w:rPr>
                <w:noProof/>
              </w:rPr>
              <w:t>Mijlpaal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2C14A9B9" w14:textId="77777777" w:rsidR="00480F1C" w:rsidRDefault="00A201F6">
            <w:pPr>
              <w:pStyle w:val="P68B1DB1-Normal46"/>
              <w:spacing w:line="240" w:lineRule="auto"/>
              <w:rPr>
                <w:noProof/>
              </w:rPr>
            </w:pPr>
            <w:r>
              <w:rPr>
                <w:noProof/>
              </w:rPr>
              <w:t xml:space="preserve">Analyse van de belemmeringen voor de ontwikkeling van energiegemeenschappen en energiecoöperaties die in de loop van het steunprogramma vóór de investering zijn vastgesteld  </w:t>
            </w:r>
          </w:p>
        </w:tc>
      </w:tr>
      <w:tr w:rsidR="00480F1C" w14:paraId="005B0C9B"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70DB4A34" w14:textId="77777777" w:rsidR="00480F1C" w:rsidRDefault="00A201F6">
            <w:pPr>
              <w:pStyle w:val="P68B1DB1-Normal46"/>
              <w:spacing w:line="240" w:lineRule="auto"/>
              <w:jc w:val="center"/>
              <w:rPr>
                <w:noProof/>
              </w:rPr>
            </w:pPr>
            <w:r>
              <w:rPr>
                <w:noProof/>
              </w:rPr>
              <w:t>G7G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27BAA35B" w14:textId="77777777" w:rsidR="00480F1C" w:rsidRDefault="00A201F6">
            <w:pPr>
              <w:pStyle w:val="P68B1DB1-Normal46"/>
              <w:spacing w:line="240" w:lineRule="auto"/>
              <w:rPr>
                <w:noProof/>
              </w:rPr>
            </w:pPr>
            <w:r>
              <w:rPr>
                <w:noProof/>
              </w:rPr>
              <w:t>G1.1.4 Steun voor instellingen die REPowerEU-hervormingen en -investeringen uitvoeren</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3E199447" w14:textId="77777777" w:rsidR="00480F1C" w:rsidRDefault="00A201F6">
            <w:pPr>
              <w:pStyle w:val="P68B1DB1-Normal46"/>
              <w:spacing w:line="240" w:lineRule="auto"/>
              <w:jc w:val="center"/>
              <w:rPr>
                <w:noProof/>
              </w:rPr>
            </w:pPr>
            <w:r>
              <w:rPr>
                <w:noProof/>
              </w:rPr>
              <w:t>Doel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765A46CD" w14:textId="77777777" w:rsidR="00480F1C" w:rsidRDefault="00A201F6">
            <w:pPr>
              <w:pStyle w:val="P68B1DB1-Normal46"/>
              <w:spacing w:line="240" w:lineRule="auto"/>
              <w:rPr>
                <w:noProof/>
              </w:rPr>
            </w:pPr>
            <w:r>
              <w:rPr>
                <w:noProof/>
              </w:rPr>
              <w:t>Vergroting van de administratieve capaciteit om REPowerEU-hervormingen en -investeringen uit te voeren</w:t>
            </w:r>
          </w:p>
        </w:tc>
      </w:tr>
      <w:tr w:rsidR="00480F1C" w14:paraId="29291E1A"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3FFF399A" w14:textId="77777777" w:rsidR="00480F1C" w:rsidRDefault="00A201F6">
            <w:pPr>
              <w:pStyle w:val="P68B1DB1-Normal46"/>
              <w:spacing w:line="240" w:lineRule="auto"/>
              <w:jc w:val="center"/>
              <w:rPr>
                <w:noProof/>
              </w:rPr>
            </w:pPr>
            <w:r>
              <w:rPr>
                <w:noProof/>
              </w:rPr>
              <w:t>G12G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3D5191A1" w14:textId="77777777" w:rsidR="00480F1C" w:rsidRDefault="00A201F6">
            <w:pPr>
              <w:pStyle w:val="P68B1DB1-Normal46"/>
              <w:spacing w:line="240" w:lineRule="auto"/>
              <w:rPr>
                <w:noProof/>
              </w:rPr>
            </w:pPr>
            <w:r>
              <w:rPr>
                <w:noProof/>
              </w:rPr>
              <w:t>G1.2.1 Regelgevingsoplossingen voor een versnelde integratie van hernieuwbare energie in distributienetten</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7D4C96B1" w14:textId="77777777" w:rsidR="00480F1C" w:rsidRDefault="00A201F6">
            <w:pPr>
              <w:pStyle w:val="P68B1DB1-Normal46"/>
              <w:spacing w:line="240" w:lineRule="auto"/>
              <w:jc w:val="center"/>
              <w:rPr>
                <w:noProof/>
              </w:rPr>
            </w:pPr>
            <w:r>
              <w:rPr>
                <w:noProof/>
              </w:rPr>
              <w:t>Mijlpaal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7E3DEFE5" w14:textId="77777777" w:rsidR="00480F1C" w:rsidRDefault="00A201F6">
            <w:pPr>
              <w:pStyle w:val="P68B1DB1-Normal46"/>
              <w:spacing w:line="240" w:lineRule="auto"/>
              <w:rPr>
                <w:noProof/>
              </w:rPr>
            </w:pPr>
            <w:r>
              <w:rPr>
                <w:noProof/>
              </w:rPr>
              <w:t>Goedkeuring van het nieuwe regelgevingsmodel door de voorzitter van het Bureau voor energieregelgeving</w:t>
            </w:r>
          </w:p>
        </w:tc>
      </w:tr>
      <w:tr w:rsidR="00480F1C" w14:paraId="3CF1FD38"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2974934E" w14:textId="77777777" w:rsidR="00480F1C" w:rsidRDefault="00A201F6">
            <w:pPr>
              <w:pStyle w:val="P68B1DB1-Normal46"/>
              <w:spacing w:line="240" w:lineRule="auto"/>
              <w:jc w:val="center"/>
              <w:rPr>
                <w:noProof/>
              </w:rPr>
            </w:pPr>
            <w:r>
              <w:rPr>
                <w:noProof/>
              </w:rPr>
              <w:t>G15G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7843D23A" w14:textId="77777777" w:rsidR="00480F1C" w:rsidRDefault="00A201F6">
            <w:pPr>
              <w:pStyle w:val="P68B1DB1-Normal46"/>
              <w:spacing w:line="240" w:lineRule="auto"/>
              <w:rPr>
                <w:noProof/>
              </w:rPr>
            </w:pPr>
            <w:r>
              <w:rPr>
                <w:noProof/>
              </w:rPr>
              <w:t>G1.2.3 Ontwikkeling van transmissienetwerken, slimme elektriciteitsinfrastructuur</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5CE4F26E" w14:textId="77777777" w:rsidR="00480F1C" w:rsidRDefault="00A201F6">
            <w:pPr>
              <w:pStyle w:val="P68B1DB1-Normal46"/>
              <w:spacing w:line="240" w:lineRule="auto"/>
              <w:jc w:val="center"/>
              <w:rPr>
                <w:noProof/>
              </w:rPr>
            </w:pPr>
            <w:r>
              <w:rPr>
                <w:noProof/>
              </w:rPr>
              <w:t>Doel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56354D70" w14:textId="77777777" w:rsidR="00480F1C" w:rsidRDefault="00A201F6">
            <w:pPr>
              <w:pStyle w:val="P68B1DB1-Normal46"/>
              <w:spacing w:after="0" w:line="240" w:lineRule="auto"/>
              <w:rPr>
                <w:rFonts w:eastAsia="Times New Roman" w:cs="Times New Roman"/>
                <w:noProof/>
              </w:rPr>
            </w:pPr>
            <w:r>
              <w:rPr>
                <w:noProof/>
              </w:rPr>
              <w:t xml:space="preserve">Lengte van het nieuwe </w:t>
            </w:r>
          </w:p>
          <w:p w14:paraId="55E8959B" w14:textId="77777777" w:rsidR="00480F1C" w:rsidRDefault="00A201F6">
            <w:pPr>
              <w:pStyle w:val="P68B1DB1-Normal46"/>
              <w:spacing w:after="0" w:line="240" w:lineRule="auto"/>
              <w:rPr>
                <w:rFonts w:eastAsia="Times New Roman" w:cs="Times New Roman"/>
                <w:noProof/>
              </w:rPr>
            </w:pPr>
            <w:r>
              <w:rPr>
                <w:noProof/>
              </w:rPr>
              <w:t xml:space="preserve">gebouwd of gemoderniseerd </w:t>
            </w:r>
          </w:p>
          <w:p w14:paraId="56C045EE" w14:textId="77777777" w:rsidR="00480F1C" w:rsidRDefault="00A201F6">
            <w:pPr>
              <w:pStyle w:val="P68B1DB1-Normal46"/>
              <w:spacing w:after="0" w:line="240" w:lineRule="auto"/>
              <w:rPr>
                <w:rFonts w:eastAsia="Times New Roman" w:cs="Times New Roman"/>
                <w:noProof/>
              </w:rPr>
            </w:pPr>
            <w:r>
              <w:rPr>
                <w:noProof/>
              </w:rPr>
              <w:t xml:space="preserve">elektriciteitsverbindingen </w:t>
            </w:r>
          </w:p>
          <w:p w14:paraId="2947A782" w14:textId="77777777" w:rsidR="00480F1C" w:rsidRDefault="00A201F6">
            <w:pPr>
              <w:pStyle w:val="P68B1DB1-Normal46"/>
              <w:spacing w:line="240" w:lineRule="auto"/>
              <w:rPr>
                <w:noProof/>
              </w:rPr>
            </w:pPr>
            <w:r>
              <w:rPr>
                <w:noProof/>
              </w:rPr>
              <w:t>netwerk (km)</w:t>
            </w:r>
          </w:p>
        </w:tc>
      </w:tr>
      <w:tr w:rsidR="00480F1C" w14:paraId="0F4633E9"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2A8C22C3" w14:textId="77777777" w:rsidR="00480F1C" w:rsidRDefault="00A201F6">
            <w:pPr>
              <w:pStyle w:val="P68B1DB1-Normal46"/>
              <w:spacing w:line="240" w:lineRule="auto"/>
              <w:jc w:val="center"/>
              <w:rPr>
                <w:noProof/>
              </w:rPr>
            </w:pPr>
            <w:r>
              <w:rPr>
                <w:noProof/>
              </w:rPr>
              <w:t>G18G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5D1E6F60" w14:textId="77777777" w:rsidR="00480F1C" w:rsidRDefault="00A201F6">
            <w:pPr>
              <w:pStyle w:val="P68B1DB1-Normal46"/>
              <w:spacing w:line="240" w:lineRule="auto"/>
              <w:rPr>
                <w:noProof/>
              </w:rPr>
            </w:pPr>
            <w:r>
              <w:rPr>
                <w:noProof/>
              </w:rPr>
              <w:t>G1.2.3 Ontwikkeling van transmissienetwerken, slimme elektriciteitsinfrastructuur</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73A39C39" w14:textId="77777777" w:rsidR="00480F1C" w:rsidRDefault="00A201F6">
            <w:pPr>
              <w:pStyle w:val="P68B1DB1-Normal46"/>
              <w:spacing w:line="240" w:lineRule="auto"/>
              <w:jc w:val="center"/>
              <w:rPr>
                <w:noProof/>
              </w:rPr>
            </w:pPr>
            <w:r>
              <w:rPr>
                <w:noProof/>
              </w:rPr>
              <w:t>Mijlpaal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66AD3B8E" w14:textId="77777777" w:rsidR="00480F1C" w:rsidRDefault="00A201F6">
            <w:pPr>
              <w:pStyle w:val="P68B1DB1-Normal46"/>
              <w:spacing w:after="0" w:line="240" w:lineRule="auto"/>
              <w:rPr>
                <w:rFonts w:eastAsia="Times New Roman" w:cs="Times New Roman"/>
                <w:noProof/>
              </w:rPr>
            </w:pPr>
            <w:r>
              <w:rPr>
                <w:noProof/>
              </w:rPr>
              <w:t>Subsidieovereenkomsten</w:t>
            </w:r>
          </w:p>
          <w:p w14:paraId="1ED29260" w14:textId="77777777" w:rsidR="00480F1C" w:rsidRDefault="00A201F6">
            <w:pPr>
              <w:pStyle w:val="P68B1DB1-Normal46"/>
              <w:spacing w:line="240" w:lineRule="auto"/>
              <w:rPr>
                <w:noProof/>
              </w:rPr>
            </w:pPr>
            <w:r>
              <w:rPr>
                <w:noProof/>
              </w:rPr>
              <w:t>tussen de transmissiesysteembeheerder (TSB) en de autoriteiten over de tenuitvoerlegging en ondersteuning van transmissienetwerken</w:t>
            </w:r>
          </w:p>
        </w:tc>
      </w:tr>
      <w:tr w:rsidR="00480F1C" w14:paraId="287B16C7"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13422C9E" w14:textId="77777777" w:rsidR="00480F1C" w:rsidRDefault="00A201F6">
            <w:pPr>
              <w:pStyle w:val="P68B1DB1-Normal46"/>
              <w:spacing w:line="240" w:lineRule="auto"/>
              <w:jc w:val="center"/>
              <w:rPr>
                <w:noProof/>
              </w:rPr>
            </w:pPr>
            <w:r>
              <w:rPr>
                <w:noProof/>
              </w:rPr>
              <w:t>G23G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6CB65B00" w14:textId="77777777" w:rsidR="00480F1C" w:rsidRDefault="00A201F6">
            <w:pPr>
              <w:pStyle w:val="P68B1DB1-Normal46"/>
              <w:spacing w:line="240" w:lineRule="auto"/>
              <w:rPr>
                <w:noProof/>
              </w:rPr>
            </w:pPr>
            <w:r>
              <w:rPr>
                <w:noProof/>
              </w:rPr>
              <w:t>G1.2.4 Bouw of modernisering van elektriciteitsdistributienetwerken in plattelandsgebieden om de aansluiting van nieuwe hernieuwbare energiebronnen mogelijk te maken</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2ACDF248" w14:textId="77777777" w:rsidR="00480F1C" w:rsidRDefault="00A201F6">
            <w:pPr>
              <w:pStyle w:val="P68B1DB1-Normal46"/>
              <w:spacing w:line="240" w:lineRule="auto"/>
              <w:jc w:val="center"/>
              <w:rPr>
                <w:noProof/>
              </w:rPr>
            </w:pPr>
            <w:r>
              <w:rPr>
                <w:noProof/>
              </w:rPr>
              <w:t>Mijlpaal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39D4818F" w14:textId="77777777" w:rsidR="00480F1C" w:rsidRDefault="00A201F6">
            <w:pPr>
              <w:pStyle w:val="P68B1DB1-Normal46"/>
              <w:spacing w:line="240" w:lineRule="auto"/>
              <w:rPr>
                <w:noProof/>
              </w:rPr>
            </w:pPr>
            <w:r>
              <w:rPr>
                <w:noProof/>
              </w:rPr>
              <w:t xml:space="preserve">Identificatie en omschrijving van projecten </w:t>
            </w:r>
          </w:p>
        </w:tc>
      </w:tr>
      <w:tr w:rsidR="00480F1C" w14:paraId="2EFA7C82"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tcPr>
          <w:p w14:paraId="1525A33E" w14:textId="77777777" w:rsidR="00480F1C" w:rsidRDefault="00A201F6">
            <w:pPr>
              <w:pStyle w:val="P68B1DB1-Normal46"/>
              <w:spacing w:line="240" w:lineRule="auto"/>
              <w:jc w:val="center"/>
              <w:rPr>
                <w:noProof/>
              </w:rPr>
            </w:pPr>
            <w:r>
              <w:rPr>
                <w:noProof/>
              </w:rPr>
              <w:t>G26G</w:t>
            </w:r>
          </w:p>
        </w:tc>
        <w:tc>
          <w:tcPr>
            <w:tcW w:w="3827" w:type="dxa"/>
            <w:tcBorders>
              <w:top w:val="single" w:sz="6" w:space="0" w:color="auto"/>
              <w:left w:val="single" w:sz="6" w:space="0" w:color="auto"/>
              <w:bottom w:val="single" w:sz="6" w:space="0" w:color="auto"/>
              <w:right w:val="single" w:sz="6" w:space="0" w:color="auto"/>
            </w:tcBorders>
            <w:shd w:val="clear" w:color="auto" w:fill="C6EFCE"/>
          </w:tcPr>
          <w:p w14:paraId="5FF437EB" w14:textId="77777777" w:rsidR="00480F1C" w:rsidRDefault="00A201F6">
            <w:pPr>
              <w:pStyle w:val="P68B1DB1-Normal46"/>
              <w:spacing w:line="240" w:lineRule="auto"/>
              <w:rPr>
                <w:noProof/>
              </w:rPr>
            </w:pPr>
            <w:r>
              <w:rPr>
                <w:noProof/>
              </w:rPr>
              <w:t>G1.3.2 Grootemissievrij collectief vervoer (bussen)</w:t>
            </w:r>
          </w:p>
        </w:tc>
        <w:tc>
          <w:tcPr>
            <w:tcW w:w="1276" w:type="dxa"/>
            <w:tcBorders>
              <w:top w:val="single" w:sz="6" w:space="0" w:color="auto"/>
              <w:left w:val="single" w:sz="6" w:space="0" w:color="auto"/>
              <w:bottom w:val="single" w:sz="6" w:space="0" w:color="auto"/>
              <w:right w:val="single" w:sz="6" w:space="0" w:color="auto"/>
            </w:tcBorders>
            <w:shd w:val="clear" w:color="auto" w:fill="C6EFCE"/>
          </w:tcPr>
          <w:p w14:paraId="37122DA1" w14:textId="77777777" w:rsidR="00480F1C" w:rsidRDefault="00A201F6">
            <w:pPr>
              <w:pStyle w:val="P68B1DB1-Normal46"/>
              <w:spacing w:line="240" w:lineRule="auto"/>
              <w:jc w:val="center"/>
              <w:rPr>
                <w:noProof/>
              </w:rPr>
            </w:pPr>
            <w:r>
              <w:rPr>
                <w:noProof/>
              </w:rPr>
              <w:t>Mijlpaal</w:t>
            </w:r>
          </w:p>
        </w:tc>
        <w:tc>
          <w:tcPr>
            <w:tcW w:w="4054" w:type="dxa"/>
            <w:tcBorders>
              <w:top w:val="single" w:sz="6" w:space="0" w:color="auto"/>
              <w:left w:val="single" w:sz="6" w:space="0" w:color="auto"/>
              <w:bottom w:val="single" w:sz="6" w:space="0" w:color="auto"/>
              <w:right w:val="single" w:sz="6" w:space="0" w:color="auto"/>
            </w:tcBorders>
            <w:shd w:val="clear" w:color="auto" w:fill="C6EFCE"/>
          </w:tcPr>
          <w:p w14:paraId="4F6D4B9C" w14:textId="77777777" w:rsidR="00480F1C" w:rsidRDefault="00A201F6">
            <w:pPr>
              <w:pStyle w:val="P68B1DB1-Normal46"/>
              <w:spacing w:line="240" w:lineRule="auto"/>
              <w:rPr>
                <w:noProof/>
              </w:rPr>
            </w:pPr>
            <w:r>
              <w:rPr>
                <w:noProof/>
              </w:rPr>
              <w:t>Emissievrije voertuigen voor stadsvervoer: selectie van begunstigden</w:t>
            </w:r>
          </w:p>
        </w:tc>
      </w:tr>
      <w:tr w:rsidR="00480F1C" w14:paraId="767F1B89" w14:textId="77777777">
        <w:trPr>
          <w:trHeight w:val="300"/>
        </w:trPr>
        <w:tc>
          <w:tcPr>
            <w:tcW w:w="1410" w:type="dxa"/>
            <w:tcBorders>
              <w:top w:val="single" w:sz="6" w:space="0" w:color="auto"/>
              <w:left w:val="single" w:sz="6" w:space="0" w:color="auto"/>
              <w:bottom w:val="single" w:sz="6" w:space="0" w:color="auto"/>
              <w:right w:val="single" w:sz="6" w:space="0" w:color="auto"/>
            </w:tcBorders>
            <w:shd w:val="clear" w:color="auto" w:fill="C6EFCE"/>
            <w:vAlign w:val="center"/>
          </w:tcPr>
          <w:p w14:paraId="5A876316" w14:textId="77777777" w:rsidR="00480F1C" w:rsidRDefault="00480F1C">
            <w:pPr>
              <w:spacing w:line="240" w:lineRule="auto"/>
              <w:rPr>
                <w:rFonts w:ascii="Times New Roman" w:eastAsia="Times New Roman" w:hAnsi="Times New Roman" w:cs="Times New Roman"/>
                <w:noProof/>
              </w:rPr>
            </w:pPr>
          </w:p>
        </w:tc>
        <w:tc>
          <w:tcPr>
            <w:tcW w:w="3827" w:type="dxa"/>
            <w:tcBorders>
              <w:top w:val="single" w:sz="6" w:space="0" w:color="auto"/>
              <w:left w:val="single" w:sz="6" w:space="0" w:color="auto"/>
              <w:bottom w:val="single" w:sz="6" w:space="0" w:color="auto"/>
              <w:right w:val="single" w:sz="6" w:space="0" w:color="auto"/>
            </w:tcBorders>
            <w:shd w:val="clear" w:color="auto" w:fill="C6EFCE"/>
            <w:vAlign w:val="center"/>
          </w:tcPr>
          <w:p w14:paraId="16F1375C" w14:textId="77777777" w:rsidR="00480F1C" w:rsidRDefault="00480F1C">
            <w:pPr>
              <w:spacing w:line="240" w:lineRule="auto"/>
              <w:rPr>
                <w:rFonts w:ascii="Times New Roman" w:eastAsia="Times New Roman" w:hAnsi="Times New Roman" w:cs="Times New Roman"/>
                <w:noProof/>
              </w:rPr>
            </w:pPr>
          </w:p>
        </w:tc>
        <w:tc>
          <w:tcPr>
            <w:tcW w:w="1276" w:type="dxa"/>
            <w:tcBorders>
              <w:top w:val="single" w:sz="6" w:space="0" w:color="auto"/>
              <w:left w:val="single" w:sz="6" w:space="0" w:color="auto"/>
              <w:bottom w:val="single" w:sz="6" w:space="0" w:color="auto"/>
              <w:right w:val="single" w:sz="6" w:space="0" w:color="auto"/>
            </w:tcBorders>
            <w:shd w:val="clear" w:color="auto" w:fill="C6EFCE"/>
            <w:vAlign w:val="center"/>
          </w:tcPr>
          <w:p w14:paraId="3EE57B45" w14:textId="77777777" w:rsidR="00480F1C" w:rsidRDefault="00A201F6">
            <w:pPr>
              <w:pStyle w:val="P68B1DB1-Normal46"/>
              <w:spacing w:line="240" w:lineRule="auto"/>
              <w:rPr>
                <w:rFonts w:eastAsia="Times New Roman" w:cs="Times New Roman"/>
                <w:noProof/>
              </w:rPr>
            </w:pPr>
            <w:r>
              <w:rPr>
                <w:noProof/>
              </w:rPr>
              <w:t>Termijnbedrag</w:t>
            </w:r>
          </w:p>
        </w:tc>
        <w:tc>
          <w:tcPr>
            <w:tcW w:w="4054" w:type="dxa"/>
            <w:tcBorders>
              <w:top w:val="single" w:sz="6" w:space="0" w:color="auto"/>
              <w:left w:val="single" w:sz="6" w:space="0" w:color="auto"/>
              <w:bottom w:val="single" w:sz="6" w:space="0" w:color="auto"/>
              <w:right w:val="single" w:sz="6" w:space="0" w:color="auto"/>
            </w:tcBorders>
            <w:shd w:val="clear" w:color="auto" w:fill="C6EFCE"/>
            <w:vAlign w:val="center"/>
          </w:tcPr>
          <w:p w14:paraId="04B6DE69" w14:textId="77777777" w:rsidR="00480F1C" w:rsidRDefault="00A201F6">
            <w:pPr>
              <w:pStyle w:val="P68B1DB1-Normal46"/>
              <w:spacing w:line="240" w:lineRule="auto"/>
              <w:rPr>
                <w:rFonts w:eastAsia="Times New Roman" w:cs="Times New Roman"/>
                <w:noProof/>
              </w:rPr>
            </w:pPr>
            <w:r>
              <w:rPr>
                <w:noProof/>
              </w:rPr>
              <w:t xml:space="preserve">EUR 3 113 984 184  </w:t>
            </w:r>
          </w:p>
        </w:tc>
      </w:tr>
    </w:tbl>
    <w:p w14:paraId="05505C39" w14:textId="77777777" w:rsidR="00480F1C" w:rsidRDefault="00480F1C">
      <w:pPr>
        <w:spacing w:before="120" w:after="120" w:line="240" w:lineRule="auto"/>
        <w:rPr>
          <w:rFonts w:ascii="Times New Roman" w:eastAsia="Times New Roman" w:hAnsi="Times New Roman" w:cs="Times New Roman"/>
          <w:noProof/>
          <w:color w:val="000000" w:themeColor="text1"/>
        </w:rPr>
      </w:pPr>
    </w:p>
    <w:p w14:paraId="76EE9726" w14:textId="77777777" w:rsidR="00480F1C" w:rsidRDefault="00A201F6">
      <w:pPr>
        <w:pStyle w:val="P68B1DB1-Normal45"/>
        <w:spacing w:before="120" w:after="120" w:line="240" w:lineRule="auto"/>
        <w:rPr>
          <w:rFonts w:eastAsia="Times New Roman" w:cs="Times New Roman"/>
          <w:noProof/>
        </w:rPr>
      </w:pPr>
      <w:r>
        <w:rPr>
          <w:noProof/>
        </w:rPr>
        <w:t>2.1.7 zevende tranche (niet-terugvorderbare steun):</w:t>
      </w:r>
    </w:p>
    <w:tbl>
      <w:tblPr>
        <w:tblW w:w="10482" w:type="dxa"/>
        <w:tblLayout w:type="fixed"/>
        <w:tblLook w:val="0000" w:firstRow="0" w:lastRow="0" w:firstColumn="0" w:lastColumn="0" w:noHBand="0" w:noVBand="0"/>
      </w:tblPr>
      <w:tblGrid>
        <w:gridCol w:w="1350"/>
        <w:gridCol w:w="3960"/>
        <w:gridCol w:w="1245"/>
        <w:gridCol w:w="3927"/>
      </w:tblGrid>
      <w:tr w:rsidR="00480F1C" w14:paraId="02C5A449" w14:textId="77777777">
        <w:trPr>
          <w:trHeight w:val="807"/>
          <w:tblHeader/>
        </w:trPr>
        <w:tc>
          <w:tcPr>
            <w:tcW w:w="1350" w:type="dxa"/>
            <w:tcBorders>
              <w:top w:val="single" w:sz="6" w:space="0" w:color="auto"/>
              <w:left w:val="single" w:sz="6" w:space="0" w:color="auto"/>
              <w:bottom w:val="single" w:sz="6" w:space="0" w:color="auto"/>
              <w:right w:val="single" w:sz="6" w:space="0" w:color="auto"/>
            </w:tcBorders>
            <w:shd w:val="clear" w:color="auto" w:fill="BDD6EE"/>
            <w:vAlign w:val="center"/>
          </w:tcPr>
          <w:p w14:paraId="3A297F98" w14:textId="77777777" w:rsidR="00480F1C" w:rsidRDefault="00A201F6">
            <w:pPr>
              <w:pStyle w:val="P68B1DB1-Normal42"/>
              <w:spacing w:line="240" w:lineRule="auto"/>
              <w:jc w:val="center"/>
              <w:rPr>
                <w:rFonts w:eastAsia="Times New Roman" w:cs="Times New Roman"/>
                <w:noProof/>
              </w:rPr>
            </w:pPr>
            <w:r>
              <w:rPr>
                <w:noProof/>
              </w:rPr>
              <w:t>Volgnummer</w:t>
            </w:r>
          </w:p>
        </w:tc>
        <w:tc>
          <w:tcPr>
            <w:tcW w:w="3960" w:type="dxa"/>
            <w:tcBorders>
              <w:top w:val="single" w:sz="6" w:space="0" w:color="auto"/>
              <w:left w:val="single" w:sz="6" w:space="0" w:color="auto"/>
              <w:bottom w:val="single" w:sz="6" w:space="0" w:color="auto"/>
              <w:right w:val="single" w:sz="6" w:space="0" w:color="auto"/>
            </w:tcBorders>
            <w:shd w:val="clear" w:color="auto" w:fill="BDD6EE"/>
            <w:vAlign w:val="center"/>
          </w:tcPr>
          <w:p w14:paraId="6510CE8C" w14:textId="77777777" w:rsidR="00480F1C" w:rsidRDefault="00A201F6">
            <w:pPr>
              <w:pStyle w:val="P68B1DB1-Normal42"/>
              <w:spacing w:line="240" w:lineRule="auto"/>
              <w:jc w:val="center"/>
              <w:rPr>
                <w:rFonts w:eastAsia="Times New Roman" w:cs="Times New Roman"/>
                <w:noProof/>
              </w:rPr>
            </w:pPr>
            <w:r>
              <w:rPr>
                <w:noProof/>
              </w:rPr>
              <w:t>Gerelateerde maatregel (hervorming of investering)</w:t>
            </w:r>
          </w:p>
        </w:tc>
        <w:tc>
          <w:tcPr>
            <w:tcW w:w="1245" w:type="dxa"/>
            <w:tcBorders>
              <w:top w:val="single" w:sz="6" w:space="0" w:color="auto"/>
              <w:left w:val="single" w:sz="6" w:space="0" w:color="auto"/>
              <w:bottom w:val="single" w:sz="6" w:space="0" w:color="auto"/>
              <w:right w:val="single" w:sz="6" w:space="0" w:color="auto"/>
            </w:tcBorders>
            <w:shd w:val="clear" w:color="auto" w:fill="BDD6EE"/>
            <w:vAlign w:val="center"/>
          </w:tcPr>
          <w:p w14:paraId="50D0B304" w14:textId="77777777" w:rsidR="00480F1C" w:rsidRDefault="00A201F6">
            <w:pPr>
              <w:pStyle w:val="P68B1DB1-Normal42"/>
              <w:spacing w:line="240" w:lineRule="auto"/>
              <w:jc w:val="center"/>
              <w:rPr>
                <w:rFonts w:eastAsia="Times New Roman" w:cs="Times New Roman"/>
                <w:noProof/>
              </w:rPr>
            </w:pPr>
            <w:r>
              <w:rPr>
                <w:noProof/>
              </w:rPr>
              <w:t>Mijlpaal/Doelstelling</w:t>
            </w:r>
          </w:p>
        </w:tc>
        <w:tc>
          <w:tcPr>
            <w:tcW w:w="3927" w:type="dxa"/>
            <w:tcBorders>
              <w:top w:val="single" w:sz="6" w:space="0" w:color="auto"/>
              <w:left w:val="single" w:sz="6" w:space="0" w:color="auto"/>
              <w:bottom w:val="single" w:sz="6" w:space="0" w:color="auto"/>
              <w:right w:val="single" w:sz="6" w:space="0" w:color="auto"/>
            </w:tcBorders>
            <w:shd w:val="clear" w:color="auto" w:fill="BDD6EE"/>
            <w:vAlign w:val="center"/>
          </w:tcPr>
          <w:p w14:paraId="71707857" w14:textId="77777777" w:rsidR="00480F1C" w:rsidRDefault="00A201F6">
            <w:pPr>
              <w:pStyle w:val="P68B1DB1-Normal42"/>
              <w:spacing w:line="240" w:lineRule="auto"/>
              <w:jc w:val="center"/>
              <w:rPr>
                <w:rFonts w:eastAsia="Times New Roman" w:cs="Times New Roman"/>
                <w:noProof/>
              </w:rPr>
            </w:pPr>
            <w:r>
              <w:rPr>
                <w:noProof/>
              </w:rPr>
              <w:t>Naam</w:t>
            </w:r>
          </w:p>
        </w:tc>
      </w:tr>
      <w:tr w:rsidR="00480F1C" w14:paraId="1CBECBE1"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33C2F9A" w14:textId="77777777" w:rsidR="00480F1C" w:rsidRDefault="00A201F6">
            <w:pPr>
              <w:pStyle w:val="P68B1DB1-Normal46"/>
              <w:spacing w:line="240" w:lineRule="auto"/>
              <w:jc w:val="center"/>
              <w:rPr>
                <w:rFonts w:eastAsia="Times New Roman" w:cs="Times New Roman"/>
                <w:noProof/>
              </w:rPr>
            </w:pPr>
            <w:r>
              <w:rPr>
                <w:noProof/>
              </w:rPr>
              <w:t>A2G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6FB11CB" w14:textId="77777777" w:rsidR="00480F1C" w:rsidRDefault="00A201F6">
            <w:pPr>
              <w:pStyle w:val="P68B1DB1-Normal46"/>
              <w:spacing w:line="240" w:lineRule="auto"/>
              <w:rPr>
                <w:rFonts w:eastAsia="Times New Roman" w:cs="Times New Roman"/>
                <w:noProof/>
              </w:rPr>
            </w:pPr>
            <w:r>
              <w:rPr>
                <w:noProof/>
              </w:rPr>
              <w:t>A1.1 Hervorming van het begrotingskader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8E68A69"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F58CD0A" w14:textId="77777777" w:rsidR="00480F1C" w:rsidRDefault="00A201F6">
            <w:pPr>
              <w:pStyle w:val="P68B1DB1-Normal46"/>
              <w:spacing w:line="240" w:lineRule="auto"/>
              <w:rPr>
                <w:rFonts w:eastAsia="Times New Roman" w:cs="Times New Roman"/>
                <w:noProof/>
              </w:rPr>
            </w:pPr>
            <w:r>
              <w:rPr>
                <w:noProof/>
              </w:rPr>
              <w:t>Inwerkingtreding van een wijziging van de wet op de overheidsfinanciën, opgesteld door het ministerie van Financiën ter uitvoering van het nieuwe begrotingssysteem, met inbegrip van het nieuwe classificatiesysteem, het nieuwe model voor begrotingsbeheer en het opnieuw gedefinieerde nieuwe begrotingskader voor de middellange termijn</w:t>
            </w:r>
          </w:p>
        </w:tc>
      </w:tr>
      <w:tr w:rsidR="00480F1C" w14:paraId="56F0A0D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EA04902" w14:textId="77777777" w:rsidR="00480F1C" w:rsidRDefault="00A201F6">
            <w:pPr>
              <w:pStyle w:val="P68B1DB1-Normal46"/>
              <w:spacing w:line="240" w:lineRule="auto"/>
              <w:jc w:val="center"/>
              <w:rPr>
                <w:rFonts w:eastAsia="Times New Roman" w:cs="Times New Roman"/>
                <w:noProof/>
              </w:rPr>
            </w:pPr>
            <w:r>
              <w:rPr>
                <w:noProof/>
              </w:rPr>
              <w:t>A4G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61DBC80" w14:textId="77777777" w:rsidR="00480F1C" w:rsidRDefault="00A201F6">
            <w:pPr>
              <w:pStyle w:val="P68B1DB1-Normal46"/>
              <w:spacing w:line="240" w:lineRule="auto"/>
              <w:rPr>
                <w:rFonts w:eastAsia="Times New Roman" w:cs="Times New Roman"/>
                <w:noProof/>
              </w:rPr>
            </w:pPr>
            <w:r>
              <w:rPr>
                <w:noProof/>
              </w:rPr>
              <w:t>A1.1 Hervorming van het begrotingskader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DD54E1E"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B22CA02" w14:textId="77777777" w:rsidR="00480F1C" w:rsidRDefault="00A201F6">
            <w:pPr>
              <w:pStyle w:val="P68B1DB1-Normal46"/>
              <w:spacing w:line="240" w:lineRule="auto"/>
              <w:rPr>
                <w:rFonts w:eastAsia="Times New Roman" w:cs="Times New Roman"/>
                <w:noProof/>
              </w:rPr>
            </w:pPr>
            <w:r>
              <w:rPr>
                <w:noProof/>
              </w:rPr>
              <w:t>Evaluatie van de werking van de uitgavenstabiliserende regel in de jaren 2019-2023, met het oog op:</w:t>
            </w:r>
          </w:p>
          <w:p w14:paraId="00ACAB56" w14:textId="77777777" w:rsidR="00480F1C" w:rsidRDefault="00A201F6">
            <w:pPr>
              <w:pStyle w:val="P68B1DB1-Normal46"/>
              <w:spacing w:line="240" w:lineRule="auto"/>
              <w:rPr>
                <w:rFonts w:eastAsia="Times New Roman" w:cs="Times New Roman"/>
                <w:noProof/>
              </w:rPr>
            </w:pPr>
            <w:r>
              <w:rPr>
                <w:noProof/>
              </w:rPr>
              <w:t>— beoordeling van de doeltreffendheid van de regel, met inbegrip van de toepassing van de uitstapclausule en de terugkeerclausule</w:t>
            </w:r>
          </w:p>
          <w:p w14:paraId="7B35B869" w14:textId="77777777" w:rsidR="00480F1C" w:rsidRDefault="00A201F6">
            <w:pPr>
              <w:pStyle w:val="P68B1DB1-Normal46"/>
              <w:spacing w:line="240" w:lineRule="auto"/>
              <w:rPr>
                <w:rFonts w:eastAsia="Times New Roman" w:cs="Times New Roman"/>
                <w:noProof/>
              </w:rPr>
            </w:pPr>
            <w:r>
              <w:rPr>
                <w:noProof/>
              </w:rPr>
              <w:t>analyse van het effect van wijzigingen in de EU-regels op de formule voor de stabiliserende uitgavenregel</w:t>
            </w:r>
          </w:p>
        </w:tc>
      </w:tr>
      <w:tr w:rsidR="00480F1C" w14:paraId="2BFBDB9A"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85801F1" w14:textId="77777777" w:rsidR="00480F1C" w:rsidRDefault="00A201F6">
            <w:pPr>
              <w:pStyle w:val="P68B1DB1-Normal46"/>
              <w:spacing w:line="240" w:lineRule="auto"/>
              <w:jc w:val="center"/>
              <w:rPr>
                <w:rFonts w:eastAsia="Times New Roman" w:cs="Times New Roman"/>
                <w:noProof/>
              </w:rPr>
            </w:pPr>
            <w:r>
              <w:rPr>
                <w:noProof/>
              </w:rPr>
              <w:t>A19G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34F7B95" w14:textId="77777777" w:rsidR="00480F1C" w:rsidRDefault="00A201F6">
            <w:pPr>
              <w:pStyle w:val="P68B1DB1-Normal46"/>
              <w:spacing w:line="240" w:lineRule="auto"/>
              <w:rPr>
                <w:rFonts w:eastAsia="Times New Roman" w:cs="Times New Roman"/>
                <w:noProof/>
              </w:rPr>
            </w:pPr>
            <w:r>
              <w:rPr>
                <w:noProof/>
              </w:rPr>
              <w:t>A1.4 Hervorming ter verbetering van het concurrentievermogen en de bescherming van producenten/consumenten in de landbouwsector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B44AE5C"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4E1F835" w14:textId="77777777" w:rsidR="00480F1C" w:rsidRDefault="00A201F6">
            <w:pPr>
              <w:pStyle w:val="P68B1DB1-Normal46"/>
              <w:spacing w:line="240" w:lineRule="auto"/>
              <w:rPr>
                <w:rFonts w:eastAsia="Times New Roman" w:cs="Times New Roman"/>
                <w:noProof/>
              </w:rPr>
            </w:pPr>
            <w:r>
              <w:rPr>
                <w:noProof/>
              </w:rPr>
              <w:t>Goedkeuring van een tussentijdse evaluatie van de nieuwe wet ter bestrijding van het oneerlijke gebruik van contractuele voordelen in de landbouw- en voedingsmiddelensector</w:t>
            </w:r>
          </w:p>
        </w:tc>
      </w:tr>
      <w:tr w:rsidR="00480F1C" w14:paraId="28F71979"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8246E52" w14:textId="77777777" w:rsidR="00480F1C" w:rsidRDefault="00A201F6">
            <w:pPr>
              <w:pStyle w:val="P68B1DB1-Normal46"/>
              <w:spacing w:line="240" w:lineRule="auto"/>
              <w:jc w:val="center"/>
              <w:rPr>
                <w:rFonts w:eastAsia="Times New Roman" w:cs="Times New Roman"/>
                <w:noProof/>
              </w:rPr>
            </w:pPr>
            <w:r>
              <w:rPr>
                <w:noProof/>
              </w:rPr>
              <w:t>A31G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8A935A7" w14:textId="77777777" w:rsidR="00480F1C" w:rsidRDefault="00A201F6">
            <w:pPr>
              <w:pStyle w:val="P68B1DB1-Normal46"/>
              <w:spacing w:line="240" w:lineRule="auto"/>
              <w:rPr>
                <w:rFonts w:eastAsia="Times New Roman" w:cs="Times New Roman"/>
                <w:noProof/>
              </w:rPr>
            </w:pPr>
            <w:r>
              <w:rPr>
                <w:noProof/>
              </w:rPr>
              <w:t>A2.2.1 Investeringen in de uitrol van milieutechnologieën en innovatie, met inbegrip van investeringen in verband met de circulaire economie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E7C16DD"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9861C42" w14:textId="77777777" w:rsidR="00480F1C" w:rsidRDefault="00A201F6">
            <w:pPr>
              <w:pStyle w:val="P68B1DB1-Normal46"/>
              <w:spacing w:line="240" w:lineRule="auto"/>
              <w:rPr>
                <w:rFonts w:eastAsia="Times New Roman" w:cs="Times New Roman"/>
                <w:noProof/>
              </w:rPr>
            </w:pPr>
            <w:r>
              <w:rPr>
                <w:noProof/>
              </w:rPr>
              <w:t xml:space="preserve">Ondertekende subsidieovereenkomsten voor projecten die worden toegekend aan kmo’s met oplossingen om groene technologieën te ontwikkelen en te stimuleren of toe te passen (in verband met de circulaire economie)  </w:t>
            </w:r>
          </w:p>
        </w:tc>
      </w:tr>
      <w:tr w:rsidR="00480F1C" w14:paraId="7F64F75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A98F66C" w14:textId="77777777" w:rsidR="00480F1C" w:rsidRDefault="00A201F6">
            <w:pPr>
              <w:pStyle w:val="P68B1DB1-Normal46"/>
              <w:spacing w:line="240" w:lineRule="auto"/>
              <w:jc w:val="center"/>
              <w:rPr>
                <w:rFonts w:eastAsia="Times New Roman" w:cs="Times New Roman"/>
                <w:noProof/>
              </w:rPr>
            </w:pPr>
            <w:r>
              <w:rPr>
                <w:noProof/>
              </w:rPr>
              <w:t>A36G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932614E" w14:textId="77777777" w:rsidR="00480F1C" w:rsidRDefault="00A201F6">
            <w:pPr>
              <w:pStyle w:val="P68B1DB1-Normal46"/>
              <w:spacing w:line="240" w:lineRule="auto"/>
              <w:rPr>
                <w:rFonts w:eastAsia="Times New Roman" w:cs="Times New Roman"/>
                <w:noProof/>
              </w:rPr>
            </w:pPr>
            <w:r>
              <w:rPr>
                <w:noProof/>
              </w:rPr>
              <w:t>A2.3.1 Ontwikkeling en uitrusting van kenniscentra (onder meer gespecialiseerde opleidingscentra, centra voor uitvoeringsondersteuning, waarnemingsposten) en infrastructuur voor het beheer van de onbemande voertuigenindustrie, als ecosysteem voor innovatie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CCBBF89"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F7FA837" w14:textId="77777777" w:rsidR="00480F1C" w:rsidRDefault="00A201F6">
            <w:pPr>
              <w:pStyle w:val="P68B1DB1-Normal46"/>
              <w:spacing w:line="240" w:lineRule="auto"/>
              <w:rPr>
                <w:rFonts w:eastAsia="Times New Roman" w:cs="Times New Roman"/>
                <w:noProof/>
              </w:rPr>
            </w:pPr>
            <w:r>
              <w:rPr>
                <w:noProof/>
              </w:rPr>
              <w:t>Uitgevoerde diensten voor onbemande voertuigen, voorafgegaan door proefprojecten</w:t>
            </w:r>
          </w:p>
        </w:tc>
      </w:tr>
      <w:tr w:rsidR="00480F1C" w14:paraId="52F8216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F7252CC" w14:textId="77777777" w:rsidR="00480F1C" w:rsidRDefault="00A201F6">
            <w:pPr>
              <w:pStyle w:val="P68B1DB1-Normal46"/>
              <w:spacing w:line="240" w:lineRule="auto"/>
              <w:jc w:val="center"/>
              <w:rPr>
                <w:rFonts w:eastAsia="Times New Roman" w:cs="Times New Roman"/>
                <w:noProof/>
              </w:rPr>
            </w:pPr>
            <w:r>
              <w:rPr>
                <w:noProof/>
              </w:rPr>
              <w:t>A55G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FDF35F3" w14:textId="77777777" w:rsidR="00480F1C" w:rsidRDefault="00A201F6">
            <w:pPr>
              <w:pStyle w:val="P68B1DB1-Normal46"/>
              <w:spacing w:line="240" w:lineRule="auto"/>
              <w:rPr>
                <w:rFonts w:eastAsia="Times New Roman" w:cs="Times New Roman"/>
                <w:noProof/>
              </w:rPr>
            </w:pPr>
            <w:r>
              <w:rPr>
                <w:noProof/>
              </w:rPr>
              <w:t>A4.1.1 Investeringen ter ondersteuning van de hervorming van de arbeidsmarktinstellingen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1257CF2"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6374FAB" w14:textId="77777777" w:rsidR="00480F1C" w:rsidRDefault="00A201F6">
            <w:pPr>
              <w:pStyle w:val="P68B1DB1-Normal46"/>
              <w:spacing w:line="240" w:lineRule="auto"/>
              <w:rPr>
                <w:rFonts w:eastAsia="Times New Roman" w:cs="Times New Roman"/>
                <w:noProof/>
              </w:rPr>
            </w:pPr>
            <w:r>
              <w:rPr>
                <w:noProof/>
              </w:rPr>
              <w:t>Openbare dienst voor arbeidsvoorziening (ODA’s) waar gemoderniseerde IT-systemen worden ingevoerd</w:t>
            </w:r>
          </w:p>
        </w:tc>
      </w:tr>
      <w:tr w:rsidR="00480F1C" w14:paraId="65D1FD3A"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426FEF5" w14:textId="77777777" w:rsidR="00480F1C" w:rsidRDefault="00A201F6">
            <w:pPr>
              <w:pStyle w:val="P68B1DB1-Normal46"/>
              <w:spacing w:line="240" w:lineRule="auto"/>
              <w:jc w:val="center"/>
              <w:rPr>
                <w:rFonts w:eastAsia="Times New Roman" w:cs="Times New Roman"/>
                <w:noProof/>
              </w:rPr>
            </w:pPr>
            <w:r>
              <w:rPr>
                <w:noProof/>
              </w:rPr>
              <w:t>A56G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70FC4DC" w14:textId="77777777" w:rsidR="00480F1C" w:rsidRDefault="00A201F6">
            <w:pPr>
              <w:pStyle w:val="P68B1DB1-Normal46"/>
              <w:spacing w:line="240" w:lineRule="auto"/>
              <w:rPr>
                <w:rFonts w:eastAsia="Times New Roman" w:cs="Times New Roman"/>
                <w:noProof/>
              </w:rPr>
            </w:pPr>
            <w:r>
              <w:rPr>
                <w:noProof/>
              </w:rPr>
              <w:t>A4.1.1 Investeringen ter ondersteuning van de hervorming van de arbeidsmarktinstellingen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3000D2D"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4066EB5" w14:textId="77777777" w:rsidR="00480F1C" w:rsidRDefault="00A201F6">
            <w:pPr>
              <w:pStyle w:val="P68B1DB1-Normal46"/>
              <w:spacing w:line="240" w:lineRule="auto"/>
              <w:rPr>
                <w:rFonts w:eastAsia="Times New Roman" w:cs="Times New Roman"/>
                <w:noProof/>
              </w:rPr>
            </w:pPr>
            <w:r>
              <w:rPr>
                <w:noProof/>
              </w:rPr>
              <w:t>Personeel van de openbare dienst voor arbeidsvoorziening (ODA’s) opgeleid in de toepassing van nieuwe procedures en het gebruik van IT-instrumenten, ingevoerd als gevolg van de nieuwe wetgeving inzake ODA’s, de tewerkstelling van onderdanen van derde landen en de elektronische sluiting van arbeidsovereenkomsten door bepaalde werkgevers</w:t>
            </w:r>
          </w:p>
        </w:tc>
      </w:tr>
      <w:tr w:rsidR="00480F1C" w14:paraId="36ADF5B2"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3EC945A" w14:textId="77777777" w:rsidR="00480F1C" w:rsidRDefault="00A201F6">
            <w:pPr>
              <w:pStyle w:val="P68B1DB1-Normal46"/>
              <w:spacing w:line="240" w:lineRule="auto"/>
              <w:jc w:val="center"/>
              <w:rPr>
                <w:rFonts w:eastAsia="Times New Roman" w:cs="Times New Roman"/>
                <w:noProof/>
              </w:rPr>
            </w:pPr>
            <w:r>
              <w:rPr>
                <w:noProof/>
              </w:rPr>
              <w:t>A63G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6042B51" w14:textId="77777777" w:rsidR="00480F1C" w:rsidRDefault="00A201F6">
            <w:pPr>
              <w:pStyle w:val="P68B1DB1-Normal46"/>
              <w:spacing w:line="240" w:lineRule="auto"/>
              <w:rPr>
                <w:rFonts w:eastAsia="Times New Roman" w:cs="Times New Roman"/>
                <w:noProof/>
              </w:rPr>
            </w:pPr>
            <w:r>
              <w:rPr>
                <w:noProof/>
              </w:rPr>
              <w:t>A4.3.1 Programma’s ter ondersteuning van investeringen die het met name mogelijk maken activiteiten te ontwikkelen, de deelname aan de uitvoering van sociale diensten te vergroten en de kwaliteit van de integratie in entiteiten van de sociale economie te verbeteren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8FEAE79"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D782EF2" w14:textId="77777777" w:rsidR="00480F1C" w:rsidRDefault="00A201F6">
            <w:pPr>
              <w:pStyle w:val="P68B1DB1-Normal46"/>
              <w:spacing w:line="240" w:lineRule="auto"/>
              <w:rPr>
                <w:rFonts w:eastAsia="Times New Roman" w:cs="Times New Roman"/>
                <w:noProof/>
              </w:rPr>
            </w:pPr>
            <w:r>
              <w:rPr>
                <w:noProof/>
              </w:rPr>
              <w:t>Aantal entiteiten dat de status van sociale onderneming heeft verkregen</w:t>
            </w:r>
          </w:p>
        </w:tc>
      </w:tr>
      <w:tr w:rsidR="00480F1C" w14:paraId="2EEFFF2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AB78A33" w14:textId="77777777" w:rsidR="00480F1C" w:rsidRDefault="00A201F6">
            <w:pPr>
              <w:pStyle w:val="P68B1DB1-Normal46"/>
              <w:spacing w:line="240" w:lineRule="auto"/>
              <w:jc w:val="center"/>
              <w:rPr>
                <w:noProof/>
              </w:rPr>
            </w:pPr>
            <w:r>
              <w:rPr>
                <w:noProof/>
              </w:rPr>
              <w:t>B21bG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E3DACE0" w14:textId="77777777" w:rsidR="00480F1C" w:rsidRDefault="00A201F6">
            <w:pPr>
              <w:pStyle w:val="P68B1DB1-Normal45"/>
              <w:spacing w:line="240" w:lineRule="auto"/>
              <w:rPr>
                <w:noProof/>
              </w:rPr>
            </w:pPr>
            <w:r>
              <w:rPr>
                <w:noProof/>
              </w:rPr>
              <w:t>B2.1.1 Investeringen in waterstof, waterstofproductie, -opslag en -transport</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F1E123A" w14:textId="77777777" w:rsidR="00480F1C" w:rsidRDefault="00A201F6">
            <w:pPr>
              <w:pStyle w:val="P68B1DB1-Normal45"/>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FADF07E" w14:textId="77777777" w:rsidR="00480F1C" w:rsidRDefault="00A201F6">
            <w:pPr>
              <w:spacing w:line="240" w:lineRule="auto"/>
              <w:rPr>
                <w:rFonts w:ascii="Times New Roman" w:hAnsi="Times New Roman"/>
                <w:noProof/>
              </w:rPr>
            </w:pPr>
            <w:r>
              <w:rPr>
                <w:rStyle w:val="normaltextrun"/>
                <w:rFonts w:ascii="Times New Roman" w:hAnsi="Times New Roman"/>
                <w:noProof/>
              </w:rPr>
              <w:t xml:space="preserve">Juridische overeenkomsten met eindbegunstigden </w:t>
            </w:r>
          </w:p>
        </w:tc>
      </w:tr>
      <w:tr w:rsidR="00480F1C" w14:paraId="547897EF" w14:textId="77777777">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81CF5F4" w14:textId="77777777" w:rsidR="00480F1C" w:rsidRDefault="00A201F6">
            <w:pPr>
              <w:pStyle w:val="P68B1DB1-Normal46"/>
              <w:spacing w:line="240" w:lineRule="auto"/>
              <w:jc w:val="center"/>
              <w:rPr>
                <w:noProof/>
              </w:rPr>
            </w:pPr>
            <w:r>
              <w:rPr>
                <w:noProof/>
              </w:rPr>
              <w:t xml:space="preserve">B21cG </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A14699C" w14:textId="77777777" w:rsidR="00480F1C" w:rsidRDefault="00A201F6">
            <w:pPr>
              <w:pStyle w:val="P68B1DB1-Normal46"/>
              <w:spacing w:line="240" w:lineRule="auto"/>
              <w:rPr>
                <w:noProof/>
                <w:color w:val="000000"/>
              </w:rPr>
            </w:pPr>
            <w:r>
              <w:rPr>
                <w:noProof/>
              </w:rPr>
              <w:t xml:space="preserve">B2.1.1 Investeringen in waterstof, waterstofproductie, -opslag en -transport </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C244297" w14:textId="77777777" w:rsidR="00480F1C" w:rsidRDefault="00A201F6">
            <w:pPr>
              <w:pStyle w:val="P68B1DB1-Normal46"/>
              <w:spacing w:line="240" w:lineRule="auto"/>
              <w:jc w:val="center"/>
              <w:rPr>
                <w:noProof/>
                <w:color w:val="000000"/>
              </w:rPr>
            </w:pPr>
            <w:r>
              <w:rPr>
                <w:noProof/>
              </w:rPr>
              <w:t xml:space="preserve">Mijlpaal   </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61B682F" w14:textId="77777777" w:rsidR="00480F1C" w:rsidRDefault="00A201F6">
            <w:pPr>
              <w:pStyle w:val="P68B1DB1-Normal46"/>
              <w:spacing w:line="240" w:lineRule="auto"/>
              <w:rPr>
                <w:rStyle w:val="normaltextrun"/>
                <w:noProof/>
              </w:rPr>
            </w:pPr>
            <w:r>
              <w:rPr>
                <w:noProof/>
              </w:rPr>
              <w:t xml:space="preserve">Het ministerie heeft 50 % van de investering voltooid  </w:t>
            </w:r>
          </w:p>
        </w:tc>
      </w:tr>
      <w:tr w:rsidR="00480F1C" w14:paraId="7142B3D5"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16982E4" w14:textId="77777777" w:rsidR="00480F1C" w:rsidRDefault="00A201F6">
            <w:pPr>
              <w:pStyle w:val="P68B1DB1-Normal46"/>
              <w:spacing w:line="240" w:lineRule="auto"/>
              <w:jc w:val="center"/>
              <w:rPr>
                <w:rFonts w:eastAsia="Times New Roman" w:cs="Times New Roman"/>
                <w:noProof/>
              </w:rPr>
            </w:pPr>
            <w:r>
              <w:rPr>
                <w:noProof/>
              </w:rPr>
              <w:t>C11G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7CF4137" w14:textId="77777777" w:rsidR="00480F1C" w:rsidRDefault="00A201F6">
            <w:pPr>
              <w:pStyle w:val="P68B1DB1-Normal46"/>
              <w:spacing w:line="240" w:lineRule="auto"/>
              <w:rPr>
                <w:rFonts w:eastAsia="Times New Roman" w:cs="Times New Roman"/>
                <w:noProof/>
              </w:rPr>
            </w:pPr>
            <w:r>
              <w:rPr>
                <w:noProof/>
              </w:rPr>
              <w:t>C2.1.1 Openbare e-diensten, IT-oplossingen ter verbetering van de werking van economische sectoren en disruptieve technologieën in de overheidssector, de economie en de samenleving</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505B366"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6C0106B" w14:textId="77777777" w:rsidR="00480F1C" w:rsidRDefault="00A201F6">
            <w:pPr>
              <w:pStyle w:val="P68B1DB1-Normal46"/>
              <w:spacing w:line="240" w:lineRule="auto"/>
              <w:rPr>
                <w:rFonts w:eastAsia="Times New Roman" w:cs="Times New Roman"/>
                <w:noProof/>
              </w:rPr>
            </w:pPr>
            <w:r>
              <w:rPr>
                <w:noProof/>
              </w:rPr>
              <w:t>T1 — Projecten voor het creëren van nieuwe e-diensten en het upgraden van bestaande diensten, het verbeteren van het proces van het creëren ervan of, door digitalisering, het verbeteren van de behandeling van processen</w:t>
            </w:r>
          </w:p>
        </w:tc>
      </w:tr>
      <w:tr w:rsidR="00480F1C" w14:paraId="22574B4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6F9DFDA" w14:textId="77777777" w:rsidR="00480F1C" w:rsidRDefault="00A201F6">
            <w:pPr>
              <w:pStyle w:val="P68B1DB1-Normal46"/>
              <w:spacing w:line="240" w:lineRule="auto"/>
              <w:jc w:val="center"/>
              <w:rPr>
                <w:rFonts w:eastAsia="Times New Roman" w:cs="Times New Roman"/>
                <w:noProof/>
              </w:rPr>
            </w:pPr>
            <w:r>
              <w:rPr>
                <w:noProof/>
              </w:rPr>
              <w:t>C28G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B0D7035" w14:textId="77777777" w:rsidR="00480F1C" w:rsidRDefault="00A201F6">
            <w:pPr>
              <w:pStyle w:val="P68B1DB1-Normal46"/>
              <w:spacing w:line="240" w:lineRule="auto"/>
              <w:rPr>
                <w:rFonts w:eastAsia="Times New Roman" w:cs="Times New Roman"/>
                <w:noProof/>
              </w:rPr>
            </w:pPr>
            <w:r>
              <w:rPr>
                <w:noProof/>
              </w:rPr>
              <w:t>C3.1.1 CyberPL, infrastructuur voor gegevensverwerking en optimalisering van de infrastructuur van rechtshandhavingsdiensten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D967C12"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12277B7" w14:textId="77777777" w:rsidR="00480F1C" w:rsidRDefault="00A201F6">
            <w:pPr>
              <w:pStyle w:val="P68B1DB1-Normal46"/>
              <w:spacing w:line="240" w:lineRule="auto"/>
              <w:rPr>
                <w:rFonts w:eastAsia="Times New Roman" w:cs="Times New Roman"/>
                <w:noProof/>
              </w:rPr>
            </w:pPr>
            <w:r>
              <w:rPr>
                <w:noProof/>
              </w:rPr>
              <w:t>Belangrijk project van gemeenschappelijk Europees belang (IPCEI): Nationale oplossingen voor gegevensverwerking op het gebied van infrastructuur/diensten ontwikkeld</w:t>
            </w:r>
          </w:p>
        </w:tc>
      </w:tr>
      <w:tr w:rsidR="00480F1C" w14:paraId="7553FD6F"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9F075B6" w14:textId="77777777" w:rsidR="00480F1C" w:rsidRDefault="00A201F6">
            <w:pPr>
              <w:pStyle w:val="P68B1DB1-Normal46"/>
              <w:spacing w:line="240" w:lineRule="auto"/>
              <w:jc w:val="center"/>
              <w:rPr>
                <w:rFonts w:eastAsia="Times New Roman" w:cs="Times New Roman"/>
                <w:noProof/>
              </w:rPr>
            </w:pPr>
            <w:r>
              <w:rPr>
                <w:noProof/>
              </w:rPr>
              <w:t>D8G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8E07096" w14:textId="77777777" w:rsidR="00480F1C" w:rsidRDefault="00A201F6">
            <w:pPr>
              <w:pStyle w:val="P68B1DB1-Normal46"/>
              <w:spacing w:line="240" w:lineRule="auto"/>
              <w:rPr>
                <w:rFonts w:eastAsia="Times New Roman" w:cs="Times New Roman"/>
                <w:noProof/>
              </w:rPr>
            </w:pPr>
            <w:r>
              <w:rPr>
                <w:noProof/>
              </w:rPr>
              <w:t>D1.1 Verbetering van de doeltreffendheid, toegankelijkheid en kwaliteit van gezondheidsdiensten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54C2C29"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646CDDA" w14:textId="77777777" w:rsidR="00480F1C" w:rsidRDefault="00A201F6">
            <w:pPr>
              <w:pStyle w:val="P68B1DB1-Normal46"/>
              <w:spacing w:line="240" w:lineRule="auto"/>
              <w:rPr>
                <w:rFonts w:eastAsia="Times New Roman" w:cs="Times New Roman"/>
                <w:noProof/>
              </w:rPr>
            </w:pPr>
            <w:r>
              <w:rPr>
                <w:noProof/>
              </w:rPr>
              <w:t>Evaluatie van het oncologische zorgnetwerk</w:t>
            </w:r>
          </w:p>
        </w:tc>
      </w:tr>
      <w:tr w:rsidR="00480F1C" w14:paraId="61314890"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22E71FA" w14:textId="77777777" w:rsidR="00480F1C" w:rsidRDefault="00A201F6">
            <w:pPr>
              <w:pStyle w:val="P68B1DB1-Normal46"/>
              <w:spacing w:line="240" w:lineRule="auto"/>
              <w:jc w:val="center"/>
              <w:rPr>
                <w:rFonts w:eastAsia="Times New Roman" w:cs="Times New Roman"/>
                <w:noProof/>
              </w:rPr>
            </w:pPr>
            <w:r>
              <w:rPr>
                <w:noProof/>
              </w:rPr>
              <w:t>D19G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AD757F7" w14:textId="77777777" w:rsidR="00480F1C" w:rsidRDefault="00A201F6">
            <w:pPr>
              <w:pStyle w:val="P68B1DB1-Normal46"/>
              <w:spacing w:line="240" w:lineRule="auto"/>
              <w:rPr>
                <w:rFonts w:eastAsia="Times New Roman" w:cs="Times New Roman"/>
                <w:noProof/>
              </w:rPr>
            </w:pPr>
            <w:r>
              <w:rPr>
                <w:noProof/>
              </w:rPr>
              <w:t>D1.1.2 Versnellen van de digitale transformatie van de gezondheid door de verdere ontwikkeling van digitale gezondheidsdiensten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25677E4"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A426BDF" w14:textId="77777777" w:rsidR="00480F1C" w:rsidRDefault="00A201F6">
            <w:pPr>
              <w:pStyle w:val="P68B1DB1-Normal46"/>
              <w:spacing w:line="240" w:lineRule="auto"/>
              <w:rPr>
                <w:rFonts w:eastAsia="Times New Roman" w:cs="Times New Roman"/>
                <w:noProof/>
              </w:rPr>
            </w:pPr>
            <w:r>
              <w:rPr>
                <w:noProof/>
              </w:rPr>
              <w:t>T1 — Medische documenten gedigitaliseerd</w:t>
            </w:r>
          </w:p>
        </w:tc>
      </w:tr>
      <w:tr w:rsidR="00480F1C" w14:paraId="40B730DA" w14:textId="77777777">
        <w:tc>
          <w:tcPr>
            <w:tcW w:w="1350" w:type="dxa"/>
            <w:tcBorders>
              <w:top w:val="single" w:sz="6" w:space="0" w:color="auto"/>
              <w:left w:val="single" w:sz="6" w:space="0" w:color="auto"/>
              <w:bottom w:val="single" w:sz="4" w:space="0" w:color="auto"/>
              <w:right w:val="single" w:sz="6" w:space="0" w:color="auto"/>
            </w:tcBorders>
            <w:shd w:val="clear" w:color="auto" w:fill="C6EFCE"/>
          </w:tcPr>
          <w:p w14:paraId="3AB9B493" w14:textId="77777777" w:rsidR="00480F1C" w:rsidRDefault="00A201F6">
            <w:pPr>
              <w:pStyle w:val="P68B1DB1-Normal46"/>
              <w:spacing w:line="240" w:lineRule="auto"/>
              <w:jc w:val="center"/>
              <w:rPr>
                <w:rFonts w:eastAsia="Times New Roman" w:cs="Times New Roman"/>
                <w:noProof/>
              </w:rPr>
            </w:pPr>
            <w:r>
              <w:rPr>
                <w:noProof/>
              </w:rPr>
              <w:t>E5G</w:t>
            </w:r>
          </w:p>
        </w:tc>
        <w:tc>
          <w:tcPr>
            <w:tcW w:w="3960" w:type="dxa"/>
            <w:tcBorders>
              <w:top w:val="single" w:sz="6" w:space="0" w:color="auto"/>
              <w:left w:val="single" w:sz="6" w:space="0" w:color="auto"/>
              <w:bottom w:val="single" w:sz="4" w:space="0" w:color="auto"/>
              <w:right w:val="single" w:sz="6" w:space="0" w:color="auto"/>
            </w:tcBorders>
            <w:shd w:val="clear" w:color="auto" w:fill="C6EFCE"/>
          </w:tcPr>
          <w:p w14:paraId="01513356" w14:textId="77777777" w:rsidR="00480F1C" w:rsidRDefault="00A201F6">
            <w:pPr>
              <w:pStyle w:val="P68B1DB1-Normal46"/>
              <w:spacing w:line="240" w:lineRule="auto"/>
              <w:rPr>
                <w:rFonts w:eastAsia="Times New Roman" w:cs="Times New Roman"/>
                <w:noProof/>
              </w:rPr>
            </w:pPr>
            <w:r>
              <w:rPr>
                <w:noProof/>
              </w:rPr>
              <w:t>E1.1 Verhoging van het gebruik van milieuvriendelijk vervoer</w:t>
            </w:r>
          </w:p>
        </w:tc>
        <w:tc>
          <w:tcPr>
            <w:tcW w:w="1245" w:type="dxa"/>
            <w:tcBorders>
              <w:top w:val="single" w:sz="6" w:space="0" w:color="auto"/>
              <w:left w:val="single" w:sz="6" w:space="0" w:color="auto"/>
              <w:bottom w:val="single" w:sz="4" w:space="0" w:color="auto"/>
              <w:right w:val="single" w:sz="6" w:space="0" w:color="auto"/>
            </w:tcBorders>
            <w:shd w:val="clear" w:color="auto" w:fill="C6EFCE"/>
          </w:tcPr>
          <w:p w14:paraId="232B2C1B"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4" w:space="0" w:color="auto"/>
              <w:right w:val="single" w:sz="6" w:space="0" w:color="auto"/>
            </w:tcBorders>
            <w:shd w:val="clear" w:color="auto" w:fill="C6EFCE"/>
          </w:tcPr>
          <w:p w14:paraId="4A47D4B0" w14:textId="77777777" w:rsidR="00480F1C" w:rsidRDefault="00A201F6">
            <w:pPr>
              <w:pStyle w:val="P68B1DB1-Normal46"/>
              <w:spacing w:line="240" w:lineRule="auto"/>
              <w:rPr>
                <w:rFonts w:eastAsia="Times New Roman" w:cs="Times New Roman"/>
                <w:noProof/>
              </w:rPr>
            </w:pPr>
            <w:r>
              <w:rPr>
                <w:noProof/>
              </w:rPr>
              <w:t>Steden met nieuwe SUMP’s goedgekeurd</w:t>
            </w:r>
          </w:p>
        </w:tc>
      </w:tr>
      <w:tr w:rsidR="00480F1C" w14:paraId="61030292" w14:textId="77777777">
        <w:tc>
          <w:tcPr>
            <w:tcW w:w="1350" w:type="dxa"/>
            <w:tcBorders>
              <w:top w:val="single" w:sz="4" w:space="0" w:color="auto"/>
              <w:left w:val="single" w:sz="4" w:space="0" w:color="auto"/>
              <w:bottom w:val="single" w:sz="4" w:space="0" w:color="auto"/>
              <w:right w:val="single" w:sz="4" w:space="0" w:color="auto"/>
            </w:tcBorders>
            <w:shd w:val="clear" w:color="auto" w:fill="C6EFCE"/>
          </w:tcPr>
          <w:p w14:paraId="4ED9F34F" w14:textId="77777777" w:rsidR="00480F1C" w:rsidRDefault="00A201F6">
            <w:pPr>
              <w:pStyle w:val="P68B1DB1-Normal46"/>
              <w:spacing w:line="240" w:lineRule="auto"/>
              <w:jc w:val="center"/>
              <w:rPr>
                <w:noProof/>
              </w:rPr>
            </w:pPr>
            <w:r>
              <w:rPr>
                <w:noProof/>
              </w:rPr>
              <w:t>E19aG</w:t>
            </w:r>
          </w:p>
        </w:tc>
        <w:tc>
          <w:tcPr>
            <w:tcW w:w="3960" w:type="dxa"/>
            <w:tcBorders>
              <w:top w:val="single" w:sz="4" w:space="0" w:color="auto"/>
              <w:left w:val="single" w:sz="4" w:space="0" w:color="auto"/>
              <w:bottom w:val="single" w:sz="4" w:space="0" w:color="auto"/>
              <w:right w:val="single" w:sz="4" w:space="0" w:color="auto"/>
            </w:tcBorders>
            <w:shd w:val="clear" w:color="auto" w:fill="C6EFCE"/>
          </w:tcPr>
          <w:p w14:paraId="1A580EEB" w14:textId="77777777" w:rsidR="00480F1C" w:rsidRDefault="00A201F6">
            <w:pPr>
              <w:pStyle w:val="P68B1DB1-Normal020"/>
              <w:pBdr>
                <w:top w:val="nil"/>
                <w:left w:val="nil"/>
                <w:bottom w:val="nil"/>
                <w:right w:val="nil"/>
                <w:between w:val="nil"/>
              </w:pBdr>
              <w:spacing w:after="0" w:line="240" w:lineRule="auto"/>
              <w:rPr>
                <w:noProof/>
              </w:rPr>
            </w:pPr>
            <w:r>
              <w:rPr>
                <w:noProof/>
              </w:rPr>
              <w:t>E2.1.2 Spoorwegen reizigerstreinen</w:t>
            </w:r>
          </w:p>
          <w:p w14:paraId="3F411275" w14:textId="77777777" w:rsidR="00480F1C" w:rsidRDefault="00480F1C">
            <w:pPr>
              <w:spacing w:line="240" w:lineRule="auto"/>
              <w:rPr>
                <w:rFonts w:ascii="Times New Roman" w:hAnsi="Times New Roman"/>
                <w:noProof/>
              </w:rPr>
            </w:pPr>
          </w:p>
        </w:tc>
        <w:tc>
          <w:tcPr>
            <w:tcW w:w="1245" w:type="dxa"/>
            <w:tcBorders>
              <w:top w:val="single" w:sz="4" w:space="0" w:color="auto"/>
              <w:left w:val="single" w:sz="4" w:space="0" w:color="auto"/>
              <w:bottom w:val="single" w:sz="4" w:space="0" w:color="auto"/>
              <w:right w:val="single" w:sz="4" w:space="0" w:color="auto"/>
            </w:tcBorders>
            <w:shd w:val="clear" w:color="auto" w:fill="C6EFCE"/>
          </w:tcPr>
          <w:p w14:paraId="3E6DD81D" w14:textId="77777777" w:rsidR="00480F1C" w:rsidRDefault="00A201F6">
            <w:pPr>
              <w:pStyle w:val="P68B1DB1-Normal46"/>
              <w:spacing w:line="240" w:lineRule="auto"/>
              <w:jc w:val="center"/>
              <w:rPr>
                <w:noProof/>
              </w:rPr>
            </w:pPr>
            <w:r>
              <w:rPr>
                <w:noProof/>
              </w:rPr>
              <w:t>Doel</w:t>
            </w:r>
          </w:p>
        </w:tc>
        <w:tc>
          <w:tcPr>
            <w:tcW w:w="3927" w:type="dxa"/>
            <w:tcBorders>
              <w:top w:val="single" w:sz="4" w:space="0" w:color="auto"/>
              <w:left w:val="single" w:sz="4" w:space="0" w:color="auto"/>
              <w:bottom w:val="single" w:sz="4" w:space="0" w:color="auto"/>
              <w:right w:val="single" w:sz="4" w:space="0" w:color="auto"/>
            </w:tcBorders>
            <w:shd w:val="clear" w:color="auto" w:fill="C6EFCE"/>
          </w:tcPr>
          <w:p w14:paraId="1708A090" w14:textId="77777777" w:rsidR="00480F1C" w:rsidRDefault="00A201F6">
            <w:pPr>
              <w:pStyle w:val="P68B1DB1-Normal020"/>
              <w:pBdr>
                <w:top w:val="nil"/>
                <w:left w:val="nil"/>
                <w:bottom w:val="nil"/>
                <w:right w:val="nil"/>
                <w:between w:val="nil"/>
              </w:pBdr>
              <w:spacing w:after="0" w:line="240" w:lineRule="auto"/>
              <w:rPr>
                <w:noProof/>
              </w:rPr>
            </w:pPr>
            <w:r>
              <w:rPr>
                <w:noProof/>
              </w:rPr>
              <w:t>Elektrisch en met ERTMS uitgerust rollend materieel geleverd voor spoorlijnen over lange afstand</w:t>
            </w:r>
          </w:p>
          <w:p w14:paraId="4104677D" w14:textId="77777777" w:rsidR="00480F1C" w:rsidRDefault="00480F1C">
            <w:pPr>
              <w:spacing w:line="240" w:lineRule="auto"/>
              <w:rPr>
                <w:rFonts w:ascii="Times New Roman" w:hAnsi="Times New Roman"/>
                <w:noProof/>
              </w:rPr>
            </w:pPr>
          </w:p>
        </w:tc>
      </w:tr>
      <w:tr w:rsidR="00480F1C" w14:paraId="1134615C" w14:textId="77777777">
        <w:tc>
          <w:tcPr>
            <w:tcW w:w="1350" w:type="dxa"/>
            <w:tcBorders>
              <w:top w:val="single" w:sz="6" w:space="0" w:color="auto"/>
              <w:left w:val="single" w:sz="6" w:space="0" w:color="auto"/>
              <w:bottom w:val="single" w:sz="4" w:space="0" w:color="auto"/>
              <w:right w:val="single" w:sz="6" w:space="0" w:color="auto"/>
            </w:tcBorders>
            <w:shd w:val="clear" w:color="auto" w:fill="C6EFCE"/>
          </w:tcPr>
          <w:p w14:paraId="4B8684EA" w14:textId="77777777" w:rsidR="00480F1C" w:rsidRDefault="00A201F6">
            <w:pPr>
              <w:pStyle w:val="P68B1DB1-Normal46"/>
              <w:spacing w:line="240" w:lineRule="auto"/>
              <w:jc w:val="center"/>
              <w:rPr>
                <w:rFonts w:eastAsia="Times New Roman" w:cs="Times New Roman"/>
                <w:noProof/>
              </w:rPr>
            </w:pPr>
            <w:r>
              <w:rPr>
                <w:noProof/>
              </w:rPr>
              <w:t>E27G</w:t>
            </w:r>
          </w:p>
        </w:tc>
        <w:tc>
          <w:tcPr>
            <w:tcW w:w="3960" w:type="dxa"/>
            <w:tcBorders>
              <w:top w:val="single" w:sz="6" w:space="0" w:color="auto"/>
              <w:left w:val="single" w:sz="6" w:space="0" w:color="auto"/>
              <w:bottom w:val="single" w:sz="4" w:space="0" w:color="auto"/>
              <w:right w:val="single" w:sz="6" w:space="0" w:color="auto"/>
            </w:tcBorders>
            <w:shd w:val="clear" w:color="auto" w:fill="C6EFCE"/>
          </w:tcPr>
          <w:p w14:paraId="02A5D1BD" w14:textId="77777777" w:rsidR="00480F1C" w:rsidRDefault="00A201F6">
            <w:pPr>
              <w:pStyle w:val="P68B1DB1-Normal46"/>
              <w:spacing w:line="240" w:lineRule="auto"/>
              <w:rPr>
                <w:rFonts w:eastAsia="Times New Roman" w:cs="Times New Roman"/>
                <w:noProof/>
              </w:rPr>
            </w:pPr>
            <w:r>
              <w:rPr>
                <w:noProof/>
              </w:rPr>
              <w:t>E2.2.2 Digitalisering van het vervoer</w:t>
            </w:r>
          </w:p>
        </w:tc>
        <w:tc>
          <w:tcPr>
            <w:tcW w:w="1245" w:type="dxa"/>
            <w:tcBorders>
              <w:top w:val="single" w:sz="6" w:space="0" w:color="auto"/>
              <w:left w:val="single" w:sz="6" w:space="0" w:color="auto"/>
              <w:bottom w:val="single" w:sz="4" w:space="0" w:color="auto"/>
              <w:right w:val="single" w:sz="6" w:space="0" w:color="auto"/>
            </w:tcBorders>
            <w:shd w:val="clear" w:color="auto" w:fill="C6EFCE"/>
          </w:tcPr>
          <w:p w14:paraId="2E6BF323"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4" w:space="0" w:color="auto"/>
              <w:right w:val="single" w:sz="6" w:space="0" w:color="auto"/>
            </w:tcBorders>
            <w:shd w:val="clear" w:color="auto" w:fill="C6EFCE"/>
          </w:tcPr>
          <w:p w14:paraId="7E5B5763" w14:textId="77777777" w:rsidR="00480F1C" w:rsidRDefault="00A201F6">
            <w:pPr>
              <w:pStyle w:val="P68B1DB1-Normal46"/>
              <w:spacing w:line="240" w:lineRule="auto"/>
              <w:rPr>
                <w:rFonts w:eastAsia="Times New Roman" w:cs="Times New Roman"/>
                <w:noProof/>
              </w:rPr>
            </w:pPr>
            <w:r>
              <w:rPr>
                <w:noProof/>
              </w:rPr>
              <w:t>Installatie van: Dynamisch passagiersinformatiesysteem (SDIP), controlesystemen en overwegen in 55 gebieden</w:t>
            </w:r>
          </w:p>
        </w:tc>
      </w:tr>
      <w:tr w:rsidR="00480F1C" w14:paraId="77F8086C" w14:textId="77777777">
        <w:tc>
          <w:tcPr>
            <w:tcW w:w="1350" w:type="dxa"/>
            <w:tcBorders>
              <w:top w:val="single" w:sz="4" w:space="0" w:color="auto"/>
              <w:left w:val="single" w:sz="6" w:space="0" w:color="auto"/>
              <w:bottom w:val="single" w:sz="6" w:space="0" w:color="auto"/>
              <w:right w:val="single" w:sz="6" w:space="0" w:color="auto"/>
            </w:tcBorders>
            <w:shd w:val="clear" w:color="auto" w:fill="C6EFCE"/>
          </w:tcPr>
          <w:p w14:paraId="2187CB95" w14:textId="77777777" w:rsidR="00480F1C" w:rsidRDefault="00A201F6">
            <w:pPr>
              <w:pStyle w:val="P68B1DB1-Normal46"/>
              <w:spacing w:line="240" w:lineRule="auto"/>
              <w:jc w:val="center"/>
              <w:rPr>
                <w:noProof/>
              </w:rPr>
            </w:pPr>
            <w:r>
              <w:rPr>
                <w:noProof/>
              </w:rPr>
              <w:t>G3G</w:t>
            </w:r>
          </w:p>
        </w:tc>
        <w:tc>
          <w:tcPr>
            <w:tcW w:w="3960" w:type="dxa"/>
            <w:tcBorders>
              <w:top w:val="single" w:sz="4" w:space="0" w:color="auto"/>
              <w:left w:val="single" w:sz="6" w:space="0" w:color="auto"/>
              <w:bottom w:val="single" w:sz="6" w:space="0" w:color="auto"/>
              <w:right w:val="single" w:sz="6" w:space="0" w:color="auto"/>
            </w:tcBorders>
            <w:shd w:val="clear" w:color="auto" w:fill="C6EFCE"/>
          </w:tcPr>
          <w:p w14:paraId="7199DFB4" w14:textId="77777777" w:rsidR="00480F1C" w:rsidRDefault="00A201F6">
            <w:pPr>
              <w:pStyle w:val="P68B1DB1-Normal46"/>
              <w:spacing w:line="240" w:lineRule="auto"/>
              <w:rPr>
                <w:noProof/>
              </w:rPr>
            </w:pPr>
            <w:r>
              <w:rPr>
                <w:noProof/>
              </w:rPr>
              <w:t>G1.1.2 Door energiegemeenschappen uitgevoerde installaties voor hernieuwbare energiebronnen, met inbegrip van een opgeschaald deel</w:t>
            </w:r>
          </w:p>
        </w:tc>
        <w:tc>
          <w:tcPr>
            <w:tcW w:w="1245" w:type="dxa"/>
            <w:tcBorders>
              <w:top w:val="single" w:sz="4" w:space="0" w:color="auto"/>
              <w:left w:val="single" w:sz="6" w:space="0" w:color="auto"/>
              <w:bottom w:val="single" w:sz="6" w:space="0" w:color="auto"/>
              <w:right w:val="single" w:sz="6" w:space="0" w:color="auto"/>
            </w:tcBorders>
            <w:shd w:val="clear" w:color="auto" w:fill="C6EFCE"/>
          </w:tcPr>
          <w:p w14:paraId="3727EEA8" w14:textId="77777777" w:rsidR="00480F1C" w:rsidRDefault="00A201F6">
            <w:pPr>
              <w:pStyle w:val="P68B1DB1-Normal46"/>
              <w:spacing w:line="240" w:lineRule="auto"/>
              <w:jc w:val="center"/>
              <w:rPr>
                <w:noProof/>
              </w:rPr>
            </w:pPr>
            <w:r>
              <w:rPr>
                <w:noProof/>
              </w:rPr>
              <w:t>Doel</w:t>
            </w:r>
          </w:p>
        </w:tc>
        <w:tc>
          <w:tcPr>
            <w:tcW w:w="3927" w:type="dxa"/>
            <w:tcBorders>
              <w:top w:val="single" w:sz="4" w:space="0" w:color="auto"/>
              <w:left w:val="single" w:sz="6" w:space="0" w:color="auto"/>
              <w:bottom w:val="single" w:sz="6" w:space="0" w:color="auto"/>
              <w:right w:val="single" w:sz="6" w:space="0" w:color="auto"/>
            </w:tcBorders>
            <w:shd w:val="clear" w:color="auto" w:fill="C6EFCE"/>
          </w:tcPr>
          <w:p w14:paraId="11FB7D06" w14:textId="77777777" w:rsidR="00480F1C" w:rsidRDefault="00A201F6">
            <w:pPr>
              <w:pStyle w:val="P68B1DB1-Normal46"/>
              <w:spacing w:line="240" w:lineRule="auto"/>
              <w:rPr>
                <w:noProof/>
              </w:rPr>
            </w:pPr>
            <w:r>
              <w:rPr>
                <w:noProof/>
              </w:rPr>
              <w:t>Entiteiten die worden ondersteund binnen het deel vóór de investering</w:t>
            </w:r>
          </w:p>
        </w:tc>
      </w:tr>
      <w:tr w:rsidR="00480F1C" w14:paraId="51E176C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1680EC0" w14:textId="77777777" w:rsidR="00480F1C" w:rsidRDefault="00A201F6">
            <w:pPr>
              <w:pStyle w:val="P68B1DB1-Normal46"/>
              <w:spacing w:line="240" w:lineRule="auto"/>
              <w:jc w:val="center"/>
              <w:rPr>
                <w:noProof/>
              </w:rPr>
            </w:pPr>
            <w:r>
              <w:rPr>
                <w:noProof/>
              </w:rPr>
              <w:t>G8G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00A8470" w14:textId="77777777" w:rsidR="00480F1C" w:rsidRDefault="00A201F6">
            <w:pPr>
              <w:pStyle w:val="P68B1DB1-Normal46"/>
              <w:spacing w:line="240" w:lineRule="auto"/>
              <w:rPr>
                <w:noProof/>
              </w:rPr>
            </w:pPr>
            <w:r>
              <w:rPr>
                <w:noProof/>
              </w:rPr>
              <w:t>G1.1.4 Steun voor instellingen die REPowerEU-hervormingen en -investeringen uitvoeren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E87885D" w14:textId="77777777" w:rsidR="00480F1C" w:rsidRDefault="00A201F6">
            <w:pPr>
              <w:pStyle w:val="P68B1DB1-Normal46"/>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0874EA9" w14:textId="77777777" w:rsidR="00480F1C" w:rsidRDefault="00A201F6">
            <w:pPr>
              <w:pStyle w:val="P68B1DB1-Normal46"/>
              <w:spacing w:line="240" w:lineRule="auto"/>
              <w:rPr>
                <w:noProof/>
              </w:rPr>
            </w:pPr>
            <w:r>
              <w:rPr>
                <w:noProof/>
              </w:rPr>
              <w:t>Projecten voor capaciteitsopbouw, ter ondersteuning van de uitvoering van REPowerEU-hervormingen en -investeringen, voor centraal en lokaal bestuur</w:t>
            </w:r>
          </w:p>
        </w:tc>
      </w:tr>
      <w:tr w:rsidR="00480F1C" w14:paraId="43FB212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1973BF0" w14:textId="77777777" w:rsidR="00480F1C" w:rsidRDefault="00A201F6">
            <w:pPr>
              <w:pStyle w:val="P68B1DB1-Normal46"/>
              <w:spacing w:line="240" w:lineRule="auto"/>
              <w:jc w:val="center"/>
              <w:rPr>
                <w:noProof/>
              </w:rPr>
            </w:pPr>
            <w:r>
              <w:rPr>
                <w:noProof/>
              </w:rPr>
              <w:t>G10G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1E33922" w14:textId="77777777" w:rsidR="00480F1C" w:rsidRDefault="00A201F6">
            <w:pPr>
              <w:pStyle w:val="P68B1DB1-Normal46"/>
              <w:spacing w:line="240" w:lineRule="auto"/>
              <w:rPr>
                <w:noProof/>
              </w:rPr>
            </w:pPr>
            <w:r>
              <w:rPr>
                <w:noProof/>
              </w:rPr>
              <w:t xml:space="preserve">G1.1.4 Steun voor instellingen die REPowerEU-hervormingen en -investeringen uitvoeren </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513AA1C"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E71EF6F" w14:textId="77777777" w:rsidR="00480F1C" w:rsidRDefault="00A201F6">
            <w:pPr>
              <w:pStyle w:val="P68B1DB1-Normal46"/>
              <w:spacing w:line="240" w:lineRule="auto"/>
              <w:rPr>
                <w:noProof/>
              </w:rPr>
            </w:pPr>
            <w:r>
              <w:rPr>
                <w:noProof/>
              </w:rPr>
              <w:t>Publicatie van de technische specificatie van het IT-instrument voor de toepassing van het nieuwe regelgevingsmodel door het Bureau voor energieregulering</w:t>
            </w:r>
          </w:p>
        </w:tc>
      </w:tr>
      <w:tr w:rsidR="00480F1C" w14:paraId="2E6E9E56"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433DF57" w14:textId="77777777" w:rsidR="00480F1C" w:rsidRDefault="00A201F6">
            <w:pPr>
              <w:pStyle w:val="P68B1DB1-Normal46"/>
              <w:spacing w:line="240" w:lineRule="auto"/>
              <w:jc w:val="center"/>
              <w:rPr>
                <w:noProof/>
              </w:rPr>
            </w:pPr>
            <w:r>
              <w:rPr>
                <w:noProof/>
              </w:rPr>
              <w:t>G22G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50BBDFC" w14:textId="77777777" w:rsidR="00480F1C" w:rsidRDefault="00A201F6">
            <w:pPr>
              <w:pStyle w:val="P68B1DB1-Normal46"/>
              <w:spacing w:line="240" w:lineRule="auto"/>
              <w:rPr>
                <w:noProof/>
              </w:rPr>
            </w:pPr>
            <w:r>
              <w:rPr>
                <w:noProof/>
              </w:rPr>
              <w:t>G1.2.3 Ontwikkeling van transmissienetwerken, slimme elektriciteitsinfrastructuur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E843AEC" w14:textId="77777777" w:rsidR="00480F1C" w:rsidRDefault="00A201F6">
            <w:pPr>
              <w:pStyle w:val="P68B1DB1-Normal46"/>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1D5496C" w14:textId="77777777" w:rsidR="00480F1C" w:rsidRDefault="00A201F6">
            <w:pPr>
              <w:pStyle w:val="P68B1DB1-Normal46"/>
              <w:spacing w:line="240" w:lineRule="auto"/>
              <w:rPr>
                <w:noProof/>
              </w:rPr>
            </w:pPr>
            <w:r>
              <w:rPr>
                <w:noProof/>
              </w:rPr>
              <w:t>Uitrol van ICT-systemen in het transmissienetwerk (aantal oplossingen)</w:t>
            </w:r>
          </w:p>
        </w:tc>
      </w:tr>
      <w:tr w:rsidR="00480F1C" w14:paraId="4CA4274B" w14:textId="77777777">
        <w:tc>
          <w:tcPr>
            <w:tcW w:w="1350" w:type="dxa"/>
            <w:tcBorders>
              <w:top w:val="single" w:sz="6" w:space="0" w:color="auto"/>
              <w:left w:val="single" w:sz="6" w:space="0" w:color="auto"/>
              <w:bottom w:val="single" w:sz="6" w:space="0" w:color="auto"/>
              <w:right w:val="single" w:sz="6" w:space="0" w:color="auto"/>
            </w:tcBorders>
            <w:shd w:val="clear" w:color="auto" w:fill="C6EFCE"/>
            <w:vAlign w:val="center"/>
          </w:tcPr>
          <w:p w14:paraId="64BD0482" w14:textId="77777777" w:rsidR="00480F1C" w:rsidRDefault="00480F1C">
            <w:pPr>
              <w:spacing w:line="240" w:lineRule="auto"/>
              <w:rPr>
                <w:rFonts w:ascii="Times New Roman" w:eastAsia="Times New Roman" w:hAnsi="Times New Roman" w:cs="Times New Roman"/>
                <w:noProof/>
              </w:rPr>
            </w:pPr>
          </w:p>
        </w:tc>
        <w:tc>
          <w:tcPr>
            <w:tcW w:w="3960" w:type="dxa"/>
            <w:tcBorders>
              <w:top w:val="single" w:sz="6" w:space="0" w:color="auto"/>
              <w:left w:val="single" w:sz="6" w:space="0" w:color="auto"/>
              <w:bottom w:val="single" w:sz="6" w:space="0" w:color="auto"/>
              <w:right w:val="single" w:sz="6" w:space="0" w:color="auto"/>
            </w:tcBorders>
            <w:shd w:val="clear" w:color="auto" w:fill="C6EFCE"/>
            <w:vAlign w:val="center"/>
          </w:tcPr>
          <w:p w14:paraId="4262E311"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vAlign w:val="center"/>
          </w:tcPr>
          <w:p w14:paraId="66ADD5F8" w14:textId="77777777" w:rsidR="00480F1C" w:rsidRDefault="00A201F6">
            <w:pPr>
              <w:pStyle w:val="P68B1DB1-Normal46"/>
              <w:spacing w:line="240" w:lineRule="auto"/>
              <w:rPr>
                <w:rFonts w:eastAsia="Times New Roman" w:cs="Times New Roman"/>
                <w:noProof/>
              </w:rPr>
            </w:pPr>
            <w:r>
              <w:rPr>
                <w:noProof/>
              </w:rPr>
              <w:t>Termijnbedrag</w:t>
            </w:r>
          </w:p>
        </w:tc>
        <w:tc>
          <w:tcPr>
            <w:tcW w:w="3927" w:type="dxa"/>
            <w:tcBorders>
              <w:top w:val="single" w:sz="6" w:space="0" w:color="auto"/>
              <w:left w:val="single" w:sz="6" w:space="0" w:color="auto"/>
              <w:bottom w:val="single" w:sz="6" w:space="0" w:color="auto"/>
              <w:right w:val="single" w:sz="6" w:space="0" w:color="auto"/>
            </w:tcBorders>
            <w:shd w:val="clear" w:color="auto" w:fill="C6EFCE"/>
            <w:vAlign w:val="center"/>
          </w:tcPr>
          <w:p w14:paraId="35F68048" w14:textId="77777777" w:rsidR="00480F1C" w:rsidRDefault="00A201F6">
            <w:pPr>
              <w:pStyle w:val="P68B1DB1-Normal46"/>
              <w:spacing w:line="240" w:lineRule="auto"/>
              <w:rPr>
                <w:rFonts w:eastAsia="Times New Roman" w:cs="Times New Roman"/>
                <w:noProof/>
              </w:rPr>
            </w:pPr>
            <w:r>
              <w:rPr>
                <w:noProof/>
              </w:rPr>
              <w:t xml:space="preserve">EUR 3 001 761 591 </w:t>
            </w:r>
          </w:p>
        </w:tc>
      </w:tr>
    </w:tbl>
    <w:p w14:paraId="5084399E" w14:textId="77777777" w:rsidR="00480F1C" w:rsidRDefault="00480F1C">
      <w:pPr>
        <w:spacing w:before="120" w:after="120" w:line="240" w:lineRule="auto"/>
        <w:rPr>
          <w:rFonts w:ascii="Times New Roman" w:eastAsia="Times New Roman" w:hAnsi="Times New Roman" w:cs="Times New Roman"/>
          <w:noProof/>
          <w:color w:val="000000" w:themeColor="text1"/>
        </w:rPr>
      </w:pPr>
    </w:p>
    <w:p w14:paraId="7BA34646" w14:textId="77777777" w:rsidR="00480F1C" w:rsidRDefault="00A201F6">
      <w:pPr>
        <w:pStyle w:val="P68B1DB1-Normal45"/>
        <w:spacing w:before="120" w:after="120" w:line="240" w:lineRule="auto"/>
        <w:rPr>
          <w:rFonts w:eastAsia="Times New Roman" w:cs="Times New Roman"/>
          <w:noProof/>
        </w:rPr>
      </w:pPr>
      <w:r>
        <w:rPr>
          <w:noProof/>
        </w:rPr>
        <w:t>2.1.8 achtste tranche (niet-terugvorderbare steun):</w:t>
      </w:r>
    </w:p>
    <w:tbl>
      <w:tblPr>
        <w:tblW w:w="10482" w:type="dxa"/>
        <w:tblLayout w:type="fixed"/>
        <w:tblLook w:val="0000" w:firstRow="0" w:lastRow="0" w:firstColumn="0" w:lastColumn="0" w:noHBand="0" w:noVBand="0"/>
      </w:tblPr>
      <w:tblGrid>
        <w:gridCol w:w="1350"/>
        <w:gridCol w:w="3960"/>
        <w:gridCol w:w="1245"/>
        <w:gridCol w:w="3927"/>
      </w:tblGrid>
      <w:tr w:rsidR="00480F1C" w14:paraId="07B48AF2" w14:textId="77777777">
        <w:trPr>
          <w:trHeight w:val="951"/>
          <w:tblHeader/>
        </w:trPr>
        <w:tc>
          <w:tcPr>
            <w:tcW w:w="1350" w:type="dxa"/>
            <w:tcBorders>
              <w:top w:val="single" w:sz="6" w:space="0" w:color="auto"/>
              <w:left w:val="single" w:sz="6" w:space="0" w:color="auto"/>
              <w:bottom w:val="single" w:sz="6" w:space="0" w:color="auto"/>
              <w:right w:val="single" w:sz="6" w:space="0" w:color="auto"/>
            </w:tcBorders>
            <w:shd w:val="clear" w:color="auto" w:fill="BDD6EE"/>
            <w:vAlign w:val="center"/>
          </w:tcPr>
          <w:p w14:paraId="41CBF081" w14:textId="77777777" w:rsidR="00480F1C" w:rsidRDefault="00A201F6">
            <w:pPr>
              <w:pStyle w:val="P68B1DB1-Normal42"/>
              <w:spacing w:line="240" w:lineRule="auto"/>
              <w:jc w:val="center"/>
              <w:rPr>
                <w:rFonts w:eastAsia="Times New Roman" w:cs="Times New Roman"/>
                <w:noProof/>
              </w:rPr>
            </w:pPr>
            <w:r>
              <w:rPr>
                <w:noProof/>
              </w:rPr>
              <w:t>Volgnummer</w:t>
            </w:r>
          </w:p>
        </w:tc>
        <w:tc>
          <w:tcPr>
            <w:tcW w:w="3960" w:type="dxa"/>
            <w:tcBorders>
              <w:top w:val="single" w:sz="6" w:space="0" w:color="auto"/>
              <w:left w:val="single" w:sz="6" w:space="0" w:color="auto"/>
              <w:bottom w:val="single" w:sz="6" w:space="0" w:color="auto"/>
              <w:right w:val="single" w:sz="6" w:space="0" w:color="auto"/>
            </w:tcBorders>
            <w:shd w:val="clear" w:color="auto" w:fill="BDD6EE"/>
            <w:vAlign w:val="center"/>
          </w:tcPr>
          <w:p w14:paraId="47D64F1E" w14:textId="77777777" w:rsidR="00480F1C" w:rsidRDefault="00A201F6">
            <w:pPr>
              <w:pStyle w:val="P68B1DB1-Normal42"/>
              <w:spacing w:line="240" w:lineRule="auto"/>
              <w:jc w:val="center"/>
              <w:rPr>
                <w:rFonts w:eastAsia="Times New Roman" w:cs="Times New Roman"/>
                <w:noProof/>
              </w:rPr>
            </w:pPr>
            <w:r>
              <w:rPr>
                <w:noProof/>
              </w:rPr>
              <w:t>Gerelateerde maatregel (hervorming of investering)</w:t>
            </w:r>
          </w:p>
        </w:tc>
        <w:tc>
          <w:tcPr>
            <w:tcW w:w="1245" w:type="dxa"/>
            <w:tcBorders>
              <w:top w:val="single" w:sz="6" w:space="0" w:color="auto"/>
              <w:left w:val="single" w:sz="6" w:space="0" w:color="auto"/>
              <w:bottom w:val="single" w:sz="6" w:space="0" w:color="auto"/>
              <w:right w:val="single" w:sz="6" w:space="0" w:color="auto"/>
            </w:tcBorders>
            <w:shd w:val="clear" w:color="auto" w:fill="BDD6EE"/>
            <w:vAlign w:val="center"/>
          </w:tcPr>
          <w:p w14:paraId="03A60BF7" w14:textId="77777777" w:rsidR="00480F1C" w:rsidRDefault="00A201F6">
            <w:pPr>
              <w:pStyle w:val="P68B1DB1-Normal42"/>
              <w:spacing w:line="240" w:lineRule="auto"/>
              <w:jc w:val="center"/>
              <w:rPr>
                <w:rFonts w:eastAsia="Times New Roman" w:cs="Times New Roman"/>
                <w:noProof/>
              </w:rPr>
            </w:pPr>
            <w:r>
              <w:rPr>
                <w:noProof/>
              </w:rPr>
              <w:t>Mijlpaal/Doelstelling</w:t>
            </w:r>
          </w:p>
        </w:tc>
        <w:tc>
          <w:tcPr>
            <w:tcW w:w="3927" w:type="dxa"/>
            <w:tcBorders>
              <w:top w:val="single" w:sz="6" w:space="0" w:color="auto"/>
              <w:left w:val="single" w:sz="6" w:space="0" w:color="auto"/>
              <w:bottom w:val="single" w:sz="6" w:space="0" w:color="auto"/>
              <w:right w:val="single" w:sz="6" w:space="0" w:color="auto"/>
            </w:tcBorders>
            <w:shd w:val="clear" w:color="auto" w:fill="BDD6EE"/>
            <w:vAlign w:val="center"/>
          </w:tcPr>
          <w:p w14:paraId="1425C2F2" w14:textId="77777777" w:rsidR="00480F1C" w:rsidRDefault="00A201F6">
            <w:pPr>
              <w:pStyle w:val="P68B1DB1-Normal42"/>
              <w:spacing w:line="240" w:lineRule="auto"/>
              <w:jc w:val="center"/>
              <w:rPr>
                <w:rFonts w:eastAsia="Times New Roman" w:cs="Times New Roman"/>
                <w:noProof/>
              </w:rPr>
            </w:pPr>
            <w:r>
              <w:rPr>
                <w:noProof/>
              </w:rPr>
              <w:t>Naam</w:t>
            </w:r>
          </w:p>
        </w:tc>
      </w:tr>
      <w:tr w:rsidR="00480F1C" w14:paraId="68DD7DAD"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4430EE7" w14:textId="77777777" w:rsidR="00480F1C" w:rsidRDefault="00A201F6">
            <w:pPr>
              <w:pStyle w:val="P68B1DB1-Normal46"/>
              <w:spacing w:line="240" w:lineRule="auto"/>
              <w:jc w:val="center"/>
              <w:rPr>
                <w:rFonts w:eastAsia="Times New Roman" w:cs="Times New Roman"/>
                <w:noProof/>
              </w:rPr>
            </w:pPr>
            <w:r>
              <w:rPr>
                <w:noProof/>
              </w:rPr>
              <w:t>A21G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B9F751C" w14:textId="77777777" w:rsidR="00480F1C" w:rsidRDefault="00A201F6">
            <w:pPr>
              <w:pStyle w:val="P68B1DB1-Normal46"/>
              <w:spacing w:line="240" w:lineRule="auto"/>
              <w:rPr>
                <w:rFonts w:eastAsia="Times New Roman" w:cs="Times New Roman"/>
                <w:noProof/>
              </w:rPr>
            </w:pPr>
            <w:r>
              <w:rPr>
                <w:noProof/>
              </w:rPr>
              <w:t>A1.4.1 Investeringen om de toeleveringsketen van landbouw- en voedingsproducten te diversifiëren en te verkorten en de veerkracht van de entiteiten in de keten op te bouwen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F5C67B1"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702FE2B" w14:textId="77777777" w:rsidR="00480F1C" w:rsidRDefault="00A201F6">
            <w:pPr>
              <w:pStyle w:val="P68B1DB1-Normal46"/>
              <w:spacing w:line="240" w:lineRule="auto"/>
              <w:rPr>
                <w:rFonts w:eastAsia="Times New Roman" w:cs="Times New Roman"/>
                <w:noProof/>
              </w:rPr>
            </w:pPr>
            <w:r>
              <w:rPr>
                <w:noProof/>
              </w:rPr>
              <w:t>Distributie- en opslagcentra die zijn gebouwd of gemoderniseerd en groothandelsmarkten die zijn gemoderniseerd</w:t>
            </w:r>
          </w:p>
        </w:tc>
      </w:tr>
      <w:tr w:rsidR="00480F1C" w14:paraId="540D47F3"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42B4FAF" w14:textId="77777777" w:rsidR="00480F1C" w:rsidRDefault="00A201F6">
            <w:pPr>
              <w:pStyle w:val="P68B1DB1-Normal46"/>
              <w:spacing w:line="240" w:lineRule="auto"/>
              <w:jc w:val="center"/>
              <w:rPr>
                <w:rFonts w:eastAsia="Times New Roman" w:cs="Times New Roman"/>
                <w:noProof/>
              </w:rPr>
            </w:pPr>
            <w:r>
              <w:rPr>
                <w:noProof/>
              </w:rPr>
              <w:t>A23G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C9CAD63" w14:textId="77777777" w:rsidR="00480F1C" w:rsidRDefault="00A201F6">
            <w:pPr>
              <w:pStyle w:val="P68B1DB1-Normal46"/>
              <w:spacing w:line="240" w:lineRule="auto"/>
              <w:rPr>
                <w:rFonts w:eastAsia="Times New Roman" w:cs="Times New Roman"/>
                <w:noProof/>
              </w:rPr>
            </w:pPr>
            <w:r>
              <w:rPr>
                <w:noProof/>
              </w:rPr>
              <w:t>A1.4.1 Investeringen om de toeleveringsketen van landbouw- en voedingsproducten te diversifiëren en te verkorten en de veerkracht van de entiteiten in de keten op te bouwen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1B48D61"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6A0709F" w14:textId="77777777" w:rsidR="00480F1C" w:rsidRDefault="00A201F6">
            <w:pPr>
              <w:pStyle w:val="P68B1DB1-Normal46"/>
              <w:spacing w:line="240" w:lineRule="auto"/>
              <w:rPr>
                <w:rFonts w:eastAsia="Times New Roman" w:cs="Times New Roman"/>
                <w:noProof/>
              </w:rPr>
            </w:pPr>
            <w:r>
              <w:rPr>
                <w:noProof/>
              </w:rPr>
              <w:t>Kmo’s in de agrovoedingssector die projecten hebben afgerond om hun infrastructuur en uitrusting te moderniseren</w:t>
            </w:r>
          </w:p>
        </w:tc>
      </w:tr>
      <w:tr w:rsidR="00480F1C" w14:paraId="1C84B9E7"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C8E0AFD" w14:textId="77777777" w:rsidR="00480F1C" w:rsidRDefault="00A201F6">
            <w:pPr>
              <w:pStyle w:val="P68B1DB1-Normal46"/>
              <w:spacing w:line="240" w:lineRule="auto"/>
              <w:jc w:val="center"/>
              <w:rPr>
                <w:rFonts w:eastAsia="Times New Roman" w:cs="Times New Roman"/>
                <w:noProof/>
              </w:rPr>
            </w:pPr>
            <w:r>
              <w:rPr>
                <w:noProof/>
              </w:rPr>
              <w:t>A24G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0484EAD" w14:textId="77777777" w:rsidR="00480F1C" w:rsidRDefault="00A201F6">
            <w:pPr>
              <w:pStyle w:val="P68B1DB1-Normal46"/>
              <w:spacing w:line="240" w:lineRule="auto"/>
              <w:rPr>
                <w:rFonts w:eastAsia="Times New Roman" w:cs="Times New Roman"/>
                <w:noProof/>
              </w:rPr>
            </w:pPr>
            <w:r>
              <w:rPr>
                <w:noProof/>
              </w:rPr>
              <w:t>A1.4.1 Investeringen om de toeleveringsketen van landbouw- en voedingsproducten te diversifiëren en te verkorten en de veerkracht van de entiteiten in de keten op te bouwen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0FEF041"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F53CA4E" w14:textId="77777777" w:rsidR="00480F1C" w:rsidRDefault="00A201F6">
            <w:pPr>
              <w:pStyle w:val="P68B1DB1-Normal46"/>
              <w:spacing w:line="240" w:lineRule="auto"/>
              <w:rPr>
                <w:rFonts w:eastAsia="Times New Roman" w:cs="Times New Roman"/>
                <w:noProof/>
              </w:rPr>
            </w:pPr>
            <w:r>
              <w:rPr>
                <w:noProof/>
              </w:rPr>
              <w:t>Liefdadigheidsorganisaties in de levensmiddelensector die projecten hebben afgerond om hun infrastructuur en uitrusting te moderniseren</w:t>
            </w:r>
          </w:p>
        </w:tc>
      </w:tr>
      <w:tr w:rsidR="00480F1C" w14:paraId="11684872"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ADC82CC" w14:textId="77777777" w:rsidR="00480F1C" w:rsidRDefault="00A201F6">
            <w:pPr>
              <w:pStyle w:val="P68B1DB1-Normal46"/>
              <w:spacing w:line="240" w:lineRule="auto"/>
              <w:jc w:val="center"/>
              <w:rPr>
                <w:rFonts w:eastAsia="Times New Roman" w:cs="Times New Roman"/>
                <w:noProof/>
              </w:rPr>
            </w:pPr>
            <w:r>
              <w:rPr>
                <w:noProof/>
              </w:rPr>
              <w:t>A26G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892A892" w14:textId="77777777" w:rsidR="00480F1C" w:rsidRDefault="00A201F6">
            <w:pPr>
              <w:pStyle w:val="P68B1DB1-Normal46"/>
              <w:spacing w:line="240" w:lineRule="auto"/>
              <w:rPr>
                <w:rFonts w:eastAsia="Times New Roman" w:cs="Times New Roman"/>
                <w:noProof/>
              </w:rPr>
            </w:pPr>
            <w:r>
              <w:rPr>
                <w:noProof/>
              </w:rPr>
              <w:t>A1.4.1 Investeringen om de toeleveringsketen van landbouw- en voedingsproducten te diversifiëren en te verkorten en de veerkracht van de entiteiten in de keten op te bouwen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D59C86C"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86AB9D7" w14:textId="77777777" w:rsidR="00480F1C" w:rsidRDefault="00A201F6">
            <w:pPr>
              <w:pStyle w:val="P68B1DB1-Normal46"/>
              <w:spacing w:line="240" w:lineRule="auto"/>
              <w:rPr>
                <w:rFonts w:eastAsia="Times New Roman" w:cs="Times New Roman"/>
                <w:noProof/>
              </w:rPr>
            </w:pPr>
            <w:r>
              <w:rPr>
                <w:noProof/>
              </w:rPr>
              <w:t>Landbouwers en vissers die projecten hebben afgerond om hun infrastructuur en uitrusting te moderniseren, de voedselvoorzieningsketens te verkorten en landbouwoplossingen toe te passen 4.0 in productieprocessen</w:t>
            </w:r>
          </w:p>
        </w:tc>
      </w:tr>
      <w:tr w:rsidR="00480F1C" w14:paraId="6178952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8B000FF" w14:textId="77777777" w:rsidR="00480F1C" w:rsidRDefault="00A201F6">
            <w:pPr>
              <w:pStyle w:val="P68B1DB1-Normal46"/>
              <w:spacing w:line="240" w:lineRule="auto"/>
              <w:jc w:val="center"/>
              <w:rPr>
                <w:rFonts w:eastAsia="Times New Roman" w:cs="Times New Roman"/>
                <w:noProof/>
              </w:rPr>
            </w:pPr>
            <w:r>
              <w:rPr>
                <w:noProof/>
              </w:rPr>
              <w:t>A32G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32330B2" w14:textId="77777777" w:rsidR="00480F1C" w:rsidRDefault="00A201F6">
            <w:pPr>
              <w:pStyle w:val="P68B1DB1-Normal46"/>
              <w:spacing w:line="240" w:lineRule="auto"/>
              <w:rPr>
                <w:rFonts w:eastAsia="Times New Roman" w:cs="Times New Roman"/>
                <w:noProof/>
              </w:rPr>
            </w:pPr>
            <w:r>
              <w:rPr>
                <w:noProof/>
              </w:rPr>
              <w:t>A2.2.1 Investeringen in de uitrol van milieutechnologieën en innovatie, met inbegrip van investeringen in verband met de circulaire economie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80FF262"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6D26BA6" w14:textId="77777777" w:rsidR="00480F1C" w:rsidRDefault="00A201F6">
            <w:pPr>
              <w:pStyle w:val="P68B1DB1-Normal46"/>
              <w:spacing w:line="240" w:lineRule="auto"/>
              <w:rPr>
                <w:rFonts w:eastAsia="Times New Roman" w:cs="Times New Roman"/>
                <w:noProof/>
              </w:rPr>
            </w:pPr>
            <w:r>
              <w:rPr>
                <w:noProof/>
              </w:rPr>
              <w:t xml:space="preserve">Ondertekende subsidieovereenkomsten voor projecten ter ondersteuning van de ontwikkeling van technologieën die bijdragen tot de totstandbrenging van een markt voor secundaire grondstoffen  </w:t>
            </w:r>
          </w:p>
        </w:tc>
      </w:tr>
      <w:tr w:rsidR="00480F1C" w14:paraId="29730E3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9FF98F7" w14:textId="77777777" w:rsidR="00480F1C" w:rsidRDefault="00A201F6">
            <w:pPr>
              <w:pStyle w:val="P68B1DB1-Normal46"/>
              <w:spacing w:line="240" w:lineRule="auto"/>
              <w:jc w:val="center"/>
              <w:rPr>
                <w:rFonts w:eastAsia="Times New Roman" w:cs="Times New Roman"/>
                <w:noProof/>
              </w:rPr>
            </w:pPr>
            <w:r>
              <w:rPr>
                <w:noProof/>
              </w:rPr>
              <w:t>A34G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D9C2FB9" w14:textId="77777777" w:rsidR="00480F1C" w:rsidRDefault="00A201F6">
            <w:pPr>
              <w:pStyle w:val="P68B1DB1-Normal46"/>
              <w:spacing w:line="240" w:lineRule="auto"/>
              <w:rPr>
                <w:rFonts w:eastAsia="Times New Roman" w:cs="Times New Roman"/>
                <w:noProof/>
              </w:rPr>
            </w:pPr>
            <w:r>
              <w:rPr>
                <w:noProof/>
              </w:rPr>
              <w:t>A2.3.1 Ontwikkeling en uitrusting van kenniscentra (onder meer gespecialiseerde opleidingscentra, centra voor uitvoeringsondersteuning, waarnemingsposten) en infrastructuur voor het beheer van de onbemande voertuigenindustrie, als ecosysteem voor innovatie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BDF8694"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93AA25A" w14:textId="77777777" w:rsidR="00480F1C" w:rsidRDefault="00A201F6">
            <w:pPr>
              <w:pStyle w:val="P68B1DB1-Normal46"/>
              <w:spacing w:line="240" w:lineRule="auto"/>
              <w:rPr>
                <w:rFonts w:eastAsia="Times New Roman" w:cs="Times New Roman"/>
                <w:noProof/>
              </w:rPr>
            </w:pPr>
            <w:r>
              <w:rPr>
                <w:noProof/>
              </w:rPr>
              <w:t>T1 — Plaatselijke centra en infrastructuur voor onbemande voertuigen, voltooid door de lokale overheid of een aangewezen entiteit om lokaal te opereren</w:t>
            </w:r>
          </w:p>
        </w:tc>
      </w:tr>
      <w:tr w:rsidR="00480F1C" w14:paraId="13CECCB1"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DF544AC" w14:textId="77777777" w:rsidR="00480F1C" w:rsidRDefault="00A201F6">
            <w:pPr>
              <w:pStyle w:val="P68B1DB1-Normal46"/>
              <w:spacing w:line="240" w:lineRule="auto"/>
              <w:jc w:val="center"/>
              <w:rPr>
                <w:rFonts w:eastAsia="Times New Roman" w:cs="Times New Roman"/>
                <w:noProof/>
              </w:rPr>
            </w:pPr>
            <w:r>
              <w:rPr>
                <w:noProof/>
              </w:rPr>
              <w:t>A40G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5585B85" w14:textId="77777777" w:rsidR="00480F1C" w:rsidRDefault="00A201F6">
            <w:pPr>
              <w:pStyle w:val="P68B1DB1-Normal46"/>
              <w:spacing w:line="240" w:lineRule="auto"/>
              <w:rPr>
                <w:rFonts w:eastAsia="Times New Roman" w:cs="Times New Roman"/>
                <w:noProof/>
              </w:rPr>
            </w:pPr>
            <w:r>
              <w:rPr>
                <w:noProof/>
              </w:rPr>
              <w:t>A2.4.1 Investeringen in de ontwikkeling van onderzoekscapaciteiten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9BBB969"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1C4BE8C" w14:textId="77777777" w:rsidR="00480F1C" w:rsidRDefault="00A201F6">
            <w:pPr>
              <w:pStyle w:val="P68B1DB1-Normal46"/>
              <w:spacing w:line="240" w:lineRule="auto"/>
              <w:rPr>
                <w:rFonts w:eastAsia="Times New Roman" w:cs="Times New Roman"/>
                <w:noProof/>
              </w:rPr>
            </w:pPr>
            <w:r>
              <w:rPr>
                <w:noProof/>
              </w:rPr>
              <w:t>Laboratoria met moderne onderzoeks- en analytische infrastructuur in instellingen die onder toezicht staan van en/of ressorteren onder het ministerie van Onderwijs en Wetenschappen en het ministerie van Landbouw en Plattelandsontwikkeling</w:t>
            </w:r>
          </w:p>
        </w:tc>
      </w:tr>
      <w:tr w:rsidR="00480F1C" w14:paraId="2EFBD4FF"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F8F4EE1" w14:textId="77777777" w:rsidR="00480F1C" w:rsidRDefault="00A201F6">
            <w:pPr>
              <w:pStyle w:val="P68B1DB1-Normal46"/>
              <w:spacing w:line="240" w:lineRule="auto"/>
              <w:jc w:val="center"/>
              <w:rPr>
                <w:rFonts w:eastAsia="Times New Roman" w:cs="Times New Roman"/>
                <w:noProof/>
              </w:rPr>
            </w:pPr>
            <w:r>
              <w:rPr>
                <w:noProof/>
              </w:rPr>
              <w:t>A45G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7D210DD" w14:textId="77777777" w:rsidR="00480F1C" w:rsidRDefault="00A201F6">
            <w:pPr>
              <w:pStyle w:val="P68B1DB1-Normal46"/>
              <w:spacing w:line="240" w:lineRule="auto"/>
              <w:rPr>
                <w:rFonts w:eastAsia="Times New Roman" w:cs="Times New Roman"/>
                <w:noProof/>
              </w:rPr>
            </w:pPr>
            <w:r>
              <w:rPr>
                <w:noProof/>
              </w:rPr>
              <w:t>A3.1.1 Investeringen in moderne beroepsopleiding, hoger onderwijs en een leven lang leren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0DDC355"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69B4D93" w14:textId="77777777" w:rsidR="00480F1C" w:rsidRDefault="00A201F6">
            <w:pPr>
              <w:pStyle w:val="P68B1DB1-Normal46"/>
              <w:spacing w:line="240" w:lineRule="auto"/>
              <w:rPr>
                <w:rFonts w:eastAsia="Times New Roman" w:cs="Times New Roman"/>
                <w:noProof/>
              </w:rPr>
            </w:pPr>
            <w:r>
              <w:rPr>
                <w:noProof/>
              </w:rPr>
              <w:t>T2 — Opzetten van een netwerk van functionerende centra voor sectorale vaardigheden die gerichte bij- en omscholing bieden die zeer relevant zijn voor de behoeften van de arbeidsmarkt</w:t>
            </w:r>
          </w:p>
        </w:tc>
      </w:tr>
      <w:tr w:rsidR="00480F1C" w14:paraId="18F83CF4"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E271740" w14:textId="77777777" w:rsidR="00480F1C" w:rsidRDefault="00A201F6">
            <w:pPr>
              <w:pStyle w:val="P68B1DB1-Normal46"/>
              <w:spacing w:line="240" w:lineRule="auto"/>
              <w:jc w:val="center"/>
              <w:rPr>
                <w:rFonts w:eastAsia="Times New Roman" w:cs="Times New Roman"/>
                <w:noProof/>
              </w:rPr>
            </w:pPr>
            <w:r>
              <w:rPr>
                <w:noProof/>
              </w:rPr>
              <w:t>A47G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CB3B936" w14:textId="77777777" w:rsidR="00480F1C" w:rsidRDefault="00A201F6">
            <w:pPr>
              <w:pStyle w:val="P68B1DB1-Normal46"/>
              <w:spacing w:line="240" w:lineRule="auto"/>
              <w:rPr>
                <w:rFonts w:eastAsia="Times New Roman" w:cs="Times New Roman"/>
                <w:noProof/>
              </w:rPr>
            </w:pPr>
            <w:r>
              <w:rPr>
                <w:noProof/>
              </w:rPr>
              <w:t>A3.1.1 Investeringen in moderne beroepsopleiding, hoger onderwijs en een leven lang leren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5D5009E"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785897C" w14:textId="77777777" w:rsidR="00480F1C" w:rsidRDefault="00A201F6">
            <w:pPr>
              <w:pStyle w:val="P68B1DB1-Normal46"/>
              <w:spacing w:line="240" w:lineRule="auto"/>
              <w:rPr>
                <w:rFonts w:eastAsia="Times New Roman" w:cs="Times New Roman"/>
                <w:noProof/>
              </w:rPr>
            </w:pPr>
            <w:r>
              <w:rPr>
                <w:noProof/>
              </w:rPr>
              <w:t>T2 — Vaardigheden voor lerenden in de centra voor sectorale vaardigheden, met inbegrip van certificering van leerresultaten (vaardigheden), afgegeven en erkend door de sector</w:t>
            </w:r>
          </w:p>
        </w:tc>
      </w:tr>
      <w:tr w:rsidR="00480F1C" w14:paraId="60E131B5"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6472D7E" w14:textId="77777777" w:rsidR="00480F1C" w:rsidRDefault="00A201F6">
            <w:pPr>
              <w:pStyle w:val="P68B1DB1-Normal46"/>
              <w:spacing w:line="240" w:lineRule="auto"/>
              <w:jc w:val="center"/>
              <w:rPr>
                <w:rFonts w:eastAsia="Times New Roman" w:cs="Times New Roman"/>
                <w:noProof/>
              </w:rPr>
            </w:pPr>
            <w:r>
              <w:rPr>
                <w:noProof/>
              </w:rPr>
              <w:t>A64G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3A8EDDF" w14:textId="77777777" w:rsidR="00480F1C" w:rsidRDefault="00A201F6">
            <w:pPr>
              <w:pStyle w:val="P68B1DB1-Normal46"/>
              <w:spacing w:line="240" w:lineRule="auto"/>
              <w:rPr>
                <w:rFonts w:eastAsia="Times New Roman" w:cs="Times New Roman"/>
                <w:noProof/>
              </w:rPr>
            </w:pPr>
            <w:r>
              <w:rPr>
                <w:noProof/>
              </w:rPr>
              <w:t>A4.3.1 Programma’s ter ondersteuning van investeringen die het met name mogelijk maken activiteiten te ontwikkelen, de deelname aan de uitvoering van sociale diensten te vergroten en de kwaliteit van de integratie in entiteiten van de sociale economie te verbeteren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2BA7F92"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7BCCBBF" w14:textId="77777777" w:rsidR="00480F1C" w:rsidRDefault="00A201F6">
            <w:pPr>
              <w:pStyle w:val="P68B1DB1-Normal46"/>
              <w:spacing w:line="240" w:lineRule="auto"/>
              <w:rPr>
                <w:rFonts w:eastAsia="Times New Roman" w:cs="Times New Roman"/>
                <w:noProof/>
              </w:rPr>
            </w:pPr>
            <w:r>
              <w:rPr>
                <w:noProof/>
              </w:rPr>
              <w:t>Aantal entiteiten van de sociale economie, met inbegrip van sociale ondernemingen, dat financiële steun ontvangt</w:t>
            </w:r>
          </w:p>
        </w:tc>
      </w:tr>
      <w:tr w:rsidR="00480F1C" w14:paraId="49D2DDD7"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A3CC5FF" w14:textId="77777777" w:rsidR="00480F1C" w:rsidRDefault="00A201F6">
            <w:pPr>
              <w:pStyle w:val="P68B1DB1-Normal46"/>
              <w:spacing w:line="240" w:lineRule="auto"/>
              <w:jc w:val="center"/>
              <w:rPr>
                <w:rFonts w:eastAsia="Times New Roman" w:cs="Times New Roman"/>
                <w:noProof/>
              </w:rPr>
            </w:pPr>
            <w:r>
              <w:rPr>
                <w:noProof/>
              </w:rPr>
              <w:t>B41G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88487ED" w14:textId="77777777" w:rsidR="00480F1C" w:rsidRDefault="00A201F6">
            <w:pPr>
              <w:pStyle w:val="P68B1DB1-Normal46"/>
              <w:spacing w:line="240" w:lineRule="auto"/>
              <w:rPr>
                <w:rFonts w:eastAsia="Times New Roman" w:cs="Times New Roman"/>
                <w:noProof/>
              </w:rPr>
            </w:pPr>
            <w:r>
              <w:rPr>
                <w:noProof/>
              </w:rPr>
              <w:t>B3.1.1 Investeringen in afvalwaterzuiveringssystemen en watervoorziening in plattelandsgebieden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F5F6318"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9695AF3" w14:textId="77777777" w:rsidR="00480F1C" w:rsidRDefault="00A201F6">
            <w:pPr>
              <w:pStyle w:val="P68B1DB1-Normal46"/>
              <w:spacing w:line="240" w:lineRule="auto"/>
              <w:rPr>
                <w:rFonts w:eastAsia="Times New Roman" w:cs="Times New Roman"/>
                <w:noProof/>
              </w:rPr>
            </w:pPr>
            <w:r>
              <w:rPr>
                <w:noProof/>
              </w:rPr>
              <w:t>Aanvullende verbindingen van plattelandsbevolking in waterinfrastructuur</w:t>
            </w:r>
          </w:p>
        </w:tc>
      </w:tr>
      <w:tr w:rsidR="00480F1C" w14:paraId="675F2917"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9955879" w14:textId="77777777" w:rsidR="00480F1C" w:rsidRDefault="00A201F6">
            <w:pPr>
              <w:pStyle w:val="P68B1DB1-Normal46"/>
              <w:spacing w:line="240" w:lineRule="auto"/>
              <w:jc w:val="center"/>
              <w:rPr>
                <w:rFonts w:eastAsia="Times New Roman" w:cs="Times New Roman"/>
                <w:noProof/>
              </w:rPr>
            </w:pPr>
            <w:r>
              <w:rPr>
                <w:noProof/>
              </w:rPr>
              <w:t>C5G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16FEBDB" w14:textId="77777777" w:rsidR="00480F1C" w:rsidRDefault="00A201F6">
            <w:pPr>
              <w:pStyle w:val="P68B1DB1-Normal46"/>
              <w:spacing w:line="240" w:lineRule="auto"/>
              <w:rPr>
                <w:rFonts w:eastAsia="Times New Roman" w:cs="Times New Roman"/>
                <w:noProof/>
              </w:rPr>
            </w:pPr>
            <w:r>
              <w:rPr>
                <w:noProof/>
              </w:rPr>
              <w:t>C1.1.1 Zorgen voor toegang tot zeer snel internet in witte spots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DB7F87E"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5C4BBA4" w14:textId="77777777" w:rsidR="00480F1C" w:rsidRDefault="00A201F6">
            <w:pPr>
              <w:pStyle w:val="P68B1DB1-Normal46"/>
              <w:spacing w:line="240" w:lineRule="auto"/>
              <w:rPr>
                <w:rFonts w:eastAsia="Times New Roman" w:cs="Times New Roman"/>
                <w:noProof/>
              </w:rPr>
            </w:pPr>
            <w:r>
              <w:rPr>
                <w:noProof/>
              </w:rPr>
              <w:t>T2 — Bijkomende huishoudens (woningen) met breedbandinternettoegang met een capaciteit van ten minste 100 Mb/s (met de mogelijkheid om dit te verhogen tot gigabitcapaciteit)</w:t>
            </w:r>
          </w:p>
        </w:tc>
      </w:tr>
      <w:tr w:rsidR="00480F1C" w14:paraId="304AD4F8" w14:textId="77777777">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8B83F22" w14:textId="77777777" w:rsidR="00480F1C" w:rsidRDefault="00A201F6">
            <w:pPr>
              <w:pStyle w:val="P68B1DB1-Normal46"/>
              <w:spacing w:line="240" w:lineRule="auto"/>
              <w:jc w:val="center"/>
              <w:rPr>
                <w:noProof/>
              </w:rPr>
            </w:pPr>
            <w:r>
              <w:rPr>
                <w:noProof/>
              </w:rPr>
              <w:t>C6aG</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F5AC4C8" w14:textId="77777777" w:rsidR="00480F1C" w:rsidRDefault="00A201F6">
            <w:pPr>
              <w:pStyle w:val="P68B1DB1-Normal45"/>
              <w:spacing w:line="240" w:lineRule="auto"/>
              <w:rPr>
                <w:noProof/>
              </w:rPr>
            </w:pPr>
            <w:r>
              <w:rPr>
                <w:noProof/>
              </w:rPr>
              <w:t>C1.1.1 Zorgen voor toegang tot zeer snel internet in witte spots</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83C06CC" w14:textId="77777777" w:rsidR="00480F1C" w:rsidRDefault="00A201F6">
            <w:pPr>
              <w:pStyle w:val="P68B1DB1-Normal45"/>
              <w:spacing w:line="240" w:lineRule="auto"/>
              <w:jc w:val="center"/>
              <w:rPr>
                <w:noProof/>
              </w:rPr>
            </w:pPr>
            <w:r>
              <w:rPr>
                <w:noProof/>
              </w:rPr>
              <w:t>Doel</w:t>
            </w:r>
          </w:p>
        </w:tc>
        <w:tc>
          <w:tcPr>
            <w:tcW w:w="39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71DD874A" w14:textId="77777777" w:rsidR="00480F1C" w:rsidRDefault="00A201F6">
            <w:pPr>
              <w:pStyle w:val="P68B1DB1-Normal026"/>
              <w:pBdr>
                <w:top w:val="nil"/>
                <w:left w:val="nil"/>
                <w:bottom w:val="nil"/>
                <w:right w:val="nil"/>
                <w:between w:val="nil"/>
              </w:pBdr>
              <w:spacing w:after="0" w:line="240" w:lineRule="auto"/>
              <w:rPr>
                <w:rFonts w:eastAsia="Times New Roman" w:cs="Times New Roman"/>
                <w:noProof/>
              </w:rPr>
            </w:pPr>
            <w:r>
              <w:rPr>
                <w:noProof/>
              </w:rPr>
              <w:t>Klaslokalen op scholen die zijn uitgerust met een verbinding van het Local Area Network (LAN)</w:t>
            </w:r>
          </w:p>
          <w:p w14:paraId="5A9C1126" w14:textId="77777777" w:rsidR="00480F1C" w:rsidRDefault="00480F1C">
            <w:pPr>
              <w:spacing w:line="240" w:lineRule="auto"/>
              <w:rPr>
                <w:rFonts w:ascii="Times New Roman" w:hAnsi="Times New Roman"/>
                <w:noProof/>
              </w:rPr>
            </w:pPr>
          </w:p>
        </w:tc>
      </w:tr>
      <w:tr w:rsidR="00480F1C" w14:paraId="3E46DC7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1D8F2BA" w14:textId="77777777" w:rsidR="00480F1C" w:rsidRDefault="00A201F6">
            <w:pPr>
              <w:pStyle w:val="P68B1DB1-Normal46"/>
              <w:spacing w:line="240" w:lineRule="auto"/>
              <w:jc w:val="center"/>
              <w:rPr>
                <w:rFonts w:eastAsia="Times New Roman" w:cs="Times New Roman"/>
                <w:noProof/>
              </w:rPr>
            </w:pPr>
            <w:r>
              <w:rPr>
                <w:noProof/>
              </w:rPr>
              <w:t>C15G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AE4B219" w14:textId="77777777" w:rsidR="00480F1C" w:rsidRDefault="00A201F6">
            <w:pPr>
              <w:pStyle w:val="P68B1DB1-Normal46"/>
              <w:spacing w:line="240" w:lineRule="auto"/>
              <w:rPr>
                <w:rFonts w:eastAsia="Times New Roman" w:cs="Times New Roman"/>
                <w:noProof/>
              </w:rPr>
            </w:pPr>
            <w:r>
              <w:rPr>
                <w:noProof/>
              </w:rPr>
              <w:t>C2.1.2 Gelijk speelveld voor scholen met mobiele multimedia-apparatuur — investeringen in verband met de naleving van minimumnormen voor apparatuur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2912B77"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63D71E3" w14:textId="77777777" w:rsidR="00480F1C" w:rsidRDefault="00A201F6">
            <w:pPr>
              <w:pStyle w:val="P68B1DB1-Normal46"/>
              <w:spacing w:line="240" w:lineRule="auto"/>
              <w:rPr>
                <w:rFonts w:eastAsia="Times New Roman" w:cs="Times New Roman"/>
                <w:noProof/>
              </w:rPr>
            </w:pPr>
            <w:r>
              <w:rPr>
                <w:noProof/>
              </w:rPr>
              <w:t>Nieuwe draagbare computers voor studenten</w:t>
            </w:r>
          </w:p>
        </w:tc>
      </w:tr>
      <w:tr w:rsidR="00480F1C" w14:paraId="57BD54BE"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F84BA9D" w14:textId="77777777" w:rsidR="00480F1C" w:rsidRDefault="00A201F6">
            <w:pPr>
              <w:pStyle w:val="P68B1DB1-Normal46"/>
              <w:spacing w:line="240" w:lineRule="auto"/>
              <w:jc w:val="center"/>
              <w:rPr>
                <w:rFonts w:eastAsia="Times New Roman" w:cs="Times New Roman"/>
                <w:noProof/>
              </w:rPr>
            </w:pPr>
            <w:r>
              <w:rPr>
                <w:noProof/>
              </w:rPr>
              <w:t>C14G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1F7FCC3" w14:textId="77777777" w:rsidR="00480F1C" w:rsidRDefault="00A201F6">
            <w:pPr>
              <w:pStyle w:val="P68B1DB1-Normal46"/>
              <w:spacing w:line="240" w:lineRule="auto"/>
              <w:rPr>
                <w:rFonts w:eastAsia="Times New Roman" w:cs="Times New Roman"/>
                <w:noProof/>
              </w:rPr>
            </w:pPr>
            <w:r>
              <w:rPr>
                <w:noProof/>
              </w:rPr>
              <w:t>C2.1.2 Gelijk speelveld voor scholen met mobiele multimedia-apparatuur — investeringen in verband met de naleving van minimumnormen voor apparatuur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1A8BBFB"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1403851" w14:textId="77777777" w:rsidR="00480F1C" w:rsidRDefault="00A201F6">
            <w:pPr>
              <w:pStyle w:val="P68B1DB1-Normal46"/>
              <w:spacing w:line="240" w:lineRule="auto"/>
              <w:rPr>
                <w:rFonts w:eastAsia="Times New Roman" w:cs="Times New Roman"/>
                <w:noProof/>
              </w:rPr>
            </w:pPr>
            <w:r>
              <w:rPr>
                <w:noProof/>
              </w:rPr>
              <w:t>Nieuwe draagbare computers ter beschikking van leerkrachten</w:t>
            </w:r>
          </w:p>
        </w:tc>
      </w:tr>
      <w:tr w:rsidR="00480F1C" w14:paraId="55D477CF"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568CFBF" w14:textId="77777777" w:rsidR="00480F1C" w:rsidRDefault="00A201F6">
            <w:pPr>
              <w:pStyle w:val="P68B1DB1-Normal46"/>
              <w:spacing w:line="240" w:lineRule="auto"/>
              <w:jc w:val="center"/>
              <w:rPr>
                <w:rFonts w:eastAsia="Times New Roman" w:cs="Times New Roman"/>
                <w:noProof/>
              </w:rPr>
            </w:pPr>
            <w:r>
              <w:rPr>
                <w:noProof/>
              </w:rPr>
              <w:t>C26G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0F69A3E" w14:textId="77777777" w:rsidR="00480F1C" w:rsidRDefault="00A201F6">
            <w:pPr>
              <w:pStyle w:val="P68B1DB1-Normal46"/>
              <w:spacing w:line="240" w:lineRule="auto"/>
              <w:rPr>
                <w:rFonts w:eastAsia="Times New Roman" w:cs="Times New Roman"/>
                <w:noProof/>
              </w:rPr>
            </w:pPr>
            <w:r>
              <w:rPr>
                <w:noProof/>
              </w:rPr>
              <w:t>C3.1.1 CyberPL, infrastructuur voor gegevensverwerking en optimalisering van de infrastructuur van rechtshandhavingsdiensten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F881DC8"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3EB52CD" w14:textId="77777777" w:rsidR="00480F1C" w:rsidRDefault="00A201F6">
            <w:pPr>
              <w:pStyle w:val="P68B1DB1-Normal46"/>
              <w:spacing w:line="240" w:lineRule="auto"/>
              <w:rPr>
                <w:rFonts w:eastAsia="Times New Roman" w:cs="Times New Roman"/>
                <w:noProof/>
              </w:rPr>
            </w:pPr>
            <w:r>
              <w:rPr>
                <w:noProof/>
              </w:rPr>
              <w:t>Mobiele infrastructuur voor het crisisbeheersingssysteem</w:t>
            </w:r>
          </w:p>
        </w:tc>
      </w:tr>
      <w:tr w:rsidR="00480F1C" w14:paraId="1FBA15E2"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3052B45" w14:textId="77777777" w:rsidR="00480F1C" w:rsidRDefault="00A201F6">
            <w:pPr>
              <w:pStyle w:val="P68B1DB1-Normal46"/>
              <w:spacing w:line="240" w:lineRule="auto"/>
              <w:jc w:val="center"/>
              <w:rPr>
                <w:rFonts w:eastAsia="Times New Roman" w:cs="Times New Roman"/>
                <w:noProof/>
              </w:rPr>
            </w:pPr>
            <w:r>
              <w:rPr>
                <w:noProof/>
              </w:rPr>
              <w:t>D16G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859E590" w14:textId="77777777" w:rsidR="00480F1C" w:rsidRDefault="00A201F6">
            <w:pPr>
              <w:pStyle w:val="P68B1DB1-Normal46"/>
              <w:spacing w:line="240" w:lineRule="auto"/>
              <w:rPr>
                <w:rFonts w:eastAsia="Times New Roman" w:cs="Times New Roman"/>
                <w:noProof/>
              </w:rPr>
            </w:pPr>
            <w:r>
              <w:rPr>
                <w:noProof/>
              </w:rPr>
              <w:t>D1.1.2 Versnellen van de digitale transformatie van de gezondheid door de verdere ontwikkeling van digitale gezondheidsdiensten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BC88393"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66C9C6E" w14:textId="77777777" w:rsidR="00480F1C" w:rsidRDefault="00A201F6">
            <w:pPr>
              <w:pStyle w:val="P68B1DB1-Normal46"/>
              <w:spacing w:line="240" w:lineRule="auto"/>
              <w:rPr>
                <w:rFonts w:eastAsia="Times New Roman" w:cs="Times New Roman"/>
                <w:noProof/>
              </w:rPr>
            </w:pPr>
            <w:r>
              <w:rPr>
                <w:noProof/>
              </w:rPr>
              <w:t>Centrum voor beveiligingsoperaties (SOC) van het e-gezondheidscentrum</w:t>
            </w:r>
          </w:p>
        </w:tc>
      </w:tr>
      <w:tr w:rsidR="00480F1C" w14:paraId="674636B7"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0E6447C" w14:textId="77777777" w:rsidR="00480F1C" w:rsidRDefault="00A201F6">
            <w:pPr>
              <w:pStyle w:val="P68B1DB1-Normal46"/>
              <w:spacing w:line="240" w:lineRule="auto"/>
              <w:jc w:val="center"/>
              <w:rPr>
                <w:rFonts w:eastAsia="Times New Roman" w:cs="Times New Roman"/>
                <w:noProof/>
              </w:rPr>
            </w:pPr>
            <w:r>
              <w:rPr>
                <w:noProof/>
              </w:rPr>
              <w:t>D17G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CDE2A87" w14:textId="77777777" w:rsidR="00480F1C" w:rsidRDefault="00A201F6">
            <w:pPr>
              <w:pStyle w:val="P68B1DB1-Normal46"/>
              <w:spacing w:line="240" w:lineRule="auto"/>
              <w:rPr>
                <w:rFonts w:eastAsia="Times New Roman" w:cs="Times New Roman"/>
                <w:noProof/>
              </w:rPr>
            </w:pPr>
            <w:r>
              <w:rPr>
                <w:noProof/>
              </w:rPr>
              <w:t>D1.1.2 Versnellen van de digitale transformatie van de gezondheid door de verdere ontwikkeling van digitale gezondheidsdiensten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21262F2"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66AB8F4" w14:textId="77777777" w:rsidR="00480F1C" w:rsidRDefault="00A201F6">
            <w:pPr>
              <w:pStyle w:val="P68B1DB1-Normal46"/>
              <w:spacing w:line="240" w:lineRule="auto"/>
              <w:rPr>
                <w:rFonts w:eastAsia="Times New Roman" w:cs="Times New Roman"/>
                <w:noProof/>
              </w:rPr>
            </w:pPr>
            <w:r>
              <w:rPr>
                <w:noProof/>
              </w:rPr>
              <w:t>Centrum voor digitale medische documentatie</w:t>
            </w:r>
          </w:p>
        </w:tc>
      </w:tr>
      <w:tr w:rsidR="00480F1C" w14:paraId="161CCC91"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BADEEAA" w14:textId="77777777" w:rsidR="00480F1C" w:rsidRDefault="00A201F6">
            <w:pPr>
              <w:pStyle w:val="P68B1DB1-Normal46"/>
              <w:spacing w:line="240" w:lineRule="auto"/>
              <w:jc w:val="center"/>
              <w:rPr>
                <w:rFonts w:eastAsia="Times New Roman" w:cs="Times New Roman"/>
                <w:noProof/>
              </w:rPr>
            </w:pPr>
            <w:r>
              <w:rPr>
                <w:noProof/>
              </w:rPr>
              <w:t>D26G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AA99D9E" w14:textId="77777777" w:rsidR="00480F1C" w:rsidRDefault="00A201F6">
            <w:pPr>
              <w:pStyle w:val="P68B1DB1-Normal46"/>
              <w:spacing w:line="240" w:lineRule="auto"/>
              <w:rPr>
                <w:rFonts w:eastAsia="Times New Roman" w:cs="Times New Roman"/>
                <w:noProof/>
              </w:rPr>
            </w:pPr>
            <w:r>
              <w:rPr>
                <w:noProof/>
              </w:rPr>
              <w:t>D2.1 De juiste voorwaarden scheppen voor een toename van het aantal medisch personeel</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810702B"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9ABFD2F" w14:textId="77777777" w:rsidR="00480F1C" w:rsidRDefault="00A201F6">
            <w:pPr>
              <w:pStyle w:val="P68B1DB1-Normal46"/>
              <w:spacing w:line="240" w:lineRule="auto"/>
              <w:rPr>
                <w:rFonts w:eastAsia="Times New Roman" w:cs="Times New Roman"/>
                <w:noProof/>
              </w:rPr>
            </w:pPr>
            <w:r>
              <w:rPr>
                <w:noProof/>
              </w:rPr>
              <w:t>Aantal paramedicijnen die hun masterdiploma hebben afgerond</w:t>
            </w:r>
          </w:p>
        </w:tc>
      </w:tr>
      <w:tr w:rsidR="00480F1C" w14:paraId="4519BA52"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9E09E01" w14:textId="77777777" w:rsidR="00480F1C" w:rsidRDefault="00A201F6">
            <w:pPr>
              <w:pStyle w:val="P68B1DB1-Normal46"/>
              <w:spacing w:line="240" w:lineRule="auto"/>
              <w:jc w:val="center"/>
              <w:rPr>
                <w:rFonts w:eastAsia="Times New Roman" w:cs="Times New Roman"/>
                <w:noProof/>
              </w:rPr>
            </w:pPr>
            <w:r>
              <w:rPr>
                <w:noProof/>
              </w:rPr>
              <w:t>D31G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91A8991" w14:textId="77777777" w:rsidR="00480F1C" w:rsidRDefault="00A201F6">
            <w:pPr>
              <w:pStyle w:val="P68B1DB1-Normal46"/>
              <w:spacing w:line="240" w:lineRule="auto"/>
              <w:rPr>
                <w:rFonts w:eastAsia="Times New Roman" w:cs="Times New Roman"/>
                <w:noProof/>
              </w:rPr>
            </w:pPr>
            <w:r>
              <w:rPr>
                <w:noProof/>
              </w:rPr>
              <w:t>D2.1.1 Investeringen in verband met de modernisering en aanpassing van onderwijsvoorzieningen met het oog op een verhoging van de toelatingsgrenzen voor medische studies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A1C6D85"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FA26C18" w14:textId="77777777" w:rsidR="00480F1C" w:rsidRDefault="00A201F6">
            <w:pPr>
              <w:pStyle w:val="P68B1DB1-Normal46"/>
              <w:spacing w:line="240" w:lineRule="auto"/>
              <w:rPr>
                <w:rFonts w:eastAsia="Times New Roman" w:cs="Times New Roman"/>
                <w:noProof/>
              </w:rPr>
            </w:pPr>
            <w:r>
              <w:rPr>
                <w:noProof/>
              </w:rPr>
              <w:t>Aantal gemoderniseerde onderwijsfaciliteiten voor preklinisch onderwijs (met inbegrip van medische simulatiecentra), aangepaste faciliteiten van de klinische basis die in het onderwijs in centrale klinische ziekenhuizen wordt gebruikt, gemoderniseerde bibliotheekinfrastructuur en studentenslaapzalen aan medische universiteiten</w:t>
            </w:r>
          </w:p>
        </w:tc>
      </w:tr>
      <w:tr w:rsidR="00480F1C" w14:paraId="0D3C9BB5"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70DC152" w14:textId="77777777" w:rsidR="00480F1C" w:rsidRDefault="00A201F6">
            <w:pPr>
              <w:pStyle w:val="P68B1DB1-Normal46"/>
              <w:spacing w:line="240" w:lineRule="auto"/>
              <w:jc w:val="center"/>
              <w:rPr>
                <w:rFonts w:eastAsia="Times New Roman" w:cs="Times New Roman"/>
                <w:noProof/>
              </w:rPr>
            </w:pPr>
            <w:r>
              <w:rPr>
                <w:noProof/>
              </w:rPr>
              <w:t>E12G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5BE1EFC" w14:textId="77777777" w:rsidR="00480F1C" w:rsidRDefault="00A201F6">
            <w:pPr>
              <w:pStyle w:val="P68B1DB1-Normal46"/>
              <w:spacing w:line="240" w:lineRule="auto"/>
              <w:rPr>
                <w:rFonts w:eastAsia="Times New Roman" w:cs="Times New Roman"/>
                <w:noProof/>
              </w:rPr>
            </w:pPr>
            <w:r>
              <w:rPr>
                <w:noProof/>
              </w:rPr>
              <w:t>E1.1.1 Steun voor een koolstofarme economie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9B78C3A"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18B6F60" w14:textId="77777777" w:rsidR="00480F1C" w:rsidRDefault="00A201F6">
            <w:pPr>
              <w:pStyle w:val="P68B1DB1-Normal46"/>
              <w:spacing w:line="240" w:lineRule="auto"/>
              <w:rPr>
                <w:rFonts w:eastAsia="Times New Roman" w:cs="Times New Roman"/>
                <w:noProof/>
              </w:rPr>
            </w:pPr>
            <w:r>
              <w:rPr>
                <w:noProof/>
              </w:rPr>
              <w:t>Kmo’s en midcaps die worden ondersteund door de specifieke investeringen waarop het fonds is gericht</w:t>
            </w:r>
          </w:p>
        </w:tc>
      </w:tr>
      <w:tr w:rsidR="00480F1C" w14:paraId="03E40DD3"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92E1C88" w14:textId="77777777" w:rsidR="00480F1C" w:rsidRDefault="00A201F6">
            <w:pPr>
              <w:pStyle w:val="P68B1DB1-Normal46"/>
              <w:spacing w:line="240" w:lineRule="auto"/>
              <w:jc w:val="center"/>
              <w:rPr>
                <w:noProof/>
              </w:rPr>
            </w:pPr>
            <w:r>
              <w:rPr>
                <w:noProof/>
              </w:rPr>
              <w:t>G4G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9098CF0" w14:textId="77777777" w:rsidR="00480F1C" w:rsidRDefault="00A201F6">
            <w:pPr>
              <w:pStyle w:val="P68B1DB1-Normal46"/>
              <w:spacing w:line="240" w:lineRule="auto"/>
              <w:rPr>
                <w:noProof/>
              </w:rPr>
            </w:pPr>
            <w:r>
              <w:rPr>
                <w:noProof/>
              </w:rPr>
              <w:t>G1.1.2 Door energiegemeenschappen uitgevoerde installaties voor hernieuwbare energiebronnen, met inbegrip van een opgeschaald deel</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E708C81" w14:textId="77777777" w:rsidR="00480F1C" w:rsidRDefault="00A201F6">
            <w:pPr>
              <w:pStyle w:val="P68B1DB1-Normal46"/>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ECB2F57" w14:textId="77777777" w:rsidR="00480F1C" w:rsidRDefault="00A201F6">
            <w:pPr>
              <w:pStyle w:val="P68B1DB1-Normal46"/>
              <w:spacing w:line="240" w:lineRule="auto"/>
              <w:rPr>
                <w:noProof/>
              </w:rPr>
            </w:pPr>
            <w:r>
              <w:rPr>
                <w:noProof/>
              </w:rPr>
              <w:t>Binnen het investeringsgedeelte ondersteunde entiteiten</w:t>
            </w:r>
          </w:p>
        </w:tc>
      </w:tr>
      <w:tr w:rsidR="00480F1C" w14:paraId="703D2C79"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EF31CCF" w14:textId="77777777" w:rsidR="00480F1C" w:rsidRDefault="00A201F6">
            <w:pPr>
              <w:pStyle w:val="P68B1DB1-Normal46"/>
              <w:spacing w:line="240" w:lineRule="auto"/>
              <w:jc w:val="center"/>
              <w:rPr>
                <w:noProof/>
              </w:rPr>
            </w:pPr>
            <w:r>
              <w:rPr>
                <w:noProof/>
              </w:rPr>
              <w:t>G9G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FA52424" w14:textId="77777777" w:rsidR="00480F1C" w:rsidRDefault="00A201F6">
            <w:pPr>
              <w:pStyle w:val="P68B1DB1-Normal46"/>
              <w:spacing w:after="0" w:line="240" w:lineRule="auto"/>
              <w:rPr>
                <w:rFonts w:eastAsia="Times New Roman" w:cs="Times New Roman"/>
                <w:noProof/>
              </w:rPr>
            </w:pPr>
            <w:r>
              <w:rPr>
                <w:noProof/>
              </w:rPr>
              <w:t>G1.1.4 Steun voor instellingen die REPowerEU-hervormingen en -investeringen uitvoeren</w:t>
            </w:r>
          </w:p>
          <w:p w14:paraId="6D6844FA" w14:textId="77777777" w:rsidR="00480F1C" w:rsidRDefault="00480F1C">
            <w:pPr>
              <w:spacing w:line="240" w:lineRule="auto"/>
              <w:rPr>
                <w:rFonts w:ascii="Times New Roman" w:hAnsi="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42B2B19" w14:textId="77777777" w:rsidR="00480F1C" w:rsidRDefault="00A201F6">
            <w:pPr>
              <w:pStyle w:val="P68B1DB1-Normal46"/>
              <w:spacing w:line="240" w:lineRule="auto"/>
              <w:jc w:val="center"/>
              <w:rPr>
                <w:noProof/>
              </w:rPr>
            </w:pPr>
            <w:r>
              <w:rPr>
                <w:noProof/>
              </w:rPr>
              <w:t xml:space="preserve">Doel </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72136BA" w14:textId="77777777" w:rsidR="00480F1C" w:rsidRDefault="00A201F6">
            <w:pPr>
              <w:pStyle w:val="P68B1DB1-Normal46"/>
              <w:spacing w:line="240" w:lineRule="auto"/>
              <w:rPr>
                <w:noProof/>
              </w:rPr>
            </w:pPr>
            <w:r>
              <w:rPr>
                <w:noProof/>
              </w:rPr>
              <w:t>Projecten voor capaciteitsopbouw ter ondersteuning van de uitvoering van REPowerEU-hervormingen en -investeringen door ngo’s</w:t>
            </w:r>
          </w:p>
        </w:tc>
      </w:tr>
      <w:tr w:rsidR="00480F1C" w14:paraId="4963F5EA"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5E012EB" w14:textId="77777777" w:rsidR="00480F1C" w:rsidRDefault="00A201F6">
            <w:pPr>
              <w:pStyle w:val="P68B1DB1-Normal46"/>
              <w:spacing w:line="240" w:lineRule="auto"/>
              <w:jc w:val="center"/>
              <w:rPr>
                <w:noProof/>
              </w:rPr>
            </w:pPr>
            <w:r>
              <w:rPr>
                <w:noProof/>
              </w:rPr>
              <w:t>G14G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042B00B" w14:textId="77777777" w:rsidR="00480F1C" w:rsidRDefault="00A201F6">
            <w:pPr>
              <w:pStyle w:val="P68B1DB1-Normal46"/>
              <w:spacing w:line="240" w:lineRule="auto"/>
              <w:rPr>
                <w:noProof/>
              </w:rPr>
            </w:pPr>
            <w:r>
              <w:rPr>
                <w:noProof/>
              </w:rPr>
              <w:t>G1.2.2 Het wegnemen van belemmeringen voor de integratie van hernieuwbare energiebronnen in elektriciteitsnetwerken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968546A"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27B25C0" w14:textId="77777777" w:rsidR="00480F1C" w:rsidRDefault="00A201F6">
            <w:pPr>
              <w:pStyle w:val="P68B1DB1-Normal46"/>
              <w:spacing w:line="240" w:lineRule="auto"/>
              <w:rPr>
                <w:noProof/>
              </w:rPr>
            </w:pPr>
            <w:r>
              <w:rPr>
                <w:noProof/>
              </w:rPr>
              <w:t>Inwerkingtreding van wetgevings- en, in voorkomend geval, niet-wetgevingshandelingen die de transparantie van het aansluitingsproces op elektriciteitsnetten vergroten en dit proces vergemakkelijken</w:t>
            </w:r>
          </w:p>
        </w:tc>
      </w:tr>
      <w:tr w:rsidR="00480F1C" w14:paraId="4A2A7AC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ADDF092" w14:textId="77777777" w:rsidR="00480F1C" w:rsidRDefault="00A201F6">
            <w:pPr>
              <w:pStyle w:val="P68B1DB1-Normal46"/>
              <w:spacing w:line="240" w:lineRule="auto"/>
              <w:jc w:val="center"/>
              <w:rPr>
                <w:noProof/>
              </w:rPr>
            </w:pPr>
            <w:r>
              <w:rPr>
                <w:noProof/>
              </w:rPr>
              <w:t>G16G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F62E45C" w14:textId="77777777" w:rsidR="00480F1C" w:rsidRDefault="00A201F6">
            <w:pPr>
              <w:pStyle w:val="P68B1DB1-Normal46"/>
              <w:spacing w:line="240" w:lineRule="auto"/>
              <w:rPr>
                <w:noProof/>
              </w:rPr>
            </w:pPr>
            <w:r>
              <w:rPr>
                <w:noProof/>
              </w:rPr>
              <w:t>G1.2.3 Ontwikkeling van transmissienetwerken, slimme elektriciteitsinfrastructuur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FDF76AA" w14:textId="77777777" w:rsidR="00480F1C" w:rsidRDefault="00A201F6">
            <w:pPr>
              <w:pStyle w:val="P68B1DB1-Normal46"/>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AD8180C" w14:textId="77777777" w:rsidR="00480F1C" w:rsidRDefault="00A201F6">
            <w:pPr>
              <w:pStyle w:val="P68B1DB1-Normal46"/>
              <w:spacing w:after="0" w:line="240" w:lineRule="auto"/>
              <w:rPr>
                <w:rFonts w:eastAsia="Times New Roman" w:cs="Times New Roman"/>
                <w:noProof/>
              </w:rPr>
            </w:pPr>
            <w:r>
              <w:rPr>
                <w:noProof/>
              </w:rPr>
              <w:t xml:space="preserve">Lengte van het nieuwe </w:t>
            </w:r>
          </w:p>
          <w:p w14:paraId="2F1F585B" w14:textId="77777777" w:rsidR="00480F1C" w:rsidRDefault="00A201F6">
            <w:pPr>
              <w:pStyle w:val="P68B1DB1-Normal46"/>
              <w:spacing w:after="0" w:line="240" w:lineRule="auto"/>
              <w:rPr>
                <w:rFonts w:eastAsia="Times New Roman" w:cs="Times New Roman"/>
                <w:noProof/>
              </w:rPr>
            </w:pPr>
            <w:r>
              <w:rPr>
                <w:noProof/>
              </w:rPr>
              <w:t xml:space="preserve">gebouwd of gemoderniseerd </w:t>
            </w:r>
          </w:p>
          <w:p w14:paraId="608D6649" w14:textId="77777777" w:rsidR="00480F1C" w:rsidRDefault="00A201F6">
            <w:pPr>
              <w:pStyle w:val="P68B1DB1-Normal46"/>
              <w:spacing w:after="0" w:line="240" w:lineRule="auto"/>
              <w:rPr>
                <w:rFonts w:eastAsia="Times New Roman" w:cs="Times New Roman"/>
                <w:noProof/>
              </w:rPr>
            </w:pPr>
            <w:r>
              <w:rPr>
                <w:noProof/>
              </w:rPr>
              <w:t xml:space="preserve">elektriciteitsverbindingen </w:t>
            </w:r>
          </w:p>
          <w:p w14:paraId="2B99E672" w14:textId="77777777" w:rsidR="00480F1C" w:rsidRDefault="00A201F6">
            <w:pPr>
              <w:pStyle w:val="P68B1DB1-Normal46"/>
              <w:spacing w:line="240" w:lineRule="auto"/>
              <w:rPr>
                <w:noProof/>
              </w:rPr>
            </w:pPr>
            <w:r>
              <w:rPr>
                <w:noProof/>
              </w:rPr>
              <w:t>netwerk (km)</w:t>
            </w:r>
          </w:p>
        </w:tc>
      </w:tr>
      <w:tr w:rsidR="00480F1C" w14:paraId="08AFE624"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AB51C8D" w14:textId="77777777" w:rsidR="00480F1C" w:rsidRDefault="00A201F6">
            <w:pPr>
              <w:pStyle w:val="P68B1DB1-Normal46"/>
              <w:spacing w:line="240" w:lineRule="auto"/>
              <w:jc w:val="center"/>
              <w:rPr>
                <w:noProof/>
              </w:rPr>
            </w:pPr>
            <w:r>
              <w:rPr>
                <w:noProof/>
              </w:rPr>
              <w:t>G21G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1153B84" w14:textId="77777777" w:rsidR="00480F1C" w:rsidRDefault="00A201F6">
            <w:pPr>
              <w:pStyle w:val="P68B1DB1-Normal46"/>
              <w:spacing w:line="240" w:lineRule="auto"/>
              <w:rPr>
                <w:noProof/>
              </w:rPr>
            </w:pPr>
            <w:r>
              <w:rPr>
                <w:noProof/>
              </w:rPr>
              <w:t>G1.2.3 Ontwikkeling van transmissienetwerken, slimme elektriciteitsinfrastructuur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6991F2D"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B4DF4A9" w14:textId="77777777" w:rsidR="00480F1C" w:rsidRDefault="00A201F6">
            <w:pPr>
              <w:pStyle w:val="P68B1DB1-Normal46"/>
              <w:spacing w:line="240" w:lineRule="auto"/>
              <w:rPr>
                <w:noProof/>
              </w:rPr>
            </w:pPr>
            <w:r>
              <w:rPr>
                <w:noProof/>
              </w:rPr>
              <w:t>Implementatie van de datacentrum voor de elektriciteitsmarkt (OIRE/CSIRE)</w:t>
            </w:r>
          </w:p>
        </w:tc>
      </w:tr>
      <w:tr w:rsidR="00480F1C" w14:paraId="60068451"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F1CB863" w14:textId="77777777" w:rsidR="00480F1C" w:rsidRDefault="00A201F6">
            <w:pPr>
              <w:pStyle w:val="P68B1DB1-Normal46"/>
              <w:spacing w:line="240" w:lineRule="auto"/>
              <w:jc w:val="center"/>
              <w:rPr>
                <w:noProof/>
              </w:rPr>
            </w:pPr>
            <w:r>
              <w:rPr>
                <w:noProof/>
              </w:rPr>
              <w:t>G25G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BDA887A" w14:textId="77777777" w:rsidR="00480F1C" w:rsidRDefault="00A201F6">
            <w:pPr>
              <w:pStyle w:val="P68B1DB1-Normal46"/>
              <w:spacing w:line="240" w:lineRule="auto"/>
              <w:rPr>
                <w:noProof/>
              </w:rPr>
            </w:pPr>
            <w:r>
              <w:rPr>
                <w:noProof/>
              </w:rPr>
              <w:t>G1.3.1 Ondersteuning van duurzaam vervoer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9B29A58"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3D7FCB6" w14:textId="77777777" w:rsidR="00480F1C" w:rsidRDefault="00A201F6">
            <w:pPr>
              <w:pStyle w:val="P68B1DB1-Normal46"/>
              <w:spacing w:line="240" w:lineRule="auto"/>
              <w:rPr>
                <w:noProof/>
              </w:rPr>
            </w:pPr>
            <w:r>
              <w:rPr>
                <w:noProof/>
              </w:rPr>
              <w:t>Actieplan voor duurzaam vervoer in Polen</w:t>
            </w:r>
          </w:p>
        </w:tc>
      </w:tr>
      <w:tr w:rsidR="00480F1C" w14:paraId="2406D151" w14:textId="77777777">
        <w:tc>
          <w:tcPr>
            <w:tcW w:w="1350" w:type="dxa"/>
            <w:tcBorders>
              <w:top w:val="single" w:sz="6" w:space="0" w:color="auto"/>
              <w:left w:val="single" w:sz="6" w:space="0" w:color="auto"/>
              <w:bottom w:val="single" w:sz="6" w:space="0" w:color="auto"/>
              <w:right w:val="single" w:sz="6" w:space="0" w:color="auto"/>
            </w:tcBorders>
            <w:shd w:val="clear" w:color="auto" w:fill="C6EFCE"/>
            <w:vAlign w:val="center"/>
          </w:tcPr>
          <w:p w14:paraId="750F0C16" w14:textId="77777777" w:rsidR="00480F1C" w:rsidRDefault="00480F1C">
            <w:pPr>
              <w:spacing w:line="240" w:lineRule="auto"/>
              <w:rPr>
                <w:rFonts w:ascii="Times New Roman" w:eastAsia="Times New Roman" w:hAnsi="Times New Roman" w:cs="Times New Roman"/>
                <w:noProof/>
              </w:rPr>
            </w:pPr>
          </w:p>
        </w:tc>
        <w:tc>
          <w:tcPr>
            <w:tcW w:w="3960" w:type="dxa"/>
            <w:tcBorders>
              <w:top w:val="single" w:sz="6" w:space="0" w:color="auto"/>
              <w:left w:val="single" w:sz="6" w:space="0" w:color="auto"/>
              <w:bottom w:val="single" w:sz="6" w:space="0" w:color="auto"/>
              <w:right w:val="single" w:sz="6" w:space="0" w:color="auto"/>
            </w:tcBorders>
            <w:shd w:val="clear" w:color="auto" w:fill="C6EFCE"/>
            <w:vAlign w:val="center"/>
          </w:tcPr>
          <w:p w14:paraId="5D4FA113"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vAlign w:val="center"/>
          </w:tcPr>
          <w:p w14:paraId="52E3441F" w14:textId="77777777" w:rsidR="00480F1C" w:rsidRDefault="00A201F6">
            <w:pPr>
              <w:pStyle w:val="P68B1DB1-Normal46"/>
              <w:spacing w:line="240" w:lineRule="auto"/>
              <w:rPr>
                <w:rFonts w:eastAsia="Times New Roman" w:cs="Times New Roman"/>
                <w:noProof/>
              </w:rPr>
            </w:pPr>
            <w:r>
              <w:rPr>
                <w:noProof/>
              </w:rPr>
              <w:t>Termijnbedrag</w:t>
            </w:r>
          </w:p>
        </w:tc>
        <w:tc>
          <w:tcPr>
            <w:tcW w:w="3927" w:type="dxa"/>
            <w:tcBorders>
              <w:top w:val="single" w:sz="6" w:space="0" w:color="auto"/>
              <w:left w:val="single" w:sz="6" w:space="0" w:color="auto"/>
              <w:bottom w:val="single" w:sz="6" w:space="0" w:color="auto"/>
              <w:right w:val="single" w:sz="6" w:space="0" w:color="auto"/>
            </w:tcBorders>
            <w:shd w:val="clear" w:color="auto" w:fill="C6EFCE"/>
            <w:vAlign w:val="center"/>
          </w:tcPr>
          <w:p w14:paraId="73B93A84" w14:textId="77777777" w:rsidR="00480F1C" w:rsidRDefault="00A201F6">
            <w:pPr>
              <w:pStyle w:val="P68B1DB1-Normal46"/>
              <w:spacing w:line="240" w:lineRule="auto"/>
              <w:rPr>
                <w:rFonts w:eastAsia="Times New Roman" w:cs="Times New Roman"/>
                <w:noProof/>
              </w:rPr>
            </w:pPr>
            <w:r>
              <w:rPr>
                <w:noProof/>
              </w:rPr>
              <w:t xml:space="preserve">EUR 3 055 007 945 </w:t>
            </w:r>
          </w:p>
        </w:tc>
      </w:tr>
    </w:tbl>
    <w:p w14:paraId="3498D18A" w14:textId="77777777" w:rsidR="00480F1C" w:rsidRDefault="00480F1C">
      <w:pPr>
        <w:spacing w:before="120" w:after="120" w:line="240" w:lineRule="auto"/>
        <w:rPr>
          <w:rFonts w:ascii="Times New Roman" w:eastAsia="Times New Roman" w:hAnsi="Times New Roman" w:cs="Times New Roman"/>
          <w:noProof/>
          <w:color w:val="000000" w:themeColor="text1"/>
        </w:rPr>
      </w:pPr>
    </w:p>
    <w:p w14:paraId="65AB6F0D" w14:textId="77777777" w:rsidR="00480F1C" w:rsidRDefault="00A201F6">
      <w:pPr>
        <w:pStyle w:val="P68B1DB1-Normal45"/>
        <w:pageBreakBefore/>
        <w:spacing w:before="120" w:after="120" w:line="240" w:lineRule="auto"/>
        <w:rPr>
          <w:rFonts w:eastAsia="Times New Roman" w:cs="Times New Roman"/>
          <w:noProof/>
        </w:rPr>
      </w:pPr>
      <w:r>
        <w:rPr>
          <w:noProof/>
        </w:rPr>
        <w:t>2.1.9 negende tranche (niet-terugvorderbare steun):</w:t>
      </w:r>
    </w:p>
    <w:tbl>
      <w:tblPr>
        <w:tblW w:w="10482" w:type="dxa"/>
        <w:tblLayout w:type="fixed"/>
        <w:tblLook w:val="0000" w:firstRow="0" w:lastRow="0" w:firstColumn="0" w:lastColumn="0" w:noHBand="0" w:noVBand="0"/>
      </w:tblPr>
      <w:tblGrid>
        <w:gridCol w:w="1350"/>
        <w:gridCol w:w="3960"/>
        <w:gridCol w:w="1245"/>
        <w:gridCol w:w="3927"/>
      </w:tblGrid>
      <w:tr w:rsidR="00480F1C" w14:paraId="263A49B3" w14:textId="77777777">
        <w:trPr>
          <w:trHeight w:val="852"/>
          <w:tblHeader/>
        </w:trPr>
        <w:tc>
          <w:tcPr>
            <w:tcW w:w="1350" w:type="dxa"/>
            <w:tcBorders>
              <w:top w:val="single" w:sz="6" w:space="0" w:color="auto"/>
              <w:left w:val="single" w:sz="6" w:space="0" w:color="auto"/>
              <w:bottom w:val="single" w:sz="6" w:space="0" w:color="auto"/>
              <w:right w:val="single" w:sz="6" w:space="0" w:color="auto"/>
            </w:tcBorders>
            <w:shd w:val="clear" w:color="auto" w:fill="BDD6EE"/>
            <w:vAlign w:val="center"/>
          </w:tcPr>
          <w:p w14:paraId="7CD03058" w14:textId="77777777" w:rsidR="00480F1C" w:rsidRDefault="00A201F6">
            <w:pPr>
              <w:pStyle w:val="P68B1DB1-Normal42"/>
              <w:spacing w:line="240" w:lineRule="auto"/>
              <w:jc w:val="center"/>
              <w:rPr>
                <w:rFonts w:eastAsia="Times New Roman" w:cs="Times New Roman"/>
                <w:noProof/>
              </w:rPr>
            </w:pPr>
            <w:r>
              <w:rPr>
                <w:noProof/>
              </w:rPr>
              <w:t>Volgnummer</w:t>
            </w:r>
          </w:p>
        </w:tc>
        <w:tc>
          <w:tcPr>
            <w:tcW w:w="3960" w:type="dxa"/>
            <w:tcBorders>
              <w:top w:val="single" w:sz="6" w:space="0" w:color="auto"/>
              <w:left w:val="single" w:sz="6" w:space="0" w:color="auto"/>
              <w:bottom w:val="single" w:sz="6" w:space="0" w:color="auto"/>
              <w:right w:val="single" w:sz="6" w:space="0" w:color="auto"/>
            </w:tcBorders>
            <w:shd w:val="clear" w:color="auto" w:fill="BDD6EE"/>
            <w:vAlign w:val="center"/>
          </w:tcPr>
          <w:p w14:paraId="59DB8C04" w14:textId="77777777" w:rsidR="00480F1C" w:rsidRDefault="00A201F6">
            <w:pPr>
              <w:pStyle w:val="P68B1DB1-Normal42"/>
              <w:spacing w:line="240" w:lineRule="auto"/>
              <w:jc w:val="center"/>
              <w:rPr>
                <w:rFonts w:eastAsia="Times New Roman" w:cs="Times New Roman"/>
                <w:noProof/>
              </w:rPr>
            </w:pPr>
            <w:r>
              <w:rPr>
                <w:noProof/>
              </w:rPr>
              <w:t>Gerelateerde maatregel (hervorming of investering)</w:t>
            </w:r>
          </w:p>
        </w:tc>
        <w:tc>
          <w:tcPr>
            <w:tcW w:w="1245" w:type="dxa"/>
            <w:tcBorders>
              <w:top w:val="single" w:sz="6" w:space="0" w:color="auto"/>
              <w:left w:val="single" w:sz="6" w:space="0" w:color="auto"/>
              <w:bottom w:val="single" w:sz="6" w:space="0" w:color="auto"/>
              <w:right w:val="single" w:sz="6" w:space="0" w:color="auto"/>
            </w:tcBorders>
            <w:shd w:val="clear" w:color="auto" w:fill="BDD6EE"/>
            <w:vAlign w:val="center"/>
          </w:tcPr>
          <w:p w14:paraId="56974C98" w14:textId="77777777" w:rsidR="00480F1C" w:rsidRDefault="00A201F6">
            <w:pPr>
              <w:pStyle w:val="P68B1DB1-Normal42"/>
              <w:spacing w:line="240" w:lineRule="auto"/>
              <w:jc w:val="center"/>
              <w:rPr>
                <w:rFonts w:eastAsia="Times New Roman" w:cs="Times New Roman"/>
                <w:noProof/>
              </w:rPr>
            </w:pPr>
            <w:r>
              <w:rPr>
                <w:noProof/>
              </w:rPr>
              <w:t>Mijlpaal/Doelstelling</w:t>
            </w:r>
          </w:p>
        </w:tc>
        <w:tc>
          <w:tcPr>
            <w:tcW w:w="3927" w:type="dxa"/>
            <w:tcBorders>
              <w:top w:val="single" w:sz="6" w:space="0" w:color="auto"/>
              <w:left w:val="single" w:sz="6" w:space="0" w:color="auto"/>
              <w:bottom w:val="single" w:sz="6" w:space="0" w:color="auto"/>
              <w:right w:val="single" w:sz="6" w:space="0" w:color="auto"/>
            </w:tcBorders>
            <w:shd w:val="clear" w:color="auto" w:fill="BDD6EE"/>
            <w:vAlign w:val="center"/>
          </w:tcPr>
          <w:p w14:paraId="05624694" w14:textId="77777777" w:rsidR="00480F1C" w:rsidRDefault="00A201F6">
            <w:pPr>
              <w:pStyle w:val="P68B1DB1-Normal42"/>
              <w:spacing w:line="240" w:lineRule="auto"/>
              <w:jc w:val="center"/>
              <w:rPr>
                <w:rFonts w:eastAsia="Times New Roman" w:cs="Times New Roman"/>
                <w:noProof/>
              </w:rPr>
            </w:pPr>
            <w:r>
              <w:rPr>
                <w:noProof/>
              </w:rPr>
              <w:t>Naam</w:t>
            </w:r>
          </w:p>
        </w:tc>
      </w:tr>
      <w:tr w:rsidR="00480F1C" w14:paraId="401D8254"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52A18C4" w14:textId="77777777" w:rsidR="00480F1C" w:rsidRDefault="00A201F6">
            <w:pPr>
              <w:pStyle w:val="P68B1DB1-Normal46"/>
              <w:spacing w:line="240" w:lineRule="auto"/>
              <w:jc w:val="center"/>
              <w:rPr>
                <w:rFonts w:eastAsia="Times New Roman" w:cs="Times New Roman"/>
                <w:noProof/>
              </w:rPr>
            </w:pPr>
            <w:r>
              <w:rPr>
                <w:noProof/>
              </w:rPr>
              <w:t>A8G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B04EEA5" w14:textId="77777777" w:rsidR="00480F1C" w:rsidRDefault="00A201F6">
            <w:pPr>
              <w:pStyle w:val="P68B1DB1-Normal46"/>
              <w:spacing w:line="240" w:lineRule="auto"/>
              <w:rPr>
                <w:rFonts w:eastAsia="Times New Roman" w:cs="Times New Roman"/>
                <w:noProof/>
              </w:rPr>
            </w:pPr>
            <w:r>
              <w:rPr>
                <w:noProof/>
              </w:rPr>
              <w:t>A1.2.1 Investeringen voor ondernemingen in producten, diensten en competenties van werknemers en personeel in verband met de diversificatie van activiteiten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74408CE"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812B103" w14:textId="77777777" w:rsidR="00480F1C" w:rsidRDefault="00A201F6">
            <w:pPr>
              <w:pStyle w:val="P68B1DB1-Normal46"/>
              <w:spacing w:line="240" w:lineRule="auto"/>
              <w:rPr>
                <w:rFonts w:eastAsia="Times New Roman" w:cs="Times New Roman"/>
                <w:noProof/>
              </w:rPr>
            </w:pPr>
            <w:r>
              <w:rPr>
                <w:noProof/>
              </w:rPr>
              <w:t>T2 — Aantal kmo’s en micro-ondernemingen in de HoReCa-sector, cultuur en toerisme die hun bedrijfsactiviteiten hebben gemoderniseerd</w:t>
            </w:r>
          </w:p>
        </w:tc>
      </w:tr>
      <w:tr w:rsidR="00480F1C" w14:paraId="6DBDEACF"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71D99DF" w14:textId="77777777" w:rsidR="00480F1C" w:rsidRDefault="00A201F6">
            <w:pPr>
              <w:pStyle w:val="P68B1DB1-Normal46"/>
              <w:spacing w:line="240" w:lineRule="auto"/>
              <w:jc w:val="center"/>
              <w:rPr>
                <w:rFonts w:eastAsia="Times New Roman" w:cs="Times New Roman"/>
                <w:noProof/>
              </w:rPr>
            </w:pPr>
            <w:r>
              <w:rPr>
                <w:noProof/>
              </w:rPr>
              <w:t>A15G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5A4D32E" w14:textId="77777777" w:rsidR="00480F1C" w:rsidRDefault="00A201F6">
            <w:pPr>
              <w:pStyle w:val="P68B1DB1-Normal46"/>
              <w:spacing w:line="240" w:lineRule="auto"/>
              <w:rPr>
                <w:rFonts w:eastAsia="Times New Roman" w:cs="Times New Roman"/>
                <w:noProof/>
              </w:rPr>
            </w:pPr>
            <w:r>
              <w:rPr>
                <w:noProof/>
              </w:rPr>
              <w:t>A1.3.1 Uitvoering van de hervorming van de ruimtelijke ordening</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F467D61"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E44BAC5" w14:textId="77777777" w:rsidR="00480F1C" w:rsidRDefault="00A201F6">
            <w:pPr>
              <w:pStyle w:val="P68B1DB1-Normal46"/>
              <w:spacing w:line="240" w:lineRule="auto"/>
              <w:rPr>
                <w:rFonts w:eastAsia="Times New Roman" w:cs="Times New Roman"/>
                <w:noProof/>
              </w:rPr>
            </w:pPr>
            <w:r>
              <w:rPr>
                <w:noProof/>
              </w:rPr>
              <w:t>Personeel van lokale overheden en ruimtelijke planners dat een cursus over de nieuwe wet inzake ruimtelijke ordening heeft afgerond</w:t>
            </w:r>
          </w:p>
        </w:tc>
      </w:tr>
      <w:tr w:rsidR="00480F1C" w14:paraId="13A432A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9E5FFD6" w14:textId="77777777" w:rsidR="00480F1C" w:rsidRDefault="00A201F6">
            <w:pPr>
              <w:pStyle w:val="P68B1DB1-Normal46"/>
              <w:spacing w:line="240" w:lineRule="auto"/>
              <w:jc w:val="center"/>
              <w:rPr>
                <w:rFonts w:eastAsia="Times New Roman" w:cs="Times New Roman"/>
                <w:noProof/>
              </w:rPr>
            </w:pPr>
            <w:r>
              <w:rPr>
                <w:noProof/>
              </w:rPr>
              <w:t>A17G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794794C" w14:textId="77777777" w:rsidR="00480F1C" w:rsidRDefault="00A201F6">
            <w:pPr>
              <w:pStyle w:val="P68B1DB1-Normal46"/>
              <w:spacing w:line="240" w:lineRule="auto"/>
              <w:rPr>
                <w:rFonts w:eastAsia="Times New Roman" w:cs="Times New Roman"/>
                <w:noProof/>
              </w:rPr>
            </w:pPr>
            <w:r>
              <w:rPr>
                <w:noProof/>
              </w:rPr>
              <w:t>A1.3.1 Uitvoering van de hervorming van de ruimtelijke ordening</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5FE6088"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ACA0810" w14:textId="77777777" w:rsidR="00480F1C" w:rsidRDefault="00A201F6">
            <w:pPr>
              <w:pStyle w:val="P68B1DB1-Normal46"/>
              <w:spacing w:line="240" w:lineRule="auto"/>
              <w:rPr>
                <w:rFonts w:eastAsia="Times New Roman" w:cs="Times New Roman"/>
                <w:noProof/>
              </w:rPr>
            </w:pPr>
            <w:r>
              <w:rPr>
                <w:noProof/>
              </w:rPr>
              <w:t>Percentage gemeenten dat algemene ruimtelijkeordeningsplannen heeft vastgesteld</w:t>
            </w:r>
          </w:p>
        </w:tc>
      </w:tr>
      <w:tr w:rsidR="00480F1C" w14:paraId="06ADB9D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D389055" w14:textId="77777777" w:rsidR="00480F1C" w:rsidRDefault="00A201F6">
            <w:pPr>
              <w:pStyle w:val="P68B1DB1-Normal46"/>
              <w:spacing w:line="240" w:lineRule="auto"/>
              <w:jc w:val="center"/>
              <w:rPr>
                <w:rFonts w:eastAsia="Times New Roman" w:cs="Times New Roman"/>
                <w:noProof/>
              </w:rPr>
            </w:pPr>
            <w:r>
              <w:rPr>
                <w:noProof/>
              </w:rPr>
              <w:t>A29G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E05C7ED" w14:textId="77777777" w:rsidR="00480F1C" w:rsidRDefault="00A201F6">
            <w:pPr>
              <w:pStyle w:val="P68B1DB1-Normal46"/>
              <w:spacing w:line="240" w:lineRule="auto"/>
              <w:rPr>
                <w:rFonts w:eastAsia="Times New Roman" w:cs="Times New Roman"/>
                <w:noProof/>
              </w:rPr>
            </w:pPr>
            <w:r>
              <w:rPr>
                <w:noProof/>
              </w:rPr>
              <w:t>A2.1.1 Investeringen in robotisering en digitalisering in ondernemingen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ED387AB"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4088A47" w14:textId="77777777" w:rsidR="00480F1C" w:rsidRDefault="00A201F6">
            <w:pPr>
              <w:pStyle w:val="P68B1DB1-Normal46"/>
              <w:spacing w:line="240" w:lineRule="auto"/>
              <w:rPr>
                <w:rFonts w:eastAsia="Times New Roman" w:cs="Times New Roman"/>
                <w:noProof/>
              </w:rPr>
            </w:pPr>
            <w:r>
              <w:rPr>
                <w:noProof/>
              </w:rPr>
              <w:t>T2 — Uitvoering van projecten in verband met robotisering, kunstmatige intelligentie of digitalisering van processen, technologieën, producten of diensten</w:t>
            </w:r>
          </w:p>
        </w:tc>
      </w:tr>
      <w:tr w:rsidR="00480F1C" w14:paraId="31E0069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1BFEE55" w14:textId="77777777" w:rsidR="00480F1C" w:rsidRDefault="00A201F6">
            <w:pPr>
              <w:pStyle w:val="P68B1DB1-Normal46"/>
              <w:spacing w:line="240" w:lineRule="auto"/>
              <w:jc w:val="center"/>
              <w:rPr>
                <w:rFonts w:eastAsia="Times New Roman" w:cs="Times New Roman"/>
                <w:noProof/>
              </w:rPr>
            </w:pPr>
            <w:r>
              <w:rPr>
                <w:noProof/>
              </w:rPr>
              <w:t>A35G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B2722AC" w14:textId="77777777" w:rsidR="00480F1C" w:rsidRDefault="00A201F6">
            <w:pPr>
              <w:pStyle w:val="P68B1DB1-Normal46"/>
              <w:spacing w:line="240" w:lineRule="auto"/>
              <w:rPr>
                <w:rFonts w:eastAsia="Times New Roman" w:cs="Times New Roman"/>
                <w:noProof/>
              </w:rPr>
            </w:pPr>
            <w:r>
              <w:rPr>
                <w:noProof/>
              </w:rPr>
              <w:t>A2.3.1 Ontwikkeling en uitrusting van kenniscentra (onder meer gespecialiseerde opleidingscentra, centra voor uitvoeringsondersteuning, waarnemingsposten) en infrastructuur voor het beheer van de onbemande voertuigenindustrie, als ecosysteem voor innovatie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769FAA0"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7C0934E" w14:textId="77777777" w:rsidR="00480F1C" w:rsidRDefault="00A201F6">
            <w:pPr>
              <w:pStyle w:val="P68B1DB1-Normal46"/>
              <w:spacing w:line="240" w:lineRule="auto"/>
              <w:rPr>
                <w:rFonts w:eastAsia="Times New Roman" w:cs="Times New Roman"/>
                <w:noProof/>
              </w:rPr>
            </w:pPr>
            <w:r>
              <w:rPr>
                <w:noProof/>
              </w:rPr>
              <w:t>T1 — Plaatselijke centra en infrastructuur voor onbemande voertuigen, voltooid door de lokale overheid of een aangewezen entiteit om lokaal te opereren</w:t>
            </w:r>
          </w:p>
        </w:tc>
      </w:tr>
      <w:tr w:rsidR="00480F1C" w14:paraId="4140DE47"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A6A381B" w14:textId="77777777" w:rsidR="00480F1C" w:rsidRDefault="00A201F6">
            <w:pPr>
              <w:pStyle w:val="P68B1DB1-Normal46"/>
              <w:spacing w:line="240" w:lineRule="auto"/>
              <w:jc w:val="center"/>
              <w:rPr>
                <w:rFonts w:eastAsia="Times New Roman" w:cs="Times New Roman"/>
                <w:noProof/>
              </w:rPr>
            </w:pPr>
            <w:r>
              <w:rPr>
                <w:noProof/>
              </w:rPr>
              <w:t>A48G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7F74ECE" w14:textId="77777777" w:rsidR="00480F1C" w:rsidRDefault="00A201F6">
            <w:pPr>
              <w:pStyle w:val="P68B1DB1-Normal46"/>
              <w:spacing w:line="240" w:lineRule="auto"/>
              <w:rPr>
                <w:rFonts w:eastAsia="Times New Roman" w:cs="Times New Roman"/>
                <w:noProof/>
              </w:rPr>
            </w:pPr>
            <w:r>
              <w:rPr>
                <w:noProof/>
              </w:rPr>
              <w:t>A3.1.1 Investeringen in moderne beroepsopleiding, hoger onderwijs en een leven lang leren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5971D5C"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14E3B2C" w14:textId="77777777" w:rsidR="00480F1C" w:rsidRDefault="00A201F6">
            <w:pPr>
              <w:pStyle w:val="P68B1DB1-Normal46"/>
              <w:spacing w:line="240" w:lineRule="auto"/>
              <w:rPr>
                <w:rFonts w:eastAsia="Times New Roman" w:cs="Times New Roman"/>
                <w:noProof/>
              </w:rPr>
            </w:pPr>
            <w:r>
              <w:rPr>
                <w:noProof/>
              </w:rPr>
              <w:t>T3 — Vaardigheden voor lerenden in de centra voor sectorale vaardigheden, met inbegrip van certificering van leerresultaten (vaardigheden), afgegeven en erkend door de sector</w:t>
            </w:r>
          </w:p>
        </w:tc>
      </w:tr>
      <w:tr w:rsidR="00480F1C" w14:paraId="1EA2936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09C14B8" w14:textId="77777777" w:rsidR="00480F1C" w:rsidRDefault="00A201F6">
            <w:pPr>
              <w:pStyle w:val="P68B1DB1-Normal46"/>
              <w:spacing w:line="240" w:lineRule="auto"/>
              <w:jc w:val="center"/>
              <w:rPr>
                <w:rFonts w:eastAsia="Times New Roman" w:cs="Times New Roman"/>
                <w:noProof/>
              </w:rPr>
            </w:pPr>
            <w:r>
              <w:rPr>
                <w:noProof/>
              </w:rPr>
              <w:t>A61G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ED3C943" w14:textId="77777777" w:rsidR="00480F1C" w:rsidRDefault="00A201F6">
            <w:pPr>
              <w:pStyle w:val="P68B1DB1-Normal46"/>
              <w:spacing w:line="240" w:lineRule="auto"/>
              <w:rPr>
                <w:rFonts w:eastAsia="Times New Roman" w:cs="Times New Roman"/>
                <w:noProof/>
              </w:rPr>
            </w:pPr>
            <w:r>
              <w:rPr>
                <w:noProof/>
              </w:rPr>
              <w:t>A4.2.1 Steun voor kinderopvangfaciliteiten voor kinderen tot drie jaar (kinderdagverblijven, kinderclubs) onder Maluch +</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DDCD0E8"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B470548" w14:textId="77777777" w:rsidR="00480F1C" w:rsidRDefault="00A201F6">
            <w:pPr>
              <w:pStyle w:val="P68B1DB1-Normal46"/>
              <w:spacing w:line="240" w:lineRule="auto"/>
              <w:rPr>
                <w:rFonts w:eastAsia="Times New Roman" w:cs="Times New Roman"/>
                <w:noProof/>
              </w:rPr>
            </w:pPr>
            <w:r>
              <w:rPr>
                <w:noProof/>
              </w:rPr>
              <w:t>Het creëren van nieuwe plaatsen in kinderopvangfaciliteiten (kinderdagverblijven, kinderclubs) voor kinderen tot drie jaar</w:t>
            </w:r>
          </w:p>
        </w:tc>
      </w:tr>
      <w:tr w:rsidR="00480F1C" w14:paraId="24D15C56"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DFE37E0" w14:textId="77777777" w:rsidR="00480F1C" w:rsidRDefault="00A201F6">
            <w:pPr>
              <w:pStyle w:val="P68B1DB1-Normal46"/>
              <w:spacing w:line="240" w:lineRule="auto"/>
              <w:jc w:val="center"/>
              <w:rPr>
                <w:rFonts w:eastAsia="Times New Roman" w:cs="Times New Roman"/>
                <w:noProof/>
              </w:rPr>
            </w:pPr>
            <w:r>
              <w:rPr>
                <w:noProof/>
              </w:rPr>
              <w:t>B7G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CB27B91" w14:textId="77777777" w:rsidR="00480F1C" w:rsidRDefault="00A201F6">
            <w:pPr>
              <w:pStyle w:val="P68B1DB1-Normal46"/>
              <w:spacing w:line="240" w:lineRule="auto"/>
              <w:rPr>
                <w:rFonts w:eastAsia="Times New Roman" w:cs="Times New Roman"/>
                <w:noProof/>
              </w:rPr>
            </w:pPr>
            <w:r>
              <w:rPr>
                <w:noProof/>
              </w:rPr>
              <w:t>B1.1.1 Investeringen in warmtebronnen in stadsverwarming</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63B58CB"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DCA4BFA" w14:textId="77777777" w:rsidR="00480F1C" w:rsidRDefault="00A201F6">
            <w:pPr>
              <w:pStyle w:val="P68B1DB1-Normal46"/>
              <w:spacing w:line="240" w:lineRule="auto"/>
              <w:rPr>
                <w:rFonts w:eastAsia="Times New Roman" w:cs="Times New Roman"/>
                <w:noProof/>
              </w:rPr>
            </w:pPr>
            <w:r>
              <w:rPr>
                <w:noProof/>
              </w:rPr>
              <w:t>T2 — Warmtebronnen in stadsverwarmingssystemen</w:t>
            </w:r>
          </w:p>
        </w:tc>
      </w:tr>
      <w:tr w:rsidR="00480F1C" w14:paraId="2D1B098D"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ED010A8" w14:textId="77777777" w:rsidR="00480F1C" w:rsidRDefault="00A201F6">
            <w:pPr>
              <w:pStyle w:val="P68B1DB1-Normal46"/>
              <w:spacing w:line="240" w:lineRule="auto"/>
              <w:jc w:val="center"/>
              <w:rPr>
                <w:rFonts w:eastAsia="Times New Roman" w:cs="Times New Roman"/>
                <w:noProof/>
              </w:rPr>
            </w:pPr>
            <w:r>
              <w:rPr>
                <w:noProof/>
              </w:rPr>
              <w:t>B9G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F1BC676" w14:textId="77777777" w:rsidR="00480F1C" w:rsidRDefault="00A201F6">
            <w:pPr>
              <w:pStyle w:val="P68B1DB1-Normal46"/>
              <w:spacing w:line="240" w:lineRule="auto"/>
              <w:rPr>
                <w:rFonts w:eastAsia="Times New Roman" w:cs="Times New Roman"/>
                <w:noProof/>
              </w:rPr>
            </w:pPr>
            <w:r>
              <w:rPr>
                <w:noProof/>
              </w:rPr>
              <w:t>B1.1.2 Vervanging van warmtebronnen en verbetering van de energie-efficiëntie in residentiële gebouwen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7997701"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5774EE8" w14:textId="77777777" w:rsidR="00480F1C" w:rsidRDefault="00A201F6">
            <w:pPr>
              <w:pStyle w:val="P68B1DB1-Normal46"/>
              <w:spacing w:line="240" w:lineRule="auto"/>
              <w:rPr>
                <w:rFonts w:eastAsia="Times New Roman" w:cs="Times New Roman"/>
                <w:noProof/>
              </w:rPr>
            </w:pPr>
            <w:r>
              <w:rPr>
                <w:noProof/>
              </w:rPr>
              <w:t>T2 — Warmtebronvervanging in eengezinsgebouwen</w:t>
            </w:r>
          </w:p>
        </w:tc>
      </w:tr>
      <w:tr w:rsidR="00480F1C" w14:paraId="1AA0B519"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14A35F3" w14:textId="77777777" w:rsidR="00480F1C" w:rsidRDefault="00A201F6">
            <w:pPr>
              <w:pStyle w:val="P68B1DB1-Normal46"/>
              <w:spacing w:line="240" w:lineRule="auto"/>
              <w:jc w:val="center"/>
              <w:rPr>
                <w:rFonts w:eastAsia="Times New Roman" w:cs="Times New Roman"/>
                <w:noProof/>
              </w:rPr>
            </w:pPr>
            <w:r>
              <w:rPr>
                <w:noProof/>
              </w:rPr>
              <w:t>B11G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70468F2" w14:textId="77777777" w:rsidR="00480F1C" w:rsidRDefault="00A201F6">
            <w:pPr>
              <w:pStyle w:val="P68B1DB1-Normal46"/>
              <w:spacing w:line="240" w:lineRule="auto"/>
              <w:rPr>
                <w:rFonts w:eastAsia="Times New Roman" w:cs="Times New Roman"/>
                <w:noProof/>
              </w:rPr>
            </w:pPr>
            <w:r>
              <w:rPr>
                <w:noProof/>
              </w:rPr>
              <w:t>B1.1.2 Vervanging van warmtebronnen en verbetering van de energie-efficiëntie in residentiële gebouwen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F3AD233"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E9EBC0B" w14:textId="77777777" w:rsidR="00480F1C" w:rsidRDefault="00A201F6">
            <w:pPr>
              <w:pStyle w:val="P68B1DB1-Normal46"/>
              <w:spacing w:line="240" w:lineRule="auto"/>
              <w:rPr>
                <w:rFonts w:eastAsia="Times New Roman" w:cs="Times New Roman"/>
                <w:noProof/>
              </w:rPr>
            </w:pPr>
            <w:r>
              <w:rPr>
                <w:noProof/>
              </w:rPr>
              <w:t>T2 — Thermo-modernisering en installatie van hernieuwbare energiebronnen in residentiële gebouwen (eengezins- en meergezinsgebouwen)</w:t>
            </w:r>
          </w:p>
        </w:tc>
      </w:tr>
      <w:tr w:rsidR="00480F1C" w14:paraId="2625CFD3"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25039AB" w14:textId="77777777" w:rsidR="00480F1C" w:rsidRDefault="00A201F6">
            <w:pPr>
              <w:pStyle w:val="P68B1DB1-Normal46"/>
              <w:spacing w:line="240" w:lineRule="auto"/>
              <w:jc w:val="center"/>
              <w:rPr>
                <w:rFonts w:eastAsia="Times New Roman" w:cs="Times New Roman"/>
                <w:noProof/>
              </w:rPr>
            </w:pPr>
            <w:r>
              <w:rPr>
                <w:noProof/>
              </w:rPr>
              <w:t>B12G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AC10C14" w14:textId="77777777" w:rsidR="00480F1C" w:rsidRDefault="00A201F6">
            <w:pPr>
              <w:pStyle w:val="P68B1DB1-Normal46"/>
              <w:spacing w:line="240" w:lineRule="auto"/>
              <w:rPr>
                <w:rFonts w:eastAsia="Times New Roman" w:cs="Times New Roman"/>
                <w:noProof/>
              </w:rPr>
            </w:pPr>
            <w:r>
              <w:rPr>
                <w:noProof/>
              </w:rPr>
              <w:t>B1.1.3 Thermische modernisering van scholen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AF9513D"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9AE7E08" w14:textId="77777777" w:rsidR="00480F1C" w:rsidRDefault="00A201F6">
            <w:pPr>
              <w:pStyle w:val="P68B1DB1-Normal46"/>
              <w:spacing w:line="240" w:lineRule="auto"/>
              <w:rPr>
                <w:rFonts w:eastAsia="Times New Roman" w:cs="Times New Roman"/>
                <w:noProof/>
              </w:rPr>
            </w:pPr>
            <w:r>
              <w:rPr>
                <w:noProof/>
              </w:rPr>
              <w:t>Gemoderniseerde of uitgewisselde warmtebronnen die voldoen aan de DNSH-vereisten in gebouwen van onderwijsinstellingen (in het kader van ondertekende contracten)</w:t>
            </w:r>
          </w:p>
        </w:tc>
      </w:tr>
      <w:tr w:rsidR="00480F1C" w14:paraId="2A62227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3A2A01B" w14:textId="77777777" w:rsidR="00480F1C" w:rsidRDefault="00A201F6">
            <w:pPr>
              <w:pStyle w:val="P68B1DB1-Normal46"/>
              <w:spacing w:line="240" w:lineRule="auto"/>
              <w:jc w:val="center"/>
              <w:rPr>
                <w:rFonts w:eastAsia="Times New Roman" w:cs="Times New Roman"/>
                <w:noProof/>
              </w:rPr>
            </w:pPr>
            <w:r>
              <w:rPr>
                <w:noProof/>
              </w:rPr>
              <w:t>B13G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0E4E61A" w14:textId="77777777" w:rsidR="00480F1C" w:rsidRDefault="00A201F6">
            <w:pPr>
              <w:pStyle w:val="P68B1DB1-Normal46"/>
              <w:spacing w:line="240" w:lineRule="auto"/>
              <w:rPr>
                <w:rFonts w:eastAsia="Times New Roman" w:cs="Times New Roman"/>
                <w:noProof/>
              </w:rPr>
            </w:pPr>
            <w:r>
              <w:rPr>
                <w:noProof/>
              </w:rPr>
              <w:t>B1.1.3 Thermische modernisering van scholen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85C596C"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9DF663E" w14:textId="77777777" w:rsidR="00480F1C" w:rsidRDefault="00A201F6">
            <w:pPr>
              <w:pStyle w:val="P68B1DB1-Normal46"/>
              <w:spacing w:line="240" w:lineRule="auto"/>
              <w:rPr>
                <w:rFonts w:eastAsia="Times New Roman" w:cs="Times New Roman"/>
                <w:noProof/>
              </w:rPr>
            </w:pPr>
            <w:r>
              <w:rPr>
                <w:noProof/>
              </w:rPr>
              <w:t>Thermogemoderniseerde gebouwen van onderwijsinstellingen (met ondertekende contracten)</w:t>
            </w:r>
          </w:p>
        </w:tc>
      </w:tr>
      <w:tr w:rsidR="00480F1C" w14:paraId="1AC778F1"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1D186E1" w14:textId="77777777" w:rsidR="00480F1C" w:rsidRDefault="00A201F6">
            <w:pPr>
              <w:pStyle w:val="P68B1DB1-Normal46"/>
              <w:spacing w:line="240" w:lineRule="auto"/>
              <w:jc w:val="center"/>
              <w:rPr>
                <w:rFonts w:eastAsia="Times New Roman" w:cs="Times New Roman"/>
                <w:noProof/>
              </w:rPr>
            </w:pPr>
            <w:r>
              <w:rPr>
                <w:noProof/>
              </w:rPr>
              <w:t>B14G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E301013" w14:textId="77777777" w:rsidR="00480F1C" w:rsidRDefault="00A201F6">
            <w:pPr>
              <w:pStyle w:val="P68B1DB1-Normal46"/>
              <w:spacing w:line="240" w:lineRule="auto"/>
              <w:rPr>
                <w:rFonts w:eastAsia="Times New Roman" w:cs="Times New Roman"/>
                <w:noProof/>
              </w:rPr>
            </w:pPr>
            <w:r>
              <w:rPr>
                <w:noProof/>
              </w:rPr>
              <w:t>B1.1.4 Versterking van de energie-efficiëntie van lokale voorzieningen voor sociale activiteit</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4E5746F"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1B07D65" w14:textId="77777777" w:rsidR="00480F1C" w:rsidRDefault="00A201F6">
            <w:pPr>
              <w:pStyle w:val="P68B1DB1-Normal46"/>
              <w:spacing w:line="240" w:lineRule="auto"/>
              <w:rPr>
                <w:rFonts w:eastAsia="Times New Roman" w:cs="Times New Roman"/>
                <w:noProof/>
              </w:rPr>
            </w:pPr>
            <w:r>
              <w:rPr>
                <w:noProof/>
              </w:rPr>
              <w:t>Voorzieningen voor sociale activiteit met vervanging van inefficiënte vastebrandstofwarmtebronnen naar moderne warmtebronnen die voldoen aan de DNSH-vereisten</w:t>
            </w:r>
          </w:p>
        </w:tc>
      </w:tr>
      <w:tr w:rsidR="00480F1C" w14:paraId="4A390733"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17762BB" w14:textId="77777777" w:rsidR="00480F1C" w:rsidRDefault="00A201F6">
            <w:pPr>
              <w:pStyle w:val="P68B1DB1-Normal46"/>
              <w:spacing w:line="240" w:lineRule="auto"/>
              <w:jc w:val="center"/>
              <w:rPr>
                <w:rFonts w:eastAsia="Times New Roman" w:cs="Times New Roman"/>
                <w:noProof/>
              </w:rPr>
            </w:pPr>
            <w:r>
              <w:rPr>
                <w:noProof/>
              </w:rPr>
              <w:t>B15G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C138E15" w14:textId="77777777" w:rsidR="00480F1C" w:rsidRDefault="00A201F6">
            <w:pPr>
              <w:pStyle w:val="P68B1DB1-Normal46"/>
              <w:spacing w:line="240" w:lineRule="auto"/>
              <w:rPr>
                <w:rFonts w:eastAsia="Times New Roman" w:cs="Times New Roman"/>
                <w:noProof/>
              </w:rPr>
            </w:pPr>
            <w:r>
              <w:rPr>
                <w:noProof/>
              </w:rPr>
              <w:t>B1.1.4 Versterking van de energie-efficiëntie van lokale voorzieningen voor sociale activiteit</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53E6FB4"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7502F73" w14:textId="77777777" w:rsidR="00480F1C" w:rsidRDefault="00A201F6">
            <w:pPr>
              <w:pStyle w:val="P68B1DB1-Normal46"/>
              <w:spacing w:line="240" w:lineRule="auto"/>
              <w:rPr>
                <w:rFonts w:eastAsia="Times New Roman" w:cs="Times New Roman"/>
                <w:noProof/>
              </w:rPr>
            </w:pPr>
            <w:r>
              <w:rPr>
                <w:noProof/>
              </w:rPr>
              <w:t>Thermogemoderniseerde voorzieningen voor sociale activiteit</w:t>
            </w:r>
          </w:p>
        </w:tc>
      </w:tr>
      <w:tr w:rsidR="00480F1C" w14:paraId="25560702"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8D600C1" w14:textId="77777777" w:rsidR="00480F1C" w:rsidRDefault="00A201F6">
            <w:pPr>
              <w:pStyle w:val="P68B1DB1-Normal46"/>
              <w:spacing w:line="240" w:lineRule="auto"/>
              <w:jc w:val="center"/>
              <w:rPr>
                <w:rFonts w:eastAsia="Times New Roman" w:cs="Times New Roman"/>
                <w:noProof/>
              </w:rPr>
            </w:pPr>
            <w:r>
              <w:rPr>
                <w:noProof/>
              </w:rPr>
              <w:t>B19G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4E79BB2" w14:textId="77777777" w:rsidR="00480F1C" w:rsidRDefault="00A201F6">
            <w:pPr>
              <w:pStyle w:val="P68B1DB1-Normal46"/>
              <w:spacing w:line="240" w:lineRule="auto"/>
              <w:rPr>
                <w:rFonts w:eastAsia="Times New Roman" w:cs="Times New Roman"/>
                <w:noProof/>
              </w:rPr>
            </w:pPr>
            <w:r>
              <w:rPr>
                <w:noProof/>
              </w:rPr>
              <w:t>B2.1.1 Investeringen in waterstof, waterstofproductie, -opslag en -transport</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44CBC41"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EDED31E" w14:textId="77777777" w:rsidR="00480F1C" w:rsidRDefault="00A201F6">
            <w:pPr>
              <w:pStyle w:val="P68B1DB1-Normal46"/>
              <w:spacing w:line="240" w:lineRule="auto"/>
              <w:rPr>
                <w:rFonts w:eastAsia="Times New Roman" w:cs="Times New Roman"/>
                <w:noProof/>
              </w:rPr>
            </w:pPr>
            <w:r>
              <w:rPr>
                <w:noProof/>
              </w:rPr>
              <w:t>Ingebruikneming van waterstoftankstations</w:t>
            </w:r>
          </w:p>
        </w:tc>
      </w:tr>
      <w:tr w:rsidR="00480F1C" w14:paraId="308D908E"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0579AC9" w14:textId="77777777" w:rsidR="00480F1C" w:rsidRDefault="00A201F6">
            <w:pPr>
              <w:pStyle w:val="P68B1DB1-Normal46"/>
              <w:spacing w:line="240" w:lineRule="auto"/>
              <w:jc w:val="center"/>
              <w:rPr>
                <w:rFonts w:eastAsia="Times New Roman" w:cs="Times New Roman"/>
                <w:noProof/>
              </w:rPr>
            </w:pPr>
            <w:r>
              <w:rPr>
                <w:noProof/>
              </w:rPr>
              <w:t>B20G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BDA00A9" w14:textId="77777777" w:rsidR="00480F1C" w:rsidRDefault="00A201F6">
            <w:pPr>
              <w:pStyle w:val="P68B1DB1-Normal46"/>
              <w:spacing w:line="240" w:lineRule="auto"/>
              <w:rPr>
                <w:rFonts w:eastAsia="Times New Roman" w:cs="Times New Roman"/>
                <w:noProof/>
              </w:rPr>
            </w:pPr>
            <w:r>
              <w:rPr>
                <w:noProof/>
              </w:rPr>
              <w:t>B2.1.1 Investeringen in waterstof, waterstofproductie, -opslag en -transport</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558461D"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6867D9B" w14:textId="77777777" w:rsidR="00480F1C" w:rsidRDefault="00A201F6">
            <w:pPr>
              <w:pStyle w:val="P68B1DB1-Normal46"/>
              <w:spacing w:line="240" w:lineRule="auto"/>
              <w:rPr>
                <w:rFonts w:eastAsia="Times New Roman" w:cs="Times New Roman"/>
                <w:noProof/>
              </w:rPr>
            </w:pPr>
            <w:r>
              <w:rPr>
                <w:noProof/>
              </w:rPr>
              <w:t>Onderzoeks- en innovatieprojecten op het gebied van innovatieve door waterstof aangedreven vervoerseenheden</w:t>
            </w:r>
          </w:p>
        </w:tc>
      </w:tr>
      <w:tr w:rsidR="00480F1C" w14:paraId="2D8A69F4" w14:textId="77777777">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1EF6AFB" w14:textId="77777777" w:rsidR="00480F1C" w:rsidRDefault="00A201F6">
            <w:pPr>
              <w:pStyle w:val="P68B1DB1-Normal46"/>
              <w:spacing w:line="240" w:lineRule="auto"/>
              <w:jc w:val="center"/>
              <w:rPr>
                <w:noProof/>
              </w:rPr>
            </w:pPr>
            <w:r>
              <w:rPr>
                <w:noProof/>
              </w:rPr>
              <w:t>B21DG</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8E7FF65" w14:textId="77777777" w:rsidR="00480F1C" w:rsidRDefault="00A201F6">
            <w:pPr>
              <w:pStyle w:val="P68B1DB1-Normal45"/>
              <w:spacing w:line="240" w:lineRule="auto"/>
              <w:rPr>
                <w:noProof/>
              </w:rPr>
            </w:pPr>
            <w:r>
              <w:rPr>
                <w:noProof/>
              </w:rPr>
              <w:t>B2.1.1 Investeringen in waterstof, waterstofproductie, -opslag en -transport</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73D81DD" w14:textId="77777777" w:rsidR="00480F1C" w:rsidRDefault="00A201F6">
            <w:pPr>
              <w:pStyle w:val="P68B1DB1-Normal45"/>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DABA94B" w14:textId="77777777" w:rsidR="00480F1C" w:rsidRDefault="00A201F6">
            <w:pPr>
              <w:spacing w:line="240" w:lineRule="auto"/>
              <w:rPr>
                <w:rFonts w:ascii="Times New Roman" w:hAnsi="Times New Roman"/>
                <w:noProof/>
              </w:rPr>
            </w:pPr>
            <w:r>
              <w:rPr>
                <w:rStyle w:val="normaltextrun"/>
                <w:rFonts w:ascii="Times New Roman" w:hAnsi="Times New Roman"/>
                <w:noProof/>
              </w:rPr>
              <w:t xml:space="preserve">Juridische overeenkomsten met eindbegunstigden </w:t>
            </w:r>
          </w:p>
        </w:tc>
      </w:tr>
      <w:tr w:rsidR="00480F1C" w14:paraId="35F9BE04" w14:textId="77777777">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20F88F6" w14:textId="77777777" w:rsidR="00480F1C" w:rsidRDefault="00A201F6">
            <w:pPr>
              <w:pStyle w:val="P68B1DB1-Normal46"/>
              <w:spacing w:line="240" w:lineRule="auto"/>
              <w:jc w:val="center"/>
              <w:rPr>
                <w:noProof/>
              </w:rPr>
            </w:pPr>
            <w:r>
              <w:rPr>
                <w:noProof/>
              </w:rPr>
              <w:t>B21EG</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9061E9C" w14:textId="77777777" w:rsidR="00480F1C" w:rsidRDefault="00A201F6">
            <w:pPr>
              <w:pStyle w:val="P68B1DB1-Normal45"/>
              <w:spacing w:line="240" w:lineRule="auto"/>
              <w:rPr>
                <w:noProof/>
              </w:rPr>
            </w:pPr>
            <w:r>
              <w:rPr>
                <w:noProof/>
              </w:rPr>
              <w:t>B2.1.1 Investeringen in waterstof, waterstofproductie, -opslag en -transport</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AD106F7" w14:textId="77777777" w:rsidR="00480F1C" w:rsidRDefault="00A201F6">
            <w:pPr>
              <w:pStyle w:val="P68B1DB1-Normal45"/>
              <w:spacing w:line="240" w:lineRule="auto"/>
              <w:jc w:val="center"/>
              <w:rPr>
                <w:noProof/>
              </w:rPr>
            </w:pPr>
            <w:r>
              <w:rPr>
                <w:noProof/>
              </w:rPr>
              <w:t xml:space="preserve">Mijlpaal  </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004DF5C" w14:textId="77777777" w:rsidR="00480F1C" w:rsidRDefault="00A201F6">
            <w:pPr>
              <w:spacing w:line="240" w:lineRule="auto"/>
              <w:rPr>
                <w:rStyle w:val="normaltextrun"/>
                <w:rFonts w:ascii="Times New Roman" w:hAnsi="Times New Roman"/>
                <w:noProof/>
              </w:rPr>
            </w:pPr>
            <w:r>
              <w:rPr>
                <w:rStyle w:val="normaltextrun"/>
                <w:rFonts w:ascii="Times New Roman" w:hAnsi="Times New Roman"/>
                <w:noProof/>
              </w:rPr>
              <w:t xml:space="preserve">Ministerie heeft de investering voltooid </w:t>
            </w:r>
          </w:p>
        </w:tc>
      </w:tr>
      <w:tr w:rsidR="00480F1C" w14:paraId="56C1CE3E"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8FB6104" w14:textId="77777777" w:rsidR="00480F1C" w:rsidRDefault="00480F1C">
            <w:pPr>
              <w:spacing w:line="240" w:lineRule="auto"/>
              <w:jc w:val="center"/>
              <w:rPr>
                <w:rFonts w:ascii="Times New Roman" w:eastAsia="Times New Roman" w:hAnsi="Times New Roman" w:cs="Times New Roman"/>
                <w:noProof/>
              </w:rPr>
            </w:pP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EC5ADD1"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0AA2330" w14:textId="77777777" w:rsidR="00480F1C" w:rsidRDefault="00480F1C">
            <w:pPr>
              <w:spacing w:line="240" w:lineRule="auto"/>
              <w:jc w:val="center"/>
              <w:rPr>
                <w:rFonts w:ascii="Times New Roman" w:eastAsia="Times New Roman" w:hAnsi="Times New Roman" w:cs="Times New Roman"/>
                <w:noProof/>
              </w:rPr>
            </w:pP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A14B072" w14:textId="77777777" w:rsidR="00480F1C" w:rsidRDefault="00480F1C">
            <w:pPr>
              <w:spacing w:line="240" w:lineRule="auto"/>
              <w:rPr>
                <w:rFonts w:ascii="Times New Roman" w:eastAsia="Times New Roman" w:hAnsi="Times New Roman" w:cs="Times New Roman"/>
                <w:noProof/>
              </w:rPr>
            </w:pPr>
          </w:p>
        </w:tc>
      </w:tr>
      <w:tr w:rsidR="00480F1C" w14:paraId="1B4C0C6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4120FA4" w14:textId="77777777" w:rsidR="00480F1C" w:rsidRDefault="00A201F6">
            <w:pPr>
              <w:pStyle w:val="P68B1DB1-Normal46"/>
              <w:spacing w:line="240" w:lineRule="auto"/>
              <w:jc w:val="center"/>
              <w:rPr>
                <w:rFonts w:eastAsia="Times New Roman" w:cs="Times New Roman"/>
                <w:noProof/>
              </w:rPr>
            </w:pPr>
            <w:r>
              <w:rPr>
                <w:noProof/>
              </w:rPr>
              <w:t>B37G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3EEEEBB" w14:textId="77777777" w:rsidR="00480F1C" w:rsidRDefault="00A201F6">
            <w:pPr>
              <w:pStyle w:val="P68B1DB1-Normal46"/>
              <w:spacing w:line="240" w:lineRule="auto"/>
              <w:rPr>
                <w:rFonts w:eastAsia="Times New Roman" w:cs="Times New Roman"/>
                <w:noProof/>
              </w:rPr>
            </w:pPr>
            <w:r>
              <w:rPr>
                <w:noProof/>
              </w:rPr>
              <w:t>B2.2.3 Bouw van offshore-terminalinfrastructuur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04941D8"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56FC101" w14:textId="77777777" w:rsidR="00480F1C" w:rsidRDefault="00A201F6">
            <w:pPr>
              <w:pStyle w:val="P68B1DB1-Normal46"/>
              <w:spacing w:line="240" w:lineRule="auto"/>
              <w:rPr>
                <w:rFonts w:eastAsia="Times New Roman" w:cs="Times New Roman"/>
                <w:noProof/>
              </w:rPr>
            </w:pPr>
            <w:r>
              <w:rPr>
                <w:noProof/>
              </w:rPr>
              <w:t>Bouw van een offshoreinstallatieterminal</w:t>
            </w:r>
          </w:p>
        </w:tc>
      </w:tr>
      <w:tr w:rsidR="00480F1C" w14:paraId="3C22A32E"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F854288" w14:textId="77777777" w:rsidR="00480F1C" w:rsidRDefault="00A201F6">
            <w:pPr>
              <w:pStyle w:val="P68B1DB1-Normal46"/>
              <w:spacing w:line="240" w:lineRule="auto"/>
              <w:jc w:val="center"/>
              <w:rPr>
                <w:rFonts w:eastAsia="Times New Roman" w:cs="Times New Roman"/>
                <w:noProof/>
              </w:rPr>
            </w:pPr>
            <w:r>
              <w:rPr>
                <w:noProof/>
              </w:rPr>
              <w:t>B38G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6563731" w14:textId="77777777" w:rsidR="00480F1C" w:rsidRDefault="00A201F6">
            <w:pPr>
              <w:pStyle w:val="P68B1DB1-Normal46"/>
              <w:spacing w:line="240" w:lineRule="auto"/>
              <w:rPr>
                <w:rFonts w:eastAsia="Times New Roman" w:cs="Times New Roman"/>
                <w:noProof/>
              </w:rPr>
            </w:pPr>
            <w:r>
              <w:rPr>
                <w:noProof/>
              </w:rPr>
              <w:t>B2.2.3 Bouw van offshore-terminalinfrastructuur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4904031"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CFB9F7F" w14:textId="77777777" w:rsidR="00480F1C" w:rsidRDefault="00A201F6">
            <w:pPr>
              <w:pStyle w:val="P68B1DB1-Normal46"/>
              <w:spacing w:line="240" w:lineRule="auto"/>
              <w:rPr>
                <w:rFonts w:eastAsia="Times New Roman" w:cs="Times New Roman"/>
                <w:noProof/>
              </w:rPr>
            </w:pPr>
            <w:r>
              <w:rPr>
                <w:noProof/>
              </w:rPr>
              <w:t>Bouw van een offshoreterminal in Łeba en Ustka</w:t>
            </w:r>
          </w:p>
        </w:tc>
      </w:tr>
      <w:tr w:rsidR="00480F1C" w14:paraId="4CEC02C5"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7DADF99" w14:textId="77777777" w:rsidR="00480F1C" w:rsidRDefault="00A201F6">
            <w:pPr>
              <w:pStyle w:val="P68B1DB1-Normal46"/>
              <w:spacing w:line="240" w:lineRule="auto"/>
              <w:jc w:val="center"/>
              <w:rPr>
                <w:rFonts w:eastAsia="Times New Roman" w:cs="Times New Roman"/>
                <w:noProof/>
              </w:rPr>
            </w:pPr>
            <w:r>
              <w:rPr>
                <w:noProof/>
              </w:rPr>
              <w:t>C6G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2C0B9CA" w14:textId="77777777" w:rsidR="00480F1C" w:rsidRDefault="00A201F6">
            <w:pPr>
              <w:pStyle w:val="P68B1DB1-Normal46"/>
              <w:spacing w:line="240" w:lineRule="auto"/>
              <w:rPr>
                <w:rFonts w:eastAsia="Times New Roman" w:cs="Times New Roman"/>
                <w:noProof/>
              </w:rPr>
            </w:pPr>
            <w:r>
              <w:rPr>
                <w:noProof/>
              </w:rPr>
              <w:t>C1.1.1 Zorgen voor toegang tot zeer snel internet in witte spots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6A43F9D"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62963F2" w14:textId="77777777" w:rsidR="00480F1C" w:rsidRDefault="00A201F6">
            <w:pPr>
              <w:pStyle w:val="P68B1DB1-Normal46"/>
              <w:spacing w:line="240" w:lineRule="auto"/>
              <w:rPr>
                <w:rFonts w:eastAsia="Times New Roman" w:cs="Times New Roman"/>
                <w:noProof/>
              </w:rPr>
            </w:pPr>
            <w:r>
              <w:rPr>
                <w:noProof/>
              </w:rPr>
              <w:t>T3 — Bijkomende huishoudens (woningen) met breedbandinternettoegang met een capaciteit van ten minste 100 Mb/s (met de mogelijkheid om dit te verhogen tot gigabitcapaciteit)</w:t>
            </w:r>
          </w:p>
        </w:tc>
      </w:tr>
      <w:tr w:rsidR="00480F1C" w14:paraId="2F782E23"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53320D4" w14:textId="77777777" w:rsidR="00480F1C" w:rsidRDefault="00A201F6">
            <w:pPr>
              <w:pStyle w:val="P68B1DB1-Normal46"/>
              <w:spacing w:line="240" w:lineRule="auto"/>
              <w:jc w:val="center"/>
              <w:rPr>
                <w:rFonts w:eastAsia="Times New Roman" w:cs="Times New Roman"/>
                <w:noProof/>
              </w:rPr>
            </w:pPr>
            <w:r>
              <w:rPr>
                <w:noProof/>
              </w:rPr>
              <w:t>C12G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57F0FA6" w14:textId="77777777" w:rsidR="00480F1C" w:rsidRDefault="00A201F6">
            <w:pPr>
              <w:pStyle w:val="P68B1DB1-Normal46"/>
              <w:spacing w:line="240" w:lineRule="auto"/>
              <w:rPr>
                <w:rFonts w:eastAsia="Times New Roman" w:cs="Times New Roman"/>
                <w:noProof/>
              </w:rPr>
            </w:pPr>
            <w:r>
              <w:rPr>
                <w:noProof/>
              </w:rPr>
              <w:t>C2.1.1 Openbare e-diensten, IT-oplossingen ter verbetering van de werking van economische sectoren en disruptieve technologieën in de overheidssector, de economie en de samenleving</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6883AB4"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340FEB5" w14:textId="77777777" w:rsidR="00480F1C" w:rsidRDefault="00A201F6">
            <w:pPr>
              <w:pStyle w:val="P68B1DB1-Normal46"/>
              <w:spacing w:line="240" w:lineRule="auto"/>
              <w:rPr>
                <w:rFonts w:eastAsia="Times New Roman" w:cs="Times New Roman"/>
                <w:noProof/>
              </w:rPr>
            </w:pPr>
            <w:r>
              <w:rPr>
                <w:noProof/>
              </w:rPr>
              <w:t>T2 — Projecten voor het creëren van nieuwe e-diensten en het upgraden van bestaande diensten, het verbeteren van het proces van het creëren ervan of, door digitalisering, het verbeteren van de behandeling van processen</w:t>
            </w:r>
          </w:p>
        </w:tc>
      </w:tr>
      <w:tr w:rsidR="00480F1C" w14:paraId="0AA26F66" w14:textId="77777777">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08EBA06" w14:textId="77777777" w:rsidR="00480F1C" w:rsidRDefault="00A201F6">
            <w:pPr>
              <w:pStyle w:val="P68B1DB1-Normal46"/>
              <w:spacing w:line="240" w:lineRule="auto"/>
              <w:jc w:val="center"/>
              <w:rPr>
                <w:noProof/>
              </w:rPr>
            </w:pPr>
            <w:r>
              <w:rPr>
                <w:noProof/>
              </w:rPr>
              <w:t>C13aG</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E8352B1" w14:textId="77777777" w:rsidR="00480F1C" w:rsidRDefault="00A201F6">
            <w:pPr>
              <w:pStyle w:val="P68B1DB1-Normal45"/>
              <w:spacing w:line="240" w:lineRule="auto"/>
              <w:rPr>
                <w:noProof/>
              </w:rPr>
            </w:pPr>
            <w:r>
              <w:rPr>
                <w:noProof/>
              </w:rPr>
              <w:t>C2.1.1 Openbare e-diensten, IT-oplossingen ter verbetering van de werking van overheidsdiensten en economische sectoren, en baanbrekende technologieën in de overheidssector, de economie en de samenleving</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F083A53" w14:textId="77777777" w:rsidR="00480F1C" w:rsidRDefault="00A201F6">
            <w:pPr>
              <w:pStyle w:val="P68B1DB1-Normal45"/>
              <w:spacing w:line="240" w:lineRule="auto"/>
              <w:jc w:val="center"/>
              <w:rPr>
                <w:noProof/>
              </w:rPr>
            </w:pPr>
            <w:r>
              <w:rPr>
                <w:noProof/>
              </w:rPr>
              <w:t>Doel</w:t>
            </w:r>
          </w:p>
        </w:tc>
        <w:tc>
          <w:tcPr>
            <w:tcW w:w="39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9B25CE4" w14:textId="77777777" w:rsidR="00480F1C" w:rsidRDefault="00A201F6">
            <w:pPr>
              <w:pStyle w:val="P68B1DB1-Normal45"/>
              <w:spacing w:line="240" w:lineRule="auto"/>
              <w:rPr>
                <w:noProof/>
              </w:rPr>
            </w:pPr>
            <w:r>
              <w:rPr>
                <w:noProof/>
              </w:rPr>
              <w:t>Ontwikkeling van nieuwe openbare IT-systemen of uitbreiding van bestaande IT-systemen</w:t>
            </w:r>
          </w:p>
        </w:tc>
      </w:tr>
      <w:tr w:rsidR="00480F1C" w14:paraId="30EB65E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49843FF" w14:textId="77777777" w:rsidR="00480F1C" w:rsidRDefault="00A201F6">
            <w:pPr>
              <w:pStyle w:val="P68B1DB1-Normal46"/>
              <w:spacing w:line="240" w:lineRule="auto"/>
              <w:jc w:val="center"/>
              <w:rPr>
                <w:rFonts w:eastAsia="Times New Roman" w:cs="Times New Roman"/>
                <w:noProof/>
              </w:rPr>
            </w:pPr>
            <w:r>
              <w:rPr>
                <w:noProof/>
              </w:rPr>
              <w:t>C20G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07539FF" w14:textId="77777777" w:rsidR="00480F1C" w:rsidRDefault="00A201F6">
            <w:pPr>
              <w:pStyle w:val="P68B1DB1-Normal46"/>
              <w:spacing w:line="240" w:lineRule="auto"/>
              <w:rPr>
                <w:rFonts w:eastAsia="Times New Roman" w:cs="Times New Roman"/>
                <w:noProof/>
              </w:rPr>
            </w:pPr>
            <w:r>
              <w:rPr>
                <w:noProof/>
              </w:rPr>
              <w:t>C2.1.3 e-competenties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C3EB37F"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C78CA08" w14:textId="77777777" w:rsidR="00480F1C" w:rsidRDefault="00A201F6">
            <w:pPr>
              <w:pStyle w:val="P68B1DB1-Normal46"/>
              <w:spacing w:line="240" w:lineRule="auto"/>
              <w:rPr>
                <w:rFonts w:eastAsia="Times New Roman" w:cs="Times New Roman"/>
                <w:noProof/>
              </w:rPr>
            </w:pPr>
            <w:r>
              <w:rPr>
                <w:noProof/>
              </w:rPr>
              <w:t>T2 — Aanvullende mensen die zijn opgeleid in digitale vaardigheden, met inbegrip van digitale geletterdheid</w:t>
            </w:r>
          </w:p>
        </w:tc>
      </w:tr>
      <w:tr w:rsidR="00480F1C" w14:paraId="7254E8F1"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1B13651" w14:textId="77777777" w:rsidR="00480F1C" w:rsidRDefault="00A201F6">
            <w:pPr>
              <w:pStyle w:val="P68B1DB1-Normal46"/>
              <w:spacing w:line="240" w:lineRule="auto"/>
              <w:jc w:val="center"/>
              <w:rPr>
                <w:rFonts w:eastAsia="Times New Roman" w:cs="Times New Roman"/>
                <w:noProof/>
              </w:rPr>
            </w:pPr>
            <w:r>
              <w:rPr>
                <w:noProof/>
              </w:rPr>
              <w:t>C23G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67DB4BE" w14:textId="77777777" w:rsidR="00480F1C" w:rsidRDefault="00A201F6">
            <w:pPr>
              <w:pStyle w:val="P68B1DB1-Normal46"/>
              <w:spacing w:line="240" w:lineRule="auto"/>
              <w:rPr>
                <w:rFonts w:eastAsia="Times New Roman" w:cs="Times New Roman"/>
                <w:noProof/>
              </w:rPr>
            </w:pPr>
            <w:r>
              <w:rPr>
                <w:noProof/>
              </w:rPr>
              <w:t>C3.1.1 CyberPL, infrastructuur voor gegevensverwerking en optimalisering van de infrastructuur van rechtshandhavingsdiensten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F8BA567"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B554C17" w14:textId="77777777" w:rsidR="00480F1C" w:rsidRDefault="00A201F6">
            <w:pPr>
              <w:spacing w:line="240" w:lineRule="auto"/>
              <w:rPr>
                <w:rFonts w:ascii="Times New Roman" w:eastAsia="Times New Roman" w:hAnsi="Times New Roman" w:cs="Times New Roman"/>
                <w:noProof/>
              </w:rPr>
            </w:pPr>
            <w:r>
              <w:rPr>
                <w:rFonts w:ascii="Times New Roman" w:hAnsi="Times New Roman"/>
                <w:noProof/>
              </w:rPr>
              <w:t xml:space="preserve">Projecten op het gebied van cyberbeveiliging (CyberPL) op twee actiegebieden: </w:t>
            </w:r>
            <w:r>
              <w:rPr>
                <w:noProof/>
              </w:rPr>
              <w:t xml:space="preserve"> </w:t>
            </w:r>
            <w:r>
              <w:rPr>
                <w:noProof/>
              </w:rPr>
              <w:br/>
            </w:r>
            <w:r>
              <w:rPr>
                <w:rFonts w:ascii="Times New Roman" w:hAnsi="Times New Roman"/>
                <w:noProof/>
              </w:rPr>
              <w:t>1) programma ter verbetering van de doeltreffendheid van het nationale cyberbeveiligingssysteem (KSC-PL) en 2) de bouw en ontwikkeling van operationele cyberbeveiligingscentra (SOC-DEV-PL)</w:t>
            </w:r>
          </w:p>
        </w:tc>
      </w:tr>
      <w:tr w:rsidR="00480F1C" w14:paraId="6876405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E79568B" w14:textId="77777777" w:rsidR="00480F1C" w:rsidRDefault="00A201F6">
            <w:pPr>
              <w:pStyle w:val="P68B1DB1-Normal46"/>
              <w:spacing w:line="240" w:lineRule="auto"/>
              <w:jc w:val="center"/>
              <w:rPr>
                <w:rFonts w:eastAsia="Times New Roman" w:cs="Times New Roman"/>
                <w:noProof/>
              </w:rPr>
            </w:pPr>
            <w:r>
              <w:rPr>
                <w:noProof/>
              </w:rPr>
              <w:t>C25G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FF9E90A" w14:textId="77777777" w:rsidR="00480F1C" w:rsidRDefault="00A201F6">
            <w:pPr>
              <w:pStyle w:val="P68B1DB1-Normal46"/>
              <w:spacing w:line="240" w:lineRule="auto"/>
              <w:rPr>
                <w:rFonts w:eastAsia="Times New Roman" w:cs="Times New Roman"/>
                <w:noProof/>
              </w:rPr>
            </w:pPr>
            <w:r>
              <w:rPr>
                <w:noProof/>
              </w:rPr>
              <w:t>C3.1.1 CyberPL, infrastructuur voor gegevensverwerking en optimalisering van de infrastructuur van rechtshandhavingsdiensten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16DF69B"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29A6736" w14:textId="77777777" w:rsidR="00480F1C" w:rsidRDefault="00A201F6">
            <w:pPr>
              <w:pStyle w:val="P68B1DB1-Normal45"/>
              <w:spacing w:line="240" w:lineRule="auto"/>
              <w:rPr>
                <w:rFonts w:eastAsia="Times New Roman" w:cs="Times New Roman"/>
                <w:noProof/>
              </w:rPr>
            </w:pPr>
            <w:r>
              <w:rPr>
                <w:noProof/>
              </w:rPr>
              <w:t>Oprichting van gestandaardiseerde dataverwerkingscentra voor energie-efficiënte infrastructuur</w:t>
            </w:r>
          </w:p>
        </w:tc>
      </w:tr>
      <w:tr w:rsidR="00480F1C" w14:paraId="7D925746"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B8FD6AD" w14:textId="77777777" w:rsidR="00480F1C" w:rsidRDefault="00A201F6">
            <w:pPr>
              <w:pStyle w:val="P68B1DB1-Normal46"/>
              <w:spacing w:line="240" w:lineRule="auto"/>
              <w:jc w:val="center"/>
              <w:rPr>
                <w:rFonts w:eastAsia="Times New Roman" w:cs="Times New Roman"/>
                <w:noProof/>
              </w:rPr>
            </w:pPr>
            <w:r>
              <w:rPr>
                <w:noProof/>
              </w:rPr>
              <w:t>D6G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82B68BC" w14:textId="77777777" w:rsidR="00480F1C" w:rsidRDefault="00A201F6">
            <w:pPr>
              <w:pStyle w:val="P68B1DB1-Normal46"/>
              <w:spacing w:line="240" w:lineRule="auto"/>
              <w:rPr>
                <w:rFonts w:eastAsia="Times New Roman" w:cs="Times New Roman"/>
                <w:noProof/>
              </w:rPr>
            </w:pPr>
            <w:r>
              <w:rPr>
                <w:noProof/>
              </w:rPr>
              <w:t>D1.1 Verbetering van de doeltreffendheid, toegankelijkheid en kwaliteit van gezondheidsdiensten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45DF5D9"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3AD61EC" w14:textId="77777777" w:rsidR="00480F1C" w:rsidRDefault="00A201F6">
            <w:pPr>
              <w:pStyle w:val="P68B1DB1-Normal46"/>
              <w:spacing w:line="240" w:lineRule="auto"/>
              <w:rPr>
                <w:rFonts w:eastAsia="Times New Roman" w:cs="Times New Roman"/>
                <w:noProof/>
              </w:rPr>
            </w:pPr>
            <w:r>
              <w:rPr>
                <w:noProof/>
              </w:rPr>
              <w:t>Inwerkingtreding van een wetgevingspakket betreffende de lancering van nationale e-gezondheidsdiensten en de integratie daarvan in bestaande/beschikbare e-gezondheidsstelsels op nationaal en regionaal niveau</w:t>
            </w:r>
          </w:p>
        </w:tc>
      </w:tr>
      <w:tr w:rsidR="00480F1C" w14:paraId="17DD3EA5"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22B0FA3" w14:textId="77777777" w:rsidR="00480F1C" w:rsidRDefault="00A201F6">
            <w:pPr>
              <w:pStyle w:val="P68B1DB1-Normal46"/>
              <w:spacing w:line="240" w:lineRule="auto"/>
              <w:jc w:val="center"/>
              <w:rPr>
                <w:rFonts w:eastAsia="Times New Roman" w:cs="Times New Roman"/>
                <w:noProof/>
              </w:rPr>
            </w:pPr>
            <w:r>
              <w:rPr>
                <w:noProof/>
              </w:rPr>
              <w:t>D13G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903E01D" w14:textId="77777777" w:rsidR="00480F1C" w:rsidRDefault="00A201F6">
            <w:pPr>
              <w:pStyle w:val="P68B1DB1-Normal46"/>
              <w:spacing w:line="240" w:lineRule="auto"/>
              <w:rPr>
                <w:rFonts w:eastAsia="Times New Roman" w:cs="Times New Roman"/>
                <w:noProof/>
              </w:rPr>
            </w:pPr>
            <w:r>
              <w:rPr>
                <w:noProof/>
              </w:rPr>
              <w:t>D1.1.1 Ontwikkeling en modernisering van de infrastructuur van zeer gespecialiseerde zorgcentra en andere zorgaanbieders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4B9BB23"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44CF846" w14:textId="77777777" w:rsidR="00480F1C" w:rsidRDefault="00A201F6">
            <w:pPr>
              <w:pStyle w:val="P68B1DB1-Normal46"/>
              <w:spacing w:line="240" w:lineRule="auto"/>
              <w:rPr>
                <w:rFonts w:eastAsia="Times New Roman" w:cs="Times New Roman"/>
                <w:noProof/>
              </w:rPr>
            </w:pPr>
            <w:r>
              <w:rPr>
                <w:noProof/>
              </w:rPr>
              <w:t>Ziekenhuizen met nieuwe medische apparatuur die zijn aangeschaft in verband met hun herstructurering of de invoering ervan in het Nationaal Oncologisch Netwerk</w:t>
            </w:r>
          </w:p>
        </w:tc>
      </w:tr>
      <w:tr w:rsidR="00480F1C" w14:paraId="2DB9059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DB8EFAC" w14:textId="77777777" w:rsidR="00480F1C" w:rsidRDefault="00A201F6">
            <w:pPr>
              <w:pStyle w:val="P68B1DB1-Normal46"/>
              <w:spacing w:line="240" w:lineRule="auto"/>
              <w:jc w:val="center"/>
              <w:rPr>
                <w:rFonts w:eastAsia="Times New Roman" w:cs="Times New Roman"/>
                <w:noProof/>
              </w:rPr>
            </w:pPr>
            <w:r>
              <w:rPr>
                <w:noProof/>
              </w:rPr>
              <w:t>D14G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ACF6802" w14:textId="77777777" w:rsidR="00480F1C" w:rsidRDefault="00A201F6">
            <w:pPr>
              <w:pStyle w:val="P68B1DB1-Normal46"/>
              <w:spacing w:line="240" w:lineRule="auto"/>
              <w:rPr>
                <w:rFonts w:eastAsia="Times New Roman" w:cs="Times New Roman"/>
                <w:noProof/>
              </w:rPr>
            </w:pPr>
            <w:r>
              <w:rPr>
                <w:noProof/>
              </w:rPr>
              <w:t>D1.1.1 Ontwikkeling en modernisering van de infrastructuur van zeer gespecialiseerde zorgcentra en andere zorgaanbieders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1D5FC5A"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93EEA8D" w14:textId="77777777" w:rsidR="00480F1C" w:rsidRDefault="00A201F6">
            <w:pPr>
              <w:pStyle w:val="P68B1DB1-Normal46"/>
              <w:spacing w:line="240" w:lineRule="auto"/>
              <w:rPr>
                <w:rFonts w:eastAsia="Times New Roman" w:cs="Times New Roman"/>
                <w:noProof/>
              </w:rPr>
            </w:pPr>
            <w:r>
              <w:rPr>
                <w:noProof/>
              </w:rPr>
              <w:t>Ziekenhuizen met verbeterde infrastructuur in verband met hun herstructurering of hun invoering in het Nationaal Oncologisch Netwerk</w:t>
            </w:r>
          </w:p>
        </w:tc>
      </w:tr>
      <w:tr w:rsidR="00480F1C" w14:paraId="08D5C09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E18D1BE" w14:textId="77777777" w:rsidR="00480F1C" w:rsidRDefault="00A201F6">
            <w:pPr>
              <w:pStyle w:val="P68B1DB1-Normal46"/>
              <w:spacing w:line="240" w:lineRule="auto"/>
              <w:jc w:val="center"/>
              <w:rPr>
                <w:rFonts w:eastAsia="Times New Roman" w:cs="Times New Roman"/>
                <w:noProof/>
              </w:rPr>
            </w:pPr>
            <w:r>
              <w:rPr>
                <w:noProof/>
              </w:rPr>
              <w:t>D15G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93335FA" w14:textId="77777777" w:rsidR="00480F1C" w:rsidRDefault="00A201F6">
            <w:pPr>
              <w:pStyle w:val="P68B1DB1-Normal46"/>
              <w:spacing w:line="240" w:lineRule="auto"/>
              <w:rPr>
                <w:rFonts w:eastAsia="Times New Roman" w:cs="Times New Roman"/>
                <w:noProof/>
              </w:rPr>
            </w:pPr>
            <w:r>
              <w:rPr>
                <w:noProof/>
              </w:rPr>
              <w:t>D1.1.2 Versnellen van de digitale transformatie van de gezondheid door de verdere ontwikkeling van digitale gezondheidsdiensten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CAA6408"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FCC40D2" w14:textId="77777777" w:rsidR="00480F1C" w:rsidRDefault="00A201F6">
            <w:pPr>
              <w:pStyle w:val="P68B1DB1-Normal46"/>
              <w:spacing w:line="240" w:lineRule="auto"/>
              <w:rPr>
                <w:rFonts w:eastAsia="Times New Roman" w:cs="Times New Roman"/>
                <w:noProof/>
              </w:rPr>
            </w:pPr>
            <w:r>
              <w:rPr>
                <w:noProof/>
              </w:rPr>
              <w:t xml:space="preserve">Lancering van nieuwe e-diensten, met inbegrip van: </w:t>
            </w:r>
          </w:p>
          <w:p w14:paraId="59DFC826" w14:textId="77777777" w:rsidR="00480F1C" w:rsidRDefault="00A201F6">
            <w:pPr>
              <w:pStyle w:val="P68B1DB1-Normal46"/>
              <w:spacing w:line="240" w:lineRule="auto"/>
              <w:rPr>
                <w:rFonts w:eastAsia="Times New Roman" w:cs="Times New Roman"/>
                <w:noProof/>
              </w:rPr>
            </w:pPr>
            <w:r>
              <w:rPr>
                <w:noProof/>
              </w:rPr>
              <w:t xml:space="preserve">— de instrumenten voor de analyse van de gezondheid van patiënten; </w:t>
            </w:r>
          </w:p>
          <w:p w14:paraId="790E506A" w14:textId="77777777" w:rsidR="00480F1C" w:rsidRDefault="00A201F6">
            <w:pPr>
              <w:pStyle w:val="P68B1DB1-Normal46"/>
              <w:spacing w:line="240" w:lineRule="auto"/>
              <w:rPr>
                <w:rFonts w:eastAsia="Times New Roman" w:cs="Times New Roman"/>
                <w:noProof/>
              </w:rPr>
            </w:pPr>
            <w:r>
              <w:rPr>
                <w:noProof/>
              </w:rPr>
              <w:t xml:space="preserve">— instrument ter ondersteuning van de besluitvorming voor artsen op basis van AI-algoritmen; en het </w:t>
            </w:r>
          </w:p>
          <w:p w14:paraId="352FE0F4" w14:textId="77777777" w:rsidR="00480F1C" w:rsidRDefault="00A201F6">
            <w:pPr>
              <w:pStyle w:val="P68B1DB1-Normal46"/>
              <w:spacing w:line="240" w:lineRule="auto"/>
              <w:rPr>
                <w:rFonts w:eastAsia="Times New Roman" w:cs="Times New Roman"/>
                <w:noProof/>
              </w:rPr>
            </w:pPr>
            <w:r>
              <w:rPr>
                <w:noProof/>
              </w:rPr>
              <w:t>— centrale databank van medische gegevens die geïntegreerd zijn met andere belangrijke gezondheidszorgstelsels</w:t>
            </w:r>
          </w:p>
        </w:tc>
      </w:tr>
      <w:tr w:rsidR="00480F1C" w14:paraId="11DA3D4E"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B4A336E" w14:textId="77777777" w:rsidR="00480F1C" w:rsidRDefault="00A201F6">
            <w:pPr>
              <w:pStyle w:val="P68B1DB1-Normal46"/>
              <w:spacing w:line="240" w:lineRule="auto"/>
              <w:jc w:val="center"/>
              <w:rPr>
                <w:rFonts w:eastAsia="Times New Roman" w:cs="Times New Roman"/>
                <w:noProof/>
              </w:rPr>
            </w:pPr>
            <w:r>
              <w:rPr>
                <w:noProof/>
              </w:rPr>
              <w:t>D18G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8A3BCE2" w14:textId="77777777" w:rsidR="00480F1C" w:rsidRDefault="00A201F6">
            <w:pPr>
              <w:pStyle w:val="P68B1DB1-Normal46"/>
              <w:spacing w:line="240" w:lineRule="auto"/>
              <w:rPr>
                <w:rFonts w:eastAsia="Times New Roman" w:cs="Times New Roman"/>
                <w:noProof/>
              </w:rPr>
            </w:pPr>
            <w:r>
              <w:rPr>
                <w:noProof/>
              </w:rPr>
              <w:t>D1.1.2 Versnellen van de digitale transformatie van de gezondheid door de verdere ontwikkeling van digitale gezondheidsdiensten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C91ED3C"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5470D6A" w14:textId="77777777" w:rsidR="00480F1C" w:rsidRDefault="00A201F6">
            <w:pPr>
              <w:pStyle w:val="P68B1DB1-Normal46"/>
              <w:spacing w:line="240" w:lineRule="auto"/>
              <w:rPr>
                <w:rFonts w:eastAsia="Times New Roman" w:cs="Times New Roman"/>
                <w:noProof/>
              </w:rPr>
            </w:pPr>
            <w:r>
              <w:rPr>
                <w:noProof/>
              </w:rPr>
              <w:t>Geschiedenis van de interactie van patiënten met gezondheidszorg in gedigitaliseerde medische faciliteiten</w:t>
            </w:r>
          </w:p>
        </w:tc>
      </w:tr>
      <w:tr w:rsidR="00480F1C" w14:paraId="11C0E046"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C6E89BC" w14:textId="77777777" w:rsidR="00480F1C" w:rsidRDefault="00A201F6">
            <w:pPr>
              <w:pStyle w:val="P68B1DB1-Normal46"/>
              <w:spacing w:line="240" w:lineRule="auto"/>
              <w:jc w:val="center"/>
              <w:rPr>
                <w:rFonts w:eastAsia="Times New Roman" w:cs="Times New Roman"/>
                <w:noProof/>
              </w:rPr>
            </w:pPr>
            <w:r>
              <w:rPr>
                <w:noProof/>
              </w:rPr>
              <w:t>D20G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7A6FE8A" w14:textId="77777777" w:rsidR="00480F1C" w:rsidRDefault="00A201F6">
            <w:pPr>
              <w:pStyle w:val="P68B1DB1-Normal46"/>
              <w:spacing w:line="240" w:lineRule="auto"/>
              <w:rPr>
                <w:rFonts w:eastAsia="Times New Roman" w:cs="Times New Roman"/>
                <w:noProof/>
              </w:rPr>
            </w:pPr>
            <w:r>
              <w:rPr>
                <w:noProof/>
              </w:rPr>
              <w:t>D1.1.2 Versnellen van de digitale transformatie van de gezondheid door de verdere ontwikkeling van digitale gezondheidsdiensten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C7FB6BF"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A928338" w14:textId="77777777" w:rsidR="00480F1C" w:rsidRDefault="00A201F6">
            <w:pPr>
              <w:pStyle w:val="P68B1DB1-Normal46"/>
              <w:spacing w:line="240" w:lineRule="auto"/>
              <w:rPr>
                <w:rFonts w:eastAsia="Times New Roman" w:cs="Times New Roman"/>
                <w:noProof/>
              </w:rPr>
            </w:pPr>
            <w:r>
              <w:rPr>
                <w:noProof/>
              </w:rPr>
              <w:t>T2 — Medische documenten gedigitaliseerd</w:t>
            </w:r>
          </w:p>
        </w:tc>
      </w:tr>
      <w:tr w:rsidR="00480F1C" w14:paraId="198083A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F68AA9B" w14:textId="77777777" w:rsidR="00480F1C" w:rsidRDefault="00A201F6">
            <w:pPr>
              <w:pStyle w:val="P68B1DB1-Normal46"/>
              <w:spacing w:line="240" w:lineRule="auto"/>
              <w:jc w:val="center"/>
              <w:rPr>
                <w:rFonts w:eastAsia="Times New Roman" w:cs="Times New Roman"/>
                <w:noProof/>
              </w:rPr>
            </w:pPr>
            <w:r>
              <w:rPr>
                <w:noProof/>
              </w:rPr>
              <w:t>D21G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D65D998" w14:textId="77777777" w:rsidR="00480F1C" w:rsidRDefault="00A201F6">
            <w:pPr>
              <w:pStyle w:val="P68B1DB1-Normal46"/>
              <w:spacing w:line="240" w:lineRule="auto"/>
              <w:rPr>
                <w:rFonts w:eastAsia="Times New Roman" w:cs="Times New Roman"/>
                <w:noProof/>
              </w:rPr>
            </w:pPr>
            <w:r>
              <w:rPr>
                <w:noProof/>
              </w:rPr>
              <w:t>D1.1.2 Versnellen van de digitale transformatie van de gezondheid door de verdere ontwikkeling van digitale gezondheidsdiensten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7597B88"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EE4C5AE" w14:textId="77777777" w:rsidR="00480F1C" w:rsidRDefault="00A201F6">
            <w:pPr>
              <w:pStyle w:val="P68B1DB1-Normal46"/>
              <w:spacing w:line="240" w:lineRule="auto"/>
              <w:rPr>
                <w:rFonts w:eastAsia="Times New Roman" w:cs="Times New Roman"/>
                <w:noProof/>
              </w:rPr>
            </w:pPr>
            <w:r>
              <w:rPr>
                <w:noProof/>
              </w:rPr>
              <w:t>Centrale/regionale zorgaanbieders die verbonden zijn met het centrale register van medische gegevens en centrale/regionale zorgaanbieders die zijn uitgerust met het op AI gebaseerde besluitvormingsinstrument</w:t>
            </w:r>
          </w:p>
        </w:tc>
      </w:tr>
      <w:tr w:rsidR="00480F1C" w14:paraId="05ADCD07"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24820B1" w14:textId="77777777" w:rsidR="00480F1C" w:rsidRDefault="00A201F6">
            <w:pPr>
              <w:pStyle w:val="P68B1DB1-Normal46"/>
              <w:spacing w:line="240" w:lineRule="auto"/>
              <w:jc w:val="center"/>
              <w:rPr>
                <w:rFonts w:eastAsia="Times New Roman" w:cs="Times New Roman"/>
                <w:noProof/>
              </w:rPr>
            </w:pPr>
            <w:r>
              <w:rPr>
                <w:noProof/>
              </w:rPr>
              <w:t>D22G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41B23E1" w14:textId="77777777" w:rsidR="00480F1C" w:rsidRDefault="00A201F6">
            <w:pPr>
              <w:pStyle w:val="P68B1DB1-Normal46"/>
              <w:spacing w:line="240" w:lineRule="auto"/>
              <w:rPr>
                <w:rFonts w:eastAsia="Times New Roman" w:cs="Times New Roman"/>
                <w:noProof/>
              </w:rPr>
            </w:pPr>
            <w:r>
              <w:rPr>
                <w:noProof/>
              </w:rPr>
              <w:t>D1.1.2 Versnellen van de digitale transformatie van de gezondheid door de verdere ontwikkeling van digitale gezondheidsdiensten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03C5910"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6318AFD" w14:textId="77777777" w:rsidR="00480F1C" w:rsidRDefault="00A201F6">
            <w:pPr>
              <w:pStyle w:val="P68B1DB1-Normal46"/>
              <w:spacing w:line="240" w:lineRule="auto"/>
              <w:rPr>
                <w:rFonts w:eastAsia="Times New Roman" w:cs="Times New Roman"/>
                <w:noProof/>
              </w:rPr>
            </w:pPr>
            <w:r>
              <w:rPr>
                <w:noProof/>
              </w:rPr>
              <w:t>Volwassen patiënten die onder de Patient Health Analysis Tool vallen</w:t>
            </w:r>
          </w:p>
        </w:tc>
      </w:tr>
      <w:tr w:rsidR="00480F1C" w14:paraId="5706D2A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79F3319" w14:textId="77777777" w:rsidR="00480F1C" w:rsidRDefault="00A201F6">
            <w:pPr>
              <w:pStyle w:val="P68B1DB1-Normal46"/>
              <w:spacing w:line="240" w:lineRule="auto"/>
              <w:jc w:val="center"/>
              <w:rPr>
                <w:rFonts w:eastAsia="Times New Roman" w:cs="Times New Roman"/>
                <w:noProof/>
              </w:rPr>
            </w:pPr>
            <w:r>
              <w:rPr>
                <w:noProof/>
              </w:rPr>
              <w:t>D24G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17830B5" w14:textId="77777777" w:rsidR="00480F1C" w:rsidRDefault="00A201F6">
            <w:pPr>
              <w:pStyle w:val="P68B1DB1-Normal46"/>
              <w:spacing w:line="240" w:lineRule="auto"/>
              <w:rPr>
                <w:rFonts w:eastAsia="Times New Roman" w:cs="Times New Roman"/>
                <w:noProof/>
              </w:rPr>
            </w:pPr>
            <w:r>
              <w:rPr>
                <w:noProof/>
              </w:rPr>
              <w:t>D2.1 De juiste voorwaarden scheppen voor een toename van het aantal medisch personeel</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AF15583"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76A608D" w14:textId="77777777" w:rsidR="00480F1C" w:rsidRDefault="00A201F6">
            <w:pPr>
              <w:pStyle w:val="P68B1DB1-Normal46"/>
              <w:spacing w:line="240" w:lineRule="auto"/>
              <w:rPr>
                <w:rFonts w:eastAsia="Times New Roman" w:cs="Times New Roman"/>
                <w:noProof/>
              </w:rPr>
            </w:pPr>
            <w:r>
              <w:rPr>
                <w:noProof/>
              </w:rPr>
              <w:t>Aantal studenten aan medische universiteiten die financiële steun hebben ontvangen overeenkomstig de Wet op het hoger onderwijs en de wetenschappen en op de beroepen van arts en tandarts</w:t>
            </w:r>
          </w:p>
        </w:tc>
      </w:tr>
      <w:tr w:rsidR="00480F1C" w14:paraId="3FB73D4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BCCD4F8" w14:textId="77777777" w:rsidR="00480F1C" w:rsidRDefault="00A201F6">
            <w:pPr>
              <w:pStyle w:val="P68B1DB1-Normal46"/>
              <w:spacing w:line="240" w:lineRule="auto"/>
              <w:jc w:val="center"/>
              <w:rPr>
                <w:rFonts w:eastAsia="Times New Roman" w:cs="Times New Roman"/>
                <w:noProof/>
              </w:rPr>
            </w:pPr>
            <w:r>
              <w:rPr>
                <w:noProof/>
              </w:rPr>
              <w:t>D28G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C1308AF" w14:textId="77777777" w:rsidR="00480F1C" w:rsidRDefault="00A201F6">
            <w:pPr>
              <w:pStyle w:val="P68B1DB1-Normal46"/>
              <w:spacing w:line="240" w:lineRule="auto"/>
              <w:rPr>
                <w:rFonts w:eastAsia="Times New Roman" w:cs="Times New Roman"/>
                <w:noProof/>
              </w:rPr>
            </w:pPr>
            <w:r>
              <w:rPr>
                <w:noProof/>
              </w:rPr>
              <w:t>D2.1 De juiste voorwaarden scheppen voor een toename van het aantal medisch personeel</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140EC34"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2B25D6E" w14:textId="77777777" w:rsidR="00480F1C" w:rsidRDefault="00A201F6">
            <w:pPr>
              <w:pStyle w:val="P68B1DB1-Normal46"/>
              <w:spacing w:line="240" w:lineRule="auto"/>
              <w:rPr>
                <w:rFonts w:eastAsia="Times New Roman" w:cs="Times New Roman"/>
                <w:noProof/>
              </w:rPr>
            </w:pPr>
            <w:r>
              <w:rPr>
                <w:noProof/>
              </w:rPr>
              <w:t>Aantal artsen en tandartsen die een certificaat hebben verkregen waarin hun medische beroepsbekwaamheid wordt bevestigd</w:t>
            </w:r>
          </w:p>
        </w:tc>
      </w:tr>
      <w:tr w:rsidR="00480F1C" w14:paraId="553AE63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3B75BA8" w14:textId="77777777" w:rsidR="00480F1C" w:rsidRDefault="00A201F6">
            <w:pPr>
              <w:pStyle w:val="P68B1DB1-Normal46"/>
              <w:spacing w:line="240" w:lineRule="auto"/>
              <w:jc w:val="center"/>
              <w:rPr>
                <w:rFonts w:eastAsia="Times New Roman" w:cs="Times New Roman"/>
                <w:noProof/>
              </w:rPr>
            </w:pPr>
            <w:r>
              <w:rPr>
                <w:noProof/>
              </w:rPr>
              <w:t>D30G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C442E12" w14:textId="77777777" w:rsidR="00480F1C" w:rsidRDefault="00A201F6">
            <w:pPr>
              <w:pStyle w:val="P68B1DB1-Normal46"/>
              <w:spacing w:line="240" w:lineRule="auto"/>
              <w:rPr>
                <w:rFonts w:eastAsia="Times New Roman" w:cs="Times New Roman"/>
                <w:noProof/>
              </w:rPr>
            </w:pPr>
            <w:r>
              <w:rPr>
                <w:noProof/>
              </w:rPr>
              <w:t>D2.1.1 Investeringen in verband met de modernisering en aanpassing van onderwijsvoorzieningen met het oog op een verhoging van de toelatingsgrenzen voor medische studies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EA85410"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AADB663" w14:textId="77777777" w:rsidR="00480F1C" w:rsidRDefault="00A201F6">
            <w:pPr>
              <w:pStyle w:val="P68B1DB1-Normal46"/>
              <w:spacing w:line="240" w:lineRule="auto"/>
              <w:rPr>
                <w:rFonts w:eastAsia="Times New Roman" w:cs="Times New Roman"/>
                <w:noProof/>
              </w:rPr>
            </w:pPr>
            <w:r>
              <w:rPr>
                <w:noProof/>
              </w:rPr>
              <w:t>Aantal studenten verpleegkundigen, verloskundigen, spoedeisende medische diensten, geneeskunde, tandheelkunde, medische analyse, fysiotherapie en farmacie die een beurs hebben ontvangen, en studenten verpleegkundige, verloskundige, medische nooddiensten die onder een beurs, medefinanciering of mentorschap vallen</w:t>
            </w:r>
          </w:p>
        </w:tc>
      </w:tr>
      <w:tr w:rsidR="00480F1C" w14:paraId="562CF84A"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F9F3F59" w14:textId="77777777" w:rsidR="00480F1C" w:rsidRDefault="00A201F6">
            <w:pPr>
              <w:pStyle w:val="P68B1DB1-Normal46"/>
              <w:spacing w:line="240" w:lineRule="auto"/>
              <w:jc w:val="center"/>
              <w:rPr>
                <w:rFonts w:eastAsia="Times New Roman" w:cs="Times New Roman"/>
                <w:noProof/>
              </w:rPr>
            </w:pPr>
            <w:r>
              <w:rPr>
                <w:noProof/>
              </w:rPr>
              <w:t>D35G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B4E11F9" w14:textId="77777777" w:rsidR="00480F1C" w:rsidRDefault="00A201F6">
            <w:pPr>
              <w:pStyle w:val="P68B1DB1-Normal46"/>
              <w:spacing w:line="240" w:lineRule="auto"/>
              <w:rPr>
                <w:rFonts w:eastAsia="Times New Roman" w:cs="Times New Roman"/>
                <w:noProof/>
              </w:rPr>
            </w:pPr>
            <w:r>
              <w:rPr>
                <w:noProof/>
              </w:rPr>
              <w:t>D3.1.1 Algemene ontwikkeling van onderzoek op het gebied van medische en gezondheidswetenschappen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D1452B9"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FB6782C" w14:textId="77777777" w:rsidR="00480F1C" w:rsidRDefault="00A201F6">
            <w:pPr>
              <w:pStyle w:val="P68B1DB1-Normal46"/>
              <w:spacing w:line="240" w:lineRule="auto"/>
              <w:rPr>
                <w:rFonts w:eastAsia="Times New Roman" w:cs="Times New Roman"/>
                <w:noProof/>
              </w:rPr>
            </w:pPr>
            <w:r>
              <w:rPr>
                <w:noProof/>
              </w:rPr>
              <w:t>Oprichting van een gespecialiseerd centrum voor onderzoek en analyse</w:t>
            </w:r>
          </w:p>
        </w:tc>
      </w:tr>
      <w:tr w:rsidR="00480F1C" w14:paraId="4B35D93D"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63E1397" w14:textId="77777777" w:rsidR="00480F1C" w:rsidRDefault="00A201F6">
            <w:pPr>
              <w:pStyle w:val="P68B1DB1-Normal46"/>
              <w:spacing w:line="240" w:lineRule="auto"/>
              <w:jc w:val="center"/>
              <w:rPr>
                <w:rFonts w:eastAsia="Times New Roman" w:cs="Times New Roman"/>
                <w:noProof/>
              </w:rPr>
            </w:pPr>
            <w:r>
              <w:rPr>
                <w:noProof/>
              </w:rPr>
              <w:t>D36G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6824020" w14:textId="77777777" w:rsidR="00480F1C" w:rsidRDefault="00A201F6">
            <w:pPr>
              <w:pStyle w:val="P68B1DB1-Normal46"/>
              <w:spacing w:line="240" w:lineRule="auto"/>
              <w:rPr>
                <w:rFonts w:eastAsia="Times New Roman" w:cs="Times New Roman"/>
                <w:noProof/>
              </w:rPr>
            </w:pPr>
            <w:r>
              <w:rPr>
                <w:noProof/>
              </w:rPr>
              <w:t>D3.1.1 Algemene ontwikkeling van onderzoek op het gebied van medische en gezondheidswetenschappen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DE2F546"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6E85C9D" w14:textId="77777777" w:rsidR="00480F1C" w:rsidRDefault="00A201F6">
            <w:pPr>
              <w:pStyle w:val="P68B1DB1-Normal46"/>
              <w:spacing w:line="240" w:lineRule="auto"/>
              <w:rPr>
                <w:rFonts w:eastAsia="Times New Roman" w:cs="Times New Roman"/>
                <w:noProof/>
              </w:rPr>
            </w:pPr>
            <w:r>
              <w:rPr>
                <w:noProof/>
              </w:rPr>
              <w:t>Aantal gefinancierde projecten voor onderzoekseenheden en ondernemers in de biomedische sector</w:t>
            </w:r>
          </w:p>
        </w:tc>
      </w:tr>
      <w:tr w:rsidR="00480F1C" w14:paraId="275513BA"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BDBC9B5" w14:textId="77777777" w:rsidR="00480F1C" w:rsidRDefault="00A201F6">
            <w:pPr>
              <w:pStyle w:val="P68B1DB1-Normal46"/>
              <w:spacing w:line="240" w:lineRule="auto"/>
              <w:jc w:val="center"/>
              <w:rPr>
                <w:rFonts w:eastAsia="Times New Roman" w:cs="Times New Roman"/>
                <w:noProof/>
              </w:rPr>
            </w:pPr>
            <w:r>
              <w:rPr>
                <w:noProof/>
              </w:rPr>
              <w:t>D37G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9D608B5" w14:textId="77777777" w:rsidR="00480F1C" w:rsidRDefault="00A201F6">
            <w:pPr>
              <w:pStyle w:val="P68B1DB1-Normal46"/>
              <w:spacing w:line="240" w:lineRule="auto"/>
              <w:rPr>
                <w:rFonts w:eastAsia="Times New Roman" w:cs="Times New Roman"/>
                <w:noProof/>
              </w:rPr>
            </w:pPr>
            <w:r>
              <w:rPr>
                <w:noProof/>
              </w:rPr>
              <w:t>D3.1.1 Algemene ontwikkeling van onderzoek op het gebied van medische en gezondheidswetenschappen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318ED95"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E5F4132" w14:textId="77777777" w:rsidR="00480F1C" w:rsidRDefault="00A201F6">
            <w:pPr>
              <w:pStyle w:val="P68B1DB1-Normal46"/>
              <w:spacing w:line="240" w:lineRule="auto"/>
              <w:rPr>
                <w:rFonts w:eastAsia="Times New Roman" w:cs="Times New Roman"/>
                <w:noProof/>
              </w:rPr>
            </w:pPr>
            <w:r>
              <w:rPr>
                <w:noProof/>
              </w:rPr>
              <w:t>Aantal opgerichte ondersteuningscentra voor klinische proeven</w:t>
            </w:r>
          </w:p>
        </w:tc>
      </w:tr>
      <w:tr w:rsidR="00480F1C" w14:paraId="6D0581F0"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5E28417" w14:textId="77777777" w:rsidR="00480F1C" w:rsidRDefault="00A201F6">
            <w:pPr>
              <w:pStyle w:val="P68B1DB1-Normal46"/>
              <w:spacing w:line="240" w:lineRule="auto"/>
              <w:jc w:val="center"/>
              <w:rPr>
                <w:rFonts w:eastAsia="Times New Roman" w:cs="Times New Roman"/>
                <w:noProof/>
              </w:rPr>
            </w:pPr>
            <w:r>
              <w:rPr>
                <w:noProof/>
              </w:rPr>
              <w:t>E4G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DF21EB3" w14:textId="77777777" w:rsidR="00480F1C" w:rsidRDefault="00A201F6">
            <w:pPr>
              <w:pStyle w:val="P68B1DB1-Normal46"/>
              <w:spacing w:line="240" w:lineRule="auto"/>
              <w:rPr>
                <w:rFonts w:eastAsia="Times New Roman" w:cs="Times New Roman"/>
                <w:noProof/>
              </w:rPr>
            </w:pPr>
            <w:r>
              <w:rPr>
                <w:noProof/>
              </w:rPr>
              <w:t>E1.1 Verhoging van het gebruik van milieuvriendelijk vervoer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C90A9A5"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4C8F901" w14:textId="77777777" w:rsidR="00480F1C" w:rsidRDefault="00A201F6">
            <w:pPr>
              <w:pStyle w:val="P68B1DB1-Normal46"/>
              <w:spacing w:line="240" w:lineRule="auto"/>
              <w:rPr>
                <w:rFonts w:eastAsia="Times New Roman" w:cs="Times New Roman"/>
                <w:noProof/>
              </w:rPr>
            </w:pPr>
            <w:r>
              <w:rPr>
                <w:noProof/>
              </w:rPr>
              <w:t>Inwerkingtreding van een rechtshandeling tot invoering van een eigendomsbelasting voor emissiegerelateerde voertuigen overeenkomstig het beginsel „de vervuiler betaalt”</w:t>
            </w:r>
          </w:p>
        </w:tc>
      </w:tr>
      <w:tr w:rsidR="00480F1C" w14:paraId="3EBC1451"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756C795" w14:textId="77777777" w:rsidR="00480F1C" w:rsidRDefault="00A201F6">
            <w:pPr>
              <w:pStyle w:val="P68B1DB1-Normal46"/>
              <w:spacing w:line="240" w:lineRule="auto"/>
              <w:jc w:val="center"/>
              <w:rPr>
                <w:rFonts w:eastAsia="Times New Roman" w:cs="Times New Roman"/>
                <w:noProof/>
              </w:rPr>
            </w:pPr>
            <w:r>
              <w:rPr>
                <w:noProof/>
              </w:rPr>
              <w:t>E7G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733481E" w14:textId="77777777" w:rsidR="00480F1C" w:rsidRDefault="00A201F6">
            <w:pPr>
              <w:pStyle w:val="P68B1DB1-Normal46"/>
              <w:spacing w:line="240" w:lineRule="auto"/>
              <w:rPr>
                <w:rFonts w:eastAsia="Times New Roman" w:cs="Times New Roman"/>
                <w:noProof/>
              </w:rPr>
            </w:pPr>
            <w:r>
              <w:rPr>
                <w:noProof/>
              </w:rPr>
              <w:t>E1.1 Verhoging van het gebruik van milieuvriendelijk vervoer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5626815"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B3FEEE1" w14:textId="77777777" w:rsidR="00480F1C" w:rsidRDefault="00A201F6">
            <w:pPr>
              <w:pStyle w:val="P68B1DB1-Normal46"/>
              <w:spacing w:line="240" w:lineRule="auto"/>
              <w:rPr>
                <w:rFonts w:eastAsia="Times New Roman" w:cs="Times New Roman"/>
                <w:noProof/>
              </w:rPr>
            </w:pPr>
            <w:r>
              <w:rPr>
                <w:noProof/>
              </w:rPr>
              <w:t>Nieuwe emissievrije voertuigen</w:t>
            </w:r>
          </w:p>
        </w:tc>
      </w:tr>
      <w:tr w:rsidR="00480F1C" w14:paraId="5580171D"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0643474" w14:textId="77777777" w:rsidR="00480F1C" w:rsidRDefault="00A201F6">
            <w:pPr>
              <w:pStyle w:val="P68B1DB1-Normal46"/>
              <w:spacing w:line="240" w:lineRule="auto"/>
              <w:jc w:val="center"/>
              <w:rPr>
                <w:rFonts w:eastAsia="Times New Roman" w:cs="Times New Roman"/>
                <w:noProof/>
              </w:rPr>
            </w:pPr>
            <w:r>
              <w:rPr>
                <w:noProof/>
              </w:rPr>
              <w:t>E10G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F3D157E" w14:textId="77777777" w:rsidR="00480F1C" w:rsidRDefault="00A201F6">
            <w:pPr>
              <w:pStyle w:val="P68B1DB1-Normal46"/>
              <w:spacing w:line="240" w:lineRule="auto"/>
              <w:rPr>
                <w:rFonts w:eastAsia="Times New Roman" w:cs="Times New Roman"/>
                <w:noProof/>
              </w:rPr>
            </w:pPr>
            <w:r>
              <w:rPr>
                <w:noProof/>
              </w:rPr>
              <w:t>E1.1.1 Steun voor een koolstofarme economie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56E43F6"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2320F42" w14:textId="77777777" w:rsidR="00480F1C" w:rsidRDefault="00A201F6">
            <w:pPr>
              <w:pStyle w:val="P68B1DB1-Normal46"/>
              <w:spacing w:line="240" w:lineRule="auto"/>
              <w:rPr>
                <w:rFonts w:eastAsia="Times New Roman" w:cs="Times New Roman"/>
                <w:noProof/>
              </w:rPr>
            </w:pPr>
            <w:r>
              <w:rPr>
                <w:noProof/>
              </w:rPr>
              <w:t>Productiecapaciteit van nieuwe emissievrije voertuigen</w:t>
            </w:r>
          </w:p>
        </w:tc>
      </w:tr>
      <w:tr w:rsidR="00480F1C" w14:paraId="5B712BD5"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E039FF6" w14:textId="77777777" w:rsidR="00480F1C" w:rsidRDefault="00A201F6">
            <w:pPr>
              <w:pStyle w:val="P68B1DB1-Normal46"/>
              <w:spacing w:line="240" w:lineRule="auto"/>
              <w:jc w:val="center"/>
              <w:rPr>
                <w:rFonts w:eastAsia="Times New Roman" w:cs="Times New Roman"/>
                <w:noProof/>
              </w:rPr>
            </w:pPr>
            <w:r>
              <w:rPr>
                <w:noProof/>
              </w:rPr>
              <w:t>E11G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C1C647A" w14:textId="77777777" w:rsidR="00480F1C" w:rsidRDefault="00A201F6">
            <w:pPr>
              <w:pStyle w:val="P68B1DB1-Normal46"/>
              <w:spacing w:line="240" w:lineRule="auto"/>
              <w:rPr>
                <w:rFonts w:eastAsia="Times New Roman" w:cs="Times New Roman"/>
                <w:noProof/>
              </w:rPr>
            </w:pPr>
            <w:r>
              <w:rPr>
                <w:noProof/>
              </w:rPr>
              <w:t>E1.1.1 Steun voor een koolstofarme economie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8477A6E"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930AD31" w14:textId="77777777" w:rsidR="00480F1C" w:rsidRDefault="00A201F6">
            <w:pPr>
              <w:pStyle w:val="P68B1DB1-Normal46"/>
              <w:spacing w:line="240" w:lineRule="auto"/>
              <w:rPr>
                <w:rFonts w:eastAsia="Times New Roman" w:cs="Times New Roman"/>
                <w:noProof/>
              </w:rPr>
            </w:pPr>
            <w:r>
              <w:rPr>
                <w:noProof/>
              </w:rPr>
              <w:t>Productie- en opslagcapaciteit voor emissievrije/emissiearme opslag en productie van alternatieve brandstoffen/energie</w:t>
            </w:r>
          </w:p>
        </w:tc>
      </w:tr>
      <w:tr w:rsidR="00480F1C" w14:paraId="3E82B520"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FAB6E1C" w14:textId="77777777" w:rsidR="00480F1C" w:rsidRDefault="00A201F6">
            <w:pPr>
              <w:pStyle w:val="P68B1DB1-Normal46"/>
              <w:spacing w:line="240" w:lineRule="auto"/>
              <w:jc w:val="center"/>
              <w:rPr>
                <w:rFonts w:eastAsia="Times New Roman" w:cs="Times New Roman"/>
                <w:noProof/>
              </w:rPr>
            </w:pPr>
            <w:r>
              <w:rPr>
                <w:noProof/>
              </w:rPr>
              <w:t>E14G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EABF8F3" w14:textId="77777777" w:rsidR="00480F1C" w:rsidRDefault="00A201F6">
            <w:pPr>
              <w:pStyle w:val="P68B1DB1-Normal46"/>
              <w:spacing w:line="240" w:lineRule="auto"/>
              <w:rPr>
                <w:rFonts w:eastAsia="Times New Roman" w:cs="Times New Roman"/>
                <w:noProof/>
              </w:rPr>
            </w:pPr>
            <w:r>
              <w:rPr>
                <w:noProof/>
              </w:rPr>
              <w:t>E1.1.2 Zero en emissiearm collectief vervoer (bussen)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67A2E68"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8534B75" w14:textId="77777777" w:rsidR="00480F1C" w:rsidRDefault="00A201F6">
            <w:pPr>
              <w:pStyle w:val="P68B1DB1-Normal46"/>
              <w:spacing w:line="240" w:lineRule="auto"/>
              <w:rPr>
                <w:rFonts w:eastAsia="Times New Roman" w:cs="Times New Roman"/>
                <w:noProof/>
              </w:rPr>
            </w:pPr>
            <w:r>
              <w:rPr>
                <w:noProof/>
              </w:rPr>
              <w:t>Nieuwe emissievrije en emissiearme voertuigen in bedrijf</w:t>
            </w:r>
          </w:p>
        </w:tc>
      </w:tr>
      <w:tr w:rsidR="00480F1C" w14:paraId="560CF2C6"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76B5C80" w14:textId="77777777" w:rsidR="00480F1C" w:rsidRDefault="00A201F6">
            <w:pPr>
              <w:pStyle w:val="P68B1DB1-Normal46"/>
              <w:spacing w:line="240" w:lineRule="auto"/>
              <w:jc w:val="center"/>
              <w:rPr>
                <w:rFonts w:eastAsia="Times New Roman" w:cs="Times New Roman"/>
                <w:noProof/>
              </w:rPr>
            </w:pPr>
            <w:r>
              <w:rPr>
                <w:noProof/>
              </w:rPr>
              <w:t>E18G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CC8661B" w14:textId="77777777" w:rsidR="00480F1C" w:rsidRDefault="00A201F6">
            <w:pPr>
              <w:pStyle w:val="P68B1DB1-Normal46"/>
              <w:spacing w:line="240" w:lineRule="auto"/>
              <w:rPr>
                <w:rFonts w:eastAsia="Times New Roman" w:cs="Times New Roman"/>
                <w:noProof/>
              </w:rPr>
            </w:pPr>
            <w:r>
              <w:rPr>
                <w:noProof/>
              </w:rPr>
              <w:t>E2.1.1 spoorlijnen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F01D7DA"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4C288F5" w14:textId="77777777" w:rsidR="00480F1C" w:rsidRDefault="00A201F6">
            <w:pPr>
              <w:pStyle w:val="P68B1DB1-Normal46"/>
              <w:spacing w:line="240" w:lineRule="auto"/>
              <w:rPr>
                <w:rFonts w:eastAsia="Times New Roman" w:cs="Times New Roman"/>
                <w:noProof/>
              </w:rPr>
            </w:pPr>
            <w:r>
              <w:rPr>
                <w:noProof/>
              </w:rPr>
              <w:t>Modernisering van 478 km spoorlijnen, met inbegrip van 300 km volgens TEN-T-normen</w:t>
            </w:r>
          </w:p>
        </w:tc>
      </w:tr>
      <w:tr w:rsidR="00480F1C" w14:paraId="2094A96D"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9CA729E" w14:textId="77777777" w:rsidR="00480F1C" w:rsidRDefault="00A201F6">
            <w:pPr>
              <w:pStyle w:val="P68B1DB1-Normal46"/>
              <w:spacing w:line="240" w:lineRule="auto"/>
              <w:jc w:val="center"/>
              <w:rPr>
                <w:rFonts w:eastAsia="Times New Roman" w:cs="Times New Roman"/>
                <w:noProof/>
              </w:rPr>
            </w:pPr>
            <w:r>
              <w:rPr>
                <w:noProof/>
              </w:rPr>
              <w:t>E20G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69BE552" w14:textId="77777777" w:rsidR="00480F1C" w:rsidRDefault="00A201F6">
            <w:pPr>
              <w:pStyle w:val="P68B1DB1-Normal46"/>
              <w:spacing w:line="240" w:lineRule="auto"/>
              <w:rPr>
                <w:rFonts w:eastAsia="Times New Roman" w:cs="Times New Roman"/>
                <w:noProof/>
              </w:rPr>
            </w:pPr>
            <w:r>
              <w:rPr>
                <w:noProof/>
              </w:rPr>
              <w:t>E2.1.2 Spoorwegen reizigerstreinen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5B97765"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7263A3A" w14:textId="77777777" w:rsidR="00480F1C" w:rsidRDefault="00A201F6">
            <w:pPr>
              <w:pStyle w:val="P68B1DB1-Normal46"/>
              <w:spacing w:line="240" w:lineRule="auto"/>
              <w:rPr>
                <w:rFonts w:eastAsia="Times New Roman" w:cs="Times New Roman"/>
                <w:noProof/>
              </w:rPr>
            </w:pPr>
            <w:r>
              <w:rPr>
                <w:noProof/>
              </w:rPr>
              <w:t>Elektrisch en met ERTMS uitgerust rollend materieel in gebruik voor regionale en langeafstandsspoorlijnen</w:t>
            </w:r>
          </w:p>
        </w:tc>
      </w:tr>
      <w:tr w:rsidR="00480F1C" w14:paraId="37B27276"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23472B9" w14:textId="77777777" w:rsidR="00480F1C" w:rsidRDefault="00A201F6">
            <w:pPr>
              <w:pStyle w:val="P68B1DB1-Normal46"/>
              <w:spacing w:line="240" w:lineRule="auto"/>
              <w:jc w:val="center"/>
              <w:rPr>
                <w:rFonts w:eastAsia="Times New Roman" w:cs="Times New Roman"/>
                <w:noProof/>
              </w:rPr>
            </w:pPr>
            <w:r>
              <w:rPr>
                <w:noProof/>
              </w:rPr>
              <w:t>E22G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121D88F" w14:textId="77777777" w:rsidR="00480F1C" w:rsidRDefault="00A201F6">
            <w:pPr>
              <w:pStyle w:val="P68B1DB1-Normal46"/>
              <w:spacing w:line="240" w:lineRule="auto"/>
              <w:rPr>
                <w:rFonts w:eastAsia="Times New Roman" w:cs="Times New Roman"/>
                <w:noProof/>
              </w:rPr>
            </w:pPr>
            <w:r>
              <w:rPr>
                <w:noProof/>
              </w:rPr>
              <w:t>E2.1.3 Intermodale projecten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A7DA603"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156BD8C" w14:textId="77777777" w:rsidR="00480F1C" w:rsidRDefault="00A201F6">
            <w:pPr>
              <w:pStyle w:val="P68B1DB1-Normal46"/>
              <w:spacing w:line="240" w:lineRule="auto"/>
              <w:rPr>
                <w:rFonts w:eastAsia="Times New Roman" w:cs="Times New Roman"/>
                <w:noProof/>
              </w:rPr>
            </w:pPr>
            <w:r>
              <w:rPr>
                <w:noProof/>
              </w:rPr>
              <w:t>Verhoging van de overslagcapaciteit</w:t>
            </w:r>
          </w:p>
        </w:tc>
      </w:tr>
      <w:tr w:rsidR="00480F1C" w14:paraId="78A8AAC1"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3DDE119" w14:textId="77777777" w:rsidR="00480F1C" w:rsidRDefault="00A201F6">
            <w:pPr>
              <w:pStyle w:val="P68B1DB1-Normal46"/>
              <w:spacing w:line="240" w:lineRule="auto"/>
              <w:jc w:val="center"/>
              <w:rPr>
                <w:rFonts w:eastAsia="Times New Roman" w:cs="Times New Roman"/>
                <w:noProof/>
              </w:rPr>
            </w:pPr>
            <w:r>
              <w:rPr>
                <w:noProof/>
              </w:rPr>
              <w:t>E25G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21159D2" w14:textId="77777777" w:rsidR="00480F1C" w:rsidRDefault="00A201F6">
            <w:pPr>
              <w:pStyle w:val="P68B1DB1-Normal46"/>
              <w:spacing w:line="240" w:lineRule="auto"/>
              <w:rPr>
                <w:rFonts w:eastAsia="Times New Roman" w:cs="Times New Roman"/>
                <w:noProof/>
              </w:rPr>
            </w:pPr>
            <w:r>
              <w:rPr>
                <w:noProof/>
              </w:rPr>
              <w:t>E2.2.1 Investeringen in de veiligheid van het vervoer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EAF89AE"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F41C17C" w14:textId="77777777" w:rsidR="00480F1C" w:rsidRDefault="00A201F6">
            <w:pPr>
              <w:pStyle w:val="P68B1DB1-Normal46"/>
              <w:spacing w:line="240" w:lineRule="auto"/>
              <w:rPr>
                <w:rFonts w:eastAsia="Times New Roman" w:cs="Times New Roman"/>
                <w:noProof/>
              </w:rPr>
            </w:pPr>
            <w:r>
              <w:rPr>
                <w:noProof/>
              </w:rPr>
              <w:t>Voltooiing van de bouw van bypassingen, verwijdering van zwarte/hotspots voor verkeersveiligheid en installatie van automatische wegbewakingsapparatuur</w:t>
            </w:r>
          </w:p>
        </w:tc>
      </w:tr>
      <w:tr w:rsidR="00480F1C" w14:paraId="08DCE1E9"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9AB9FDA" w14:textId="77777777" w:rsidR="00480F1C" w:rsidRDefault="00A201F6">
            <w:pPr>
              <w:pStyle w:val="P68B1DB1-Normal46"/>
              <w:spacing w:line="240" w:lineRule="auto"/>
              <w:jc w:val="center"/>
              <w:rPr>
                <w:rFonts w:eastAsia="Times New Roman" w:cs="Times New Roman"/>
                <w:noProof/>
              </w:rPr>
            </w:pPr>
            <w:r>
              <w:rPr>
                <w:noProof/>
              </w:rPr>
              <w:t>E28G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8206435" w14:textId="77777777" w:rsidR="00480F1C" w:rsidRDefault="00A201F6">
            <w:pPr>
              <w:pStyle w:val="P68B1DB1-Normal46"/>
              <w:spacing w:line="240" w:lineRule="auto"/>
              <w:rPr>
                <w:rFonts w:eastAsia="Times New Roman" w:cs="Times New Roman"/>
                <w:noProof/>
              </w:rPr>
            </w:pPr>
            <w:r>
              <w:rPr>
                <w:noProof/>
              </w:rPr>
              <w:t>E2.2.2 Digitalisering van het vervoer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DB12264"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F8127B4" w14:textId="77777777" w:rsidR="00480F1C" w:rsidRDefault="00A201F6">
            <w:pPr>
              <w:pStyle w:val="P68B1DB1-Normal46"/>
              <w:spacing w:line="240" w:lineRule="auto"/>
              <w:rPr>
                <w:rFonts w:eastAsia="Times New Roman" w:cs="Times New Roman"/>
                <w:noProof/>
              </w:rPr>
            </w:pPr>
            <w:r>
              <w:rPr>
                <w:noProof/>
              </w:rPr>
              <w:t>Installatie van automatische besturing, spoorwegovergangen, 180 ERTMS-treinapparatuur en daarmee verband houdende ingebruikneming</w:t>
            </w:r>
          </w:p>
        </w:tc>
      </w:tr>
      <w:tr w:rsidR="00480F1C" w14:paraId="3CC79AB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CD35FFE" w14:textId="77777777" w:rsidR="00480F1C" w:rsidRDefault="00A201F6">
            <w:pPr>
              <w:pStyle w:val="P68B1DB1-Normal46"/>
              <w:spacing w:line="240" w:lineRule="auto"/>
              <w:jc w:val="center"/>
              <w:rPr>
                <w:noProof/>
              </w:rPr>
            </w:pPr>
            <w:r>
              <w:rPr>
                <w:noProof/>
              </w:rPr>
              <w:t>G5G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4165D86" w14:textId="77777777" w:rsidR="00480F1C" w:rsidRDefault="00A201F6">
            <w:pPr>
              <w:pStyle w:val="P68B1DB1-Normal46"/>
              <w:spacing w:line="240" w:lineRule="auto"/>
              <w:rPr>
                <w:noProof/>
              </w:rPr>
            </w:pPr>
            <w:r>
              <w:rPr>
                <w:noProof/>
              </w:rPr>
              <w:t>G1.1.2 Door energiegemeenschappen uitgevoerde installaties voor hernieuwbare energiebronnen, met inbegrip van een opgeschaald deel</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90EDE1C" w14:textId="77777777" w:rsidR="00480F1C" w:rsidRDefault="00A201F6">
            <w:pPr>
              <w:pStyle w:val="P68B1DB1-Normal46"/>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A6B9888" w14:textId="77777777" w:rsidR="00480F1C" w:rsidRDefault="00A201F6">
            <w:pPr>
              <w:pStyle w:val="P68B1DB1-Normal46"/>
              <w:spacing w:line="240" w:lineRule="auto"/>
              <w:rPr>
                <w:noProof/>
              </w:rPr>
            </w:pPr>
            <w:r>
              <w:rPr>
                <w:noProof/>
              </w:rPr>
              <w:t>Binnen het investeringsgedeelte ondersteunde entiteiten</w:t>
            </w:r>
          </w:p>
        </w:tc>
      </w:tr>
      <w:tr w:rsidR="00480F1C" w14:paraId="78F9A605"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087E567" w14:textId="77777777" w:rsidR="00480F1C" w:rsidRDefault="00A201F6">
            <w:pPr>
              <w:pStyle w:val="P68B1DB1-Normal46"/>
              <w:spacing w:line="240" w:lineRule="auto"/>
              <w:jc w:val="center"/>
              <w:rPr>
                <w:noProof/>
              </w:rPr>
            </w:pPr>
            <w:r>
              <w:rPr>
                <w:noProof/>
              </w:rPr>
              <w:t>G6G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87888B9" w14:textId="77777777" w:rsidR="00480F1C" w:rsidRDefault="00A201F6">
            <w:pPr>
              <w:pStyle w:val="P68B1DB1-Normal46"/>
              <w:spacing w:line="240" w:lineRule="auto"/>
              <w:rPr>
                <w:noProof/>
              </w:rPr>
            </w:pPr>
            <w:r>
              <w:rPr>
                <w:noProof/>
              </w:rPr>
              <w:t>G1.1.3 Systemen voor energieopslag</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321CEB1"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3031998" w14:textId="77777777" w:rsidR="00480F1C" w:rsidRDefault="00A201F6">
            <w:pPr>
              <w:pStyle w:val="P68B1DB1-Normal46"/>
              <w:spacing w:line="240" w:lineRule="auto"/>
              <w:rPr>
                <w:noProof/>
              </w:rPr>
            </w:pPr>
            <w:r>
              <w:rPr>
                <w:noProof/>
              </w:rPr>
              <w:t xml:space="preserve"> Uitrol van een grootschalig batterijenergieopslagsysteem (BESS)</w:t>
            </w:r>
          </w:p>
        </w:tc>
      </w:tr>
      <w:tr w:rsidR="00480F1C" w14:paraId="06945EA9"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C630ACD" w14:textId="77777777" w:rsidR="00480F1C" w:rsidRDefault="00A201F6">
            <w:pPr>
              <w:pStyle w:val="P68B1DB1-Normal46"/>
              <w:spacing w:line="240" w:lineRule="auto"/>
              <w:jc w:val="center"/>
              <w:rPr>
                <w:noProof/>
              </w:rPr>
            </w:pPr>
            <w:r>
              <w:rPr>
                <w:noProof/>
              </w:rPr>
              <w:t>G11G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EA20D0D" w14:textId="77777777" w:rsidR="00480F1C" w:rsidRDefault="00A201F6">
            <w:pPr>
              <w:pStyle w:val="P68B1DB1-Normal46"/>
              <w:spacing w:after="0" w:line="240" w:lineRule="auto"/>
              <w:rPr>
                <w:rFonts w:eastAsia="Times New Roman" w:cs="Times New Roman"/>
                <w:noProof/>
              </w:rPr>
            </w:pPr>
            <w:r>
              <w:rPr>
                <w:noProof/>
              </w:rPr>
              <w:t>G1.1.4 Steun voor instellingen die REPowerEU-hervormingen en -investeringen uitvoeren</w:t>
            </w:r>
          </w:p>
          <w:p w14:paraId="49DB7680" w14:textId="77777777" w:rsidR="00480F1C" w:rsidRDefault="00480F1C">
            <w:pPr>
              <w:spacing w:line="240" w:lineRule="auto"/>
              <w:rPr>
                <w:rFonts w:ascii="Times New Roman" w:hAnsi="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35DF0FC"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5F296EA" w14:textId="77777777" w:rsidR="00480F1C" w:rsidRDefault="00A201F6">
            <w:pPr>
              <w:pStyle w:val="P68B1DB1-Normal46"/>
              <w:spacing w:line="240" w:lineRule="auto"/>
              <w:rPr>
                <w:noProof/>
              </w:rPr>
            </w:pPr>
            <w:r>
              <w:rPr>
                <w:noProof/>
              </w:rPr>
              <w:t>Invoering van een IT-instrument voor de toepassing van het nieuwe regelgevingsmodel door het Bureau voor energieregulering</w:t>
            </w:r>
          </w:p>
        </w:tc>
      </w:tr>
      <w:tr w:rsidR="00480F1C" w14:paraId="12EEB865"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5003019" w14:textId="77777777" w:rsidR="00480F1C" w:rsidRDefault="00A201F6">
            <w:pPr>
              <w:pStyle w:val="P68B1DB1-Normal46"/>
              <w:spacing w:line="240" w:lineRule="auto"/>
              <w:jc w:val="center"/>
              <w:rPr>
                <w:noProof/>
              </w:rPr>
            </w:pPr>
            <w:r>
              <w:rPr>
                <w:noProof/>
              </w:rPr>
              <w:t>G17G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341D31F" w14:textId="77777777" w:rsidR="00480F1C" w:rsidRDefault="00A201F6">
            <w:pPr>
              <w:pStyle w:val="P68B1DB1-Normal46"/>
              <w:spacing w:line="240" w:lineRule="auto"/>
              <w:rPr>
                <w:noProof/>
              </w:rPr>
            </w:pPr>
            <w:r>
              <w:rPr>
                <w:noProof/>
              </w:rPr>
              <w:t>G1.2.3 Ontwikkeling van transmissienetwerken, slimme elektriciteitsinfrastructuur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F4D3443" w14:textId="77777777" w:rsidR="00480F1C" w:rsidRDefault="00A201F6">
            <w:pPr>
              <w:pStyle w:val="P68B1DB1-Normal46"/>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FDACCAE" w14:textId="77777777" w:rsidR="00480F1C" w:rsidRDefault="00A201F6">
            <w:pPr>
              <w:pStyle w:val="P68B1DB1-Normal46"/>
              <w:spacing w:after="0" w:line="240" w:lineRule="auto"/>
              <w:rPr>
                <w:rFonts w:eastAsia="Times New Roman" w:cs="Times New Roman"/>
                <w:noProof/>
              </w:rPr>
            </w:pPr>
            <w:r>
              <w:rPr>
                <w:noProof/>
              </w:rPr>
              <w:t xml:space="preserve">Lengte van het nieuwe </w:t>
            </w:r>
          </w:p>
          <w:p w14:paraId="57EAD69F" w14:textId="77777777" w:rsidR="00480F1C" w:rsidRDefault="00A201F6">
            <w:pPr>
              <w:pStyle w:val="P68B1DB1-Normal46"/>
              <w:spacing w:after="0" w:line="240" w:lineRule="auto"/>
              <w:rPr>
                <w:rFonts w:eastAsia="Times New Roman" w:cs="Times New Roman"/>
                <w:noProof/>
              </w:rPr>
            </w:pPr>
            <w:r>
              <w:rPr>
                <w:noProof/>
              </w:rPr>
              <w:t xml:space="preserve">gebouwd of gemoderniseerd </w:t>
            </w:r>
          </w:p>
          <w:p w14:paraId="6738806E" w14:textId="77777777" w:rsidR="00480F1C" w:rsidRDefault="00A201F6">
            <w:pPr>
              <w:pStyle w:val="P68B1DB1-Normal46"/>
              <w:spacing w:after="0" w:line="240" w:lineRule="auto"/>
              <w:rPr>
                <w:rFonts w:eastAsia="Times New Roman" w:cs="Times New Roman"/>
                <w:noProof/>
              </w:rPr>
            </w:pPr>
            <w:r>
              <w:rPr>
                <w:noProof/>
              </w:rPr>
              <w:t xml:space="preserve">elektriciteitsverbindingen </w:t>
            </w:r>
          </w:p>
          <w:p w14:paraId="7DA3E0A9" w14:textId="77777777" w:rsidR="00480F1C" w:rsidRDefault="00A201F6">
            <w:pPr>
              <w:pStyle w:val="P68B1DB1-Normal46"/>
              <w:spacing w:line="240" w:lineRule="auto"/>
              <w:rPr>
                <w:noProof/>
              </w:rPr>
            </w:pPr>
            <w:r>
              <w:rPr>
                <w:noProof/>
              </w:rPr>
              <w:t>netwerk (km)</w:t>
            </w:r>
          </w:p>
        </w:tc>
      </w:tr>
      <w:tr w:rsidR="00480F1C" w14:paraId="2E9A4CD0"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B24BE0D" w14:textId="77777777" w:rsidR="00480F1C" w:rsidRDefault="00A201F6">
            <w:pPr>
              <w:pStyle w:val="P68B1DB1-Normal46"/>
              <w:spacing w:line="240" w:lineRule="auto"/>
              <w:jc w:val="center"/>
              <w:rPr>
                <w:noProof/>
              </w:rPr>
            </w:pPr>
            <w:r>
              <w:rPr>
                <w:noProof/>
              </w:rPr>
              <w:t>G19G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B9BDDDF" w14:textId="77777777" w:rsidR="00480F1C" w:rsidRDefault="00A201F6">
            <w:pPr>
              <w:pStyle w:val="P68B1DB1-Normal46"/>
              <w:spacing w:line="240" w:lineRule="auto"/>
              <w:rPr>
                <w:noProof/>
              </w:rPr>
            </w:pPr>
            <w:r>
              <w:rPr>
                <w:noProof/>
              </w:rPr>
              <w:t>G1.2.3. Ontwikkeling van transmissienetwerken, slimme elektriciteitsinfrastructuur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59BBC9C" w14:textId="77777777" w:rsidR="00480F1C" w:rsidRDefault="00A201F6">
            <w:pPr>
              <w:pStyle w:val="P68B1DB1-Normal46"/>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29F653E" w14:textId="77777777" w:rsidR="00480F1C" w:rsidRDefault="00A201F6">
            <w:pPr>
              <w:pStyle w:val="P68B1DB1-Normal46"/>
              <w:spacing w:after="0" w:line="240" w:lineRule="auto"/>
              <w:rPr>
                <w:rFonts w:eastAsia="Times New Roman" w:cs="Times New Roman"/>
                <w:noProof/>
              </w:rPr>
            </w:pPr>
            <w:r>
              <w:rPr>
                <w:noProof/>
              </w:rPr>
              <w:t xml:space="preserve">Lengte van het nieuwe </w:t>
            </w:r>
          </w:p>
          <w:p w14:paraId="17FBDAAF" w14:textId="77777777" w:rsidR="00480F1C" w:rsidRDefault="00A201F6">
            <w:pPr>
              <w:pStyle w:val="P68B1DB1-Normal46"/>
              <w:spacing w:after="0" w:line="240" w:lineRule="auto"/>
              <w:rPr>
                <w:rFonts w:eastAsia="Times New Roman" w:cs="Times New Roman"/>
                <w:noProof/>
              </w:rPr>
            </w:pPr>
            <w:r>
              <w:rPr>
                <w:noProof/>
              </w:rPr>
              <w:t xml:space="preserve">gebouwd of gemoderniseerd </w:t>
            </w:r>
          </w:p>
          <w:p w14:paraId="34013947" w14:textId="77777777" w:rsidR="00480F1C" w:rsidRDefault="00A201F6">
            <w:pPr>
              <w:pStyle w:val="P68B1DB1-Normal46"/>
              <w:spacing w:after="0" w:line="240" w:lineRule="auto"/>
              <w:rPr>
                <w:rFonts w:eastAsia="Times New Roman" w:cs="Times New Roman"/>
                <w:noProof/>
              </w:rPr>
            </w:pPr>
            <w:r>
              <w:rPr>
                <w:noProof/>
              </w:rPr>
              <w:t xml:space="preserve">elektriciteitsverbindingen </w:t>
            </w:r>
          </w:p>
          <w:p w14:paraId="2DFF1A22" w14:textId="77777777" w:rsidR="00480F1C" w:rsidRDefault="00A201F6">
            <w:pPr>
              <w:pStyle w:val="P68B1DB1-Normal46"/>
              <w:spacing w:line="240" w:lineRule="auto"/>
              <w:rPr>
                <w:noProof/>
              </w:rPr>
            </w:pPr>
            <w:r>
              <w:rPr>
                <w:noProof/>
              </w:rPr>
              <w:t>netwerk (km)</w:t>
            </w:r>
          </w:p>
        </w:tc>
      </w:tr>
      <w:tr w:rsidR="00480F1C" w14:paraId="1FD19174"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081A5D2" w14:textId="77777777" w:rsidR="00480F1C" w:rsidRDefault="00A201F6">
            <w:pPr>
              <w:pStyle w:val="P68B1DB1-Normal46"/>
              <w:spacing w:line="240" w:lineRule="auto"/>
              <w:jc w:val="center"/>
              <w:rPr>
                <w:noProof/>
              </w:rPr>
            </w:pPr>
            <w:r>
              <w:rPr>
                <w:noProof/>
              </w:rPr>
              <w:t>G20G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8C35676" w14:textId="77777777" w:rsidR="00480F1C" w:rsidRDefault="00A201F6">
            <w:pPr>
              <w:pStyle w:val="P68B1DB1-Normal46"/>
              <w:spacing w:line="240" w:lineRule="auto"/>
              <w:rPr>
                <w:noProof/>
              </w:rPr>
            </w:pPr>
            <w:r>
              <w:rPr>
                <w:noProof/>
              </w:rPr>
              <w:t>G1.2.3 Ontwikkeling van transmissienetwerken, slimme elektriciteitsinfrastructuur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8D8B95F" w14:textId="77777777" w:rsidR="00480F1C" w:rsidRDefault="00A201F6">
            <w:pPr>
              <w:pStyle w:val="P68B1DB1-Normal46"/>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D4C3671" w14:textId="77777777" w:rsidR="00480F1C" w:rsidRDefault="00A201F6">
            <w:pPr>
              <w:pStyle w:val="P68B1DB1-Normal46"/>
              <w:spacing w:line="240" w:lineRule="auto"/>
              <w:rPr>
                <w:noProof/>
              </w:rPr>
            </w:pPr>
            <w:r>
              <w:rPr>
                <w:noProof/>
              </w:rPr>
              <w:t>Uitgebreide of verbeterde elektriciteitscentrales binnen het transmissienet</w:t>
            </w:r>
          </w:p>
        </w:tc>
      </w:tr>
      <w:tr w:rsidR="00480F1C" w14:paraId="1644F050"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5C5C11E" w14:textId="77777777" w:rsidR="00480F1C" w:rsidRDefault="00A201F6">
            <w:pPr>
              <w:pStyle w:val="P68B1DB1-Normal46"/>
              <w:spacing w:line="240" w:lineRule="auto"/>
              <w:jc w:val="center"/>
              <w:rPr>
                <w:noProof/>
              </w:rPr>
            </w:pPr>
            <w:r>
              <w:rPr>
                <w:noProof/>
              </w:rPr>
              <w:t>G24G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E8E7BA8" w14:textId="77777777" w:rsidR="00480F1C" w:rsidRDefault="00A201F6">
            <w:pPr>
              <w:pStyle w:val="P68B1DB1-Normal46"/>
              <w:spacing w:line="240" w:lineRule="auto"/>
              <w:rPr>
                <w:noProof/>
              </w:rPr>
            </w:pPr>
            <w:r>
              <w:rPr>
                <w:noProof/>
              </w:rPr>
              <w:t>G1.2.4 Bouw of modernisering van elektriciteitsdistributienetwerken in plattelandsgebieden om de aansluiting van nieuwe hernieuwbare energiebronnen mogelijk te maken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B2ABB1D" w14:textId="77777777" w:rsidR="00480F1C" w:rsidRDefault="00A201F6">
            <w:pPr>
              <w:pStyle w:val="P68B1DB1-Normal46"/>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15934A2" w14:textId="77777777" w:rsidR="00480F1C" w:rsidRDefault="00A201F6">
            <w:pPr>
              <w:pStyle w:val="P68B1DB1-Normal46"/>
              <w:spacing w:line="240" w:lineRule="auto"/>
              <w:rPr>
                <w:noProof/>
              </w:rPr>
            </w:pPr>
            <w:r>
              <w:rPr>
                <w:noProof/>
              </w:rPr>
              <w:t>Lengte van nieuw aangelegde of gemoderniseerde lijnen in distributienetwerken (km)</w:t>
            </w:r>
          </w:p>
        </w:tc>
      </w:tr>
      <w:tr w:rsidR="00480F1C" w14:paraId="4DA09C35"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DC3EF26" w14:textId="77777777" w:rsidR="00480F1C" w:rsidRDefault="00A201F6">
            <w:pPr>
              <w:pStyle w:val="P68B1DB1-Normal46"/>
              <w:spacing w:line="240" w:lineRule="auto"/>
              <w:jc w:val="center"/>
              <w:rPr>
                <w:noProof/>
              </w:rPr>
            </w:pPr>
            <w:r>
              <w:rPr>
                <w:noProof/>
              </w:rPr>
              <w:t>G27G</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0BA6697" w14:textId="77777777" w:rsidR="00480F1C" w:rsidRDefault="00A201F6">
            <w:pPr>
              <w:pStyle w:val="P68B1DB1-Normal46"/>
              <w:spacing w:line="240" w:lineRule="auto"/>
              <w:rPr>
                <w:noProof/>
              </w:rPr>
            </w:pPr>
            <w:r>
              <w:rPr>
                <w:noProof/>
              </w:rPr>
              <w:t>G1.3.2 Grootemissievrij collectief vervoer (bussen)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9FE63FA" w14:textId="77777777" w:rsidR="00480F1C" w:rsidRDefault="00A201F6">
            <w:pPr>
              <w:pStyle w:val="P68B1DB1-Normal46"/>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F4E65B5" w14:textId="77777777" w:rsidR="00480F1C" w:rsidRDefault="00A201F6">
            <w:pPr>
              <w:pStyle w:val="P68B1DB1-Normal46"/>
              <w:spacing w:line="240" w:lineRule="auto"/>
              <w:rPr>
                <w:noProof/>
              </w:rPr>
            </w:pPr>
            <w:r>
              <w:rPr>
                <w:noProof/>
              </w:rPr>
              <w:t>Nieuwe emissievrije voertuigen in bedrijf</w:t>
            </w:r>
          </w:p>
        </w:tc>
      </w:tr>
      <w:tr w:rsidR="00480F1C" w14:paraId="76FF55AF" w14:textId="77777777">
        <w:tc>
          <w:tcPr>
            <w:tcW w:w="1350" w:type="dxa"/>
            <w:tcBorders>
              <w:top w:val="single" w:sz="6" w:space="0" w:color="auto"/>
              <w:left w:val="single" w:sz="6" w:space="0" w:color="auto"/>
              <w:bottom w:val="single" w:sz="6" w:space="0" w:color="auto"/>
              <w:right w:val="single" w:sz="6" w:space="0" w:color="auto"/>
            </w:tcBorders>
            <w:shd w:val="clear" w:color="auto" w:fill="C6EFCE"/>
            <w:vAlign w:val="center"/>
          </w:tcPr>
          <w:p w14:paraId="259573B9" w14:textId="77777777" w:rsidR="00480F1C" w:rsidRDefault="00480F1C">
            <w:pPr>
              <w:spacing w:line="240" w:lineRule="auto"/>
              <w:rPr>
                <w:rFonts w:ascii="Times New Roman" w:eastAsia="Times New Roman" w:hAnsi="Times New Roman" w:cs="Times New Roman"/>
                <w:noProof/>
              </w:rPr>
            </w:pPr>
          </w:p>
        </w:tc>
        <w:tc>
          <w:tcPr>
            <w:tcW w:w="3960" w:type="dxa"/>
            <w:tcBorders>
              <w:top w:val="single" w:sz="6" w:space="0" w:color="auto"/>
              <w:left w:val="single" w:sz="6" w:space="0" w:color="auto"/>
              <w:bottom w:val="single" w:sz="6" w:space="0" w:color="auto"/>
              <w:right w:val="single" w:sz="6" w:space="0" w:color="auto"/>
            </w:tcBorders>
            <w:shd w:val="clear" w:color="auto" w:fill="C6EFCE"/>
            <w:vAlign w:val="center"/>
          </w:tcPr>
          <w:p w14:paraId="71854B35"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vAlign w:val="center"/>
          </w:tcPr>
          <w:p w14:paraId="21A329A4" w14:textId="77777777" w:rsidR="00480F1C" w:rsidRDefault="00A201F6">
            <w:pPr>
              <w:pStyle w:val="P68B1DB1-Normal46"/>
              <w:spacing w:line="240" w:lineRule="auto"/>
              <w:rPr>
                <w:rFonts w:eastAsia="Times New Roman" w:cs="Times New Roman"/>
                <w:noProof/>
              </w:rPr>
            </w:pPr>
            <w:r>
              <w:rPr>
                <w:noProof/>
              </w:rPr>
              <w:t>Termijnbedrag</w:t>
            </w:r>
          </w:p>
        </w:tc>
        <w:tc>
          <w:tcPr>
            <w:tcW w:w="3927" w:type="dxa"/>
            <w:tcBorders>
              <w:top w:val="single" w:sz="6" w:space="0" w:color="auto"/>
              <w:left w:val="single" w:sz="6" w:space="0" w:color="auto"/>
              <w:bottom w:val="single" w:sz="6" w:space="0" w:color="auto"/>
              <w:right w:val="single" w:sz="6" w:space="0" w:color="auto"/>
            </w:tcBorders>
            <w:shd w:val="clear" w:color="auto" w:fill="C6EFCE"/>
            <w:vAlign w:val="center"/>
          </w:tcPr>
          <w:p w14:paraId="0B8135F3" w14:textId="77777777" w:rsidR="00480F1C" w:rsidRDefault="00A201F6">
            <w:pPr>
              <w:pStyle w:val="P68B1DB1-Normal46"/>
              <w:spacing w:line="240" w:lineRule="auto"/>
              <w:rPr>
                <w:rFonts w:eastAsia="Times New Roman" w:cs="Times New Roman"/>
                <w:noProof/>
              </w:rPr>
            </w:pPr>
            <w:r>
              <w:rPr>
                <w:noProof/>
              </w:rPr>
              <w:t xml:space="preserve">EUR 3 490 373 613 </w:t>
            </w:r>
          </w:p>
        </w:tc>
      </w:tr>
    </w:tbl>
    <w:p w14:paraId="3C87136F" w14:textId="302F938C" w:rsidR="00480F1C" w:rsidRDefault="00480F1C">
      <w:pPr>
        <w:spacing w:before="120" w:after="120" w:line="240" w:lineRule="auto"/>
        <w:rPr>
          <w:rFonts w:ascii="Times New Roman" w:eastAsia="Times New Roman" w:hAnsi="Times New Roman" w:cs="Times New Roman"/>
          <w:noProof/>
          <w:color w:val="000000" w:themeColor="text1"/>
        </w:rPr>
      </w:pPr>
    </w:p>
    <w:p w14:paraId="2C3C315C" w14:textId="77777777" w:rsidR="00DD7CB6" w:rsidRDefault="00DD7CB6">
      <w:pPr>
        <w:spacing w:before="120" w:after="120" w:line="240" w:lineRule="auto"/>
        <w:rPr>
          <w:rFonts w:ascii="Times New Roman" w:eastAsia="Times New Roman" w:hAnsi="Times New Roman" w:cs="Times New Roman"/>
          <w:noProof/>
          <w:color w:val="000000" w:themeColor="text1"/>
        </w:rPr>
      </w:pPr>
    </w:p>
    <w:p w14:paraId="483F069B" w14:textId="77777777" w:rsidR="00480F1C" w:rsidRDefault="00A201F6">
      <w:pPr>
        <w:pStyle w:val="P68B1DB1-Normal1"/>
        <w:spacing w:before="120" w:after="120" w:line="240" w:lineRule="auto"/>
        <w:rPr>
          <w:rFonts w:eastAsia="Times New Roman" w:cs="Times New Roman"/>
          <w:noProof/>
          <w:color w:val="000000" w:themeColor="text1"/>
        </w:rPr>
      </w:pPr>
      <w:r>
        <w:rPr>
          <w:noProof/>
        </w:rPr>
        <w:t>2.2. Lening</w:t>
      </w:r>
    </w:p>
    <w:p w14:paraId="34ED46DE" w14:textId="77777777" w:rsidR="00480F1C" w:rsidRDefault="00A201F6">
      <w:pPr>
        <w:pStyle w:val="P68B1DB1-Normal15"/>
        <w:spacing w:before="120" w:after="120" w:line="240" w:lineRule="auto"/>
        <w:rPr>
          <w:rFonts w:eastAsia="Times New Roman" w:cs="Times New Roman"/>
          <w:noProof/>
        </w:rPr>
      </w:pPr>
      <w:r>
        <w:rPr>
          <w:noProof/>
        </w:rPr>
        <w:t>De in artikel 3, lid 2, bedoelde tranches worden als volgt georganiseerd:</w:t>
      </w:r>
    </w:p>
    <w:p w14:paraId="0DC49555" w14:textId="77777777" w:rsidR="00480F1C" w:rsidRDefault="00480F1C">
      <w:pPr>
        <w:spacing w:before="120" w:after="120" w:line="240" w:lineRule="auto"/>
        <w:rPr>
          <w:rFonts w:ascii="Times New Roman" w:eastAsia="Times New Roman" w:hAnsi="Times New Roman" w:cs="Times New Roman"/>
          <w:noProof/>
          <w:color w:val="000000" w:themeColor="text1"/>
          <w:sz w:val="24"/>
        </w:rPr>
      </w:pPr>
    </w:p>
    <w:p w14:paraId="49A199D2" w14:textId="77777777" w:rsidR="00480F1C" w:rsidRDefault="00A201F6">
      <w:pPr>
        <w:pStyle w:val="P68B1DB1-Normal15"/>
        <w:spacing w:before="120" w:after="120" w:line="240" w:lineRule="auto"/>
        <w:rPr>
          <w:rFonts w:eastAsia="Times New Roman" w:cs="Times New Roman"/>
          <w:noProof/>
        </w:rPr>
      </w:pPr>
      <w:r>
        <w:rPr>
          <w:noProof/>
        </w:rPr>
        <w:t>2.2.1. Eerste tranche (steun via leningen):</w:t>
      </w:r>
    </w:p>
    <w:tbl>
      <w:tblPr>
        <w:tblW w:w="10482" w:type="dxa"/>
        <w:tblLayout w:type="fixed"/>
        <w:tblLook w:val="04A0" w:firstRow="1" w:lastRow="0" w:firstColumn="1" w:lastColumn="0" w:noHBand="0" w:noVBand="1"/>
      </w:tblPr>
      <w:tblGrid>
        <w:gridCol w:w="1350"/>
        <w:gridCol w:w="3960"/>
        <w:gridCol w:w="1245"/>
        <w:gridCol w:w="3927"/>
      </w:tblGrid>
      <w:tr w:rsidR="00480F1C" w14:paraId="0AABE2AF" w14:textId="77777777">
        <w:trPr>
          <w:trHeight w:val="715"/>
          <w:tblHeader/>
        </w:trPr>
        <w:tc>
          <w:tcPr>
            <w:tcW w:w="1350" w:type="dxa"/>
            <w:tcBorders>
              <w:top w:val="single" w:sz="6" w:space="0" w:color="auto"/>
              <w:left w:val="single" w:sz="6" w:space="0" w:color="auto"/>
              <w:bottom w:val="single" w:sz="6" w:space="0" w:color="auto"/>
              <w:right w:val="single" w:sz="6" w:space="0" w:color="auto"/>
            </w:tcBorders>
            <w:shd w:val="clear" w:color="auto" w:fill="BDD6EE"/>
            <w:vAlign w:val="center"/>
          </w:tcPr>
          <w:p w14:paraId="5796F31E" w14:textId="77777777" w:rsidR="00480F1C" w:rsidRDefault="00A201F6">
            <w:pPr>
              <w:pStyle w:val="P68B1DB1-Normal42"/>
              <w:spacing w:line="240" w:lineRule="auto"/>
              <w:jc w:val="center"/>
              <w:rPr>
                <w:rFonts w:eastAsia="Times New Roman" w:cs="Times New Roman"/>
                <w:noProof/>
              </w:rPr>
            </w:pPr>
            <w:r>
              <w:rPr>
                <w:noProof/>
              </w:rPr>
              <w:t>Volgnummer</w:t>
            </w:r>
          </w:p>
        </w:tc>
        <w:tc>
          <w:tcPr>
            <w:tcW w:w="3960" w:type="dxa"/>
            <w:tcBorders>
              <w:top w:val="single" w:sz="6" w:space="0" w:color="auto"/>
              <w:left w:val="single" w:sz="6" w:space="0" w:color="auto"/>
              <w:bottom w:val="single" w:sz="6" w:space="0" w:color="auto"/>
              <w:right w:val="single" w:sz="6" w:space="0" w:color="auto"/>
            </w:tcBorders>
            <w:shd w:val="clear" w:color="auto" w:fill="BDD6EE"/>
            <w:vAlign w:val="center"/>
          </w:tcPr>
          <w:p w14:paraId="54F999F8" w14:textId="77777777" w:rsidR="00480F1C" w:rsidRDefault="00A201F6">
            <w:pPr>
              <w:pStyle w:val="P68B1DB1-Normal42"/>
              <w:spacing w:line="240" w:lineRule="auto"/>
              <w:jc w:val="center"/>
              <w:rPr>
                <w:rFonts w:eastAsia="Times New Roman" w:cs="Times New Roman"/>
                <w:noProof/>
              </w:rPr>
            </w:pPr>
            <w:r>
              <w:rPr>
                <w:noProof/>
              </w:rPr>
              <w:t>Gerelateerde maatregel (hervorming of investering)</w:t>
            </w:r>
          </w:p>
        </w:tc>
        <w:tc>
          <w:tcPr>
            <w:tcW w:w="1245" w:type="dxa"/>
            <w:tcBorders>
              <w:top w:val="single" w:sz="6" w:space="0" w:color="auto"/>
              <w:left w:val="single" w:sz="6" w:space="0" w:color="auto"/>
              <w:bottom w:val="single" w:sz="6" w:space="0" w:color="auto"/>
              <w:right w:val="single" w:sz="6" w:space="0" w:color="auto"/>
            </w:tcBorders>
            <w:shd w:val="clear" w:color="auto" w:fill="BDD6EE"/>
            <w:vAlign w:val="center"/>
          </w:tcPr>
          <w:p w14:paraId="0694914B" w14:textId="77777777" w:rsidR="00480F1C" w:rsidRDefault="00A201F6">
            <w:pPr>
              <w:pStyle w:val="P68B1DB1-Normal42"/>
              <w:spacing w:line="240" w:lineRule="auto"/>
              <w:jc w:val="center"/>
              <w:rPr>
                <w:rFonts w:eastAsia="Times New Roman" w:cs="Times New Roman"/>
                <w:noProof/>
              </w:rPr>
            </w:pPr>
            <w:r>
              <w:rPr>
                <w:noProof/>
              </w:rPr>
              <w:t>Mijlpaal/Doelstelling</w:t>
            </w:r>
          </w:p>
        </w:tc>
        <w:tc>
          <w:tcPr>
            <w:tcW w:w="3927" w:type="dxa"/>
            <w:tcBorders>
              <w:top w:val="single" w:sz="6" w:space="0" w:color="auto"/>
              <w:left w:val="single" w:sz="6" w:space="0" w:color="auto"/>
              <w:bottom w:val="single" w:sz="6" w:space="0" w:color="auto"/>
              <w:right w:val="single" w:sz="6" w:space="0" w:color="auto"/>
            </w:tcBorders>
            <w:shd w:val="clear" w:color="auto" w:fill="BDD6EE"/>
            <w:vAlign w:val="center"/>
          </w:tcPr>
          <w:p w14:paraId="0C96A7B1" w14:textId="77777777" w:rsidR="00480F1C" w:rsidRDefault="00A201F6">
            <w:pPr>
              <w:pStyle w:val="P68B1DB1-Normal42"/>
              <w:spacing w:line="240" w:lineRule="auto"/>
              <w:jc w:val="center"/>
              <w:rPr>
                <w:rFonts w:eastAsia="Times New Roman" w:cs="Times New Roman"/>
                <w:noProof/>
              </w:rPr>
            </w:pPr>
            <w:r>
              <w:rPr>
                <w:noProof/>
              </w:rPr>
              <w:t>Naam</w:t>
            </w:r>
          </w:p>
        </w:tc>
      </w:tr>
      <w:tr w:rsidR="00480F1C" w14:paraId="03D9FDC0"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F23FB95" w14:textId="77777777" w:rsidR="00480F1C" w:rsidRDefault="00A201F6">
            <w:pPr>
              <w:pStyle w:val="P68B1DB1-Normal46"/>
              <w:spacing w:line="240" w:lineRule="auto"/>
              <w:jc w:val="center"/>
              <w:rPr>
                <w:rFonts w:eastAsia="Times New Roman" w:cs="Times New Roman"/>
                <w:noProof/>
              </w:rPr>
            </w:pPr>
            <w:r>
              <w:rPr>
                <w:noProof/>
              </w:rPr>
              <w:t>B1L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277832F" w14:textId="77777777" w:rsidR="00480F1C" w:rsidRDefault="00A201F6">
            <w:pPr>
              <w:pStyle w:val="P68B1DB1-Normal46"/>
              <w:spacing w:line="240" w:lineRule="auto"/>
              <w:rPr>
                <w:rFonts w:eastAsia="Times New Roman" w:cs="Times New Roman"/>
                <w:noProof/>
              </w:rPr>
            </w:pPr>
            <w:r>
              <w:rPr>
                <w:noProof/>
              </w:rPr>
              <w:t>B1.2 Bevordering van de tenuitvoerlegging van de energiebesparingsverplichting voor energiebedrijven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DF065E2"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A8177B3" w14:textId="77777777" w:rsidR="00480F1C" w:rsidRDefault="00A201F6">
            <w:pPr>
              <w:pStyle w:val="P68B1DB1-Normal46"/>
              <w:spacing w:line="240" w:lineRule="auto"/>
              <w:rPr>
                <w:rFonts w:eastAsia="Times New Roman" w:cs="Times New Roman"/>
                <w:noProof/>
              </w:rPr>
            </w:pPr>
            <w:r>
              <w:rPr>
                <w:noProof/>
              </w:rPr>
              <w:t>Inwerkingtreding van de Uitvoeringsregeling energie-efficiëntiewet</w:t>
            </w:r>
          </w:p>
        </w:tc>
      </w:tr>
      <w:tr w:rsidR="00480F1C" w14:paraId="7FE6F64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CE85B8E" w14:textId="77777777" w:rsidR="00480F1C" w:rsidRDefault="00A201F6">
            <w:pPr>
              <w:pStyle w:val="P68B1DB1-Normal46"/>
              <w:spacing w:line="240" w:lineRule="auto"/>
              <w:jc w:val="center"/>
              <w:rPr>
                <w:rFonts w:eastAsia="Times New Roman" w:cs="Times New Roman"/>
                <w:noProof/>
              </w:rPr>
            </w:pPr>
            <w:r>
              <w:rPr>
                <w:noProof/>
              </w:rPr>
              <w:t>B10L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90D4840" w14:textId="77777777" w:rsidR="00480F1C" w:rsidRDefault="00A201F6">
            <w:pPr>
              <w:pStyle w:val="P68B1DB1-Normal46"/>
              <w:spacing w:line="240" w:lineRule="auto"/>
              <w:rPr>
                <w:rFonts w:eastAsia="Times New Roman" w:cs="Times New Roman"/>
                <w:noProof/>
              </w:rPr>
            </w:pPr>
            <w:r>
              <w:rPr>
                <w:noProof/>
              </w:rPr>
              <w:t>B2.4 Wettelijk kader voor de ontwikkeling van energieopslagfaciliteiten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D99AE24"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BBA94B0" w14:textId="77777777" w:rsidR="00480F1C" w:rsidRDefault="00A201F6">
            <w:pPr>
              <w:pStyle w:val="P68B1DB1-Normal46"/>
              <w:spacing w:line="240" w:lineRule="auto"/>
              <w:rPr>
                <w:rFonts w:eastAsia="Times New Roman" w:cs="Times New Roman"/>
                <w:noProof/>
              </w:rPr>
            </w:pPr>
            <w:r>
              <w:rPr>
                <w:noProof/>
              </w:rPr>
              <w:t>Inwerkingtreding van wijzigingen van de energiewet met betrekking tot energieopslag</w:t>
            </w:r>
          </w:p>
        </w:tc>
      </w:tr>
      <w:tr w:rsidR="00480F1C" w14:paraId="2B8147BE"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A8319E5" w14:textId="77777777" w:rsidR="00480F1C" w:rsidRDefault="00A201F6">
            <w:pPr>
              <w:pStyle w:val="P68B1DB1-Normal46"/>
              <w:spacing w:line="240" w:lineRule="auto"/>
              <w:jc w:val="center"/>
              <w:rPr>
                <w:rFonts w:eastAsia="Times New Roman" w:cs="Times New Roman"/>
                <w:noProof/>
              </w:rPr>
            </w:pPr>
            <w:r>
              <w:rPr>
                <w:noProof/>
              </w:rPr>
              <w:t>B21L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2855C33" w14:textId="77777777" w:rsidR="00480F1C" w:rsidRDefault="00A201F6">
            <w:pPr>
              <w:pStyle w:val="P68B1DB1-Normal46"/>
              <w:spacing w:line="240" w:lineRule="auto"/>
              <w:rPr>
                <w:rFonts w:eastAsia="Times New Roman" w:cs="Times New Roman"/>
                <w:noProof/>
              </w:rPr>
            </w:pPr>
            <w:r>
              <w:rPr>
                <w:noProof/>
              </w:rPr>
              <w:t>B3.3 Steun voor het duurzaam beheer van watervoorraden in de landbouw en in plattelandsgebieden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12F13F5"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61D4233" w14:textId="77777777" w:rsidR="00480F1C" w:rsidRDefault="00A201F6">
            <w:pPr>
              <w:pStyle w:val="P68B1DB1-Normal46"/>
              <w:spacing w:line="240" w:lineRule="auto"/>
              <w:rPr>
                <w:rFonts w:eastAsia="Times New Roman" w:cs="Times New Roman"/>
                <w:noProof/>
              </w:rPr>
            </w:pPr>
            <w:r>
              <w:rPr>
                <w:noProof/>
              </w:rPr>
              <w:t>Inwerkingtreding van wijzigingen in de nationale wetgeving die nodig zijn om de voorwaarden voor een veerkrachtig waterbeheer in de landbouw en plattelandsgebieden te verbeteren</w:t>
            </w:r>
          </w:p>
        </w:tc>
      </w:tr>
      <w:tr w:rsidR="00480F1C" w14:paraId="6BAA9463"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9A9FF41" w14:textId="77777777" w:rsidR="00480F1C" w:rsidRDefault="00A201F6">
            <w:pPr>
              <w:pStyle w:val="P68B1DB1-Normal46"/>
              <w:spacing w:line="240" w:lineRule="auto"/>
              <w:jc w:val="center"/>
              <w:rPr>
                <w:rFonts w:eastAsia="Times New Roman" w:cs="Times New Roman"/>
                <w:noProof/>
              </w:rPr>
            </w:pPr>
            <w:r>
              <w:rPr>
                <w:noProof/>
              </w:rPr>
              <w:t>B22L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9B20FC8" w14:textId="77777777" w:rsidR="00480F1C" w:rsidRDefault="00A201F6">
            <w:pPr>
              <w:pStyle w:val="P68B1DB1-Normal46"/>
              <w:spacing w:line="240" w:lineRule="auto"/>
              <w:rPr>
                <w:rFonts w:eastAsia="Times New Roman" w:cs="Times New Roman"/>
                <w:noProof/>
              </w:rPr>
            </w:pPr>
            <w:r>
              <w:rPr>
                <w:noProof/>
              </w:rPr>
              <w:t>B3.3.1 Investeringen om het potentieel van duurzaam waterbeheer in plattelandsgebieden te vergroten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F143F77"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6D38538" w14:textId="77777777" w:rsidR="00480F1C" w:rsidRDefault="00A201F6">
            <w:pPr>
              <w:pStyle w:val="P68B1DB1-Normal46"/>
              <w:spacing w:line="240" w:lineRule="auto"/>
              <w:rPr>
                <w:rFonts w:eastAsia="Times New Roman" w:cs="Times New Roman"/>
                <w:noProof/>
              </w:rPr>
            </w:pPr>
            <w:r>
              <w:rPr>
                <w:noProof/>
              </w:rPr>
              <w:t>Vaststelling van selectiecriteria voor oproepen tot het indienen van voorstellen</w:t>
            </w:r>
          </w:p>
        </w:tc>
      </w:tr>
      <w:tr w:rsidR="00480F1C" w14:paraId="3E0CFD59"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A0B96CD" w14:textId="77777777" w:rsidR="00480F1C" w:rsidRDefault="00A201F6">
            <w:pPr>
              <w:pStyle w:val="P68B1DB1-Normal46"/>
              <w:spacing w:line="240" w:lineRule="auto"/>
              <w:jc w:val="center"/>
              <w:rPr>
                <w:rFonts w:eastAsia="Times New Roman" w:cs="Times New Roman"/>
                <w:noProof/>
              </w:rPr>
            </w:pPr>
            <w:r>
              <w:rPr>
                <w:noProof/>
              </w:rPr>
              <w:t>B25L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9A4DB42" w14:textId="77777777" w:rsidR="00480F1C" w:rsidRDefault="00A201F6">
            <w:pPr>
              <w:pStyle w:val="P68B1DB1-Normal46"/>
              <w:spacing w:line="240" w:lineRule="auto"/>
              <w:rPr>
                <w:rFonts w:eastAsia="Times New Roman" w:cs="Times New Roman"/>
                <w:noProof/>
              </w:rPr>
            </w:pPr>
            <w:r>
              <w:rPr>
                <w:noProof/>
              </w:rPr>
              <w:t>B3.4 Kader voor investeringen in de groene transitie in stedelijke gebieden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47C7A4C"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66C913E" w14:textId="77777777" w:rsidR="00480F1C" w:rsidRDefault="00A201F6">
            <w:pPr>
              <w:pStyle w:val="P68B1DB1-Normal46"/>
              <w:spacing w:line="240" w:lineRule="auto"/>
              <w:rPr>
                <w:rFonts w:eastAsia="Times New Roman" w:cs="Times New Roman"/>
                <w:noProof/>
              </w:rPr>
            </w:pPr>
            <w:r>
              <w:rPr>
                <w:noProof/>
              </w:rPr>
              <w:t>Instrument voor groene stedelijke transformatie</w:t>
            </w:r>
          </w:p>
        </w:tc>
      </w:tr>
      <w:tr w:rsidR="00480F1C" w14:paraId="4FE12ACE"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36002B2" w14:textId="77777777" w:rsidR="00480F1C" w:rsidRDefault="00A201F6">
            <w:pPr>
              <w:pStyle w:val="P68B1DB1-Normal46"/>
              <w:spacing w:line="240" w:lineRule="auto"/>
              <w:jc w:val="center"/>
              <w:rPr>
                <w:rFonts w:eastAsia="Times New Roman" w:cs="Times New Roman"/>
                <w:noProof/>
              </w:rPr>
            </w:pPr>
            <w:r>
              <w:rPr>
                <w:noProof/>
              </w:rPr>
              <w:t>B28L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5542574" w14:textId="77777777" w:rsidR="00480F1C" w:rsidRDefault="00A201F6">
            <w:pPr>
              <w:pStyle w:val="P68B1DB1-Normal46"/>
              <w:spacing w:line="240" w:lineRule="auto"/>
              <w:rPr>
                <w:rFonts w:eastAsia="Times New Roman" w:cs="Times New Roman"/>
                <w:noProof/>
              </w:rPr>
            </w:pPr>
            <w:r>
              <w:rPr>
                <w:noProof/>
              </w:rPr>
              <w:t>B3.5 Hervorming van de woningbouw voor mensen met een laag en gemiddeld inkomen,</w:t>
            </w:r>
          </w:p>
          <w:p w14:paraId="682DB538" w14:textId="77777777" w:rsidR="00480F1C" w:rsidRDefault="00A201F6">
            <w:pPr>
              <w:pStyle w:val="P68B1DB1-Normal46"/>
              <w:spacing w:line="240" w:lineRule="auto"/>
              <w:rPr>
                <w:rFonts w:eastAsia="Times New Roman" w:cs="Times New Roman"/>
                <w:noProof/>
              </w:rPr>
            </w:pPr>
            <w:r>
              <w:rPr>
                <w:noProof/>
              </w:rPr>
              <w:t>rekening houden met de hogere energie-efficiëntie van gebouwen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C8E1CA1"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2ED2CEC" w14:textId="77777777" w:rsidR="00480F1C" w:rsidRDefault="00A201F6">
            <w:pPr>
              <w:pStyle w:val="P68B1DB1-Normal46"/>
              <w:spacing w:line="240" w:lineRule="auto"/>
              <w:rPr>
                <w:rFonts w:eastAsia="Times New Roman" w:cs="Times New Roman"/>
                <w:noProof/>
              </w:rPr>
            </w:pPr>
            <w:r>
              <w:rPr>
                <w:noProof/>
              </w:rPr>
              <w:t>Inwerkingtreding van een wijziging van de wet van 8 december 2006 betreffende financiële steun voor de aanleg van woonruimte voor huur, beschutte huisvesting, nachtopvang, opvangcentra voor daklozen, verwarmingsinstallaties en tijdelijke lokalen, en de daaruit voortvloeiende wijzigingen in andere wetten</w:t>
            </w:r>
          </w:p>
        </w:tc>
      </w:tr>
      <w:tr w:rsidR="00480F1C" w14:paraId="7CE6140A"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C340F35" w14:textId="77777777" w:rsidR="00480F1C" w:rsidRDefault="00A201F6">
            <w:pPr>
              <w:pStyle w:val="P68B1DB1-Normal46"/>
              <w:spacing w:line="240" w:lineRule="auto"/>
              <w:jc w:val="center"/>
              <w:rPr>
                <w:noProof/>
              </w:rPr>
            </w:pPr>
            <w:r>
              <w:rPr>
                <w:noProof/>
              </w:rPr>
              <w:t>B33L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4382D16" w14:textId="77777777" w:rsidR="00480F1C" w:rsidRDefault="00A201F6">
            <w:pPr>
              <w:pStyle w:val="P68B1DB1-Normal46"/>
              <w:spacing w:line="240" w:lineRule="auto"/>
              <w:rPr>
                <w:noProof/>
              </w:rPr>
            </w:pPr>
            <w:r>
              <w:rPr>
                <w:noProof/>
              </w:rPr>
              <w:t>B2.2 Verbetering van de voorwaarden voor de ontwikkeling van hernieuwbare energiebronnen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A266DC0"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F4D2089" w14:textId="77777777" w:rsidR="00480F1C" w:rsidRDefault="00A201F6">
            <w:pPr>
              <w:pStyle w:val="P68B1DB1-Normal46"/>
              <w:spacing w:line="240" w:lineRule="auto"/>
              <w:rPr>
                <w:noProof/>
              </w:rPr>
            </w:pPr>
            <w:r>
              <w:rPr>
                <w:noProof/>
              </w:rPr>
              <w:t>Inwerkingtreding van de Wet tot wijziging van de Wet op investeringen in windmolenparken op het land</w:t>
            </w:r>
          </w:p>
        </w:tc>
      </w:tr>
      <w:tr w:rsidR="00480F1C" w14:paraId="37B374F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19BAF9B" w14:textId="77777777" w:rsidR="00480F1C" w:rsidRDefault="00A201F6">
            <w:pPr>
              <w:pStyle w:val="P68B1DB1-Normal46"/>
              <w:spacing w:line="240" w:lineRule="auto"/>
              <w:jc w:val="center"/>
              <w:rPr>
                <w:noProof/>
              </w:rPr>
            </w:pPr>
            <w:r>
              <w:rPr>
                <w:noProof/>
              </w:rPr>
              <w:t>B35L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CAC9D68" w14:textId="77777777" w:rsidR="00480F1C" w:rsidRDefault="00A201F6">
            <w:pPr>
              <w:pStyle w:val="P68B1DB1-Normal46"/>
              <w:spacing w:line="240" w:lineRule="auto"/>
              <w:rPr>
                <w:noProof/>
              </w:rPr>
            </w:pPr>
            <w:r>
              <w:rPr>
                <w:noProof/>
              </w:rPr>
              <w:t>B2.2 Verbetering van de voorwaarden voor de ontwikkeling van hernieuwbare energiebronnen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51F7F4A" w14:textId="77777777" w:rsidR="00480F1C" w:rsidRDefault="00A201F6">
            <w:pPr>
              <w:pStyle w:val="P68B1DB1-Normal46"/>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46311ED" w14:textId="77777777" w:rsidR="00480F1C" w:rsidRDefault="00A201F6">
            <w:pPr>
              <w:pStyle w:val="P68B1DB1-Normal46"/>
              <w:spacing w:line="240" w:lineRule="auto"/>
              <w:rPr>
                <w:noProof/>
              </w:rPr>
            </w:pPr>
            <w:r>
              <w:rPr>
                <w:noProof/>
              </w:rPr>
              <w:t>T1 — Ingestookte capaciteit van onshore-wind- en fotovoltaïsche installaties (in GW)</w:t>
            </w:r>
          </w:p>
        </w:tc>
      </w:tr>
      <w:tr w:rsidR="00480F1C" w14:paraId="4AB1419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A9BB0C0" w14:textId="77777777" w:rsidR="00480F1C" w:rsidRDefault="00A201F6">
            <w:pPr>
              <w:pStyle w:val="P68B1DB1-Normal46"/>
              <w:spacing w:line="240" w:lineRule="auto"/>
              <w:jc w:val="center"/>
              <w:rPr>
                <w:noProof/>
              </w:rPr>
            </w:pPr>
            <w:r>
              <w:rPr>
                <w:noProof/>
              </w:rPr>
              <w:t>B39L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1D8A159" w14:textId="77777777" w:rsidR="00480F1C" w:rsidRDefault="00A201F6">
            <w:pPr>
              <w:pStyle w:val="P68B1DB1-Normal46"/>
              <w:spacing w:line="240" w:lineRule="auto"/>
              <w:rPr>
                <w:noProof/>
              </w:rPr>
            </w:pPr>
            <w:r>
              <w:rPr>
                <w:noProof/>
              </w:rPr>
              <w:t>B2.2 Verbetering van de voorwaarden voor de ontwikkeling van hernieuwbare energiebronnen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EB2A6E1"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6B8CD86" w14:textId="77777777" w:rsidR="00480F1C" w:rsidRDefault="00A201F6">
            <w:pPr>
              <w:pStyle w:val="P68B1DB1-Normal46"/>
              <w:spacing w:line="240" w:lineRule="auto"/>
              <w:rPr>
                <w:noProof/>
              </w:rPr>
            </w:pPr>
            <w:r>
              <w:rPr>
                <w:noProof/>
              </w:rPr>
              <w:t>Inwerkingtreding van de uitvoeringsverordening naar aanleiding van de wet van 17 december 2020 ter bevordering van elektriciteitsopwekking in offshore windmolenparken</w:t>
            </w:r>
          </w:p>
        </w:tc>
      </w:tr>
      <w:tr w:rsidR="00480F1C" w14:paraId="52E4388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D2EAC6E" w14:textId="77777777" w:rsidR="00480F1C" w:rsidRDefault="00A201F6">
            <w:pPr>
              <w:pStyle w:val="P68B1DB1-Normal46"/>
              <w:spacing w:line="240" w:lineRule="auto"/>
              <w:jc w:val="center"/>
              <w:rPr>
                <w:rFonts w:eastAsia="Times New Roman" w:cs="Times New Roman"/>
                <w:noProof/>
              </w:rPr>
            </w:pPr>
            <w:r>
              <w:rPr>
                <w:noProof/>
              </w:rPr>
              <w:t>C1L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299B8A0" w14:textId="77777777" w:rsidR="00480F1C" w:rsidRDefault="00A201F6">
            <w:pPr>
              <w:pStyle w:val="P68B1DB1-Normal46"/>
              <w:spacing w:line="240" w:lineRule="auto"/>
              <w:rPr>
                <w:rFonts w:eastAsia="Times New Roman" w:cs="Times New Roman"/>
                <w:noProof/>
              </w:rPr>
            </w:pPr>
            <w:r>
              <w:rPr>
                <w:noProof/>
              </w:rPr>
              <w:t>C1.2 Verbetering van de toegankelijkheid en het gebruik van moderne draadloze en bedrade communicatie voor sociale en economische behoeften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E4CA298"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D06A492" w14:textId="77777777" w:rsidR="00480F1C" w:rsidRDefault="00A201F6">
            <w:pPr>
              <w:pStyle w:val="P68B1DB1-Normal46"/>
              <w:spacing w:line="240" w:lineRule="auto"/>
              <w:rPr>
                <w:rFonts w:eastAsia="Times New Roman" w:cs="Times New Roman"/>
                <w:noProof/>
              </w:rPr>
            </w:pPr>
            <w:r>
              <w:rPr>
                <w:noProof/>
              </w:rPr>
              <w:t>Wijziging van de verordening van 17 februari 2020 betreffende de bewaking van de emissie van elektromagnetische velden in het milieu</w:t>
            </w:r>
          </w:p>
        </w:tc>
      </w:tr>
      <w:tr w:rsidR="00480F1C" w14:paraId="3B8A5530"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85A45F4" w14:textId="77777777" w:rsidR="00480F1C" w:rsidRDefault="00A201F6">
            <w:pPr>
              <w:pStyle w:val="P68B1DB1-Normal46"/>
              <w:spacing w:line="240" w:lineRule="auto"/>
              <w:jc w:val="center"/>
              <w:rPr>
                <w:rFonts w:eastAsia="Times New Roman" w:cs="Times New Roman"/>
                <w:noProof/>
              </w:rPr>
            </w:pPr>
            <w:r>
              <w:rPr>
                <w:noProof/>
              </w:rPr>
              <w:t>C2L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A3A551D" w14:textId="77777777" w:rsidR="00480F1C" w:rsidRDefault="00A201F6">
            <w:pPr>
              <w:pStyle w:val="P68B1DB1-Normal46"/>
              <w:spacing w:line="240" w:lineRule="auto"/>
              <w:rPr>
                <w:rFonts w:eastAsia="Times New Roman" w:cs="Times New Roman"/>
                <w:noProof/>
              </w:rPr>
            </w:pPr>
            <w:r>
              <w:rPr>
                <w:noProof/>
              </w:rPr>
              <w:t>C1.2 Verbetering van de toegankelijkheid en het gebruik van moderne draadloze en bedrade communicatie voor sociale en economische behoeften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AE03193"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5DA876D" w14:textId="77777777" w:rsidR="00480F1C" w:rsidRDefault="00A201F6">
            <w:pPr>
              <w:pStyle w:val="P68B1DB1-Normal46"/>
              <w:spacing w:line="240" w:lineRule="auto"/>
              <w:rPr>
                <w:rFonts w:eastAsia="Times New Roman" w:cs="Times New Roman"/>
                <w:noProof/>
              </w:rPr>
            </w:pPr>
            <w:r>
              <w:rPr>
                <w:noProof/>
              </w:rPr>
              <w:t>Wijziging van de verordening van de Raad van Ministers van 10 september 2019 betreffende de milieueffectbeoordeling</w:t>
            </w:r>
          </w:p>
        </w:tc>
      </w:tr>
      <w:tr w:rsidR="00480F1C" w14:paraId="1DF99C4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4F2DE31" w14:textId="77777777" w:rsidR="00480F1C" w:rsidRDefault="00A201F6">
            <w:pPr>
              <w:pStyle w:val="P68B1DB1-Normal46"/>
              <w:spacing w:line="240" w:lineRule="auto"/>
              <w:jc w:val="center"/>
              <w:rPr>
                <w:rFonts w:eastAsia="Times New Roman" w:cs="Times New Roman"/>
                <w:noProof/>
              </w:rPr>
            </w:pPr>
            <w:r>
              <w:rPr>
                <w:noProof/>
              </w:rPr>
              <w:t>D1L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442C9C7" w14:textId="77777777" w:rsidR="00480F1C" w:rsidRDefault="00A201F6">
            <w:pPr>
              <w:pStyle w:val="P68B1DB1-Normal46"/>
              <w:spacing w:line="240" w:lineRule="auto"/>
              <w:rPr>
                <w:rFonts w:eastAsia="Times New Roman" w:cs="Times New Roman"/>
                <w:noProof/>
              </w:rPr>
            </w:pPr>
            <w:r>
              <w:rPr>
                <w:noProof/>
              </w:rPr>
              <w:t>D1.2 Verbetering van de efficiëntie, beschikbaarheid en kwaliteit van langdurige zorgdiensten van zorgaanbieders op districtsniveau</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143B82E"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DFD6ADF" w14:textId="77777777" w:rsidR="00480F1C" w:rsidRDefault="00A201F6">
            <w:pPr>
              <w:pStyle w:val="P68B1DB1-Normal46"/>
              <w:spacing w:line="240" w:lineRule="auto"/>
              <w:rPr>
                <w:rFonts w:eastAsia="Times New Roman" w:cs="Times New Roman"/>
                <w:noProof/>
              </w:rPr>
            </w:pPr>
            <w:r>
              <w:rPr>
                <w:noProof/>
              </w:rPr>
              <w:t>Evaluatie van het potentieel voor de oprichting van eenheden/centra voor langdurige zorg en geriatrische zorg in districtsziekenhuizen in Polen</w:t>
            </w:r>
          </w:p>
        </w:tc>
      </w:tr>
      <w:tr w:rsidR="00480F1C" w14:paraId="64586552" w14:textId="77777777">
        <w:tc>
          <w:tcPr>
            <w:tcW w:w="1350" w:type="dxa"/>
            <w:tcBorders>
              <w:top w:val="single" w:sz="6" w:space="0" w:color="auto"/>
              <w:left w:val="single" w:sz="6" w:space="0" w:color="auto"/>
              <w:bottom w:val="single" w:sz="6" w:space="0" w:color="auto"/>
              <w:right w:val="single" w:sz="6" w:space="0" w:color="auto"/>
            </w:tcBorders>
            <w:shd w:val="clear" w:color="auto" w:fill="C6EFCE"/>
            <w:vAlign w:val="center"/>
          </w:tcPr>
          <w:p w14:paraId="0BEDBFD4" w14:textId="77777777" w:rsidR="00480F1C" w:rsidRDefault="00480F1C">
            <w:pPr>
              <w:spacing w:line="240" w:lineRule="auto"/>
              <w:rPr>
                <w:rFonts w:ascii="Times New Roman" w:eastAsia="Times New Roman" w:hAnsi="Times New Roman" w:cs="Times New Roman"/>
                <w:noProof/>
              </w:rPr>
            </w:pPr>
          </w:p>
        </w:tc>
        <w:tc>
          <w:tcPr>
            <w:tcW w:w="3960" w:type="dxa"/>
            <w:tcBorders>
              <w:top w:val="single" w:sz="6" w:space="0" w:color="auto"/>
              <w:left w:val="single" w:sz="6" w:space="0" w:color="auto"/>
              <w:bottom w:val="single" w:sz="6" w:space="0" w:color="auto"/>
              <w:right w:val="single" w:sz="6" w:space="0" w:color="auto"/>
            </w:tcBorders>
            <w:shd w:val="clear" w:color="auto" w:fill="C6EFCE"/>
            <w:vAlign w:val="center"/>
          </w:tcPr>
          <w:p w14:paraId="3AE4EA4A"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vAlign w:val="center"/>
          </w:tcPr>
          <w:p w14:paraId="7AFCF8E6" w14:textId="77777777" w:rsidR="00480F1C" w:rsidRDefault="00A201F6">
            <w:pPr>
              <w:pStyle w:val="P68B1DB1-Normal46"/>
              <w:spacing w:line="240" w:lineRule="auto"/>
              <w:rPr>
                <w:rFonts w:eastAsia="Times New Roman" w:cs="Times New Roman"/>
                <w:noProof/>
              </w:rPr>
            </w:pPr>
            <w:r>
              <w:rPr>
                <w:noProof/>
              </w:rPr>
              <w:t>Termijnbedrag</w:t>
            </w:r>
          </w:p>
        </w:tc>
        <w:tc>
          <w:tcPr>
            <w:tcW w:w="3927" w:type="dxa"/>
            <w:tcBorders>
              <w:top w:val="single" w:sz="6" w:space="0" w:color="auto"/>
              <w:left w:val="single" w:sz="6" w:space="0" w:color="auto"/>
              <w:bottom w:val="single" w:sz="6" w:space="0" w:color="auto"/>
              <w:right w:val="single" w:sz="6" w:space="0" w:color="auto"/>
            </w:tcBorders>
            <w:shd w:val="clear" w:color="auto" w:fill="C6EFCE"/>
            <w:vAlign w:val="center"/>
          </w:tcPr>
          <w:p w14:paraId="55E59A2C" w14:textId="77777777" w:rsidR="00480F1C" w:rsidRDefault="00A201F6">
            <w:pPr>
              <w:pStyle w:val="P68B1DB1-Normal46"/>
              <w:spacing w:line="240" w:lineRule="auto"/>
              <w:rPr>
                <w:rFonts w:eastAsia="Times New Roman" w:cs="Times New Roman"/>
                <w:noProof/>
              </w:rPr>
            </w:pPr>
            <w:r>
              <w:rPr>
                <w:noProof/>
              </w:rPr>
              <w:t xml:space="preserve">EUR 4 178 257 125 </w:t>
            </w:r>
          </w:p>
        </w:tc>
      </w:tr>
    </w:tbl>
    <w:p w14:paraId="2E33E4BD" w14:textId="77777777" w:rsidR="00480F1C" w:rsidRDefault="00480F1C">
      <w:pPr>
        <w:spacing w:before="120" w:after="120" w:line="240" w:lineRule="auto"/>
        <w:rPr>
          <w:rFonts w:ascii="Times New Roman" w:eastAsia="Times New Roman" w:hAnsi="Times New Roman" w:cs="Times New Roman"/>
          <w:noProof/>
          <w:color w:val="000000" w:themeColor="text1"/>
        </w:rPr>
      </w:pPr>
    </w:p>
    <w:p w14:paraId="17DAFA5C" w14:textId="77777777" w:rsidR="00480F1C" w:rsidRDefault="00A201F6">
      <w:pPr>
        <w:pStyle w:val="P68B1DB1-Normal45"/>
        <w:spacing w:before="120" w:after="120" w:line="240" w:lineRule="auto"/>
        <w:rPr>
          <w:rFonts w:eastAsia="Times New Roman" w:cs="Times New Roman"/>
          <w:noProof/>
        </w:rPr>
      </w:pPr>
      <w:r>
        <w:rPr>
          <w:noProof/>
        </w:rPr>
        <w:t>2.2.2. Tweede tranche (steun via leningen):</w:t>
      </w:r>
    </w:p>
    <w:tbl>
      <w:tblPr>
        <w:tblW w:w="10482" w:type="dxa"/>
        <w:tblLayout w:type="fixed"/>
        <w:tblLook w:val="04A0" w:firstRow="1" w:lastRow="0" w:firstColumn="1" w:lastColumn="0" w:noHBand="0" w:noVBand="1"/>
      </w:tblPr>
      <w:tblGrid>
        <w:gridCol w:w="1350"/>
        <w:gridCol w:w="3960"/>
        <w:gridCol w:w="1245"/>
        <w:gridCol w:w="3927"/>
      </w:tblGrid>
      <w:tr w:rsidR="00480F1C" w14:paraId="6DB7FD2D" w14:textId="77777777">
        <w:trPr>
          <w:trHeight w:val="769"/>
          <w:tblHeader/>
        </w:trPr>
        <w:tc>
          <w:tcPr>
            <w:tcW w:w="1350" w:type="dxa"/>
            <w:tcBorders>
              <w:top w:val="single" w:sz="6" w:space="0" w:color="auto"/>
              <w:left w:val="single" w:sz="6" w:space="0" w:color="auto"/>
              <w:bottom w:val="single" w:sz="6" w:space="0" w:color="auto"/>
              <w:right w:val="single" w:sz="6" w:space="0" w:color="auto"/>
            </w:tcBorders>
            <w:shd w:val="clear" w:color="auto" w:fill="BDD6EE"/>
            <w:vAlign w:val="center"/>
          </w:tcPr>
          <w:p w14:paraId="46C34AC7" w14:textId="77777777" w:rsidR="00480F1C" w:rsidRDefault="00A201F6">
            <w:pPr>
              <w:pStyle w:val="P68B1DB1-Normal42"/>
              <w:spacing w:line="240" w:lineRule="auto"/>
              <w:jc w:val="center"/>
              <w:rPr>
                <w:rFonts w:eastAsia="Times New Roman" w:cs="Times New Roman"/>
                <w:noProof/>
              </w:rPr>
            </w:pPr>
            <w:r>
              <w:rPr>
                <w:noProof/>
              </w:rPr>
              <w:t>Volgnummer</w:t>
            </w:r>
          </w:p>
        </w:tc>
        <w:tc>
          <w:tcPr>
            <w:tcW w:w="3960" w:type="dxa"/>
            <w:tcBorders>
              <w:top w:val="single" w:sz="6" w:space="0" w:color="auto"/>
              <w:left w:val="single" w:sz="6" w:space="0" w:color="auto"/>
              <w:bottom w:val="single" w:sz="6" w:space="0" w:color="auto"/>
              <w:right w:val="single" w:sz="6" w:space="0" w:color="auto"/>
            </w:tcBorders>
            <w:shd w:val="clear" w:color="auto" w:fill="BDD6EE"/>
            <w:vAlign w:val="center"/>
          </w:tcPr>
          <w:p w14:paraId="4D188657" w14:textId="77777777" w:rsidR="00480F1C" w:rsidRDefault="00A201F6">
            <w:pPr>
              <w:pStyle w:val="P68B1DB1-Normal42"/>
              <w:spacing w:line="240" w:lineRule="auto"/>
              <w:jc w:val="center"/>
              <w:rPr>
                <w:rFonts w:eastAsia="Times New Roman" w:cs="Times New Roman"/>
                <w:noProof/>
              </w:rPr>
            </w:pPr>
            <w:r>
              <w:rPr>
                <w:noProof/>
              </w:rPr>
              <w:t>Gerelateerde maatregel (hervorming of investering)</w:t>
            </w:r>
          </w:p>
        </w:tc>
        <w:tc>
          <w:tcPr>
            <w:tcW w:w="1245" w:type="dxa"/>
            <w:tcBorders>
              <w:top w:val="single" w:sz="6" w:space="0" w:color="auto"/>
              <w:left w:val="single" w:sz="6" w:space="0" w:color="auto"/>
              <w:bottom w:val="single" w:sz="6" w:space="0" w:color="auto"/>
              <w:right w:val="single" w:sz="6" w:space="0" w:color="auto"/>
            </w:tcBorders>
            <w:shd w:val="clear" w:color="auto" w:fill="BDD6EE"/>
            <w:vAlign w:val="center"/>
          </w:tcPr>
          <w:p w14:paraId="40E68D79" w14:textId="77777777" w:rsidR="00480F1C" w:rsidRDefault="00A201F6">
            <w:pPr>
              <w:pStyle w:val="P68B1DB1-Normal42"/>
              <w:spacing w:line="240" w:lineRule="auto"/>
              <w:jc w:val="center"/>
              <w:rPr>
                <w:rFonts w:eastAsia="Times New Roman" w:cs="Times New Roman"/>
                <w:noProof/>
              </w:rPr>
            </w:pPr>
            <w:r>
              <w:rPr>
                <w:noProof/>
              </w:rPr>
              <w:t>Mijlpaal/Doelstelling</w:t>
            </w:r>
          </w:p>
        </w:tc>
        <w:tc>
          <w:tcPr>
            <w:tcW w:w="3927" w:type="dxa"/>
            <w:tcBorders>
              <w:top w:val="single" w:sz="6" w:space="0" w:color="auto"/>
              <w:left w:val="single" w:sz="6" w:space="0" w:color="auto"/>
              <w:bottom w:val="single" w:sz="6" w:space="0" w:color="auto"/>
              <w:right w:val="single" w:sz="6" w:space="0" w:color="auto"/>
            </w:tcBorders>
            <w:shd w:val="clear" w:color="auto" w:fill="BDD6EE"/>
            <w:vAlign w:val="center"/>
          </w:tcPr>
          <w:p w14:paraId="67CE3AF0" w14:textId="77777777" w:rsidR="00480F1C" w:rsidRDefault="00A201F6">
            <w:pPr>
              <w:pStyle w:val="P68B1DB1-Normal42"/>
              <w:spacing w:line="240" w:lineRule="auto"/>
              <w:jc w:val="center"/>
              <w:rPr>
                <w:rFonts w:eastAsia="Times New Roman" w:cs="Times New Roman"/>
                <w:noProof/>
              </w:rPr>
            </w:pPr>
            <w:r>
              <w:rPr>
                <w:noProof/>
              </w:rPr>
              <w:t>Naam</w:t>
            </w:r>
          </w:p>
        </w:tc>
      </w:tr>
      <w:tr w:rsidR="00480F1C" w14:paraId="47C9CD09"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6788814" w14:textId="77777777" w:rsidR="00480F1C" w:rsidRDefault="00A201F6">
            <w:pPr>
              <w:pStyle w:val="P68B1DB1-Normal46"/>
              <w:spacing w:line="240" w:lineRule="auto"/>
              <w:jc w:val="center"/>
              <w:rPr>
                <w:rFonts w:eastAsia="Times New Roman" w:cs="Times New Roman"/>
                <w:noProof/>
              </w:rPr>
            </w:pPr>
            <w:r>
              <w:rPr>
                <w:noProof/>
              </w:rPr>
              <w:t>A1L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909544A" w14:textId="77777777" w:rsidR="00480F1C" w:rsidRDefault="00A201F6">
            <w:pPr>
              <w:pStyle w:val="P68B1DB1-Normal46"/>
              <w:spacing w:line="240" w:lineRule="auto"/>
              <w:rPr>
                <w:rFonts w:eastAsia="Times New Roman" w:cs="Times New Roman"/>
                <w:noProof/>
              </w:rPr>
            </w:pPr>
            <w:r>
              <w:rPr>
                <w:noProof/>
              </w:rPr>
              <w:t>A2.5 Versterking van het potentieel van de culturele sector en de cultuurindustrie voor economische ontwikkeling</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5F35960"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3B87E15" w14:textId="77777777" w:rsidR="00480F1C" w:rsidRDefault="00A201F6">
            <w:pPr>
              <w:pStyle w:val="P68B1DB1-Normal46"/>
              <w:spacing w:line="240" w:lineRule="auto"/>
              <w:rPr>
                <w:rFonts w:eastAsia="Times New Roman" w:cs="Times New Roman"/>
                <w:noProof/>
              </w:rPr>
            </w:pPr>
            <w:r>
              <w:rPr>
                <w:noProof/>
              </w:rPr>
              <w:t>Goedkeuring van een beleidsdocument ter ondersteuning van groene en digitale acties in de culturele en creatieve sectoren (CCS)</w:t>
            </w:r>
          </w:p>
        </w:tc>
      </w:tr>
      <w:tr w:rsidR="00480F1C" w14:paraId="40144AA6"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3CBB135" w14:textId="77777777" w:rsidR="00480F1C" w:rsidRDefault="00A201F6">
            <w:pPr>
              <w:pStyle w:val="P68B1DB1-Normal46"/>
              <w:spacing w:line="240" w:lineRule="auto"/>
              <w:jc w:val="center"/>
              <w:rPr>
                <w:rFonts w:eastAsia="Times New Roman" w:cs="Times New Roman"/>
                <w:noProof/>
              </w:rPr>
            </w:pPr>
            <w:r>
              <w:rPr>
                <w:noProof/>
              </w:rPr>
              <w:t>A2L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859F70C" w14:textId="77777777" w:rsidR="00480F1C" w:rsidRDefault="00A201F6">
            <w:pPr>
              <w:pStyle w:val="P68B1DB1-Normal46"/>
              <w:spacing w:line="240" w:lineRule="auto"/>
              <w:rPr>
                <w:rFonts w:eastAsia="Times New Roman" w:cs="Times New Roman"/>
                <w:noProof/>
              </w:rPr>
            </w:pPr>
            <w:r>
              <w:rPr>
                <w:noProof/>
              </w:rPr>
              <w:t>A2.5.1 Een programma ter ondersteuning van de activiteiten van entiteiten in de culturele en creatieve sector om hun ontwikkeling te stimuleren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E677B6D"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2F6C5F0" w14:textId="77777777" w:rsidR="00480F1C" w:rsidRDefault="00A201F6">
            <w:pPr>
              <w:pStyle w:val="P68B1DB1-Normal46"/>
              <w:spacing w:line="240" w:lineRule="auto"/>
              <w:rPr>
                <w:rFonts w:eastAsia="Times New Roman" w:cs="Times New Roman"/>
                <w:noProof/>
              </w:rPr>
            </w:pPr>
            <w:r>
              <w:rPr>
                <w:noProof/>
              </w:rPr>
              <w:t xml:space="preserve">Selectiecriteria voor de ondersteuning van projecten in de culturele en creatieve sectoren (CCS)  </w:t>
            </w:r>
          </w:p>
        </w:tc>
      </w:tr>
      <w:tr w:rsidR="00480F1C" w14:paraId="53584EAD"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580A090" w14:textId="77777777" w:rsidR="00480F1C" w:rsidRDefault="00A201F6">
            <w:pPr>
              <w:pStyle w:val="P68B1DB1-Normal46"/>
              <w:spacing w:line="240" w:lineRule="auto"/>
              <w:jc w:val="center"/>
              <w:rPr>
                <w:rFonts w:eastAsia="Times New Roman" w:cs="Times New Roman"/>
                <w:noProof/>
              </w:rPr>
            </w:pPr>
            <w:r>
              <w:rPr>
                <w:noProof/>
              </w:rPr>
              <w:t>B2L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29CA17C" w14:textId="77777777" w:rsidR="00480F1C" w:rsidRDefault="00A201F6">
            <w:pPr>
              <w:pStyle w:val="P68B1DB1-Normal46"/>
              <w:spacing w:line="240" w:lineRule="auto"/>
              <w:rPr>
                <w:rFonts w:eastAsia="Times New Roman" w:cs="Times New Roman"/>
                <w:noProof/>
              </w:rPr>
            </w:pPr>
            <w:r>
              <w:rPr>
                <w:noProof/>
              </w:rPr>
              <w:t>B1.2.1 Energie-efficiëntie en hernieuwbare energiebronnen in bedrijven — investeringen met het grootste potentieel voor broeikasgasemissiereductie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DEBDE7A"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CC2AC48" w14:textId="77777777" w:rsidR="00480F1C" w:rsidRDefault="00A201F6">
            <w:pPr>
              <w:pStyle w:val="P68B1DB1-Normal46"/>
              <w:spacing w:line="240" w:lineRule="auto"/>
              <w:rPr>
                <w:rFonts w:eastAsia="Times New Roman" w:cs="Times New Roman"/>
                <w:noProof/>
              </w:rPr>
            </w:pPr>
            <w:r>
              <w:rPr>
                <w:noProof/>
              </w:rPr>
              <w:t>Financieringsinstructies (met inbegrip van subsidiabiliteits- en selectiecriteria) voor de steunregeling die gericht is op energie-efficiëntie en hernieuwbare energiebronnen in bedrijven, met inbegrip van die welke onder de EU-regeling voor de handel in emissierechten vallen</w:t>
            </w:r>
          </w:p>
        </w:tc>
      </w:tr>
      <w:tr w:rsidR="00480F1C" w14:paraId="566E2D4F"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DCF1AE3" w14:textId="77777777" w:rsidR="00480F1C" w:rsidRDefault="00A201F6">
            <w:pPr>
              <w:pStyle w:val="P68B1DB1-Normal46"/>
              <w:spacing w:line="240" w:lineRule="auto"/>
              <w:jc w:val="center"/>
              <w:rPr>
                <w:rFonts w:eastAsia="Times New Roman" w:cs="Times New Roman"/>
                <w:noProof/>
              </w:rPr>
            </w:pPr>
            <w:r>
              <w:rPr>
                <w:noProof/>
              </w:rPr>
              <w:t>B14L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D4760B7" w14:textId="77777777" w:rsidR="00480F1C" w:rsidRDefault="00A201F6">
            <w:pPr>
              <w:pStyle w:val="P68B1DB1-Normal46"/>
              <w:spacing w:line="240" w:lineRule="auto"/>
              <w:rPr>
                <w:rFonts w:eastAsia="Times New Roman" w:cs="Times New Roman"/>
                <w:noProof/>
              </w:rPr>
            </w:pPr>
            <w:r>
              <w:rPr>
                <w:noProof/>
              </w:rPr>
              <w:t>B3.2 Steun voor de verbetering van de toestand van het milieu en de bescherming tegen gevaarlijke stoffen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65615D7"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F9085EA" w14:textId="77777777" w:rsidR="00480F1C" w:rsidRDefault="00A201F6">
            <w:pPr>
              <w:pStyle w:val="P68B1DB1-Normal46"/>
              <w:spacing w:line="240" w:lineRule="auto"/>
              <w:rPr>
                <w:rFonts w:eastAsia="Times New Roman" w:cs="Times New Roman"/>
                <w:noProof/>
              </w:rPr>
            </w:pPr>
            <w:r>
              <w:rPr>
                <w:noProof/>
              </w:rPr>
              <w:t>Inwerkingtreding van een wet ter bevordering van een algehele eliminatie van de negatieve milieueffecten van grootschalige post-industriële gebieden.</w:t>
            </w:r>
          </w:p>
        </w:tc>
      </w:tr>
      <w:tr w:rsidR="00480F1C" w14:paraId="3E5C050D"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BCD1E97" w14:textId="77777777" w:rsidR="00480F1C" w:rsidRDefault="00A201F6">
            <w:pPr>
              <w:pStyle w:val="P68B1DB1-Normal46"/>
              <w:spacing w:line="240" w:lineRule="auto"/>
              <w:jc w:val="center"/>
              <w:rPr>
                <w:noProof/>
              </w:rPr>
            </w:pPr>
            <w:r>
              <w:rPr>
                <w:noProof/>
              </w:rPr>
              <w:t>B34L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71B8076" w14:textId="77777777" w:rsidR="00480F1C" w:rsidRDefault="00A201F6">
            <w:pPr>
              <w:pStyle w:val="P68B1DB1-Normal46"/>
              <w:spacing w:line="240" w:lineRule="auto"/>
              <w:rPr>
                <w:noProof/>
              </w:rPr>
            </w:pPr>
            <w:r>
              <w:rPr>
                <w:noProof/>
              </w:rPr>
              <w:t>B2.2 Verbetering van de voorwaarden voor de ontwikkeling van hernieuwbare energiebronnen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51C2781"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4244446" w14:textId="77777777" w:rsidR="00480F1C" w:rsidRDefault="00A201F6">
            <w:pPr>
              <w:pStyle w:val="P68B1DB1-Normal46"/>
              <w:spacing w:line="240" w:lineRule="auto"/>
              <w:rPr>
                <w:noProof/>
              </w:rPr>
            </w:pPr>
            <w:r>
              <w:rPr>
                <w:noProof/>
              </w:rPr>
              <w:t xml:space="preserve"> Inwerkingtreding van een verordening tot vaststelling van een plan voor veilingen van hernieuwbare energie voor de periode 2022-2027</w:t>
            </w:r>
          </w:p>
        </w:tc>
      </w:tr>
      <w:tr w:rsidR="00480F1C" w14:paraId="42243295"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B3A9278" w14:textId="77777777" w:rsidR="00480F1C" w:rsidRDefault="00A201F6">
            <w:pPr>
              <w:pStyle w:val="P68B1DB1-Normal46"/>
              <w:spacing w:line="240" w:lineRule="auto"/>
              <w:jc w:val="center"/>
              <w:rPr>
                <w:noProof/>
              </w:rPr>
            </w:pPr>
            <w:r>
              <w:rPr>
                <w:noProof/>
              </w:rPr>
              <w:t>B36L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1120220" w14:textId="77777777" w:rsidR="00480F1C" w:rsidRDefault="00A201F6">
            <w:pPr>
              <w:pStyle w:val="P68B1DB1-Normal46"/>
              <w:spacing w:line="240" w:lineRule="auto"/>
              <w:rPr>
                <w:noProof/>
              </w:rPr>
            </w:pPr>
            <w:r>
              <w:rPr>
                <w:noProof/>
              </w:rPr>
              <w:t>B2.2 Verbetering van de voorwaarden voor de ontwikkeling van hernieuwbare energiebronnen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AE85B44" w14:textId="77777777" w:rsidR="00480F1C" w:rsidRDefault="00A201F6">
            <w:pPr>
              <w:pStyle w:val="P68B1DB1-Normal46"/>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F023124" w14:textId="77777777" w:rsidR="00480F1C" w:rsidRDefault="00A201F6">
            <w:pPr>
              <w:pStyle w:val="P68B1DB1-Normal46"/>
              <w:spacing w:line="240" w:lineRule="auto"/>
              <w:rPr>
                <w:noProof/>
              </w:rPr>
            </w:pPr>
            <w:r>
              <w:rPr>
                <w:noProof/>
              </w:rPr>
              <w:t>T2 — Ingestookte capaciteit van onshore-wind- en fotovoltaïsche installaties (in GW)</w:t>
            </w:r>
          </w:p>
        </w:tc>
      </w:tr>
      <w:tr w:rsidR="00480F1C" w14:paraId="4E67BCF4"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1B54564" w14:textId="77777777" w:rsidR="00480F1C" w:rsidRDefault="00A201F6">
            <w:pPr>
              <w:pStyle w:val="P68B1DB1-Normal46"/>
              <w:spacing w:line="240" w:lineRule="auto"/>
              <w:jc w:val="center"/>
              <w:rPr>
                <w:noProof/>
              </w:rPr>
            </w:pPr>
            <w:r>
              <w:rPr>
                <w:noProof/>
              </w:rPr>
              <w:t>B40L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233B6D7" w14:textId="77777777" w:rsidR="00480F1C" w:rsidRDefault="00A201F6">
            <w:pPr>
              <w:pStyle w:val="P68B1DB1-Normal46"/>
              <w:spacing w:line="240" w:lineRule="auto"/>
              <w:rPr>
                <w:noProof/>
              </w:rPr>
            </w:pPr>
            <w:r>
              <w:rPr>
                <w:noProof/>
              </w:rPr>
              <w:t>B2.2 Verbetering van de voorwaarden voor de ontwikkeling van hernieuwbare energiebronnen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4FA21B6"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AEC1828" w14:textId="77777777" w:rsidR="00480F1C" w:rsidRDefault="00A201F6">
            <w:pPr>
              <w:pStyle w:val="P68B1DB1-Normal46"/>
              <w:spacing w:line="240" w:lineRule="auto"/>
              <w:rPr>
                <w:noProof/>
              </w:rPr>
            </w:pPr>
            <w:r>
              <w:rPr>
                <w:noProof/>
              </w:rPr>
              <w:t>Inwerkingtreding van de uitvoeringsverordening naar aanleiding van de wet van 17 december 2020 ter bevordering van elektriciteitsopwekking in offshore windmolenparken</w:t>
            </w:r>
          </w:p>
        </w:tc>
      </w:tr>
      <w:tr w:rsidR="00480F1C" w14:paraId="705064CE"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CC8B162" w14:textId="77777777" w:rsidR="00480F1C" w:rsidRDefault="00A201F6">
            <w:pPr>
              <w:pStyle w:val="P68B1DB1-Normal46"/>
              <w:spacing w:line="240" w:lineRule="auto"/>
              <w:jc w:val="center"/>
              <w:rPr>
                <w:rFonts w:eastAsia="Times New Roman" w:cs="Times New Roman"/>
                <w:noProof/>
              </w:rPr>
            </w:pPr>
            <w:r>
              <w:rPr>
                <w:noProof/>
              </w:rPr>
              <w:t>C8L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A49E726" w14:textId="77777777" w:rsidR="00480F1C" w:rsidRDefault="00A201F6">
            <w:pPr>
              <w:pStyle w:val="P68B1DB1-Normal46"/>
              <w:spacing w:line="240" w:lineRule="auto"/>
              <w:rPr>
                <w:rFonts w:eastAsia="Times New Roman" w:cs="Times New Roman"/>
                <w:noProof/>
              </w:rPr>
            </w:pPr>
            <w:r>
              <w:rPr>
                <w:noProof/>
              </w:rPr>
              <w:t>C2.2 Hervorming van de basis voor de digitalisering van het onderwijsstelsel</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0358208"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FCA55F4" w14:textId="77777777" w:rsidR="00480F1C" w:rsidRDefault="00A201F6">
            <w:pPr>
              <w:pStyle w:val="P68B1DB1-Normal46"/>
              <w:spacing w:line="240" w:lineRule="auto"/>
              <w:rPr>
                <w:rFonts w:eastAsia="Times New Roman" w:cs="Times New Roman"/>
                <w:noProof/>
              </w:rPr>
            </w:pPr>
            <w:r>
              <w:rPr>
                <w:noProof/>
              </w:rPr>
              <w:t>Vaststelling van een nieuw digitaliseringsbeleid voor onderwijs, dat de basis vormt voor veranderingen in het onderwijsstelsel en de uitvoering van investeringen in ICT en de richting van digitalisering van het onderwijssysteem op korte en lange termijn bepaalt</w:t>
            </w:r>
          </w:p>
        </w:tc>
      </w:tr>
      <w:tr w:rsidR="00480F1C" w14:paraId="6EBE8040"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73813A4" w14:textId="77777777" w:rsidR="00480F1C" w:rsidRDefault="00A201F6">
            <w:pPr>
              <w:pStyle w:val="P68B1DB1-Normal46"/>
              <w:spacing w:line="240" w:lineRule="auto"/>
              <w:jc w:val="center"/>
              <w:rPr>
                <w:rFonts w:eastAsia="Times New Roman" w:cs="Times New Roman"/>
                <w:noProof/>
              </w:rPr>
            </w:pPr>
            <w:r>
              <w:rPr>
                <w:noProof/>
              </w:rPr>
              <w:t>C9L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D566E7F" w14:textId="77777777" w:rsidR="00480F1C" w:rsidRDefault="00A201F6">
            <w:pPr>
              <w:pStyle w:val="P68B1DB1-Normal46"/>
              <w:spacing w:line="240" w:lineRule="auto"/>
              <w:rPr>
                <w:rFonts w:eastAsia="Times New Roman" w:cs="Times New Roman"/>
                <w:noProof/>
              </w:rPr>
            </w:pPr>
            <w:r>
              <w:rPr>
                <w:noProof/>
              </w:rPr>
              <w:t>C2.2.1 Scholen/instellingen uitrusten met adequate ICT-apparatuur en -infrastructuur om de algemene prestaties van het onderwijssysteem te verbeteren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7D9B18A"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57CC5D7" w14:textId="77777777" w:rsidR="00480F1C" w:rsidRDefault="00A201F6">
            <w:pPr>
              <w:pStyle w:val="P68B1DB1-Normal46"/>
              <w:spacing w:line="240" w:lineRule="auto"/>
              <w:rPr>
                <w:rFonts w:eastAsia="Times New Roman" w:cs="Times New Roman"/>
                <w:noProof/>
              </w:rPr>
            </w:pPr>
            <w:r>
              <w:rPr>
                <w:noProof/>
              </w:rPr>
              <w:t xml:space="preserve">Openbare raadpleging over het kader tot vaststelling van de procedures voor de distributie van ICT-apparatuur en voor de verstrekking van infrastructuur aan scholen </w:t>
            </w:r>
          </w:p>
        </w:tc>
      </w:tr>
      <w:tr w:rsidR="00480F1C" w14:paraId="2857D591"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D4B0B77" w14:textId="77777777" w:rsidR="00480F1C" w:rsidRDefault="00A201F6">
            <w:pPr>
              <w:pStyle w:val="P68B1DB1-Normal46"/>
              <w:spacing w:line="240" w:lineRule="auto"/>
              <w:jc w:val="center"/>
              <w:rPr>
                <w:rFonts w:eastAsia="Times New Roman" w:cs="Times New Roman"/>
                <w:noProof/>
              </w:rPr>
            </w:pPr>
            <w:r>
              <w:rPr>
                <w:noProof/>
              </w:rPr>
              <w:t>D2L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303A394" w14:textId="77777777" w:rsidR="00480F1C" w:rsidRDefault="00A201F6">
            <w:pPr>
              <w:pStyle w:val="P68B1DB1-Normal46"/>
              <w:spacing w:line="240" w:lineRule="auto"/>
              <w:rPr>
                <w:rFonts w:eastAsia="Times New Roman" w:cs="Times New Roman"/>
                <w:noProof/>
              </w:rPr>
            </w:pPr>
            <w:r>
              <w:rPr>
                <w:noProof/>
              </w:rPr>
              <w:t>D1.2 Verbetering van de efficiëntie, beschikbaarheid en kwaliteit van langdurige zorgdiensten van zorgaanbieders op districtsniveau</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DA74C52"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6279A51" w14:textId="77777777" w:rsidR="00480F1C" w:rsidRDefault="00A201F6">
            <w:pPr>
              <w:pStyle w:val="P68B1DB1-Normal46"/>
              <w:spacing w:line="240" w:lineRule="auto"/>
              <w:rPr>
                <w:rFonts w:eastAsia="Times New Roman" w:cs="Times New Roman"/>
                <w:noProof/>
              </w:rPr>
            </w:pPr>
            <w:r>
              <w:rPr>
                <w:noProof/>
              </w:rPr>
              <w:t>Inwerkingtreding van een wetgevingshandeling inzake steun voor de oprichting van eenheden/centra voor langdurige zorg en geriatrische zorg in districtsziekenhuizen, op basis van de resultaten van de evaluatie</w:t>
            </w:r>
          </w:p>
        </w:tc>
      </w:tr>
      <w:tr w:rsidR="00480F1C" w14:paraId="2DAEC20D"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CA8E1BC" w14:textId="77777777" w:rsidR="00480F1C" w:rsidRDefault="00A201F6">
            <w:pPr>
              <w:pStyle w:val="P68B1DB1-Normal46"/>
              <w:spacing w:line="240" w:lineRule="auto"/>
              <w:jc w:val="center"/>
              <w:rPr>
                <w:rFonts w:eastAsia="Times New Roman" w:cs="Times New Roman"/>
                <w:noProof/>
              </w:rPr>
            </w:pPr>
            <w:r>
              <w:rPr>
                <w:noProof/>
              </w:rPr>
              <w:t>E5L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5E8BCC5" w14:textId="77777777" w:rsidR="00480F1C" w:rsidRDefault="00A201F6">
            <w:pPr>
              <w:pStyle w:val="P68B1DB1-Normal46"/>
              <w:spacing w:line="240" w:lineRule="auto"/>
              <w:rPr>
                <w:rFonts w:eastAsia="Times New Roman" w:cs="Times New Roman"/>
                <w:noProof/>
              </w:rPr>
            </w:pPr>
            <w:r>
              <w:rPr>
                <w:noProof/>
              </w:rPr>
              <w:t>E2.3 Verbetering van de toegankelijkheid, beveiliging en digitale oplossingen van het vervoer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C9E9261"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A6271A5" w14:textId="77777777" w:rsidR="00480F1C" w:rsidRDefault="00A201F6">
            <w:pPr>
              <w:pStyle w:val="P68B1DB1-Normal46"/>
              <w:spacing w:line="240" w:lineRule="auto"/>
              <w:rPr>
                <w:rFonts w:eastAsia="Times New Roman" w:cs="Times New Roman"/>
                <w:noProof/>
              </w:rPr>
            </w:pPr>
            <w:r>
              <w:rPr>
                <w:noProof/>
              </w:rPr>
              <w:t>Inwerkingtreding van een rechtshandeling tot verbetering van de passagiersrechten op het gebied van eisen inzake rollend materieel</w:t>
            </w:r>
          </w:p>
        </w:tc>
      </w:tr>
      <w:tr w:rsidR="00480F1C" w14:paraId="0E068FFE" w14:textId="77777777">
        <w:tc>
          <w:tcPr>
            <w:tcW w:w="1350" w:type="dxa"/>
            <w:tcBorders>
              <w:top w:val="single" w:sz="6" w:space="0" w:color="auto"/>
              <w:left w:val="single" w:sz="6" w:space="0" w:color="auto"/>
              <w:bottom w:val="single" w:sz="6" w:space="0" w:color="auto"/>
              <w:right w:val="single" w:sz="6" w:space="0" w:color="auto"/>
            </w:tcBorders>
            <w:shd w:val="clear" w:color="auto" w:fill="C6EFCE"/>
            <w:vAlign w:val="center"/>
          </w:tcPr>
          <w:p w14:paraId="245730FC" w14:textId="77777777" w:rsidR="00480F1C" w:rsidRDefault="00480F1C">
            <w:pPr>
              <w:spacing w:line="240" w:lineRule="auto"/>
              <w:rPr>
                <w:rFonts w:ascii="Times New Roman" w:eastAsia="Times New Roman" w:hAnsi="Times New Roman" w:cs="Times New Roman"/>
                <w:noProof/>
              </w:rPr>
            </w:pPr>
          </w:p>
        </w:tc>
        <w:tc>
          <w:tcPr>
            <w:tcW w:w="3960" w:type="dxa"/>
            <w:tcBorders>
              <w:top w:val="single" w:sz="6" w:space="0" w:color="auto"/>
              <w:left w:val="single" w:sz="6" w:space="0" w:color="auto"/>
              <w:bottom w:val="single" w:sz="6" w:space="0" w:color="auto"/>
              <w:right w:val="single" w:sz="6" w:space="0" w:color="auto"/>
            </w:tcBorders>
            <w:shd w:val="clear" w:color="auto" w:fill="C6EFCE"/>
            <w:vAlign w:val="center"/>
          </w:tcPr>
          <w:p w14:paraId="3FFEF93B"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vAlign w:val="center"/>
          </w:tcPr>
          <w:p w14:paraId="33AC236D" w14:textId="77777777" w:rsidR="00480F1C" w:rsidRDefault="00A201F6">
            <w:pPr>
              <w:pStyle w:val="P68B1DB1-Normal46"/>
              <w:spacing w:line="240" w:lineRule="auto"/>
              <w:rPr>
                <w:rFonts w:eastAsia="Times New Roman" w:cs="Times New Roman"/>
                <w:noProof/>
              </w:rPr>
            </w:pPr>
            <w:r>
              <w:rPr>
                <w:noProof/>
              </w:rPr>
              <w:t>Termijnbedrag</w:t>
            </w:r>
          </w:p>
        </w:tc>
        <w:tc>
          <w:tcPr>
            <w:tcW w:w="3927" w:type="dxa"/>
            <w:tcBorders>
              <w:top w:val="single" w:sz="6" w:space="0" w:color="auto"/>
              <w:left w:val="single" w:sz="6" w:space="0" w:color="auto"/>
              <w:bottom w:val="single" w:sz="6" w:space="0" w:color="auto"/>
              <w:right w:val="single" w:sz="6" w:space="0" w:color="auto"/>
            </w:tcBorders>
            <w:shd w:val="clear" w:color="auto" w:fill="C6EFCE"/>
            <w:vAlign w:val="center"/>
          </w:tcPr>
          <w:p w14:paraId="6DD7E203" w14:textId="77777777" w:rsidR="00480F1C" w:rsidRDefault="00A201F6">
            <w:pPr>
              <w:pStyle w:val="P68B1DB1-Normal46"/>
              <w:spacing w:line="240" w:lineRule="auto"/>
              <w:rPr>
                <w:rFonts w:eastAsia="Times New Roman" w:cs="Times New Roman"/>
                <w:noProof/>
              </w:rPr>
            </w:pPr>
            <w:r>
              <w:rPr>
                <w:noProof/>
              </w:rPr>
              <w:t xml:space="preserve">EUR 3 213 973 652 </w:t>
            </w:r>
          </w:p>
        </w:tc>
      </w:tr>
    </w:tbl>
    <w:p w14:paraId="2CCEC357" w14:textId="77777777" w:rsidR="00480F1C" w:rsidRDefault="00480F1C">
      <w:pPr>
        <w:spacing w:before="120" w:after="120" w:line="240" w:lineRule="auto"/>
        <w:rPr>
          <w:rFonts w:ascii="Times New Roman" w:eastAsia="Times New Roman" w:hAnsi="Times New Roman" w:cs="Times New Roman"/>
          <w:noProof/>
          <w:color w:val="000000" w:themeColor="text1"/>
        </w:rPr>
      </w:pPr>
    </w:p>
    <w:p w14:paraId="13289FB3" w14:textId="77777777" w:rsidR="00480F1C" w:rsidRDefault="00A201F6">
      <w:pPr>
        <w:pStyle w:val="P68B1DB1-Normal45"/>
        <w:pageBreakBefore/>
        <w:spacing w:before="120" w:after="120" w:line="240" w:lineRule="auto"/>
        <w:rPr>
          <w:rFonts w:eastAsia="Times New Roman" w:cs="Times New Roman"/>
          <w:noProof/>
        </w:rPr>
      </w:pPr>
      <w:r>
        <w:rPr>
          <w:noProof/>
        </w:rPr>
        <w:t>2.2.3. Derde tranche (steun via leningen):</w:t>
      </w:r>
    </w:p>
    <w:tbl>
      <w:tblPr>
        <w:tblW w:w="10482" w:type="dxa"/>
        <w:tblLayout w:type="fixed"/>
        <w:tblLook w:val="04A0" w:firstRow="1" w:lastRow="0" w:firstColumn="1" w:lastColumn="0" w:noHBand="0" w:noVBand="1"/>
      </w:tblPr>
      <w:tblGrid>
        <w:gridCol w:w="1350"/>
        <w:gridCol w:w="3960"/>
        <w:gridCol w:w="1245"/>
        <w:gridCol w:w="3927"/>
      </w:tblGrid>
      <w:tr w:rsidR="00480F1C" w14:paraId="37DFDAE4" w14:textId="77777777">
        <w:trPr>
          <w:trHeight w:val="868"/>
        </w:trPr>
        <w:tc>
          <w:tcPr>
            <w:tcW w:w="1350" w:type="dxa"/>
            <w:tcBorders>
              <w:top w:val="single" w:sz="6" w:space="0" w:color="auto"/>
              <w:left w:val="single" w:sz="6" w:space="0" w:color="auto"/>
              <w:bottom w:val="single" w:sz="6" w:space="0" w:color="auto"/>
              <w:right w:val="single" w:sz="6" w:space="0" w:color="auto"/>
            </w:tcBorders>
            <w:shd w:val="clear" w:color="auto" w:fill="BDD6EE"/>
            <w:vAlign w:val="center"/>
          </w:tcPr>
          <w:p w14:paraId="18834742" w14:textId="77777777" w:rsidR="00480F1C" w:rsidRDefault="00A201F6">
            <w:pPr>
              <w:pStyle w:val="P68B1DB1-Normal42"/>
              <w:spacing w:line="240" w:lineRule="auto"/>
              <w:jc w:val="center"/>
              <w:rPr>
                <w:rFonts w:eastAsia="Times New Roman" w:cs="Times New Roman"/>
                <w:noProof/>
              </w:rPr>
            </w:pPr>
            <w:r>
              <w:rPr>
                <w:noProof/>
              </w:rPr>
              <w:t>Volgnummer</w:t>
            </w:r>
          </w:p>
        </w:tc>
        <w:tc>
          <w:tcPr>
            <w:tcW w:w="3960" w:type="dxa"/>
            <w:tcBorders>
              <w:top w:val="single" w:sz="6" w:space="0" w:color="auto"/>
              <w:left w:val="single" w:sz="6" w:space="0" w:color="auto"/>
              <w:bottom w:val="single" w:sz="6" w:space="0" w:color="auto"/>
              <w:right w:val="single" w:sz="6" w:space="0" w:color="auto"/>
            </w:tcBorders>
            <w:shd w:val="clear" w:color="auto" w:fill="BDD6EE"/>
            <w:vAlign w:val="center"/>
          </w:tcPr>
          <w:p w14:paraId="7F516F69" w14:textId="77777777" w:rsidR="00480F1C" w:rsidRDefault="00A201F6">
            <w:pPr>
              <w:pStyle w:val="P68B1DB1-Normal42"/>
              <w:spacing w:line="240" w:lineRule="auto"/>
              <w:jc w:val="center"/>
              <w:rPr>
                <w:rFonts w:eastAsia="Times New Roman" w:cs="Times New Roman"/>
                <w:noProof/>
              </w:rPr>
            </w:pPr>
            <w:r>
              <w:rPr>
                <w:noProof/>
              </w:rPr>
              <w:t>Gerelateerde maatregel (hervorming of investering)</w:t>
            </w:r>
          </w:p>
        </w:tc>
        <w:tc>
          <w:tcPr>
            <w:tcW w:w="1245" w:type="dxa"/>
            <w:tcBorders>
              <w:top w:val="single" w:sz="6" w:space="0" w:color="auto"/>
              <w:left w:val="single" w:sz="6" w:space="0" w:color="auto"/>
              <w:bottom w:val="single" w:sz="6" w:space="0" w:color="auto"/>
              <w:right w:val="single" w:sz="6" w:space="0" w:color="auto"/>
            </w:tcBorders>
            <w:shd w:val="clear" w:color="auto" w:fill="BDD6EE"/>
            <w:vAlign w:val="center"/>
          </w:tcPr>
          <w:p w14:paraId="722C1770" w14:textId="77777777" w:rsidR="00480F1C" w:rsidRDefault="00A201F6">
            <w:pPr>
              <w:pStyle w:val="P68B1DB1-Normal42"/>
              <w:spacing w:line="240" w:lineRule="auto"/>
              <w:jc w:val="center"/>
              <w:rPr>
                <w:rFonts w:eastAsia="Times New Roman" w:cs="Times New Roman"/>
                <w:noProof/>
              </w:rPr>
            </w:pPr>
            <w:r>
              <w:rPr>
                <w:noProof/>
              </w:rPr>
              <w:t>Mijlpaal/Doelstelling</w:t>
            </w:r>
          </w:p>
        </w:tc>
        <w:tc>
          <w:tcPr>
            <w:tcW w:w="3927" w:type="dxa"/>
            <w:tcBorders>
              <w:top w:val="single" w:sz="6" w:space="0" w:color="auto"/>
              <w:left w:val="single" w:sz="6" w:space="0" w:color="auto"/>
              <w:bottom w:val="single" w:sz="6" w:space="0" w:color="auto"/>
              <w:right w:val="single" w:sz="6" w:space="0" w:color="auto"/>
            </w:tcBorders>
            <w:shd w:val="clear" w:color="auto" w:fill="BDD6EE"/>
            <w:vAlign w:val="center"/>
          </w:tcPr>
          <w:p w14:paraId="208C0D1D" w14:textId="77777777" w:rsidR="00480F1C" w:rsidRDefault="00A201F6">
            <w:pPr>
              <w:pStyle w:val="P68B1DB1-Normal42"/>
              <w:spacing w:line="240" w:lineRule="auto"/>
              <w:jc w:val="center"/>
              <w:rPr>
                <w:rFonts w:eastAsia="Times New Roman" w:cs="Times New Roman"/>
                <w:noProof/>
              </w:rPr>
            </w:pPr>
            <w:r>
              <w:rPr>
                <w:noProof/>
              </w:rPr>
              <w:t>Naam</w:t>
            </w:r>
          </w:p>
        </w:tc>
      </w:tr>
      <w:tr w:rsidR="00480F1C" w14:paraId="2BE1DD77"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1DD3000" w14:textId="77777777" w:rsidR="00480F1C" w:rsidRDefault="00A201F6">
            <w:pPr>
              <w:pStyle w:val="P68B1DB1-Normal46"/>
              <w:spacing w:line="240" w:lineRule="auto"/>
              <w:jc w:val="center"/>
              <w:rPr>
                <w:noProof/>
              </w:rPr>
            </w:pPr>
            <w:r>
              <w:rPr>
                <w:noProof/>
              </w:rPr>
              <w:t>B32L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D873B4E" w14:textId="77777777" w:rsidR="00480F1C" w:rsidRDefault="00A201F6">
            <w:pPr>
              <w:pStyle w:val="P68B1DB1-Normal46"/>
              <w:spacing w:line="240" w:lineRule="auto"/>
              <w:rPr>
                <w:noProof/>
              </w:rPr>
            </w:pPr>
            <w:r>
              <w:rPr>
                <w:noProof/>
              </w:rPr>
              <w:t>B2.2 Verbetering van de voorwaarden voor de ontwikkeling van hernieuwbare energiebronnen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7FAE7DF"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F9E02E5" w14:textId="77777777" w:rsidR="00480F1C" w:rsidRDefault="00A201F6">
            <w:pPr>
              <w:pStyle w:val="P68B1DB1-Normal46"/>
              <w:spacing w:line="240" w:lineRule="auto"/>
              <w:rPr>
                <w:noProof/>
              </w:rPr>
            </w:pPr>
            <w:r>
              <w:rPr>
                <w:noProof/>
              </w:rPr>
              <w:t>Inwerkingtreding van handelingen tot wijziging van het wetgevingskader voor hernieuwbare-energiegemeenschappen en biomethaan: Wijzigingen van de RES-wet, wetswijzigingen met betrekking tot de energiemarkt en inwerkingtreding van een verordening van de wet inzake hernieuwbare energiebronnen</w:t>
            </w:r>
          </w:p>
        </w:tc>
      </w:tr>
      <w:tr w:rsidR="00480F1C" w14:paraId="04C677DD"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2F9E2A5" w14:textId="77777777" w:rsidR="00480F1C" w:rsidRDefault="00A201F6">
            <w:pPr>
              <w:pStyle w:val="P68B1DB1-Normal46"/>
              <w:spacing w:line="240" w:lineRule="auto"/>
              <w:jc w:val="center"/>
              <w:rPr>
                <w:noProof/>
              </w:rPr>
            </w:pPr>
            <w:r>
              <w:rPr>
                <w:noProof/>
              </w:rPr>
              <w:t>B37L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7788133" w14:textId="77777777" w:rsidR="00480F1C" w:rsidRDefault="00A201F6">
            <w:pPr>
              <w:pStyle w:val="P68B1DB1-Normal46"/>
              <w:spacing w:line="240" w:lineRule="auto"/>
              <w:rPr>
                <w:noProof/>
              </w:rPr>
            </w:pPr>
            <w:r>
              <w:rPr>
                <w:noProof/>
              </w:rPr>
              <w:t>B2.2 Verbetering van de voorwaarden voor de ontwikkeling van hernieuwbare energiebronnen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5015048" w14:textId="77777777" w:rsidR="00480F1C" w:rsidRDefault="00A201F6">
            <w:pPr>
              <w:pStyle w:val="P68B1DB1-Normal46"/>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E7189F6" w14:textId="77777777" w:rsidR="00480F1C" w:rsidRDefault="00A201F6">
            <w:pPr>
              <w:pStyle w:val="P68B1DB1-Normal46"/>
              <w:spacing w:line="240" w:lineRule="auto"/>
              <w:rPr>
                <w:noProof/>
              </w:rPr>
            </w:pPr>
            <w:r>
              <w:rPr>
                <w:noProof/>
              </w:rPr>
              <w:t>T3 — Ingestookte capaciteit van onshore-wind- en fotovoltaïsche installaties (in GW)</w:t>
            </w:r>
          </w:p>
        </w:tc>
      </w:tr>
      <w:tr w:rsidR="00480F1C" w14:paraId="062EB580"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CF1166D" w14:textId="77777777" w:rsidR="00480F1C" w:rsidRDefault="00A201F6">
            <w:pPr>
              <w:pStyle w:val="P68B1DB1-Normal46"/>
              <w:spacing w:line="240" w:lineRule="auto"/>
              <w:jc w:val="center"/>
              <w:rPr>
                <w:rFonts w:eastAsia="Times New Roman" w:cs="Times New Roman"/>
                <w:noProof/>
              </w:rPr>
            </w:pPr>
            <w:r>
              <w:rPr>
                <w:noProof/>
              </w:rPr>
              <w:t>C10L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7F635D4" w14:textId="77777777" w:rsidR="00480F1C" w:rsidRDefault="00A201F6">
            <w:pPr>
              <w:pStyle w:val="P68B1DB1-Normal46"/>
              <w:spacing w:line="240" w:lineRule="auto"/>
              <w:rPr>
                <w:rFonts w:eastAsia="Times New Roman" w:cs="Times New Roman"/>
                <w:noProof/>
              </w:rPr>
            </w:pPr>
            <w:r>
              <w:rPr>
                <w:noProof/>
              </w:rPr>
              <w:t>C2.2.1 Scholen/instellingen uitrusten met adequate ICT-apparatuur en -infrastructuur om de algemene prestaties van het onderwijssysteem te verbeteren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B7BE4E1"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B083D90" w14:textId="77777777" w:rsidR="00480F1C" w:rsidRDefault="00A201F6">
            <w:pPr>
              <w:pStyle w:val="P68B1DB1-Normal46"/>
              <w:spacing w:line="240" w:lineRule="auto"/>
              <w:rPr>
                <w:rFonts w:eastAsia="Times New Roman" w:cs="Times New Roman"/>
                <w:noProof/>
              </w:rPr>
            </w:pPr>
            <w:r>
              <w:rPr>
                <w:noProof/>
              </w:rPr>
              <w:t>Kader tot vaststelling van de procedures voor de distributie van ICT-apparatuur en voor de verstrekking van infrastructuur aan scholen</w:t>
            </w:r>
          </w:p>
        </w:tc>
      </w:tr>
      <w:tr w:rsidR="00480F1C" w14:paraId="7AC86137"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8F5B076" w14:textId="77777777" w:rsidR="00480F1C" w:rsidRDefault="00A201F6">
            <w:pPr>
              <w:pStyle w:val="P68B1DB1-Normal46"/>
              <w:spacing w:line="240" w:lineRule="auto"/>
              <w:jc w:val="center"/>
              <w:rPr>
                <w:rFonts w:eastAsia="Times New Roman" w:cs="Times New Roman"/>
                <w:noProof/>
              </w:rPr>
            </w:pPr>
            <w:r>
              <w:rPr>
                <w:noProof/>
              </w:rPr>
              <w:t>D3L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47F8B37" w14:textId="77777777" w:rsidR="00480F1C" w:rsidRDefault="00A201F6">
            <w:pPr>
              <w:pStyle w:val="P68B1DB1-Normal46"/>
              <w:spacing w:line="240" w:lineRule="auto"/>
              <w:rPr>
                <w:rFonts w:eastAsia="Times New Roman" w:cs="Times New Roman"/>
                <w:noProof/>
              </w:rPr>
            </w:pPr>
            <w:r>
              <w:rPr>
                <w:noProof/>
              </w:rPr>
              <w:t>D1.2.1 Ontwikkeling van langdurige zorg door modernisering van de infrastructuur van medische entiteiten op districtsniveau</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C0C897B"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8031EFC" w14:textId="77777777" w:rsidR="00480F1C" w:rsidRDefault="00A201F6">
            <w:pPr>
              <w:pStyle w:val="P68B1DB1-Normal46"/>
              <w:spacing w:line="240" w:lineRule="auto"/>
              <w:rPr>
                <w:rFonts w:eastAsia="Times New Roman" w:cs="Times New Roman"/>
                <w:noProof/>
              </w:rPr>
            </w:pPr>
            <w:r>
              <w:rPr>
                <w:noProof/>
              </w:rPr>
              <w:t>Lijst van districtsziekenhuizen die zijn geselecteerd voor de aanvullende steun voor de aanleg van langetermijn- en geriatrische bedden, op basis van specifieke selectiecriteria</w:t>
            </w:r>
          </w:p>
        </w:tc>
      </w:tr>
      <w:tr w:rsidR="00480F1C" w14:paraId="387C28C4"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446799B" w14:textId="77777777" w:rsidR="00480F1C" w:rsidRDefault="00A201F6">
            <w:pPr>
              <w:pStyle w:val="P68B1DB1-Normal46"/>
              <w:spacing w:line="240" w:lineRule="auto"/>
              <w:jc w:val="center"/>
              <w:rPr>
                <w:rFonts w:eastAsia="Times New Roman" w:cs="Times New Roman"/>
                <w:noProof/>
              </w:rPr>
            </w:pPr>
            <w:r>
              <w:rPr>
                <w:noProof/>
              </w:rPr>
              <w:t>D6L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EB42E9C" w14:textId="77777777" w:rsidR="00480F1C" w:rsidRDefault="00A201F6">
            <w:pPr>
              <w:pStyle w:val="P68B1DB1-Normal46"/>
              <w:spacing w:line="240" w:lineRule="auto"/>
              <w:rPr>
                <w:rFonts w:eastAsia="Times New Roman" w:cs="Times New Roman"/>
                <w:noProof/>
              </w:rPr>
            </w:pPr>
            <w:r>
              <w:rPr>
                <w:noProof/>
              </w:rPr>
              <w:t>D3.2 Bevordering van gunstige voorwaarden voor de ontwikkeling van de sector geneesmiddelen en medische hulpmiddelen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16D07E3"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ED47AE9" w14:textId="77777777" w:rsidR="00480F1C" w:rsidRDefault="00A201F6">
            <w:pPr>
              <w:pStyle w:val="P68B1DB1-Normal46"/>
              <w:spacing w:line="240" w:lineRule="auto"/>
              <w:rPr>
                <w:rFonts w:eastAsia="Times New Roman" w:cs="Times New Roman"/>
                <w:noProof/>
              </w:rPr>
            </w:pPr>
            <w:r>
              <w:rPr>
                <w:noProof/>
              </w:rPr>
              <w:t>Inwerkingtreding van een wetgevingshandeling die de zekerheid van de geneesmiddelenvoorziening waarborgt, met inbegrip van oplossingen om geneesmiddelentekorten en belangrijke kwetsbaarheden in de toeleveringsketens aan te pakken</w:t>
            </w:r>
          </w:p>
        </w:tc>
      </w:tr>
      <w:tr w:rsidR="00480F1C" w14:paraId="15207258" w14:textId="77777777">
        <w:tc>
          <w:tcPr>
            <w:tcW w:w="1350" w:type="dxa"/>
            <w:tcBorders>
              <w:top w:val="single" w:sz="6" w:space="0" w:color="auto"/>
              <w:left w:val="single" w:sz="6" w:space="0" w:color="auto"/>
              <w:bottom w:val="single" w:sz="6" w:space="0" w:color="auto"/>
              <w:right w:val="single" w:sz="6" w:space="0" w:color="auto"/>
            </w:tcBorders>
            <w:shd w:val="clear" w:color="auto" w:fill="C6EFCE"/>
            <w:vAlign w:val="center"/>
          </w:tcPr>
          <w:p w14:paraId="0E34C53E" w14:textId="77777777" w:rsidR="00480F1C" w:rsidRDefault="00480F1C">
            <w:pPr>
              <w:spacing w:line="240" w:lineRule="auto"/>
              <w:rPr>
                <w:rFonts w:ascii="Times New Roman" w:eastAsia="Times New Roman" w:hAnsi="Times New Roman" w:cs="Times New Roman"/>
                <w:noProof/>
              </w:rPr>
            </w:pPr>
          </w:p>
        </w:tc>
        <w:tc>
          <w:tcPr>
            <w:tcW w:w="3960" w:type="dxa"/>
            <w:tcBorders>
              <w:top w:val="single" w:sz="6" w:space="0" w:color="auto"/>
              <w:left w:val="single" w:sz="6" w:space="0" w:color="auto"/>
              <w:bottom w:val="single" w:sz="6" w:space="0" w:color="auto"/>
              <w:right w:val="single" w:sz="6" w:space="0" w:color="auto"/>
            </w:tcBorders>
            <w:shd w:val="clear" w:color="auto" w:fill="C6EFCE"/>
            <w:vAlign w:val="center"/>
          </w:tcPr>
          <w:p w14:paraId="197F8D6E"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vAlign w:val="center"/>
          </w:tcPr>
          <w:p w14:paraId="4D616763" w14:textId="77777777" w:rsidR="00480F1C" w:rsidRDefault="00A201F6">
            <w:pPr>
              <w:pStyle w:val="P68B1DB1-Normal46"/>
              <w:spacing w:line="240" w:lineRule="auto"/>
              <w:rPr>
                <w:rFonts w:eastAsia="Times New Roman" w:cs="Times New Roman"/>
                <w:noProof/>
              </w:rPr>
            </w:pPr>
            <w:r>
              <w:rPr>
                <w:noProof/>
              </w:rPr>
              <w:t>Termijnbedrag</w:t>
            </w:r>
          </w:p>
        </w:tc>
        <w:tc>
          <w:tcPr>
            <w:tcW w:w="3927" w:type="dxa"/>
            <w:tcBorders>
              <w:top w:val="single" w:sz="6" w:space="0" w:color="auto"/>
              <w:left w:val="single" w:sz="6" w:space="0" w:color="auto"/>
              <w:bottom w:val="single" w:sz="6" w:space="0" w:color="auto"/>
              <w:right w:val="single" w:sz="6" w:space="0" w:color="auto"/>
            </w:tcBorders>
            <w:shd w:val="clear" w:color="auto" w:fill="C6EFCE"/>
            <w:vAlign w:val="center"/>
          </w:tcPr>
          <w:p w14:paraId="2CC8242C" w14:textId="77777777" w:rsidR="00480F1C" w:rsidRDefault="00A201F6">
            <w:pPr>
              <w:pStyle w:val="P68B1DB1-Normal46"/>
              <w:spacing w:line="240" w:lineRule="auto"/>
              <w:rPr>
                <w:rFonts w:eastAsia="Times New Roman" w:cs="Times New Roman"/>
                <w:noProof/>
              </w:rPr>
            </w:pPr>
            <w:r>
              <w:rPr>
                <w:noProof/>
              </w:rPr>
              <w:t xml:space="preserve">EUR 3 103 232 462 </w:t>
            </w:r>
          </w:p>
        </w:tc>
      </w:tr>
    </w:tbl>
    <w:p w14:paraId="18CF62F4" w14:textId="77777777" w:rsidR="00480F1C" w:rsidRDefault="00480F1C">
      <w:pPr>
        <w:spacing w:before="120" w:after="120" w:line="240" w:lineRule="auto"/>
        <w:rPr>
          <w:rFonts w:ascii="Times New Roman" w:eastAsia="Times New Roman" w:hAnsi="Times New Roman" w:cs="Times New Roman"/>
          <w:noProof/>
          <w:color w:val="000000" w:themeColor="text1"/>
        </w:rPr>
      </w:pPr>
    </w:p>
    <w:p w14:paraId="6713DAF8" w14:textId="77777777" w:rsidR="00480F1C" w:rsidRDefault="00A201F6">
      <w:pPr>
        <w:pStyle w:val="P68B1DB1-Normal45"/>
        <w:spacing w:before="120" w:after="120" w:line="240" w:lineRule="auto"/>
        <w:rPr>
          <w:rFonts w:eastAsia="Times New Roman" w:cs="Times New Roman"/>
          <w:noProof/>
        </w:rPr>
      </w:pPr>
      <w:r>
        <w:rPr>
          <w:noProof/>
        </w:rPr>
        <w:t>2.2.4. Vierde tranche (steun via leningen):</w:t>
      </w:r>
    </w:p>
    <w:tbl>
      <w:tblPr>
        <w:tblW w:w="10482" w:type="dxa"/>
        <w:tblLayout w:type="fixed"/>
        <w:tblLook w:val="04A0" w:firstRow="1" w:lastRow="0" w:firstColumn="1" w:lastColumn="0" w:noHBand="0" w:noVBand="1"/>
      </w:tblPr>
      <w:tblGrid>
        <w:gridCol w:w="1350"/>
        <w:gridCol w:w="3960"/>
        <w:gridCol w:w="1245"/>
        <w:gridCol w:w="3927"/>
      </w:tblGrid>
      <w:tr w:rsidR="00480F1C" w14:paraId="05C20E9A" w14:textId="77777777">
        <w:trPr>
          <w:trHeight w:val="868"/>
          <w:tblHeader/>
        </w:trPr>
        <w:tc>
          <w:tcPr>
            <w:tcW w:w="1350" w:type="dxa"/>
            <w:tcBorders>
              <w:top w:val="single" w:sz="6" w:space="0" w:color="auto"/>
              <w:left w:val="single" w:sz="6" w:space="0" w:color="auto"/>
              <w:bottom w:val="single" w:sz="6" w:space="0" w:color="auto"/>
              <w:right w:val="single" w:sz="6" w:space="0" w:color="auto"/>
            </w:tcBorders>
            <w:shd w:val="clear" w:color="auto" w:fill="BDD6EE"/>
            <w:vAlign w:val="center"/>
          </w:tcPr>
          <w:p w14:paraId="7FC43C00" w14:textId="77777777" w:rsidR="00480F1C" w:rsidRDefault="00A201F6">
            <w:pPr>
              <w:pStyle w:val="P68B1DB1-Normal42"/>
              <w:spacing w:line="240" w:lineRule="auto"/>
              <w:jc w:val="center"/>
              <w:rPr>
                <w:rFonts w:eastAsia="Times New Roman" w:cs="Times New Roman"/>
                <w:noProof/>
              </w:rPr>
            </w:pPr>
            <w:r>
              <w:rPr>
                <w:noProof/>
              </w:rPr>
              <w:t>Volgnummer</w:t>
            </w:r>
          </w:p>
        </w:tc>
        <w:tc>
          <w:tcPr>
            <w:tcW w:w="3960" w:type="dxa"/>
            <w:tcBorders>
              <w:top w:val="single" w:sz="6" w:space="0" w:color="auto"/>
              <w:left w:val="single" w:sz="6" w:space="0" w:color="auto"/>
              <w:bottom w:val="single" w:sz="6" w:space="0" w:color="auto"/>
              <w:right w:val="single" w:sz="6" w:space="0" w:color="auto"/>
            </w:tcBorders>
            <w:shd w:val="clear" w:color="auto" w:fill="BDD6EE"/>
            <w:vAlign w:val="center"/>
          </w:tcPr>
          <w:p w14:paraId="263EB906" w14:textId="77777777" w:rsidR="00480F1C" w:rsidRDefault="00A201F6">
            <w:pPr>
              <w:pStyle w:val="P68B1DB1-Normal42"/>
              <w:spacing w:line="240" w:lineRule="auto"/>
              <w:jc w:val="center"/>
              <w:rPr>
                <w:rFonts w:eastAsia="Times New Roman" w:cs="Times New Roman"/>
                <w:noProof/>
              </w:rPr>
            </w:pPr>
            <w:r>
              <w:rPr>
                <w:noProof/>
              </w:rPr>
              <w:t>Gerelateerde maatregel (hervorming of investering)</w:t>
            </w:r>
          </w:p>
        </w:tc>
        <w:tc>
          <w:tcPr>
            <w:tcW w:w="1245" w:type="dxa"/>
            <w:tcBorders>
              <w:top w:val="single" w:sz="6" w:space="0" w:color="auto"/>
              <w:left w:val="single" w:sz="6" w:space="0" w:color="auto"/>
              <w:bottom w:val="single" w:sz="6" w:space="0" w:color="auto"/>
              <w:right w:val="single" w:sz="6" w:space="0" w:color="auto"/>
            </w:tcBorders>
            <w:shd w:val="clear" w:color="auto" w:fill="BDD6EE"/>
            <w:vAlign w:val="center"/>
          </w:tcPr>
          <w:p w14:paraId="4F4CD9BF" w14:textId="77777777" w:rsidR="00480F1C" w:rsidRDefault="00A201F6">
            <w:pPr>
              <w:pStyle w:val="P68B1DB1-Normal42"/>
              <w:spacing w:line="240" w:lineRule="auto"/>
              <w:jc w:val="center"/>
              <w:rPr>
                <w:rFonts w:eastAsia="Times New Roman" w:cs="Times New Roman"/>
                <w:noProof/>
              </w:rPr>
            </w:pPr>
            <w:r>
              <w:rPr>
                <w:noProof/>
              </w:rPr>
              <w:t>Mijlpaal/Doelstelling</w:t>
            </w:r>
          </w:p>
        </w:tc>
        <w:tc>
          <w:tcPr>
            <w:tcW w:w="3927" w:type="dxa"/>
            <w:tcBorders>
              <w:top w:val="single" w:sz="6" w:space="0" w:color="auto"/>
              <w:left w:val="single" w:sz="6" w:space="0" w:color="auto"/>
              <w:bottom w:val="single" w:sz="6" w:space="0" w:color="auto"/>
              <w:right w:val="single" w:sz="6" w:space="0" w:color="auto"/>
            </w:tcBorders>
            <w:shd w:val="clear" w:color="auto" w:fill="BDD6EE"/>
            <w:vAlign w:val="center"/>
          </w:tcPr>
          <w:p w14:paraId="524A4190" w14:textId="77777777" w:rsidR="00480F1C" w:rsidRDefault="00A201F6">
            <w:pPr>
              <w:pStyle w:val="P68B1DB1-Normal42"/>
              <w:spacing w:line="240" w:lineRule="auto"/>
              <w:jc w:val="center"/>
              <w:rPr>
                <w:rFonts w:eastAsia="Times New Roman" w:cs="Times New Roman"/>
                <w:noProof/>
              </w:rPr>
            </w:pPr>
            <w:r>
              <w:rPr>
                <w:noProof/>
              </w:rPr>
              <w:t>Naam</w:t>
            </w:r>
          </w:p>
        </w:tc>
      </w:tr>
      <w:tr w:rsidR="00480F1C" w14:paraId="31CC16F4"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0B6E2E5" w14:textId="77777777" w:rsidR="00480F1C" w:rsidRDefault="00A201F6">
            <w:pPr>
              <w:pStyle w:val="P68B1DB1-Normal46"/>
              <w:spacing w:line="240" w:lineRule="auto"/>
              <w:jc w:val="center"/>
              <w:rPr>
                <w:rFonts w:eastAsia="Times New Roman" w:cs="Times New Roman"/>
                <w:noProof/>
              </w:rPr>
            </w:pPr>
            <w:r>
              <w:rPr>
                <w:noProof/>
              </w:rPr>
              <w:t>B3L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32B2078" w14:textId="77777777" w:rsidR="00480F1C" w:rsidRDefault="00A201F6">
            <w:pPr>
              <w:pStyle w:val="P68B1DB1-Normal46"/>
              <w:spacing w:line="240" w:lineRule="auto"/>
              <w:rPr>
                <w:rFonts w:eastAsia="Times New Roman" w:cs="Times New Roman"/>
                <w:noProof/>
              </w:rPr>
            </w:pPr>
            <w:r>
              <w:rPr>
                <w:noProof/>
              </w:rPr>
              <w:t>B1.2.1 Energie-efficiëntie en hernieuwbare energiebronnen in bedrijven — investeringen met het grootste potentieel voor broeikasgasemissiereductie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88954B1"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782D903" w14:textId="77777777" w:rsidR="00480F1C" w:rsidRDefault="00A201F6">
            <w:pPr>
              <w:pStyle w:val="P68B1DB1-Normal46"/>
              <w:spacing w:line="240" w:lineRule="auto"/>
              <w:rPr>
                <w:rFonts w:eastAsia="Times New Roman" w:cs="Times New Roman"/>
                <w:noProof/>
              </w:rPr>
            </w:pPr>
            <w:r>
              <w:rPr>
                <w:noProof/>
              </w:rPr>
              <w:t>Gunning van alle contracten voor de tenuitvoerlegging van energie-efficiëntie en hernieuwbare energiebronnen in ondernemingen</w:t>
            </w:r>
          </w:p>
        </w:tc>
      </w:tr>
      <w:tr w:rsidR="00480F1C" w14:paraId="611A9211"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D995C1D" w14:textId="77777777" w:rsidR="00480F1C" w:rsidRDefault="00A201F6">
            <w:pPr>
              <w:pStyle w:val="P68B1DB1-Normal46"/>
              <w:spacing w:line="240" w:lineRule="auto"/>
              <w:jc w:val="center"/>
              <w:rPr>
                <w:rFonts w:eastAsia="Times New Roman" w:cs="Times New Roman"/>
                <w:noProof/>
              </w:rPr>
            </w:pPr>
            <w:r>
              <w:rPr>
                <w:noProof/>
              </w:rPr>
              <w:t>B6L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F6FBDB1" w14:textId="77777777" w:rsidR="00480F1C" w:rsidRDefault="00A201F6">
            <w:pPr>
              <w:pStyle w:val="P68B1DB1-Normal46"/>
              <w:spacing w:line="240" w:lineRule="auto"/>
              <w:rPr>
                <w:rFonts w:eastAsia="Times New Roman" w:cs="Times New Roman"/>
                <w:noProof/>
              </w:rPr>
            </w:pPr>
            <w:r>
              <w:rPr>
                <w:noProof/>
              </w:rPr>
              <w:t xml:space="preserve">B2.3 Steun voor investeringen in windmolenparken op zee </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CCD248F"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5008C7D" w14:textId="77777777" w:rsidR="00480F1C" w:rsidRDefault="00A201F6">
            <w:pPr>
              <w:pStyle w:val="P68B1DB1-Normal46"/>
              <w:spacing w:line="240" w:lineRule="auto"/>
              <w:rPr>
                <w:rFonts w:eastAsia="Times New Roman" w:cs="Times New Roman"/>
                <w:noProof/>
              </w:rPr>
            </w:pPr>
            <w:r>
              <w:rPr>
                <w:noProof/>
              </w:rPr>
              <w:t>Inwerkingtreding van een wijziging van de verordening betreffende de gedetailleerde voorwaarden voor de werking van het elektriciteitssysteem, waarbij de nationale balanceringsregels worden gewijzigd om het effect van de toewijzingsbeperkingen zoveel mogelijk te beperken</w:t>
            </w:r>
          </w:p>
        </w:tc>
      </w:tr>
      <w:tr w:rsidR="00480F1C" w14:paraId="46784647"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3627D47" w14:textId="77777777" w:rsidR="00480F1C" w:rsidRDefault="00A201F6">
            <w:pPr>
              <w:pStyle w:val="P68B1DB1-Normal46"/>
              <w:spacing w:line="240" w:lineRule="auto"/>
              <w:jc w:val="center"/>
              <w:rPr>
                <w:rFonts w:eastAsia="Times New Roman" w:cs="Times New Roman"/>
                <w:noProof/>
              </w:rPr>
            </w:pPr>
            <w:r>
              <w:rPr>
                <w:noProof/>
              </w:rPr>
              <w:t>B24L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46CE43D" w14:textId="77777777" w:rsidR="00480F1C" w:rsidRDefault="00A201F6">
            <w:pPr>
              <w:pStyle w:val="P68B1DB1-Normal46"/>
              <w:spacing w:line="240" w:lineRule="auto"/>
              <w:rPr>
                <w:rFonts w:eastAsia="Times New Roman" w:cs="Times New Roman"/>
                <w:noProof/>
              </w:rPr>
            </w:pPr>
            <w:r>
              <w:rPr>
                <w:noProof/>
              </w:rPr>
              <w:t>B3.4 Kader voor investeringen in de groene transitie in stedelijke gebieden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07CAAA9"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9ABFF92" w14:textId="77777777" w:rsidR="00480F1C" w:rsidRDefault="00A201F6">
            <w:pPr>
              <w:pStyle w:val="P68B1DB1-Normal46"/>
              <w:spacing w:line="240" w:lineRule="auto"/>
              <w:rPr>
                <w:rFonts w:eastAsia="Times New Roman" w:cs="Times New Roman"/>
                <w:noProof/>
              </w:rPr>
            </w:pPr>
            <w:r>
              <w:rPr>
                <w:noProof/>
              </w:rPr>
              <w:t>Inwerkingtreding van een wet inzake duurzame stedelijke ontwikkeling met doelstellingen, richtsnoeren, uitvoeringsregels en coördinatiemechanismen voor de groene transformatie van steden</w:t>
            </w:r>
          </w:p>
        </w:tc>
      </w:tr>
      <w:tr w:rsidR="00480F1C" w14:paraId="59D5C6C6"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F2CDB27" w14:textId="77777777" w:rsidR="00480F1C" w:rsidRDefault="00A201F6">
            <w:pPr>
              <w:pStyle w:val="P68B1DB1-Normal46"/>
              <w:spacing w:line="240" w:lineRule="auto"/>
              <w:jc w:val="center"/>
              <w:rPr>
                <w:noProof/>
              </w:rPr>
            </w:pPr>
            <w:r>
              <w:rPr>
                <w:noProof/>
              </w:rPr>
              <w:t>B38L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6E013FA" w14:textId="77777777" w:rsidR="00480F1C" w:rsidRDefault="00A201F6">
            <w:pPr>
              <w:pStyle w:val="P68B1DB1-Normal46"/>
              <w:spacing w:line="240" w:lineRule="auto"/>
              <w:rPr>
                <w:noProof/>
              </w:rPr>
            </w:pPr>
            <w:r>
              <w:rPr>
                <w:noProof/>
              </w:rPr>
              <w:t>B2.2 Verbetering van de voorwaarden voor de ontwikkeling van hernieuwbare energiebronnen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D6B2920" w14:textId="77777777" w:rsidR="00480F1C" w:rsidRDefault="00A201F6">
            <w:pPr>
              <w:pStyle w:val="P68B1DB1-Normal46"/>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3157928" w14:textId="77777777" w:rsidR="00480F1C" w:rsidRDefault="00A201F6">
            <w:pPr>
              <w:pStyle w:val="P68B1DB1-Normal46"/>
              <w:spacing w:line="240" w:lineRule="auto"/>
              <w:rPr>
                <w:noProof/>
              </w:rPr>
            </w:pPr>
            <w:r>
              <w:rPr>
                <w:noProof/>
              </w:rPr>
              <w:t>T4 — Ingestookte capaciteit van onshore-wind- en fotovoltaïsche installaties (in GW)</w:t>
            </w:r>
          </w:p>
        </w:tc>
      </w:tr>
      <w:tr w:rsidR="00480F1C" w14:paraId="4BCE4414"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9379290" w14:textId="77777777" w:rsidR="00480F1C" w:rsidRDefault="00A201F6">
            <w:pPr>
              <w:pStyle w:val="P68B1DB1-Normal46"/>
              <w:spacing w:line="240" w:lineRule="auto"/>
              <w:jc w:val="center"/>
              <w:rPr>
                <w:rFonts w:eastAsia="Times New Roman" w:cs="Times New Roman"/>
                <w:noProof/>
              </w:rPr>
            </w:pPr>
            <w:r>
              <w:rPr>
                <w:noProof/>
              </w:rPr>
              <w:t>C3L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3FE8915" w14:textId="77777777" w:rsidR="00480F1C" w:rsidRDefault="00A201F6">
            <w:pPr>
              <w:pStyle w:val="P68B1DB1-Normal46"/>
              <w:spacing w:line="240" w:lineRule="auto"/>
              <w:rPr>
                <w:rFonts w:eastAsia="Times New Roman" w:cs="Times New Roman"/>
                <w:noProof/>
              </w:rPr>
            </w:pPr>
            <w:r>
              <w:rPr>
                <w:noProof/>
              </w:rPr>
              <w:t>C1.2 Verbetering van de toegankelijkheid en het gebruik van moderne draadloze en bedrade communicatie voor sociale en economische behoeften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6DDE4B0"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99B09A7" w14:textId="77777777" w:rsidR="00480F1C" w:rsidRDefault="00A201F6">
            <w:pPr>
              <w:pStyle w:val="P68B1DB1-Normal46"/>
              <w:spacing w:line="240" w:lineRule="auto"/>
              <w:rPr>
                <w:rFonts w:eastAsia="Times New Roman" w:cs="Times New Roman"/>
                <w:noProof/>
              </w:rPr>
            </w:pPr>
            <w:r>
              <w:rPr>
                <w:noProof/>
              </w:rPr>
              <w:t>Nieuwe rechtshandeling om belemmeringen voor de uitvoering van het 5G-netwerk door verticale industrieën weg te nemen</w:t>
            </w:r>
          </w:p>
        </w:tc>
      </w:tr>
      <w:tr w:rsidR="00480F1C" w14:paraId="58B79F8D"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3168935" w14:textId="77777777" w:rsidR="00480F1C" w:rsidRDefault="00A201F6">
            <w:pPr>
              <w:pStyle w:val="P68B1DB1-Normal46"/>
              <w:spacing w:line="240" w:lineRule="auto"/>
              <w:jc w:val="center"/>
              <w:rPr>
                <w:rFonts w:eastAsia="Times New Roman" w:cs="Times New Roman"/>
                <w:noProof/>
              </w:rPr>
            </w:pPr>
            <w:r>
              <w:rPr>
                <w:noProof/>
              </w:rPr>
              <w:t>D4L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29A9D34" w14:textId="77777777" w:rsidR="00480F1C" w:rsidRDefault="00A201F6">
            <w:pPr>
              <w:pStyle w:val="P68B1DB1-Normal46"/>
              <w:spacing w:line="240" w:lineRule="auto"/>
              <w:rPr>
                <w:rFonts w:eastAsia="Times New Roman" w:cs="Times New Roman"/>
                <w:noProof/>
              </w:rPr>
            </w:pPr>
            <w:r>
              <w:rPr>
                <w:noProof/>
              </w:rPr>
              <w:t>D1.2.1 Ontwikkeling van langdurige zorg door modernisering van de infrastructuur van medische entiteiten op districtsniveau</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08DC3C3"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99BCA96" w14:textId="77777777" w:rsidR="00480F1C" w:rsidRDefault="00A201F6">
            <w:pPr>
              <w:pStyle w:val="P68B1DB1-Normal46"/>
              <w:spacing w:line="240" w:lineRule="auto"/>
              <w:rPr>
                <w:rFonts w:eastAsia="Times New Roman" w:cs="Times New Roman"/>
                <w:noProof/>
              </w:rPr>
            </w:pPr>
            <w:r>
              <w:rPr>
                <w:noProof/>
              </w:rPr>
              <w:t>Ondertekende contracten tussen districtsziekenhuizen en het ministerie van Volksgezondheid (of een andere door het ministerie aangewezen instelling) voor investeringssteun bij de oprichting van eenheden/centra voor langdurige zorg en geriatrische zorg</w:t>
            </w:r>
          </w:p>
        </w:tc>
      </w:tr>
      <w:tr w:rsidR="00480F1C" w14:paraId="72ACBA36"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770D3DE" w14:textId="77777777" w:rsidR="00480F1C" w:rsidRDefault="00A201F6">
            <w:pPr>
              <w:pStyle w:val="P68B1DB1-Normal46"/>
              <w:spacing w:line="240" w:lineRule="auto"/>
              <w:jc w:val="center"/>
              <w:rPr>
                <w:rFonts w:eastAsia="Times New Roman" w:cs="Times New Roman"/>
                <w:noProof/>
              </w:rPr>
            </w:pPr>
            <w:r>
              <w:rPr>
                <w:noProof/>
              </w:rPr>
              <w:t>D7L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E7CB7D9" w14:textId="77777777" w:rsidR="00480F1C" w:rsidRDefault="00A201F6">
            <w:pPr>
              <w:pStyle w:val="P68B1DB1-Normal46"/>
              <w:spacing w:line="240" w:lineRule="auto"/>
              <w:rPr>
                <w:rFonts w:eastAsia="Times New Roman" w:cs="Times New Roman"/>
                <w:noProof/>
              </w:rPr>
            </w:pPr>
            <w:r>
              <w:rPr>
                <w:noProof/>
              </w:rPr>
              <w:t>D3.2.1 Ontwikkeling van het potentieel van de sector geneesmiddelen en medische hulpmiddelen — investeringen in verband met de productie van werkzame farmaceutische bestanddelen in Polen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1A5F59E"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6CC9CEC" w14:textId="77777777" w:rsidR="00480F1C" w:rsidRDefault="00A201F6">
            <w:pPr>
              <w:pStyle w:val="P68B1DB1-Normal46"/>
              <w:spacing w:line="240" w:lineRule="auto"/>
              <w:rPr>
                <w:rFonts w:eastAsia="Times New Roman" w:cs="Times New Roman"/>
                <w:noProof/>
              </w:rPr>
            </w:pPr>
            <w:r>
              <w:rPr>
                <w:noProof/>
              </w:rPr>
              <w:t>Selectie van te ondersteunen projecten voor API-productie</w:t>
            </w:r>
          </w:p>
        </w:tc>
      </w:tr>
      <w:tr w:rsidR="00480F1C" w14:paraId="698CF43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7709776" w14:textId="77777777" w:rsidR="00480F1C" w:rsidRDefault="00A201F6">
            <w:pPr>
              <w:pStyle w:val="P68B1DB1-Normal46"/>
              <w:spacing w:line="240" w:lineRule="auto"/>
              <w:jc w:val="center"/>
              <w:rPr>
                <w:rFonts w:eastAsia="Times New Roman" w:cs="Times New Roman"/>
                <w:noProof/>
              </w:rPr>
            </w:pPr>
            <w:r>
              <w:rPr>
                <w:noProof/>
              </w:rPr>
              <w:t>D8L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56F6ECB" w14:textId="77777777" w:rsidR="00480F1C" w:rsidRDefault="00A201F6">
            <w:pPr>
              <w:pStyle w:val="P68B1DB1-Normal46"/>
              <w:spacing w:line="240" w:lineRule="auto"/>
              <w:rPr>
                <w:rFonts w:eastAsia="Times New Roman" w:cs="Times New Roman"/>
                <w:noProof/>
              </w:rPr>
            </w:pPr>
            <w:r>
              <w:rPr>
                <w:noProof/>
              </w:rPr>
              <w:t>D3.2.1 Ontwikkeling van het potentieel van de sector geneesmiddelen en medische hulpmiddelen — investeringen in verband met de productie van werkzame farmaceutische bestanddelen in Polen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EFA5548"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4A6AECE" w14:textId="77777777" w:rsidR="00480F1C" w:rsidRDefault="00A201F6">
            <w:pPr>
              <w:pStyle w:val="P68B1DB1-Normal46"/>
              <w:spacing w:line="240" w:lineRule="auto"/>
              <w:rPr>
                <w:rFonts w:eastAsia="Times New Roman" w:cs="Times New Roman"/>
                <w:noProof/>
              </w:rPr>
            </w:pPr>
            <w:r>
              <w:rPr>
                <w:noProof/>
              </w:rPr>
              <w:t>Aantal ondersteunde kritieke werkzame farmaceutische bestanddelen</w:t>
            </w:r>
          </w:p>
        </w:tc>
      </w:tr>
      <w:tr w:rsidR="00480F1C" w14:paraId="28414E3E" w14:textId="77777777">
        <w:tc>
          <w:tcPr>
            <w:tcW w:w="1350" w:type="dxa"/>
            <w:tcBorders>
              <w:top w:val="single" w:sz="6" w:space="0" w:color="auto"/>
              <w:left w:val="single" w:sz="6" w:space="0" w:color="auto"/>
              <w:bottom w:val="single" w:sz="6" w:space="0" w:color="auto"/>
              <w:right w:val="single" w:sz="6" w:space="0" w:color="auto"/>
            </w:tcBorders>
            <w:shd w:val="clear" w:color="auto" w:fill="C6EFCE"/>
            <w:vAlign w:val="center"/>
          </w:tcPr>
          <w:p w14:paraId="5F81EAF3" w14:textId="77777777" w:rsidR="00480F1C" w:rsidRDefault="00480F1C">
            <w:pPr>
              <w:spacing w:line="240" w:lineRule="auto"/>
              <w:rPr>
                <w:rFonts w:ascii="Times New Roman" w:eastAsia="Times New Roman" w:hAnsi="Times New Roman" w:cs="Times New Roman"/>
                <w:noProof/>
              </w:rPr>
            </w:pPr>
          </w:p>
        </w:tc>
        <w:tc>
          <w:tcPr>
            <w:tcW w:w="3960" w:type="dxa"/>
            <w:tcBorders>
              <w:top w:val="single" w:sz="6" w:space="0" w:color="auto"/>
              <w:left w:val="single" w:sz="6" w:space="0" w:color="auto"/>
              <w:bottom w:val="single" w:sz="6" w:space="0" w:color="auto"/>
              <w:right w:val="single" w:sz="6" w:space="0" w:color="auto"/>
            </w:tcBorders>
            <w:shd w:val="clear" w:color="auto" w:fill="C6EFCE"/>
            <w:vAlign w:val="center"/>
          </w:tcPr>
          <w:p w14:paraId="161F479E"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vAlign w:val="center"/>
          </w:tcPr>
          <w:p w14:paraId="490B3BFC" w14:textId="77777777" w:rsidR="00480F1C" w:rsidRDefault="00A201F6">
            <w:pPr>
              <w:pStyle w:val="P68B1DB1-Normal46"/>
              <w:spacing w:line="240" w:lineRule="auto"/>
              <w:rPr>
                <w:rFonts w:eastAsia="Times New Roman" w:cs="Times New Roman"/>
                <w:noProof/>
              </w:rPr>
            </w:pPr>
            <w:r>
              <w:rPr>
                <w:noProof/>
              </w:rPr>
              <w:t>Termijnbedrag</w:t>
            </w:r>
          </w:p>
        </w:tc>
        <w:tc>
          <w:tcPr>
            <w:tcW w:w="3927" w:type="dxa"/>
            <w:tcBorders>
              <w:top w:val="single" w:sz="6" w:space="0" w:color="auto"/>
              <w:left w:val="single" w:sz="6" w:space="0" w:color="auto"/>
              <w:bottom w:val="single" w:sz="6" w:space="0" w:color="auto"/>
              <w:right w:val="single" w:sz="6" w:space="0" w:color="auto"/>
            </w:tcBorders>
            <w:shd w:val="clear" w:color="auto" w:fill="C6EFCE"/>
            <w:vAlign w:val="center"/>
          </w:tcPr>
          <w:p w14:paraId="4F09063E" w14:textId="77777777" w:rsidR="00480F1C" w:rsidRDefault="00A201F6">
            <w:pPr>
              <w:pStyle w:val="P68B1DB1-Normal46"/>
              <w:spacing w:line="240" w:lineRule="auto"/>
              <w:rPr>
                <w:rFonts w:eastAsia="Times New Roman" w:cs="Times New Roman"/>
                <w:noProof/>
              </w:rPr>
            </w:pPr>
            <w:r>
              <w:rPr>
                <w:noProof/>
              </w:rPr>
              <w:t xml:space="preserve">EUR 3 176 461 320 </w:t>
            </w:r>
          </w:p>
        </w:tc>
      </w:tr>
    </w:tbl>
    <w:p w14:paraId="6C637291" w14:textId="77777777" w:rsidR="00480F1C" w:rsidRDefault="00480F1C">
      <w:pPr>
        <w:spacing w:before="120" w:after="120" w:line="240" w:lineRule="auto"/>
        <w:rPr>
          <w:rFonts w:ascii="Times New Roman" w:eastAsia="Times New Roman" w:hAnsi="Times New Roman" w:cs="Times New Roman"/>
          <w:noProof/>
          <w:color w:val="000000" w:themeColor="text1"/>
        </w:rPr>
      </w:pPr>
    </w:p>
    <w:p w14:paraId="3E2F20E8" w14:textId="77777777" w:rsidR="00480F1C" w:rsidRDefault="00A201F6">
      <w:pPr>
        <w:pStyle w:val="P68B1DB1-Normal45"/>
        <w:spacing w:before="120" w:after="120" w:line="240" w:lineRule="auto"/>
        <w:rPr>
          <w:rFonts w:eastAsia="Times New Roman" w:cs="Times New Roman"/>
          <w:noProof/>
        </w:rPr>
      </w:pPr>
      <w:r>
        <w:rPr>
          <w:noProof/>
        </w:rPr>
        <w:t>2.2.5. Vijfde tranche (steun via leningen):</w:t>
      </w:r>
    </w:p>
    <w:tbl>
      <w:tblPr>
        <w:tblW w:w="10482" w:type="dxa"/>
        <w:tblLayout w:type="fixed"/>
        <w:tblLook w:val="04A0" w:firstRow="1" w:lastRow="0" w:firstColumn="1" w:lastColumn="0" w:noHBand="0" w:noVBand="1"/>
      </w:tblPr>
      <w:tblGrid>
        <w:gridCol w:w="1350"/>
        <w:gridCol w:w="3960"/>
        <w:gridCol w:w="1245"/>
        <w:gridCol w:w="3927"/>
      </w:tblGrid>
      <w:tr w:rsidR="00480F1C" w14:paraId="501A2A01" w14:textId="77777777">
        <w:trPr>
          <w:trHeight w:val="769"/>
          <w:tblHeader/>
        </w:trPr>
        <w:tc>
          <w:tcPr>
            <w:tcW w:w="1350" w:type="dxa"/>
            <w:tcBorders>
              <w:top w:val="single" w:sz="6" w:space="0" w:color="auto"/>
              <w:left w:val="single" w:sz="6" w:space="0" w:color="auto"/>
              <w:bottom w:val="single" w:sz="6" w:space="0" w:color="auto"/>
              <w:right w:val="single" w:sz="6" w:space="0" w:color="auto"/>
            </w:tcBorders>
            <w:shd w:val="clear" w:color="auto" w:fill="BDD6EE"/>
            <w:vAlign w:val="center"/>
          </w:tcPr>
          <w:p w14:paraId="310E446A" w14:textId="77777777" w:rsidR="00480F1C" w:rsidRDefault="00A201F6">
            <w:pPr>
              <w:pStyle w:val="P68B1DB1-Normal42"/>
              <w:spacing w:line="240" w:lineRule="auto"/>
              <w:jc w:val="center"/>
              <w:rPr>
                <w:rFonts w:eastAsia="Times New Roman" w:cs="Times New Roman"/>
                <w:noProof/>
              </w:rPr>
            </w:pPr>
            <w:r>
              <w:rPr>
                <w:noProof/>
              </w:rPr>
              <w:t>Volgnummer</w:t>
            </w:r>
          </w:p>
        </w:tc>
        <w:tc>
          <w:tcPr>
            <w:tcW w:w="3960" w:type="dxa"/>
            <w:tcBorders>
              <w:top w:val="single" w:sz="6" w:space="0" w:color="auto"/>
              <w:left w:val="single" w:sz="6" w:space="0" w:color="auto"/>
              <w:bottom w:val="single" w:sz="6" w:space="0" w:color="auto"/>
              <w:right w:val="single" w:sz="6" w:space="0" w:color="auto"/>
            </w:tcBorders>
            <w:shd w:val="clear" w:color="auto" w:fill="BDD6EE"/>
            <w:vAlign w:val="center"/>
          </w:tcPr>
          <w:p w14:paraId="0B637213" w14:textId="77777777" w:rsidR="00480F1C" w:rsidRDefault="00A201F6">
            <w:pPr>
              <w:pStyle w:val="P68B1DB1-Normal42"/>
              <w:spacing w:line="240" w:lineRule="auto"/>
              <w:jc w:val="center"/>
              <w:rPr>
                <w:rFonts w:eastAsia="Times New Roman" w:cs="Times New Roman"/>
                <w:noProof/>
              </w:rPr>
            </w:pPr>
            <w:r>
              <w:rPr>
                <w:noProof/>
              </w:rPr>
              <w:t>Gerelateerde maatregel (hervorming of investering)</w:t>
            </w:r>
          </w:p>
        </w:tc>
        <w:tc>
          <w:tcPr>
            <w:tcW w:w="1245" w:type="dxa"/>
            <w:tcBorders>
              <w:top w:val="single" w:sz="6" w:space="0" w:color="auto"/>
              <w:left w:val="single" w:sz="6" w:space="0" w:color="auto"/>
              <w:bottom w:val="single" w:sz="6" w:space="0" w:color="auto"/>
              <w:right w:val="single" w:sz="6" w:space="0" w:color="auto"/>
            </w:tcBorders>
            <w:shd w:val="clear" w:color="auto" w:fill="BDD6EE"/>
            <w:vAlign w:val="center"/>
          </w:tcPr>
          <w:p w14:paraId="011BF509" w14:textId="77777777" w:rsidR="00480F1C" w:rsidRDefault="00A201F6">
            <w:pPr>
              <w:pStyle w:val="P68B1DB1-Normal42"/>
              <w:spacing w:line="240" w:lineRule="auto"/>
              <w:jc w:val="center"/>
              <w:rPr>
                <w:rFonts w:eastAsia="Times New Roman" w:cs="Times New Roman"/>
                <w:noProof/>
              </w:rPr>
            </w:pPr>
            <w:r>
              <w:rPr>
                <w:noProof/>
              </w:rPr>
              <w:t>Mijlpaal/Doelstelling</w:t>
            </w:r>
          </w:p>
        </w:tc>
        <w:tc>
          <w:tcPr>
            <w:tcW w:w="3927" w:type="dxa"/>
            <w:tcBorders>
              <w:top w:val="single" w:sz="6" w:space="0" w:color="auto"/>
              <w:left w:val="single" w:sz="6" w:space="0" w:color="auto"/>
              <w:bottom w:val="single" w:sz="6" w:space="0" w:color="auto"/>
              <w:right w:val="single" w:sz="6" w:space="0" w:color="auto"/>
            </w:tcBorders>
            <w:shd w:val="clear" w:color="auto" w:fill="BDD6EE"/>
            <w:vAlign w:val="center"/>
          </w:tcPr>
          <w:p w14:paraId="2893FB3D" w14:textId="77777777" w:rsidR="00480F1C" w:rsidRDefault="00A201F6">
            <w:pPr>
              <w:pStyle w:val="P68B1DB1-Normal42"/>
              <w:spacing w:line="240" w:lineRule="auto"/>
              <w:jc w:val="center"/>
              <w:rPr>
                <w:rFonts w:eastAsia="Times New Roman" w:cs="Times New Roman"/>
                <w:noProof/>
              </w:rPr>
            </w:pPr>
            <w:r>
              <w:rPr>
                <w:noProof/>
              </w:rPr>
              <w:t>Naam</w:t>
            </w:r>
          </w:p>
        </w:tc>
      </w:tr>
      <w:tr w:rsidR="00480F1C" w14:paraId="3C7424C9"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6CA3B59" w14:textId="77777777" w:rsidR="00480F1C" w:rsidRDefault="00A201F6">
            <w:pPr>
              <w:pStyle w:val="P68B1DB1-Normal46"/>
              <w:spacing w:line="240" w:lineRule="auto"/>
              <w:jc w:val="center"/>
              <w:rPr>
                <w:rFonts w:eastAsia="Times New Roman" w:cs="Times New Roman"/>
                <w:noProof/>
              </w:rPr>
            </w:pPr>
            <w:r>
              <w:rPr>
                <w:noProof/>
              </w:rPr>
              <w:t>B4L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753925B" w14:textId="77777777" w:rsidR="00480F1C" w:rsidRDefault="00A201F6">
            <w:pPr>
              <w:pStyle w:val="P68B1DB1-Normal46"/>
              <w:spacing w:line="240" w:lineRule="auto"/>
              <w:rPr>
                <w:rFonts w:eastAsia="Times New Roman" w:cs="Times New Roman"/>
                <w:noProof/>
              </w:rPr>
            </w:pPr>
            <w:r>
              <w:rPr>
                <w:noProof/>
              </w:rPr>
              <w:t>B2.3 Steun voor investeringen in windmolenparken op zee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C22A2C6"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7CB471E" w14:textId="77777777" w:rsidR="00480F1C" w:rsidRDefault="00A201F6">
            <w:pPr>
              <w:pStyle w:val="P68B1DB1-Normal46"/>
              <w:spacing w:line="240" w:lineRule="auto"/>
              <w:rPr>
                <w:rFonts w:eastAsia="Times New Roman" w:cs="Times New Roman"/>
                <w:noProof/>
              </w:rPr>
            </w:pPr>
            <w:r>
              <w:rPr>
                <w:noProof/>
              </w:rPr>
              <w:t>Inwerkingtreding van uitvoeringsverordeningen naar aanleiding van de Wet bevordering elektriciteitsopwekking offshore windmolenparken</w:t>
            </w:r>
          </w:p>
        </w:tc>
      </w:tr>
      <w:tr w:rsidR="00480F1C" w14:paraId="5C333F68" w14:textId="77777777">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4EB41985" w14:textId="77777777" w:rsidR="00480F1C" w:rsidRDefault="00A201F6">
            <w:pPr>
              <w:pStyle w:val="P68B1DB1-Normal46"/>
              <w:spacing w:line="240" w:lineRule="auto"/>
              <w:jc w:val="center"/>
              <w:rPr>
                <w:noProof/>
              </w:rPr>
            </w:pPr>
            <w:r>
              <w:rPr>
                <w:noProof/>
              </w:rPr>
              <w:t>C15L</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E43EFBC" w14:textId="77777777" w:rsidR="00480F1C" w:rsidRDefault="00A201F6">
            <w:pPr>
              <w:pStyle w:val="P68B1DB1-Normal45"/>
              <w:spacing w:line="240" w:lineRule="auto"/>
              <w:rPr>
                <w:noProof/>
              </w:rPr>
            </w:pPr>
            <w:r>
              <w:rPr>
                <w:noProof/>
              </w:rPr>
              <w:t xml:space="preserve">C4.1.1 Ondersteuning van de digitale transformatie van bedrijven door het gebruik van cloud computing  </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F50F921" w14:textId="77777777" w:rsidR="00480F1C" w:rsidRDefault="00A201F6">
            <w:pPr>
              <w:pStyle w:val="P68B1DB1-Normal45"/>
              <w:spacing w:line="240" w:lineRule="auto"/>
              <w:jc w:val="center"/>
              <w:rPr>
                <w:noProof/>
              </w:rPr>
            </w:pPr>
            <w:r>
              <w:rPr>
                <w:noProof/>
              </w:rPr>
              <w:t>Mijlpaal</w:t>
            </w:r>
          </w:p>
        </w:tc>
        <w:tc>
          <w:tcPr>
            <w:tcW w:w="39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0724E51" w14:textId="77777777" w:rsidR="00480F1C" w:rsidRDefault="00A201F6">
            <w:pPr>
              <w:pStyle w:val="P68B1DB1-Normal45"/>
              <w:spacing w:line="240" w:lineRule="auto"/>
              <w:rPr>
                <w:noProof/>
              </w:rPr>
            </w:pPr>
            <w:r>
              <w:rPr>
                <w:noProof/>
              </w:rPr>
              <w:t xml:space="preserve">Gids voor de digitale transformatie van ondernemers die cloudcomputing gebruiken  </w:t>
            </w:r>
          </w:p>
        </w:tc>
      </w:tr>
      <w:tr w:rsidR="00480F1C" w14:paraId="589CEAD8" w14:textId="77777777">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5146BA6" w14:textId="77777777" w:rsidR="00480F1C" w:rsidRDefault="00A201F6">
            <w:pPr>
              <w:pStyle w:val="P68B1DB1-Normal46"/>
              <w:spacing w:line="240" w:lineRule="auto"/>
              <w:jc w:val="center"/>
              <w:rPr>
                <w:noProof/>
              </w:rPr>
            </w:pPr>
            <w:r>
              <w:rPr>
                <w:noProof/>
              </w:rPr>
              <w:t>C16L</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6B72843D" w14:textId="77777777" w:rsidR="00480F1C" w:rsidRDefault="00A201F6">
            <w:pPr>
              <w:pStyle w:val="P68B1DB1-Normal45"/>
              <w:spacing w:line="240" w:lineRule="auto"/>
              <w:rPr>
                <w:noProof/>
              </w:rPr>
            </w:pPr>
            <w:r>
              <w:rPr>
                <w:noProof/>
              </w:rPr>
              <w:t xml:space="preserve">C4.1.1 Ondersteuning van de digitale transformatie van bedrijven door het gebruik van cloud computing </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2347F632" w14:textId="77777777" w:rsidR="00480F1C" w:rsidRDefault="00A201F6">
            <w:pPr>
              <w:pStyle w:val="P68B1DB1-Normal45"/>
              <w:spacing w:line="240" w:lineRule="auto"/>
              <w:jc w:val="center"/>
              <w:rPr>
                <w:noProof/>
              </w:rPr>
            </w:pPr>
            <w:r>
              <w:rPr>
                <w:noProof/>
              </w:rPr>
              <w:t>Mijlpaal</w:t>
            </w:r>
          </w:p>
        </w:tc>
        <w:tc>
          <w:tcPr>
            <w:tcW w:w="39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ABCB482" w14:textId="77777777" w:rsidR="00480F1C" w:rsidRDefault="00A201F6">
            <w:pPr>
              <w:pStyle w:val="P68B1DB1-Normal026"/>
              <w:spacing w:after="0" w:line="240" w:lineRule="auto"/>
              <w:rPr>
                <w:noProof/>
              </w:rPr>
            </w:pPr>
            <w:r>
              <w:rPr>
                <w:noProof/>
              </w:rPr>
              <w:t>Uitwerkingsovereenkomst</w:t>
            </w:r>
          </w:p>
          <w:p w14:paraId="5465989F" w14:textId="77777777" w:rsidR="00480F1C" w:rsidRDefault="00480F1C">
            <w:pPr>
              <w:spacing w:line="240" w:lineRule="auto"/>
              <w:rPr>
                <w:rFonts w:ascii="Times New Roman" w:hAnsi="Times New Roman"/>
                <w:noProof/>
              </w:rPr>
            </w:pPr>
          </w:p>
        </w:tc>
      </w:tr>
      <w:tr w:rsidR="00480F1C" w14:paraId="13DBE80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6EA4D91" w14:textId="77777777" w:rsidR="00480F1C" w:rsidRDefault="00A201F6">
            <w:pPr>
              <w:pStyle w:val="P68B1DB1-Normal46"/>
              <w:spacing w:line="240" w:lineRule="auto"/>
              <w:jc w:val="center"/>
              <w:rPr>
                <w:rFonts w:eastAsia="Times New Roman" w:cs="Times New Roman"/>
                <w:noProof/>
              </w:rPr>
            </w:pPr>
            <w:r>
              <w:rPr>
                <w:noProof/>
              </w:rPr>
              <w:t>E1L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5AE7923" w14:textId="77777777" w:rsidR="00480F1C" w:rsidRDefault="00A201F6">
            <w:pPr>
              <w:pStyle w:val="P68B1DB1-Normal46"/>
              <w:spacing w:line="240" w:lineRule="auto"/>
              <w:rPr>
                <w:rFonts w:eastAsia="Times New Roman" w:cs="Times New Roman"/>
                <w:noProof/>
              </w:rPr>
            </w:pPr>
            <w:r>
              <w:rPr>
                <w:noProof/>
              </w:rPr>
              <w:t>E1.2 Verhoging van het aandeel emissievrij en emissiearm vervoer, preventie en vermindering van de negatieve gevolgen van vervoer voor het milieu</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169F5CE"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9079B41" w14:textId="77777777" w:rsidR="00480F1C" w:rsidRDefault="00A201F6">
            <w:pPr>
              <w:pStyle w:val="P68B1DB1-Normal46"/>
              <w:spacing w:line="240" w:lineRule="auto"/>
              <w:rPr>
                <w:rFonts w:eastAsia="Times New Roman" w:cs="Times New Roman"/>
                <w:noProof/>
              </w:rPr>
            </w:pPr>
            <w:r>
              <w:rPr>
                <w:noProof/>
              </w:rPr>
              <w:t>Inwerkingtreding van een rechtshandeling waarbij lage-emissiezones verplicht worden gesteld voor geselecteerde, meest vervuilde steden</w:t>
            </w:r>
          </w:p>
        </w:tc>
      </w:tr>
      <w:tr w:rsidR="00480F1C" w14:paraId="28D01CC7"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6612A8F" w14:textId="77777777" w:rsidR="00480F1C" w:rsidRDefault="00A201F6">
            <w:pPr>
              <w:pStyle w:val="P68B1DB1-Normal46"/>
              <w:spacing w:line="240" w:lineRule="auto"/>
              <w:jc w:val="center"/>
              <w:rPr>
                <w:rFonts w:eastAsia="Times New Roman" w:cs="Times New Roman"/>
                <w:noProof/>
              </w:rPr>
            </w:pPr>
            <w:r>
              <w:rPr>
                <w:noProof/>
              </w:rPr>
              <w:t>E6L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8AA9DDF" w14:textId="77777777" w:rsidR="00480F1C" w:rsidRDefault="00A201F6">
            <w:pPr>
              <w:pStyle w:val="P68B1DB1-Normal46"/>
              <w:spacing w:line="240" w:lineRule="auto"/>
              <w:rPr>
                <w:rFonts w:eastAsia="Times New Roman" w:cs="Times New Roman"/>
                <w:noProof/>
              </w:rPr>
            </w:pPr>
            <w:r>
              <w:rPr>
                <w:noProof/>
              </w:rPr>
              <w:t>E2.3 Verbetering van de toegankelijkheid, beveiliging en digitale oplossingen van het vervoer</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4773979"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CE4990B" w14:textId="77777777" w:rsidR="00480F1C" w:rsidRDefault="00A201F6">
            <w:pPr>
              <w:pStyle w:val="P68B1DB1-Normal46"/>
              <w:spacing w:line="240" w:lineRule="auto"/>
              <w:rPr>
                <w:rFonts w:eastAsia="Times New Roman" w:cs="Times New Roman"/>
                <w:noProof/>
              </w:rPr>
            </w:pPr>
            <w:r>
              <w:rPr>
                <w:noProof/>
              </w:rPr>
              <w:t>Verplichting om nationaal, internationaal en regionaal rollend materieel aan te passen aan eisen voor reizigers met een handicap</w:t>
            </w:r>
          </w:p>
        </w:tc>
      </w:tr>
      <w:tr w:rsidR="00480F1C" w14:paraId="6F181B34"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2ECD9B4" w14:textId="77777777" w:rsidR="00480F1C" w:rsidRDefault="00A201F6">
            <w:pPr>
              <w:pStyle w:val="P68B1DB1-Normal46"/>
              <w:spacing w:line="240" w:lineRule="auto"/>
              <w:jc w:val="center"/>
              <w:rPr>
                <w:noProof/>
              </w:rPr>
            </w:pPr>
            <w:r>
              <w:rPr>
                <w:noProof/>
              </w:rPr>
              <w:t>G12L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368BF4E" w14:textId="77777777" w:rsidR="00480F1C" w:rsidRDefault="00A201F6">
            <w:pPr>
              <w:pStyle w:val="P68B1DB1-Normal46"/>
              <w:spacing w:line="240" w:lineRule="auto"/>
              <w:rPr>
                <w:noProof/>
              </w:rPr>
            </w:pPr>
            <w:r>
              <w:rPr>
                <w:noProof/>
              </w:rPr>
              <w:t xml:space="preserve">G3.1.4 Steun voor het nationale energiesysteem (Energiesteunfonds) </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4800946"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EF09885" w14:textId="77777777" w:rsidR="00480F1C" w:rsidRDefault="00A201F6">
            <w:pPr>
              <w:pStyle w:val="P68B1DB1-Normal46"/>
              <w:spacing w:line="240" w:lineRule="auto"/>
              <w:rPr>
                <w:noProof/>
              </w:rPr>
            </w:pPr>
            <w:r>
              <w:rPr>
                <w:noProof/>
              </w:rPr>
              <w:t>Uitwerkingsovereenkomst</w:t>
            </w:r>
          </w:p>
        </w:tc>
      </w:tr>
      <w:tr w:rsidR="00480F1C" w14:paraId="35622377"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AD88185" w14:textId="77777777" w:rsidR="00480F1C" w:rsidRDefault="00A201F6">
            <w:pPr>
              <w:pStyle w:val="P68B1DB1-Normal45"/>
              <w:spacing w:line="240" w:lineRule="auto"/>
              <w:jc w:val="center"/>
              <w:rPr>
                <w:noProof/>
              </w:rPr>
            </w:pPr>
            <w:r>
              <w:rPr>
                <w:noProof/>
              </w:rPr>
              <w:t>G20L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EED86E3" w14:textId="77777777" w:rsidR="00480F1C" w:rsidRDefault="00A201F6">
            <w:pPr>
              <w:pStyle w:val="P68B1DB1-Normal45"/>
              <w:spacing w:line="240" w:lineRule="auto"/>
              <w:rPr>
                <w:noProof/>
              </w:rPr>
            </w:pPr>
            <w:r>
              <w:rPr>
                <w:noProof/>
              </w:rPr>
              <w:t xml:space="preserve">G3.2.1 Bouw van aardgasinfrastructuur om energiezekerheid te waarborgen </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95C7573" w14:textId="77777777" w:rsidR="00480F1C" w:rsidRDefault="00A201F6">
            <w:pPr>
              <w:pStyle w:val="P68B1DB1-Normal45"/>
              <w:spacing w:line="240" w:lineRule="auto"/>
              <w:jc w:val="center"/>
              <w:rPr>
                <w:noProof/>
              </w:rPr>
            </w:pPr>
            <w:r>
              <w:rPr>
                <w:noProof/>
              </w:rPr>
              <w:t xml:space="preserve">Mijlpaal </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B12A574" w14:textId="77777777" w:rsidR="00480F1C" w:rsidRDefault="00A201F6">
            <w:pPr>
              <w:pStyle w:val="P68B1DB1-Normal45"/>
              <w:spacing w:line="240" w:lineRule="auto"/>
              <w:rPr>
                <w:noProof/>
              </w:rPr>
            </w:pPr>
            <w:r>
              <w:rPr>
                <w:noProof/>
              </w:rPr>
              <w:t>Afgifte van de bouwvergunningen</w:t>
            </w:r>
          </w:p>
        </w:tc>
      </w:tr>
      <w:tr w:rsidR="00480F1C" w14:paraId="45299C21" w14:textId="77777777">
        <w:tc>
          <w:tcPr>
            <w:tcW w:w="1350" w:type="dxa"/>
            <w:tcBorders>
              <w:top w:val="single" w:sz="6" w:space="0" w:color="auto"/>
              <w:left w:val="single" w:sz="6" w:space="0" w:color="auto"/>
              <w:bottom w:val="single" w:sz="6" w:space="0" w:color="auto"/>
              <w:right w:val="single" w:sz="6" w:space="0" w:color="auto"/>
            </w:tcBorders>
            <w:shd w:val="clear" w:color="auto" w:fill="C6EFCE"/>
            <w:vAlign w:val="center"/>
          </w:tcPr>
          <w:p w14:paraId="10F75B48" w14:textId="77777777" w:rsidR="00480F1C" w:rsidRDefault="00480F1C">
            <w:pPr>
              <w:spacing w:line="240" w:lineRule="auto"/>
              <w:rPr>
                <w:rFonts w:ascii="Times New Roman" w:eastAsia="Times New Roman" w:hAnsi="Times New Roman" w:cs="Times New Roman"/>
                <w:noProof/>
              </w:rPr>
            </w:pPr>
          </w:p>
        </w:tc>
        <w:tc>
          <w:tcPr>
            <w:tcW w:w="3960" w:type="dxa"/>
            <w:tcBorders>
              <w:top w:val="single" w:sz="6" w:space="0" w:color="auto"/>
              <w:left w:val="single" w:sz="6" w:space="0" w:color="auto"/>
              <w:bottom w:val="single" w:sz="6" w:space="0" w:color="auto"/>
              <w:right w:val="single" w:sz="6" w:space="0" w:color="auto"/>
            </w:tcBorders>
            <w:shd w:val="clear" w:color="auto" w:fill="C6EFCE"/>
            <w:vAlign w:val="center"/>
          </w:tcPr>
          <w:p w14:paraId="7C75A4D5"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vAlign w:val="center"/>
          </w:tcPr>
          <w:p w14:paraId="48416AC0" w14:textId="77777777" w:rsidR="00480F1C" w:rsidRDefault="00A201F6">
            <w:pPr>
              <w:pStyle w:val="P68B1DB1-Normal46"/>
              <w:spacing w:line="240" w:lineRule="auto"/>
              <w:rPr>
                <w:rFonts w:eastAsia="Times New Roman" w:cs="Times New Roman"/>
                <w:noProof/>
              </w:rPr>
            </w:pPr>
            <w:r>
              <w:rPr>
                <w:noProof/>
              </w:rPr>
              <w:t>Termijnbedrag</w:t>
            </w:r>
          </w:p>
        </w:tc>
        <w:tc>
          <w:tcPr>
            <w:tcW w:w="3927" w:type="dxa"/>
            <w:tcBorders>
              <w:top w:val="single" w:sz="6" w:space="0" w:color="auto"/>
              <w:left w:val="single" w:sz="6" w:space="0" w:color="auto"/>
              <w:bottom w:val="single" w:sz="6" w:space="0" w:color="auto"/>
              <w:right w:val="single" w:sz="6" w:space="0" w:color="auto"/>
            </w:tcBorders>
            <w:shd w:val="clear" w:color="auto" w:fill="C6EFCE"/>
            <w:vAlign w:val="center"/>
          </w:tcPr>
          <w:p w14:paraId="10A92CD5" w14:textId="77777777" w:rsidR="00480F1C" w:rsidRDefault="00A201F6">
            <w:pPr>
              <w:pStyle w:val="P68B1DB1-Normal46"/>
              <w:spacing w:line="240" w:lineRule="auto"/>
              <w:rPr>
                <w:rFonts w:eastAsia="Times New Roman" w:cs="Times New Roman"/>
                <w:noProof/>
              </w:rPr>
            </w:pPr>
            <w:r>
              <w:rPr>
                <w:noProof/>
              </w:rPr>
              <w:t xml:space="preserve">EUR 4 808 815 201 </w:t>
            </w:r>
          </w:p>
        </w:tc>
      </w:tr>
    </w:tbl>
    <w:p w14:paraId="68577308" w14:textId="77777777" w:rsidR="00480F1C" w:rsidRDefault="00480F1C">
      <w:pPr>
        <w:spacing w:before="120" w:after="120" w:line="240" w:lineRule="auto"/>
        <w:rPr>
          <w:rFonts w:ascii="Times New Roman" w:eastAsia="Times New Roman" w:hAnsi="Times New Roman" w:cs="Times New Roman"/>
          <w:noProof/>
          <w:color w:val="000000" w:themeColor="text1"/>
        </w:rPr>
      </w:pPr>
    </w:p>
    <w:p w14:paraId="7DE4D9F6" w14:textId="77777777" w:rsidR="00480F1C" w:rsidRDefault="00A201F6">
      <w:pPr>
        <w:pStyle w:val="P68B1DB1-Normal45"/>
        <w:spacing w:before="120" w:after="120" w:line="240" w:lineRule="auto"/>
        <w:rPr>
          <w:rFonts w:eastAsia="Times New Roman" w:cs="Times New Roman"/>
          <w:noProof/>
        </w:rPr>
      </w:pPr>
      <w:r>
        <w:rPr>
          <w:noProof/>
        </w:rPr>
        <w:t>2.2.6. Zesde tranche (steun via leningen):</w:t>
      </w:r>
    </w:p>
    <w:tbl>
      <w:tblPr>
        <w:tblW w:w="10482" w:type="dxa"/>
        <w:tblLayout w:type="fixed"/>
        <w:tblLook w:val="04A0" w:firstRow="1" w:lastRow="0" w:firstColumn="1" w:lastColumn="0" w:noHBand="0" w:noVBand="1"/>
      </w:tblPr>
      <w:tblGrid>
        <w:gridCol w:w="1350"/>
        <w:gridCol w:w="3960"/>
        <w:gridCol w:w="1245"/>
        <w:gridCol w:w="3927"/>
      </w:tblGrid>
      <w:tr w:rsidR="00480F1C" w14:paraId="5CFA4244" w14:textId="77777777">
        <w:trPr>
          <w:trHeight w:val="954"/>
          <w:tblHeader/>
        </w:trPr>
        <w:tc>
          <w:tcPr>
            <w:tcW w:w="1350" w:type="dxa"/>
            <w:tcBorders>
              <w:top w:val="single" w:sz="6" w:space="0" w:color="auto"/>
              <w:left w:val="single" w:sz="6" w:space="0" w:color="auto"/>
              <w:bottom w:val="single" w:sz="6" w:space="0" w:color="auto"/>
              <w:right w:val="single" w:sz="6" w:space="0" w:color="auto"/>
            </w:tcBorders>
            <w:shd w:val="clear" w:color="auto" w:fill="BDD6EE"/>
            <w:vAlign w:val="center"/>
          </w:tcPr>
          <w:p w14:paraId="4F8AAD53" w14:textId="77777777" w:rsidR="00480F1C" w:rsidRDefault="00A201F6">
            <w:pPr>
              <w:pStyle w:val="P68B1DB1-Normal42"/>
              <w:spacing w:line="240" w:lineRule="auto"/>
              <w:jc w:val="center"/>
              <w:rPr>
                <w:rFonts w:eastAsia="Times New Roman" w:cs="Times New Roman"/>
                <w:noProof/>
              </w:rPr>
            </w:pPr>
            <w:r>
              <w:rPr>
                <w:noProof/>
              </w:rPr>
              <w:t>Volgnummer</w:t>
            </w:r>
          </w:p>
        </w:tc>
        <w:tc>
          <w:tcPr>
            <w:tcW w:w="3960" w:type="dxa"/>
            <w:tcBorders>
              <w:top w:val="single" w:sz="6" w:space="0" w:color="auto"/>
              <w:left w:val="single" w:sz="6" w:space="0" w:color="auto"/>
              <w:bottom w:val="single" w:sz="6" w:space="0" w:color="auto"/>
              <w:right w:val="single" w:sz="6" w:space="0" w:color="auto"/>
            </w:tcBorders>
            <w:shd w:val="clear" w:color="auto" w:fill="BDD6EE"/>
            <w:vAlign w:val="center"/>
          </w:tcPr>
          <w:p w14:paraId="162825D7" w14:textId="77777777" w:rsidR="00480F1C" w:rsidRDefault="00A201F6">
            <w:pPr>
              <w:pStyle w:val="P68B1DB1-Normal42"/>
              <w:spacing w:line="240" w:lineRule="auto"/>
              <w:jc w:val="center"/>
              <w:rPr>
                <w:rFonts w:eastAsia="Times New Roman" w:cs="Times New Roman"/>
                <w:noProof/>
              </w:rPr>
            </w:pPr>
            <w:r>
              <w:rPr>
                <w:noProof/>
              </w:rPr>
              <w:t>Gerelateerde maatregel (hervorming of investering)</w:t>
            </w:r>
          </w:p>
        </w:tc>
        <w:tc>
          <w:tcPr>
            <w:tcW w:w="1245" w:type="dxa"/>
            <w:tcBorders>
              <w:top w:val="single" w:sz="6" w:space="0" w:color="auto"/>
              <w:left w:val="single" w:sz="6" w:space="0" w:color="auto"/>
              <w:bottom w:val="single" w:sz="6" w:space="0" w:color="auto"/>
              <w:right w:val="single" w:sz="6" w:space="0" w:color="auto"/>
            </w:tcBorders>
            <w:shd w:val="clear" w:color="auto" w:fill="BDD6EE"/>
            <w:vAlign w:val="center"/>
          </w:tcPr>
          <w:p w14:paraId="1D407709" w14:textId="77777777" w:rsidR="00480F1C" w:rsidRDefault="00A201F6">
            <w:pPr>
              <w:pStyle w:val="P68B1DB1-Normal42"/>
              <w:spacing w:line="240" w:lineRule="auto"/>
              <w:jc w:val="center"/>
              <w:rPr>
                <w:rFonts w:eastAsia="Times New Roman" w:cs="Times New Roman"/>
                <w:noProof/>
              </w:rPr>
            </w:pPr>
            <w:r>
              <w:rPr>
                <w:noProof/>
              </w:rPr>
              <w:t>Mijlpaal/Doelstelling</w:t>
            </w:r>
          </w:p>
        </w:tc>
        <w:tc>
          <w:tcPr>
            <w:tcW w:w="3927" w:type="dxa"/>
            <w:tcBorders>
              <w:top w:val="single" w:sz="6" w:space="0" w:color="auto"/>
              <w:left w:val="single" w:sz="6" w:space="0" w:color="auto"/>
              <w:bottom w:val="single" w:sz="6" w:space="0" w:color="auto"/>
              <w:right w:val="single" w:sz="6" w:space="0" w:color="auto"/>
            </w:tcBorders>
            <w:shd w:val="clear" w:color="auto" w:fill="BDD6EE"/>
            <w:vAlign w:val="center"/>
          </w:tcPr>
          <w:p w14:paraId="4D234426" w14:textId="77777777" w:rsidR="00480F1C" w:rsidRDefault="00A201F6">
            <w:pPr>
              <w:pStyle w:val="P68B1DB1-Normal42"/>
              <w:spacing w:line="240" w:lineRule="auto"/>
              <w:jc w:val="center"/>
              <w:rPr>
                <w:rFonts w:eastAsia="Times New Roman" w:cs="Times New Roman"/>
                <w:noProof/>
              </w:rPr>
            </w:pPr>
            <w:r>
              <w:rPr>
                <w:noProof/>
              </w:rPr>
              <w:t>Naam</w:t>
            </w:r>
          </w:p>
        </w:tc>
      </w:tr>
      <w:tr w:rsidR="00480F1C" w14:paraId="44E7327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7CD0A17" w14:textId="77777777" w:rsidR="00480F1C" w:rsidRDefault="00A201F6">
            <w:pPr>
              <w:pStyle w:val="P68B1DB1-Normal46"/>
              <w:spacing w:line="240" w:lineRule="auto"/>
              <w:jc w:val="center"/>
              <w:rPr>
                <w:rFonts w:eastAsia="Times New Roman" w:cs="Times New Roman"/>
                <w:noProof/>
              </w:rPr>
            </w:pPr>
            <w:r>
              <w:rPr>
                <w:noProof/>
              </w:rPr>
              <w:t>A7L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008D099" w14:textId="77777777" w:rsidR="00480F1C" w:rsidRDefault="00A201F6">
            <w:pPr>
              <w:pStyle w:val="P68B1DB1-Normal46"/>
              <w:spacing w:line="240" w:lineRule="auto"/>
              <w:rPr>
                <w:rFonts w:eastAsia="Times New Roman" w:cs="Times New Roman"/>
                <w:noProof/>
              </w:rPr>
            </w:pPr>
            <w:r>
              <w:rPr>
                <w:noProof/>
              </w:rPr>
              <w:t>A2.6.1 Ontwikkeling van het nationale systeem van monitoringdiensten, producten, analytische instrumenten, diensten en begeleidende infrastructuur met behulp van satellietgegevens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D3758EB"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F5B1951" w14:textId="77777777" w:rsidR="00480F1C" w:rsidRDefault="00A201F6">
            <w:pPr>
              <w:pStyle w:val="P68B1DB1-Normal46"/>
              <w:spacing w:line="240" w:lineRule="auto"/>
              <w:rPr>
                <w:rFonts w:eastAsia="Times New Roman" w:cs="Times New Roman"/>
                <w:noProof/>
              </w:rPr>
            </w:pPr>
            <w:r>
              <w:rPr>
                <w:noProof/>
              </w:rPr>
              <w:t>Inwerkingtreding van een wet inzake ruimtevaartactiviteiten die door het parlement moet worden aangenomen</w:t>
            </w:r>
          </w:p>
        </w:tc>
      </w:tr>
      <w:tr w:rsidR="00480F1C" w14:paraId="10F499C5"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48894C3" w14:textId="77777777" w:rsidR="00480F1C" w:rsidRDefault="00A201F6">
            <w:pPr>
              <w:pStyle w:val="P68B1DB1-Normal46"/>
              <w:spacing w:line="240" w:lineRule="auto"/>
              <w:jc w:val="center"/>
              <w:rPr>
                <w:rFonts w:eastAsia="Times New Roman" w:cs="Times New Roman"/>
                <w:noProof/>
              </w:rPr>
            </w:pPr>
            <w:r>
              <w:rPr>
                <w:noProof/>
              </w:rPr>
              <w:t>A9L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6BFF540" w14:textId="77777777" w:rsidR="00480F1C" w:rsidRDefault="00A201F6">
            <w:pPr>
              <w:pStyle w:val="P68B1DB1-Normal46"/>
              <w:spacing w:line="240" w:lineRule="auto"/>
              <w:rPr>
                <w:rFonts w:eastAsia="Times New Roman" w:cs="Times New Roman"/>
                <w:noProof/>
              </w:rPr>
            </w:pPr>
            <w:r>
              <w:rPr>
                <w:noProof/>
              </w:rPr>
              <w:t>A2.6.1 Ontwikkeling van het nationale systeem van monitoringdiensten, producten, analytische instrumenten, diensten en begeleidende infrastructuur met behulp van satellietgegevens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D306E30"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60034C1" w14:textId="77777777" w:rsidR="00480F1C" w:rsidRDefault="00A201F6">
            <w:pPr>
              <w:pStyle w:val="P68B1DB1-Normal46"/>
              <w:spacing w:line="240" w:lineRule="auto"/>
              <w:rPr>
                <w:rFonts w:eastAsia="Times New Roman" w:cs="Times New Roman"/>
                <w:noProof/>
              </w:rPr>
            </w:pPr>
            <w:r>
              <w:rPr>
                <w:noProof/>
              </w:rPr>
              <w:t>Voorbereidende werkzaamheden voor de lancering van de eerste Poolse satelliet: ECS-fase 0/A/B/C (analyse van de missie/identificatie van behoeften, haalbaarheid en definitie)</w:t>
            </w:r>
          </w:p>
        </w:tc>
      </w:tr>
      <w:tr w:rsidR="00480F1C" w14:paraId="1E3C081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2BBE340" w14:textId="77777777" w:rsidR="00480F1C" w:rsidRDefault="00A201F6">
            <w:pPr>
              <w:pStyle w:val="P68B1DB1-Normal46"/>
              <w:spacing w:line="240" w:lineRule="auto"/>
              <w:jc w:val="center"/>
              <w:rPr>
                <w:rFonts w:eastAsia="Times New Roman" w:cs="Times New Roman"/>
                <w:noProof/>
              </w:rPr>
            </w:pPr>
            <w:r>
              <w:rPr>
                <w:noProof/>
              </w:rPr>
              <w:t>B17L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D09C911" w14:textId="77777777" w:rsidR="00480F1C" w:rsidRDefault="00A201F6">
            <w:pPr>
              <w:pStyle w:val="P68B1DB1-Normal46"/>
              <w:spacing w:line="240" w:lineRule="auto"/>
              <w:rPr>
                <w:rFonts w:eastAsia="Times New Roman" w:cs="Times New Roman"/>
                <w:noProof/>
              </w:rPr>
            </w:pPr>
            <w:r>
              <w:rPr>
                <w:noProof/>
              </w:rPr>
              <w:t>B3.2.1 Investeringen in risiconeutralisatie en herstel van grootschalige brownfieldterreinen en de Oostzee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B738192"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93E8332" w14:textId="77777777" w:rsidR="00480F1C" w:rsidRDefault="00A201F6">
            <w:pPr>
              <w:pStyle w:val="P68B1DB1-Normal46"/>
              <w:spacing w:line="240" w:lineRule="auto"/>
              <w:rPr>
                <w:rFonts w:eastAsia="Times New Roman" w:cs="Times New Roman"/>
                <w:noProof/>
              </w:rPr>
            </w:pPr>
            <w:r>
              <w:rPr>
                <w:noProof/>
              </w:rPr>
              <w:t>Grondgebieden waarvoor veldonderzoek in verband met de aanwezigheid van verontreinigende stoffen en gevaarlijke materialen is verricht</w:t>
            </w:r>
          </w:p>
        </w:tc>
      </w:tr>
      <w:tr w:rsidR="00480F1C" w14:paraId="51EA8AE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00FBFB7" w14:textId="77777777" w:rsidR="00480F1C" w:rsidRDefault="00A201F6">
            <w:pPr>
              <w:pStyle w:val="P68B1DB1-Normal46"/>
              <w:spacing w:line="240" w:lineRule="auto"/>
              <w:jc w:val="center"/>
              <w:rPr>
                <w:rFonts w:eastAsia="Times New Roman" w:cs="Times New Roman"/>
                <w:noProof/>
              </w:rPr>
            </w:pPr>
            <w:r>
              <w:rPr>
                <w:noProof/>
              </w:rPr>
              <w:t>B26L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73A8307" w14:textId="77777777" w:rsidR="00480F1C" w:rsidRDefault="00A201F6">
            <w:pPr>
              <w:pStyle w:val="P68B1DB1-Normal46"/>
              <w:spacing w:line="240" w:lineRule="auto"/>
              <w:rPr>
                <w:rFonts w:eastAsia="Times New Roman" w:cs="Times New Roman"/>
                <w:noProof/>
              </w:rPr>
            </w:pPr>
            <w:r>
              <w:rPr>
                <w:noProof/>
              </w:rPr>
              <w:t>B3.4.1 Investeringen in een groene transformatie van steden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AC1A28D"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185B7D8" w14:textId="77777777" w:rsidR="00480F1C" w:rsidRDefault="00A201F6">
            <w:pPr>
              <w:pStyle w:val="P68B1DB1-Normal46"/>
              <w:spacing w:line="240" w:lineRule="auto"/>
              <w:rPr>
                <w:rFonts w:eastAsia="Times New Roman" w:cs="Times New Roman"/>
                <w:noProof/>
              </w:rPr>
            </w:pPr>
            <w:r>
              <w:rPr>
                <w:noProof/>
              </w:rPr>
              <w:t>T1 — Ondertekening van alle contracten voor investeringen in groene stadsontwikkelingsprojecten (berekend op samengestelde basis)</w:t>
            </w:r>
          </w:p>
        </w:tc>
      </w:tr>
      <w:tr w:rsidR="00480F1C" w14:paraId="0EB51A93"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DE05514" w14:textId="77777777" w:rsidR="00480F1C" w:rsidRDefault="00A201F6">
            <w:pPr>
              <w:pStyle w:val="P68B1DB1-Normal46"/>
              <w:spacing w:line="240" w:lineRule="auto"/>
              <w:jc w:val="center"/>
              <w:rPr>
                <w:rFonts w:eastAsia="Times New Roman" w:cs="Times New Roman"/>
                <w:noProof/>
              </w:rPr>
            </w:pPr>
            <w:r>
              <w:rPr>
                <w:noProof/>
              </w:rPr>
              <w:t>B29L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22CB5D6" w14:textId="77777777" w:rsidR="00480F1C" w:rsidRDefault="00A201F6">
            <w:pPr>
              <w:pStyle w:val="P68B1DB1-Normal46"/>
              <w:spacing w:line="240" w:lineRule="auto"/>
              <w:rPr>
                <w:rFonts w:eastAsia="Times New Roman" w:cs="Times New Roman"/>
                <w:noProof/>
              </w:rPr>
            </w:pPr>
            <w:r>
              <w:rPr>
                <w:noProof/>
              </w:rPr>
              <w:t>B3.5.1 Investeringen in energie-efficiënte huisvesting voor huishoudens met een laag en gemiddeld inkomen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84896DA"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3D0074D" w14:textId="77777777" w:rsidR="00480F1C" w:rsidRDefault="00A201F6">
            <w:pPr>
              <w:pStyle w:val="P68B1DB1-Normal46"/>
              <w:spacing w:line="240" w:lineRule="auto"/>
              <w:rPr>
                <w:rFonts w:eastAsia="Times New Roman" w:cs="Times New Roman"/>
                <w:noProof/>
              </w:rPr>
            </w:pPr>
            <w:r>
              <w:rPr>
                <w:noProof/>
              </w:rPr>
              <w:t xml:space="preserve">T1 — Voltooide bouw van de eerste reeks energie-efficiënte woningen voor huishoudens met een laag en gemiddeld inkomen </w:t>
            </w:r>
          </w:p>
        </w:tc>
      </w:tr>
      <w:tr w:rsidR="00480F1C" w14:paraId="2B87444D"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4C927C8" w14:textId="77777777" w:rsidR="00480F1C" w:rsidRDefault="00A201F6">
            <w:pPr>
              <w:pStyle w:val="P68B1DB1-Normal46"/>
              <w:spacing w:line="240" w:lineRule="auto"/>
              <w:jc w:val="center"/>
              <w:rPr>
                <w:noProof/>
              </w:rPr>
            </w:pPr>
            <w:r>
              <w:rPr>
                <w:noProof/>
              </w:rPr>
              <w:t>G1L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4080E34" w14:textId="77777777" w:rsidR="00480F1C" w:rsidRDefault="00A201F6">
            <w:pPr>
              <w:pStyle w:val="P68B1DB1-Normal46"/>
              <w:spacing w:line="240" w:lineRule="auto"/>
              <w:rPr>
                <w:noProof/>
              </w:rPr>
            </w:pPr>
            <w:r>
              <w:rPr>
                <w:noProof/>
              </w:rPr>
              <w:t>G3.1.1 stroomlijning van het vergunningsproces voor hernieuwbare energiebronnen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415C5F9"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2589635" w14:textId="77777777" w:rsidR="00480F1C" w:rsidRDefault="00A201F6">
            <w:pPr>
              <w:pStyle w:val="P68B1DB1-Normal46"/>
              <w:spacing w:line="240" w:lineRule="auto"/>
              <w:rPr>
                <w:noProof/>
              </w:rPr>
            </w:pPr>
            <w:r>
              <w:rPr>
                <w:noProof/>
              </w:rPr>
              <w:t>Inventarisatie van het potentieel voor hernieuwbare energie voor fotovoltaïsche en onshore-windinstallaties</w:t>
            </w:r>
          </w:p>
        </w:tc>
      </w:tr>
      <w:tr w:rsidR="00480F1C" w14:paraId="1E4DF01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F53F7AA" w14:textId="77777777" w:rsidR="00480F1C" w:rsidRDefault="00A201F6">
            <w:pPr>
              <w:pStyle w:val="P68B1DB1-Normal46"/>
              <w:spacing w:line="240" w:lineRule="auto"/>
              <w:jc w:val="center"/>
              <w:rPr>
                <w:noProof/>
              </w:rPr>
            </w:pPr>
            <w:r>
              <w:rPr>
                <w:noProof/>
              </w:rPr>
              <w:t>G2L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3512FB7" w14:textId="77777777" w:rsidR="00480F1C" w:rsidRDefault="00A201F6">
            <w:pPr>
              <w:pStyle w:val="P68B1DB1-Normal46"/>
              <w:spacing w:line="240" w:lineRule="auto"/>
              <w:rPr>
                <w:noProof/>
              </w:rPr>
            </w:pPr>
            <w:r>
              <w:rPr>
                <w:noProof/>
              </w:rPr>
              <w:t>G3.1.1 stroomlijning van het vergunningsproces voor hernieuwbare energiebronnen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CA05C2A"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EFCAB8C" w14:textId="77777777" w:rsidR="00480F1C" w:rsidRDefault="00A201F6">
            <w:pPr>
              <w:pStyle w:val="P68B1DB1-Normal46"/>
              <w:spacing w:line="240" w:lineRule="auto"/>
              <w:rPr>
                <w:noProof/>
              </w:rPr>
            </w:pPr>
            <w:r>
              <w:rPr>
                <w:noProof/>
              </w:rPr>
              <w:t>Versnelling van vergunningsprocedures</w:t>
            </w:r>
          </w:p>
        </w:tc>
      </w:tr>
      <w:tr w:rsidR="00480F1C" w14:paraId="445F65A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F00F1E8" w14:textId="77777777" w:rsidR="00480F1C" w:rsidRDefault="00A201F6">
            <w:pPr>
              <w:pStyle w:val="P68B1DB1-Normal46"/>
              <w:spacing w:line="240" w:lineRule="auto"/>
              <w:jc w:val="center"/>
              <w:rPr>
                <w:noProof/>
              </w:rPr>
            </w:pPr>
            <w:r>
              <w:rPr>
                <w:noProof/>
              </w:rPr>
              <w:t>G3L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24D30AA" w14:textId="77777777" w:rsidR="00480F1C" w:rsidRDefault="00A201F6">
            <w:pPr>
              <w:pStyle w:val="P68B1DB1-Normal46"/>
              <w:spacing w:line="240" w:lineRule="auto"/>
              <w:rPr>
                <w:noProof/>
              </w:rPr>
            </w:pPr>
            <w:r>
              <w:rPr>
                <w:noProof/>
              </w:rPr>
              <w:t>G3.1.1 stroomlijning van het vergunningsproces voor hernieuwbare energiebronnen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650CC5C" w14:textId="77777777" w:rsidR="00480F1C" w:rsidRDefault="00A201F6">
            <w:pPr>
              <w:pStyle w:val="P68B1DB1-Normal46"/>
              <w:spacing w:line="240" w:lineRule="auto"/>
              <w:rPr>
                <w:rFonts w:eastAsia="Times New Roman" w:cs="Times New Roman"/>
                <w:noProof/>
              </w:rPr>
            </w:pPr>
            <w:r>
              <w:rPr>
                <w:noProof/>
              </w:rPr>
              <w:t>Mijlpaal</w:t>
            </w:r>
          </w:p>
          <w:p w14:paraId="14BCE720" w14:textId="77777777" w:rsidR="00480F1C" w:rsidRDefault="00480F1C">
            <w:pPr>
              <w:spacing w:line="240" w:lineRule="auto"/>
              <w:jc w:val="center"/>
              <w:rPr>
                <w:rFonts w:ascii="Times New Roman" w:hAnsi="Times New Roman"/>
                <w:noProof/>
              </w:rPr>
            </w:pP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DFB7A49" w14:textId="77777777" w:rsidR="00480F1C" w:rsidRDefault="00A201F6">
            <w:pPr>
              <w:pStyle w:val="P68B1DB1-Normal46"/>
              <w:spacing w:after="0" w:line="240" w:lineRule="auto"/>
              <w:rPr>
                <w:rFonts w:eastAsia="Times New Roman" w:cs="Times New Roman"/>
                <w:noProof/>
              </w:rPr>
            </w:pPr>
            <w:r>
              <w:rPr>
                <w:noProof/>
              </w:rPr>
              <w:t xml:space="preserve">Digitalisering van vergunningsprocedures  </w:t>
            </w:r>
          </w:p>
          <w:p w14:paraId="238F1D2F" w14:textId="77777777" w:rsidR="00480F1C" w:rsidRDefault="00480F1C">
            <w:pPr>
              <w:spacing w:line="240" w:lineRule="auto"/>
              <w:rPr>
                <w:rFonts w:ascii="Times New Roman" w:hAnsi="Times New Roman"/>
                <w:noProof/>
              </w:rPr>
            </w:pPr>
          </w:p>
        </w:tc>
      </w:tr>
      <w:tr w:rsidR="00480F1C" w14:paraId="4187CEEE"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ACC49E8" w14:textId="77777777" w:rsidR="00480F1C" w:rsidRDefault="00A201F6">
            <w:pPr>
              <w:pStyle w:val="P68B1DB1-Normal46"/>
              <w:spacing w:line="240" w:lineRule="auto"/>
              <w:jc w:val="center"/>
              <w:rPr>
                <w:noProof/>
              </w:rPr>
            </w:pPr>
            <w:r>
              <w:rPr>
                <w:noProof/>
              </w:rPr>
              <w:t>G11L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A3C1BA1" w14:textId="77777777" w:rsidR="00480F1C" w:rsidRDefault="00A201F6">
            <w:pPr>
              <w:pStyle w:val="P68B1DB1-Normal46"/>
              <w:spacing w:line="240" w:lineRule="auto"/>
              <w:rPr>
                <w:noProof/>
              </w:rPr>
            </w:pPr>
            <w:r>
              <w:rPr>
                <w:noProof/>
              </w:rPr>
              <w:t>G3.1.3 Verbetering van de energie-efficiëntie en versnelling van de uitfasering van fossiele brandstoffen voor verwarming</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EFCBADD" w14:textId="77777777" w:rsidR="00480F1C" w:rsidRDefault="00A201F6">
            <w:pPr>
              <w:pStyle w:val="P68B1DB1-Normal46"/>
              <w:spacing w:line="240" w:lineRule="auto"/>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099A626" w14:textId="77777777" w:rsidR="00480F1C" w:rsidRDefault="00A201F6">
            <w:pPr>
              <w:pStyle w:val="P68B1DB1-Normal46"/>
              <w:spacing w:after="0" w:line="240" w:lineRule="auto"/>
              <w:rPr>
                <w:noProof/>
              </w:rPr>
            </w:pPr>
            <w:r>
              <w:rPr>
                <w:noProof/>
              </w:rPr>
              <w:t>Inwerkingtreding van een rechtshandeling tot uitvoering van een steunregeling voor aanbieders van geïntegreerde diensten voor woningrenovatie</w:t>
            </w:r>
          </w:p>
        </w:tc>
      </w:tr>
      <w:tr w:rsidR="00480F1C" w14:paraId="2DFC3F24"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21A531C" w14:textId="77777777" w:rsidR="00480F1C" w:rsidRDefault="00A201F6">
            <w:pPr>
              <w:pStyle w:val="P68B1DB1-Normal46"/>
              <w:spacing w:line="240" w:lineRule="auto"/>
              <w:jc w:val="center"/>
              <w:rPr>
                <w:noProof/>
              </w:rPr>
            </w:pPr>
            <w:r>
              <w:rPr>
                <w:noProof/>
              </w:rPr>
              <w:t>G16L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6F31A10" w14:textId="77777777" w:rsidR="00480F1C" w:rsidRDefault="00A201F6">
            <w:pPr>
              <w:pStyle w:val="P68B1DB1-Normal46"/>
              <w:spacing w:line="240" w:lineRule="auto"/>
              <w:rPr>
                <w:noProof/>
              </w:rPr>
            </w:pPr>
            <w:r>
              <w:rPr>
                <w:noProof/>
              </w:rPr>
              <w:t xml:space="preserve">G3.1.5 Bouw van windmolenparken op zee (windenergiefonds op zee) </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73B96D5" w14:textId="77777777" w:rsidR="00480F1C" w:rsidRDefault="00A201F6">
            <w:pPr>
              <w:pStyle w:val="P68B1DB1-Normal46"/>
              <w:spacing w:line="240" w:lineRule="auto"/>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41613A4" w14:textId="77777777" w:rsidR="00480F1C" w:rsidRDefault="00A201F6">
            <w:pPr>
              <w:pStyle w:val="P68B1DB1-Normal46"/>
              <w:spacing w:after="0" w:line="240" w:lineRule="auto"/>
              <w:rPr>
                <w:noProof/>
              </w:rPr>
            </w:pPr>
            <w:r>
              <w:rPr>
                <w:noProof/>
              </w:rPr>
              <w:t>Uitwerkingsovereenkomst</w:t>
            </w:r>
          </w:p>
        </w:tc>
      </w:tr>
      <w:tr w:rsidR="00480F1C" w14:paraId="783C76A2" w14:textId="77777777">
        <w:tc>
          <w:tcPr>
            <w:tcW w:w="1350" w:type="dxa"/>
            <w:tcBorders>
              <w:top w:val="single" w:sz="6" w:space="0" w:color="auto"/>
              <w:left w:val="single" w:sz="6" w:space="0" w:color="auto"/>
              <w:bottom w:val="single" w:sz="6" w:space="0" w:color="auto"/>
              <w:right w:val="single" w:sz="6" w:space="0" w:color="auto"/>
            </w:tcBorders>
            <w:shd w:val="clear" w:color="auto" w:fill="C6EFCE"/>
            <w:vAlign w:val="center"/>
          </w:tcPr>
          <w:p w14:paraId="410F0346" w14:textId="77777777" w:rsidR="00480F1C" w:rsidRDefault="00480F1C">
            <w:pPr>
              <w:spacing w:line="240" w:lineRule="auto"/>
              <w:rPr>
                <w:rFonts w:ascii="Times New Roman" w:eastAsia="Times New Roman" w:hAnsi="Times New Roman" w:cs="Times New Roman"/>
                <w:noProof/>
              </w:rPr>
            </w:pPr>
          </w:p>
        </w:tc>
        <w:tc>
          <w:tcPr>
            <w:tcW w:w="3960" w:type="dxa"/>
            <w:tcBorders>
              <w:top w:val="single" w:sz="6" w:space="0" w:color="auto"/>
              <w:left w:val="single" w:sz="6" w:space="0" w:color="auto"/>
              <w:bottom w:val="single" w:sz="6" w:space="0" w:color="auto"/>
              <w:right w:val="single" w:sz="6" w:space="0" w:color="auto"/>
            </w:tcBorders>
            <w:shd w:val="clear" w:color="auto" w:fill="C6EFCE"/>
            <w:vAlign w:val="center"/>
          </w:tcPr>
          <w:p w14:paraId="77FD5AEF"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vAlign w:val="center"/>
          </w:tcPr>
          <w:p w14:paraId="4D96801B" w14:textId="77777777" w:rsidR="00480F1C" w:rsidRDefault="00A201F6">
            <w:pPr>
              <w:pStyle w:val="P68B1DB1-Normal46"/>
              <w:spacing w:line="240" w:lineRule="auto"/>
              <w:rPr>
                <w:rFonts w:eastAsia="Times New Roman" w:cs="Times New Roman"/>
                <w:noProof/>
              </w:rPr>
            </w:pPr>
            <w:r>
              <w:rPr>
                <w:noProof/>
              </w:rPr>
              <w:t>Termijnbedrag</w:t>
            </w:r>
          </w:p>
        </w:tc>
        <w:tc>
          <w:tcPr>
            <w:tcW w:w="3927" w:type="dxa"/>
            <w:tcBorders>
              <w:top w:val="single" w:sz="6" w:space="0" w:color="auto"/>
              <w:left w:val="single" w:sz="6" w:space="0" w:color="auto"/>
              <w:bottom w:val="single" w:sz="6" w:space="0" w:color="auto"/>
              <w:right w:val="single" w:sz="6" w:space="0" w:color="auto"/>
            </w:tcBorders>
            <w:shd w:val="clear" w:color="auto" w:fill="C6EFCE"/>
            <w:vAlign w:val="center"/>
          </w:tcPr>
          <w:p w14:paraId="21BD5A43" w14:textId="77777777" w:rsidR="00480F1C" w:rsidRDefault="00A201F6">
            <w:pPr>
              <w:pStyle w:val="P68B1DB1-Normal46"/>
              <w:spacing w:line="240" w:lineRule="auto"/>
              <w:rPr>
                <w:rFonts w:eastAsia="Times New Roman" w:cs="Times New Roman"/>
                <w:noProof/>
              </w:rPr>
            </w:pPr>
            <w:r>
              <w:rPr>
                <w:noProof/>
              </w:rPr>
              <w:t xml:space="preserve">EUR 6 310 611 006 </w:t>
            </w:r>
          </w:p>
        </w:tc>
      </w:tr>
    </w:tbl>
    <w:p w14:paraId="42A00AD4" w14:textId="77777777" w:rsidR="00480F1C" w:rsidRDefault="00480F1C">
      <w:pPr>
        <w:spacing w:before="120" w:after="120" w:line="240" w:lineRule="auto"/>
        <w:rPr>
          <w:rFonts w:ascii="Times New Roman" w:eastAsia="Times New Roman" w:hAnsi="Times New Roman" w:cs="Times New Roman"/>
          <w:noProof/>
          <w:color w:val="000000" w:themeColor="text1"/>
        </w:rPr>
      </w:pPr>
    </w:p>
    <w:p w14:paraId="10CC491A" w14:textId="77777777" w:rsidR="00480F1C" w:rsidRDefault="00A201F6">
      <w:pPr>
        <w:pStyle w:val="P68B1DB1-Normal45"/>
        <w:spacing w:before="120" w:after="120" w:line="240" w:lineRule="auto"/>
        <w:rPr>
          <w:rFonts w:eastAsia="Times New Roman" w:cs="Times New Roman"/>
          <w:noProof/>
        </w:rPr>
      </w:pPr>
      <w:r>
        <w:rPr>
          <w:noProof/>
        </w:rPr>
        <w:t>2.2.7. Zevende tranche (steun via leningen):</w:t>
      </w:r>
    </w:p>
    <w:tbl>
      <w:tblPr>
        <w:tblW w:w="10482" w:type="dxa"/>
        <w:tblLayout w:type="fixed"/>
        <w:tblLook w:val="04A0" w:firstRow="1" w:lastRow="0" w:firstColumn="1" w:lastColumn="0" w:noHBand="0" w:noVBand="1"/>
      </w:tblPr>
      <w:tblGrid>
        <w:gridCol w:w="1350"/>
        <w:gridCol w:w="3960"/>
        <w:gridCol w:w="1245"/>
        <w:gridCol w:w="3927"/>
      </w:tblGrid>
      <w:tr w:rsidR="00480F1C" w14:paraId="35DF9376" w14:textId="77777777">
        <w:trPr>
          <w:trHeight w:val="916"/>
          <w:tblHeader/>
        </w:trPr>
        <w:tc>
          <w:tcPr>
            <w:tcW w:w="1350" w:type="dxa"/>
            <w:tcBorders>
              <w:top w:val="single" w:sz="6" w:space="0" w:color="auto"/>
              <w:left w:val="single" w:sz="6" w:space="0" w:color="auto"/>
              <w:bottom w:val="single" w:sz="6" w:space="0" w:color="auto"/>
              <w:right w:val="single" w:sz="6" w:space="0" w:color="auto"/>
            </w:tcBorders>
            <w:shd w:val="clear" w:color="auto" w:fill="BDD6EE"/>
            <w:vAlign w:val="center"/>
          </w:tcPr>
          <w:p w14:paraId="081D1502" w14:textId="77777777" w:rsidR="00480F1C" w:rsidRDefault="00A201F6">
            <w:pPr>
              <w:pStyle w:val="P68B1DB1-Normal42"/>
              <w:spacing w:line="240" w:lineRule="auto"/>
              <w:jc w:val="center"/>
              <w:rPr>
                <w:rFonts w:eastAsia="Times New Roman" w:cs="Times New Roman"/>
                <w:noProof/>
              </w:rPr>
            </w:pPr>
            <w:r>
              <w:rPr>
                <w:noProof/>
              </w:rPr>
              <w:t>Volgnummer</w:t>
            </w:r>
          </w:p>
        </w:tc>
        <w:tc>
          <w:tcPr>
            <w:tcW w:w="3960" w:type="dxa"/>
            <w:tcBorders>
              <w:top w:val="single" w:sz="6" w:space="0" w:color="auto"/>
              <w:left w:val="single" w:sz="6" w:space="0" w:color="auto"/>
              <w:bottom w:val="single" w:sz="6" w:space="0" w:color="auto"/>
              <w:right w:val="single" w:sz="6" w:space="0" w:color="auto"/>
            </w:tcBorders>
            <w:shd w:val="clear" w:color="auto" w:fill="BDD6EE"/>
            <w:vAlign w:val="center"/>
          </w:tcPr>
          <w:p w14:paraId="5EBBA7CB" w14:textId="77777777" w:rsidR="00480F1C" w:rsidRDefault="00A201F6">
            <w:pPr>
              <w:pStyle w:val="P68B1DB1-Normal42"/>
              <w:spacing w:line="240" w:lineRule="auto"/>
              <w:jc w:val="center"/>
              <w:rPr>
                <w:rFonts w:eastAsia="Times New Roman" w:cs="Times New Roman"/>
                <w:noProof/>
              </w:rPr>
            </w:pPr>
            <w:r>
              <w:rPr>
                <w:noProof/>
              </w:rPr>
              <w:t>Gerelateerde maatregel (hervorming of investering)</w:t>
            </w:r>
          </w:p>
        </w:tc>
        <w:tc>
          <w:tcPr>
            <w:tcW w:w="1245" w:type="dxa"/>
            <w:tcBorders>
              <w:top w:val="single" w:sz="6" w:space="0" w:color="auto"/>
              <w:left w:val="single" w:sz="6" w:space="0" w:color="auto"/>
              <w:bottom w:val="single" w:sz="6" w:space="0" w:color="auto"/>
              <w:right w:val="single" w:sz="6" w:space="0" w:color="auto"/>
            </w:tcBorders>
            <w:shd w:val="clear" w:color="auto" w:fill="BDD6EE"/>
            <w:vAlign w:val="center"/>
          </w:tcPr>
          <w:p w14:paraId="60210E2E" w14:textId="77777777" w:rsidR="00480F1C" w:rsidRDefault="00A201F6">
            <w:pPr>
              <w:pStyle w:val="P68B1DB1-Normal42"/>
              <w:spacing w:line="240" w:lineRule="auto"/>
              <w:jc w:val="center"/>
              <w:rPr>
                <w:rFonts w:eastAsia="Times New Roman" w:cs="Times New Roman"/>
                <w:noProof/>
              </w:rPr>
            </w:pPr>
            <w:r>
              <w:rPr>
                <w:noProof/>
              </w:rPr>
              <w:t>Mijlpaal/Doelstelling</w:t>
            </w:r>
          </w:p>
        </w:tc>
        <w:tc>
          <w:tcPr>
            <w:tcW w:w="3927" w:type="dxa"/>
            <w:tcBorders>
              <w:top w:val="single" w:sz="6" w:space="0" w:color="auto"/>
              <w:left w:val="single" w:sz="6" w:space="0" w:color="auto"/>
              <w:bottom w:val="single" w:sz="6" w:space="0" w:color="auto"/>
              <w:right w:val="single" w:sz="6" w:space="0" w:color="auto"/>
            </w:tcBorders>
            <w:shd w:val="clear" w:color="auto" w:fill="BDD6EE"/>
            <w:vAlign w:val="center"/>
          </w:tcPr>
          <w:p w14:paraId="6F29E914" w14:textId="77777777" w:rsidR="00480F1C" w:rsidRDefault="00A201F6">
            <w:pPr>
              <w:pStyle w:val="P68B1DB1-Normal42"/>
              <w:spacing w:line="240" w:lineRule="auto"/>
              <w:jc w:val="center"/>
              <w:rPr>
                <w:rFonts w:eastAsia="Times New Roman" w:cs="Times New Roman"/>
                <w:noProof/>
              </w:rPr>
            </w:pPr>
            <w:r>
              <w:rPr>
                <w:noProof/>
              </w:rPr>
              <w:t>Naam</w:t>
            </w:r>
          </w:p>
        </w:tc>
      </w:tr>
      <w:tr w:rsidR="00480F1C" w14:paraId="09120457"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D28DE9F" w14:textId="77777777" w:rsidR="00480F1C" w:rsidRDefault="00A201F6">
            <w:pPr>
              <w:pStyle w:val="P68B1DB1-Normal46"/>
              <w:spacing w:line="240" w:lineRule="auto"/>
              <w:jc w:val="center"/>
              <w:rPr>
                <w:rFonts w:eastAsia="Times New Roman" w:cs="Times New Roman"/>
                <w:noProof/>
              </w:rPr>
            </w:pPr>
            <w:r>
              <w:rPr>
                <w:noProof/>
              </w:rPr>
              <w:t>A8L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3F161EB" w14:textId="77777777" w:rsidR="00480F1C" w:rsidRDefault="00A201F6">
            <w:pPr>
              <w:pStyle w:val="P68B1DB1-Normal46"/>
              <w:spacing w:line="240" w:lineRule="auto"/>
              <w:rPr>
                <w:rFonts w:eastAsia="Times New Roman" w:cs="Times New Roman"/>
                <w:noProof/>
              </w:rPr>
            </w:pPr>
            <w:r>
              <w:rPr>
                <w:noProof/>
              </w:rPr>
              <w:t>A2.6.1 Ontwikkeling van het nationale systeem van monitoringdiensten, producten, analytische instrumenten, diensten en begeleidende infrastructuur met behulp van satellietgegevens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E4613EA"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176E3E8" w14:textId="77777777" w:rsidR="00480F1C" w:rsidRDefault="00A201F6">
            <w:pPr>
              <w:pStyle w:val="P68B1DB1-Normal46"/>
              <w:spacing w:line="240" w:lineRule="auto"/>
              <w:rPr>
                <w:rFonts w:eastAsia="Times New Roman" w:cs="Times New Roman"/>
                <w:noProof/>
              </w:rPr>
            </w:pPr>
            <w:r>
              <w:rPr>
                <w:noProof/>
              </w:rPr>
              <w:t>Ontwikkeling van de noodzakelijke infrastructuur: het nationale satellietinformatiesysteem (NSIS), dat monitoringdiensten levert op basis van gegevens van satellietaardobservatie (EO);</w:t>
            </w:r>
          </w:p>
        </w:tc>
      </w:tr>
      <w:tr w:rsidR="00480F1C" w14:paraId="6B33BBA9"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33D34E8" w14:textId="77777777" w:rsidR="00480F1C" w:rsidRDefault="00A201F6">
            <w:pPr>
              <w:pStyle w:val="P68B1DB1-Normal46"/>
              <w:spacing w:line="240" w:lineRule="auto"/>
              <w:jc w:val="center"/>
              <w:rPr>
                <w:rFonts w:eastAsia="Times New Roman" w:cs="Times New Roman"/>
                <w:noProof/>
              </w:rPr>
            </w:pPr>
            <w:r>
              <w:rPr>
                <w:noProof/>
              </w:rPr>
              <w:t>A10L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E235DB5" w14:textId="77777777" w:rsidR="00480F1C" w:rsidRDefault="00A201F6">
            <w:pPr>
              <w:pStyle w:val="P68B1DB1-Normal46"/>
              <w:spacing w:line="240" w:lineRule="auto"/>
              <w:rPr>
                <w:rFonts w:eastAsia="Times New Roman" w:cs="Times New Roman"/>
                <w:noProof/>
              </w:rPr>
            </w:pPr>
            <w:r>
              <w:rPr>
                <w:noProof/>
              </w:rPr>
              <w:t>A2.6.1 Ontwikkeling van het nationale systeem van monitoringdiensten, producten, analytische instrumenten, diensten en begeleidende infrastructuur met behulp van satellietgegevens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DCEAFCA"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D3A935B" w14:textId="77777777" w:rsidR="00480F1C" w:rsidRDefault="00A201F6">
            <w:pPr>
              <w:pStyle w:val="P68B1DB1-Normal46"/>
              <w:spacing w:line="240" w:lineRule="auto"/>
              <w:rPr>
                <w:rFonts w:eastAsia="Times New Roman" w:cs="Times New Roman"/>
                <w:noProof/>
              </w:rPr>
            </w:pPr>
            <w:r>
              <w:rPr>
                <w:noProof/>
              </w:rPr>
              <w:t>T1 — Oprichting van de eerste Poolse satelliet</w:t>
            </w:r>
          </w:p>
        </w:tc>
      </w:tr>
      <w:tr w:rsidR="00480F1C" w14:paraId="28E0D061"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AB325AD" w14:textId="77777777" w:rsidR="00480F1C" w:rsidRDefault="00A201F6">
            <w:pPr>
              <w:pStyle w:val="P68B1DB1-Normal46"/>
              <w:spacing w:line="240" w:lineRule="auto"/>
              <w:jc w:val="center"/>
              <w:rPr>
                <w:noProof/>
              </w:rPr>
            </w:pPr>
            <w:r>
              <w:rPr>
                <w:noProof/>
              </w:rPr>
              <w:t>B15L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5B92B41" w14:textId="77777777" w:rsidR="00480F1C" w:rsidRDefault="00A201F6">
            <w:pPr>
              <w:pStyle w:val="P68B1DB1-Normal46"/>
              <w:spacing w:line="240" w:lineRule="auto"/>
              <w:rPr>
                <w:noProof/>
              </w:rPr>
            </w:pPr>
            <w:r>
              <w:rPr>
                <w:noProof/>
              </w:rPr>
              <w:t>B3.2 Steun voor de verbetering van de toestand van het milieu en de bescherming tegen gevaarlijke stoffen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BBD0214"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D058C37" w14:textId="77777777" w:rsidR="00480F1C" w:rsidRDefault="00A201F6">
            <w:pPr>
              <w:pStyle w:val="P68B1DB1-Normal46"/>
              <w:spacing w:line="240" w:lineRule="auto"/>
              <w:rPr>
                <w:noProof/>
              </w:rPr>
            </w:pPr>
            <w:r>
              <w:rPr>
                <w:noProof/>
              </w:rPr>
              <w:t>Inwerkingtreding van een rechtshandeling betreffende gevaarlijke materialen die in de Oostzee blijven bestaan</w:t>
            </w:r>
          </w:p>
        </w:tc>
      </w:tr>
      <w:tr w:rsidR="00480F1C" w14:paraId="2E7647A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3A6EE22" w14:textId="77777777" w:rsidR="00480F1C" w:rsidRDefault="00A201F6">
            <w:pPr>
              <w:pStyle w:val="P68B1DB1-Normal46"/>
              <w:spacing w:line="240" w:lineRule="auto"/>
              <w:jc w:val="center"/>
              <w:rPr>
                <w:rFonts w:eastAsia="Times New Roman" w:cs="Times New Roman"/>
                <w:noProof/>
              </w:rPr>
            </w:pPr>
            <w:r>
              <w:rPr>
                <w:noProof/>
              </w:rPr>
              <w:t>C12L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60A6079" w14:textId="77777777" w:rsidR="00480F1C" w:rsidRDefault="00A201F6">
            <w:pPr>
              <w:pStyle w:val="P68B1DB1-Normal46"/>
              <w:spacing w:line="240" w:lineRule="auto"/>
              <w:rPr>
                <w:rFonts w:eastAsia="Times New Roman" w:cs="Times New Roman"/>
                <w:noProof/>
              </w:rPr>
            </w:pPr>
            <w:r>
              <w:rPr>
                <w:noProof/>
              </w:rPr>
              <w:t>C2.2.1 Scholen/instellingen uitrusten met adequate ICT-apparatuur en -infrastructuur om de algemene prestaties van het onderwijssysteem te verbeteren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723DECC"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626ED9B" w14:textId="77777777" w:rsidR="00480F1C" w:rsidRDefault="00A201F6">
            <w:pPr>
              <w:pStyle w:val="P68B1DB1-Normal46"/>
              <w:spacing w:line="240" w:lineRule="auto"/>
              <w:rPr>
                <w:rFonts w:eastAsia="Times New Roman" w:cs="Times New Roman"/>
                <w:noProof/>
              </w:rPr>
            </w:pPr>
            <w:r>
              <w:rPr>
                <w:noProof/>
              </w:rPr>
              <w:t>Klaslokalen in beroepsscholen en instellingen voor algemeen onderwijs die zijn uitgerust met IT-instrumenten om onderwijs op afstand mogelijk te maken</w:t>
            </w:r>
          </w:p>
        </w:tc>
      </w:tr>
      <w:tr w:rsidR="00480F1C" w14:paraId="1D2DEDCF"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AA86EB3" w14:textId="77777777" w:rsidR="00480F1C" w:rsidRDefault="00A201F6">
            <w:pPr>
              <w:pStyle w:val="P68B1DB1-Normal46"/>
              <w:spacing w:line="240" w:lineRule="auto"/>
              <w:jc w:val="center"/>
              <w:rPr>
                <w:rFonts w:eastAsia="Times New Roman" w:cs="Times New Roman"/>
                <w:noProof/>
              </w:rPr>
            </w:pPr>
            <w:r>
              <w:rPr>
                <w:noProof/>
              </w:rPr>
              <w:t>E2L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AAB7B00" w14:textId="77777777" w:rsidR="00480F1C" w:rsidRDefault="00A201F6">
            <w:pPr>
              <w:pStyle w:val="P68B1DB1-Normal46"/>
              <w:spacing w:line="240" w:lineRule="auto"/>
              <w:rPr>
                <w:rFonts w:eastAsia="Times New Roman" w:cs="Times New Roman"/>
                <w:noProof/>
              </w:rPr>
            </w:pPr>
            <w:r>
              <w:rPr>
                <w:noProof/>
              </w:rPr>
              <w:t>E1.2 Verhoging van het aandeel emissievrij en emissiearm vervoer, preventie en vermindering van de negatieve gevolgen van vervoer voor het milieu</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F9AB520"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D234580" w14:textId="77777777" w:rsidR="00480F1C" w:rsidRDefault="00A201F6">
            <w:pPr>
              <w:pStyle w:val="P68B1DB1-Normal46"/>
              <w:spacing w:line="240" w:lineRule="auto"/>
              <w:rPr>
                <w:rFonts w:eastAsia="Times New Roman" w:cs="Times New Roman"/>
                <w:noProof/>
              </w:rPr>
            </w:pPr>
            <w:r>
              <w:rPr>
                <w:noProof/>
              </w:rPr>
              <w:t>Invoering van emissiearme vervoerszones door de bevoegde gemeentelijke autoriteiten</w:t>
            </w:r>
          </w:p>
        </w:tc>
      </w:tr>
      <w:tr w:rsidR="00480F1C" w14:paraId="3BB175E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608DB6B" w14:textId="77777777" w:rsidR="00480F1C" w:rsidRDefault="00A201F6">
            <w:pPr>
              <w:pStyle w:val="P68B1DB1-Normal46"/>
              <w:spacing w:line="240" w:lineRule="auto"/>
              <w:jc w:val="center"/>
              <w:rPr>
                <w:rFonts w:eastAsia="Times New Roman" w:cs="Times New Roman"/>
                <w:noProof/>
              </w:rPr>
            </w:pPr>
            <w:r>
              <w:rPr>
                <w:noProof/>
              </w:rPr>
              <w:t>E3L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CD65AB6" w14:textId="77777777" w:rsidR="00480F1C" w:rsidRDefault="00A201F6">
            <w:pPr>
              <w:pStyle w:val="P68B1DB1-Normal46"/>
              <w:spacing w:line="240" w:lineRule="auto"/>
              <w:rPr>
                <w:rFonts w:eastAsia="Times New Roman" w:cs="Times New Roman"/>
                <w:noProof/>
              </w:rPr>
            </w:pPr>
            <w:r>
              <w:rPr>
                <w:noProof/>
              </w:rPr>
              <w:t>E1.2.1 Openbaar vervoer met nulemissie in steden (trams)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662AC7D"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2803656" w14:textId="77777777" w:rsidR="00480F1C" w:rsidRDefault="00A201F6">
            <w:pPr>
              <w:pStyle w:val="P68B1DB1-Normal46"/>
              <w:spacing w:line="240" w:lineRule="auto"/>
              <w:rPr>
                <w:rFonts w:eastAsia="Times New Roman" w:cs="Times New Roman"/>
                <w:noProof/>
              </w:rPr>
            </w:pPr>
            <w:r>
              <w:rPr>
                <w:noProof/>
              </w:rPr>
              <w:t>Nieuwe trams: selectie van begunstigden</w:t>
            </w:r>
          </w:p>
        </w:tc>
      </w:tr>
      <w:tr w:rsidR="00480F1C" w14:paraId="62591B52"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2051814" w14:textId="77777777" w:rsidR="00480F1C" w:rsidRDefault="00A201F6">
            <w:pPr>
              <w:pStyle w:val="P68B1DB1-Normal46"/>
              <w:spacing w:line="240" w:lineRule="auto"/>
              <w:jc w:val="center"/>
              <w:rPr>
                <w:noProof/>
              </w:rPr>
            </w:pPr>
            <w:r>
              <w:rPr>
                <w:noProof/>
              </w:rPr>
              <w:t>G8L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8798617" w14:textId="77777777" w:rsidR="00480F1C" w:rsidRDefault="00A201F6">
            <w:pPr>
              <w:pStyle w:val="P68B1DB1-Normal46"/>
              <w:spacing w:line="240" w:lineRule="auto"/>
              <w:rPr>
                <w:noProof/>
              </w:rPr>
            </w:pPr>
            <w:r>
              <w:rPr>
                <w:noProof/>
              </w:rPr>
              <w:t>G3.1.2 Vaardigheden voor de groene transitie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919FD7E"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51E9C25" w14:textId="77777777" w:rsidR="00480F1C" w:rsidRDefault="00A201F6">
            <w:pPr>
              <w:pStyle w:val="P68B1DB1-Normal46"/>
              <w:spacing w:line="240" w:lineRule="auto"/>
              <w:rPr>
                <w:noProof/>
              </w:rPr>
            </w:pPr>
            <w:r>
              <w:rPr>
                <w:noProof/>
              </w:rPr>
              <w:t xml:space="preserve">Wijziging van drie sectorale kwalificatiekaders voor groene transformatie </w:t>
            </w:r>
          </w:p>
        </w:tc>
      </w:tr>
      <w:tr w:rsidR="00480F1C" w14:paraId="3EF8DA20"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F79F780" w14:textId="77777777" w:rsidR="00480F1C" w:rsidRDefault="00A201F6">
            <w:pPr>
              <w:pStyle w:val="P68B1DB1-Normal46"/>
              <w:spacing w:line="240" w:lineRule="auto"/>
              <w:jc w:val="center"/>
              <w:rPr>
                <w:noProof/>
              </w:rPr>
            </w:pPr>
            <w:r>
              <w:rPr>
                <w:noProof/>
              </w:rPr>
              <w:t>G9L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518B3C1" w14:textId="77777777" w:rsidR="00480F1C" w:rsidRDefault="00A201F6">
            <w:pPr>
              <w:pStyle w:val="P68B1DB1-Normal46"/>
              <w:spacing w:line="240" w:lineRule="auto"/>
              <w:rPr>
                <w:noProof/>
              </w:rPr>
            </w:pPr>
            <w:r>
              <w:rPr>
                <w:noProof/>
              </w:rPr>
              <w:t>G3.1.2 Vaardigheden voor de groene transitie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FB4CD2E"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6301DED" w14:textId="77777777" w:rsidR="00480F1C" w:rsidRDefault="00A201F6">
            <w:pPr>
              <w:pStyle w:val="P68B1DB1-Normal46"/>
              <w:spacing w:line="240" w:lineRule="auto"/>
              <w:rPr>
                <w:noProof/>
              </w:rPr>
            </w:pPr>
            <w:r>
              <w:rPr>
                <w:noProof/>
              </w:rPr>
              <w:t>Wijziging van het sectorale kwalificatiekader voor energie</w:t>
            </w:r>
          </w:p>
        </w:tc>
      </w:tr>
      <w:tr w:rsidR="00480F1C" w14:paraId="5AC023F9"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BD4CCF9" w14:textId="77777777" w:rsidR="00480F1C" w:rsidRDefault="00A201F6">
            <w:pPr>
              <w:pStyle w:val="P68B1DB1-Normal46"/>
              <w:spacing w:line="240" w:lineRule="auto"/>
              <w:jc w:val="center"/>
              <w:rPr>
                <w:noProof/>
              </w:rPr>
            </w:pPr>
            <w:r>
              <w:rPr>
                <w:noProof/>
              </w:rPr>
              <w:t>G13L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DC85402" w14:textId="77777777" w:rsidR="00480F1C" w:rsidRDefault="00A201F6">
            <w:pPr>
              <w:pStyle w:val="P68B1DB1-Normal46"/>
              <w:spacing w:line="240" w:lineRule="auto"/>
              <w:rPr>
                <w:noProof/>
              </w:rPr>
            </w:pPr>
            <w:r>
              <w:rPr>
                <w:noProof/>
              </w:rPr>
              <w:t xml:space="preserve">G3.1.4 Steun voor het nationale energiesysteem (Energiesteunfonds) </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94BABC3" w14:textId="77777777" w:rsidR="00480F1C" w:rsidRDefault="00A201F6">
            <w:pPr>
              <w:pStyle w:val="P68B1DB1-Normal46"/>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17094C48" w14:textId="77777777" w:rsidR="00480F1C" w:rsidRDefault="00A201F6">
            <w:pPr>
              <w:pStyle w:val="P68B1DB1-Normal46"/>
              <w:spacing w:line="240" w:lineRule="auto"/>
              <w:rPr>
                <w:noProof/>
              </w:rPr>
            </w:pPr>
            <w:r>
              <w:rPr>
                <w:noProof/>
              </w:rPr>
              <w:t>Juridische overeenkomsten met eindbegunstigden</w:t>
            </w:r>
          </w:p>
        </w:tc>
      </w:tr>
      <w:tr w:rsidR="00480F1C" w14:paraId="0942B913"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830DBAE" w14:textId="77777777" w:rsidR="00480F1C" w:rsidRDefault="00A201F6">
            <w:pPr>
              <w:pStyle w:val="P68B1DB1-Normal46"/>
              <w:spacing w:line="240" w:lineRule="auto"/>
              <w:jc w:val="center"/>
              <w:rPr>
                <w:noProof/>
              </w:rPr>
            </w:pPr>
            <w:r>
              <w:rPr>
                <w:noProof/>
              </w:rPr>
              <w:t>G17L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5685BFC" w14:textId="77777777" w:rsidR="00480F1C" w:rsidRDefault="00A201F6">
            <w:pPr>
              <w:pStyle w:val="P68B1DB1-Normal46"/>
              <w:spacing w:line="240" w:lineRule="auto"/>
              <w:rPr>
                <w:noProof/>
              </w:rPr>
            </w:pPr>
            <w:r>
              <w:rPr>
                <w:noProof/>
              </w:rPr>
              <w:t>G3.1.5 Steunfonds voor offshore-windenergie Bouw van windmolenparken op zee (windenergiefonds op zee)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F9D87BF" w14:textId="77777777" w:rsidR="00480F1C" w:rsidRDefault="00A201F6">
            <w:pPr>
              <w:pStyle w:val="P68B1DB1-Normal46"/>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96D82E0" w14:textId="77777777" w:rsidR="00480F1C" w:rsidRDefault="00A201F6">
            <w:pPr>
              <w:pStyle w:val="P68B1DB1-Normal46"/>
              <w:spacing w:line="240" w:lineRule="auto"/>
              <w:rPr>
                <w:noProof/>
              </w:rPr>
            </w:pPr>
            <w:r>
              <w:rPr>
                <w:noProof/>
              </w:rPr>
              <w:t>Juridische overeenkomsten met eindbegunstigden</w:t>
            </w:r>
          </w:p>
        </w:tc>
      </w:tr>
      <w:tr w:rsidR="00480F1C" w14:paraId="15A08F22"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FC2BE61" w14:textId="77777777" w:rsidR="00480F1C" w:rsidRDefault="00A201F6">
            <w:pPr>
              <w:pStyle w:val="P68B1DB1-Normal46"/>
              <w:spacing w:line="240" w:lineRule="auto"/>
              <w:jc w:val="center"/>
              <w:rPr>
                <w:noProof/>
              </w:rPr>
            </w:pPr>
            <w:r>
              <w:rPr>
                <w:noProof/>
                <w:color w:val="000000" w:themeColor="text1"/>
              </w:rPr>
              <w:t>G21L</w:t>
            </w:r>
            <w:r>
              <w:rPr>
                <w:noProof/>
                <w:color w:val="0078D4"/>
              </w:rPr>
              <w:t xml:space="preserve"> </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D0E7D15" w14:textId="77777777" w:rsidR="00480F1C" w:rsidRDefault="00A201F6">
            <w:pPr>
              <w:pStyle w:val="P68B1DB1-Normal46"/>
              <w:spacing w:line="240" w:lineRule="auto"/>
              <w:rPr>
                <w:noProof/>
              </w:rPr>
            </w:pPr>
            <w:r>
              <w:rPr>
                <w:noProof/>
                <w:color w:val="000000" w:themeColor="text1"/>
              </w:rPr>
              <w:t> G3.2.1 Bouw van aardgasinfrastructuur om energiezekerheid te waarborgen</w:t>
            </w:r>
            <w:r>
              <w:rPr>
                <w:noProof/>
                <w:color w:val="0078D4"/>
              </w:rPr>
              <w:t xml:space="preserve"> </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FE17368" w14:textId="77777777" w:rsidR="00480F1C" w:rsidRDefault="00A201F6">
            <w:pPr>
              <w:pStyle w:val="P68B1DB1-Normal46"/>
              <w:spacing w:line="240" w:lineRule="auto"/>
              <w:jc w:val="center"/>
              <w:rPr>
                <w:noProof/>
              </w:rPr>
            </w:pPr>
            <w:r>
              <w:rPr>
                <w:noProof/>
                <w:color w:val="000000" w:themeColor="text1"/>
              </w:rPr>
              <w:t>Mijlpaal</w:t>
            </w:r>
            <w:r>
              <w:rPr>
                <w:noProof/>
                <w:color w:val="0078D4"/>
              </w:rPr>
              <w:t xml:space="preserve"> </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7154262" w14:textId="77777777" w:rsidR="00480F1C" w:rsidRDefault="00A201F6">
            <w:pPr>
              <w:pStyle w:val="P68B1DB1-Normal46"/>
              <w:spacing w:line="240" w:lineRule="auto"/>
              <w:rPr>
                <w:noProof/>
              </w:rPr>
            </w:pPr>
            <w:r>
              <w:rPr>
                <w:noProof/>
                <w:color w:val="000000" w:themeColor="text1"/>
              </w:rPr>
              <w:t>Selectie van de contractant</w:t>
            </w:r>
            <w:r>
              <w:rPr>
                <w:noProof/>
                <w:color w:val="0078D4"/>
              </w:rPr>
              <w:t xml:space="preserve"> </w:t>
            </w:r>
          </w:p>
        </w:tc>
      </w:tr>
      <w:tr w:rsidR="00480F1C" w14:paraId="699B6605"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B9FC38C" w14:textId="77777777" w:rsidR="00480F1C" w:rsidRDefault="00A201F6">
            <w:pPr>
              <w:pStyle w:val="P68B1DB1-Normal46"/>
              <w:spacing w:line="240" w:lineRule="auto"/>
              <w:jc w:val="center"/>
              <w:rPr>
                <w:noProof/>
              </w:rPr>
            </w:pPr>
            <w:r>
              <w:rPr>
                <w:noProof/>
                <w:color w:val="000000" w:themeColor="text1"/>
              </w:rPr>
              <w:t>G22L</w:t>
            </w:r>
            <w:r>
              <w:rPr>
                <w:noProof/>
                <w:color w:val="0078D4"/>
              </w:rPr>
              <w:t xml:space="preserve"> </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B1DB48A" w14:textId="77777777" w:rsidR="00480F1C" w:rsidRDefault="00A201F6">
            <w:pPr>
              <w:pStyle w:val="P68B1DB1-Normal46"/>
              <w:spacing w:line="240" w:lineRule="auto"/>
              <w:rPr>
                <w:noProof/>
              </w:rPr>
            </w:pPr>
            <w:r>
              <w:rPr>
                <w:noProof/>
                <w:color w:val="000000" w:themeColor="text1"/>
              </w:rPr>
              <w:t> G3.2.1 Bouw van aardgasinfrastructuur om energiezekerheid te waarborgen</w:t>
            </w:r>
            <w:r>
              <w:rPr>
                <w:noProof/>
                <w:color w:val="0078D4"/>
              </w:rPr>
              <w:t xml:space="preserve"> </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DA3F470" w14:textId="77777777" w:rsidR="00480F1C" w:rsidRDefault="00A201F6">
            <w:pPr>
              <w:pStyle w:val="P68B1DB1-Normal46"/>
              <w:spacing w:line="240" w:lineRule="auto"/>
              <w:jc w:val="center"/>
              <w:rPr>
                <w:noProof/>
              </w:rPr>
            </w:pPr>
            <w:r>
              <w:rPr>
                <w:noProof/>
                <w:color w:val="000000" w:themeColor="text1"/>
              </w:rPr>
              <w:t>Mijlpaal</w:t>
            </w:r>
            <w:r>
              <w:rPr>
                <w:noProof/>
                <w:color w:val="0078D4"/>
              </w:rPr>
              <w:t xml:space="preserve"> </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5E55284" w14:textId="77777777" w:rsidR="00480F1C" w:rsidRDefault="00A201F6">
            <w:pPr>
              <w:pStyle w:val="P68B1DB1-Normal46"/>
              <w:spacing w:line="240" w:lineRule="auto"/>
              <w:rPr>
                <w:noProof/>
              </w:rPr>
            </w:pPr>
            <w:r>
              <w:rPr>
                <w:noProof/>
              </w:rPr>
              <w:t>Aanvang van de bouwwerkzaamheden</w:t>
            </w:r>
          </w:p>
        </w:tc>
      </w:tr>
      <w:tr w:rsidR="00480F1C" w14:paraId="4D9FB424" w14:textId="77777777">
        <w:tc>
          <w:tcPr>
            <w:tcW w:w="1350" w:type="dxa"/>
            <w:tcBorders>
              <w:top w:val="single" w:sz="6" w:space="0" w:color="auto"/>
              <w:left w:val="single" w:sz="6" w:space="0" w:color="auto"/>
              <w:bottom w:val="single" w:sz="6" w:space="0" w:color="auto"/>
              <w:right w:val="single" w:sz="6" w:space="0" w:color="auto"/>
            </w:tcBorders>
            <w:shd w:val="clear" w:color="auto" w:fill="C6EFCE"/>
            <w:vAlign w:val="center"/>
          </w:tcPr>
          <w:p w14:paraId="09A5C661" w14:textId="77777777" w:rsidR="00480F1C" w:rsidRDefault="00480F1C">
            <w:pPr>
              <w:spacing w:line="240" w:lineRule="auto"/>
              <w:rPr>
                <w:rFonts w:ascii="Times New Roman" w:eastAsia="Times New Roman" w:hAnsi="Times New Roman" w:cs="Times New Roman"/>
                <w:noProof/>
              </w:rPr>
            </w:pPr>
          </w:p>
        </w:tc>
        <w:tc>
          <w:tcPr>
            <w:tcW w:w="3960" w:type="dxa"/>
            <w:tcBorders>
              <w:top w:val="single" w:sz="6" w:space="0" w:color="auto"/>
              <w:left w:val="single" w:sz="6" w:space="0" w:color="auto"/>
              <w:bottom w:val="single" w:sz="6" w:space="0" w:color="auto"/>
              <w:right w:val="single" w:sz="6" w:space="0" w:color="auto"/>
            </w:tcBorders>
            <w:shd w:val="clear" w:color="auto" w:fill="C6EFCE"/>
            <w:vAlign w:val="center"/>
          </w:tcPr>
          <w:p w14:paraId="37B834AE"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vAlign w:val="center"/>
          </w:tcPr>
          <w:p w14:paraId="30C9CEF4" w14:textId="77777777" w:rsidR="00480F1C" w:rsidRDefault="00A201F6">
            <w:pPr>
              <w:pStyle w:val="P68B1DB1-Normal46"/>
              <w:spacing w:line="240" w:lineRule="auto"/>
              <w:rPr>
                <w:rFonts w:eastAsia="Times New Roman" w:cs="Times New Roman"/>
                <w:noProof/>
              </w:rPr>
            </w:pPr>
            <w:r>
              <w:rPr>
                <w:noProof/>
              </w:rPr>
              <w:t>Termijnbedrag</w:t>
            </w:r>
          </w:p>
        </w:tc>
        <w:tc>
          <w:tcPr>
            <w:tcW w:w="3927" w:type="dxa"/>
            <w:tcBorders>
              <w:top w:val="single" w:sz="6" w:space="0" w:color="auto"/>
              <w:left w:val="single" w:sz="6" w:space="0" w:color="auto"/>
              <w:bottom w:val="single" w:sz="6" w:space="0" w:color="auto"/>
              <w:right w:val="single" w:sz="6" w:space="0" w:color="auto"/>
            </w:tcBorders>
            <w:shd w:val="clear" w:color="auto" w:fill="C6EFCE"/>
            <w:vAlign w:val="center"/>
          </w:tcPr>
          <w:p w14:paraId="49153504" w14:textId="77777777" w:rsidR="00480F1C" w:rsidRDefault="00A201F6">
            <w:pPr>
              <w:pStyle w:val="P68B1DB1-Normal46"/>
              <w:spacing w:line="240" w:lineRule="auto"/>
              <w:rPr>
                <w:rFonts w:eastAsia="Times New Roman" w:cs="Times New Roman"/>
                <w:noProof/>
              </w:rPr>
            </w:pPr>
            <w:r>
              <w:rPr>
                <w:noProof/>
              </w:rPr>
              <w:t xml:space="preserve">EUR 3 355 926 170 </w:t>
            </w:r>
          </w:p>
        </w:tc>
      </w:tr>
    </w:tbl>
    <w:p w14:paraId="02CEB32E" w14:textId="77777777" w:rsidR="00480F1C" w:rsidRDefault="00480F1C">
      <w:pPr>
        <w:spacing w:before="120" w:after="120" w:line="240" w:lineRule="auto"/>
        <w:rPr>
          <w:rFonts w:ascii="Times New Roman" w:eastAsia="Times New Roman" w:hAnsi="Times New Roman" w:cs="Times New Roman"/>
          <w:noProof/>
          <w:color w:val="000000" w:themeColor="text1"/>
        </w:rPr>
      </w:pPr>
    </w:p>
    <w:p w14:paraId="4EBCA6FB" w14:textId="77777777" w:rsidR="00480F1C" w:rsidRDefault="00A201F6">
      <w:pPr>
        <w:pStyle w:val="P68B1DB1-Normal45"/>
        <w:pageBreakBefore/>
        <w:spacing w:before="120" w:after="120" w:line="240" w:lineRule="auto"/>
        <w:rPr>
          <w:rFonts w:eastAsia="Times New Roman" w:cs="Times New Roman"/>
          <w:noProof/>
        </w:rPr>
      </w:pPr>
      <w:r>
        <w:rPr>
          <w:noProof/>
        </w:rPr>
        <w:t>2.2.8. 8 Instament (steun via leningen):</w:t>
      </w:r>
    </w:p>
    <w:tbl>
      <w:tblPr>
        <w:tblW w:w="10482" w:type="dxa"/>
        <w:tblLayout w:type="fixed"/>
        <w:tblLook w:val="04A0" w:firstRow="1" w:lastRow="0" w:firstColumn="1" w:lastColumn="0" w:noHBand="0" w:noVBand="1"/>
      </w:tblPr>
      <w:tblGrid>
        <w:gridCol w:w="1350"/>
        <w:gridCol w:w="3960"/>
        <w:gridCol w:w="1245"/>
        <w:gridCol w:w="3927"/>
      </w:tblGrid>
      <w:tr w:rsidR="00480F1C" w14:paraId="0794D0D6" w14:textId="77777777">
        <w:trPr>
          <w:trHeight w:val="1052"/>
          <w:tblHeader/>
        </w:trPr>
        <w:tc>
          <w:tcPr>
            <w:tcW w:w="1350" w:type="dxa"/>
            <w:tcBorders>
              <w:top w:val="single" w:sz="6" w:space="0" w:color="auto"/>
              <w:left w:val="single" w:sz="6" w:space="0" w:color="auto"/>
              <w:bottom w:val="single" w:sz="6" w:space="0" w:color="auto"/>
              <w:right w:val="single" w:sz="6" w:space="0" w:color="auto"/>
            </w:tcBorders>
            <w:shd w:val="clear" w:color="auto" w:fill="BDD6EE"/>
            <w:vAlign w:val="center"/>
          </w:tcPr>
          <w:p w14:paraId="365EB8AA" w14:textId="77777777" w:rsidR="00480F1C" w:rsidRDefault="00A201F6">
            <w:pPr>
              <w:pStyle w:val="P68B1DB1-Normal42"/>
              <w:spacing w:line="240" w:lineRule="auto"/>
              <w:jc w:val="center"/>
              <w:rPr>
                <w:rFonts w:eastAsia="Times New Roman" w:cs="Times New Roman"/>
                <w:noProof/>
              </w:rPr>
            </w:pPr>
            <w:r>
              <w:rPr>
                <w:noProof/>
              </w:rPr>
              <w:t>Volgnummer</w:t>
            </w:r>
          </w:p>
        </w:tc>
        <w:tc>
          <w:tcPr>
            <w:tcW w:w="3960" w:type="dxa"/>
            <w:tcBorders>
              <w:top w:val="single" w:sz="6" w:space="0" w:color="auto"/>
              <w:left w:val="single" w:sz="6" w:space="0" w:color="auto"/>
              <w:bottom w:val="single" w:sz="6" w:space="0" w:color="auto"/>
              <w:right w:val="single" w:sz="6" w:space="0" w:color="auto"/>
            </w:tcBorders>
            <w:shd w:val="clear" w:color="auto" w:fill="BDD6EE"/>
            <w:vAlign w:val="center"/>
          </w:tcPr>
          <w:p w14:paraId="6ADF1531" w14:textId="77777777" w:rsidR="00480F1C" w:rsidRDefault="00A201F6">
            <w:pPr>
              <w:pStyle w:val="P68B1DB1-Normal42"/>
              <w:spacing w:line="240" w:lineRule="auto"/>
              <w:jc w:val="center"/>
              <w:rPr>
                <w:rFonts w:eastAsia="Times New Roman" w:cs="Times New Roman"/>
                <w:noProof/>
              </w:rPr>
            </w:pPr>
            <w:r>
              <w:rPr>
                <w:noProof/>
              </w:rPr>
              <w:t>Gerelateerde maatregel (hervorming of investering)</w:t>
            </w:r>
          </w:p>
        </w:tc>
        <w:tc>
          <w:tcPr>
            <w:tcW w:w="1245" w:type="dxa"/>
            <w:tcBorders>
              <w:top w:val="single" w:sz="6" w:space="0" w:color="auto"/>
              <w:left w:val="single" w:sz="6" w:space="0" w:color="auto"/>
              <w:bottom w:val="single" w:sz="6" w:space="0" w:color="auto"/>
              <w:right w:val="single" w:sz="6" w:space="0" w:color="auto"/>
            </w:tcBorders>
            <w:shd w:val="clear" w:color="auto" w:fill="BDD6EE"/>
            <w:vAlign w:val="center"/>
          </w:tcPr>
          <w:p w14:paraId="0B3CE4ED" w14:textId="77777777" w:rsidR="00480F1C" w:rsidRDefault="00A201F6">
            <w:pPr>
              <w:pStyle w:val="P68B1DB1-Normal42"/>
              <w:spacing w:line="240" w:lineRule="auto"/>
              <w:jc w:val="center"/>
              <w:rPr>
                <w:rFonts w:eastAsia="Times New Roman" w:cs="Times New Roman"/>
                <w:noProof/>
              </w:rPr>
            </w:pPr>
            <w:r>
              <w:rPr>
                <w:noProof/>
              </w:rPr>
              <w:t>Mijlpaal/Doelstelling</w:t>
            </w:r>
          </w:p>
        </w:tc>
        <w:tc>
          <w:tcPr>
            <w:tcW w:w="3927" w:type="dxa"/>
            <w:tcBorders>
              <w:top w:val="single" w:sz="6" w:space="0" w:color="auto"/>
              <w:left w:val="single" w:sz="6" w:space="0" w:color="auto"/>
              <w:bottom w:val="single" w:sz="6" w:space="0" w:color="auto"/>
              <w:right w:val="single" w:sz="6" w:space="0" w:color="auto"/>
            </w:tcBorders>
            <w:shd w:val="clear" w:color="auto" w:fill="BDD6EE"/>
            <w:vAlign w:val="center"/>
          </w:tcPr>
          <w:p w14:paraId="3A270FC5" w14:textId="77777777" w:rsidR="00480F1C" w:rsidRDefault="00A201F6">
            <w:pPr>
              <w:pStyle w:val="P68B1DB1-Normal42"/>
              <w:spacing w:line="240" w:lineRule="auto"/>
              <w:jc w:val="center"/>
              <w:rPr>
                <w:rFonts w:eastAsia="Times New Roman" w:cs="Times New Roman"/>
                <w:noProof/>
              </w:rPr>
            </w:pPr>
            <w:r>
              <w:rPr>
                <w:noProof/>
              </w:rPr>
              <w:t>Naam</w:t>
            </w:r>
          </w:p>
        </w:tc>
      </w:tr>
      <w:tr w:rsidR="00480F1C" w14:paraId="26F3A241"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31C542B" w14:textId="77777777" w:rsidR="00480F1C" w:rsidRDefault="00A201F6">
            <w:pPr>
              <w:pStyle w:val="P68B1DB1-Normal46"/>
              <w:spacing w:line="240" w:lineRule="auto"/>
              <w:jc w:val="center"/>
              <w:rPr>
                <w:rFonts w:eastAsia="Times New Roman" w:cs="Times New Roman"/>
                <w:noProof/>
              </w:rPr>
            </w:pPr>
            <w:r>
              <w:rPr>
                <w:noProof/>
              </w:rPr>
              <w:t>A3L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0D5D8D4" w14:textId="77777777" w:rsidR="00480F1C" w:rsidRDefault="00A201F6">
            <w:pPr>
              <w:pStyle w:val="P68B1DB1-Normal46"/>
              <w:spacing w:line="240" w:lineRule="auto"/>
              <w:rPr>
                <w:rFonts w:eastAsia="Times New Roman" w:cs="Times New Roman"/>
                <w:noProof/>
              </w:rPr>
            </w:pPr>
            <w:r>
              <w:rPr>
                <w:noProof/>
              </w:rPr>
              <w:t>A2.5.1 Een programma ter ondersteuning van de activiteiten van entiteiten in de culturele en creatieve sector om hun ontwikkeling te stimuleren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6EC0360"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74A42DA" w14:textId="77777777" w:rsidR="00480F1C" w:rsidRDefault="00A201F6">
            <w:pPr>
              <w:pStyle w:val="P68B1DB1-Normal46"/>
              <w:spacing w:line="240" w:lineRule="auto"/>
              <w:rPr>
                <w:rFonts w:eastAsia="Times New Roman" w:cs="Times New Roman"/>
                <w:noProof/>
              </w:rPr>
            </w:pPr>
            <w:r>
              <w:rPr>
                <w:noProof/>
              </w:rPr>
              <w:t xml:space="preserve">Aantal ondertekende contracten voor projecten door culturele instellingen, ngo’s, kmo’s en micro-ondernemingen die actief zijn in de culturele en creatieve sector (CCS)   </w:t>
            </w:r>
          </w:p>
        </w:tc>
      </w:tr>
      <w:tr w:rsidR="00480F1C" w14:paraId="39366C42"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BA45128" w14:textId="77777777" w:rsidR="00480F1C" w:rsidRDefault="00A201F6">
            <w:pPr>
              <w:pStyle w:val="P68B1DB1-Normal46"/>
              <w:spacing w:line="240" w:lineRule="auto"/>
              <w:jc w:val="center"/>
              <w:rPr>
                <w:rFonts w:eastAsia="Times New Roman" w:cs="Times New Roman"/>
                <w:noProof/>
              </w:rPr>
            </w:pPr>
            <w:r>
              <w:rPr>
                <w:noProof/>
              </w:rPr>
              <w:t>A4L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9CA588E" w14:textId="77777777" w:rsidR="00480F1C" w:rsidRDefault="00A201F6">
            <w:pPr>
              <w:pStyle w:val="P68B1DB1-Normal46"/>
              <w:spacing w:line="240" w:lineRule="auto"/>
              <w:rPr>
                <w:rFonts w:eastAsia="Times New Roman" w:cs="Times New Roman"/>
                <w:noProof/>
              </w:rPr>
            </w:pPr>
            <w:r>
              <w:rPr>
                <w:noProof/>
              </w:rPr>
              <w:t>A2.5.1 Een programma ter ondersteuning van de activiteiten van entiteiten in de culturele en creatieve sector om hun ontwikkeling te stimuleren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2B3FE28"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E29EB58" w14:textId="77777777" w:rsidR="00480F1C" w:rsidRDefault="00A201F6">
            <w:pPr>
              <w:pStyle w:val="P68B1DB1-Normal46"/>
              <w:spacing w:line="240" w:lineRule="auto"/>
              <w:rPr>
                <w:rFonts w:eastAsia="Times New Roman" w:cs="Times New Roman"/>
                <w:noProof/>
              </w:rPr>
            </w:pPr>
            <w:r>
              <w:rPr>
                <w:noProof/>
              </w:rPr>
              <w:t>Aantal toegekende beurzen in de culturele en creatieve sectoren (CCS)</w:t>
            </w:r>
          </w:p>
        </w:tc>
      </w:tr>
      <w:tr w:rsidR="00480F1C" w14:paraId="67370045"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7E3EFEC" w14:textId="77777777" w:rsidR="00480F1C" w:rsidRDefault="00A201F6">
            <w:pPr>
              <w:pStyle w:val="P68B1DB1-Normal46"/>
              <w:spacing w:line="240" w:lineRule="auto"/>
              <w:jc w:val="center"/>
              <w:rPr>
                <w:rFonts w:eastAsia="Times New Roman" w:cs="Times New Roman"/>
                <w:noProof/>
              </w:rPr>
            </w:pPr>
            <w:r>
              <w:rPr>
                <w:noProof/>
              </w:rPr>
              <w:t>B5L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7E7829AA" w14:textId="77777777" w:rsidR="00480F1C" w:rsidRDefault="00A201F6">
            <w:pPr>
              <w:pStyle w:val="P68B1DB1-Normal46"/>
              <w:spacing w:line="240" w:lineRule="auto"/>
              <w:rPr>
                <w:rFonts w:eastAsia="Times New Roman" w:cs="Times New Roman"/>
                <w:noProof/>
              </w:rPr>
            </w:pPr>
            <w:r>
              <w:rPr>
                <w:noProof/>
              </w:rPr>
              <w:t xml:space="preserve">B2.3 Steun voor investeringen in windmolenparken op zee </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2E3658D"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8BBC9BC" w14:textId="77777777" w:rsidR="00480F1C" w:rsidRDefault="00A201F6">
            <w:pPr>
              <w:pStyle w:val="P68B1DB1-Normal46"/>
              <w:spacing w:line="240" w:lineRule="auto"/>
              <w:rPr>
                <w:rFonts w:eastAsia="Times New Roman" w:cs="Times New Roman"/>
                <w:noProof/>
              </w:rPr>
            </w:pPr>
            <w:r>
              <w:rPr>
                <w:noProof/>
              </w:rPr>
              <w:t>Organisatie van veilingen voor elektriciteit uit offshore windmolenparken</w:t>
            </w:r>
          </w:p>
        </w:tc>
      </w:tr>
      <w:tr w:rsidR="00480F1C" w14:paraId="6FADB844"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4124224" w14:textId="77777777" w:rsidR="00480F1C" w:rsidRDefault="00A201F6">
            <w:pPr>
              <w:pStyle w:val="P68B1DB1-Normal46"/>
              <w:spacing w:line="240" w:lineRule="auto"/>
              <w:jc w:val="center"/>
              <w:rPr>
                <w:rFonts w:eastAsia="Times New Roman" w:cs="Times New Roman"/>
                <w:noProof/>
              </w:rPr>
            </w:pPr>
            <w:r>
              <w:rPr>
                <w:noProof/>
              </w:rPr>
              <w:t>B18L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B802836" w14:textId="77777777" w:rsidR="00480F1C" w:rsidRDefault="00A201F6">
            <w:pPr>
              <w:pStyle w:val="P68B1DB1-Normal026"/>
              <w:spacing w:line="240" w:lineRule="auto"/>
              <w:rPr>
                <w:rFonts w:eastAsia="Times New Roman" w:cs="Times New Roman"/>
                <w:noProof/>
              </w:rPr>
            </w:pPr>
            <w:r>
              <w:rPr>
                <w:noProof/>
              </w:rPr>
              <w:t xml:space="preserve"> B3.2.1 Investeringen in risiconeutralisatie en herstel van grootschalige brownfieldterreinen en de Oostzee</w:t>
            </w:r>
          </w:p>
          <w:p w14:paraId="4E935DE2"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6857EC6"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A5D12F9" w14:textId="77777777" w:rsidR="00480F1C" w:rsidRDefault="00A201F6">
            <w:pPr>
              <w:pStyle w:val="P68B1DB1-Normal46"/>
              <w:spacing w:line="240" w:lineRule="auto"/>
              <w:rPr>
                <w:rFonts w:eastAsia="Times New Roman" w:cs="Times New Roman"/>
                <w:noProof/>
              </w:rPr>
            </w:pPr>
            <w:r>
              <w:rPr>
                <w:noProof/>
              </w:rPr>
              <w:t>Locaties in Poolse zeegebieden (met inbegrip van wrakken) met uitgevoerde inventarisatie en veldonderzoek in verband met de aanwezigheid van gevaarlijke materialen</w:t>
            </w:r>
          </w:p>
        </w:tc>
      </w:tr>
      <w:tr w:rsidR="00480F1C" w14:paraId="17FA4380"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682F26D" w14:textId="77777777" w:rsidR="00480F1C" w:rsidRDefault="00A201F6">
            <w:pPr>
              <w:pStyle w:val="P68B1DB1-Normal46"/>
              <w:spacing w:line="240" w:lineRule="auto"/>
              <w:jc w:val="center"/>
              <w:rPr>
                <w:rFonts w:eastAsia="Times New Roman" w:cs="Times New Roman"/>
                <w:noProof/>
              </w:rPr>
            </w:pPr>
            <w:r>
              <w:rPr>
                <w:noProof/>
              </w:rPr>
              <w:t>B23L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89B24D4" w14:textId="77777777" w:rsidR="00480F1C" w:rsidRDefault="00A201F6">
            <w:pPr>
              <w:pStyle w:val="P68B1DB1-Normal46"/>
              <w:spacing w:line="240" w:lineRule="auto"/>
              <w:rPr>
                <w:rFonts w:eastAsia="Times New Roman" w:cs="Times New Roman"/>
                <w:noProof/>
              </w:rPr>
            </w:pPr>
            <w:r>
              <w:rPr>
                <w:noProof/>
              </w:rPr>
              <w:t>B3.3.1 Investeringen om het potentieel van duurzaam waterbeheer in plattelandsgebieden te vergroten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2E09BC8"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DC4F510" w14:textId="77777777" w:rsidR="00480F1C" w:rsidRDefault="00A201F6">
            <w:pPr>
              <w:pStyle w:val="P68B1DB1-Normal46"/>
              <w:spacing w:line="240" w:lineRule="auto"/>
              <w:rPr>
                <w:rFonts w:eastAsia="Times New Roman" w:cs="Times New Roman"/>
                <w:noProof/>
              </w:rPr>
            </w:pPr>
            <w:r>
              <w:rPr>
                <w:noProof/>
              </w:rPr>
              <w:t>Oppervlakte landbouwgrond/bos (in hectare) dat profiteert van een verbeterde waterretentie</w:t>
            </w:r>
          </w:p>
        </w:tc>
      </w:tr>
      <w:tr w:rsidR="00480F1C" w14:paraId="5D7ACC1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6FC536C" w14:textId="77777777" w:rsidR="00480F1C" w:rsidRDefault="00A201F6">
            <w:pPr>
              <w:pStyle w:val="P68B1DB1-Normal46"/>
              <w:spacing w:line="240" w:lineRule="auto"/>
              <w:jc w:val="center"/>
              <w:rPr>
                <w:rFonts w:eastAsia="Times New Roman" w:cs="Times New Roman"/>
                <w:noProof/>
              </w:rPr>
            </w:pPr>
            <w:r>
              <w:rPr>
                <w:noProof/>
              </w:rPr>
              <w:t>B27L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91952D7" w14:textId="77777777" w:rsidR="00480F1C" w:rsidRDefault="00A201F6">
            <w:pPr>
              <w:pStyle w:val="P68B1DB1-Normal46"/>
              <w:spacing w:line="240" w:lineRule="auto"/>
              <w:rPr>
                <w:rFonts w:eastAsia="Times New Roman" w:cs="Times New Roman"/>
                <w:noProof/>
              </w:rPr>
            </w:pPr>
            <w:r>
              <w:rPr>
                <w:noProof/>
              </w:rPr>
              <w:t>B3.4.1 Investeringen in een groene transformatie van steden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B8BDEA4"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FE91FED" w14:textId="77777777" w:rsidR="00480F1C" w:rsidRDefault="00A201F6">
            <w:pPr>
              <w:pStyle w:val="P68B1DB1-Normal46"/>
              <w:spacing w:line="240" w:lineRule="auto"/>
              <w:rPr>
                <w:rFonts w:eastAsia="Times New Roman" w:cs="Times New Roman"/>
                <w:noProof/>
              </w:rPr>
            </w:pPr>
            <w:r>
              <w:rPr>
                <w:noProof/>
              </w:rPr>
              <w:t>T2 — Ondertekening van alle contracten voor investeringen in groene stadsontwikkelingsprojecten (berekend op samengestelde basis)</w:t>
            </w:r>
          </w:p>
        </w:tc>
      </w:tr>
      <w:tr w:rsidR="00480F1C" w14:paraId="35EA94A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AF49E71" w14:textId="77777777" w:rsidR="00480F1C" w:rsidRDefault="00A201F6">
            <w:pPr>
              <w:pStyle w:val="P68B1DB1-Normal46"/>
              <w:spacing w:line="240" w:lineRule="auto"/>
              <w:jc w:val="center"/>
              <w:rPr>
                <w:rFonts w:eastAsia="Times New Roman" w:cs="Times New Roman"/>
                <w:noProof/>
              </w:rPr>
            </w:pPr>
            <w:r>
              <w:rPr>
                <w:noProof/>
              </w:rPr>
              <w:t>C13L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56F3A35" w14:textId="77777777" w:rsidR="00480F1C" w:rsidRDefault="00A201F6">
            <w:pPr>
              <w:pStyle w:val="P68B1DB1-Normal46"/>
              <w:spacing w:line="240" w:lineRule="auto"/>
              <w:rPr>
                <w:rFonts w:eastAsia="Times New Roman" w:cs="Times New Roman"/>
                <w:noProof/>
              </w:rPr>
            </w:pPr>
            <w:r>
              <w:rPr>
                <w:noProof/>
              </w:rPr>
              <w:t>C2.2.1 Scholen/instellingen uitrusten met adequate ICT-apparatuur en -infrastructuur om de algemene prestaties van het onderwijssysteem te verbeteren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718BEF9"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B632761" w14:textId="77777777" w:rsidR="00480F1C" w:rsidRDefault="00A201F6">
            <w:pPr>
              <w:pStyle w:val="P68B1DB1-Normal46"/>
              <w:spacing w:line="240" w:lineRule="auto"/>
              <w:rPr>
                <w:rFonts w:eastAsia="Times New Roman" w:cs="Times New Roman"/>
                <w:noProof/>
              </w:rPr>
            </w:pPr>
            <w:r>
              <w:rPr>
                <w:noProof/>
              </w:rPr>
              <w:t xml:space="preserve">Laboratoria voor kunstmatige intelligentie (AI) en STEM-laboratoria (wetenschap, technologie, engineering en wiskunde) in scholen en andere onderwijsinstellingen </w:t>
            </w:r>
          </w:p>
        </w:tc>
      </w:tr>
      <w:tr w:rsidR="00480F1C" w14:paraId="10972D4A"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3565B90" w14:textId="77777777" w:rsidR="00480F1C" w:rsidRDefault="00A201F6">
            <w:pPr>
              <w:pStyle w:val="P68B1DB1-Normal46"/>
              <w:spacing w:line="240" w:lineRule="auto"/>
              <w:jc w:val="center"/>
              <w:rPr>
                <w:rFonts w:eastAsia="Times New Roman" w:cs="Times New Roman"/>
                <w:noProof/>
              </w:rPr>
            </w:pPr>
            <w:r>
              <w:rPr>
                <w:noProof/>
              </w:rPr>
              <w:t>C14L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30344F5" w14:textId="77777777" w:rsidR="00480F1C" w:rsidRDefault="00A201F6">
            <w:pPr>
              <w:pStyle w:val="P68B1DB1-Normal46"/>
              <w:spacing w:line="240" w:lineRule="auto"/>
              <w:rPr>
                <w:rFonts w:eastAsia="Times New Roman" w:cs="Times New Roman"/>
                <w:noProof/>
              </w:rPr>
            </w:pPr>
            <w:r>
              <w:rPr>
                <w:noProof/>
              </w:rPr>
              <w:t>C2.2.1 Scholen/instellingen uitrusten met adequate ICT-apparatuur en -infrastructuur om de algemene prestaties van het onderwijssysteem te verbeteren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F7933D5" w14:textId="77777777" w:rsidR="00480F1C" w:rsidRDefault="00A201F6">
            <w:pPr>
              <w:pStyle w:val="P68B1DB1-Normal46"/>
              <w:spacing w:line="240" w:lineRule="auto"/>
              <w:jc w:val="center"/>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7C6617F" w14:textId="77777777" w:rsidR="00480F1C" w:rsidRDefault="00A201F6">
            <w:pPr>
              <w:pStyle w:val="P68B1DB1-Normal46"/>
              <w:spacing w:line="240" w:lineRule="auto"/>
              <w:rPr>
                <w:rFonts w:eastAsia="Times New Roman" w:cs="Times New Roman"/>
                <w:noProof/>
              </w:rPr>
            </w:pPr>
            <w:r>
              <w:rPr>
                <w:noProof/>
              </w:rPr>
              <w:t>Digitalisering van het examensysteem</w:t>
            </w:r>
          </w:p>
        </w:tc>
      </w:tr>
      <w:tr w:rsidR="00480F1C" w14:paraId="56C06289"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2B135F2" w14:textId="77777777" w:rsidR="00480F1C" w:rsidRDefault="00A201F6">
            <w:pPr>
              <w:pStyle w:val="P68B1DB1-Normal46"/>
              <w:spacing w:line="240" w:lineRule="auto"/>
              <w:jc w:val="center"/>
              <w:rPr>
                <w:noProof/>
              </w:rPr>
            </w:pPr>
            <w:r>
              <w:rPr>
                <w:noProof/>
              </w:rPr>
              <w:t>G4L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336F3206" w14:textId="77777777" w:rsidR="00480F1C" w:rsidRDefault="00A201F6">
            <w:pPr>
              <w:pStyle w:val="P68B1DB1-Normal46"/>
              <w:spacing w:line="240" w:lineRule="auto"/>
              <w:rPr>
                <w:noProof/>
              </w:rPr>
            </w:pPr>
            <w:r>
              <w:rPr>
                <w:noProof/>
              </w:rPr>
              <w:t>G3.1.1 stroomlijning van het vergunningsproces voor hernieuwbare energiebronnen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BDED0FE" w14:textId="77777777" w:rsidR="00480F1C" w:rsidRDefault="00A201F6">
            <w:pPr>
              <w:pStyle w:val="P68B1DB1-Normal46"/>
              <w:spacing w:line="240" w:lineRule="auto"/>
              <w:rPr>
                <w:rFonts w:eastAsia="Times New Roman" w:cs="Times New Roman"/>
                <w:noProof/>
              </w:rPr>
            </w:pPr>
            <w:r>
              <w:rPr>
                <w:noProof/>
              </w:rPr>
              <w:t>Mijlpaal</w:t>
            </w:r>
          </w:p>
          <w:p w14:paraId="3E047EAF" w14:textId="77777777" w:rsidR="00480F1C" w:rsidRDefault="00480F1C">
            <w:pPr>
              <w:spacing w:line="240" w:lineRule="auto"/>
              <w:jc w:val="center"/>
              <w:rPr>
                <w:rFonts w:ascii="Times New Roman" w:hAnsi="Times New Roman"/>
                <w:noProof/>
              </w:rPr>
            </w:pP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D7CD451" w14:textId="77777777" w:rsidR="00480F1C" w:rsidRDefault="00A201F6">
            <w:pPr>
              <w:pStyle w:val="P68B1DB1-Normal46"/>
              <w:spacing w:after="0" w:line="240" w:lineRule="auto"/>
              <w:rPr>
                <w:rFonts w:eastAsia="Times New Roman" w:cs="Times New Roman"/>
                <w:noProof/>
              </w:rPr>
            </w:pPr>
            <w:r>
              <w:rPr>
                <w:noProof/>
              </w:rPr>
              <w:t xml:space="preserve">Digitalisering van vergunningsprocedures  </w:t>
            </w:r>
          </w:p>
          <w:p w14:paraId="48EA11F9" w14:textId="77777777" w:rsidR="00480F1C" w:rsidRDefault="00480F1C">
            <w:pPr>
              <w:spacing w:line="240" w:lineRule="auto"/>
              <w:rPr>
                <w:rFonts w:ascii="Times New Roman" w:hAnsi="Times New Roman"/>
                <w:noProof/>
              </w:rPr>
            </w:pPr>
          </w:p>
        </w:tc>
      </w:tr>
      <w:tr w:rsidR="00480F1C" w14:paraId="742DE5D5"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2D90FCE2" w14:textId="77777777" w:rsidR="00480F1C" w:rsidRDefault="00A201F6">
            <w:pPr>
              <w:pStyle w:val="P68B1DB1-Normal46"/>
              <w:spacing w:line="240" w:lineRule="auto"/>
              <w:jc w:val="center"/>
              <w:rPr>
                <w:noProof/>
              </w:rPr>
            </w:pPr>
            <w:r>
              <w:rPr>
                <w:noProof/>
              </w:rPr>
              <w:t>G6L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E423F26" w14:textId="77777777" w:rsidR="00480F1C" w:rsidRDefault="00A201F6">
            <w:pPr>
              <w:pStyle w:val="P68B1DB1-Normal46"/>
              <w:spacing w:line="240" w:lineRule="auto"/>
              <w:rPr>
                <w:rFonts w:eastAsia="Times New Roman" w:cs="Times New Roman"/>
                <w:noProof/>
              </w:rPr>
            </w:pPr>
            <w:r>
              <w:rPr>
                <w:noProof/>
              </w:rPr>
              <w:t>G3.1.1 stroomlijning van het vergunningsproces voor hernieuwbare energiebronnen</w:t>
            </w:r>
          </w:p>
          <w:p w14:paraId="3E7D4E80" w14:textId="77777777" w:rsidR="00480F1C" w:rsidRDefault="00480F1C">
            <w:pPr>
              <w:spacing w:line="240" w:lineRule="auto"/>
              <w:rPr>
                <w:rFonts w:ascii="Times New Roman" w:hAnsi="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68395918" w14:textId="77777777" w:rsidR="00480F1C" w:rsidRDefault="00A201F6">
            <w:pPr>
              <w:pStyle w:val="P68B1DB1-Normal46"/>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B1BCA54" w14:textId="77777777" w:rsidR="00480F1C" w:rsidRDefault="00A201F6">
            <w:pPr>
              <w:pStyle w:val="P68B1DB1-Normal46"/>
              <w:spacing w:line="240" w:lineRule="auto"/>
              <w:rPr>
                <w:noProof/>
              </w:rPr>
            </w:pPr>
            <w:r>
              <w:rPr>
                <w:noProof/>
              </w:rPr>
              <w:t>Geïnstalleerde capaciteit van wind- en fotovoltaïsche installaties op het land (in GW)</w:t>
            </w:r>
          </w:p>
        </w:tc>
      </w:tr>
      <w:tr w:rsidR="00480F1C" w14:paraId="5C97C591"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FD71D2F" w14:textId="77777777" w:rsidR="00480F1C" w:rsidRDefault="00A201F6">
            <w:pPr>
              <w:pStyle w:val="P68B1DB1-Normal46"/>
              <w:spacing w:line="240" w:lineRule="auto"/>
              <w:jc w:val="center"/>
              <w:rPr>
                <w:noProof/>
              </w:rPr>
            </w:pPr>
            <w:r>
              <w:rPr>
                <w:noProof/>
              </w:rPr>
              <w:t>G7L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A8750D8" w14:textId="77777777" w:rsidR="00480F1C" w:rsidRDefault="00A201F6">
            <w:pPr>
              <w:pStyle w:val="P68B1DB1-Normal46"/>
              <w:spacing w:line="240" w:lineRule="auto"/>
              <w:rPr>
                <w:rFonts w:eastAsia="Times New Roman" w:cs="Times New Roman"/>
                <w:noProof/>
              </w:rPr>
            </w:pPr>
            <w:r>
              <w:rPr>
                <w:noProof/>
              </w:rPr>
              <w:t>G3.1.1 stroomlijning van het vergunningsproces voor hernieuwbare energiebronnen</w:t>
            </w:r>
          </w:p>
          <w:p w14:paraId="54352DDB" w14:textId="77777777" w:rsidR="00480F1C" w:rsidRDefault="00480F1C">
            <w:pPr>
              <w:spacing w:line="240" w:lineRule="auto"/>
              <w:rPr>
                <w:rFonts w:ascii="Times New Roman" w:hAnsi="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72D1E07" w14:textId="77777777" w:rsidR="00480F1C" w:rsidRDefault="00A201F6">
            <w:pPr>
              <w:pStyle w:val="P68B1DB1-Normal46"/>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8E5A27F" w14:textId="77777777" w:rsidR="00480F1C" w:rsidRDefault="00A201F6">
            <w:pPr>
              <w:pStyle w:val="P68B1DB1-Normal46"/>
              <w:spacing w:line="240" w:lineRule="auto"/>
              <w:rPr>
                <w:noProof/>
              </w:rPr>
            </w:pPr>
            <w:r>
              <w:rPr>
                <w:noProof/>
              </w:rPr>
              <w:t>Geïnstalleerde capaciteit van wind- en fotovoltaïsche installaties op het land (in GW)</w:t>
            </w:r>
          </w:p>
        </w:tc>
      </w:tr>
      <w:tr w:rsidR="00480F1C" w14:paraId="74EE078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58326F0" w14:textId="77777777" w:rsidR="00480F1C" w:rsidRDefault="00A201F6">
            <w:pPr>
              <w:pStyle w:val="P68B1DB1-Normal46"/>
              <w:spacing w:line="240" w:lineRule="auto"/>
              <w:jc w:val="center"/>
              <w:rPr>
                <w:noProof/>
              </w:rPr>
            </w:pPr>
            <w:r>
              <w:rPr>
                <w:noProof/>
              </w:rPr>
              <w:t>G10L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379A82B" w14:textId="77777777" w:rsidR="00480F1C" w:rsidRDefault="00A201F6">
            <w:pPr>
              <w:pStyle w:val="P68B1DB1-Normal46"/>
              <w:spacing w:line="240" w:lineRule="auto"/>
              <w:rPr>
                <w:noProof/>
              </w:rPr>
            </w:pPr>
            <w:r>
              <w:rPr>
                <w:noProof/>
              </w:rPr>
              <w:t>G3.1.2 Vaardigheden voor de groene transitie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7D35516F" w14:textId="77777777" w:rsidR="00480F1C" w:rsidRDefault="00A201F6">
            <w:pPr>
              <w:pStyle w:val="P68B1DB1-Normal46"/>
              <w:spacing w:line="240" w:lineRule="auto"/>
              <w:jc w:val="center"/>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1820B09" w14:textId="77777777" w:rsidR="00480F1C" w:rsidRDefault="00A201F6">
            <w:pPr>
              <w:pStyle w:val="P68B1DB1-Normal46"/>
              <w:spacing w:line="240" w:lineRule="auto"/>
              <w:rPr>
                <w:noProof/>
              </w:rPr>
            </w:pPr>
            <w:r>
              <w:rPr>
                <w:noProof/>
              </w:rPr>
              <w:t>Sectorale kwalificatiekaders in de meest kritieke sectoren van de groene transformatie die zijn opgenomen in het geïntegreerd kwalificatiesysteem</w:t>
            </w:r>
          </w:p>
        </w:tc>
      </w:tr>
      <w:tr w:rsidR="00480F1C" w14:paraId="0EB8B54C" w14:textId="77777777">
        <w:tc>
          <w:tcPr>
            <w:tcW w:w="1350" w:type="dxa"/>
            <w:tcBorders>
              <w:top w:val="single" w:sz="6" w:space="0" w:color="auto"/>
              <w:left w:val="single" w:sz="6" w:space="0" w:color="auto"/>
              <w:bottom w:val="single" w:sz="6" w:space="0" w:color="auto"/>
              <w:right w:val="single" w:sz="6" w:space="0" w:color="auto"/>
            </w:tcBorders>
            <w:shd w:val="clear" w:color="auto" w:fill="C6EFCE"/>
            <w:vAlign w:val="center"/>
          </w:tcPr>
          <w:p w14:paraId="6AA4774D" w14:textId="77777777" w:rsidR="00480F1C" w:rsidRDefault="00480F1C">
            <w:pPr>
              <w:spacing w:line="240" w:lineRule="auto"/>
              <w:rPr>
                <w:rFonts w:ascii="Times New Roman" w:eastAsia="Times New Roman" w:hAnsi="Times New Roman" w:cs="Times New Roman"/>
                <w:noProof/>
              </w:rPr>
            </w:pPr>
          </w:p>
        </w:tc>
        <w:tc>
          <w:tcPr>
            <w:tcW w:w="3960" w:type="dxa"/>
            <w:tcBorders>
              <w:top w:val="single" w:sz="6" w:space="0" w:color="auto"/>
              <w:left w:val="single" w:sz="6" w:space="0" w:color="auto"/>
              <w:bottom w:val="single" w:sz="6" w:space="0" w:color="auto"/>
              <w:right w:val="single" w:sz="6" w:space="0" w:color="auto"/>
            </w:tcBorders>
            <w:shd w:val="clear" w:color="auto" w:fill="C6EFCE"/>
            <w:vAlign w:val="center"/>
          </w:tcPr>
          <w:p w14:paraId="4281AA80"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vAlign w:val="center"/>
          </w:tcPr>
          <w:p w14:paraId="0376CF10" w14:textId="77777777" w:rsidR="00480F1C" w:rsidRDefault="00A201F6">
            <w:pPr>
              <w:pStyle w:val="P68B1DB1-Normal46"/>
              <w:spacing w:line="240" w:lineRule="auto"/>
              <w:rPr>
                <w:rFonts w:eastAsia="Times New Roman" w:cs="Times New Roman"/>
                <w:noProof/>
              </w:rPr>
            </w:pPr>
            <w:r>
              <w:rPr>
                <w:noProof/>
              </w:rPr>
              <w:t>Termijnbedrag</w:t>
            </w:r>
          </w:p>
        </w:tc>
        <w:tc>
          <w:tcPr>
            <w:tcW w:w="3927" w:type="dxa"/>
            <w:tcBorders>
              <w:top w:val="single" w:sz="6" w:space="0" w:color="auto"/>
              <w:left w:val="single" w:sz="6" w:space="0" w:color="auto"/>
              <w:bottom w:val="single" w:sz="6" w:space="0" w:color="auto"/>
              <w:right w:val="single" w:sz="6" w:space="0" w:color="auto"/>
            </w:tcBorders>
            <w:shd w:val="clear" w:color="auto" w:fill="C6EFCE"/>
            <w:vAlign w:val="center"/>
          </w:tcPr>
          <w:p w14:paraId="7FF25520" w14:textId="77777777" w:rsidR="00480F1C" w:rsidRDefault="00A201F6">
            <w:pPr>
              <w:pStyle w:val="P68B1DB1-Normal46"/>
              <w:spacing w:line="240" w:lineRule="auto"/>
              <w:rPr>
                <w:rFonts w:eastAsia="Times New Roman" w:cs="Times New Roman"/>
                <w:noProof/>
              </w:rPr>
            </w:pPr>
            <w:r>
              <w:rPr>
                <w:noProof/>
              </w:rPr>
              <w:t xml:space="preserve">EUR 3 678 257 125 </w:t>
            </w:r>
          </w:p>
        </w:tc>
      </w:tr>
    </w:tbl>
    <w:p w14:paraId="5F0FE412" w14:textId="77777777" w:rsidR="00480F1C" w:rsidRDefault="00480F1C">
      <w:pPr>
        <w:spacing w:before="120" w:after="120" w:line="240" w:lineRule="auto"/>
        <w:rPr>
          <w:rFonts w:ascii="Times New Roman" w:eastAsia="Times New Roman" w:hAnsi="Times New Roman" w:cs="Times New Roman"/>
          <w:noProof/>
          <w:color w:val="000000" w:themeColor="text1"/>
        </w:rPr>
      </w:pPr>
    </w:p>
    <w:p w14:paraId="7FAD80F8" w14:textId="77777777" w:rsidR="00480F1C" w:rsidRDefault="00A201F6">
      <w:pPr>
        <w:pStyle w:val="P68B1DB1-Normal45"/>
        <w:spacing w:before="120" w:after="120" w:line="240" w:lineRule="auto"/>
        <w:rPr>
          <w:rFonts w:eastAsia="Times New Roman" w:cs="Times New Roman"/>
          <w:noProof/>
        </w:rPr>
      </w:pPr>
      <w:r>
        <w:rPr>
          <w:noProof/>
        </w:rPr>
        <w:t>2.2.9. Negende tranche (steun via leningen):</w:t>
      </w:r>
    </w:p>
    <w:tbl>
      <w:tblPr>
        <w:tblW w:w="10482" w:type="dxa"/>
        <w:tblLayout w:type="fixed"/>
        <w:tblLook w:val="04A0" w:firstRow="1" w:lastRow="0" w:firstColumn="1" w:lastColumn="0" w:noHBand="0" w:noVBand="1"/>
      </w:tblPr>
      <w:tblGrid>
        <w:gridCol w:w="1350"/>
        <w:gridCol w:w="3960"/>
        <w:gridCol w:w="1245"/>
        <w:gridCol w:w="3927"/>
      </w:tblGrid>
      <w:tr w:rsidR="00480F1C" w14:paraId="0FA36B50" w14:textId="77777777">
        <w:trPr>
          <w:trHeight w:val="769"/>
          <w:tblHeader/>
        </w:trPr>
        <w:tc>
          <w:tcPr>
            <w:tcW w:w="1350" w:type="dxa"/>
            <w:tcBorders>
              <w:top w:val="single" w:sz="6" w:space="0" w:color="auto"/>
              <w:left w:val="single" w:sz="6" w:space="0" w:color="auto"/>
              <w:bottom w:val="single" w:sz="6" w:space="0" w:color="auto"/>
              <w:right w:val="single" w:sz="6" w:space="0" w:color="auto"/>
            </w:tcBorders>
            <w:shd w:val="clear" w:color="auto" w:fill="BDD6EE"/>
            <w:vAlign w:val="center"/>
          </w:tcPr>
          <w:p w14:paraId="3E39A2A7" w14:textId="77777777" w:rsidR="00480F1C" w:rsidRDefault="00A201F6">
            <w:pPr>
              <w:pStyle w:val="P68B1DB1-Normal42"/>
              <w:spacing w:line="240" w:lineRule="auto"/>
              <w:jc w:val="center"/>
              <w:rPr>
                <w:rFonts w:eastAsia="Times New Roman" w:cs="Times New Roman"/>
                <w:noProof/>
              </w:rPr>
            </w:pPr>
            <w:r>
              <w:rPr>
                <w:noProof/>
              </w:rPr>
              <w:t>Volgnummer</w:t>
            </w:r>
          </w:p>
        </w:tc>
        <w:tc>
          <w:tcPr>
            <w:tcW w:w="3960" w:type="dxa"/>
            <w:tcBorders>
              <w:top w:val="single" w:sz="6" w:space="0" w:color="auto"/>
              <w:left w:val="single" w:sz="6" w:space="0" w:color="auto"/>
              <w:bottom w:val="single" w:sz="6" w:space="0" w:color="auto"/>
              <w:right w:val="single" w:sz="6" w:space="0" w:color="auto"/>
            </w:tcBorders>
            <w:shd w:val="clear" w:color="auto" w:fill="BDD6EE"/>
            <w:vAlign w:val="center"/>
          </w:tcPr>
          <w:p w14:paraId="4421C48C" w14:textId="77777777" w:rsidR="00480F1C" w:rsidRDefault="00A201F6">
            <w:pPr>
              <w:pStyle w:val="P68B1DB1-Normal42"/>
              <w:spacing w:line="240" w:lineRule="auto"/>
              <w:jc w:val="center"/>
              <w:rPr>
                <w:rFonts w:eastAsia="Times New Roman" w:cs="Times New Roman"/>
                <w:noProof/>
              </w:rPr>
            </w:pPr>
            <w:r>
              <w:rPr>
                <w:noProof/>
              </w:rPr>
              <w:t>Gerelateerde maatregel (hervorming of investering)</w:t>
            </w:r>
          </w:p>
        </w:tc>
        <w:tc>
          <w:tcPr>
            <w:tcW w:w="1245" w:type="dxa"/>
            <w:tcBorders>
              <w:top w:val="single" w:sz="6" w:space="0" w:color="auto"/>
              <w:left w:val="single" w:sz="6" w:space="0" w:color="auto"/>
              <w:bottom w:val="single" w:sz="6" w:space="0" w:color="auto"/>
              <w:right w:val="single" w:sz="6" w:space="0" w:color="auto"/>
            </w:tcBorders>
            <w:shd w:val="clear" w:color="auto" w:fill="BDD6EE"/>
            <w:vAlign w:val="center"/>
          </w:tcPr>
          <w:p w14:paraId="5E7E0D91" w14:textId="77777777" w:rsidR="00480F1C" w:rsidRDefault="00A201F6">
            <w:pPr>
              <w:pStyle w:val="P68B1DB1-Normal42"/>
              <w:spacing w:line="240" w:lineRule="auto"/>
              <w:jc w:val="center"/>
              <w:rPr>
                <w:rFonts w:eastAsia="Times New Roman" w:cs="Times New Roman"/>
                <w:noProof/>
              </w:rPr>
            </w:pPr>
            <w:r>
              <w:rPr>
                <w:noProof/>
              </w:rPr>
              <w:t>Mijlpaal/Doelstelling</w:t>
            </w:r>
          </w:p>
        </w:tc>
        <w:tc>
          <w:tcPr>
            <w:tcW w:w="3927" w:type="dxa"/>
            <w:tcBorders>
              <w:top w:val="single" w:sz="6" w:space="0" w:color="auto"/>
              <w:left w:val="single" w:sz="6" w:space="0" w:color="auto"/>
              <w:bottom w:val="single" w:sz="6" w:space="0" w:color="auto"/>
              <w:right w:val="single" w:sz="6" w:space="0" w:color="auto"/>
            </w:tcBorders>
            <w:shd w:val="clear" w:color="auto" w:fill="BDD6EE"/>
            <w:vAlign w:val="center"/>
          </w:tcPr>
          <w:p w14:paraId="24DB644C" w14:textId="77777777" w:rsidR="00480F1C" w:rsidRDefault="00A201F6">
            <w:pPr>
              <w:pStyle w:val="P68B1DB1-Normal42"/>
              <w:spacing w:line="240" w:lineRule="auto"/>
              <w:jc w:val="center"/>
              <w:rPr>
                <w:rFonts w:eastAsia="Times New Roman" w:cs="Times New Roman"/>
                <w:noProof/>
              </w:rPr>
            </w:pPr>
            <w:r>
              <w:rPr>
                <w:noProof/>
              </w:rPr>
              <w:t>Naam</w:t>
            </w:r>
          </w:p>
        </w:tc>
      </w:tr>
      <w:tr w:rsidR="00480F1C" w14:paraId="1271091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0B589C48" w14:textId="77777777" w:rsidR="00480F1C" w:rsidRDefault="00A201F6">
            <w:pPr>
              <w:pStyle w:val="P68B1DB1-Normal46"/>
              <w:spacing w:line="240" w:lineRule="auto"/>
              <w:jc w:val="center"/>
              <w:rPr>
                <w:rFonts w:eastAsia="Times New Roman" w:cs="Times New Roman"/>
                <w:noProof/>
              </w:rPr>
            </w:pPr>
            <w:r>
              <w:rPr>
                <w:noProof/>
              </w:rPr>
              <w:t>A11L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1701CD1" w14:textId="77777777" w:rsidR="00480F1C" w:rsidRDefault="00A201F6">
            <w:pPr>
              <w:pStyle w:val="P68B1DB1-Normal46"/>
              <w:spacing w:line="240" w:lineRule="auto"/>
              <w:rPr>
                <w:rFonts w:eastAsia="Times New Roman" w:cs="Times New Roman"/>
                <w:noProof/>
              </w:rPr>
            </w:pPr>
            <w:r>
              <w:rPr>
                <w:noProof/>
              </w:rPr>
              <w:t>A2.6.1 Ontwikkeling van het nationale systeem van monitoringdiensten, producten, analytische instrumenten, diensten en begeleidende infrastructuur met behulp van satellietgegevens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50E73A4"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6771BC4" w14:textId="77777777" w:rsidR="00480F1C" w:rsidRDefault="00A201F6">
            <w:pPr>
              <w:pStyle w:val="P68B1DB1-Normal46"/>
              <w:spacing w:line="240" w:lineRule="auto"/>
              <w:rPr>
                <w:rFonts w:eastAsia="Times New Roman" w:cs="Times New Roman"/>
                <w:noProof/>
              </w:rPr>
            </w:pPr>
            <w:r>
              <w:rPr>
                <w:noProof/>
              </w:rPr>
              <w:t>T2 — start van de volgende drie Poolse satellieten</w:t>
            </w:r>
          </w:p>
        </w:tc>
      </w:tr>
      <w:tr w:rsidR="00480F1C" w14:paraId="7FB1BBC7"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5769DDC" w14:textId="77777777" w:rsidR="00480F1C" w:rsidRDefault="00A201F6">
            <w:pPr>
              <w:pStyle w:val="P68B1DB1-Normal46"/>
              <w:spacing w:line="240" w:lineRule="auto"/>
              <w:jc w:val="center"/>
              <w:rPr>
                <w:rFonts w:eastAsia="Times New Roman" w:cs="Times New Roman"/>
                <w:noProof/>
              </w:rPr>
            </w:pPr>
            <w:r>
              <w:rPr>
                <w:noProof/>
              </w:rPr>
              <w:t>B16L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292C6FC" w14:textId="77777777" w:rsidR="00480F1C" w:rsidRDefault="00A201F6">
            <w:pPr>
              <w:pStyle w:val="P68B1DB1-Normal026"/>
              <w:spacing w:line="240" w:lineRule="auto"/>
              <w:rPr>
                <w:rFonts w:eastAsia="Times New Roman" w:cs="Times New Roman"/>
                <w:noProof/>
              </w:rPr>
            </w:pPr>
            <w:r>
              <w:rPr>
                <w:noProof/>
              </w:rPr>
              <w:t xml:space="preserve"> B3.2.1 Investeringen in risiconeutralisatie en herstel van grootschalige brownfieldterreinen en de Oostzee</w:t>
            </w:r>
          </w:p>
          <w:p w14:paraId="53E85EA7"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148413D9"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9FA3AE2" w14:textId="77777777" w:rsidR="00480F1C" w:rsidRDefault="00A201F6">
            <w:pPr>
              <w:pStyle w:val="P68B1DB1-Normal46"/>
              <w:spacing w:line="240" w:lineRule="auto"/>
              <w:rPr>
                <w:rFonts w:eastAsia="Times New Roman" w:cs="Times New Roman"/>
                <w:noProof/>
              </w:rPr>
            </w:pPr>
            <w:r>
              <w:rPr>
                <w:noProof/>
              </w:rPr>
              <w:t>Documentatiereeksen voor investeringen in verband met de negatieve milieueffecten van geselecteerde grootschalige brownfields en gevaarlijke materialen die aan de bodem van de Oostzee zijn gezonken</w:t>
            </w:r>
          </w:p>
        </w:tc>
      </w:tr>
      <w:tr w:rsidR="00480F1C" w14:paraId="2186355C"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07DACAA" w14:textId="77777777" w:rsidR="00480F1C" w:rsidRDefault="00A201F6">
            <w:pPr>
              <w:pStyle w:val="P68B1DB1-Normal47"/>
              <w:jc w:val="center"/>
              <w:rPr>
                <w:rFonts w:eastAsia="Times New Roman"/>
                <w:b/>
                <w:noProof/>
                <w:color w:val="000000" w:themeColor="text1"/>
              </w:rPr>
            </w:pPr>
            <w:r>
              <w:rPr>
                <w:noProof/>
              </w:rPr>
              <w:t>B27aL</w:t>
            </w:r>
          </w:p>
          <w:p w14:paraId="5055DAD6" w14:textId="77777777" w:rsidR="00480F1C" w:rsidRDefault="00480F1C">
            <w:pPr>
              <w:rPr>
                <w:rFonts w:ascii="Times New Roman" w:hAnsi="Times New Roman" w:cs="Times New Roman"/>
                <w:noProof/>
              </w:rPr>
            </w:pP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8B91EDC" w14:textId="77777777" w:rsidR="00480F1C" w:rsidRDefault="00A201F6">
            <w:pPr>
              <w:pStyle w:val="P68B1DB1-Normal48"/>
              <w:rPr>
                <w:rFonts w:eastAsia="Times New Roman"/>
                <w:noProof/>
              </w:rPr>
            </w:pPr>
            <w:r>
              <w:rPr>
                <w:noProof/>
              </w:rPr>
              <w:t>B3.4.1 Investeringen in een groene transformatie van steden</w:t>
            </w:r>
          </w:p>
          <w:p w14:paraId="40E18C9A" w14:textId="77777777" w:rsidR="00480F1C" w:rsidRDefault="00480F1C">
            <w:pPr>
              <w:rPr>
                <w:rFonts w:ascii="Times New Roman" w:hAnsi="Times New Roman" w:cs="Times New Roman"/>
                <w:noProof/>
                <w:color w:val="000000" w:themeColor="text1"/>
              </w:rPr>
            </w:pP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27DBD001" w14:textId="77777777" w:rsidR="00480F1C" w:rsidRDefault="00A201F6">
            <w:pPr>
              <w:pStyle w:val="P68B1DB1-Normal48"/>
              <w:rPr>
                <w:rFonts w:eastAsia="Times New Roman"/>
                <w:noProof/>
              </w:rPr>
            </w:pPr>
            <w:r>
              <w:rPr>
                <w:noProof/>
              </w:rPr>
              <w:t>Doel</w:t>
            </w:r>
          </w:p>
          <w:p w14:paraId="36C78AF5" w14:textId="77777777" w:rsidR="00480F1C" w:rsidRDefault="00480F1C">
            <w:pPr>
              <w:rPr>
                <w:rFonts w:ascii="Times New Roman" w:hAnsi="Times New Roman" w:cs="Times New Roman"/>
                <w:noProof/>
              </w:rPr>
            </w:pP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02AB59E" w14:textId="77777777" w:rsidR="00480F1C" w:rsidRDefault="00A201F6">
            <w:pPr>
              <w:pStyle w:val="P68B1DB1-Normal48"/>
              <w:rPr>
                <w:noProof/>
              </w:rPr>
            </w:pPr>
            <w:r>
              <w:rPr>
                <w:noProof/>
              </w:rPr>
              <w:t xml:space="preserve">T3 — Voltooide projecten ter ondersteuning van investeringen in groene stadsontwikkelingsprojecten  </w:t>
            </w:r>
          </w:p>
        </w:tc>
      </w:tr>
      <w:tr w:rsidR="00480F1C" w14:paraId="5585C50E"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4B9BE6C" w14:textId="77777777" w:rsidR="00480F1C" w:rsidRDefault="00A201F6">
            <w:pPr>
              <w:pStyle w:val="P68B1DB1-Normal46"/>
              <w:spacing w:line="240" w:lineRule="auto"/>
              <w:jc w:val="center"/>
              <w:rPr>
                <w:noProof/>
              </w:rPr>
            </w:pPr>
            <w:r>
              <w:rPr>
                <w:noProof/>
              </w:rPr>
              <w:t>B30L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4CB1152" w14:textId="77777777" w:rsidR="00480F1C" w:rsidRDefault="00A201F6">
            <w:pPr>
              <w:pStyle w:val="P68B1DB1-Normal026"/>
              <w:rPr>
                <w:noProof/>
              </w:rPr>
            </w:pPr>
            <w:r>
              <w:rPr>
                <w:noProof/>
              </w:rPr>
              <w:t>B3.5.1 Investeringen in energie-efficiënte huisvesting voor huishoudens met een laag en gemiddeld inkomen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D6459B3" w14:textId="77777777" w:rsidR="00480F1C" w:rsidRDefault="00A201F6">
            <w:pPr>
              <w:pStyle w:val="P68B1DB1-Normal46"/>
              <w:spacing w:line="240" w:lineRule="auto"/>
              <w:jc w:val="center"/>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5DD1D283" w14:textId="77777777" w:rsidR="00480F1C" w:rsidRDefault="00A201F6">
            <w:pPr>
              <w:pStyle w:val="P68B1DB1-Normal46"/>
              <w:spacing w:line="240" w:lineRule="auto"/>
              <w:rPr>
                <w:noProof/>
              </w:rPr>
            </w:pPr>
            <w:r>
              <w:rPr>
                <w:noProof/>
              </w:rPr>
              <w:t>T2 — Volledige bouw van de tweede reeks energie-efficiënte woningen voor huishoudens met een laag en gemiddeld inkomen.</w:t>
            </w:r>
          </w:p>
        </w:tc>
      </w:tr>
      <w:tr w:rsidR="00480F1C" w14:paraId="090AEF38" w14:textId="77777777">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7E57F48" w14:textId="77777777" w:rsidR="00480F1C" w:rsidRDefault="00A201F6">
            <w:pPr>
              <w:pStyle w:val="P68B1DB1-Normal46"/>
              <w:spacing w:line="240" w:lineRule="auto"/>
              <w:jc w:val="center"/>
              <w:rPr>
                <w:noProof/>
              </w:rPr>
            </w:pPr>
            <w:r>
              <w:rPr>
                <w:noProof/>
              </w:rPr>
              <w:t>C17L</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A50B4CB" w14:textId="77777777" w:rsidR="00480F1C" w:rsidRDefault="00A201F6">
            <w:pPr>
              <w:pStyle w:val="P68B1DB1-Normal45"/>
              <w:spacing w:line="240" w:lineRule="auto"/>
              <w:rPr>
                <w:noProof/>
              </w:rPr>
            </w:pPr>
            <w:r>
              <w:rPr>
                <w:noProof/>
              </w:rPr>
              <w:t>C4.1.1 Ondersteuning van de digitale transformatie van bedrijven door het gebruik van cloud computing</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53475BC" w14:textId="77777777" w:rsidR="00480F1C" w:rsidRDefault="00A201F6">
            <w:pPr>
              <w:pStyle w:val="P68B1DB1-Normal45"/>
              <w:spacing w:line="240" w:lineRule="auto"/>
              <w:jc w:val="center"/>
              <w:rPr>
                <w:noProof/>
              </w:rPr>
            </w:pPr>
            <w:r>
              <w:rPr>
                <w:noProof/>
              </w:rPr>
              <w:t>Doel</w:t>
            </w:r>
          </w:p>
        </w:tc>
        <w:tc>
          <w:tcPr>
            <w:tcW w:w="39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58958AA8" w14:textId="77777777" w:rsidR="00480F1C" w:rsidRDefault="00A201F6">
            <w:pPr>
              <w:pStyle w:val="P68B1DB1-Normal026"/>
              <w:spacing w:after="0" w:line="240" w:lineRule="auto"/>
              <w:rPr>
                <w:noProof/>
              </w:rPr>
            </w:pPr>
            <w:r>
              <w:rPr>
                <w:noProof/>
              </w:rPr>
              <w:t>Juridische overeenkomsten met eindbegunstigden</w:t>
            </w:r>
          </w:p>
          <w:p w14:paraId="7BF5354E" w14:textId="77777777" w:rsidR="00480F1C" w:rsidRDefault="00480F1C">
            <w:pPr>
              <w:spacing w:line="240" w:lineRule="auto"/>
              <w:rPr>
                <w:rFonts w:ascii="Times New Roman" w:hAnsi="Times New Roman"/>
                <w:noProof/>
              </w:rPr>
            </w:pPr>
          </w:p>
        </w:tc>
      </w:tr>
      <w:tr w:rsidR="00480F1C" w14:paraId="7F5379EF" w14:textId="77777777">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387F0D1" w14:textId="77777777" w:rsidR="00480F1C" w:rsidRDefault="00A201F6">
            <w:pPr>
              <w:pStyle w:val="P68B1DB1-Normal46"/>
              <w:spacing w:line="240" w:lineRule="auto"/>
              <w:jc w:val="center"/>
              <w:rPr>
                <w:noProof/>
              </w:rPr>
            </w:pPr>
            <w:r>
              <w:rPr>
                <w:noProof/>
              </w:rPr>
              <w:t>C18L</w:t>
            </w:r>
          </w:p>
        </w:tc>
        <w:tc>
          <w:tcPr>
            <w:tcW w:w="3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112E419E" w14:textId="77777777" w:rsidR="00480F1C" w:rsidRDefault="00A201F6">
            <w:pPr>
              <w:pStyle w:val="P68B1DB1-Normal45"/>
              <w:spacing w:line="240" w:lineRule="auto"/>
              <w:rPr>
                <w:noProof/>
              </w:rPr>
            </w:pPr>
            <w:r>
              <w:rPr>
                <w:noProof/>
              </w:rPr>
              <w:t>C4.1.1 Ondersteuning van de digitale transformatie van bedrijven door het gebruik van cloud computing</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36980D03" w14:textId="77777777" w:rsidR="00480F1C" w:rsidRDefault="00A201F6">
            <w:pPr>
              <w:pStyle w:val="P68B1DB1-Normal45"/>
              <w:spacing w:line="240" w:lineRule="auto"/>
              <w:jc w:val="center"/>
              <w:rPr>
                <w:noProof/>
              </w:rPr>
            </w:pPr>
            <w:r>
              <w:rPr>
                <w:noProof/>
              </w:rPr>
              <w:t>Mijlpaal</w:t>
            </w:r>
          </w:p>
        </w:tc>
        <w:tc>
          <w:tcPr>
            <w:tcW w:w="39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6EFCE"/>
          </w:tcPr>
          <w:p w14:paraId="0237F1ED" w14:textId="77777777" w:rsidR="00480F1C" w:rsidRDefault="00A201F6">
            <w:pPr>
              <w:pStyle w:val="P68B1DB1-Normal026"/>
              <w:spacing w:after="0" w:line="240" w:lineRule="auto"/>
              <w:rPr>
                <w:noProof/>
              </w:rPr>
            </w:pPr>
            <w:r>
              <w:rPr>
                <w:noProof/>
              </w:rPr>
              <w:t>Ministerie heeft de investering voltooid</w:t>
            </w:r>
          </w:p>
          <w:p w14:paraId="3748CFAA" w14:textId="77777777" w:rsidR="00480F1C" w:rsidRDefault="00480F1C">
            <w:pPr>
              <w:pStyle w:val="Normal0"/>
              <w:spacing w:after="0" w:line="240" w:lineRule="auto"/>
              <w:rPr>
                <w:rFonts w:ascii="Times New Roman" w:hAnsi="Times New Roman"/>
                <w:noProof/>
                <w:color w:val="000000" w:themeColor="text1"/>
              </w:rPr>
            </w:pPr>
          </w:p>
        </w:tc>
      </w:tr>
      <w:tr w:rsidR="00480F1C" w14:paraId="10E607BF"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4079BA1D" w14:textId="77777777" w:rsidR="00480F1C" w:rsidRDefault="00A201F6">
            <w:pPr>
              <w:pStyle w:val="P68B1DB1-Normal46"/>
              <w:spacing w:line="240" w:lineRule="auto"/>
              <w:jc w:val="center"/>
              <w:rPr>
                <w:rFonts w:eastAsia="Times New Roman" w:cs="Times New Roman"/>
                <w:noProof/>
              </w:rPr>
            </w:pPr>
            <w:r>
              <w:rPr>
                <w:noProof/>
              </w:rPr>
              <w:t>D5L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8E5C0C8" w14:textId="77777777" w:rsidR="00480F1C" w:rsidRDefault="00A201F6">
            <w:pPr>
              <w:pStyle w:val="P68B1DB1-Normal46"/>
              <w:spacing w:line="240" w:lineRule="auto"/>
              <w:rPr>
                <w:rFonts w:eastAsia="Times New Roman" w:cs="Times New Roman"/>
                <w:noProof/>
              </w:rPr>
            </w:pPr>
            <w:r>
              <w:rPr>
                <w:noProof/>
              </w:rPr>
              <w:t>D1.2.1 Ontwikkeling van langdurige zorg door modernisering van de infrastructuur van medische entiteiten op districtsniveau</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1216EC1"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AA2C17F" w14:textId="77777777" w:rsidR="00480F1C" w:rsidRDefault="00A201F6">
            <w:pPr>
              <w:pStyle w:val="P68B1DB1-Normal46"/>
              <w:spacing w:line="240" w:lineRule="auto"/>
              <w:rPr>
                <w:rFonts w:eastAsia="Times New Roman" w:cs="Times New Roman"/>
                <w:noProof/>
              </w:rPr>
            </w:pPr>
            <w:r>
              <w:rPr>
                <w:noProof/>
              </w:rPr>
              <w:t>Afgeronde projecten voor de ontwikkeling van langdurige zorg en geriatrische zorg in districtsziekenhuizen</w:t>
            </w:r>
          </w:p>
        </w:tc>
      </w:tr>
      <w:tr w:rsidR="00480F1C" w14:paraId="48340E60"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3C3DF5C" w14:textId="77777777" w:rsidR="00480F1C" w:rsidRDefault="00A201F6">
            <w:pPr>
              <w:pStyle w:val="P68B1DB1-Normal46"/>
              <w:spacing w:line="240" w:lineRule="auto"/>
              <w:jc w:val="center"/>
              <w:rPr>
                <w:rFonts w:eastAsia="Times New Roman" w:cs="Times New Roman"/>
                <w:noProof/>
              </w:rPr>
            </w:pPr>
            <w:r>
              <w:rPr>
                <w:noProof/>
              </w:rPr>
              <w:t>E4L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C5CB65E" w14:textId="77777777" w:rsidR="00480F1C" w:rsidRDefault="00A201F6">
            <w:pPr>
              <w:pStyle w:val="P68B1DB1-Normal46"/>
              <w:spacing w:line="240" w:lineRule="auto"/>
              <w:rPr>
                <w:rFonts w:eastAsia="Times New Roman" w:cs="Times New Roman"/>
                <w:noProof/>
              </w:rPr>
            </w:pPr>
            <w:r>
              <w:rPr>
                <w:noProof/>
              </w:rPr>
              <w:t>E1.2.1 Openbaar vervoer met nulemissie in steden (trams)</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BCD2E35" w14:textId="77777777" w:rsidR="00480F1C" w:rsidRDefault="00A201F6">
            <w:pPr>
              <w:pStyle w:val="P68B1DB1-Normal46"/>
              <w:spacing w:line="240" w:lineRule="auto"/>
              <w:jc w:val="center"/>
              <w:rPr>
                <w:rFonts w:eastAsia="Times New Roman" w:cs="Times New Roman"/>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49727D0C" w14:textId="77777777" w:rsidR="00480F1C" w:rsidRDefault="00A201F6">
            <w:pPr>
              <w:pStyle w:val="P68B1DB1-Normal46"/>
              <w:spacing w:line="240" w:lineRule="auto"/>
              <w:rPr>
                <w:rFonts w:eastAsia="Times New Roman" w:cs="Times New Roman"/>
                <w:noProof/>
              </w:rPr>
            </w:pPr>
            <w:r>
              <w:rPr>
                <w:noProof/>
              </w:rPr>
              <w:t>Nieuwe trams in gebruik voor openbaar stadsvervoer</w:t>
            </w:r>
          </w:p>
        </w:tc>
      </w:tr>
      <w:tr w:rsidR="00480F1C" w14:paraId="44DCB287"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0184AA0" w14:textId="77777777" w:rsidR="00480F1C" w:rsidRDefault="00A201F6">
            <w:pPr>
              <w:pStyle w:val="P68B1DB1-Normal46"/>
              <w:spacing w:line="240" w:lineRule="auto"/>
              <w:jc w:val="center"/>
              <w:rPr>
                <w:noProof/>
              </w:rPr>
            </w:pPr>
            <w:r>
              <w:rPr>
                <w:noProof/>
              </w:rPr>
              <w:t>G5L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0EF3961F" w14:textId="77777777" w:rsidR="00480F1C" w:rsidRDefault="00A201F6">
            <w:pPr>
              <w:pStyle w:val="P68B1DB1-Normal46"/>
              <w:spacing w:line="240" w:lineRule="auto"/>
              <w:rPr>
                <w:noProof/>
              </w:rPr>
            </w:pPr>
            <w:r>
              <w:rPr>
                <w:noProof/>
              </w:rPr>
              <w:t>G3.1.1 stroomlijning van het vergunningsproces voor hernieuwbare energiebronnen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1D2ED5E" w14:textId="77777777" w:rsidR="00480F1C" w:rsidRDefault="00A201F6">
            <w:pPr>
              <w:pStyle w:val="P68B1DB1-Normal46"/>
              <w:spacing w:line="240" w:lineRule="auto"/>
              <w:rPr>
                <w:rFonts w:eastAsia="Times New Roman" w:cs="Times New Roman"/>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3E8FB48" w14:textId="77777777" w:rsidR="00480F1C" w:rsidRDefault="00A201F6">
            <w:pPr>
              <w:pStyle w:val="P68B1DB1-Normal46"/>
              <w:spacing w:after="0" w:line="240" w:lineRule="auto"/>
              <w:rPr>
                <w:rFonts w:eastAsia="Times New Roman" w:cs="Times New Roman"/>
                <w:noProof/>
              </w:rPr>
            </w:pPr>
            <w:r>
              <w:rPr>
                <w:noProof/>
              </w:rPr>
              <w:t xml:space="preserve">Digitalisering van vergunningsprocedures  </w:t>
            </w:r>
          </w:p>
          <w:p w14:paraId="1BFC9B40" w14:textId="77777777" w:rsidR="00480F1C" w:rsidRDefault="00480F1C">
            <w:pPr>
              <w:spacing w:line="240" w:lineRule="auto"/>
              <w:rPr>
                <w:rFonts w:ascii="Times New Roman" w:hAnsi="Times New Roman"/>
                <w:noProof/>
              </w:rPr>
            </w:pPr>
          </w:p>
        </w:tc>
      </w:tr>
      <w:tr w:rsidR="00480F1C" w14:paraId="711F603B"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1B9BB6F" w14:textId="77777777" w:rsidR="00480F1C" w:rsidRDefault="00A201F6">
            <w:pPr>
              <w:pStyle w:val="P68B1DB1-Normal46"/>
              <w:spacing w:line="240" w:lineRule="auto"/>
              <w:jc w:val="center"/>
              <w:rPr>
                <w:noProof/>
              </w:rPr>
            </w:pPr>
            <w:r>
              <w:rPr>
                <w:noProof/>
              </w:rPr>
              <w:t>G14L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2D587BB9" w14:textId="77777777" w:rsidR="00480F1C" w:rsidRDefault="00A201F6">
            <w:pPr>
              <w:pStyle w:val="P68B1DB1-Normal46"/>
              <w:spacing w:line="240" w:lineRule="auto"/>
              <w:rPr>
                <w:noProof/>
              </w:rPr>
            </w:pPr>
            <w:r>
              <w:rPr>
                <w:noProof/>
              </w:rPr>
              <w:t xml:space="preserve">G3.1.4 Steun voor het nationale energiesysteem (Energiesteunfonds) </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68F3F59" w14:textId="77777777" w:rsidR="00480F1C" w:rsidRDefault="00A201F6">
            <w:pPr>
              <w:pStyle w:val="P68B1DB1-Normal46"/>
              <w:spacing w:line="240" w:lineRule="auto"/>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307E1CB0" w14:textId="77777777" w:rsidR="00480F1C" w:rsidRDefault="00A201F6">
            <w:pPr>
              <w:pStyle w:val="P68B1DB1-Normal46"/>
              <w:spacing w:after="0" w:line="240" w:lineRule="auto"/>
              <w:rPr>
                <w:noProof/>
              </w:rPr>
            </w:pPr>
            <w:r>
              <w:rPr>
                <w:noProof/>
              </w:rPr>
              <w:t>Juridische overeenkomsten met eindbegunstigden</w:t>
            </w:r>
          </w:p>
        </w:tc>
      </w:tr>
      <w:tr w:rsidR="00480F1C" w14:paraId="6CDDFB28"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5BBB9E89" w14:textId="77777777" w:rsidR="00480F1C" w:rsidRDefault="00A201F6">
            <w:pPr>
              <w:pStyle w:val="P68B1DB1-Normal46"/>
              <w:spacing w:line="240" w:lineRule="auto"/>
              <w:jc w:val="center"/>
              <w:rPr>
                <w:noProof/>
              </w:rPr>
            </w:pPr>
            <w:r>
              <w:rPr>
                <w:noProof/>
              </w:rPr>
              <w:t>G15L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7BDC536" w14:textId="77777777" w:rsidR="00480F1C" w:rsidRDefault="00A201F6">
            <w:pPr>
              <w:pStyle w:val="P68B1DB1-Normal46"/>
              <w:spacing w:line="240" w:lineRule="auto"/>
              <w:rPr>
                <w:noProof/>
              </w:rPr>
            </w:pPr>
            <w:r>
              <w:rPr>
                <w:noProof/>
              </w:rPr>
              <w:t xml:space="preserve">G3.1.4 Steun voor het nationale energiesysteem (Energiesteunfonds) </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5643817B" w14:textId="77777777" w:rsidR="00480F1C" w:rsidRDefault="00A201F6">
            <w:pPr>
              <w:pStyle w:val="P68B1DB1-Normal46"/>
              <w:spacing w:line="240" w:lineRule="auto"/>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6CB35DB" w14:textId="77777777" w:rsidR="00480F1C" w:rsidRDefault="00A201F6">
            <w:pPr>
              <w:pStyle w:val="P68B1DB1-Normal46"/>
              <w:spacing w:after="0" w:line="240" w:lineRule="auto"/>
              <w:rPr>
                <w:noProof/>
              </w:rPr>
            </w:pPr>
            <w:r>
              <w:rPr>
                <w:noProof/>
              </w:rPr>
              <w:t>Ministerie heeft de investering voltooid</w:t>
            </w:r>
          </w:p>
        </w:tc>
      </w:tr>
      <w:tr w:rsidR="00480F1C" w14:paraId="6DBC8434"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1AF91D40" w14:textId="77777777" w:rsidR="00480F1C" w:rsidRDefault="00A201F6">
            <w:pPr>
              <w:pStyle w:val="P68B1DB1-Normal46"/>
              <w:spacing w:line="240" w:lineRule="auto"/>
              <w:jc w:val="center"/>
              <w:rPr>
                <w:noProof/>
              </w:rPr>
            </w:pPr>
            <w:r>
              <w:rPr>
                <w:noProof/>
              </w:rPr>
              <w:t>G18L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61E3F37E" w14:textId="77777777" w:rsidR="00480F1C" w:rsidRDefault="00A201F6">
            <w:pPr>
              <w:pStyle w:val="P68B1DB1-Normal46"/>
              <w:spacing w:line="240" w:lineRule="auto"/>
              <w:rPr>
                <w:noProof/>
              </w:rPr>
            </w:pPr>
            <w:r>
              <w:rPr>
                <w:noProof/>
              </w:rPr>
              <w:t>G3.1.5 Bouw van windmolenparken op zee (windenergiefonds op zee)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101216A" w14:textId="77777777" w:rsidR="00480F1C" w:rsidRDefault="00A201F6">
            <w:pPr>
              <w:pStyle w:val="P68B1DB1-Normal46"/>
              <w:spacing w:line="240" w:lineRule="auto"/>
              <w:rPr>
                <w:noProof/>
              </w:rPr>
            </w:pPr>
            <w:r>
              <w:rPr>
                <w:noProof/>
              </w:rPr>
              <w:t>Doel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236B7D8E" w14:textId="77777777" w:rsidR="00480F1C" w:rsidRDefault="00A201F6">
            <w:pPr>
              <w:pStyle w:val="P68B1DB1-Normal46"/>
              <w:spacing w:after="0" w:line="240" w:lineRule="auto"/>
              <w:rPr>
                <w:noProof/>
              </w:rPr>
            </w:pPr>
            <w:r>
              <w:rPr>
                <w:noProof/>
              </w:rPr>
              <w:t>Juridische overeenkomsten met eindbegunstigden</w:t>
            </w:r>
          </w:p>
        </w:tc>
      </w:tr>
      <w:tr w:rsidR="00480F1C" w14:paraId="61287C04"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7428BF81" w14:textId="77777777" w:rsidR="00480F1C" w:rsidRDefault="00A201F6">
            <w:pPr>
              <w:pStyle w:val="P68B1DB1-Normal46"/>
              <w:spacing w:line="240" w:lineRule="auto"/>
              <w:jc w:val="center"/>
              <w:rPr>
                <w:noProof/>
              </w:rPr>
            </w:pPr>
            <w:r>
              <w:rPr>
                <w:noProof/>
              </w:rPr>
              <w:t>G19L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5A479CCA" w14:textId="77777777" w:rsidR="00480F1C" w:rsidRDefault="00A201F6">
            <w:pPr>
              <w:pStyle w:val="P68B1DB1-Normal46"/>
              <w:spacing w:line="240" w:lineRule="auto"/>
              <w:rPr>
                <w:noProof/>
              </w:rPr>
            </w:pPr>
            <w:r>
              <w:rPr>
                <w:noProof/>
              </w:rPr>
              <w:t>G3.1.5 Bouw van windmolenparken op zee (windenergiefonds op zee)</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0856E500" w14:textId="77777777" w:rsidR="00480F1C" w:rsidRDefault="00A201F6">
            <w:pPr>
              <w:pStyle w:val="P68B1DB1-Normal46"/>
              <w:spacing w:line="240" w:lineRule="auto"/>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089BEEE5" w14:textId="77777777" w:rsidR="00480F1C" w:rsidRDefault="00A201F6">
            <w:pPr>
              <w:pStyle w:val="P68B1DB1-Normal46"/>
              <w:spacing w:after="0" w:line="240" w:lineRule="auto"/>
              <w:rPr>
                <w:noProof/>
              </w:rPr>
            </w:pPr>
            <w:r>
              <w:rPr>
                <w:noProof/>
              </w:rPr>
              <w:t>Ministerie heeft de investering voltooid</w:t>
            </w:r>
          </w:p>
        </w:tc>
      </w:tr>
      <w:tr w:rsidR="00480F1C" w14:paraId="6C55CDA0"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692A8176" w14:textId="77777777" w:rsidR="00480F1C" w:rsidRDefault="00A201F6">
            <w:pPr>
              <w:pStyle w:val="P68B1DB1-Normal46"/>
              <w:spacing w:line="240" w:lineRule="auto"/>
              <w:jc w:val="center"/>
              <w:rPr>
                <w:noProof/>
              </w:rPr>
            </w:pPr>
            <w:r>
              <w:rPr>
                <w:noProof/>
                <w:color w:val="000000" w:themeColor="text1"/>
              </w:rPr>
              <w:t>G23L</w:t>
            </w:r>
            <w:r>
              <w:rPr>
                <w:noProof/>
                <w:color w:val="0078D4"/>
              </w:rPr>
              <w:t xml:space="preserve"> </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1EB58E2B" w14:textId="77777777" w:rsidR="00480F1C" w:rsidRDefault="00A201F6">
            <w:pPr>
              <w:pStyle w:val="P68B1DB1-Normal46"/>
              <w:spacing w:line="240" w:lineRule="auto"/>
              <w:rPr>
                <w:noProof/>
              </w:rPr>
            </w:pPr>
            <w:r>
              <w:rPr>
                <w:noProof/>
                <w:color w:val="000000" w:themeColor="text1"/>
              </w:rPr>
              <w:t> G3.2.1 Bouw van aardgasinfrastructuur om energiezekerheid te waarborgen</w:t>
            </w:r>
            <w:r>
              <w:rPr>
                <w:noProof/>
                <w:color w:val="0078D4"/>
              </w:rPr>
              <w:t xml:space="preserve"> </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361BDC97" w14:textId="77777777" w:rsidR="00480F1C" w:rsidRDefault="00A201F6">
            <w:pPr>
              <w:pStyle w:val="P68B1DB1-Normal46"/>
              <w:spacing w:line="240" w:lineRule="auto"/>
              <w:rPr>
                <w:noProof/>
              </w:rPr>
            </w:pPr>
            <w:r>
              <w:rPr>
                <w:noProof/>
              </w:rPr>
              <w:t>Mijlpaal</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65EA65F1" w14:textId="77777777" w:rsidR="00480F1C" w:rsidRDefault="00A201F6">
            <w:pPr>
              <w:pStyle w:val="P68B1DB1-Normal46"/>
              <w:spacing w:after="0" w:line="240" w:lineRule="auto"/>
              <w:rPr>
                <w:noProof/>
              </w:rPr>
            </w:pPr>
            <w:r>
              <w:rPr>
                <w:noProof/>
              </w:rPr>
              <w:t>Voltooiing van de aanleg van de gasleiding</w:t>
            </w:r>
          </w:p>
        </w:tc>
      </w:tr>
      <w:tr w:rsidR="00480F1C" w14:paraId="7A1E7E49" w14:textId="77777777">
        <w:tc>
          <w:tcPr>
            <w:tcW w:w="1350" w:type="dxa"/>
            <w:tcBorders>
              <w:top w:val="single" w:sz="6" w:space="0" w:color="auto"/>
              <w:left w:val="single" w:sz="6" w:space="0" w:color="auto"/>
              <w:bottom w:val="single" w:sz="6" w:space="0" w:color="auto"/>
              <w:right w:val="single" w:sz="6" w:space="0" w:color="auto"/>
            </w:tcBorders>
            <w:shd w:val="clear" w:color="auto" w:fill="C6EFCE"/>
          </w:tcPr>
          <w:p w14:paraId="32BE75BA" w14:textId="77777777" w:rsidR="00480F1C" w:rsidRDefault="00A201F6">
            <w:pPr>
              <w:pStyle w:val="P68B1DB1-Normal45"/>
              <w:spacing w:line="240" w:lineRule="auto"/>
              <w:jc w:val="center"/>
              <w:rPr>
                <w:noProof/>
              </w:rPr>
            </w:pPr>
            <w:r>
              <w:rPr>
                <w:noProof/>
              </w:rPr>
              <w:t>G24L</w:t>
            </w:r>
          </w:p>
        </w:tc>
        <w:tc>
          <w:tcPr>
            <w:tcW w:w="3960" w:type="dxa"/>
            <w:tcBorders>
              <w:top w:val="single" w:sz="6" w:space="0" w:color="auto"/>
              <w:left w:val="single" w:sz="6" w:space="0" w:color="auto"/>
              <w:bottom w:val="single" w:sz="6" w:space="0" w:color="auto"/>
              <w:right w:val="single" w:sz="6" w:space="0" w:color="auto"/>
            </w:tcBorders>
            <w:shd w:val="clear" w:color="auto" w:fill="C6EFCE"/>
          </w:tcPr>
          <w:p w14:paraId="4FB72B20" w14:textId="77777777" w:rsidR="00480F1C" w:rsidRDefault="00A201F6">
            <w:pPr>
              <w:pStyle w:val="P68B1DB1-Normal45"/>
              <w:spacing w:line="240" w:lineRule="auto"/>
              <w:rPr>
                <w:noProof/>
              </w:rPr>
            </w:pPr>
            <w:r>
              <w:rPr>
                <w:noProof/>
              </w:rPr>
              <w:t>G3.3.1 Systemen voor energieopslag (terugvorderbare steun)</w:t>
            </w:r>
          </w:p>
        </w:tc>
        <w:tc>
          <w:tcPr>
            <w:tcW w:w="1245" w:type="dxa"/>
            <w:tcBorders>
              <w:top w:val="single" w:sz="6" w:space="0" w:color="auto"/>
              <w:left w:val="single" w:sz="6" w:space="0" w:color="auto"/>
              <w:bottom w:val="single" w:sz="6" w:space="0" w:color="auto"/>
              <w:right w:val="single" w:sz="6" w:space="0" w:color="auto"/>
            </w:tcBorders>
            <w:shd w:val="clear" w:color="auto" w:fill="C6EFCE"/>
          </w:tcPr>
          <w:p w14:paraId="40FE3A33" w14:textId="77777777" w:rsidR="00480F1C" w:rsidRDefault="00A201F6">
            <w:pPr>
              <w:pStyle w:val="P68B1DB1-Normal46"/>
              <w:spacing w:line="240" w:lineRule="auto"/>
              <w:rPr>
                <w:noProof/>
              </w:rPr>
            </w:pPr>
            <w:r>
              <w:rPr>
                <w:noProof/>
              </w:rPr>
              <w:t xml:space="preserve">Mijlpaal </w:t>
            </w:r>
          </w:p>
        </w:tc>
        <w:tc>
          <w:tcPr>
            <w:tcW w:w="3927" w:type="dxa"/>
            <w:tcBorders>
              <w:top w:val="single" w:sz="6" w:space="0" w:color="auto"/>
              <w:left w:val="single" w:sz="6" w:space="0" w:color="auto"/>
              <w:bottom w:val="single" w:sz="6" w:space="0" w:color="auto"/>
              <w:right w:val="single" w:sz="6" w:space="0" w:color="auto"/>
            </w:tcBorders>
            <w:shd w:val="clear" w:color="auto" w:fill="C6EFCE"/>
          </w:tcPr>
          <w:p w14:paraId="740B8C9E" w14:textId="77777777" w:rsidR="00480F1C" w:rsidRDefault="00A201F6">
            <w:pPr>
              <w:pStyle w:val="P68B1DB1-Normal46"/>
              <w:spacing w:after="0" w:line="240" w:lineRule="auto"/>
              <w:rPr>
                <w:noProof/>
              </w:rPr>
            </w:pPr>
            <w:r>
              <w:rPr>
                <w:noProof/>
              </w:rPr>
              <w:t>Modernisering van de bestaande pompopslagfaciliteit</w:t>
            </w:r>
          </w:p>
        </w:tc>
      </w:tr>
      <w:tr w:rsidR="00480F1C" w14:paraId="369BB3CC" w14:textId="77777777">
        <w:tc>
          <w:tcPr>
            <w:tcW w:w="1350" w:type="dxa"/>
            <w:tcBorders>
              <w:top w:val="single" w:sz="6" w:space="0" w:color="auto"/>
              <w:left w:val="single" w:sz="6" w:space="0" w:color="auto"/>
              <w:bottom w:val="single" w:sz="6" w:space="0" w:color="auto"/>
              <w:right w:val="single" w:sz="6" w:space="0" w:color="auto"/>
            </w:tcBorders>
            <w:shd w:val="clear" w:color="auto" w:fill="C6EFCE"/>
            <w:vAlign w:val="center"/>
          </w:tcPr>
          <w:p w14:paraId="7EDF9E24" w14:textId="77777777" w:rsidR="00480F1C" w:rsidRDefault="00480F1C">
            <w:pPr>
              <w:spacing w:line="240" w:lineRule="auto"/>
              <w:rPr>
                <w:rFonts w:ascii="Times New Roman" w:eastAsia="Times New Roman" w:hAnsi="Times New Roman" w:cs="Times New Roman"/>
                <w:noProof/>
              </w:rPr>
            </w:pPr>
          </w:p>
        </w:tc>
        <w:tc>
          <w:tcPr>
            <w:tcW w:w="3960" w:type="dxa"/>
            <w:tcBorders>
              <w:top w:val="single" w:sz="6" w:space="0" w:color="auto"/>
              <w:left w:val="single" w:sz="6" w:space="0" w:color="auto"/>
              <w:bottom w:val="single" w:sz="6" w:space="0" w:color="auto"/>
              <w:right w:val="single" w:sz="6" w:space="0" w:color="auto"/>
            </w:tcBorders>
            <w:shd w:val="clear" w:color="auto" w:fill="C6EFCE"/>
            <w:vAlign w:val="center"/>
          </w:tcPr>
          <w:p w14:paraId="63C2D35F" w14:textId="77777777" w:rsidR="00480F1C" w:rsidRDefault="00480F1C">
            <w:pPr>
              <w:spacing w:line="240" w:lineRule="auto"/>
              <w:rPr>
                <w:rFonts w:ascii="Times New Roman" w:eastAsia="Times New Roman" w:hAnsi="Times New Roman" w:cs="Times New Roman"/>
                <w:noProof/>
              </w:rPr>
            </w:pPr>
          </w:p>
        </w:tc>
        <w:tc>
          <w:tcPr>
            <w:tcW w:w="1245" w:type="dxa"/>
            <w:tcBorders>
              <w:top w:val="single" w:sz="6" w:space="0" w:color="auto"/>
              <w:left w:val="single" w:sz="6" w:space="0" w:color="auto"/>
              <w:bottom w:val="single" w:sz="6" w:space="0" w:color="auto"/>
              <w:right w:val="single" w:sz="6" w:space="0" w:color="auto"/>
            </w:tcBorders>
            <w:shd w:val="clear" w:color="auto" w:fill="C6EFCE"/>
            <w:vAlign w:val="center"/>
          </w:tcPr>
          <w:p w14:paraId="4433CCF0" w14:textId="77777777" w:rsidR="00480F1C" w:rsidRDefault="00A201F6">
            <w:pPr>
              <w:pStyle w:val="P68B1DB1-Normal46"/>
              <w:spacing w:line="240" w:lineRule="auto"/>
              <w:rPr>
                <w:rFonts w:eastAsia="Times New Roman" w:cs="Times New Roman"/>
                <w:noProof/>
              </w:rPr>
            </w:pPr>
            <w:r>
              <w:rPr>
                <w:noProof/>
              </w:rPr>
              <w:t>Termijnbedrag</w:t>
            </w:r>
          </w:p>
        </w:tc>
        <w:tc>
          <w:tcPr>
            <w:tcW w:w="3927" w:type="dxa"/>
            <w:tcBorders>
              <w:top w:val="single" w:sz="6" w:space="0" w:color="auto"/>
              <w:left w:val="single" w:sz="6" w:space="0" w:color="auto"/>
              <w:bottom w:val="single" w:sz="6" w:space="0" w:color="auto"/>
              <w:right w:val="single" w:sz="6" w:space="0" w:color="auto"/>
            </w:tcBorders>
            <w:shd w:val="clear" w:color="auto" w:fill="C6EFCE"/>
            <w:vAlign w:val="center"/>
          </w:tcPr>
          <w:p w14:paraId="1249DC78" w14:textId="77777777" w:rsidR="00480F1C" w:rsidRDefault="00A201F6">
            <w:pPr>
              <w:pStyle w:val="P68B1DB1-Normal46"/>
              <w:spacing w:line="240" w:lineRule="auto"/>
              <w:rPr>
                <w:rFonts w:eastAsia="Times New Roman" w:cs="Times New Roman"/>
                <w:noProof/>
              </w:rPr>
            </w:pPr>
            <w:r>
              <w:rPr>
                <w:noProof/>
              </w:rPr>
              <w:t xml:space="preserve">EUR 2 715 769 457 </w:t>
            </w:r>
          </w:p>
        </w:tc>
      </w:tr>
    </w:tbl>
    <w:p w14:paraId="0E4D6889" w14:textId="77777777" w:rsidR="00480F1C" w:rsidRDefault="00480F1C">
      <w:pPr>
        <w:spacing w:before="120" w:after="120" w:line="240" w:lineRule="auto"/>
        <w:rPr>
          <w:rFonts w:ascii="Times New Roman" w:eastAsia="Times New Roman" w:hAnsi="Times New Roman" w:cs="Times New Roman"/>
          <w:noProof/>
          <w:color w:val="000000" w:themeColor="text1"/>
        </w:rPr>
        <w:sectPr w:rsidR="00480F1C" w:rsidSect="00277459">
          <w:headerReference w:type="even" r:id="rId187"/>
          <w:headerReference w:type="default" r:id="rId188"/>
          <w:footerReference w:type="even" r:id="rId189"/>
          <w:footerReference w:type="default" r:id="rId190"/>
          <w:headerReference w:type="first" r:id="rId191"/>
          <w:footerReference w:type="first" r:id="rId192"/>
          <w:pgSz w:w="11907" w:h="16839"/>
          <w:pgMar w:top="720" w:right="720" w:bottom="720" w:left="720" w:header="709" w:footer="709" w:gutter="0"/>
          <w:cols w:space="720"/>
          <w:docGrid w:linePitch="299"/>
        </w:sectPr>
      </w:pPr>
    </w:p>
    <w:p w14:paraId="7A2D4CE3" w14:textId="4C5B36FF" w:rsidR="00480F1C" w:rsidRDefault="00A201F6">
      <w:pPr>
        <w:pStyle w:val="P68B1DB1-Normal41"/>
        <w:spacing w:line="240" w:lineRule="auto"/>
        <w:rPr>
          <w:noProof/>
        </w:rPr>
      </w:pPr>
      <w:r>
        <w:rPr>
          <w:noProof/>
        </w:rPr>
        <w:t xml:space="preserve">DEEL 3: AANVULLENDE REGELINGEN </w:t>
      </w:r>
    </w:p>
    <w:p w14:paraId="4776F988" w14:textId="3E6C766A" w:rsidR="00480F1C" w:rsidRDefault="00A201F6">
      <w:pPr>
        <w:pStyle w:val="P68B1DB1-ListParagraph49"/>
        <w:numPr>
          <w:ilvl w:val="0"/>
          <w:numId w:val="24"/>
        </w:numPr>
        <w:spacing w:line="240" w:lineRule="auto"/>
        <w:rPr>
          <w:rFonts w:eastAsia="Times New Roman" w:cs="Times New Roman"/>
          <w:noProof/>
        </w:rPr>
      </w:pPr>
      <w:r>
        <w:rPr>
          <w:noProof/>
        </w:rPr>
        <w:t>Regelingen voor monitoring en uitvoering van het herstel- en veerkrachtplan</w:t>
      </w:r>
    </w:p>
    <w:p w14:paraId="6EB5CE5E" w14:textId="7D4808CC" w:rsidR="00480F1C" w:rsidRDefault="00A201F6">
      <w:pPr>
        <w:pStyle w:val="P68B1DB1-Normal24"/>
        <w:spacing w:line="240" w:lineRule="auto"/>
        <w:jc w:val="both"/>
        <w:rPr>
          <w:noProof/>
        </w:rPr>
      </w:pPr>
      <w:r>
        <w:rPr>
          <w:noProof/>
        </w:rPr>
        <w:t xml:space="preserve">Het toezicht op en de uitvoering van het herstel- en veerkrachtplan van Polen vinden plaats overeenkomstig de volgende regelingen: </w:t>
      </w:r>
    </w:p>
    <w:p w14:paraId="4622C520" w14:textId="46A9DEC0" w:rsidR="00480F1C" w:rsidRDefault="00A201F6">
      <w:pPr>
        <w:pStyle w:val="P68B1DB1-Normal24"/>
        <w:spacing w:line="240" w:lineRule="auto"/>
        <w:jc w:val="both"/>
        <w:rPr>
          <w:noProof/>
        </w:rPr>
      </w:pPr>
      <w:r>
        <w:rPr>
          <w:noProof/>
        </w:rPr>
        <w:t>De instantie die verantwoordelijk is voor de algemene coördinatie van de uitvoering van en het toezicht op het plan voor herstel en veerkracht is het ministerie van Fondsen en Regionaal Beleid. Deze instantie is ook verantwoordelijk voor het opstellen van de betalingsverzoeken, de beheersverklaringen en de samenvatting van de audits en fungeert tevens als schakel tussen de Commissie en de Poolse autoriteiten. De instellingen die verantwoordelijk zijn voor de uitvoering van de hervormingen en investeringen verifiëren of de uitgevoerde maatregelen in overeenstemming zijn met het toepasselijke Unie- en nationale recht en de vooruitgang bij het bereiken van de vastgestelde mijlpalen en streefdoelen op het niveau van de eindontvangers. De informatie en de resultaten van deze verificaties worden via een IT-systeem bij de coördinerende instantie ingediend.</w:t>
      </w:r>
    </w:p>
    <w:p w14:paraId="66677990" w14:textId="6591CAA9" w:rsidR="00480F1C" w:rsidRDefault="00A201F6">
      <w:pPr>
        <w:pStyle w:val="P68B1DB1-Normal24"/>
        <w:spacing w:line="240" w:lineRule="auto"/>
        <w:jc w:val="both"/>
        <w:rPr>
          <w:noProof/>
        </w:rPr>
      </w:pPr>
      <w:r>
        <w:rPr>
          <w:noProof/>
        </w:rPr>
        <w:t>Daarnaast wordt bij wetgevingshandeling een monitoringcomité opgericht, bestaande uit belanghebbenden en sociale partners die betrokken zijn bij de uitvoering van het plan voor herstel en veerkracht. Het monitoringcomité houdt toezicht op de doeltreffende uitvoering van het plan voor herstel en veerkracht. In de wetgevingshandeling wordt bepaald dat het bij wet verplicht is het monitoringcomité te raadplegen tijdens de uitvoering van het plan voor herstel en veerkracht.</w:t>
      </w:r>
    </w:p>
    <w:p w14:paraId="662C5CC0" w14:textId="1D2716A8" w:rsidR="00480F1C" w:rsidRDefault="00A201F6">
      <w:pPr>
        <w:pStyle w:val="P68B1DB1-Normal24"/>
        <w:spacing w:line="240" w:lineRule="auto"/>
        <w:jc w:val="both"/>
        <w:rPr>
          <w:noProof/>
        </w:rPr>
      </w:pPr>
      <w:r>
        <w:rPr>
          <w:noProof/>
        </w:rPr>
        <w:t>De controles worden uitgevoerd door de nationale belastingdienst, met name door de afdeling controle van openbare middelen van het ministerie van Financiën en 16 kamers van belastingadministratie (regionale kantoren) in het land. Dit auditorgaan verifieert de correcte uitvoering van hervormingen en investeringen, het bereiken van vastgestelde mijlpalen en streefdoelen, de doeltreffendheid van mechanismen om ernstige onregelmatigheden, d.w.z. fraude, corruptie en belangenconflicten, te voorkomen, op te sporen en te corrigeren, en dubbele financiering te voorkomen en de betrouwbaarheid en veiligheid van het IT-systeem te voorkomen.</w:t>
      </w:r>
    </w:p>
    <w:p w14:paraId="6CF9FEE3" w14:textId="0E2667C7" w:rsidR="00480F1C" w:rsidRDefault="00A201F6">
      <w:pPr>
        <w:pStyle w:val="P68B1DB1-ListParagraph50"/>
        <w:numPr>
          <w:ilvl w:val="0"/>
          <w:numId w:val="24"/>
        </w:numPr>
        <w:spacing w:line="240" w:lineRule="auto"/>
        <w:rPr>
          <w:rFonts w:eastAsia="Times New Roman" w:cs="Times New Roman"/>
          <w:noProof/>
        </w:rPr>
      </w:pPr>
      <w:r>
        <w:rPr>
          <w:noProof/>
        </w:rPr>
        <w:t>Regelingen voor volledige toegang door de Commissie tot de onderliggende gegevens</w:t>
      </w:r>
    </w:p>
    <w:p w14:paraId="2AA6EA87" w14:textId="762CB07A" w:rsidR="00480F1C" w:rsidRDefault="00A201F6">
      <w:pPr>
        <w:pStyle w:val="P68B1DB1-Normal24"/>
        <w:spacing w:line="240" w:lineRule="auto"/>
        <w:jc w:val="both"/>
        <w:rPr>
          <w:noProof/>
        </w:rPr>
      </w:pPr>
      <w:r>
        <w:rPr>
          <w:noProof/>
        </w:rPr>
        <w:t>Het ministerie van Fondsen en Regionaal Beleid is, als centraal coördinerend orgaan voor het Poolse herstel- en veerkrachtplan en de uitvoering ervan, verantwoordelijk voor de algemene coördinatie en monitoring van het plan. Zij treedt met name op als coördinerend orgaan voor het monitoren van de vooruitgang met betrekking tot mijlpalen en streefdoelen en voor het verstrekken van verslaglegging en betalingsverzoeken. Het coördineert de verslaglegging over mijlpalen en streefdoelen, relevante indicatoren, maar ook kwalitatieve financiële informatie en andere gegevens, zoals over eindontvangers. De gegevenscodering vindt plaats in een IT-systeem waarmee de instellingen die verantwoordelijk zijn voor de uitvoering van hervormingen en investeringen verplicht zijn verslag uit te brengen aan het ministerie van Fondsen en Regionaal Beleid.</w:t>
      </w:r>
    </w:p>
    <w:p w14:paraId="4647E692" w14:textId="267988D9" w:rsidR="00480F1C" w:rsidRDefault="00A201F6">
      <w:pPr>
        <w:pStyle w:val="P68B1DB1-Normal24"/>
        <w:spacing w:line="240" w:lineRule="auto"/>
        <w:jc w:val="both"/>
        <w:rPr>
          <w:rFonts w:eastAsia="Times New Roman" w:cs="Times New Roman"/>
          <w:noProof/>
        </w:rPr>
      </w:pPr>
      <w:r>
        <w:rPr>
          <w:noProof/>
        </w:rPr>
        <w:t>Overeenkomstig artikel 24, lid 2, van Verordening (EU) 2021/241 dient Polen na voltooiing van de desbetreffende overeengekomen mijlpalen en streefdoelen in deel 2.1 van deze bijlage bij de Commissie een naar behoren gemotiveerd verzoek tot betaling van de financiële bijdrage en, in voorkomend geval, van de lening in. Polen zorgt ervoor dat de Commissie op verzoek volledige toegang heeft tot de relevante onderliggende gegevens ter onderbouwing van het betalingsverzoek, zowel voor de beoordeling van het betalingsverzoek overeenkomstig artikel 24, lid 3, van Verordening (EU) 2021/241 als voor audit- en controledoeleinden.</w:t>
      </w:r>
    </w:p>
    <w:sectPr w:rsidR="00480F1C">
      <w:headerReference w:type="even" r:id="rId193"/>
      <w:headerReference w:type="default" r:id="rId194"/>
      <w:footerReference w:type="even" r:id="rId195"/>
      <w:footerReference w:type="default" r:id="rId196"/>
      <w:headerReference w:type="first" r:id="rId197"/>
      <w:footerReference w:type="first" r:id="rId198"/>
      <w:pgSz w:w="11907" w:h="16839"/>
      <w:pgMar w:top="720" w:right="1418" w:bottom="720" w:left="1418"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84FDFC" w14:textId="77777777" w:rsidR="00480F1C" w:rsidRDefault="00A201F6">
      <w:pPr>
        <w:spacing w:after="0" w:line="240" w:lineRule="auto"/>
      </w:pPr>
      <w:r>
        <w:separator/>
      </w:r>
    </w:p>
  </w:endnote>
  <w:endnote w:type="continuationSeparator" w:id="0">
    <w:p w14:paraId="1876B2DE" w14:textId="77777777" w:rsidR="00480F1C" w:rsidRDefault="00A201F6">
      <w:pPr>
        <w:spacing w:after="0" w:line="240" w:lineRule="auto"/>
      </w:pPr>
      <w:r>
        <w:continuationSeparator/>
      </w:r>
    </w:p>
  </w:endnote>
  <w:endnote w:type="continuationNotice" w:id="1">
    <w:p w14:paraId="73B765B5" w14:textId="77777777" w:rsidR="00480F1C" w:rsidRDefault="00480F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Noto Sans Symbols">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7A66C3" w14:textId="2365914F" w:rsidR="00A201F6" w:rsidRPr="00325E32" w:rsidRDefault="00A201F6" w:rsidP="00325E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62470" w14:textId="2C66CDAD" w:rsidR="00A201F6" w:rsidRPr="00325E32" w:rsidRDefault="00325E32" w:rsidP="00325E32">
    <w:pPr>
      <w:pStyle w:val="FooterCoverPage"/>
      <w:rPr>
        <w:rFonts w:ascii="Arial" w:hAnsi="Arial" w:cs="Arial"/>
        <w:b/>
        <w:sz w:val="48"/>
      </w:rPr>
    </w:pPr>
    <w:r w:rsidRPr="00325E32">
      <w:rPr>
        <w:rFonts w:ascii="Arial" w:hAnsi="Arial" w:cs="Arial"/>
        <w:b/>
        <w:sz w:val="48"/>
      </w:rPr>
      <w:t>NL</w:t>
    </w:r>
    <w:r w:rsidRPr="00325E32">
      <w:rPr>
        <w:rFonts w:ascii="Arial" w:hAnsi="Arial" w:cs="Arial"/>
        <w:b/>
        <w:sz w:val="48"/>
      </w:rPr>
      <w:tab/>
    </w:r>
    <w:r w:rsidRPr="00325E32">
      <w:rPr>
        <w:rFonts w:ascii="Arial" w:hAnsi="Arial" w:cs="Arial"/>
        <w:b/>
        <w:sz w:val="48"/>
      </w:rPr>
      <w:tab/>
    </w:r>
    <w:r w:rsidRPr="00325E32">
      <w:tab/>
    </w:r>
    <w:r w:rsidRPr="00325E32">
      <w:rPr>
        <w:rFonts w:ascii="Arial" w:hAnsi="Arial" w:cs="Arial"/>
        <w:b/>
        <w:sz w:val="48"/>
      </w:rPr>
      <w:t>NL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988BC" w14:textId="77777777" w:rsidR="00325E32" w:rsidRPr="00325E32" w:rsidRDefault="00325E32" w:rsidP="00325E32">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A783A"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6048168"/>
      <w:docPartObj>
        <w:docPartGallery w:val="Page Numbers (Bottom of Page)"/>
        <w:docPartUnique/>
      </w:docPartObj>
    </w:sdtPr>
    <w:sdtEndPr>
      <w:rPr>
        <w:noProof/>
      </w:rPr>
    </w:sdtEndPr>
    <w:sdtContent>
      <w:p w14:paraId="7B82276A" w14:textId="5E570BB1" w:rsidR="00480F1C" w:rsidRDefault="00A201F6">
        <w:pPr>
          <w:pStyle w:val="Footer"/>
          <w:jc w:val="center"/>
        </w:pPr>
        <w:r>
          <w:fldChar w:fldCharType="begin"/>
        </w:r>
        <w:r>
          <w:instrText xml:space="preserve"> PAGE   \* MERGEFORMAT </w:instrText>
        </w:r>
        <w:r>
          <w:fldChar w:fldCharType="separate"/>
        </w:r>
        <w:r w:rsidR="00325E32">
          <w:rPr>
            <w:noProof/>
          </w:rPr>
          <w:t>1</w:t>
        </w:r>
        <w:r>
          <w:fldChar w:fldCharType="end"/>
        </w:r>
      </w:p>
    </w:sdtContent>
  </w:sdt>
  <w:p w14:paraId="3C0724AC" w14:textId="77777777" w:rsidR="00480F1C" w:rsidRDefault="00480F1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368E78"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C11DD"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9087667"/>
      <w:docPartObj>
        <w:docPartGallery w:val="Page Numbers (Bottom of Page)"/>
        <w:docPartUnique/>
      </w:docPartObj>
    </w:sdtPr>
    <w:sdtEndPr>
      <w:rPr>
        <w:noProof/>
      </w:rPr>
    </w:sdtEndPr>
    <w:sdtContent>
      <w:p w14:paraId="30DB5168" w14:textId="72C598D5" w:rsidR="00480F1C" w:rsidRDefault="00A201F6">
        <w:pPr>
          <w:pStyle w:val="Footer"/>
          <w:jc w:val="center"/>
        </w:pPr>
        <w:r>
          <w:fldChar w:fldCharType="begin"/>
        </w:r>
        <w:r>
          <w:instrText xml:space="preserve"> PAGE   \* MERGEFORMAT </w:instrText>
        </w:r>
        <w:r>
          <w:fldChar w:fldCharType="separate"/>
        </w:r>
        <w:r w:rsidR="00270CB7">
          <w:rPr>
            <w:noProof/>
          </w:rPr>
          <w:t>26</w:t>
        </w:r>
        <w:r>
          <w:fldChar w:fldCharType="end"/>
        </w:r>
      </w:p>
    </w:sdtContent>
  </w:sdt>
  <w:p w14:paraId="666BA32D" w14:textId="77777777" w:rsidR="00480F1C" w:rsidRDefault="00480F1C">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F3B9E"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08F9D"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4726447"/>
      <w:docPartObj>
        <w:docPartGallery w:val="Page Numbers (Bottom of Page)"/>
        <w:docPartUnique/>
      </w:docPartObj>
    </w:sdtPr>
    <w:sdtEndPr>
      <w:rPr>
        <w:noProof/>
      </w:rPr>
    </w:sdtEndPr>
    <w:sdtContent>
      <w:p w14:paraId="1BFCAB3B" w14:textId="668BE7F8" w:rsidR="00480F1C" w:rsidRDefault="00A201F6">
        <w:pPr>
          <w:pStyle w:val="Footer"/>
          <w:jc w:val="center"/>
        </w:pPr>
        <w:r>
          <w:fldChar w:fldCharType="begin"/>
        </w:r>
        <w:r>
          <w:instrText xml:space="preserve"> PAGE   \* MERGEFORMAT </w:instrText>
        </w:r>
        <w:r>
          <w:fldChar w:fldCharType="separate"/>
        </w:r>
        <w:r>
          <w:t>46</w:t>
        </w:r>
        <w:r>
          <w:fldChar w:fldCharType="end"/>
        </w:r>
      </w:p>
    </w:sdtContent>
  </w:sdt>
  <w:p w14:paraId="2C1B9DCD" w14:textId="77777777" w:rsidR="00480F1C" w:rsidRDefault="00480F1C">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2CED67"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ED62B"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4006784"/>
      <w:docPartObj>
        <w:docPartGallery w:val="Page Numbers (Bottom of Page)"/>
        <w:docPartUnique/>
      </w:docPartObj>
    </w:sdtPr>
    <w:sdtEndPr>
      <w:rPr>
        <w:noProof/>
      </w:rPr>
    </w:sdtEndPr>
    <w:sdtContent>
      <w:p w14:paraId="3CC545DB" w14:textId="009F2E3E" w:rsidR="00480F1C" w:rsidRDefault="00A201F6">
        <w:pPr>
          <w:pStyle w:val="Footer"/>
          <w:jc w:val="center"/>
        </w:pPr>
        <w:r>
          <w:fldChar w:fldCharType="begin"/>
        </w:r>
        <w:r>
          <w:instrText xml:space="preserve"> PAGE   \* MERGEFORMAT </w:instrText>
        </w:r>
        <w:r>
          <w:fldChar w:fldCharType="separate"/>
        </w:r>
        <w:r>
          <w:t>57</w:t>
        </w:r>
        <w:r>
          <w:fldChar w:fldCharType="end"/>
        </w:r>
      </w:p>
    </w:sdtContent>
  </w:sdt>
  <w:p w14:paraId="528F4EBA" w14:textId="77777777" w:rsidR="00480F1C" w:rsidRDefault="00480F1C">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36A9B"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9CF1D"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2950216"/>
      <w:docPartObj>
        <w:docPartGallery w:val="Page Numbers (Bottom of Page)"/>
        <w:docPartUnique/>
      </w:docPartObj>
    </w:sdtPr>
    <w:sdtEndPr>
      <w:rPr>
        <w:noProof/>
      </w:rPr>
    </w:sdtEndPr>
    <w:sdtContent>
      <w:p w14:paraId="2CEADA93" w14:textId="6879B40D" w:rsidR="00480F1C" w:rsidRDefault="00A201F6">
        <w:pPr>
          <w:pStyle w:val="Footer"/>
          <w:jc w:val="center"/>
        </w:pPr>
        <w:r>
          <w:fldChar w:fldCharType="begin"/>
        </w:r>
        <w:r>
          <w:instrText xml:space="preserve"> PAGE   \* MERGEFORMAT </w:instrText>
        </w:r>
        <w:r>
          <w:fldChar w:fldCharType="separate"/>
        </w:r>
        <w:r>
          <w:t>59</w:t>
        </w:r>
        <w:r>
          <w:fldChar w:fldCharType="end"/>
        </w:r>
      </w:p>
    </w:sdtContent>
  </w:sdt>
  <w:p w14:paraId="6BDE5E81" w14:textId="77777777" w:rsidR="00480F1C" w:rsidRDefault="00480F1C">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816AE"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52BA6"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9325060"/>
      <w:docPartObj>
        <w:docPartGallery w:val="Page Numbers (Bottom of Page)"/>
        <w:docPartUnique/>
      </w:docPartObj>
    </w:sdtPr>
    <w:sdtEndPr>
      <w:rPr>
        <w:noProof/>
      </w:rPr>
    </w:sdtEndPr>
    <w:sdtContent>
      <w:p w14:paraId="07743EC9" w14:textId="28C72975" w:rsidR="00480F1C" w:rsidRDefault="00A201F6">
        <w:pPr>
          <w:pStyle w:val="Footer"/>
          <w:jc w:val="center"/>
        </w:pPr>
        <w:r>
          <w:fldChar w:fldCharType="begin"/>
        </w:r>
        <w:r>
          <w:instrText xml:space="preserve"> PAGE   \* MERGEFORMAT </w:instrText>
        </w:r>
        <w:r>
          <w:fldChar w:fldCharType="separate"/>
        </w:r>
        <w:r>
          <w:t>65</w:t>
        </w:r>
        <w:r>
          <w:fldChar w:fldCharType="end"/>
        </w:r>
      </w:p>
    </w:sdtContent>
  </w:sdt>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A7268" w14:textId="77777777" w:rsidR="00480F1C" w:rsidRDefault="00480F1C">
    <w:pPr>
      <w:pStyle w:val="Normal0"/>
      <w:pBdr>
        <w:top w:val="nil"/>
        <w:left w:val="nil"/>
        <w:bottom w:val="nil"/>
        <w:right w:val="nil"/>
        <w:between w:val="nil"/>
      </w:pBdr>
      <w:tabs>
        <w:tab w:val="center" w:pos="7285"/>
        <w:tab w:val="center" w:pos="10913"/>
        <w:tab w:val="right" w:pos="15137"/>
      </w:tabs>
      <w:spacing w:before="360" w:after="0" w:line="240" w:lineRule="auto"/>
      <w:ind w:left="-567" w:right="-567"/>
      <w:rPr>
        <w:rFonts w:ascii="Times New Roman" w:eastAsia="Times New Roman" w:hAnsi="Times New Roman" w:cs="Times New Roman"/>
        <w:color w:val="000000"/>
        <w:sz w:val="24"/>
      </w:rP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BF58C"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2934213"/>
      <w:docPartObj>
        <w:docPartGallery w:val="Page Numbers (Bottom of Page)"/>
        <w:docPartUnique/>
      </w:docPartObj>
    </w:sdtPr>
    <w:sdtEndPr>
      <w:rPr>
        <w:noProof/>
      </w:rPr>
    </w:sdtEndPr>
    <w:sdtContent>
      <w:p w14:paraId="6DCA6806" w14:textId="61C7BA97" w:rsidR="00480F1C" w:rsidRDefault="00A201F6">
        <w:pPr>
          <w:pStyle w:val="Footer"/>
          <w:jc w:val="center"/>
        </w:pPr>
        <w:r>
          <w:fldChar w:fldCharType="begin"/>
        </w:r>
        <w:r>
          <w:instrText xml:space="preserve"> PAGE   \* MERGEFORMAT </w:instrText>
        </w:r>
        <w:r>
          <w:fldChar w:fldCharType="separate"/>
        </w:r>
        <w:r>
          <w:t>73</w:t>
        </w:r>
        <w:r>
          <w:fldChar w:fldCharType="end"/>
        </w:r>
      </w:p>
    </w:sdtContent>
  </w:sdt>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9A2604"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76C7C"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5099415"/>
      <w:docPartObj>
        <w:docPartGallery w:val="Page Numbers (Bottom of Page)"/>
        <w:docPartUnique/>
      </w:docPartObj>
    </w:sdtPr>
    <w:sdtEndPr>
      <w:rPr>
        <w:noProof/>
      </w:rPr>
    </w:sdtEndPr>
    <w:sdtContent>
      <w:p w14:paraId="0A03F67D" w14:textId="1BA8D092" w:rsidR="00480F1C" w:rsidRDefault="00A201F6">
        <w:pPr>
          <w:pStyle w:val="Footer"/>
          <w:jc w:val="center"/>
        </w:pPr>
        <w:r>
          <w:fldChar w:fldCharType="begin"/>
        </w:r>
        <w:r>
          <w:instrText xml:space="preserve"> PAGE   \* MERGEFORMAT </w:instrText>
        </w:r>
        <w:r>
          <w:fldChar w:fldCharType="separate"/>
        </w:r>
        <w:r>
          <w:t>85</w:t>
        </w:r>
        <w:r>
          <w:fldChar w:fldCharType="end"/>
        </w:r>
      </w:p>
    </w:sdtContent>
  </w:sdt>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F7D4A"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B6F150"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9896100"/>
      <w:docPartObj>
        <w:docPartGallery w:val="Page Numbers (Bottom of Page)"/>
        <w:docPartUnique/>
      </w:docPartObj>
    </w:sdtPr>
    <w:sdtEndPr>
      <w:rPr>
        <w:noProof/>
      </w:rPr>
    </w:sdtEndPr>
    <w:sdtContent>
      <w:p w14:paraId="681C189E" w14:textId="235551EE" w:rsidR="00480F1C" w:rsidRDefault="00A201F6">
        <w:pPr>
          <w:pStyle w:val="Footer"/>
          <w:jc w:val="center"/>
        </w:pPr>
        <w:r>
          <w:fldChar w:fldCharType="begin"/>
        </w:r>
        <w:r>
          <w:instrText xml:space="preserve"> PAGE   \* MERGEFORMAT </w:instrText>
        </w:r>
        <w:r>
          <w:fldChar w:fldCharType="separate"/>
        </w:r>
        <w:r>
          <w:t>93</w:t>
        </w:r>
        <w:r>
          <w:fldChar w:fldCharType="end"/>
        </w:r>
      </w:p>
    </w:sdtContent>
  </w:sdt>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93745"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8BA75"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19826"/>
      <w:docPartObj>
        <w:docPartGallery w:val="Page Numbers (Bottom of Page)"/>
        <w:docPartUnique/>
      </w:docPartObj>
    </w:sdtPr>
    <w:sdtEndPr>
      <w:rPr>
        <w:noProof/>
      </w:rPr>
    </w:sdtEndPr>
    <w:sdtContent>
      <w:p w14:paraId="5E315704" w14:textId="5D223257" w:rsidR="00480F1C" w:rsidRDefault="00A201F6">
        <w:pPr>
          <w:pStyle w:val="Footer"/>
          <w:jc w:val="center"/>
        </w:pPr>
        <w:r>
          <w:fldChar w:fldCharType="begin"/>
        </w:r>
        <w:r>
          <w:instrText xml:space="preserve"> PAGE   \* MERGEFORMAT </w:instrText>
        </w:r>
        <w:r>
          <w:fldChar w:fldCharType="separate"/>
        </w:r>
        <w:r>
          <w:t>110</w:t>
        </w:r>
        <w:r>
          <w:fldChar w:fldCharType="end"/>
        </w:r>
      </w:p>
    </w:sdtContent>
  </w:sdt>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96E9D9"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86A81"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3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7742580"/>
      <w:docPartObj>
        <w:docPartGallery w:val="Page Numbers (Bottom of Page)"/>
        <w:docPartUnique/>
      </w:docPartObj>
    </w:sdtPr>
    <w:sdtEndPr>
      <w:rPr>
        <w:noProof/>
      </w:rPr>
    </w:sdtEndPr>
    <w:sdtContent>
      <w:p w14:paraId="7A6C45C8" w14:textId="6217DB91" w:rsidR="00480F1C" w:rsidRDefault="00A201F6">
        <w:pPr>
          <w:pStyle w:val="Footer"/>
          <w:jc w:val="center"/>
        </w:pPr>
        <w:r>
          <w:fldChar w:fldCharType="begin"/>
        </w:r>
        <w:r>
          <w:instrText xml:space="preserve"> PAGE   \* MERGEFORMAT </w:instrText>
        </w:r>
        <w:r>
          <w:fldChar w:fldCharType="separate"/>
        </w:r>
        <w:r>
          <w:t>115</w:t>
        </w:r>
        <w:r>
          <w:fldChar w:fldCharType="end"/>
        </w:r>
      </w:p>
    </w:sdtContent>
  </w:sdt>
</w:ftr>
</file>

<file path=word/footer3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EE7A80"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3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B69A3"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3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0530485"/>
      <w:docPartObj>
        <w:docPartGallery w:val="Page Numbers (Bottom of Page)"/>
        <w:docPartUnique/>
      </w:docPartObj>
    </w:sdtPr>
    <w:sdtEndPr>
      <w:rPr>
        <w:noProof/>
      </w:rPr>
    </w:sdtEndPr>
    <w:sdtContent>
      <w:p w14:paraId="33002790" w14:textId="50A87FC1" w:rsidR="00480F1C" w:rsidRDefault="00A201F6">
        <w:pPr>
          <w:pStyle w:val="Footer"/>
          <w:jc w:val="center"/>
        </w:pPr>
        <w:r>
          <w:fldChar w:fldCharType="begin"/>
        </w:r>
        <w:r>
          <w:instrText xml:space="preserve"> PAGE   \* MERGEFORMAT </w:instrText>
        </w:r>
        <w:r>
          <w:fldChar w:fldCharType="separate"/>
        </w:r>
        <w:r>
          <w:t>129</w:t>
        </w:r>
        <w:r>
          <w:fldChar w:fldCharType="end"/>
        </w:r>
      </w:p>
    </w:sdtContent>
  </w:sdt>
  <w:p w14:paraId="69752CAF" w14:textId="77777777" w:rsidR="00480F1C" w:rsidRDefault="00480F1C">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338875"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4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53FC6"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4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1275765"/>
      <w:docPartObj>
        <w:docPartGallery w:val="Page Numbers (Bottom of Page)"/>
        <w:docPartUnique/>
      </w:docPartObj>
    </w:sdtPr>
    <w:sdtEndPr>
      <w:rPr>
        <w:noProof/>
      </w:rPr>
    </w:sdtEndPr>
    <w:sdtContent>
      <w:p w14:paraId="130E4C1D" w14:textId="140A4847" w:rsidR="00480F1C" w:rsidRDefault="00A201F6">
        <w:pPr>
          <w:pStyle w:val="Footer"/>
          <w:jc w:val="center"/>
        </w:pPr>
        <w:r>
          <w:fldChar w:fldCharType="begin"/>
        </w:r>
        <w:r>
          <w:instrText xml:space="preserve"> PAGE   \* MERGEFORMAT </w:instrText>
        </w:r>
        <w:r>
          <w:fldChar w:fldCharType="separate"/>
        </w:r>
        <w:r>
          <w:t>132</w:t>
        </w:r>
        <w:r>
          <w:fldChar w:fldCharType="end"/>
        </w:r>
      </w:p>
    </w:sdtContent>
  </w:sdt>
</w:ftr>
</file>

<file path=word/footer4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780729"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4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18DC78"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4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5283194"/>
      <w:docPartObj>
        <w:docPartGallery w:val="Page Numbers (Bottom of Page)"/>
        <w:docPartUnique/>
      </w:docPartObj>
    </w:sdtPr>
    <w:sdtEndPr>
      <w:rPr>
        <w:noProof/>
      </w:rPr>
    </w:sdtEndPr>
    <w:sdtContent>
      <w:p w14:paraId="7A19C098" w14:textId="190B139F" w:rsidR="00480F1C" w:rsidRDefault="00A201F6">
        <w:pPr>
          <w:pStyle w:val="Footer"/>
          <w:jc w:val="center"/>
        </w:pPr>
        <w:r>
          <w:fldChar w:fldCharType="begin"/>
        </w:r>
        <w:r>
          <w:instrText xml:space="preserve"> PAGE   \* MERGEFORMAT </w:instrText>
        </w:r>
        <w:r>
          <w:fldChar w:fldCharType="separate"/>
        </w:r>
        <w:r>
          <w:t>138</w:t>
        </w:r>
        <w:r>
          <w:fldChar w:fldCharType="end"/>
        </w:r>
      </w:p>
    </w:sdtContent>
  </w:sdt>
  <w:p w14:paraId="768A3D53" w14:textId="77777777" w:rsidR="00480F1C" w:rsidRDefault="00480F1C">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9664E"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4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E47C2"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4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9815801"/>
      <w:docPartObj>
        <w:docPartGallery w:val="Page Numbers (Bottom of Page)"/>
        <w:docPartUnique/>
      </w:docPartObj>
    </w:sdtPr>
    <w:sdtEndPr>
      <w:rPr>
        <w:noProof/>
      </w:rPr>
    </w:sdtEndPr>
    <w:sdtContent>
      <w:p w14:paraId="0882DD37" w14:textId="4EFB8779" w:rsidR="00480F1C" w:rsidRDefault="00A201F6">
        <w:pPr>
          <w:pStyle w:val="Footer"/>
          <w:jc w:val="center"/>
        </w:pPr>
        <w:r>
          <w:fldChar w:fldCharType="begin"/>
        </w:r>
        <w:r>
          <w:instrText xml:space="preserve"> PAGE   \* MERGEFORMAT </w:instrText>
        </w:r>
        <w:r>
          <w:fldChar w:fldCharType="separate"/>
        </w:r>
        <w:r>
          <w:t>142</w:t>
        </w:r>
        <w:r>
          <w:fldChar w:fldCharType="end"/>
        </w:r>
      </w:p>
    </w:sdtContent>
  </w:sdt>
</w:ftr>
</file>

<file path=word/footer4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27C88"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4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BE600"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5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9713000"/>
      <w:docPartObj>
        <w:docPartGallery w:val="Page Numbers (Bottom of Page)"/>
        <w:docPartUnique/>
      </w:docPartObj>
    </w:sdtPr>
    <w:sdtEndPr>
      <w:rPr>
        <w:noProof/>
      </w:rPr>
    </w:sdtEndPr>
    <w:sdtContent>
      <w:p w14:paraId="1B0B5491" w14:textId="78D857E1" w:rsidR="00480F1C" w:rsidRDefault="00A201F6">
        <w:pPr>
          <w:pStyle w:val="Footer"/>
          <w:jc w:val="center"/>
        </w:pPr>
        <w:r>
          <w:fldChar w:fldCharType="begin"/>
        </w:r>
        <w:r>
          <w:instrText xml:space="preserve"> PAGE   \* MERGEFORMAT </w:instrText>
        </w:r>
        <w:r>
          <w:fldChar w:fldCharType="separate"/>
        </w:r>
        <w:r>
          <w:t>163</w:t>
        </w:r>
        <w:r>
          <w:fldChar w:fldCharType="end"/>
        </w:r>
      </w:p>
    </w:sdtContent>
  </w:sdt>
  <w:p w14:paraId="0325E908" w14:textId="77777777" w:rsidR="00480F1C" w:rsidRDefault="00480F1C">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85D32"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5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03EDE"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5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9275339"/>
      <w:docPartObj>
        <w:docPartGallery w:val="Page Numbers (Bottom of Page)"/>
        <w:docPartUnique/>
      </w:docPartObj>
    </w:sdtPr>
    <w:sdtEndPr>
      <w:rPr>
        <w:noProof/>
      </w:rPr>
    </w:sdtEndPr>
    <w:sdtContent>
      <w:p w14:paraId="6C6B8A88" w14:textId="796D7725" w:rsidR="00480F1C" w:rsidRDefault="00A201F6">
        <w:pPr>
          <w:pStyle w:val="Footer"/>
          <w:jc w:val="center"/>
        </w:pPr>
        <w:r>
          <w:fldChar w:fldCharType="begin"/>
        </w:r>
        <w:r>
          <w:instrText xml:space="preserve"> PAGE   \* MERGEFORMAT </w:instrText>
        </w:r>
        <w:r>
          <w:fldChar w:fldCharType="separate"/>
        </w:r>
        <w:r>
          <w:t>164</w:t>
        </w:r>
        <w:r>
          <w:fldChar w:fldCharType="end"/>
        </w:r>
      </w:p>
    </w:sdtContent>
  </w:sdt>
</w:ftr>
</file>

<file path=word/footer5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1CA98"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5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CC4CD"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5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1037966"/>
      <w:docPartObj>
        <w:docPartGallery w:val="Page Numbers (Bottom of Page)"/>
        <w:docPartUnique/>
      </w:docPartObj>
    </w:sdtPr>
    <w:sdtEndPr>
      <w:rPr>
        <w:noProof/>
      </w:rPr>
    </w:sdtEndPr>
    <w:sdtContent>
      <w:p w14:paraId="03735864" w14:textId="0CD8CB20" w:rsidR="00480F1C" w:rsidRDefault="00A201F6">
        <w:pPr>
          <w:pStyle w:val="Footer"/>
          <w:jc w:val="center"/>
        </w:pPr>
        <w:r>
          <w:fldChar w:fldCharType="begin"/>
        </w:r>
        <w:r>
          <w:instrText xml:space="preserve"> PAGE   \* MERGEFORMAT </w:instrText>
        </w:r>
        <w:r>
          <w:fldChar w:fldCharType="separate"/>
        </w:r>
        <w:r>
          <w:t>169</w:t>
        </w:r>
        <w:r>
          <w:fldChar w:fldCharType="end"/>
        </w:r>
      </w:p>
    </w:sdtContent>
  </w:sdt>
  <w:p w14:paraId="3E36D0D1" w14:textId="77777777" w:rsidR="00480F1C" w:rsidRDefault="00480F1C">
    <w:pPr>
      <w:pStyle w:val="Footer"/>
    </w:pPr>
  </w:p>
</w:ftr>
</file>

<file path=word/footer5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8F9AD"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5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54643"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5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8686600"/>
      <w:docPartObj>
        <w:docPartGallery w:val="Page Numbers (Bottom of Page)"/>
        <w:docPartUnique/>
      </w:docPartObj>
    </w:sdtPr>
    <w:sdtEndPr>
      <w:rPr>
        <w:noProof/>
      </w:rPr>
    </w:sdtEndPr>
    <w:sdtContent>
      <w:p w14:paraId="461090FE" w14:textId="1EDDD368" w:rsidR="00480F1C" w:rsidRDefault="00A201F6">
        <w:pPr>
          <w:pStyle w:val="Footer"/>
          <w:jc w:val="center"/>
        </w:pPr>
        <w:r>
          <w:fldChar w:fldCharType="begin"/>
        </w:r>
        <w:r>
          <w:instrText xml:space="preserve"> PAGE   \* MERGEFORMAT </w:instrText>
        </w:r>
        <w:r>
          <w:fldChar w:fldCharType="separate"/>
        </w:r>
        <w:r>
          <w:t>174</w:t>
        </w:r>
        <w:r>
          <w:fldChar w:fldCharType="end"/>
        </w:r>
      </w:p>
    </w:sdtContent>
  </w:sdt>
</w:ftr>
</file>

<file path=word/footer6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93568E"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6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23B45"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6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5341130"/>
      <w:docPartObj>
        <w:docPartGallery w:val="Page Numbers (Bottom of Page)"/>
        <w:docPartUnique/>
      </w:docPartObj>
    </w:sdtPr>
    <w:sdtEndPr>
      <w:rPr>
        <w:noProof/>
      </w:rPr>
    </w:sdtEndPr>
    <w:sdtContent>
      <w:p w14:paraId="29E14981" w14:textId="18A0E009" w:rsidR="00480F1C" w:rsidRDefault="00A201F6">
        <w:pPr>
          <w:pStyle w:val="Footer"/>
          <w:jc w:val="center"/>
        </w:pPr>
        <w:r>
          <w:fldChar w:fldCharType="begin"/>
        </w:r>
        <w:r>
          <w:instrText xml:space="preserve"> PAGE   \* MERGEFORMAT </w:instrText>
        </w:r>
        <w:r>
          <w:fldChar w:fldCharType="separate"/>
        </w:r>
        <w:r>
          <w:t>184</w:t>
        </w:r>
        <w:r>
          <w:fldChar w:fldCharType="end"/>
        </w:r>
      </w:p>
    </w:sdtContent>
  </w:sdt>
  <w:p w14:paraId="17461BEE" w14:textId="77777777" w:rsidR="00480F1C" w:rsidRDefault="00480F1C">
    <w:pPr>
      <w:pStyle w:val="Footer"/>
    </w:pPr>
  </w:p>
</w:ftr>
</file>

<file path=word/footer6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6F7AA"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6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5251A"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6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413178"/>
      <w:docPartObj>
        <w:docPartGallery w:val="Page Numbers (Bottom of Page)"/>
        <w:docPartUnique/>
      </w:docPartObj>
    </w:sdtPr>
    <w:sdtEndPr>
      <w:rPr>
        <w:noProof/>
      </w:rPr>
    </w:sdtEndPr>
    <w:sdtContent>
      <w:p w14:paraId="0E1D7BCB" w14:textId="52F9D5CD" w:rsidR="00480F1C" w:rsidRDefault="00A201F6">
        <w:pPr>
          <w:pStyle w:val="Footer"/>
          <w:jc w:val="center"/>
        </w:pPr>
        <w:r>
          <w:fldChar w:fldCharType="begin"/>
        </w:r>
        <w:r>
          <w:instrText xml:space="preserve"> PAGE   \* MERGEFORMAT </w:instrText>
        </w:r>
        <w:r>
          <w:fldChar w:fldCharType="separate"/>
        </w:r>
        <w:r>
          <w:t>185</w:t>
        </w:r>
        <w:r>
          <w:fldChar w:fldCharType="end"/>
        </w:r>
      </w:p>
    </w:sdtContent>
  </w:sdt>
</w:ftr>
</file>

<file path=word/footer6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BFDB1"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6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C30FB"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6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400464"/>
      <w:docPartObj>
        <w:docPartGallery w:val="Page Numbers (Bottom of Page)"/>
        <w:docPartUnique/>
      </w:docPartObj>
    </w:sdtPr>
    <w:sdtEndPr>
      <w:rPr>
        <w:noProof/>
      </w:rPr>
    </w:sdtEndPr>
    <w:sdtContent>
      <w:p w14:paraId="09D4B77B" w14:textId="0C5A4A99" w:rsidR="00480F1C" w:rsidRDefault="00A201F6">
        <w:pPr>
          <w:pStyle w:val="Footer"/>
          <w:jc w:val="center"/>
        </w:pPr>
        <w:r>
          <w:fldChar w:fldCharType="begin"/>
        </w:r>
        <w:r>
          <w:instrText xml:space="preserve"> PAGE   \* MERGEFORMAT </w:instrText>
        </w:r>
        <w:r>
          <w:fldChar w:fldCharType="separate"/>
        </w:r>
        <w:r>
          <w:t>188</w:t>
        </w:r>
        <w:r>
          <w:fldChar w:fldCharType="end"/>
        </w:r>
      </w:p>
    </w:sdtContent>
  </w:sdt>
  <w:p w14:paraId="7BBF1DBF" w14:textId="77777777" w:rsidR="00480F1C" w:rsidRDefault="00480F1C">
    <w:pPr>
      <w:pStyle w:val="Footer"/>
    </w:pPr>
  </w:p>
</w:ftr>
</file>

<file path=word/footer6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AA0AC"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7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CA522"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7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1617094"/>
      <w:docPartObj>
        <w:docPartGallery w:val="Page Numbers (Bottom of Page)"/>
        <w:docPartUnique/>
      </w:docPartObj>
    </w:sdtPr>
    <w:sdtEndPr>
      <w:rPr>
        <w:noProof/>
      </w:rPr>
    </w:sdtEndPr>
    <w:sdtContent>
      <w:p w14:paraId="13A8A1FB" w14:textId="30E2D86D" w:rsidR="00480F1C" w:rsidRDefault="00A201F6">
        <w:pPr>
          <w:pStyle w:val="Footer"/>
          <w:jc w:val="center"/>
        </w:pPr>
        <w:r>
          <w:fldChar w:fldCharType="begin"/>
        </w:r>
        <w:r>
          <w:instrText xml:space="preserve"> PAGE   \* MERGEFORMAT </w:instrText>
        </w:r>
        <w:r>
          <w:fldChar w:fldCharType="separate"/>
        </w:r>
        <w:r>
          <w:t>191</w:t>
        </w:r>
        <w:r>
          <w:fldChar w:fldCharType="end"/>
        </w:r>
      </w:p>
    </w:sdtContent>
  </w:sdt>
</w:ftr>
</file>

<file path=word/footer7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E1F8D"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7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34A15"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7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904418"/>
      <w:docPartObj>
        <w:docPartGallery w:val="Page Numbers (Bottom of Page)"/>
        <w:docPartUnique/>
      </w:docPartObj>
    </w:sdtPr>
    <w:sdtEndPr>
      <w:rPr>
        <w:noProof/>
      </w:rPr>
    </w:sdtEndPr>
    <w:sdtContent>
      <w:p w14:paraId="0ABBCEF8" w14:textId="5F024628" w:rsidR="00480F1C" w:rsidRDefault="00A201F6">
        <w:pPr>
          <w:pStyle w:val="Footer"/>
          <w:jc w:val="center"/>
        </w:pPr>
        <w:r>
          <w:fldChar w:fldCharType="begin"/>
        </w:r>
        <w:r>
          <w:instrText xml:space="preserve"> PAGE   \* MERGEFORMAT </w:instrText>
        </w:r>
        <w:r>
          <w:fldChar w:fldCharType="separate"/>
        </w:r>
        <w:r>
          <w:t>196</w:t>
        </w:r>
        <w:r>
          <w:fldChar w:fldCharType="end"/>
        </w:r>
      </w:p>
    </w:sdtContent>
  </w:sdt>
  <w:p w14:paraId="2A36F122" w14:textId="77777777" w:rsidR="00480F1C" w:rsidRDefault="00480F1C">
    <w:pPr>
      <w:pStyle w:val="Footer"/>
    </w:pPr>
  </w:p>
</w:ftr>
</file>

<file path=word/footer7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83F18"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7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6326A"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7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5740300"/>
      <w:docPartObj>
        <w:docPartGallery w:val="Page Numbers (Bottom of Page)"/>
        <w:docPartUnique/>
      </w:docPartObj>
    </w:sdtPr>
    <w:sdtEndPr>
      <w:rPr>
        <w:noProof/>
      </w:rPr>
    </w:sdtEndPr>
    <w:sdtContent>
      <w:p w14:paraId="221E7065" w14:textId="34DCE049" w:rsidR="00480F1C" w:rsidRDefault="00A201F6">
        <w:pPr>
          <w:pStyle w:val="Footer"/>
          <w:jc w:val="center"/>
        </w:pPr>
        <w:r>
          <w:fldChar w:fldCharType="begin"/>
        </w:r>
        <w:r>
          <w:instrText xml:space="preserve"> PAGE   \* MERGEFORMAT </w:instrText>
        </w:r>
        <w:r>
          <w:fldChar w:fldCharType="separate"/>
        </w:r>
        <w:r>
          <w:t>202</w:t>
        </w:r>
        <w:r>
          <w:fldChar w:fldCharType="end"/>
        </w:r>
      </w:p>
    </w:sdtContent>
  </w:sdt>
</w:ftr>
</file>

<file path=word/footer7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A9198"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7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17C0B"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8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7949833"/>
      <w:docPartObj>
        <w:docPartGallery w:val="Page Numbers (Bottom of Page)"/>
        <w:docPartUnique/>
      </w:docPartObj>
    </w:sdtPr>
    <w:sdtEndPr>
      <w:rPr>
        <w:noProof/>
      </w:rPr>
    </w:sdtEndPr>
    <w:sdtContent>
      <w:p w14:paraId="1A377224" w14:textId="107FF8E4" w:rsidR="00480F1C" w:rsidRDefault="00A201F6">
        <w:pPr>
          <w:pStyle w:val="Footer"/>
          <w:jc w:val="center"/>
        </w:pPr>
        <w:r>
          <w:fldChar w:fldCharType="begin"/>
        </w:r>
        <w:r>
          <w:instrText xml:space="preserve"> PAGE   \* MERGEFORMAT </w:instrText>
        </w:r>
        <w:r>
          <w:fldChar w:fldCharType="separate"/>
        </w:r>
        <w:r>
          <w:t>208</w:t>
        </w:r>
        <w:r>
          <w:fldChar w:fldCharType="end"/>
        </w:r>
      </w:p>
    </w:sdtContent>
  </w:sdt>
  <w:p w14:paraId="6EFCF006" w14:textId="77777777" w:rsidR="00480F1C" w:rsidRDefault="00480F1C">
    <w:pPr>
      <w:pStyle w:val="Footer"/>
    </w:pPr>
  </w:p>
</w:ftr>
</file>

<file path=word/footer8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34F0E"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8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19CCA"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8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2921819"/>
      <w:docPartObj>
        <w:docPartGallery w:val="Page Numbers (Bottom of Page)"/>
        <w:docPartUnique/>
      </w:docPartObj>
    </w:sdtPr>
    <w:sdtEndPr>
      <w:rPr>
        <w:noProof/>
      </w:rPr>
    </w:sdtEndPr>
    <w:sdtContent>
      <w:p w14:paraId="299971A7" w14:textId="1F195FB3" w:rsidR="00480F1C" w:rsidRDefault="00A201F6">
        <w:pPr>
          <w:pStyle w:val="Footer"/>
          <w:jc w:val="center"/>
        </w:pPr>
        <w:r>
          <w:fldChar w:fldCharType="begin"/>
        </w:r>
        <w:r>
          <w:instrText xml:space="preserve"> PAGE   \* MERGEFORMAT </w:instrText>
        </w:r>
        <w:r>
          <w:fldChar w:fldCharType="separate"/>
        </w:r>
        <w:r>
          <w:t>219</w:t>
        </w:r>
        <w:r>
          <w:fldChar w:fldCharType="end"/>
        </w:r>
      </w:p>
    </w:sdtContent>
  </w:sdt>
</w:ftr>
</file>

<file path=word/footer8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77543"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8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1E209"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8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9579902"/>
      <w:docPartObj>
        <w:docPartGallery w:val="Page Numbers (Bottom of Page)"/>
        <w:docPartUnique/>
      </w:docPartObj>
    </w:sdtPr>
    <w:sdtEndPr>
      <w:rPr>
        <w:noProof/>
      </w:rPr>
    </w:sdtEndPr>
    <w:sdtContent>
      <w:p w14:paraId="4570F09C" w14:textId="63552CE3" w:rsidR="00480F1C" w:rsidRDefault="00A201F6">
        <w:pPr>
          <w:pStyle w:val="Footer"/>
          <w:jc w:val="center"/>
        </w:pPr>
        <w:r>
          <w:fldChar w:fldCharType="begin"/>
        </w:r>
        <w:r>
          <w:instrText xml:space="preserve"> PAGE   \* MERGEFORMAT </w:instrText>
        </w:r>
        <w:r>
          <w:fldChar w:fldCharType="separate"/>
        </w:r>
        <w:r>
          <w:t>229</w:t>
        </w:r>
        <w:r>
          <w:fldChar w:fldCharType="end"/>
        </w:r>
      </w:p>
    </w:sdtContent>
  </w:sdt>
  <w:p w14:paraId="0B9B8AD5" w14:textId="77777777" w:rsidR="00480F1C" w:rsidRDefault="00480F1C">
    <w:pPr>
      <w:pStyle w:val="Footer"/>
    </w:pPr>
  </w:p>
</w:ftr>
</file>

<file path=word/footer8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D2BDB"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8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D7FFA"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8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0086240"/>
      <w:docPartObj>
        <w:docPartGallery w:val="Page Numbers (Bottom of Page)"/>
        <w:docPartUnique/>
      </w:docPartObj>
    </w:sdtPr>
    <w:sdtEndPr>
      <w:rPr>
        <w:noProof/>
      </w:rPr>
    </w:sdtEndPr>
    <w:sdtContent>
      <w:p w14:paraId="0FC393E7" w14:textId="31DAADF8" w:rsidR="00480F1C" w:rsidRDefault="00A201F6">
        <w:pPr>
          <w:pStyle w:val="Footer"/>
          <w:jc w:val="center"/>
        </w:pPr>
        <w:r>
          <w:fldChar w:fldCharType="begin"/>
        </w:r>
        <w:r>
          <w:instrText xml:space="preserve"> PAGE   \* MERGEFORMAT </w:instrText>
        </w:r>
        <w:r>
          <w:fldChar w:fldCharType="separate"/>
        </w:r>
        <w:r>
          <w:t>235</w:t>
        </w:r>
        <w:r>
          <w:fldChar w:fldCharType="end"/>
        </w:r>
      </w:p>
    </w:sdtContent>
  </w:sdt>
  <w:p w14:paraId="5D0DC99E" w14:textId="77777777" w:rsidR="00480F1C" w:rsidRDefault="00480F1C">
    <w:pPr>
      <w:pStyle w:val="Footer"/>
    </w:pPr>
  </w:p>
</w:ftr>
</file>

<file path=word/footer9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85ED0"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9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D18B9"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er9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420252"/>
      <w:docPartObj>
        <w:docPartGallery w:val="Page Numbers (Bottom of Page)"/>
        <w:docPartUnique/>
      </w:docPartObj>
    </w:sdtPr>
    <w:sdtEndPr>
      <w:rPr>
        <w:noProof/>
      </w:rPr>
    </w:sdtEndPr>
    <w:sdtContent>
      <w:p w14:paraId="101D63C4" w14:textId="04C53828" w:rsidR="00480F1C" w:rsidRDefault="00A201F6">
        <w:pPr>
          <w:pStyle w:val="Footer"/>
          <w:jc w:val="center"/>
        </w:pPr>
        <w:r>
          <w:fldChar w:fldCharType="begin"/>
        </w:r>
        <w:r>
          <w:instrText xml:space="preserve"> PAGE   \* MERGEFORMAT </w:instrText>
        </w:r>
        <w:r>
          <w:fldChar w:fldCharType="separate"/>
        </w:r>
        <w:r>
          <w:t>265</w:t>
        </w:r>
        <w:r>
          <w:fldChar w:fldCharType="end"/>
        </w:r>
      </w:p>
    </w:sdtContent>
  </w:sdt>
  <w:p w14:paraId="769DAB48" w14:textId="77777777" w:rsidR="00480F1C" w:rsidRDefault="00480F1C">
    <w:pPr>
      <w:pStyle w:val="Footer"/>
    </w:pPr>
  </w:p>
</w:ftr>
</file>

<file path=word/footer9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62F2B" w14:textId="77777777" w:rsidR="00480F1C" w:rsidRDefault="00480F1C">
    <w:pPr>
      <w:pStyle w:val="Normal0"/>
      <w:pBdr>
        <w:top w:val="nil"/>
        <w:left w:val="nil"/>
        <w:bottom w:val="nil"/>
        <w:right w:val="nil"/>
        <w:between w:val="nil"/>
      </w:pBdr>
      <w:tabs>
        <w:tab w:val="center" w:pos="4535"/>
        <w:tab w:val="right" w:pos="9071"/>
        <w:tab w:val="right" w:pos="9921"/>
      </w:tabs>
      <w:spacing w:before="360" w:after="0" w:line="240" w:lineRule="auto"/>
      <w:ind w:left="-850" w:right="-850"/>
      <w:rPr>
        <w:rFonts w:ascii="Times New Roman" w:eastAsia="Times New Roman" w:hAnsi="Times New Roman" w:cs="Times New Roman"/>
        <w:color w:val="000000"/>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A71491" w14:textId="77777777" w:rsidR="00480F1C" w:rsidRDefault="00A201F6">
      <w:pPr>
        <w:spacing w:after="0" w:line="240" w:lineRule="auto"/>
      </w:pPr>
      <w:r>
        <w:separator/>
      </w:r>
    </w:p>
  </w:footnote>
  <w:footnote w:type="continuationSeparator" w:id="0">
    <w:p w14:paraId="438D6050" w14:textId="77777777" w:rsidR="00480F1C" w:rsidRDefault="00A201F6">
      <w:pPr>
        <w:spacing w:after="0" w:line="240" w:lineRule="auto"/>
      </w:pPr>
      <w:r>
        <w:continuationSeparator/>
      </w:r>
    </w:p>
  </w:footnote>
  <w:footnote w:type="continuationNotice" w:id="1">
    <w:p w14:paraId="2B837CFB" w14:textId="77777777" w:rsidR="00480F1C" w:rsidRDefault="00480F1C">
      <w:pPr>
        <w:spacing w:after="0" w:line="240" w:lineRule="auto"/>
      </w:pPr>
    </w:p>
  </w:footnote>
  <w:footnote w:id="2">
    <w:p w14:paraId="62CABCB5" w14:textId="77777777" w:rsidR="00480F1C" w:rsidRDefault="00A201F6">
      <w:pPr>
        <w:pStyle w:val="FootnoteText"/>
        <w:ind w:left="0" w:firstLine="0"/>
      </w:pPr>
      <w:r>
        <w:rPr>
          <w:rStyle w:val="FootnoteReference"/>
          <w:sz w:val="18"/>
        </w:rPr>
        <w:footnoteRef/>
      </w:r>
      <w:r>
        <w:rPr>
          <w:sz w:val="18"/>
        </w:rPr>
        <w:t xml:space="preserve"> Zoals gedefinieerd in artikel 3, lid 12, van Verordening (EU) 2019/1242: met CO2-emissies van minder dan de helft van de referentiewaarden van de CO2-emissies van alle voertuigen in de subgroep voertuigen; de referentiewaarden verschillen afhankelijk van het type vrachtwagen.</w:t>
      </w:r>
    </w:p>
  </w:footnote>
  <w:footnote w:id="3">
    <w:p w14:paraId="686E7D65" w14:textId="77777777" w:rsidR="00480F1C" w:rsidRDefault="00A201F6">
      <w:pPr>
        <w:pStyle w:val="FootnoteText"/>
        <w:ind w:left="0" w:firstLine="0"/>
        <w:rPr>
          <w:sz w:val="18"/>
        </w:rPr>
      </w:pPr>
      <w:r>
        <w:rPr>
          <w:rStyle w:val="FootnoteReference"/>
          <w:sz w:val="18"/>
        </w:rPr>
        <w:footnoteRef/>
      </w:r>
      <w:r>
        <w:rPr>
          <w:sz w:val="18"/>
        </w:rPr>
        <w:t xml:space="preserve"> Zoals gedefinieerd in artikel 3, lid 11, van Verordening (EG) nr. 2019/1242: een voertuig zonder verbrandingsmotor of met een verbrandingsmotor die minder dan 1 g CO2/km uitstoot.</w:t>
      </w:r>
    </w:p>
  </w:footnote>
  <w:footnote w:id="4">
    <w:p w14:paraId="63101451" w14:textId="77777777" w:rsidR="00480F1C" w:rsidRDefault="00A201F6">
      <w:pPr>
        <w:pStyle w:val="Normal0"/>
        <w:pBdr>
          <w:top w:val="nil"/>
          <w:left w:val="nil"/>
          <w:bottom w:val="nil"/>
          <w:right w:val="nil"/>
          <w:between w:val="nil"/>
        </w:pBdr>
        <w:spacing w:after="0" w:line="240" w:lineRule="auto"/>
        <w:jc w:val="both"/>
        <w:rPr>
          <w:rFonts w:ascii="Times New Roman" w:eastAsia="Times New Roman" w:hAnsi="Times New Roman" w:cs="Times New Roman"/>
          <w:color w:val="000000"/>
          <w:sz w:val="18"/>
        </w:rPr>
      </w:pPr>
      <w:r>
        <w:rPr>
          <w:rStyle w:val="FootnoteReference"/>
          <w:rFonts w:ascii="Times New Roman" w:hAnsi="Times New Roman" w:cs="Times New Roman"/>
          <w:sz w:val="18"/>
        </w:rPr>
        <w:footnoteRef/>
      </w:r>
      <w:r>
        <w:rPr>
          <w:rFonts w:ascii="Times New Roman" w:hAnsi="Times New Roman"/>
          <w:color w:val="000000"/>
          <w:sz w:val="18"/>
        </w:rPr>
        <w:t>Met uitzondering van projecten in het kader van deze maatregel op het gebied van de opwekking van elektriciteit en/of warmte en de daarmee verband houdende transmissie- en distributie-infrastructuur, met gebruikmaking van aardgas, die voldoen aan de voorwaarden van bijlage III van de technische richtsnoeren „Geen ernstige afbreuk doen” (2021/C58/01).</w:t>
      </w:r>
    </w:p>
  </w:footnote>
  <w:footnote w:id="5">
    <w:p w14:paraId="6296EAAA" w14:textId="2C610AE4" w:rsidR="00480F1C" w:rsidRDefault="00A201F6">
      <w:pPr>
        <w:pStyle w:val="Normal0"/>
        <w:pBdr>
          <w:top w:val="nil"/>
          <w:left w:val="nil"/>
          <w:bottom w:val="nil"/>
          <w:right w:val="nil"/>
          <w:between w:val="nil"/>
        </w:pBdr>
        <w:spacing w:after="0" w:line="240" w:lineRule="auto"/>
        <w:jc w:val="both"/>
        <w:rPr>
          <w:rFonts w:ascii="Times New Roman" w:eastAsia="Times New Roman" w:hAnsi="Times New Roman" w:cs="Times New Roman"/>
          <w:color w:val="000000"/>
          <w:sz w:val="20"/>
        </w:rPr>
      </w:pPr>
      <w:r>
        <w:rPr>
          <w:rStyle w:val="FootnoteReference"/>
          <w:rFonts w:ascii="Times New Roman" w:hAnsi="Times New Roman" w:cs="Times New Roman"/>
          <w:sz w:val="18"/>
        </w:rPr>
        <w:footnoteRef/>
      </w:r>
      <w:r>
        <w:rPr>
          <w:rFonts w:ascii="Times New Roman" w:hAnsi="Times New Roman"/>
          <w:color w:val="000000"/>
          <w:sz w:val="18"/>
        </w:rPr>
        <w:t>Indien de ondersteunde activiteit verwachte broeikasgasemissies oplevert die niet significant lager zijn dan de relevante benchmarks, wordt een toelichting gegeven van de redenen waarom dit niet mogelijk is. Benchmarks die zijn vastgesteld voor kosteloze toewijzing voor activiteiten die binnen het toepassingsgebied van het EU-emissiehandelssysteem vallen, zoals vastgesteld in Uitvoeringsverordening (EU) 2021/447 van de Commissie.</w:t>
      </w:r>
    </w:p>
  </w:footnote>
  <w:footnote w:id="6">
    <w:p w14:paraId="63F0BE5B" w14:textId="77777777" w:rsidR="00480F1C" w:rsidRDefault="00A201F6">
      <w:pPr>
        <w:pStyle w:val="Normal0"/>
        <w:pBdr>
          <w:top w:val="nil"/>
          <w:left w:val="nil"/>
          <w:bottom w:val="nil"/>
          <w:right w:val="nil"/>
          <w:between w:val="nil"/>
        </w:pBdr>
        <w:spacing w:after="0" w:line="240" w:lineRule="auto"/>
        <w:jc w:val="both"/>
        <w:rPr>
          <w:rFonts w:ascii="Times New Roman" w:eastAsia="Times New Roman" w:hAnsi="Times New Roman" w:cs="Times New Roman"/>
          <w:color w:val="000000"/>
          <w:sz w:val="18"/>
        </w:rPr>
      </w:pPr>
      <w:r>
        <w:rPr>
          <w:rStyle w:val="FootnoteReference"/>
          <w:rFonts w:ascii="Times New Roman" w:hAnsi="Times New Roman" w:cs="Times New Roman"/>
          <w:sz w:val="18"/>
        </w:rPr>
        <w:footnoteRef/>
      </w:r>
      <w:r>
        <w:rPr>
          <w:rFonts w:ascii="Times New Roman" w:hAnsi="Times New Roman"/>
          <w:color w:val="000000"/>
          <w:sz w:val="18"/>
        </w:rPr>
        <w:t>Deze uitsluiting is niet van toepassing op acties in het kader van deze maatregel in installaties die uitsluitend bestemd zijn voor de behandeling van niet-recycleerbaar gevaarlijk afval, noch op bestaande installaties, wanneer de acties in het kader van deze maatregel tot doel hebben de energie-efficiëntie te verhogen, uitlaatgassen af te vangen voor opslag of het gebruik of terugwinning van materialen uit verbrandingsassen, mits dergelijke acties in het kader van deze maatregel niet leiden tot een verhoging van de afvalverwerkingscapaciteit van de installatie of tot een verlenging van de levensduur van de installaties; waarvoor bewijs wordt geleverd op het niveau van de installatie.</w:t>
      </w:r>
    </w:p>
  </w:footnote>
  <w:footnote w:id="7">
    <w:p w14:paraId="508C08BD" w14:textId="77777777" w:rsidR="00480F1C" w:rsidRDefault="00A201F6">
      <w:pPr>
        <w:pStyle w:val="Normal0"/>
        <w:pBdr>
          <w:top w:val="nil"/>
          <w:left w:val="nil"/>
          <w:bottom w:val="nil"/>
          <w:right w:val="nil"/>
          <w:between w:val="nil"/>
        </w:pBdr>
        <w:spacing w:after="0" w:line="240" w:lineRule="auto"/>
        <w:jc w:val="both"/>
        <w:rPr>
          <w:rFonts w:ascii="Times New Roman" w:eastAsia="Times New Roman" w:hAnsi="Times New Roman" w:cs="Times New Roman"/>
          <w:color w:val="000000"/>
          <w:sz w:val="20"/>
        </w:rPr>
      </w:pPr>
      <w:r>
        <w:rPr>
          <w:rStyle w:val="FootnoteReference"/>
          <w:rFonts w:ascii="Times New Roman" w:hAnsi="Times New Roman" w:cs="Times New Roman"/>
          <w:sz w:val="18"/>
        </w:rPr>
        <w:footnoteRef/>
      </w:r>
      <w:r>
        <w:rPr>
          <w:rFonts w:ascii="Times New Roman" w:hAnsi="Times New Roman"/>
          <w:color w:val="000000"/>
          <w:sz w:val="18"/>
        </w:rPr>
        <w:t>Deze uitsluiting is niet van toepassing op acties in het kader van deze maatregel in bestaande installaties voor mechanische biologische behandeling, wanneer de acties in het kader van deze maatregel tot doel hebben de energie-efficiëntie te verhogen of de recyclingactiviteiten van gescheiden afval aan te passen aan compost bioafval en anaerobe vergisting van bioafval, mits dergelijke acties in het kader van deze maatregel niet leiden tot een verhoging van de afvalverwerkingscapaciteit van de installaties of tot een verlenging van de levensduur van de installaties; waarvoor bewijs wordt geleverd op het niveau van de installatie.</w:t>
      </w:r>
    </w:p>
  </w:footnote>
  <w:footnote w:id="8">
    <w:p w14:paraId="6D3D4F05" w14:textId="3F6CAECF" w:rsidR="00480F1C" w:rsidRDefault="00A201F6">
      <w:pPr>
        <w:pStyle w:val="FootnoteText"/>
        <w:ind w:left="0" w:firstLine="0"/>
        <w:rPr>
          <w:sz w:val="18"/>
        </w:rPr>
      </w:pPr>
      <w:r>
        <w:rPr>
          <w:rStyle w:val="FootnoteReference"/>
          <w:sz w:val="18"/>
        </w:rPr>
        <w:footnoteRef/>
      </w:r>
      <w:r>
        <w:rPr>
          <w:sz w:val="18"/>
        </w:rPr>
        <w:t xml:space="preserve"> Met uitzondering van projecten in het kader van deze maatregel op het gebied van elektriciteits- en/of warmteopwekking, alsook de daarmee verband houdende transmissie- en distributie-infrastructuur met gebruikmaking van aardgas, die voldoen aan de voorwaarden van bijlage III bij de technische richtsnoeren „Geen ernstige afbreuk doen” (2021/C 58/01).</w:t>
      </w:r>
    </w:p>
  </w:footnote>
  <w:footnote w:id="9">
    <w:p w14:paraId="769306E1" w14:textId="771856AD" w:rsidR="00480F1C" w:rsidRDefault="00A201F6">
      <w:pPr>
        <w:pStyle w:val="FootnoteText"/>
        <w:ind w:left="0" w:firstLine="0"/>
        <w:rPr>
          <w:sz w:val="18"/>
        </w:rPr>
      </w:pPr>
      <w:r>
        <w:rPr>
          <w:rStyle w:val="FootnoteReference"/>
          <w:sz w:val="18"/>
        </w:rPr>
        <w:footnoteRef/>
      </w:r>
      <w:r>
        <w:rPr>
          <w:sz w:val="18"/>
        </w:rPr>
        <w:t xml:space="preserve"> Indien de ondersteunde activiteit verwachte broeikasgasemissies oplevert die niet significant lager zijn dan de relevante benchmarks, wordt een toelichting gegeven van de redenen waarom dit niet mogelijk is. Benchmarks die zijn vastgesteld voor kosteloze toewijzing voor activiteiten die binnen het toepassingsgebied van het EU-emissiehandelssysteem vallen, zoals vastgesteld in Uitvoeringsverordening (EU) 2021/447 van de Commissie.</w:t>
      </w:r>
    </w:p>
  </w:footnote>
  <w:footnote w:id="10">
    <w:p w14:paraId="59DB1D0F" w14:textId="49BF65A4" w:rsidR="00480F1C" w:rsidRDefault="00A201F6">
      <w:pPr>
        <w:pStyle w:val="FootnoteText"/>
        <w:ind w:left="0" w:firstLine="0"/>
        <w:rPr>
          <w:sz w:val="18"/>
        </w:rPr>
      </w:pPr>
      <w:r>
        <w:rPr>
          <w:rStyle w:val="FootnoteReference"/>
          <w:sz w:val="18"/>
        </w:rPr>
        <w:footnoteRef/>
      </w:r>
      <w:r>
        <w:rPr>
          <w:sz w:val="18"/>
        </w:rPr>
        <w:t xml:space="preserve"> Deze uitsluiting is niet van toepassing op acties in het kader van deze maatregel in installaties die uitsluitend bestemd zijn voor de behandeling van niet-recycleerbaar gevaarlijk afval, noch op bestaande installaties, wanneer de acties in het kader van deze maatregel tot doel hebben de energie-efficiëntie te verhogen, uitlaatgassen af te vangen voor opslag of het gebruik of terugwinning van materialen uit verbrandingsassen, mits dergelijke acties in het kader van deze maatregel niet leiden tot een verhoging van de afvalverwerkingscapaciteit van de installatie of tot een verlenging van de levensduur van de installaties; waarvoor bewijs wordt geleverd op het niveau van de installatie.</w:t>
      </w:r>
    </w:p>
  </w:footnote>
  <w:footnote w:id="11">
    <w:p w14:paraId="2E46A04B" w14:textId="3E31E909" w:rsidR="00480F1C" w:rsidRDefault="00A201F6">
      <w:pPr>
        <w:spacing w:after="240" w:line="240" w:lineRule="auto"/>
        <w:jc w:val="both"/>
        <w:rPr>
          <w:rFonts w:ascii="Times New Roman" w:eastAsia="Times New Roman" w:hAnsi="Times New Roman" w:cs="Times New Roman"/>
          <w:sz w:val="18"/>
        </w:rPr>
      </w:pPr>
      <w:r>
        <w:rPr>
          <w:rStyle w:val="FootnoteReference"/>
          <w:rFonts w:ascii="Times New Roman" w:hAnsi="Times New Roman" w:cs="Times New Roman"/>
          <w:sz w:val="18"/>
        </w:rPr>
        <w:footnoteRef/>
      </w:r>
      <w:r>
        <w:rPr>
          <w:rFonts w:ascii="Times New Roman" w:hAnsi="Times New Roman"/>
          <w:sz w:val="18"/>
        </w:rPr>
        <w:t xml:space="preserve"> Deze uitsluiting is niet van toepassing op acties in het kader van deze maatregel in bestaande installaties voor mechanische biologische behandeling, wanneer de acties in het kader van deze maatregel tot doel hebben de energie-efficiëntie te verhogen of de recyclingactiviteiten van gescheiden afval aan te passen aan compost bioafval en anaerobe vergisting van bioafval, mits dergelijke acties in het kader van deze maatregel niet leiden tot een verhoging van de afvalverwerkingscapaciteit van de installaties of tot een verlenging van de levensduur van de installaties; waarvoor bewijs wordt geleverd op het niveau van de installatie.</w:t>
      </w:r>
    </w:p>
  </w:footnote>
  <w:footnote w:id="12">
    <w:p w14:paraId="2C87428C" w14:textId="6C23BC54" w:rsidR="00480F1C" w:rsidRDefault="00A201F6">
      <w:pPr>
        <w:pStyle w:val="FootnoteText"/>
        <w:ind w:left="0" w:firstLine="0"/>
      </w:pPr>
      <w:r>
        <w:rPr>
          <w:rStyle w:val="FootnoteReference"/>
        </w:rPr>
        <w:footnoteRef/>
      </w:r>
      <w:r>
        <w:t xml:space="preserve"> Met uitzondering van a) activa en activiteiten op het gebied van elektriciteits- en/of warmteopwekking, alsook de daarmee verband houdende transmissie- en distributie-infrastructuur met gebruikmaking van aardgas, die voldoen aan de voorwaarden van bijlage III bij de technische richtsnoeren „Geen ernstige afbreuk doen” (C (2023) 6454 final) en b) activiteiten en activa onder punt ii) waarvoor het gebruik van fossiele brandstoffen tijdelijk en technisch onvermijdelijk is voor de tijdige transitie naar een vrij gebruik van fossiele brandstoffen.</w:t>
      </w:r>
    </w:p>
  </w:footnote>
  <w:footnote w:id="13">
    <w:p w14:paraId="7580DC86" w14:textId="0E59E211" w:rsidR="00480F1C" w:rsidRDefault="00A201F6">
      <w:pPr>
        <w:pStyle w:val="FootnoteText"/>
        <w:ind w:left="0" w:firstLine="0"/>
      </w:pPr>
      <w:r>
        <w:rPr>
          <w:rStyle w:val="FootnoteReference"/>
        </w:rPr>
        <w:footnoteRef/>
      </w:r>
      <w:r>
        <w:t xml:space="preserve"> </w:t>
      </w:r>
      <w:r>
        <w:rPr>
          <w:rStyle w:val="normaltextrun"/>
          <w:shd w:val="clear" w:color="auto" w:fill="FFFFFF"/>
        </w:rPr>
        <w:t xml:space="preserve">Indien de ondersteunde activiteit verwachte broeikasgasemissies oplevert die niet significant lager zijn dan de relevante benchmarks, wordt een toelichting verstrekt van de redenen waarom dit niet mogelijk is. Benchmarks vastgesteld voor kosteloze toewijzing voor activiteiten die binnen het toepassingsgebied van het emissiehandelssysteem vallen, zoals bepaald in Uitvoeringsverordening (EU) 2021/447 van de Commissie.  </w:t>
      </w:r>
    </w:p>
  </w:footnote>
  <w:footnote w:id="14">
    <w:p w14:paraId="0DB83764" w14:textId="1258B4B0" w:rsidR="00480F1C" w:rsidRDefault="00A201F6">
      <w:pPr>
        <w:pStyle w:val="FootnoteText"/>
        <w:ind w:left="0" w:firstLine="0"/>
        <w:rPr>
          <w:shd w:val="clear" w:color="auto" w:fill="FFFFFF"/>
        </w:rPr>
      </w:pPr>
      <w:r>
        <w:rPr>
          <w:rStyle w:val="FootnoteReference"/>
        </w:rPr>
        <w:footnoteRef/>
      </w:r>
      <w:r>
        <w:t xml:space="preserve"> </w:t>
      </w:r>
      <w:r>
        <w:rPr>
          <w:rStyle w:val="normaltextrun"/>
          <w:shd w:val="clear" w:color="auto" w:fill="FFFFFF"/>
        </w:rPr>
        <w:t xml:space="preserve">Deze uitsluiting is niet van toepassing op acties in het kader van deze maatregel in installaties die uitsluitend bestemd zijn voor de behandeling van niet-recycleerbaar gevaarlijk afval, noch op bestaande installaties, wanneer de acties in het kader van deze maatregel tot doel hebben de energie-efficiëntie te verhogen, uitlaatgassen af te vangen voor opslag of het gebruik of terugwinning van materialen uit verbrandingsassen, mits dergelijke acties in het kader van deze maatregel niet leiden tot een verhoging van de afvalverwerkingscapaciteit van de installatie of tot een verlenging van de levensduur van de installaties; waarvoor bewijs wordt geleverd op het niveau van de installatie.  </w:t>
      </w:r>
    </w:p>
  </w:footnote>
  <w:footnote w:id="15">
    <w:p w14:paraId="78D8F22F" w14:textId="2E5D8990" w:rsidR="00480F1C" w:rsidRDefault="00A201F6">
      <w:pPr>
        <w:pStyle w:val="FootnoteText"/>
        <w:ind w:left="0" w:firstLine="0"/>
      </w:pPr>
      <w:r>
        <w:rPr>
          <w:rStyle w:val="FootnoteReference"/>
        </w:rPr>
        <w:footnoteRef/>
      </w:r>
      <w:r>
        <w:t xml:space="preserve"> </w:t>
      </w:r>
      <w:r>
        <w:rPr>
          <w:rStyle w:val="normaltextrun"/>
          <w:shd w:val="clear" w:color="auto" w:fill="FFFFFF"/>
        </w:rPr>
        <w:t xml:space="preserve">Deze uitsluiting is niet van toepassing op acties in het kader van deze maatregel in bestaande installaties voor mechanische biologische behandeling, wanneer de acties in het kader van deze maatregel tot doel hebben de energie-efficiëntie te verhogen of de recyclingactiviteiten van gescheiden afval aan te passen aan compost bioafval en anaerobe vergisting van bioafval, mits dergelijke acties in het kader van deze maatregel niet leiden tot een verhoging van de afvalverwerkingscapaciteit van de installaties of tot een verlenging van de levensduur van de installaties; waarvoor bewijs wordt geleverd op het niveau van de installatie.  </w:t>
      </w:r>
    </w:p>
  </w:footnote>
  <w:footnote w:id="16">
    <w:p w14:paraId="143A90CC" w14:textId="77777777" w:rsidR="00480F1C" w:rsidRDefault="00A201F6">
      <w:pPr>
        <w:pBdr>
          <w:top w:val="nil"/>
          <w:left w:val="nil"/>
          <w:bottom w:val="nil"/>
          <w:right w:val="nil"/>
          <w:between w:val="nil"/>
        </w:pBdr>
        <w:spacing w:after="120" w:line="257" w:lineRule="auto"/>
        <w:jc w:val="both"/>
        <w:rPr>
          <w:rFonts w:ascii="Times New Roman" w:eastAsia="Times New Roman" w:hAnsi="Times New Roman" w:cs="Times New Roman"/>
          <w:sz w:val="18"/>
        </w:rPr>
      </w:pPr>
      <w:r>
        <w:rPr>
          <w:rStyle w:val="FootnoteReference"/>
          <w:rFonts w:ascii="Times New Roman" w:hAnsi="Times New Roman" w:cs="Times New Roman"/>
          <w:sz w:val="18"/>
        </w:rPr>
        <w:footnoteRef/>
      </w:r>
      <w:r>
        <w:rPr>
          <w:rFonts w:ascii="Times New Roman" w:hAnsi="Times New Roman"/>
          <w:sz w:val="18"/>
        </w:rPr>
        <w:t xml:space="preserve"> Met uitzondering van projecten in het kader van deze maatregel op het gebied van elektriciteits- en/of warmteopwekking, alsook de daarmee verband houdende transmissie- en distributie-infrastructuur met gebruikmaking van aardgas, die voldoen aan de voorwaarden van bijlage III bij de technische richtsnoeren „Geen ernstige afbreuk doen” (2021/C 58/01).</w:t>
      </w:r>
    </w:p>
  </w:footnote>
  <w:footnote w:id="17">
    <w:p w14:paraId="2D3A97D4" w14:textId="639D36E2" w:rsidR="00480F1C" w:rsidRDefault="00A201F6">
      <w:pPr>
        <w:pStyle w:val="FootnoteText"/>
        <w:ind w:left="0" w:firstLine="0"/>
        <w:rPr>
          <w:sz w:val="18"/>
        </w:rPr>
      </w:pPr>
      <w:r>
        <w:rPr>
          <w:rStyle w:val="FootnoteReference"/>
          <w:sz w:val="18"/>
        </w:rPr>
        <w:footnoteRef/>
      </w:r>
      <w:r>
        <w:rPr>
          <w:sz w:val="18"/>
        </w:rPr>
        <w:t xml:space="preserve"> Indien de ondersteunde activiteit verwachte broeikasgasemissies oplevert die niet significant lager zijn dan de relevante benchmarks, wordt een toelichting gegeven van de redenen waarom dit niet mogelijk is. Benchmarks die zijn vastgesteld voor kosteloze toewijzing voor activiteiten die binnen het toepassingsgebied van het EU-emissiehandelssysteem vallen, zoals vastgesteld in Uitvoeringsverordening (EU) 2021/447 van de Commissie.</w:t>
      </w:r>
    </w:p>
  </w:footnote>
  <w:footnote w:id="18">
    <w:p w14:paraId="0458E323" w14:textId="77777777" w:rsidR="00480F1C" w:rsidRDefault="00A201F6">
      <w:pPr>
        <w:pStyle w:val="FootnoteText"/>
        <w:ind w:left="0" w:firstLine="0"/>
        <w:rPr>
          <w:sz w:val="18"/>
        </w:rPr>
      </w:pPr>
      <w:r>
        <w:rPr>
          <w:rStyle w:val="FootnoteReference"/>
          <w:sz w:val="18"/>
        </w:rPr>
        <w:footnoteRef/>
      </w:r>
      <w:r>
        <w:rPr>
          <w:sz w:val="18"/>
        </w:rPr>
        <w:t xml:space="preserve"> Deze uitsluiting is niet van toepassing op acties in het kader van deze maatregel in installaties die uitsluitend bestemd zijn voor de behandeling van niet-recycleerbaar gevaarlijk afval, noch op bestaande installaties, wanneer de acties in het kader van deze maatregel tot doel hebben de energie-efficiëntie te verhogen, uitlaatgassen af te vangen voor opslag of het gebruik of terugwinning van materialen uit verbrandingsassen, mits dergelijke acties in het kader van deze maatregel niet leiden tot een verhoging van de afvalverwerkingscapaciteit van de installatie of tot een verlenging van de levensduur van de installaties; waarvoor bewijs wordt geleverd op het niveau van de installatie.</w:t>
      </w:r>
    </w:p>
  </w:footnote>
  <w:footnote w:id="19">
    <w:p w14:paraId="0CA2247E" w14:textId="77777777" w:rsidR="00480F1C" w:rsidRDefault="00A201F6">
      <w:pPr>
        <w:pBdr>
          <w:top w:val="nil"/>
          <w:left w:val="nil"/>
          <w:bottom w:val="nil"/>
          <w:right w:val="nil"/>
          <w:between w:val="nil"/>
        </w:pBdr>
        <w:spacing w:after="0" w:line="240" w:lineRule="auto"/>
        <w:jc w:val="both"/>
        <w:rPr>
          <w:rFonts w:ascii="Times New Roman" w:eastAsia="Times New Roman" w:hAnsi="Times New Roman" w:cs="Times New Roman"/>
          <w:sz w:val="16"/>
        </w:rPr>
      </w:pPr>
      <w:r>
        <w:rPr>
          <w:rStyle w:val="FootnoteReference"/>
          <w:rFonts w:ascii="Times New Roman" w:hAnsi="Times New Roman" w:cs="Times New Roman"/>
          <w:sz w:val="18"/>
        </w:rPr>
        <w:footnoteRef/>
      </w:r>
      <w:r>
        <w:rPr>
          <w:rFonts w:ascii="Times New Roman" w:hAnsi="Times New Roman"/>
          <w:sz w:val="18"/>
        </w:rPr>
        <w:t xml:space="preserve"> Deze uitsluiting is niet van toepassing op acties in het kader van deze maatregel in bestaande installaties voor mechanische biologische behandeling, wanneer de acties in het kader van deze maatregel tot doel hebben de energie-efficiëntie te verhogen of de recyclingactiviteiten van gescheiden afval aan te passen aan compost bioafval en anaerobe vergisting van bioafval, mits dergelijke acties in het kader van deze maatregel niet leiden tot een verhoging van de afvalverwerkingscapaciteit van de installaties of tot een verlenging van de levensduur van de installaties; waarvoor bewijs wordt geleverd op het niveau van de installatie.</w:t>
      </w:r>
    </w:p>
  </w:footnote>
  <w:footnote w:id="20">
    <w:p w14:paraId="17F6034B" w14:textId="77777777" w:rsidR="00480F1C" w:rsidRDefault="00A201F6">
      <w:pPr>
        <w:pStyle w:val="FootnoteText"/>
        <w:ind w:left="0" w:firstLine="0"/>
        <w:rPr>
          <w:sz w:val="18"/>
        </w:rPr>
      </w:pPr>
      <w:r>
        <w:rPr>
          <w:rStyle w:val="FootnoteReference"/>
          <w:sz w:val="18"/>
        </w:rPr>
        <w:footnoteRef/>
      </w:r>
      <w:r>
        <w:rPr>
          <w:sz w:val="18"/>
        </w:rPr>
        <w:t xml:space="preserve"> Met uitzondering van projecten in het kader van deze maatregel op het gebied van de opwekking van elektriciteit en/of warmte en de daarmee verband houdende transmissie- en distributie-infrastructuur, met gebruikmaking van aardgas, die voldoen aan de voorwaarden van bijlage III van de technische richtsnoeren „Geen ernstige afbreuk doen” (2021/C58/01).</w:t>
      </w:r>
    </w:p>
  </w:footnote>
  <w:footnote w:id="21">
    <w:p w14:paraId="1291BE33" w14:textId="214F72B7" w:rsidR="00480F1C" w:rsidRDefault="00A201F6">
      <w:pPr>
        <w:pStyle w:val="FootnoteText"/>
        <w:ind w:left="0" w:firstLine="0"/>
        <w:rPr>
          <w:sz w:val="18"/>
        </w:rPr>
      </w:pPr>
      <w:r>
        <w:rPr>
          <w:rStyle w:val="FootnoteReference"/>
          <w:sz w:val="18"/>
        </w:rPr>
        <w:footnoteRef/>
      </w:r>
      <w:r>
        <w:rPr>
          <w:sz w:val="18"/>
        </w:rPr>
        <w:t xml:space="preserve"> Indien de ondersteunde activiteit verwachte broeikasgasemissies oplevert die niet significant lager zijn dan de relevante benchmarks, wordt een toelichting gegeven van de redenen waarom dit niet mogelijk is. Benchmarks die zijn vastgesteld voor kosteloze toewijzing voor activiteiten die binnen het toepassingsgebied van het EU-emissiehandelssysteem vallen, zoals vastgesteld in Uitvoeringsverordening (EU) 2021/447 van de Commissie.</w:t>
      </w:r>
    </w:p>
  </w:footnote>
  <w:footnote w:id="22">
    <w:p w14:paraId="7BB9DAC5" w14:textId="77777777" w:rsidR="00480F1C" w:rsidRDefault="00A201F6">
      <w:pPr>
        <w:pStyle w:val="FootnoteText"/>
        <w:ind w:left="0" w:firstLine="0"/>
        <w:rPr>
          <w:sz w:val="18"/>
        </w:rPr>
      </w:pPr>
      <w:r>
        <w:rPr>
          <w:rStyle w:val="FootnoteReference"/>
          <w:sz w:val="18"/>
        </w:rPr>
        <w:footnoteRef/>
      </w:r>
      <w:r>
        <w:rPr>
          <w:sz w:val="18"/>
        </w:rPr>
        <w:t xml:space="preserve"> Deze uitsluiting is niet van toepassing op acties in het kader van deze maatregel in installaties die uitsluitend bestemd zijn voor de behandeling van niet-recycleerbaar gevaarlijk afval, noch op bestaande installaties, wanneer de acties in het kader van deze maatregel tot doel hebben de energie-efficiëntie te verhogen, uitlaatgassen af te vangen voor opslag of het gebruik of terugwinning van materialen uit verbrandingsassen, mits dergelijke acties in het kader van deze maatregel niet leiden tot een verhoging van de afvalverwerkingscapaciteit van de installatie of tot een verlenging van de levensduur van de installaties; waarvoor bewijs wordt geleverd op het niveau van de installatie.</w:t>
      </w:r>
    </w:p>
  </w:footnote>
  <w:footnote w:id="23">
    <w:p w14:paraId="132774F8" w14:textId="77777777" w:rsidR="00480F1C" w:rsidRDefault="00A201F6">
      <w:pPr>
        <w:pStyle w:val="FootnoteText"/>
        <w:ind w:left="0" w:firstLine="0"/>
        <w:rPr>
          <w:sz w:val="18"/>
        </w:rPr>
      </w:pPr>
      <w:r>
        <w:rPr>
          <w:rStyle w:val="FootnoteReference"/>
          <w:sz w:val="18"/>
        </w:rPr>
        <w:footnoteRef/>
      </w:r>
      <w:r>
        <w:rPr>
          <w:sz w:val="18"/>
        </w:rPr>
        <w:t xml:space="preserve"> Deze uitsluiting is niet van toepassing op acties in het kader van deze maatregel in bestaande installaties voor mechanische biologische behandeling, wanneer de acties in het kader van deze maatregel tot doel hebben de energie-efficiëntie te verhogen of de recyclingactiviteiten van gescheiden afval aan te passen aan compost bioafval en anaerobe vergisting van bioafval, mits dergelijke acties in het kader van deze maatregel niet leiden tot een verhoging van de afvalverwerkingscapaciteit van de installaties of tot een verlenging van de levensduur van de installaties; waarvoor bewijs wordt geleverd op het niveau van de installatie.</w:t>
      </w:r>
    </w:p>
  </w:footnote>
  <w:footnote w:id="24">
    <w:p w14:paraId="5B6F72E2" w14:textId="272B5688" w:rsidR="00480F1C" w:rsidRDefault="00A201F6">
      <w:pPr>
        <w:pStyle w:val="FootnoteText"/>
        <w:ind w:left="0" w:firstLine="0"/>
        <w:rPr>
          <w:sz w:val="18"/>
        </w:rPr>
      </w:pPr>
      <w:r>
        <w:rPr>
          <w:rStyle w:val="FootnoteReference"/>
          <w:sz w:val="18"/>
        </w:rPr>
        <w:footnoteRef/>
      </w:r>
      <w:r>
        <w:rPr>
          <w:sz w:val="18"/>
        </w:rPr>
        <w:t xml:space="preserve"> Met uitzondering van projecten in het kader van deze maatregel op het gebied van elektriciteits- en/of warmteopwekking, alsook de daarmee verband houdende transmissie- en distributie-infrastructuur met gebruikmaking van aardgas, die voldoen aan de voorwaarden van bijlage III bij de technische richtsnoeren „Geen ernstige afbreuk doen” C (2023) 6454 final.</w:t>
      </w:r>
    </w:p>
  </w:footnote>
  <w:footnote w:id="25">
    <w:p w14:paraId="43B9F8DB" w14:textId="4CFFCA1C" w:rsidR="00480F1C" w:rsidRDefault="00A201F6">
      <w:pPr>
        <w:pStyle w:val="FootnoteText"/>
        <w:ind w:left="0" w:firstLine="0"/>
        <w:rPr>
          <w:sz w:val="18"/>
        </w:rPr>
      </w:pPr>
      <w:r>
        <w:rPr>
          <w:rStyle w:val="FootnoteReference"/>
          <w:sz w:val="18"/>
        </w:rPr>
        <w:footnoteRef/>
      </w:r>
      <w:r>
        <w:rPr>
          <w:sz w:val="18"/>
        </w:rPr>
        <w:t xml:space="preserve"> Indien de ondersteunde activiteit verwachte broeikasgasemissies oplevert die niet significant lager zijn dan de relevante benchmarks, wordt een toelichting gegeven van de redenen waarom dit niet mogelijk is. Benchmarks die zijn vastgesteld voor kosteloze toewijzing voor activiteiten die binnen het toepassingsgebied van het EU-emissiehandelssysteem vallen, zoals vastgesteld in Uitvoeringsverordening (EU) 2021/447 van de Commissie.</w:t>
      </w:r>
    </w:p>
  </w:footnote>
  <w:footnote w:id="26">
    <w:p w14:paraId="06673560" w14:textId="77777777" w:rsidR="00480F1C" w:rsidRDefault="00A201F6">
      <w:pPr>
        <w:pStyle w:val="FootnoteText"/>
        <w:ind w:left="0" w:firstLine="0"/>
        <w:rPr>
          <w:sz w:val="18"/>
        </w:rPr>
      </w:pPr>
      <w:r>
        <w:rPr>
          <w:rStyle w:val="FootnoteReference"/>
          <w:sz w:val="18"/>
        </w:rPr>
        <w:footnoteRef/>
      </w:r>
      <w:r>
        <w:rPr>
          <w:sz w:val="18"/>
        </w:rPr>
        <w:t xml:space="preserve"> Deze uitsluiting is niet van toepassing op acties in het kader van deze maatregel in installaties die uitsluitend bestemd zijn voor de behandeling van niet-recycleerbaar gevaarlijk afval, noch op bestaande installaties, wanneer de acties in het kader van deze maatregel tot doel hebben de energie-efficiëntie te verhogen, uitlaatgassen af te vangen voor opslag of het gebruik of terugwinning van materialen uit verbrandingsassen, mits dergelijke acties in het kader van deze maatregel niet leiden tot een verhoging van de afvalverwerkingscapaciteit van de installatie of tot een verlenging van de levensduur van de installaties; waarvoor bewijs wordt geleverd op het niveau van de installatie.</w:t>
      </w:r>
    </w:p>
  </w:footnote>
  <w:footnote w:id="27">
    <w:p w14:paraId="4F991F2B" w14:textId="77777777" w:rsidR="00480F1C" w:rsidRDefault="00A201F6">
      <w:pPr>
        <w:pStyle w:val="FootnoteText"/>
        <w:ind w:left="0" w:firstLine="0"/>
      </w:pPr>
      <w:r>
        <w:rPr>
          <w:rStyle w:val="FootnoteReference"/>
          <w:sz w:val="18"/>
        </w:rPr>
        <w:footnoteRef/>
      </w:r>
      <w:r>
        <w:rPr>
          <w:sz w:val="18"/>
        </w:rPr>
        <w:t xml:space="preserve"> Deze uitsluiting is niet van toepassing op acties in het kader van deze maatregel in bestaande installaties voor mechanische biologische behandeling, wanneer de acties in het kader van deze maatregel tot doel hebben de energie-efficiëntie te verhogen of de recyclingactiviteiten van gescheiden afval aan te passen aan compost bioafval en anaerobe vergisting van bioafval, mits dergelijke acties in het kader van deze maatregel niet leiden tot een verhoging van de afvalverwerkingscapaciteit van de installaties of tot een verlenging van de levensduur van de installaties; waarvoor bewijs wordt geleverd op het niveau van de installatie.</w:t>
      </w:r>
    </w:p>
  </w:footnote>
  <w:footnote w:id="28">
    <w:p w14:paraId="08D2E802" w14:textId="77777777" w:rsidR="00480F1C" w:rsidRDefault="00A201F6">
      <w:pPr>
        <w:jc w:val="both"/>
        <w:rPr>
          <w:rFonts w:ascii="Times New Roman" w:hAnsi="Times New Roman"/>
          <w:sz w:val="18"/>
        </w:rPr>
      </w:pPr>
      <w:r>
        <w:rPr>
          <w:rStyle w:val="FootnoteReference"/>
          <w:rFonts w:ascii="Times New Roman" w:hAnsi="Times New Roman" w:cs="Times New Roman"/>
          <w:sz w:val="18"/>
        </w:rPr>
        <w:footnoteRef/>
      </w:r>
      <w:r>
        <w:rPr>
          <w:rFonts w:ascii="Times New Roman" w:hAnsi="Times New Roman"/>
          <w:sz w:val="18"/>
        </w:rPr>
        <w:t xml:space="preserve"> De maatregel verplicht de marktdeelnemers die de bouwwerken uitvoeren er met name voor te zorgen dat ten minste 70 % (in gewicht) van het niet-gevaarlijke bouw- en sloopafval (met uitzondering van in de natuur voorkomende materialen van categorie 17 05 04 van de Europese afvalstoffenlijst die is vastgesteld bij Besluit 2000/532/EG van 3 mei 2000 tot vervanging van Besluit 94/3/EG houdende vaststelling van een lijst van afvalstoffen overeenkomstig artikel 1, onder a), van Richtlijn 75/442/EEG van de Raad betreffende afvalstoffen en Besluit 94/904/EG van de Raad tot vaststelling van een lijst van gevaarlijke afvalstoffen overeenkomstig artikel 1, lid 4, van Richtlijn 91/689/EEG van de Raad betreffende gevaarlijke afvalstoffen (kennisgeving geschied onder nummer C (2000) 1147)) die op de bouwplaats zijn geproduceerd, worden voorbereid voor hergebruik, recycling en andere materiaalterugwinning, met inbegrip van opvulactiviteiten waarbij afval wordt gebruikt ter vervanging van andere materialen, overeenkomstig de afvalhiërarchie en het EU-protocol voor bouw- en sloopafvalbeheer.</w:t>
      </w:r>
    </w:p>
    <w:p w14:paraId="478D7399" w14:textId="77777777" w:rsidR="00480F1C" w:rsidRDefault="00480F1C">
      <w:pPr>
        <w:pStyle w:val="FootnoteText"/>
        <w:ind w:left="0" w:firstLine="0"/>
      </w:pPr>
    </w:p>
  </w:footnote>
  <w:footnote w:id="29">
    <w:p w14:paraId="05CDFC2D" w14:textId="71DD0229" w:rsidR="00480F1C" w:rsidRDefault="00A201F6">
      <w:pPr>
        <w:jc w:val="both"/>
        <w:rPr>
          <w:rFonts w:ascii="Times New Roman" w:eastAsia="Times New Roman" w:hAnsi="Times New Roman" w:cs="Times New Roman"/>
          <w:sz w:val="20"/>
        </w:rPr>
      </w:pPr>
      <w:r>
        <w:rPr>
          <w:rStyle w:val="FootnoteReference"/>
        </w:rPr>
        <w:footnoteRef/>
      </w:r>
      <w:r>
        <w:rPr>
          <w:rFonts w:ascii="Times New Roman" w:hAnsi="Times New Roman" w:cs="Times New Roman"/>
          <w:sz w:val="18"/>
        </w:rPr>
        <w:t>Met uitzondering van a) activa en activiteiten op het gebied van elektriciteits- en/of warmteopwekking, alsook de daarmee verband houdende transmissie- en distributie-infrastructuur met gebruikmaking van aardgas, die voldoen aan de voorwaarden van bijlage III bij de technische richtsnoeren „Geen ernstige afbreuk doen” (2021/C58/01) en b) activiteiten en activa onder punt ii) waarvoor het gebruik van fossiele brandstoffen tijdelijk en technisch onvermijdelijk is voor de tijdige transitie naar een vrij gebruik van fossiele brandstoffen.</w:t>
      </w:r>
    </w:p>
    <w:p w14:paraId="05951833" w14:textId="30900626" w:rsidR="00480F1C" w:rsidRDefault="00A201F6">
      <w:pPr>
        <w:pStyle w:val="FootnoteText"/>
      </w:pPr>
      <w:r>
        <w:t xml:space="preserve"> </w:t>
      </w:r>
    </w:p>
  </w:footnote>
  <w:footnote w:id="30">
    <w:p w14:paraId="5C9AD744" w14:textId="4D288D43" w:rsidR="00480F1C" w:rsidRDefault="00A201F6">
      <w:pPr>
        <w:pStyle w:val="FootnoteText"/>
        <w:ind w:left="0" w:firstLine="0"/>
      </w:pPr>
      <w:r>
        <w:rPr>
          <w:rStyle w:val="FootnoteReference"/>
        </w:rPr>
        <w:footnoteRef/>
      </w:r>
      <w:r>
        <w:t xml:space="preserve"> </w:t>
      </w:r>
      <w:r>
        <w:rPr>
          <w:sz w:val="18"/>
        </w:rPr>
        <w:t>Indien de ondersteunde activiteit verwachte broeikasgasemissies oplevert die niet significant lager zijn dan de relevante benchmarks, wordt een toelichting verstrekt van de redenen waarom dit niet mogelijk is. Benchmarks vastgesteld voor kosteloze toewijzing voor activiteiten die binnen het toepassingsgebied van het emissiehandelssysteem vallen, zoals bepaald in Uitvoeringsverordening (EU) 2021/447 van de Commissie.</w:t>
      </w:r>
      <w:r>
        <w:rPr>
          <w:rFonts w:ascii="Calibri" w:hAnsi="Calibri" w:cs="Calibri"/>
          <w:sz w:val="22"/>
        </w:rPr>
        <w:t xml:space="preserve">  </w:t>
      </w:r>
    </w:p>
  </w:footnote>
  <w:footnote w:id="31">
    <w:p w14:paraId="52DE97BC" w14:textId="77777777" w:rsidR="00480F1C" w:rsidRDefault="00A201F6">
      <w:pPr>
        <w:pStyle w:val="FootnoteText"/>
        <w:ind w:left="0" w:firstLine="0"/>
        <w:rPr>
          <w:sz w:val="18"/>
        </w:rPr>
      </w:pPr>
      <w:r>
        <w:rPr>
          <w:rStyle w:val="FootnoteReference"/>
          <w:sz w:val="18"/>
        </w:rPr>
        <w:footnoteRef/>
      </w:r>
      <w:r>
        <w:rPr>
          <w:sz w:val="18"/>
        </w:rPr>
        <w:t xml:space="preserve"> Met uitzondering van projecten in het kader van deze maatregel op het gebied van elektriciteits- en/of warmteopwekking, alsook de daarmee verband houdende transmissie- en distributie-infrastructuur met gebruikmaking van aardgas, die voldoen aan de voorwaarden van bijlage III bij de technische richtsnoeren „Geen ernstige afbreuk doen” (2021/C 58/01).</w:t>
      </w:r>
    </w:p>
  </w:footnote>
  <w:footnote w:id="32">
    <w:p w14:paraId="3DCE1FC5" w14:textId="0BF97F3F" w:rsidR="00480F1C" w:rsidRDefault="00A201F6">
      <w:pPr>
        <w:pStyle w:val="FootnoteText"/>
        <w:ind w:left="0" w:firstLine="0"/>
        <w:rPr>
          <w:sz w:val="18"/>
        </w:rPr>
      </w:pPr>
      <w:r>
        <w:rPr>
          <w:rStyle w:val="FootnoteReference"/>
          <w:sz w:val="18"/>
        </w:rPr>
        <w:footnoteRef/>
      </w:r>
      <w:r>
        <w:rPr>
          <w:sz w:val="18"/>
        </w:rPr>
        <w:t xml:space="preserve"> Indien de ondersteunde activiteit verwachte broeikasgasemissies oplevert die niet significant lager zijn dan de relevante benchmarks, wordt een toelichting gegeven van de redenen waarom dit niet mogelijk is. Benchmarks die zijn vastgesteld voor kosteloze toewijzing voor activiteiten die binnen het toepassingsgebied van het EU-emissiehandelssysteem vallen, zoals vastgesteld in Uitvoeringsverordening (EU) 2021/447 van de Commissie.</w:t>
      </w:r>
    </w:p>
  </w:footnote>
  <w:footnote w:id="33">
    <w:p w14:paraId="1808029A" w14:textId="77777777" w:rsidR="00480F1C" w:rsidRDefault="00A201F6">
      <w:pPr>
        <w:pStyle w:val="FootnoteText"/>
        <w:ind w:left="0" w:firstLine="0"/>
        <w:rPr>
          <w:sz w:val="18"/>
        </w:rPr>
      </w:pPr>
      <w:r>
        <w:rPr>
          <w:rStyle w:val="FootnoteReference"/>
          <w:sz w:val="18"/>
        </w:rPr>
        <w:footnoteRef/>
      </w:r>
      <w:r>
        <w:rPr>
          <w:sz w:val="18"/>
        </w:rPr>
        <w:t xml:space="preserve"> Deze uitsluiting is niet van toepassing op acties in het kader van deze maatregel in installaties die uitsluitend bestemd zijn voor de behandeling van niet-recycleerbaar gevaarlijk afval, noch op bestaande installaties, wanneer de acties in het kader van deze maatregel tot doel hebben de energie-efficiëntie te verhogen, uitlaatgassen af te vangen voor opslag of het gebruik of terugwinning van materialen uit verbrandingsassen, mits dergelijke acties in het kader van deze maatregel niet leiden tot een verhoging van de afvalverwerkingscapaciteit van de installatie of tot een verlenging van de levensduur van de installaties; waarvoor bewijs wordt geleverd op het niveau van de installatie.</w:t>
      </w:r>
    </w:p>
  </w:footnote>
  <w:footnote w:id="34">
    <w:p w14:paraId="24283C8D" w14:textId="77777777" w:rsidR="00480F1C" w:rsidRDefault="00A201F6">
      <w:pPr>
        <w:pStyle w:val="FootnoteText"/>
        <w:ind w:left="0" w:firstLine="0"/>
      </w:pPr>
      <w:r>
        <w:rPr>
          <w:rStyle w:val="FootnoteReference"/>
          <w:sz w:val="18"/>
        </w:rPr>
        <w:footnoteRef/>
      </w:r>
      <w:r>
        <w:rPr>
          <w:sz w:val="18"/>
        </w:rPr>
        <w:t xml:space="preserve"> Deze uitsluiting is niet van toepassing op acties in het kader van deze maatregel in bestaande installaties voor mechanische biologische behandeling, wanneer de acties in het kader van deze maatregel tot doel hebben de energie-efficiëntie te verhogen of de recyclingactiviteiten van gescheiden afval aan te passen aan compost bioafval en anaerobe vergisting van bioafval, mits dergelijke acties in het kader van deze maatregel niet leiden tot een verhoging van de afvalverwerkingscapaciteit van de installaties of tot een verlenging van de levensduur van de installaties; waarvoor bewijs wordt geleverd op het niveau van de installatie.</w:t>
      </w:r>
    </w:p>
  </w:footnote>
  <w:footnote w:id="35">
    <w:p w14:paraId="2B65465D" w14:textId="089A90B7" w:rsidR="00480F1C" w:rsidRDefault="00A201F6">
      <w:pPr>
        <w:pStyle w:val="FootnoteText"/>
        <w:ind w:left="0" w:firstLine="0"/>
      </w:pPr>
      <w:r>
        <w:rPr>
          <w:rStyle w:val="FootnoteReference"/>
        </w:rPr>
        <w:footnoteRef/>
      </w:r>
      <w:r>
        <w:t xml:space="preserve"> Met uitzondering van a) activa en activiteiten op het gebied van elektriciteits- en/of warmteopwekking, alsook de daarmee verband houdende transmissie- en distributie-infrastructuur met gebruikmaking van aardgas, die voldoen aan de voorwaarden van bijlage III bij de technische richtsnoeren inzake het beginsel geen ernstige afbreuk doen aan het beginsel „geen ernstige afbreuk doen aan” (C (2023) 6454 final) en (b) activiteiten en activa onder punt ii) waarvoor het gebruik van fossiele brandstoffen tijdelijk en technisch onvermijdelijk is voor de tijdige transitie naar een vrij gebruik van fossiele brandstoffen.</w:t>
      </w:r>
    </w:p>
  </w:footnote>
  <w:footnote w:id="36">
    <w:p w14:paraId="6749160E" w14:textId="77777777" w:rsidR="00480F1C" w:rsidRDefault="00A201F6">
      <w:pPr>
        <w:pStyle w:val="FootnoteText"/>
        <w:ind w:left="0" w:firstLine="0"/>
      </w:pPr>
      <w:r>
        <w:rPr>
          <w:rStyle w:val="FootnoteReference"/>
        </w:rPr>
        <w:footnoteRef/>
      </w:r>
      <w:r>
        <w:t xml:space="preserve"> Indien de ondersteunde activiteit verwachte broeikasgasemissies oplevert die niet significant lager zijn dan de relevante benchmarks, wordt een toelichting verstrekt van de redenen waarom dit niet mogelijk is. Benchmarks vastgesteld voor kosteloze toewijzing voor activiteiten die binnen het toepassingsgebied van het emissiehandelssysteem vallen, zoals bepaald in Uitvoeringsverordening (EU) 2021/447 van de Commissie.</w:t>
      </w:r>
    </w:p>
  </w:footnote>
  <w:footnote w:id="37">
    <w:p w14:paraId="79E000BB" w14:textId="77777777" w:rsidR="00480F1C" w:rsidRDefault="00A201F6">
      <w:pPr>
        <w:pStyle w:val="FootnoteText"/>
        <w:ind w:left="0" w:firstLine="0"/>
      </w:pPr>
      <w:r>
        <w:rPr>
          <w:rStyle w:val="FootnoteReference"/>
        </w:rPr>
        <w:footnoteRef/>
      </w:r>
      <w:r>
        <w:t xml:space="preserve"> Deze uitsluiting is niet van toepassing op acties in het kader van deze maatregel in installaties die uitsluitend bestemd zijn voor de behandeling van niet-recycleerbaar gevaarlijk afval, noch op bestaande installaties, wanneer de acties in het kader van deze maatregel tot doel hebben de energie-efficiëntie te verhogen, uitlaatgassen af te vangen voor opslag of het gebruik of terugwinning van materialen uit verbrandingsassen, mits dergelijke acties in het kader van deze maatregel niet leiden tot een verhoging van de afvalverwerkingscapaciteit van de installatie of tot een verlenging van de levensduur van de installaties; waarvoor bewijs wordt geleverd op het niveau van de installatie. </w:t>
      </w:r>
    </w:p>
  </w:footnote>
  <w:footnote w:id="38">
    <w:p w14:paraId="21890A7C" w14:textId="77777777" w:rsidR="00480F1C" w:rsidRDefault="00A201F6">
      <w:pPr>
        <w:pStyle w:val="FootnoteText"/>
        <w:ind w:left="0" w:firstLine="0"/>
      </w:pPr>
      <w:r>
        <w:rPr>
          <w:rStyle w:val="FootnoteReference"/>
        </w:rPr>
        <w:footnoteRef/>
      </w:r>
      <w:r>
        <w:t xml:space="preserve"> Deze uitsluiting is niet van toepassing op acties in het kader van deze maatregel in bestaande installaties voor mechanische biologische behandeling, wanneer de acties in het kader van deze maatregel tot doel hebben de energie-efficiëntie te verhogen of de recyclingactiviteiten van gescheiden afval aan te passen aan compost bioafval en anaerobe vergisting van bioafval, mits dergelijke acties in het kader van deze maatregel niet leiden tot een verhoging van de afvalverwerkingscapaciteit van de installaties of tot een verlenging van de levensduur van de installaties; waarvoor bewijs wordt geleverd op het niveau van de installatie. </w:t>
      </w:r>
    </w:p>
  </w:footnote>
  <w:footnote w:id="39">
    <w:p w14:paraId="4B1E387A" w14:textId="693BA1EF" w:rsidR="00480F1C" w:rsidRDefault="00A201F6">
      <w:pPr>
        <w:pStyle w:val="FootnoteText"/>
        <w:ind w:left="0" w:firstLine="0"/>
      </w:pPr>
      <w:r>
        <w:rPr>
          <w:rStyle w:val="FootnoteReference"/>
        </w:rPr>
        <w:footnoteRef/>
      </w:r>
      <w:r>
        <w:t xml:space="preserve"> Eindbegunstigden die bij specifieke projecten betrokken zijn, moeten het geselecteerde interventiegebied voor elk ondersteund project motiveren, samen met een beschrijving van het project, met het oog op de berekening van de klimaatbijdrage. De uitvoerende partner moet de lidstaat ook een halfjaarlijks verslag over de uitvoering van elk project/elke activiteit voorleggen.</w:t>
      </w:r>
    </w:p>
    <w:p w14:paraId="0D5173A8" w14:textId="433815FE" w:rsidR="00480F1C" w:rsidRDefault="00480F1C">
      <w:pPr>
        <w:pStyle w:val="FootnoteText"/>
      </w:pPr>
    </w:p>
  </w:footnote>
  <w:footnote w:id="40">
    <w:p w14:paraId="2163F6F7" w14:textId="2CAE7102" w:rsidR="00480F1C" w:rsidRDefault="00A201F6">
      <w:pPr>
        <w:pStyle w:val="FootnoteText"/>
        <w:ind w:left="0" w:firstLine="0"/>
      </w:pPr>
      <w:r>
        <w:rPr>
          <w:rStyle w:val="FootnoteReference"/>
        </w:rPr>
        <w:footnoteRef/>
      </w:r>
      <w:r>
        <w:t xml:space="preserve"> Met uitzondering van a) activa en activiteiten op het gebied van elektriciteits- en/of warmteopwekking, alsook de daarmee verband houdende transmissie- en distributie-infrastructuur met gebruikmaking van aardgas, die voldoen aan de voorwaarden van bijlage III bij de technische richtsnoeren inzake het beginsel geen ernstige afbreuk doen aan het beginsel „geen ernstige afbreuk doen aan” (C (2023) 6454 final) en (b) activiteiten en activa onder punt ii) waarvoor het gebruik van fossiele brandstoffen tijdelijk en technisch onvermijdelijk is voor de tijdige transitie naar een vrij gebruik van fossiele brandstoffen.</w:t>
      </w:r>
    </w:p>
  </w:footnote>
  <w:footnote w:id="41">
    <w:p w14:paraId="130612E3" w14:textId="77777777" w:rsidR="00480F1C" w:rsidRDefault="00A201F6">
      <w:pPr>
        <w:pStyle w:val="FootnoteText"/>
        <w:ind w:left="0" w:firstLine="0"/>
      </w:pPr>
      <w:r>
        <w:rPr>
          <w:rStyle w:val="FootnoteReference"/>
        </w:rPr>
        <w:footnoteRef/>
      </w:r>
      <w:r>
        <w:t xml:space="preserve"> Indien de ondersteunde activiteit verwachte broeikasgasemissies oplevert die niet significant lager zijn dan de relevante benchmarks, wordt een toelichting verstrekt van de redenen waarom dit niet mogelijk is. Benchmarks vastgesteld voor kosteloze toewijzing voor activiteiten die binnen het toepassingsgebied van het emissiehandelssysteem vallen, zoals bepaald in Uitvoeringsverordening (EU) 2021/447 van de Commissie.</w:t>
      </w:r>
    </w:p>
  </w:footnote>
  <w:footnote w:id="42">
    <w:p w14:paraId="6B0F47EF" w14:textId="77777777" w:rsidR="00480F1C" w:rsidRDefault="00A201F6">
      <w:pPr>
        <w:pStyle w:val="FootnoteText"/>
        <w:ind w:left="0" w:firstLine="0"/>
      </w:pPr>
      <w:r>
        <w:rPr>
          <w:rStyle w:val="FootnoteReference"/>
        </w:rPr>
        <w:footnoteRef/>
      </w:r>
      <w:r>
        <w:t xml:space="preserve"> Deze uitsluiting is niet van toepassing op acties in het kader van deze maatregel in installaties die uitsluitend bestemd zijn voor de behandeling van niet-recycleerbaar gevaarlijk afval, noch op bestaande installaties, wanneer de acties in het kader van deze maatregel tot doel hebben de energie-efficiëntie te verhogen, uitlaatgassen af te vangen voor opslag of het gebruik of terugwinning van materialen uit verbrandingsassen, mits dergelijke acties in het kader van deze maatregel niet leiden tot een verhoging van de afvalverwerkingscapaciteit van de installatie of tot een verlenging van de levensduur van de installaties; waarvoor bewijs wordt geleverd op het niveau van de installatie. </w:t>
      </w:r>
    </w:p>
  </w:footnote>
  <w:footnote w:id="43">
    <w:p w14:paraId="444781E0" w14:textId="77777777" w:rsidR="00480F1C" w:rsidRDefault="00A201F6">
      <w:pPr>
        <w:pStyle w:val="FootnoteText"/>
        <w:ind w:left="0" w:firstLine="0"/>
      </w:pPr>
      <w:r>
        <w:rPr>
          <w:rStyle w:val="FootnoteReference"/>
        </w:rPr>
        <w:footnoteRef/>
      </w:r>
      <w:r>
        <w:t xml:space="preserve"> Deze uitsluiting is niet van toepassing op acties in het kader van deze maatregel in bestaande installaties voor mechanische biologische behandeling, wanneer de acties in het kader van deze maatregel tot doel hebben de energie-efficiëntie te verhogen of de recyclingactiviteiten van gescheiden afval aan te passen aan compost bioafval en anaerobe vergisting van bioafval, mits dergelijke acties in het kader van deze maatregel niet leiden tot een verhoging van de afvalverwerkingscapaciteit van de installaties of tot een verlenging van de levensduur van de installaties; waarvoor bewijs wordt geleverd op het niveau van de installatie. </w:t>
      </w:r>
    </w:p>
  </w:footnote>
  <w:footnote w:id="44">
    <w:p w14:paraId="1F490F25" w14:textId="77777777" w:rsidR="00480F1C" w:rsidRDefault="00A201F6">
      <w:pPr>
        <w:pStyle w:val="NormalWeb"/>
        <w:spacing w:before="0" w:beforeAutospacing="0" w:after="0" w:afterAutospacing="0"/>
        <w:rPr>
          <w:rFonts w:ascii="Calibri" w:hAnsi="Calibri" w:cs="Calibri"/>
          <w:sz w:val="22"/>
        </w:rPr>
      </w:pPr>
      <w:r>
        <w:rPr>
          <w:rStyle w:val="FootnoteReference"/>
        </w:rPr>
        <w:footnoteRef/>
      </w:r>
      <w:r>
        <w:t xml:space="preserve"> </w:t>
      </w:r>
      <w:r>
        <w:rPr>
          <w:rFonts w:eastAsia="Calibri"/>
          <w:sz w:val="20"/>
        </w:rPr>
        <w:t>Eindbegunstigden die bij specifieke projecten betrokken zijn, moeten het geselecteerde interventiegebied voor elk ondersteund project motiveren, samen met een beschrijving van het project, met het oog op de berekening van de klimaatbijdrage. De uitvoerende partner moet de lidstaat ook een halfjaarlijks verslag over de uitvoering van elk project/elke activiteit voorleggen.</w:t>
      </w:r>
    </w:p>
    <w:p w14:paraId="00D37130" w14:textId="50D6BF7A" w:rsidR="00480F1C" w:rsidRDefault="00480F1C">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BE414" w14:textId="77777777" w:rsidR="00325E32" w:rsidRPr="00325E32" w:rsidRDefault="00325E32" w:rsidP="00325E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2835E9" w14:textId="77777777" w:rsidR="00325E32" w:rsidRPr="00325E32" w:rsidRDefault="00325E32" w:rsidP="00325E32">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B93DB" w14:textId="77777777" w:rsidR="00325E32" w:rsidRPr="00325E32" w:rsidRDefault="00325E32" w:rsidP="00325E32">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B2522"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3424A"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EE5B1E"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E47F7"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17F98F"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B60E1"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1FF747"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AA850"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577AF"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E6D68"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7F2F0"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5D6E9"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70FBB"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BE25A"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77D48"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2B8F9"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A9836" w14:textId="77777777" w:rsidR="00480F1C" w:rsidRDefault="00480F1C">
    <w:pPr>
      <w:pStyle w:val="Normal0"/>
      <w:pBdr>
        <w:top w:val="nil"/>
        <w:left w:val="nil"/>
        <w:bottom w:val="nil"/>
        <w:right w:val="nil"/>
        <w:between w:val="nil"/>
      </w:pBdr>
      <w:tabs>
        <w:tab w:val="center" w:pos="7285"/>
        <w:tab w:val="right" w:pos="14003"/>
      </w:tabs>
      <w:spacing w:after="120" w:line="240" w:lineRule="auto"/>
      <w:jc w:val="both"/>
      <w:rPr>
        <w:rFonts w:ascii="Times New Roman" w:eastAsia="Times New Roman" w:hAnsi="Times New Roman" w:cs="Times New Roman"/>
        <w:color w:val="000000"/>
        <w:sz w:val="24"/>
      </w:rP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5E008" w14:textId="77777777" w:rsidR="00480F1C" w:rsidRDefault="00480F1C">
    <w:pPr>
      <w:pStyle w:val="Normal0"/>
      <w:pBdr>
        <w:top w:val="nil"/>
        <w:left w:val="nil"/>
        <w:bottom w:val="nil"/>
        <w:right w:val="nil"/>
        <w:between w:val="nil"/>
      </w:pBdr>
      <w:tabs>
        <w:tab w:val="center" w:pos="7285"/>
        <w:tab w:val="right" w:pos="14003"/>
      </w:tabs>
      <w:spacing w:after="120" w:line="240" w:lineRule="auto"/>
      <w:jc w:val="both"/>
      <w:rPr>
        <w:rFonts w:ascii="Times New Roman" w:eastAsia="Times New Roman" w:hAnsi="Times New Roman" w:cs="Times New Roman"/>
        <w:color w:val="000000"/>
        <w:sz w:val="24"/>
      </w:rPr>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E7A2C"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9FC03"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ED501"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0E7A7"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F0C5E"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220FA"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F30A4"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74D195"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DA92C"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2A837"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D2860B"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08331"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3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6C40E"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3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35555"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3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19C6E"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3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94B97"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3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4943C"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3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D7778"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4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F0334"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4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04CCB"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4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50CB3"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4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360B8"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4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B938B"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4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EAE01"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4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B98D5"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4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6FC12"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4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7610E"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4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07069"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5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070F0"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5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88F8C"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5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A139D"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5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3B4B9"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5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86F948"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5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26D91"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5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0069A"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5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BAD364"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5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A08E0"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5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12EC1" w14:textId="77777777" w:rsidR="00480F1C" w:rsidRDefault="00480F1C">
    <w:pPr>
      <w:pStyle w:val="Header"/>
      <w:jc w:val="center"/>
    </w:pPr>
  </w:p>
  <w:p w14:paraId="6A2BC471"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6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0829D"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6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C6F47"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6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160CB"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6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CEB47"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6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63EA2"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6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6BE5E"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6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646EB"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6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D4AFED"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6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D2C48"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6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E47D9"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7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28EE9"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7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23F1C"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7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0C26A"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7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C539F"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7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A8924"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7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B1A375"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7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5F524"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7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6CC66"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7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8D072"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7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70B50"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8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DB1DD"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8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362113"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8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4AAD6D"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8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4B440C"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8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906B7"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8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8C9D71"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8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02EAC"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8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0DDD3"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8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B017ED"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8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7C629"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9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9296D1"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9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0882F"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9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EC937"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header9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ACBDA" w14:textId="77777777" w:rsidR="00480F1C" w:rsidRDefault="00480F1C">
    <w:pPr>
      <w:pStyle w:val="Normal0"/>
      <w:pBdr>
        <w:top w:val="nil"/>
        <w:left w:val="nil"/>
        <w:bottom w:val="nil"/>
        <w:right w:val="nil"/>
        <w:between w:val="nil"/>
      </w:pBdr>
      <w:tabs>
        <w:tab w:val="center" w:pos="4535"/>
        <w:tab w:val="right" w:pos="9071"/>
      </w:tabs>
      <w:spacing w:after="120" w:line="240" w:lineRule="auto"/>
      <w:jc w:val="both"/>
      <w:rPr>
        <w:rFonts w:ascii="Times New Roman" w:eastAsia="Times New Roman" w:hAnsi="Times New Roman" w:cs="Times New Roman"/>
        <w:color w:val="000000"/>
        <w:sz w:val="24"/>
      </w:rPr>
    </w:pPr>
  </w:p>
</w:hdr>
</file>

<file path=word/intelligence.xml><?xml version="1.0" encoding="utf-8"?>
<int:Intelligence xmlns:int="http://schemas.microsoft.com/office/intelligence/2019/intelligence">
  <int:IntelligenceSettings/>
  <int:Manifest>
    <int:WordHash hashCode="4ilNJA7VQe2W4v" id="saK5d4xp"/>
    <int:ParagraphRange paragraphId="730702701" textId="1384402202" start="72" length="5" invalidationStart="72" invalidationLength="5" id="pegID2jZ"/>
  </int:Manifest>
  <int:Observations>
    <int:Content id="saK5d4xp">
      <int:Rejection type="LegacyProofing"/>
    </int:Content>
    <int:Content id="pegID2jZ">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1"/>
    <w:multiLevelType w:val="singleLevel"/>
    <w:tmpl w:val="00000011"/>
    <w:name w:val="WW8Num61"/>
    <w:lvl w:ilvl="0">
      <w:start w:val="1"/>
      <w:numFmt w:val="bullet"/>
      <w:lvlText w:val="-"/>
      <w:lvlJc w:val="left"/>
      <w:pPr>
        <w:tabs>
          <w:tab w:val="num" w:pos="0"/>
        </w:tabs>
        <w:ind w:left="720" w:hanging="360"/>
      </w:pPr>
      <w:rPr>
        <w:rFonts w:ascii="Courier New" w:hAnsi="Courier New" w:cs="Courier New"/>
      </w:rPr>
    </w:lvl>
  </w:abstractNum>
  <w:abstractNum w:abstractNumId="1" w15:restartNumberingAfterBreak="0">
    <w:nsid w:val="0011A0E7"/>
    <w:multiLevelType w:val="hybridMultilevel"/>
    <w:tmpl w:val="FFFFFFFF"/>
    <w:lvl w:ilvl="0" w:tplc="1F7298FE">
      <w:start w:val="1"/>
      <w:numFmt w:val="decimal"/>
      <w:lvlText w:val="%1."/>
      <w:lvlJc w:val="left"/>
      <w:pPr>
        <w:ind w:left="720" w:hanging="360"/>
      </w:pPr>
    </w:lvl>
    <w:lvl w:ilvl="1" w:tplc="BA6E96B0">
      <w:start w:val="1"/>
      <w:numFmt w:val="lowerLetter"/>
      <w:lvlText w:val="%2."/>
      <w:lvlJc w:val="left"/>
      <w:pPr>
        <w:ind w:left="1440" w:hanging="360"/>
      </w:pPr>
    </w:lvl>
    <w:lvl w:ilvl="2" w:tplc="8944768C">
      <w:start w:val="1"/>
      <w:numFmt w:val="lowerRoman"/>
      <w:lvlText w:val="%3."/>
      <w:lvlJc w:val="right"/>
      <w:pPr>
        <w:ind w:left="2160" w:hanging="180"/>
      </w:pPr>
    </w:lvl>
    <w:lvl w:ilvl="3" w:tplc="3EA827DC">
      <w:start w:val="1"/>
      <w:numFmt w:val="decimal"/>
      <w:lvlText w:val="%4."/>
      <w:lvlJc w:val="left"/>
      <w:pPr>
        <w:ind w:left="2880" w:hanging="360"/>
      </w:pPr>
    </w:lvl>
    <w:lvl w:ilvl="4" w:tplc="A5C2AC48">
      <w:start w:val="1"/>
      <w:numFmt w:val="lowerLetter"/>
      <w:lvlText w:val="%5."/>
      <w:lvlJc w:val="left"/>
      <w:pPr>
        <w:ind w:left="3600" w:hanging="360"/>
      </w:pPr>
    </w:lvl>
    <w:lvl w:ilvl="5" w:tplc="CD4EB3EE">
      <w:start w:val="1"/>
      <w:numFmt w:val="lowerRoman"/>
      <w:lvlText w:val="%6."/>
      <w:lvlJc w:val="right"/>
      <w:pPr>
        <w:ind w:left="4320" w:hanging="180"/>
      </w:pPr>
    </w:lvl>
    <w:lvl w:ilvl="6" w:tplc="201414D2">
      <w:start w:val="1"/>
      <w:numFmt w:val="decimal"/>
      <w:lvlText w:val="%7."/>
      <w:lvlJc w:val="left"/>
      <w:pPr>
        <w:ind w:left="5040" w:hanging="360"/>
      </w:pPr>
    </w:lvl>
    <w:lvl w:ilvl="7" w:tplc="1F4AD862">
      <w:start w:val="1"/>
      <w:numFmt w:val="lowerLetter"/>
      <w:lvlText w:val="%8."/>
      <w:lvlJc w:val="left"/>
      <w:pPr>
        <w:ind w:left="5760" w:hanging="360"/>
      </w:pPr>
    </w:lvl>
    <w:lvl w:ilvl="8" w:tplc="DF462B7A">
      <w:start w:val="1"/>
      <w:numFmt w:val="lowerRoman"/>
      <w:lvlText w:val="%9."/>
      <w:lvlJc w:val="right"/>
      <w:pPr>
        <w:ind w:left="6480" w:hanging="180"/>
      </w:pPr>
    </w:lvl>
  </w:abstractNum>
  <w:abstractNum w:abstractNumId="2" w15:restartNumberingAfterBreak="0">
    <w:nsid w:val="02A53DE3"/>
    <w:multiLevelType w:val="hybridMultilevel"/>
    <w:tmpl w:val="FFFFFFFF"/>
    <w:lvl w:ilvl="0" w:tplc="B3EA97AA">
      <w:start w:val="1"/>
      <w:numFmt w:val="bullet"/>
      <w:lvlText w:val="·"/>
      <w:lvlJc w:val="left"/>
      <w:pPr>
        <w:ind w:left="720" w:hanging="360"/>
      </w:pPr>
      <w:rPr>
        <w:rFonts w:ascii="Symbol" w:hAnsi="Symbol" w:hint="default"/>
      </w:rPr>
    </w:lvl>
    <w:lvl w:ilvl="1" w:tplc="D57C8124">
      <w:start w:val="1"/>
      <w:numFmt w:val="bullet"/>
      <w:lvlText w:val="o"/>
      <w:lvlJc w:val="left"/>
      <w:pPr>
        <w:ind w:left="1440" w:hanging="360"/>
      </w:pPr>
      <w:rPr>
        <w:rFonts w:ascii="Courier New" w:hAnsi="Courier New" w:hint="default"/>
      </w:rPr>
    </w:lvl>
    <w:lvl w:ilvl="2" w:tplc="E12ABCCA">
      <w:start w:val="1"/>
      <w:numFmt w:val="bullet"/>
      <w:lvlText w:val=""/>
      <w:lvlJc w:val="left"/>
      <w:pPr>
        <w:ind w:left="2160" w:hanging="360"/>
      </w:pPr>
      <w:rPr>
        <w:rFonts w:ascii="Wingdings" w:hAnsi="Wingdings" w:hint="default"/>
      </w:rPr>
    </w:lvl>
    <w:lvl w:ilvl="3" w:tplc="11CC149A">
      <w:start w:val="1"/>
      <w:numFmt w:val="bullet"/>
      <w:lvlText w:val=""/>
      <w:lvlJc w:val="left"/>
      <w:pPr>
        <w:ind w:left="2880" w:hanging="360"/>
      </w:pPr>
      <w:rPr>
        <w:rFonts w:ascii="Symbol" w:hAnsi="Symbol" w:hint="default"/>
      </w:rPr>
    </w:lvl>
    <w:lvl w:ilvl="4" w:tplc="D9EE140C">
      <w:start w:val="1"/>
      <w:numFmt w:val="bullet"/>
      <w:lvlText w:val="o"/>
      <w:lvlJc w:val="left"/>
      <w:pPr>
        <w:ind w:left="3600" w:hanging="360"/>
      </w:pPr>
      <w:rPr>
        <w:rFonts w:ascii="Courier New" w:hAnsi="Courier New" w:hint="default"/>
      </w:rPr>
    </w:lvl>
    <w:lvl w:ilvl="5" w:tplc="64C09290">
      <w:start w:val="1"/>
      <w:numFmt w:val="bullet"/>
      <w:lvlText w:val=""/>
      <w:lvlJc w:val="left"/>
      <w:pPr>
        <w:ind w:left="4320" w:hanging="360"/>
      </w:pPr>
      <w:rPr>
        <w:rFonts w:ascii="Wingdings" w:hAnsi="Wingdings" w:hint="default"/>
      </w:rPr>
    </w:lvl>
    <w:lvl w:ilvl="6" w:tplc="41FCBCEC">
      <w:start w:val="1"/>
      <w:numFmt w:val="bullet"/>
      <w:lvlText w:val=""/>
      <w:lvlJc w:val="left"/>
      <w:pPr>
        <w:ind w:left="5040" w:hanging="360"/>
      </w:pPr>
      <w:rPr>
        <w:rFonts w:ascii="Symbol" w:hAnsi="Symbol" w:hint="default"/>
      </w:rPr>
    </w:lvl>
    <w:lvl w:ilvl="7" w:tplc="4C944430">
      <w:start w:val="1"/>
      <w:numFmt w:val="bullet"/>
      <w:lvlText w:val="o"/>
      <w:lvlJc w:val="left"/>
      <w:pPr>
        <w:ind w:left="5760" w:hanging="360"/>
      </w:pPr>
      <w:rPr>
        <w:rFonts w:ascii="Courier New" w:hAnsi="Courier New" w:hint="default"/>
      </w:rPr>
    </w:lvl>
    <w:lvl w:ilvl="8" w:tplc="3DD6C814">
      <w:start w:val="1"/>
      <w:numFmt w:val="bullet"/>
      <w:lvlText w:val=""/>
      <w:lvlJc w:val="left"/>
      <w:pPr>
        <w:ind w:left="6480" w:hanging="360"/>
      </w:pPr>
      <w:rPr>
        <w:rFonts w:ascii="Wingdings" w:hAnsi="Wingdings" w:hint="default"/>
      </w:rPr>
    </w:lvl>
  </w:abstractNum>
  <w:abstractNum w:abstractNumId="3" w15:restartNumberingAfterBreak="0">
    <w:nsid w:val="033C4423"/>
    <w:multiLevelType w:val="hybridMultilevel"/>
    <w:tmpl w:val="66D09DAA"/>
    <w:lvl w:ilvl="0" w:tplc="0D667F2A">
      <w:start w:val="1"/>
      <w:numFmt w:val="bullet"/>
      <w:lvlText w:val="-"/>
      <w:lvlJc w:val="left"/>
      <w:pPr>
        <w:ind w:left="720" w:hanging="360"/>
      </w:pPr>
      <w:rPr>
        <w:rFonts w:ascii="Calibri" w:hAnsi="Calibri" w:hint="default"/>
      </w:rPr>
    </w:lvl>
    <w:lvl w:ilvl="1" w:tplc="F29C1300">
      <w:start w:val="1"/>
      <w:numFmt w:val="bullet"/>
      <w:lvlText w:val="o"/>
      <w:lvlJc w:val="left"/>
      <w:pPr>
        <w:ind w:left="1440" w:hanging="360"/>
      </w:pPr>
      <w:rPr>
        <w:rFonts w:ascii="Courier New" w:hAnsi="Courier New" w:hint="default"/>
      </w:rPr>
    </w:lvl>
    <w:lvl w:ilvl="2" w:tplc="43CA055C">
      <w:start w:val="1"/>
      <w:numFmt w:val="bullet"/>
      <w:lvlText w:val=""/>
      <w:lvlJc w:val="left"/>
      <w:pPr>
        <w:ind w:left="2160" w:hanging="360"/>
      </w:pPr>
      <w:rPr>
        <w:rFonts w:ascii="Wingdings" w:hAnsi="Wingdings" w:hint="default"/>
      </w:rPr>
    </w:lvl>
    <w:lvl w:ilvl="3" w:tplc="10EEDF28">
      <w:start w:val="1"/>
      <w:numFmt w:val="bullet"/>
      <w:lvlText w:val=""/>
      <w:lvlJc w:val="left"/>
      <w:pPr>
        <w:ind w:left="2880" w:hanging="360"/>
      </w:pPr>
      <w:rPr>
        <w:rFonts w:ascii="Symbol" w:hAnsi="Symbol" w:hint="default"/>
      </w:rPr>
    </w:lvl>
    <w:lvl w:ilvl="4" w:tplc="BAC21754">
      <w:start w:val="1"/>
      <w:numFmt w:val="bullet"/>
      <w:lvlText w:val="o"/>
      <w:lvlJc w:val="left"/>
      <w:pPr>
        <w:ind w:left="3600" w:hanging="360"/>
      </w:pPr>
      <w:rPr>
        <w:rFonts w:ascii="Courier New" w:hAnsi="Courier New" w:hint="default"/>
      </w:rPr>
    </w:lvl>
    <w:lvl w:ilvl="5" w:tplc="46D6E1A4">
      <w:start w:val="1"/>
      <w:numFmt w:val="bullet"/>
      <w:lvlText w:val=""/>
      <w:lvlJc w:val="left"/>
      <w:pPr>
        <w:ind w:left="4320" w:hanging="360"/>
      </w:pPr>
      <w:rPr>
        <w:rFonts w:ascii="Wingdings" w:hAnsi="Wingdings" w:hint="default"/>
      </w:rPr>
    </w:lvl>
    <w:lvl w:ilvl="6" w:tplc="E0D613A0">
      <w:start w:val="1"/>
      <w:numFmt w:val="bullet"/>
      <w:lvlText w:val=""/>
      <w:lvlJc w:val="left"/>
      <w:pPr>
        <w:ind w:left="5040" w:hanging="360"/>
      </w:pPr>
      <w:rPr>
        <w:rFonts w:ascii="Symbol" w:hAnsi="Symbol" w:hint="default"/>
      </w:rPr>
    </w:lvl>
    <w:lvl w:ilvl="7" w:tplc="43846AF4">
      <w:start w:val="1"/>
      <w:numFmt w:val="bullet"/>
      <w:lvlText w:val="o"/>
      <w:lvlJc w:val="left"/>
      <w:pPr>
        <w:ind w:left="5760" w:hanging="360"/>
      </w:pPr>
      <w:rPr>
        <w:rFonts w:ascii="Courier New" w:hAnsi="Courier New" w:hint="default"/>
      </w:rPr>
    </w:lvl>
    <w:lvl w:ilvl="8" w:tplc="6B7A8322">
      <w:start w:val="1"/>
      <w:numFmt w:val="bullet"/>
      <w:lvlText w:val=""/>
      <w:lvlJc w:val="left"/>
      <w:pPr>
        <w:ind w:left="6480" w:hanging="360"/>
      </w:pPr>
      <w:rPr>
        <w:rFonts w:ascii="Wingdings" w:hAnsi="Wingdings" w:hint="default"/>
      </w:rPr>
    </w:lvl>
  </w:abstractNum>
  <w:abstractNum w:abstractNumId="4" w15:restartNumberingAfterBreak="0">
    <w:nsid w:val="04EF7EEA"/>
    <w:multiLevelType w:val="multilevel"/>
    <w:tmpl w:val="3A2649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0C4504"/>
    <w:multiLevelType w:val="hybridMultilevel"/>
    <w:tmpl w:val="EC5AFF7C"/>
    <w:lvl w:ilvl="0" w:tplc="FFFFFFFF">
      <w:start w:val="1"/>
      <w:numFmt w:val="lowerRoman"/>
      <w:lvlText w:val="%1."/>
      <w:lvlJc w:val="right"/>
      <w:pPr>
        <w:ind w:left="1080" w:hanging="360"/>
      </w:pPr>
    </w:lvl>
    <w:lvl w:ilvl="1" w:tplc="295E3E3A" w:tentative="1">
      <w:start w:val="1"/>
      <w:numFmt w:val="lowerLetter"/>
      <w:lvlText w:val="%2."/>
      <w:lvlJc w:val="left"/>
      <w:pPr>
        <w:ind w:left="1800" w:hanging="360"/>
      </w:pPr>
    </w:lvl>
    <w:lvl w:ilvl="2" w:tplc="9D1E29DC" w:tentative="1">
      <w:start w:val="1"/>
      <w:numFmt w:val="lowerRoman"/>
      <w:lvlText w:val="%3."/>
      <w:lvlJc w:val="right"/>
      <w:pPr>
        <w:ind w:left="2520" w:hanging="180"/>
      </w:pPr>
    </w:lvl>
    <w:lvl w:ilvl="3" w:tplc="69928E92" w:tentative="1">
      <w:start w:val="1"/>
      <w:numFmt w:val="decimal"/>
      <w:lvlText w:val="%4."/>
      <w:lvlJc w:val="left"/>
      <w:pPr>
        <w:ind w:left="3240" w:hanging="360"/>
      </w:pPr>
    </w:lvl>
    <w:lvl w:ilvl="4" w:tplc="11705C1E" w:tentative="1">
      <w:start w:val="1"/>
      <w:numFmt w:val="lowerLetter"/>
      <w:lvlText w:val="%5."/>
      <w:lvlJc w:val="left"/>
      <w:pPr>
        <w:ind w:left="3960" w:hanging="360"/>
      </w:pPr>
    </w:lvl>
    <w:lvl w:ilvl="5" w:tplc="734C9A96" w:tentative="1">
      <w:start w:val="1"/>
      <w:numFmt w:val="lowerRoman"/>
      <w:lvlText w:val="%6."/>
      <w:lvlJc w:val="right"/>
      <w:pPr>
        <w:ind w:left="4680" w:hanging="180"/>
      </w:pPr>
    </w:lvl>
    <w:lvl w:ilvl="6" w:tplc="066A8F06" w:tentative="1">
      <w:start w:val="1"/>
      <w:numFmt w:val="decimal"/>
      <w:lvlText w:val="%7."/>
      <w:lvlJc w:val="left"/>
      <w:pPr>
        <w:ind w:left="5400" w:hanging="360"/>
      </w:pPr>
    </w:lvl>
    <w:lvl w:ilvl="7" w:tplc="744A9E3E" w:tentative="1">
      <w:start w:val="1"/>
      <w:numFmt w:val="lowerLetter"/>
      <w:lvlText w:val="%8."/>
      <w:lvlJc w:val="left"/>
      <w:pPr>
        <w:ind w:left="6120" w:hanging="360"/>
      </w:pPr>
    </w:lvl>
    <w:lvl w:ilvl="8" w:tplc="5344A8E2" w:tentative="1">
      <w:start w:val="1"/>
      <w:numFmt w:val="lowerRoman"/>
      <w:lvlText w:val="%9."/>
      <w:lvlJc w:val="right"/>
      <w:pPr>
        <w:ind w:left="6840" w:hanging="180"/>
      </w:pPr>
    </w:lvl>
  </w:abstractNum>
  <w:abstractNum w:abstractNumId="6" w15:restartNumberingAfterBreak="0">
    <w:nsid w:val="07D47ABD"/>
    <w:multiLevelType w:val="multilevel"/>
    <w:tmpl w:val="07D27A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1B6DF8"/>
    <w:multiLevelType w:val="hybridMultilevel"/>
    <w:tmpl w:val="5240D0EA"/>
    <w:lvl w:ilvl="0" w:tplc="1809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0A580A0E"/>
    <w:multiLevelType w:val="multilevel"/>
    <w:tmpl w:val="F7D096AA"/>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B001E19"/>
    <w:multiLevelType w:val="hybridMultilevel"/>
    <w:tmpl w:val="E8967B14"/>
    <w:lvl w:ilvl="0" w:tplc="4B1E2BD8">
      <w:start w:val="1"/>
      <w:numFmt w:val="lowerRoman"/>
      <w:lvlText w:val="(%1)"/>
      <w:lvlJc w:val="left"/>
      <w:pPr>
        <w:ind w:left="720" w:hanging="360"/>
      </w:pPr>
      <w:rPr>
        <w:rFonts w:ascii="Times New Roman" w:hAnsi="Times New Roman" w:cs="Times New Roman" w:hint="default"/>
        <w:sz w:val="18"/>
        <w:szCs w:val="18"/>
      </w:rPr>
    </w:lvl>
    <w:lvl w:ilvl="1" w:tplc="82A09472">
      <w:start w:val="1"/>
      <w:numFmt w:val="lowerLetter"/>
      <w:lvlText w:val="%2."/>
      <w:lvlJc w:val="left"/>
      <w:pPr>
        <w:ind w:left="1440" w:hanging="360"/>
      </w:pPr>
    </w:lvl>
    <w:lvl w:ilvl="2" w:tplc="4D92282A">
      <w:start w:val="1"/>
      <w:numFmt w:val="lowerRoman"/>
      <w:lvlText w:val="%3."/>
      <w:lvlJc w:val="right"/>
      <w:pPr>
        <w:ind w:left="2160" w:hanging="180"/>
      </w:pPr>
    </w:lvl>
    <w:lvl w:ilvl="3" w:tplc="556EC066">
      <w:start w:val="1"/>
      <w:numFmt w:val="decimal"/>
      <w:lvlText w:val="%4."/>
      <w:lvlJc w:val="left"/>
      <w:pPr>
        <w:ind w:left="2880" w:hanging="360"/>
      </w:pPr>
    </w:lvl>
    <w:lvl w:ilvl="4" w:tplc="7E90E59C">
      <w:start w:val="1"/>
      <w:numFmt w:val="lowerLetter"/>
      <w:lvlText w:val="%5."/>
      <w:lvlJc w:val="left"/>
      <w:pPr>
        <w:ind w:left="3600" w:hanging="360"/>
      </w:pPr>
    </w:lvl>
    <w:lvl w:ilvl="5" w:tplc="3C40CA58">
      <w:start w:val="1"/>
      <w:numFmt w:val="lowerRoman"/>
      <w:lvlText w:val="%6."/>
      <w:lvlJc w:val="right"/>
      <w:pPr>
        <w:ind w:left="4320" w:hanging="180"/>
      </w:pPr>
    </w:lvl>
    <w:lvl w:ilvl="6" w:tplc="333AA69A">
      <w:start w:val="1"/>
      <w:numFmt w:val="decimal"/>
      <w:lvlText w:val="%7."/>
      <w:lvlJc w:val="left"/>
      <w:pPr>
        <w:ind w:left="5040" w:hanging="360"/>
      </w:pPr>
    </w:lvl>
    <w:lvl w:ilvl="7" w:tplc="0890C31A">
      <w:start w:val="1"/>
      <w:numFmt w:val="lowerLetter"/>
      <w:lvlText w:val="%8."/>
      <w:lvlJc w:val="left"/>
      <w:pPr>
        <w:ind w:left="5760" w:hanging="360"/>
      </w:pPr>
    </w:lvl>
    <w:lvl w:ilvl="8" w:tplc="453C807C">
      <w:start w:val="1"/>
      <w:numFmt w:val="lowerRoman"/>
      <w:lvlText w:val="%9."/>
      <w:lvlJc w:val="right"/>
      <w:pPr>
        <w:ind w:left="6480" w:hanging="180"/>
      </w:pPr>
    </w:lvl>
  </w:abstractNum>
  <w:abstractNum w:abstractNumId="10" w15:restartNumberingAfterBreak="0">
    <w:nsid w:val="0D59386A"/>
    <w:multiLevelType w:val="hybridMultilevel"/>
    <w:tmpl w:val="4560FED6"/>
    <w:lvl w:ilvl="0" w:tplc="0D64FD42">
      <w:start w:val="1"/>
      <w:numFmt w:val="decimal"/>
      <w:lvlText w:val="G%1L"/>
      <w:lvlJc w:val="left"/>
      <w:pPr>
        <w:ind w:left="360" w:hanging="360"/>
      </w:pPr>
      <w:rPr>
        <w:rFonts w:hint="default"/>
        <w:color w:val="auto"/>
        <w:sz w:val="18"/>
        <w:szCs w:val="18"/>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1" w15:restartNumberingAfterBreak="0">
    <w:nsid w:val="105F3D22"/>
    <w:multiLevelType w:val="hybridMultilevel"/>
    <w:tmpl w:val="FEEE7EEA"/>
    <w:lvl w:ilvl="0" w:tplc="AB964F36">
      <w:start w:val="1"/>
      <w:numFmt w:val="decimal"/>
      <w:lvlText w:val="%1."/>
      <w:lvlJc w:val="left"/>
      <w:pPr>
        <w:tabs>
          <w:tab w:val="num" w:pos="720"/>
        </w:tabs>
        <w:ind w:left="1080" w:hanging="360"/>
      </w:pPr>
    </w:lvl>
    <w:lvl w:ilvl="1" w:tplc="59B6FF6E" w:tentative="1">
      <w:start w:val="1"/>
      <w:numFmt w:val="decimal"/>
      <w:lvlText w:val="%2."/>
      <w:lvlJc w:val="left"/>
      <w:pPr>
        <w:tabs>
          <w:tab w:val="num" w:pos="1440"/>
        </w:tabs>
        <w:ind w:left="1800" w:hanging="360"/>
      </w:pPr>
    </w:lvl>
    <w:lvl w:ilvl="2" w:tplc="A296FC40" w:tentative="1">
      <w:start w:val="1"/>
      <w:numFmt w:val="decimal"/>
      <w:lvlText w:val="%3."/>
      <w:lvlJc w:val="left"/>
      <w:pPr>
        <w:tabs>
          <w:tab w:val="num" w:pos="2160"/>
        </w:tabs>
        <w:ind w:left="2520" w:hanging="360"/>
      </w:pPr>
    </w:lvl>
    <w:lvl w:ilvl="3" w:tplc="A66E7ABA" w:tentative="1">
      <w:start w:val="1"/>
      <w:numFmt w:val="decimal"/>
      <w:lvlText w:val="%4."/>
      <w:lvlJc w:val="left"/>
      <w:pPr>
        <w:tabs>
          <w:tab w:val="num" w:pos="2880"/>
        </w:tabs>
        <w:ind w:left="3240" w:hanging="360"/>
      </w:pPr>
    </w:lvl>
    <w:lvl w:ilvl="4" w:tplc="CC1AAAB4" w:tentative="1">
      <w:start w:val="1"/>
      <w:numFmt w:val="decimal"/>
      <w:lvlText w:val="%5."/>
      <w:lvlJc w:val="left"/>
      <w:pPr>
        <w:tabs>
          <w:tab w:val="num" w:pos="3600"/>
        </w:tabs>
        <w:ind w:left="3960" w:hanging="360"/>
      </w:pPr>
    </w:lvl>
    <w:lvl w:ilvl="5" w:tplc="3C7CBDE0" w:tentative="1">
      <w:start w:val="1"/>
      <w:numFmt w:val="decimal"/>
      <w:lvlText w:val="%6."/>
      <w:lvlJc w:val="left"/>
      <w:pPr>
        <w:tabs>
          <w:tab w:val="num" w:pos="4320"/>
        </w:tabs>
        <w:ind w:left="4680" w:hanging="360"/>
      </w:pPr>
    </w:lvl>
    <w:lvl w:ilvl="6" w:tplc="D340CB32" w:tentative="1">
      <w:start w:val="1"/>
      <w:numFmt w:val="decimal"/>
      <w:lvlText w:val="%7."/>
      <w:lvlJc w:val="left"/>
      <w:pPr>
        <w:tabs>
          <w:tab w:val="num" w:pos="5040"/>
        </w:tabs>
        <w:ind w:left="5400" w:hanging="360"/>
      </w:pPr>
    </w:lvl>
    <w:lvl w:ilvl="7" w:tplc="C1EE44DA" w:tentative="1">
      <w:start w:val="1"/>
      <w:numFmt w:val="decimal"/>
      <w:lvlText w:val="%8."/>
      <w:lvlJc w:val="left"/>
      <w:pPr>
        <w:tabs>
          <w:tab w:val="num" w:pos="5760"/>
        </w:tabs>
        <w:ind w:left="6120" w:hanging="360"/>
      </w:pPr>
    </w:lvl>
    <w:lvl w:ilvl="8" w:tplc="D5861BD8" w:tentative="1">
      <w:start w:val="1"/>
      <w:numFmt w:val="decimal"/>
      <w:lvlText w:val="%9."/>
      <w:lvlJc w:val="left"/>
      <w:pPr>
        <w:tabs>
          <w:tab w:val="num" w:pos="6480"/>
        </w:tabs>
        <w:ind w:left="6840" w:hanging="360"/>
      </w:pPr>
    </w:lvl>
  </w:abstractNum>
  <w:abstractNum w:abstractNumId="12" w15:restartNumberingAfterBreak="0">
    <w:nsid w:val="115E07D0"/>
    <w:multiLevelType w:val="multilevel"/>
    <w:tmpl w:val="AAECC2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071F51"/>
    <w:multiLevelType w:val="hybridMultilevel"/>
    <w:tmpl w:val="173EF248"/>
    <w:lvl w:ilvl="0" w:tplc="7F5675B6">
      <w:start w:val="1"/>
      <w:numFmt w:val="lowerRoman"/>
      <w:lvlText w:val="%1."/>
      <w:lvlJc w:val="right"/>
      <w:pPr>
        <w:ind w:left="720" w:hanging="360"/>
      </w:pPr>
      <w:rPr>
        <w:rFonts w:hint="default"/>
      </w:rPr>
    </w:lvl>
    <w:lvl w:ilvl="1" w:tplc="40BA8482">
      <w:start w:val="1"/>
      <w:numFmt w:val="bullet"/>
      <w:lvlText w:val="o"/>
      <w:lvlJc w:val="left"/>
      <w:pPr>
        <w:ind w:left="1440" w:hanging="360"/>
      </w:pPr>
      <w:rPr>
        <w:rFonts w:ascii="Courier New" w:hAnsi="Courier New" w:hint="default"/>
      </w:rPr>
    </w:lvl>
    <w:lvl w:ilvl="2" w:tplc="0D9090EC">
      <w:start w:val="1"/>
      <w:numFmt w:val="bullet"/>
      <w:lvlText w:val=""/>
      <w:lvlJc w:val="left"/>
      <w:pPr>
        <w:ind w:left="2160" w:hanging="360"/>
      </w:pPr>
      <w:rPr>
        <w:rFonts w:ascii="Wingdings" w:hAnsi="Wingdings" w:hint="default"/>
      </w:rPr>
    </w:lvl>
    <w:lvl w:ilvl="3" w:tplc="2D0EDF68">
      <w:start w:val="1"/>
      <w:numFmt w:val="bullet"/>
      <w:lvlText w:val=""/>
      <w:lvlJc w:val="left"/>
      <w:pPr>
        <w:ind w:left="2880" w:hanging="360"/>
      </w:pPr>
      <w:rPr>
        <w:rFonts w:ascii="Symbol" w:hAnsi="Symbol" w:hint="default"/>
      </w:rPr>
    </w:lvl>
    <w:lvl w:ilvl="4" w:tplc="191C98C0">
      <w:start w:val="1"/>
      <w:numFmt w:val="bullet"/>
      <w:lvlText w:val="o"/>
      <w:lvlJc w:val="left"/>
      <w:pPr>
        <w:ind w:left="3600" w:hanging="360"/>
      </w:pPr>
      <w:rPr>
        <w:rFonts w:ascii="Courier New" w:hAnsi="Courier New" w:hint="default"/>
      </w:rPr>
    </w:lvl>
    <w:lvl w:ilvl="5" w:tplc="68A60C68">
      <w:start w:val="1"/>
      <w:numFmt w:val="bullet"/>
      <w:lvlText w:val=""/>
      <w:lvlJc w:val="left"/>
      <w:pPr>
        <w:ind w:left="4320" w:hanging="360"/>
      </w:pPr>
      <w:rPr>
        <w:rFonts w:ascii="Wingdings" w:hAnsi="Wingdings" w:hint="default"/>
      </w:rPr>
    </w:lvl>
    <w:lvl w:ilvl="6" w:tplc="489E2F40">
      <w:start w:val="1"/>
      <w:numFmt w:val="bullet"/>
      <w:lvlText w:val=""/>
      <w:lvlJc w:val="left"/>
      <w:pPr>
        <w:ind w:left="5040" w:hanging="360"/>
      </w:pPr>
      <w:rPr>
        <w:rFonts w:ascii="Symbol" w:hAnsi="Symbol" w:hint="default"/>
      </w:rPr>
    </w:lvl>
    <w:lvl w:ilvl="7" w:tplc="1AE87734">
      <w:start w:val="1"/>
      <w:numFmt w:val="bullet"/>
      <w:lvlText w:val="o"/>
      <w:lvlJc w:val="left"/>
      <w:pPr>
        <w:ind w:left="5760" w:hanging="360"/>
      </w:pPr>
      <w:rPr>
        <w:rFonts w:ascii="Courier New" w:hAnsi="Courier New" w:hint="default"/>
      </w:rPr>
    </w:lvl>
    <w:lvl w:ilvl="8" w:tplc="6E96DDEA">
      <w:start w:val="1"/>
      <w:numFmt w:val="bullet"/>
      <w:lvlText w:val=""/>
      <w:lvlJc w:val="left"/>
      <w:pPr>
        <w:ind w:left="6480" w:hanging="360"/>
      </w:pPr>
      <w:rPr>
        <w:rFonts w:ascii="Wingdings" w:hAnsi="Wingdings" w:hint="default"/>
      </w:rPr>
    </w:lvl>
  </w:abstractNum>
  <w:abstractNum w:abstractNumId="14" w15:restartNumberingAfterBreak="0">
    <w:nsid w:val="137B1763"/>
    <w:multiLevelType w:val="hybridMultilevel"/>
    <w:tmpl w:val="E5D6002A"/>
    <w:lvl w:ilvl="0" w:tplc="8B70BADE">
      <w:start w:val="1"/>
      <w:numFmt w:val="bullet"/>
      <w:lvlText w:val="-"/>
      <w:lvlJc w:val="left"/>
      <w:pPr>
        <w:ind w:left="360" w:hanging="360"/>
      </w:pPr>
      <w:rPr>
        <w:rFonts w:ascii="Calibri" w:hAnsi="Calibri" w:hint="default"/>
      </w:rPr>
    </w:lvl>
    <w:lvl w:ilvl="1" w:tplc="692E835A">
      <w:start w:val="1"/>
      <w:numFmt w:val="bullet"/>
      <w:lvlText w:val="o"/>
      <w:lvlJc w:val="left"/>
      <w:pPr>
        <w:ind w:left="1080" w:hanging="360"/>
      </w:pPr>
      <w:rPr>
        <w:rFonts w:ascii="Courier New" w:hAnsi="Courier New" w:hint="default"/>
      </w:rPr>
    </w:lvl>
    <w:lvl w:ilvl="2" w:tplc="B0D0AD06">
      <w:start w:val="1"/>
      <w:numFmt w:val="bullet"/>
      <w:lvlText w:val=""/>
      <w:lvlJc w:val="left"/>
      <w:pPr>
        <w:ind w:left="1800" w:hanging="360"/>
      </w:pPr>
      <w:rPr>
        <w:rFonts w:ascii="Wingdings" w:hAnsi="Wingdings" w:hint="default"/>
      </w:rPr>
    </w:lvl>
    <w:lvl w:ilvl="3" w:tplc="3538EF68">
      <w:start w:val="1"/>
      <w:numFmt w:val="bullet"/>
      <w:lvlText w:val=""/>
      <w:lvlJc w:val="left"/>
      <w:pPr>
        <w:ind w:left="2520" w:hanging="360"/>
      </w:pPr>
      <w:rPr>
        <w:rFonts w:ascii="Symbol" w:hAnsi="Symbol" w:hint="default"/>
      </w:rPr>
    </w:lvl>
    <w:lvl w:ilvl="4" w:tplc="1B04C702">
      <w:start w:val="1"/>
      <w:numFmt w:val="bullet"/>
      <w:lvlText w:val="o"/>
      <w:lvlJc w:val="left"/>
      <w:pPr>
        <w:ind w:left="3240" w:hanging="360"/>
      </w:pPr>
      <w:rPr>
        <w:rFonts w:ascii="Courier New" w:hAnsi="Courier New" w:hint="default"/>
      </w:rPr>
    </w:lvl>
    <w:lvl w:ilvl="5" w:tplc="2340BCEC">
      <w:start w:val="1"/>
      <w:numFmt w:val="bullet"/>
      <w:lvlText w:val=""/>
      <w:lvlJc w:val="left"/>
      <w:pPr>
        <w:ind w:left="3960" w:hanging="360"/>
      </w:pPr>
      <w:rPr>
        <w:rFonts w:ascii="Wingdings" w:hAnsi="Wingdings" w:hint="default"/>
      </w:rPr>
    </w:lvl>
    <w:lvl w:ilvl="6" w:tplc="3A8C7412">
      <w:start w:val="1"/>
      <w:numFmt w:val="bullet"/>
      <w:lvlText w:val=""/>
      <w:lvlJc w:val="left"/>
      <w:pPr>
        <w:ind w:left="4680" w:hanging="360"/>
      </w:pPr>
      <w:rPr>
        <w:rFonts w:ascii="Symbol" w:hAnsi="Symbol" w:hint="default"/>
      </w:rPr>
    </w:lvl>
    <w:lvl w:ilvl="7" w:tplc="3AC877DC">
      <w:start w:val="1"/>
      <w:numFmt w:val="bullet"/>
      <w:lvlText w:val="o"/>
      <w:lvlJc w:val="left"/>
      <w:pPr>
        <w:ind w:left="5400" w:hanging="360"/>
      </w:pPr>
      <w:rPr>
        <w:rFonts w:ascii="Courier New" w:hAnsi="Courier New" w:hint="default"/>
      </w:rPr>
    </w:lvl>
    <w:lvl w:ilvl="8" w:tplc="B7442772">
      <w:start w:val="1"/>
      <w:numFmt w:val="bullet"/>
      <w:lvlText w:val=""/>
      <w:lvlJc w:val="left"/>
      <w:pPr>
        <w:ind w:left="6120" w:hanging="360"/>
      </w:pPr>
      <w:rPr>
        <w:rFonts w:ascii="Wingdings" w:hAnsi="Wingdings" w:hint="default"/>
      </w:rPr>
    </w:lvl>
  </w:abstractNum>
  <w:abstractNum w:abstractNumId="15" w15:restartNumberingAfterBreak="0">
    <w:nsid w:val="14094407"/>
    <w:multiLevelType w:val="hybridMultilevel"/>
    <w:tmpl w:val="034CDBE4"/>
    <w:lvl w:ilvl="0" w:tplc="04150017">
      <w:start w:val="1"/>
      <w:numFmt w:val="lowerLetter"/>
      <w:lvlText w:val="%1)"/>
      <w:lvlJc w:val="left"/>
      <w:pPr>
        <w:ind w:left="720" w:hanging="360"/>
      </w:pPr>
    </w:lvl>
    <w:lvl w:ilvl="1" w:tplc="74681310">
      <w:start w:val="1"/>
      <w:numFmt w:val="lowerRoman"/>
      <w:lvlText w:val="(%2)"/>
      <w:lvlJc w:val="right"/>
      <w:pPr>
        <w:ind w:left="1440" w:hanging="360"/>
      </w:p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1420B5E6"/>
    <w:multiLevelType w:val="hybridMultilevel"/>
    <w:tmpl w:val="FFFFFFFF"/>
    <w:lvl w:ilvl="0" w:tplc="B38ED670">
      <w:start w:val="4"/>
      <w:numFmt w:val="decimal"/>
      <w:lvlText w:val="%1."/>
      <w:lvlJc w:val="left"/>
      <w:pPr>
        <w:ind w:left="720" w:hanging="360"/>
      </w:pPr>
    </w:lvl>
    <w:lvl w:ilvl="1" w:tplc="445879D8">
      <w:start w:val="1"/>
      <w:numFmt w:val="lowerLetter"/>
      <w:lvlText w:val="%2."/>
      <w:lvlJc w:val="left"/>
      <w:pPr>
        <w:ind w:left="1440" w:hanging="360"/>
      </w:pPr>
    </w:lvl>
    <w:lvl w:ilvl="2" w:tplc="C9F2DA28">
      <w:start w:val="1"/>
      <w:numFmt w:val="lowerRoman"/>
      <w:lvlText w:val="%3."/>
      <w:lvlJc w:val="right"/>
      <w:pPr>
        <w:ind w:left="2160" w:hanging="180"/>
      </w:pPr>
    </w:lvl>
    <w:lvl w:ilvl="3" w:tplc="B248064C">
      <w:start w:val="1"/>
      <w:numFmt w:val="decimal"/>
      <w:lvlText w:val="%4."/>
      <w:lvlJc w:val="left"/>
      <w:pPr>
        <w:ind w:left="2880" w:hanging="360"/>
      </w:pPr>
    </w:lvl>
    <w:lvl w:ilvl="4" w:tplc="CFBE2D68">
      <w:start w:val="1"/>
      <w:numFmt w:val="lowerLetter"/>
      <w:lvlText w:val="%5."/>
      <w:lvlJc w:val="left"/>
      <w:pPr>
        <w:ind w:left="3600" w:hanging="360"/>
      </w:pPr>
    </w:lvl>
    <w:lvl w:ilvl="5" w:tplc="5C34BB08">
      <w:start w:val="1"/>
      <w:numFmt w:val="lowerRoman"/>
      <w:lvlText w:val="%6."/>
      <w:lvlJc w:val="right"/>
      <w:pPr>
        <w:ind w:left="4320" w:hanging="180"/>
      </w:pPr>
    </w:lvl>
    <w:lvl w:ilvl="6" w:tplc="D18EBA30">
      <w:start w:val="1"/>
      <w:numFmt w:val="decimal"/>
      <w:lvlText w:val="%7."/>
      <w:lvlJc w:val="left"/>
      <w:pPr>
        <w:ind w:left="5040" w:hanging="360"/>
      </w:pPr>
    </w:lvl>
    <w:lvl w:ilvl="7" w:tplc="494435E8">
      <w:start w:val="1"/>
      <w:numFmt w:val="lowerLetter"/>
      <w:lvlText w:val="%8."/>
      <w:lvlJc w:val="left"/>
      <w:pPr>
        <w:ind w:left="5760" w:hanging="360"/>
      </w:pPr>
    </w:lvl>
    <w:lvl w:ilvl="8" w:tplc="94A633B6">
      <w:start w:val="1"/>
      <w:numFmt w:val="lowerRoman"/>
      <w:lvlText w:val="%9."/>
      <w:lvlJc w:val="right"/>
      <w:pPr>
        <w:ind w:left="6480" w:hanging="180"/>
      </w:pPr>
    </w:lvl>
  </w:abstractNum>
  <w:abstractNum w:abstractNumId="17" w15:restartNumberingAfterBreak="0">
    <w:nsid w:val="146C3835"/>
    <w:multiLevelType w:val="hybridMultilevel"/>
    <w:tmpl w:val="0E2C0404"/>
    <w:lvl w:ilvl="0" w:tplc="1809000F">
      <w:start w:val="1"/>
      <w:numFmt w:val="decimal"/>
      <w:lvlText w:val="%1."/>
      <w:lvlJc w:val="left"/>
      <w:pPr>
        <w:ind w:left="1800" w:hanging="360"/>
      </w:pPr>
    </w:lvl>
    <w:lvl w:ilvl="1" w:tplc="18090019" w:tentative="1">
      <w:start w:val="1"/>
      <w:numFmt w:val="lowerLetter"/>
      <w:lvlText w:val="%2."/>
      <w:lvlJc w:val="left"/>
      <w:pPr>
        <w:ind w:left="2520" w:hanging="360"/>
      </w:pPr>
    </w:lvl>
    <w:lvl w:ilvl="2" w:tplc="1809001B" w:tentative="1">
      <w:start w:val="1"/>
      <w:numFmt w:val="lowerRoman"/>
      <w:lvlText w:val="%3."/>
      <w:lvlJc w:val="right"/>
      <w:pPr>
        <w:ind w:left="3240" w:hanging="180"/>
      </w:pPr>
    </w:lvl>
    <w:lvl w:ilvl="3" w:tplc="1809000F" w:tentative="1">
      <w:start w:val="1"/>
      <w:numFmt w:val="decimal"/>
      <w:lvlText w:val="%4."/>
      <w:lvlJc w:val="left"/>
      <w:pPr>
        <w:ind w:left="3960" w:hanging="360"/>
      </w:pPr>
    </w:lvl>
    <w:lvl w:ilvl="4" w:tplc="18090019" w:tentative="1">
      <w:start w:val="1"/>
      <w:numFmt w:val="lowerLetter"/>
      <w:lvlText w:val="%5."/>
      <w:lvlJc w:val="left"/>
      <w:pPr>
        <w:ind w:left="4680" w:hanging="360"/>
      </w:pPr>
    </w:lvl>
    <w:lvl w:ilvl="5" w:tplc="1809001B" w:tentative="1">
      <w:start w:val="1"/>
      <w:numFmt w:val="lowerRoman"/>
      <w:lvlText w:val="%6."/>
      <w:lvlJc w:val="right"/>
      <w:pPr>
        <w:ind w:left="5400" w:hanging="180"/>
      </w:pPr>
    </w:lvl>
    <w:lvl w:ilvl="6" w:tplc="1809000F" w:tentative="1">
      <w:start w:val="1"/>
      <w:numFmt w:val="decimal"/>
      <w:lvlText w:val="%7."/>
      <w:lvlJc w:val="left"/>
      <w:pPr>
        <w:ind w:left="6120" w:hanging="360"/>
      </w:pPr>
    </w:lvl>
    <w:lvl w:ilvl="7" w:tplc="18090019" w:tentative="1">
      <w:start w:val="1"/>
      <w:numFmt w:val="lowerLetter"/>
      <w:lvlText w:val="%8."/>
      <w:lvlJc w:val="left"/>
      <w:pPr>
        <w:ind w:left="6840" w:hanging="360"/>
      </w:pPr>
    </w:lvl>
    <w:lvl w:ilvl="8" w:tplc="1809001B" w:tentative="1">
      <w:start w:val="1"/>
      <w:numFmt w:val="lowerRoman"/>
      <w:lvlText w:val="%9."/>
      <w:lvlJc w:val="right"/>
      <w:pPr>
        <w:ind w:left="7560" w:hanging="180"/>
      </w:pPr>
    </w:lvl>
  </w:abstractNum>
  <w:abstractNum w:abstractNumId="18" w15:restartNumberingAfterBreak="0">
    <w:nsid w:val="160A11F0"/>
    <w:multiLevelType w:val="hybridMultilevel"/>
    <w:tmpl w:val="FFFFFFFF"/>
    <w:lvl w:ilvl="0" w:tplc="45AEA0A2">
      <w:start w:val="1"/>
      <w:numFmt w:val="decimal"/>
      <w:lvlText w:val="%1."/>
      <w:lvlJc w:val="left"/>
      <w:pPr>
        <w:ind w:left="720" w:hanging="360"/>
      </w:pPr>
    </w:lvl>
    <w:lvl w:ilvl="1" w:tplc="ED84897C">
      <w:start w:val="1"/>
      <w:numFmt w:val="lowerLetter"/>
      <w:lvlText w:val="%2."/>
      <w:lvlJc w:val="left"/>
      <w:pPr>
        <w:ind w:left="1440" w:hanging="360"/>
      </w:pPr>
    </w:lvl>
    <w:lvl w:ilvl="2" w:tplc="E29C0F22">
      <w:start w:val="1"/>
      <w:numFmt w:val="lowerRoman"/>
      <w:lvlText w:val="%3."/>
      <w:lvlJc w:val="right"/>
      <w:pPr>
        <w:ind w:left="2160" w:hanging="180"/>
      </w:pPr>
    </w:lvl>
    <w:lvl w:ilvl="3" w:tplc="F036F99E">
      <w:start w:val="1"/>
      <w:numFmt w:val="decimal"/>
      <w:lvlText w:val="%4."/>
      <w:lvlJc w:val="left"/>
      <w:pPr>
        <w:ind w:left="2880" w:hanging="360"/>
      </w:pPr>
    </w:lvl>
    <w:lvl w:ilvl="4" w:tplc="B7E8C496">
      <w:start w:val="1"/>
      <w:numFmt w:val="lowerLetter"/>
      <w:lvlText w:val="%5."/>
      <w:lvlJc w:val="left"/>
      <w:pPr>
        <w:ind w:left="3600" w:hanging="360"/>
      </w:pPr>
    </w:lvl>
    <w:lvl w:ilvl="5" w:tplc="2F842710">
      <w:start w:val="1"/>
      <w:numFmt w:val="lowerRoman"/>
      <w:lvlText w:val="%6."/>
      <w:lvlJc w:val="right"/>
      <w:pPr>
        <w:ind w:left="4320" w:hanging="180"/>
      </w:pPr>
    </w:lvl>
    <w:lvl w:ilvl="6" w:tplc="0F9E5E0E">
      <w:start w:val="1"/>
      <w:numFmt w:val="decimal"/>
      <w:lvlText w:val="%7."/>
      <w:lvlJc w:val="left"/>
      <w:pPr>
        <w:ind w:left="5040" w:hanging="360"/>
      </w:pPr>
    </w:lvl>
    <w:lvl w:ilvl="7" w:tplc="D1A8C2D6">
      <w:start w:val="1"/>
      <w:numFmt w:val="lowerLetter"/>
      <w:lvlText w:val="%8."/>
      <w:lvlJc w:val="left"/>
      <w:pPr>
        <w:ind w:left="5760" w:hanging="360"/>
      </w:pPr>
    </w:lvl>
    <w:lvl w:ilvl="8" w:tplc="FD707E12">
      <w:start w:val="1"/>
      <w:numFmt w:val="lowerRoman"/>
      <w:lvlText w:val="%9."/>
      <w:lvlJc w:val="right"/>
      <w:pPr>
        <w:ind w:left="6480" w:hanging="180"/>
      </w:pPr>
    </w:lvl>
  </w:abstractNum>
  <w:abstractNum w:abstractNumId="19" w15:restartNumberingAfterBreak="0">
    <w:nsid w:val="18A074CE"/>
    <w:multiLevelType w:val="hybridMultilevel"/>
    <w:tmpl w:val="E2B0274E"/>
    <w:lvl w:ilvl="0" w:tplc="FFFFFFFF">
      <w:start w:val="1"/>
      <w:numFmt w:val="decimal"/>
      <w:lvlText w:val="%1."/>
      <w:lvlJc w:val="left"/>
      <w:pPr>
        <w:ind w:left="360" w:hanging="360"/>
      </w:pPr>
    </w:lvl>
    <w:lvl w:ilvl="1" w:tplc="1809000F">
      <w:start w:val="1"/>
      <w:numFmt w:val="decimal"/>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1A68008B"/>
    <w:multiLevelType w:val="hybridMultilevel"/>
    <w:tmpl w:val="FFFFFFFF"/>
    <w:lvl w:ilvl="0" w:tplc="B22837D2">
      <w:numFmt w:val="none"/>
      <w:lvlText w:val=""/>
      <w:lvlJc w:val="left"/>
      <w:pPr>
        <w:tabs>
          <w:tab w:val="num" w:pos="360"/>
        </w:tabs>
      </w:pPr>
    </w:lvl>
    <w:lvl w:ilvl="1" w:tplc="BC50F048">
      <w:start w:val="1"/>
      <w:numFmt w:val="lowerLetter"/>
      <w:lvlText w:val="%2."/>
      <w:lvlJc w:val="left"/>
      <w:pPr>
        <w:ind w:left="1440" w:hanging="360"/>
      </w:pPr>
    </w:lvl>
    <w:lvl w:ilvl="2" w:tplc="A9A823DC">
      <w:start w:val="1"/>
      <w:numFmt w:val="lowerRoman"/>
      <w:lvlText w:val="%3."/>
      <w:lvlJc w:val="right"/>
      <w:pPr>
        <w:ind w:left="2160" w:hanging="180"/>
      </w:pPr>
    </w:lvl>
    <w:lvl w:ilvl="3" w:tplc="2CA88C6C">
      <w:start w:val="1"/>
      <w:numFmt w:val="decimal"/>
      <w:lvlText w:val="%4."/>
      <w:lvlJc w:val="left"/>
      <w:pPr>
        <w:ind w:left="2880" w:hanging="360"/>
      </w:pPr>
    </w:lvl>
    <w:lvl w:ilvl="4" w:tplc="9342EE66">
      <w:start w:val="1"/>
      <w:numFmt w:val="lowerLetter"/>
      <w:lvlText w:val="%5."/>
      <w:lvlJc w:val="left"/>
      <w:pPr>
        <w:ind w:left="3600" w:hanging="360"/>
      </w:pPr>
    </w:lvl>
    <w:lvl w:ilvl="5" w:tplc="546ACBFA">
      <w:start w:val="1"/>
      <w:numFmt w:val="lowerRoman"/>
      <w:lvlText w:val="%6."/>
      <w:lvlJc w:val="right"/>
      <w:pPr>
        <w:ind w:left="4320" w:hanging="180"/>
      </w:pPr>
    </w:lvl>
    <w:lvl w:ilvl="6" w:tplc="C1382952">
      <w:start w:val="1"/>
      <w:numFmt w:val="decimal"/>
      <w:lvlText w:val="%7."/>
      <w:lvlJc w:val="left"/>
      <w:pPr>
        <w:ind w:left="5040" w:hanging="360"/>
      </w:pPr>
    </w:lvl>
    <w:lvl w:ilvl="7" w:tplc="9F22804C">
      <w:start w:val="1"/>
      <w:numFmt w:val="lowerLetter"/>
      <w:lvlText w:val="%8."/>
      <w:lvlJc w:val="left"/>
      <w:pPr>
        <w:ind w:left="5760" w:hanging="360"/>
      </w:pPr>
    </w:lvl>
    <w:lvl w:ilvl="8" w:tplc="4F5AB154">
      <w:start w:val="1"/>
      <w:numFmt w:val="lowerRoman"/>
      <w:lvlText w:val="%9."/>
      <w:lvlJc w:val="right"/>
      <w:pPr>
        <w:ind w:left="6480" w:hanging="180"/>
      </w:pPr>
    </w:lvl>
  </w:abstractNum>
  <w:abstractNum w:abstractNumId="21" w15:restartNumberingAfterBreak="0">
    <w:nsid w:val="1ACA7B60"/>
    <w:multiLevelType w:val="hybridMultilevel"/>
    <w:tmpl w:val="FFFFFFFF"/>
    <w:lvl w:ilvl="0" w:tplc="41E67784">
      <w:start w:val="1"/>
      <w:numFmt w:val="decimal"/>
      <w:lvlText w:val="%1."/>
      <w:lvlJc w:val="left"/>
      <w:pPr>
        <w:ind w:left="720" w:hanging="360"/>
      </w:pPr>
    </w:lvl>
    <w:lvl w:ilvl="1" w:tplc="94FAA13E">
      <w:start w:val="1"/>
      <w:numFmt w:val="lowerLetter"/>
      <w:lvlText w:val="%2."/>
      <w:lvlJc w:val="left"/>
      <w:pPr>
        <w:ind w:left="1440" w:hanging="360"/>
      </w:pPr>
    </w:lvl>
    <w:lvl w:ilvl="2" w:tplc="3E103F3C">
      <w:start w:val="1"/>
      <w:numFmt w:val="lowerRoman"/>
      <w:lvlText w:val="%3."/>
      <w:lvlJc w:val="right"/>
      <w:pPr>
        <w:ind w:left="2160" w:hanging="180"/>
      </w:pPr>
    </w:lvl>
    <w:lvl w:ilvl="3" w:tplc="68E4911A">
      <w:start w:val="1"/>
      <w:numFmt w:val="decimal"/>
      <w:lvlText w:val="%4."/>
      <w:lvlJc w:val="left"/>
      <w:pPr>
        <w:ind w:left="2880" w:hanging="360"/>
      </w:pPr>
    </w:lvl>
    <w:lvl w:ilvl="4" w:tplc="07BADBBC">
      <w:start w:val="1"/>
      <w:numFmt w:val="lowerLetter"/>
      <w:lvlText w:val="%5."/>
      <w:lvlJc w:val="left"/>
      <w:pPr>
        <w:ind w:left="3600" w:hanging="360"/>
      </w:pPr>
    </w:lvl>
    <w:lvl w:ilvl="5" w:tplc="7A56A578">
      <w:start w:val="1"/>
      <w:numFmt w:val="lowerRoman"/>
      <w:lvlText w:val="%6."/>
      <w:lvlJc w:val="right"/>
      <w:pPr>
        <w:ind w:left="4320" w:hanging="180"/>
      </w:pPr>
    </w:lvl>
    <w:lvl w:ilvl="6" w:tplc="90BAC436">
      <w:start w:val="1"/>
      <w:numFmt w:val="decimal"/>
      <w:lvlText w:val="%7."/>
      <w:lvlJc w:val="left"/>
      <w:pPr>
        <w:ind w:left="5040" w:hanging="360"/>
      </w:pPr>
    </w:lvl>
    <w:lvl w:ilvl="7" w:tplc="039A9494">
      <w:start w:val="1"/>
      <w:numFmt w:val="lowerLetter"/>
      <w:lvlText w:val="%8."/>
      <w:lvlJc w:val="left"/>
      <w:pPr>
        <w:ind w:left="5760" w:hanging="360"/>
      </w:pPr>
    </w:lvl>
    <w:lvl w:ilvl="8" w:tplc="5A3AD7AE">
      <w:start w:val="1"/>
      <w:numFmt w:val="lowerRoman"/>
      <w:lvlText w:val="%9."/>
      <w:lvlJc w:val="right"/>
      <w:pPr>
        <w:ind w:left="6480" w:hanging="180"/>
      </w:pPr>
    </w:lvl>
  </w:abstractNum>
  <w:abstractNum w:abstractNumId="22" w15:restartNumberingAfterBreak="0">
    <w:nsid w:val="1B8E4A9A"/>
    <w:multiLevelType w:val="hybridMultilevel"/>
    <w:tmpl w:val="79E0203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3" w15:restartNumberingAfterBreak="0">
    <w:nsid w:val="1C5224EC"/>
    <w:multiLevelType w:val="hybridMultilevel"/>
    <w:tmpl w:val="584AA3BA"/>
    <w:lvl w:ilvl="0" w:tplc="1809000F">
      <w:start w:val="1"/>
      <w:numFmt w:val="decimal"/>
      <w:lvlText w:val="%1."/>
      <w:lvlJc w:val="left"/>
      <w:pPr>
        <w:ind w:left="360" w:hanging="360"/>
      </w:p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4" w15:restartNumberingAfterBreak="0">
    <w:nsid w:val="1E671D94"/>
    <w:multiLevelType w:val="multilevel"/>
    <w:tmpl w:val="D3F29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E79AC8F"/>
    <w:multiLevelType w:val="multilevel"/>
    <w:tmpl w:val="3F309080"/>
    <w:lvl w:ilvl="0">
      <w:start w:val="1"/>
      <w:numFmt w:val="bullet"/>
      <w:lvlText w:val="-"/>
      <w:lvlJc w:val="left"/>
      <w:pPr>
        <w:ind w:left="720" w:hanging="360"/>
      </w:pPr>
      <w:rPr>
        <w:rFonts w:ascii="Calibri" w:hAnsi="Calibr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1F8F7704"/>
    <w:multiLevelType w:val="hybridMultilevel"/>
    <w:tmpl w:val="2CB214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2154502D"/>
    <w:multiLevelType w:val="hybridMultilevel"/>
    <w:tmpl w:val="FFFFFFFF"/>
    <w:lvl w:ilvl="0" w:tplc="C800492A">
      <w:start w:val="1"/>
      <w:numFmt w:val="decimal"/>
      <w:lvlText w:val="%1."/>
      <w:lvlJc w:val="left"/>
      <w:pPr>
        <w:ind w:left="720" w:hanging="360"/>
      </w:pPr>
    </w:lvl>
    <w:lvl w:ilvl="1" w:tplc="40A44422">
      <w:start w:val="1"/>
      <w:numFmt w:val="lowerLetter"/>
      <w:lvlText w:val="%2."/>
      <w:lvlJc w:val="left"/>
      <w:pPr>
        <w:ind w:left="1440" w:hanging="360"/>
      </w:pPr>
    </w:lvl>
    <w:lvl w:ilvl="2" w:tplc="28A4A696">
      <w:start w:val="1"/>
      <w:numFmt w:val="lowerRoman"/>
      <w:lvlText w:val="%3."/>
      <w:lvlJc w:val="right"/>
      <w:pPr>
        <w:ind w:left="2160" w:hanging="180"/>
      </w:pPr>
    </w:lvl>
    <w:lvl w:ilvl="3" w:tplc="449C9166">
      <w:start w:val="1"/>
      <w:numFmt w:val="decimal"/>
      <w:lvlText w:val="%4."/>
      <w:lvlJc w:val="left"/>
      <w:pPr>
        <w:ind w:left="2880" w:hanging="360"/>
      </w:pPr>
    </w:lvl>
    <w:lvl w:ilvl="4" w:tplc="8E46A25C">
      <w:start w:val="1"/>
      <w:numFmt w:val="lowerLetter"/>
      <w:lvlText w:val="%5."/>
      <w:lvlJc w:val="left"/>
      <w:pPr>
        <w:ind w:left="3600" w:hanging="360"/>
      </w:pPr>
    </w:lvl>
    <w:lvl w:ilvl="5" w:tplc="36B05696">
      <w:start w:val="1"/>
      <w:numFmt w:val="lowerRoman"/>
      <w:lvlText w:val="%6."/>
      <w:lvlJc w:val="right"/>
      <w:pPr>
        <w:ind w:left="4320" w:hanging="180"/>
      </w:pPr>
    </w:lvl>
    <w:lvl w:ilvl="6" w:tplc="1262A5E4">
      <w:start w:val="1"/>
      <w:numFmt w:val="decimal"/>
      <w:lvlText w:val="%7."/>
      <w:lvlJc w:val="left"/>
      <w:pPr>
        <w:ind w:left="5040" w:hanging="360"/>
      </w:pPr>
    </w:lvl>
    <w:lvl w:ilvl="7" w:tplc="C3CAC93C">
      <w:start w:val="1"/>
      <w:numFmt w:val="lowerLetter"/>
      <w:lvlText w:val="%8."/>
      <w:lvlJc w:val="left"/>
      <w:pPr>
        <w:ind w:left="5760" w:hanging="360"/>
      </w:pPr>
    </w:lvl>
    <w:lvl w:ilvl="8" w:tplc="7EC48E1C">
      <w:start w:val="1"/>
      <w:numFmt w:val="lowerRoman"/>
      <w:lvlText w:val="%9."/>
      <w:lvlJc w:val="right"/>
      <w:pPr>
        <w:ind w:left="6480" w:hanging="180"/>
      </w:pPr>
    </w:lvl>
  </w:abstractNum>
  <w:abstractNum w:abstractNumId="28" w15:restartNumberingAfterBreak="0">
    <w:nsid w:val="22FDA745"/>
    <w:multiLevelType w:val="hybridMultilevel"/>
    <w:tmpl w:val="FFFFFFFF"/>
    <w:lvl w:ilvl="0" w:tplc="3514CEC0">
      <w:start w:val="2"/>
      <w:numFmt w:val="decimal"/>
      <w:lvlText w:val="%1."/>
      <w:lvlJc w:val="left"/>
      <w:pPr>
        <w:ind w:left="720" w:hanging="360"/>
      </w:pPr>
    </w:lvl>
    <w:lvl w:ilvl="1" w:tplc="143A6948">
      <w:start w:val="1"/>
      <w:numFmt w:val="lowerLetter"/>
      <w:lvlText w:val="%2."/>
      <w:lvlJc w:val="left"/>
      <w:pPr>
        <w:ind w:left="1440" w:hanging="360"/>
      </w:pPr>
    </w:lvl>
    <w:lvl w:ilvl="2" w:tplc="7E34F308">
      <w:start w:val="1"/>
      <w:numFmt w:val="lowerRoman"/>
      <w:lvlText w:val="%3."/>
      <w:lvlJc w:val="right"/>
      <w:pPr>
        <w:ind w:left="2160" w:hanging="180"/>
      </w:pPr>
    </w:lvl>
    <w:lvl w:ilvl="3" w:tplc="42F2D3A8">
      <w:start w:val="1"/>
      <w:numFmt w:val="decimal"/>
      <w:lvlText w:val="%4."/>
      <w:lvlJc w:val="left"/>
      <w:pPr>
        <w:ind w:left="2880" w:hanging="360"/>
      </w:pPr>
    </w:lvl>
    <w:lvl w:ilvl="4" w:tplc="78BC2000">
      <w:start w:val="1"/>
      <w:numFmt w:val="lowerLetter"/>
      <w:lvlText w:val="%5."/>
      <w:lvlJc w:val="left"/>
      <w:pPr>
        <w:ind w:left="3600" w:hanging="360"/>
      </w:pPr>
    </w:lvl>
    <w:lvl w:ilvl="5" w:tplc="FAA2B4A4">
      <w:start w:val="1"/>
      <w:numFmt w:val="lowerRoman"/>
      <w:lvlText w:val="%6."/>
      <w:lvlJc w:val="right"/>
      <w:pPr>
        <w:ind w:left="4320" w:hanging="180"/>
      </w:pPr>
    </w:lvl>
    <w:lvl w:ilvl="6" w:tplc="76448BC8">
      <w:start w:val="1"/>
      <w:numFmt w:val="decimal"/>
      <w:lvlText w:val="%7."/>
      <w:lvlJc w:val="left"/>
      <w:pPr>
        <w:ind w:left="5040" w:hanging="360"/>
      </w:pPr>
    </w:lvl>
    <w:lvl w:ilvl="7" w:tplc="EAA427CC">
      <w:start w:val="1"/>
      <w:numFmt w:val="lowerLetter"/>
      <w:lvlText w:val="%8."/>
      <w:lvlJc w:val="left"/>
      <w:pPr>
        <w:ind w:left="5760" w:hanging="360"/>
      </w:pPr>
    </w:lvl>
    <w:lvl w:ilvl="8" w:tplc="21F061FA">
      <w:start w:val="1"/>
      <w:numFmt w:val="lowerRoman"/>
      <w:lvlText w:val="%9."/>
      <w:lvlJc w:val="right"/>
      <w:pPr>
        <w:ind w:left="6480" w:hanging="180"/>
      </w:pPr>
    </w:lvl>
  </w:abstractNum>
  <w:abstractNum w:abstractNumId="29" w15:restartNumberingAfterBreak="0">
    <w:nsid w:val="24DCCC8B"/>
    <w:multiLevelType w:val="hybridMultilevel"/>
    <w:tmpl w:val="FFFFFFFF"/>
    <w:lvl w:ilvl="0" w:tplc="25FCA4D0">
      <w:start w:val="1"/>
      <w:numFmt w:val="decimal"/>
      <w:lvlText w:val="%1."/>
      <w:lvlJc w:val="left"/>
      <w:pPr>
        <w:ind w:left="720" w:hanging="360"/>
      </w:pPr>
    </w:lvl>
    <w:lvl w:ilvl="1" w:tplc="56848104">
      <w:start w:val="1"/>
      <w:numFmt w:val="lowerLetter"/>
      <w:lvlText w:val="%2."/>
      <w:lvlJc w:val="left"/>
      <w:pPr>
        <w:ind w:left="1440" w:hanging="360"/>
      </w:pPr>
    </w:lvl>
    <w:lvl w:ilvl="2" w:tplc="FAFE9DAC">
      <w:start w:val="1"/>
      <w:numFmt w:val="lowerRoman"/>
      <w:lvlText w:val="%3."/>
      <w:lvlJc w:val="right"/>
      <w:pPr>
        <w:ind w:left="2160" w:hanging="180"/>
      </w:pPr>
    </w:lvl>
    <w:lvl w:ilvl="3" w:tplc="785E388E">
      <w:start w:val="1"/>
      <w:numFmt w:val="decimal"/>
      <w:lvlText w:val="%4."/>
      <w:lvlJc w:val="left"/>
      <w:pPr>
        <w:ind w:left="2880" w:hanging="360"/>
      </w:pPr>
    </w:lvl>
    <w:lvl w:ilvl="4" w:tplc="1A34BE40">
      <w:start w:val="1"/>
      <w:numFmt w:val="lowerLetter"/>
      <w:lvlText w:val="%5."/>
      <w:lvlJc w:val="left"/>
      <w:pPr>
        <w:ind w:left="3600" w:hanging="360"/>
      </w:pPr>
    </w:lvl>
    <w:lvl w:ilvl="5" w:tplc="2EB678C6">
      <w:start w:val="1"/>
      <w:numFmt w:val="lowerRoman"/>
      <w:lvlText w:val="%6."/>
      <w:lvlJc w:val="right"/>
      <w:pPr>
        <w:ind w:left="4320" w:hanging="180"/>
      </w:pPr>
    </w:lvl>
    <w:lvl w:ilvl="6" w:tplc="D8E0BD54">
      <w:start w:val="1"/>
      <w:numFmt w:val="decimal"/>
      <w:lvlText w:val="%7."/>
      <w:lvlJc w:val="left"/>
      <w:pPr>
        <w:ind w:left="5040" w:hanging="360"/>
      </w:pPr>
    </w:lvl>
    <w:lvl w:ilvl="7" w:tplc="BE624ED8">
      <w:start w:val="1"/>
      <w:numFmt w:val="lowerLetter"/>
      <w:lvlText w:val="%8."/>
      <w:lvlJc w:val="left"/>
      <w:pPr>
        <w:ind w:left="5760" w:hanging="360"/>
      </w:pPr>
    </w:lvl>
    <w:lvl w:ilvl="8" w:tplc="34622584">
      <w:start w:val="1"/>
      <w:numFmt w:val="lowerRoman"/>
      <w:lvlText w:val="%9."/>
      <w:lvlJc w:val="right"/>
      <w:pPr>
        <w:ind w:left="6480" w:hanging="180"/>
      </w:pPr>
    </w:lvl>
  </w:abstractNum>
  <w:abstractNum w:abstractNumId="30" w15:restartNumberingAfterBreak="0">
    <w:nsid w:val="25E6BA66"/>
    <w:multiLevelType w:val="hybridMultilevel"/>
    <w:tmpl w:val="FFFFFFFF"/>
    <w:lvl w:ilvl="0" w:tplc="A2C4B1F4">
      <w:start w:val="3"/>
      <w:numFmt w:val="decimal"/>
      <w:lvlText w:val="%1."/>
      <w:lvlJc w:val="left"/>
      <w:pPr>
        <w:ind w:left="720" w:hanging="360"/>
      </w:pPr>
    </w:lvl>
    <w:lvl w:ilvl="1" w:tplc="78EEB1C0">
      <w:start w:val="1"/>
      <w:numFmt w:val="lowerLetter"/>
      <w:lvlText w:val="%2."/>
      <w:lvlJc w:val="left"/>
      <w:pPr>
        <w:ind w:left="1440" w:hanging="360"/>
      </w:pPr>
    </w:lvl>
    <w:lvl w:ilvl="2" w:tplc="A798E748">
      <w:start w:val="1"/>
      <w:numFmt w:val="lowerRoman"/>
      <w:lvlText w:val="%3."/>
      <w:lvlJc w:val="right"/>
      <w:pPr>
        <w:ind w:left="2160" w:hanging="180"/>
      </w:pPr>
    </w:lvl>
    <w:lvl w:ilvl="3" w:tplc="7570D2E0">
      <w:start w:val="1"/>
      <w:numFmt w:val="decimal"/>
      <w:lvlText w:val="%4."/>
      <w:lvlJc w:val="left"/>
      <w:pPr>
        <w:ind w:left="2880" w:hanging="360"/>
      </w:pPr>
    </w:lvl>
    <w:lvl w:ilvl="4" w:tplc="898658D2">
      <w:start w:val="1"/>
      <w:numFmt w:val="lowerLetter"/>
      <w:lvlText w:val="%5."/>
      <w:lvlJc w:val="left"/>
      <w:pPr>
        <w:ind w:left="3600" w:hanging="360"/>
      </w:pPr>
    </w:lvl>
    <w:lvl w:ilvl="5" w:tplc="EF52BDAC">
      <w:start w:val="1"/>
      <w:numFmt w:val="lowerRoman"/>
      <w:lvlText w:val="%6."/>
      <w:lvlJc w:val="right"/>
      <w:pPr>
        <w:ind w:left="4320" w:hanging="180"/>
      </w:pPr>
    </w:lvl>
    <w:lvl w:ilvl="6" w:tplc="127A42B2">
      <w:start w:val="1"/>
      <w:numFmt w:val="decimal"/>
      <w:lvlText w:val="%7."/>
      <w:lvlJc w:val="left"/>
      <w:pPr>
        <w:ind w:left="5040" w:hanging="360"/>
      </w:pPr>
    </w:lvl>
    <w:lvl w:ilvl="7" w:tplc="F9DAC080">
      <w:start w:val="1"/>
      <w:numFmt w:val="lowerLetter"/>
      <w:lvlText w:val="%8."/>
      <w:lvlJc w:val="left"/>
      <w:pPr>
        <w:ind w:left="5760" w:hanging="360"/>
      </w:pPr>
    </w:lvl>
    <w:lvl w:ilvl="8" w:tplc="7876C39E">
      <w:start w:val="1"/>
      <w:numFmt w:val="lowerRoman"/>
      <w:lvlText w:val="%9."/>
      <w:lvlJc w:val="right"/>
      <w:pPr>
        <w:ind w:left="6480" w:hanging="180"/>
      </w:pPr>
    </w:lvl>
  </w:abstractNum>
  <w:abstractNum w:abstractNumId="31" w15:restartNumberingAfterBreak="0">
    <w:nsid w:val="25E91717"/>
    <w:multiLevelType w:val="hybridMultilevel"/>
    <w:tmpl w:val="93C20A86"/>
    <w:lvl w:ilvl="0" w:tplc="0CCC55D8">
      <w:start w:val="14"/>
      <w:numFmt w:val="bullet"/>
      <w:lvlText w:val="-"/>
      <w:lvlJc w:val="left"/>
      <w:pPr>
        <w:ind w:left="720" w:hanging="360"/>
      </w:pPr>
      <w:rPr>
        <w:rFonts w:ascii="Times New Roman" w:eastAsia="Times New Roman" w:hAnsi="Times New Roman" w:cs="Times New Roman" w:hint="default"/>
        <w:color w:val="006100"/>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26722EC3"/>
    <w:multiLevelType w:val="hybridMultilevel"/>
    <w:tmpl w:val="8FEA9D1E"/>
    <w:lvl w:ilvl="0" w:tplc="18090019">
      <w:start w:val="1"/>
      <w:numFmt w:val="lowerLetter"/>
      <w:lvlText w:val="%1."/>
      <w:lvlJc w:val="left"/>
      <w:pPr>
        <w:tabs>
          <w:tab w:val="num" w:pos="-720"/>
        </w:tabs>
      </w:pPr>
    </w:lvl>
    <w:lvl w:ilvl="1" w:tplc="18090019">
      <w:start w:val="1"/>
      <w:numFmt w:val="lowerLetter"/>
      <w:lvlText w:val="%2."/>
      <w:lvlJc w:val="left"/>
      <w:pPr>
        <w:ind w:left="720" w:hanging="360"/>
      </w:pPr>
    </w:lvl>
    <w:lvl w:ilvl="2" w:tplc="1809001B" w:tentative="1">
      <w:start w:val="1"/>
      <w:numFmt w:val="lowerRoman"/>
      <w:lvlText w:val="%3."/>
      <w:lvlJc w:val="right"/>
      <w:pPr>
        <w:ind w:left="1440" w:hanging="180"/>
      </w:pPr>
    </w:lvl>
    <w:lvl w:ilvl="3" w:tplc="1809000F" w:tentative="1">
      <w:start w:val="1"/>
      <w:numFmt w:val="decimal"/>
      <w:lvlText w:val="%4."/>
      <w:lvlJc w:val="left"/>
      <w:pPr>
        <w:ind w:left="2160" w:hanging="360"/>
      </w:pPr>
    </w:lvl>
    <w:lvl w:ilvl="4" w:tplc="18090019" w:tentative="1">
      <w:start w:val="1"/>
      <w:numFmt w:val="lowerLetter"/>
      <w:lvlText w:val="%5."/>
      <w:lvlJc w:val="left"/>
      <w:pPr>
        <w:ind w:left="2880" w:hanging="360"/>
      </w:pPr>
    </w:lvl>
    <w:lvl w:ilvl="5" w:tplc="1809001B" w:tentative="1">
      <w:start w:val="1"/>
      <w:numFmt w:val="lowerRoman"/>
      <w:lvlText w:val="%6."/>
      <w:lvlJc w:val="right"/>
      <w:pPr>
        <w:ind w:left="3600" w:hanging="180"/>
      </w:pPr>
    </w:lvl>
    <w:lvl w:ilvl="6" w:tplc="1809000F" w:tentative="1">
      <w:start w:val="1"/>
      <w:numFmt w:val="decimal"/>
      <w:lvlText w:val="%7."/>
      <w:lvlJc w:val="left"/>
      <w:pPr>
        <w:ind w:left="4320" w:hanging="360"/>
      </w:pPr>
    </w:lvl>
    <w:lvl w:ilvl="7" w:tplc="18090019" w:tentative="1">
      <w:start w:val="1"/>
      <w:numFmt w:val="lowerLetter"/>
      <w:lvlText w:val="%8."/>
      <w:lvlJc w:val="left"/>
      <w:pPr>
        <w:ind w:left="5040" w:hanging="360"/>
      </w:pPr>
    </w:lvl>
    <w:lvl w:ilvl="8" w:tplc="1809001B" w:tentative="1">
      <w:start w:val="1"/>
      <w:numFmt w:val="lowerRoman"/>
      <w:lvlText w:val="%9."/>
      <w:lvlJc w:val="right"/>
      <w:pPr>
        <w:ind w:left="5760" w:hanging="180"/>
      </w:pPr>
    </w:lvl>
  </w:abstractNum>
  <w:abstractNum w:abstractNumId="33" w15:restartNumberingAfterBreak="0">
    <w:nsid w:val="2717F8B3"/>
    <w:multiLevelType w:val="hybridMultilevel"/>
    <w:tmpl w:val="FFFFFFFF"/>
    <w:lvl w:ilvl="0" w:tplc="3CE21F8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97FC4182">
      <w:start w:val="1"/>
      <w:numFmt w:val="bullet"/>
      <w:lvlText w:val=""/>
      <w:lvlJc w:val="left"/>
      <w:pPr>
        <w:ind w:left="2160" w:hanging="360"/>
      </w:pPr>
      <w:rPr>
        <w:rFonts w:ascii="Wingdings" w:hAnsi="Wingdings" w:hint="default"/>
      </w:rPr>
    </w:lvl>
    <w:lvl w:ilvl="3" w:tplc="A39E9170">
      <w:start w:val="1"/>
      <w:numFmt w:val="bullet"/>
      <w:lvlText w:val=""/>
      <w:lvlJc w:val="left"/>
      <w:pPr>
        <w:ind w:left="2880" w:hanging="360"/>
      </w:pPr>
      <w:rPr>
        <w:rFonts w:ascii="Symbol" w:hAnsi="Symbol" w:hint="default"/>
      </w:rPr>
    </w:lvl>
    <w:lvl w:ilvl="4" w:tplc="0B68F3DC">
      <w:start w:val="1"/>
      <w:numFmt w:val="bullet"/>
      <w:lvlText w:val="o"/>
      <w:lvlJc w:val="left"/>
      <w:pPr>
        <w:ind w:left="3600" w:hanging="360"/>
      </w:pPr>
      <w:rPr>
        <w:rFonts w:ascii="Courier New" w:hAnsi="Courier New" w:hint="default"/>
      </w:rPr>
    </w:lvl>
    <w:lvl w:ilvl="5" w:tplc="C088C644">
      <w:start w:val="1"/>
      <w:numFmt w:val="bullet"/>
      <w:lvlText w:val=""/>
      <w:lvlJc w:val="left"/>
      <w:pPr>
        <w:ind w:left="4320" w:hanging="360"/>
      </w:pPr>
      <w:rPr>
        <w:rFonts w:ascii="Wingdings" w:hAnsi="Wingdings" w:hint="default"/>
      </w:rPr>
    </w:lvl>
    <w:lvl w:ilvl="6" w:tplc="98125394">
      <w:start w:val="1"/>
      <w:numFmt w:val="bullet"/>
      <w:lvlText w:val=""/>
      <w:lvlJc w:val="left"/>
      <w:pPr>
        <w:ind w:left="5040" w:hanging="360"/>
      </w:pPr>
      <w:rPr>
        <w:rFonts w:ascii="Symbol" w:hAnsi="Symbol" w:hint="default"/>
      </w:rPr>
    </w:lvl>
    <w:lvl w:ilvl="7" w:tplc="EC7621B0">
      <w:start w:val="1"/>
      <w:numFmt w:val="bullet"/>
      <w:lvlText w:val="o"/>
      <w:lvlJc w:val="left"/>
      <w:pPr>
        <w:ind w:left="5760" w:hanging="360"/>
      </w:pPr>
      <w:rPr>
        <w:rFonts w:ascii="Courier New" w:hAnsi="Courier New" w:hint="default"/>
      </w:rPr>
    </w:lvl>
    <w:lvl w:ilvl="8" w:tplc="DC96E638">
      <w:start w:val="1"/>
      <w:numFmt w:val="bullet"/>
      <w:lvlText w:val=""/>
      <w:lvlJc w:val="left"/>
      <w:pPr>
        <w:ind w:left="6480" w:hanging="360"/>
      </w:pPr>
      <w:rPr>
        <w:rFonts w:ascii="Wingdings" w:hAnsi="Wingdings" w:hint="default"/>
      </w:rPr>
    </w:lvl>
  </w:abstractNum>
  <w:abstractNum w:abstractNumId="34" w15:restartNumberingAfterBreak="0">
    <w:nsid w:val="2A8944C7"/>
    <w:multiLevelType w:val="hybridMultilevel"/>
    <w:tmpl w:val="FFFFFFFF"/>
    <w:lvl w:ilvl="0" w:tplc="1B3AF638">
      <w:start w:val="1"/>
      <w:numFmt w:val="decimal"/>
      <w:lvlText w:val="%1."/>
      <w:lvlJc w:val="left"/>
      <w:pPr>
        <w:ind w:left="720" w:hanging="360"/>
      </w:pPr>
    </w:lvl>
    <w:lvl w:ilvl="1" w:tplc="79ECF196">
      <w:start w:val="1"/>
      <w:numFmt w:val="lowerLetter"/>
      <w:lvlText w:val="%2."/>
      <w:lvlJc w:val="left"/>
      <w:pPr>
        <w:ind w:left="1440" w:hanging="360"/>
      </w:pPr>
    </w:lvl>
    <w:lvl w:ilvl="2" w:tplc="CA76AA98">
      <w:start w:val="1"/>
      <w:numFmt w:val="lowerRoman"/>
      <w:lvlText w:val="%3."/>
      <w:lvlJc w:val="right"/>
      <w:pPr>
        <w:ind w:left="2160" w:hanging="180"/>
      </w:pPr>
    </w:lvl>
    <w:lvl w:ilvl="3" w:tplc="38347F72">
      <w:start w:val="1"/>
      <w:numFmt w:val="decimal"/>
      <w:lvlText w:val="%4."/>
      <w:lvlJc w:val="left"/>
      <w:pPr>
        <w:ind w:left="2880" w:hanging="360"/>
      </w:pPr>
    </w:lvl>
    <w:lvl w:ilvl="4" w:tplc="987EC848">
      <w:start w:val="1"/>
      <w:numFmt w:val="lowerLetter"/>
      <w:lvlText w:val="%5."/>
      <w:lvlJc w:val="left"/>
      <w:pPr>
        <w:ind w:left="3600" w:hanging="360"/>
      </w:pPr>
    </w:lvl>
    <w:lvl w:ilvl="5" w:tplc="F5742620">
      <w:start w:val="1"/>
      <w:numFmt w:val="lowerRoman"/>
      <w:lvlText w:val="%6."/>
      <w:lvlJc w:val="right"/>
      <w:pPr>
        <w:ind w:left="4320" w:hanging="180"/>
      </w:pPr>
    </w:lvl>
    <w:lvl w:ilvl="6" w:tplc="F6C22234">
      <w:start w:val="1"/>
      <w:numFmt w:val="decimal"/>
      <w:lvlText w:val="%7."/>
      <w:lvlJc w:val="left"/>
      <w:pPr>
        <w:ind w:left="5040" w:hanging="360"/>
      </w:pPr>
    </w:lvl>
    <w:lvl w:ilvl="7" w:tplc="A8684E5A">
      <w:start w:val="1"/>
      <w:numFmt w:val="lowerLetter"/>
      <w:lvlText w:val="%8."/>
      <w:lvlJc w:val="left"/>
      <w:pPr>
        <w:ind w:left="5760" w:hanging="360"/>
      </w:pPr>
    </w:lvl>
    <w:lvl w:ilvl="8" w:tplc="533A5038">
      <w:start w:val="1"/>
      <w:numFmt w:val="lowerRoman"/>
      <w:lvlText w:val="%9."/>
      <w:lvlJc w:val="right"/>
      <w:pPr>
        <w:ind w:left="6480" w:hanging="180"/>
      </w:pPr>
    </w:lvl>
  </w:abstractNum>
  <w:abstractNum w:abstractNumId="35" w15:restartNumberingAfterBreak="0">
    <w:nsid w:val="2AB4E98F"/>
    <w:multiLevelType w:val="hybridMultilevel"/>
    <w:tmpl w:val="FFFFFFFF"/>
    <w:lvl w:ilvl="0" w:tplc="B094D426">
      <w:start w:val="2"/>
      <w:numFmt w:val="decimal"/>
      <w:lvlText w:val="%1."/>
      <w:lvlJc w:val="left"/>
      <w:pPr>
        <w:ind w:left="720" w:hanging="360"/>
      </w:pPr>
    </w:lvl>
    <w:lvl w:ilvl="1" w:tplc="482C51B2">
      <w:start w:val="1"/>
      <w:numFmt w:val="lowerLetter"/>
      <w:lvlText w:val="%2."/>
      <w:lvlJc w:val="left"/>
      <w:pPr>
        <w:ind w:left="1440" w:hanging="360"/>
      </w:pPr>
    </w:lvl>
    <w:lvl w:ilvl="2" w:tplc="8358315A">
      <w:start w:val="1"/>
      <w:numFmt w:val="lowerRoman"/>
      <w:lvlText w:val="%3."/>
      <w:lvlJc w:val="right"/>
      <w:pPr>
        <w:ind w:left="2160" w:hanging="180"/>
      </w:pPr>
    </w:lvl>
    <w:lvl w:ilvl="3" w:tplc="96188666">
      <w:start w:val="1"/>
      <w:numFmt w:val="decimal"/>
      <w:lvlText w:val="%4."/>
      <w:lvlJc w:val="left"/>
      <w:pPr>
        <w:ind w:left="2880" w:hanging="360"/>
      </w:pPr>
    </w:lvl>
    <w:lvl w:ilvl="4" w:tplc="762E4FDA">
      <w:start w:val="1"/>
      <w:numFmt w:val="lowerLetter"/>
      <w:lvlText w:val="%5."/>
      <w:lvlJc w:val="left"/>
      <w:pPr>
        <w:ind w:left="3600" w:hanging="360"/>
      </w:pPr>
    </w:lvl>
    <w:lvl w:ilvl="5" w:tplc="ECA2C3F2">
      <w:start w:val="1"/>
      <w:numFmt w:val="lowerRoman"/>
      <w:lvlText w:val="%6."/>
      <w:lvlJc w:val="right"/>
      <w:pPr>
        <w:ind w:left="4320" w:hanging="180"/>
      </w:pPr>
    </w:lvl>
    <w:lvl w:ilvl="6" w:tplc="8D0221EE">
      <w:start w:val="1"/>
      <w:numFmt w:val="decimal"/>
      <w:lvlText w:val="%7."/>
      <w:lvlJc w:val="left"/>
      <w:pPr>
        <w:ind w:left="5040" w:hanging="360"/>
      </w:pPr>
    </w:lvl>
    <w:lvl w:ilvl="7" w:tplc="E8E8C4C8">
      <w:start w:val="1"/>
      <w:numFmt w:val="lowerLetter"/>
      <w:lvlText w:val="%8."/>
      <w:lvlJc w:val="left"/>
      <w:pPr>
        <w:ind w:left="5760" w:hanging="360"/>
      </w:pPr>
    </w:lvl>
    <w:lvl w:ilvl="8" w:tplc="B218E198">
      <w:start w:val="1"/>
      <w:numFmt w:val="lowerRoman"/>
      <w:lvlText w:val="%9."/>
      <w:lvlJc w:val="right"/>
      <w:pPr>
        <w:ind w:left="6480" w:hanging="180"/>
      </w:pPr>
    </w:lvl>
  </w:abstractNum>
  <w:abstractNum w:abstractNumId="36"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2D512611"/>
    <w:multiLevelType w:val="multilevel"/>
    <w:tmpl w:val="05EC8D4A"/>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2ED1DE59"/>
    <w:multiLevelType w:val="hybridMultilevel"/>
    <w:tmpl w:val="FFFFFFFF"/>
    <w:lvl w:ilvl="0" w:tplc="7E2007A6">
      <w:start w:val="3"/>
      <w:numFmt w:val="decimal"/>
      <w:lvlText w:val="%1."/>
      <w:lvlJc w:val="left"/>
      <w:pPr>
        <w:ind w:left="720" w:hanging="360"/>
      </w:pPr>
    </w:lvl>
    <w:lvl w:ilvl="1" w:tplc="AE8CCE68">
      <w:start w:val="1"/>
      <w:numFmt w:val="lowerLetter"/>
      <w:lvlText w:val="%2."/>
      <w:lvlJc w:val="left"/>
      <w:pPr>
        <w:ind w:left="1440" w:hanging="360"/>
      </w:pPr>
    </w:lvl>
    <w:lvl w:ilvl="2" w:tplc="0E2E3C24">
      <w:start w:val="1"/>
      <w:numFmt w:val="lowerRoman"/>
      <w:lvlText w:val="%3."/>
      <w:lvlJc w:val="right"/>
      <w:pPr>
        <w:ind w:left="2160" w:hanging="180"/>
      </w:pPr>
    </w:lvl>
    <w:lvl w:ilvl="3" w:tplc="960AA612">
      <w:start w:val="1"/>
      <w:numFmt w:val="decimal"/>
      <w:lvlText w:val="%4."/>
      <w:lvlJc w:val="left"/>
      <w:pPr>
        <w:ind w:left="2880" w:hanging="360"/>
      </w:pPr>
    </w:lvl>
    <w:lvl w:ilvl="4" w:tplc="9822C7E8">
      <w:start w:val="1"/>
      <w:numFmt w:val="lowerLetter"/>
      <w:lvlText w:val="%5."/>
      <w:lvlJc w:val="left"/>
      <w:pPr>
        <w:ind w:left="3600" w:hanging="360"/>
      </w:pPr>
    </w:lvl>
    <w:lvl w:ilvl="5" w:tplc="8DDEEADC">
      <w:start w:val="1"/>
      <w:numFmt w:val="lowerRoman"/>
      <w:lvlText w:val="%6."/>
      <w:lvlJc w:val="right"/>
      <w:pPr>
        <w:ind w:left="4320" w:hanging="180"/>
      </w:pPr>
    </w:lvl>
    <w:lvl w:ilvl="6" w:tplc="BD109CAE">
      <w:start w:val="1"/>
      <w:numFmt w:val="decimal"/>
      <w:lvlText w:val="%7."/>
      <w:lvlJc w:val="left"/>
      <w:pPr>
        <w:ind w:left="5040" w:hanging="360"/>
      </w:pPr>
    </w:lvl>
    <w:lvl w:ilvl="7" w:tplc="54D86F70">
      <w:start w:val="1"/>
      <w:numFmt w:val="lowerLetter"/>
      <w:lvlText w:val="%8."/>
      <w:lvlJc w:val="left"/>
      <w:pPr>
        <w:ind w:left="5760" w:hanging="360"/>
      </w:pPr>
    </w:lvl>
    <w:lvl w:ilvl="8" w:tplc="B6822F9E">
      <w:start w:val="1"/>
      <w:numFmt w:val="lowerRoman"/>
      <w:lvlText w:val="%9."/>
      <w:lvlJc w:val="right"/>
      <w:pPr>
        <w:ind w:left="6480" w:hanging="180"/>
      </w:pPr>
    </w:lvl>
  </w:abstractNum>
  <w:abstractNum w:abstractNumId="39" w15:restartNumberingAfterBreak="0">
    <w:nsid w:val="2FCA161B"/>
    <w:multiLevelType w:val="hybridMultilevel"/>
    <w:tmpl w:val="6390E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0C15CB1"/>
    <w:multiLevelType w:val="hybridMultilevel"/>
    <w:tmpl w:val="FFFFFFFF"/>
    <w:lvl w:ilvl="0" w:tplc="D1228AEC">
      <w:start w:val="3"/>
      <w:numFmt w:val="decimal"/>
      <w:lvlText w:val="%1."/>
      <w:lvlJc w:val="left"/>
      <w:pPr>
        <w:ind w:left="720" w:hanging="360"/>
      </w:pPr>
    </w:lvl>
    <w:lvl w:ilvl="1" w:tplc="04B88124">
      <w:start w:val="1"/>
      <w:numFmt w:val="lowerLetter"/>
      <w:lvlText w:val="%2."/>
      <w:lvlJc w:val="left"/>
      <w:pPr>
        <w:ind w:left="1440" w:hanging="360"/>
      </w:pPr>
    </w:lvl>
    <w:lvl w:ilvl="2" w:tplc="AE30DBA8">
      <w:start w:val="1"/>
      <w:numFmt w:val="lowerRoman"/>
      <w:lvlText w:val="%3."/>
      <w:lvlJc w:val="right"/>
      <w:pPr>
        <w:ind w:left="2160" w:hanging="180"/>
      </w:pPr>
    </w:lvl>
    <w:lvl w:ilvl="3" w:tplc="520051FE">
      <w:start w:val="1"/>
      <w:numFmt w:val="decimal"/>
      <w:lvlText w:val="%4."/>
      <w:lvlJc w:val="left"/>
      <w:pPr>
        <w:ind w:left="2880" w:hanging="360"/>
      </w:pPr>
    </w:lvl>
    <w:lvl w:ilvl="4" w:tplc="E9AAA23C">
      <w:start w:val="1"/>
      <w:numFmt w:val="lowerLetter"/>
      <w:lvlText w:val="%5."/>
      <w:lvlJc w:val="left"/>
      <w:pPr>
        <w:ind w:left="3600" w:hanging="360"/>
      </w:pPr>
    </w:lvl>
    <w:lvl w:ilvl="5" w:tplc="5EE4C308">
      <w:start w:val="1"/>
      <w:numFmt w:val="lowerRoman"/>
      <w:lvlText w:val="%6."/>
      <w:lvlJc w:val="right"/>
      <w:pPr>
        <w:ind w:left="4320" w:hanging="180"/>
      </w:pPr>
    </w:lvl>
    <w:lvl w:ilvl="6" w:tplc="BC14D6E2">
      <w:start w:val="1"/>
      <w:numFmt w:val="decimal"/>
      <w:lvlText w:val="%7."/>
      <w:lvlJc w:val="left"/>
      <w:pPr>
        <w:ind w:left="5040" w:hanging="360"/>
      </w:pPr>
    </w:lvl>
    <w:lvl w:ilvl="7" w:tplc="515A76B2">
      <w:start w:val="1"/>
      <w:numFmt w:val="lowerLetter"/>
      <w:lvlText w:val="%8."/>
      <w:lvlJc w:val="left"/>
      <w:pPr>
        <w:ind w:left="5760" w:hanging="360"/>
      </w:pPr>
    </w:lvl>
    <w:lvl w:ilvl="8" w:tplc="272404A0">
      <w:start w:val="1"/>
      <w:numFmt w:val="lowerRoman"/>
      <w:lvlText w:val="%9."/>
      <w:lvlJc w:val="right"/>
      <w:pPr>
        <w:ind w:left="6480" w:hanging="180"/>
      </w:pPr>
    </w:lvl>
  </w:abstractNum>
  <w:abstractNum w:abstractNumId="41" w15:restartNumberingAfterBreak="0">
    <w:nsid w:val="333C4F3E"/>
    <w:multiLevelType w:val="hybridMultilevel"/>
    <w:tmpl w:val="9E800630"/>
    <w:lvl w:ilvl="0" w:tplc="1809000F">
      <w:start w:val="1"/>
      <w:numFmt w:val="decimal"/>
      <w:lvlText w:val="%1."/>
      <w:lvlJc w:val="left"/>
      <w:pPr>
        <w:ind w:left="1185" w:hanging="360"/>
      </w:pPr>
    </w:lvl>
    <w:lvl w:ilvl="1" w:tplc="18090019" w:tentative="1">
      <w:start w:val="1"/>
      <w:numFmt w:val="lowerLetter"/>
      <w:lvlText w:val="%2."/>
      <w:lvlJc w:val="left"/>
      <w:pPr>
        <w:ind w:left="1905" w:hanging="360"/>
      </w:pPr>
    </w:lvl>
    <w:lvl w:ilvl="2" w:tplc="1809001B" w:tentative="1">
      <w:start w:val="1"/>
      <w:numFmt w:val="lowerRoman"/>
      <w:lvlText w:val="%3."/>
      <w:lvlJc w:val="right"/>
      <w:pPr>
        <w:ind w:left="2625" w:hanging="180"/>
      </w:pPr>
    </w:lvl>
    <w:lvl w:ilvl="3" w:tplc="1809000F" w:tentative="1">
      <w:start w:val="1"/>
      <w:numFmt w:val="decimal"/>
      <w:lvlText w:val="%4."/>
      <w:lvlJc w:val="left"/>
      <w:pPr>
        <w:ind w:left="3345" w:hanging="360"/>
      </w:pPr>
    </w:lvl>
    <w:lvl w:ilvl="4" w:tplc="18090019" w:tentative="1">
      <w:start w:val="1"/>
      <w:numFmt w:val="lowerLetter"/>
      <w:lvlText w:val="%5."/>
      <w:lvlJc w:val="left"/>
      <w:pPr>
        <w:ind w:left="4065" w:hanging="360"/>
      </w:pPr>
    </w:lvl>
    <w:lvl w:ilvl="5" w:tplc="1809001B" w:tentative="1">
      <w:start w:val="1"/>
      <w:numFmt w:val="lowerRoman"/>
      <w:lvlText w:val="%6."/>
      <w:lvlJc w:val="right"/>
      <w:pPr>
        <w:ind w:left="4785" w:hanging="180"/>
      </w:pPr>
    </w:lvl>
    <w:lvl w:ilvl="6" w:tplc="1809000F" w:tentative="1">
      <w:start w:val="1"/>
      <w:numFmt w:val="decimal"/>
      <w:lvlText w:val="%7."/>
      <w:lvlJc w:val="left"/>
      <w:pPr>
        <w:ind w:left="5505" w:hanging="360"/>
      </w:pPr>
    </w:lvl>
    <w:lvl w:ilvl="7" w:tplc="18090019" w:tentative="1">
      <w:start w:val="1"/>
      <w:numFmt w:val="lowerLetter"/>
      <w:lvlText w:val="%8."/>
      <w:lvlJc w:val="left"/>
      <w:pPr>
        <w:ind w:left="6225" w:hanging="360"/>
      </w:pPr>
    </w:lvl>
    <w:lvl w:ilvl="8" w:tplc="1809001B" w:tentative="1">
      <w:start w:val="1"/>
      <w:numFmt w:val="lowerRoman"/>
      <w:lvlText w:val="%9."/>
      <w:lvlJc w:val="right"/>
      <w:pPr>
        <w:ind w:left="6945" w:hanging="180"/>
      </w:pPr>
    </w:lvl>
  </w:abstractNum>
  <w:abstractNum w:abstractNumId="42" w15:restartNumberingAfterBreak="0">
    <w:nsid w:val="385F5A14"/>
    <w:multiLevelType w:val="multilevel"/>
    <w:tmpl w:val="12824D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A5803D6"/>
    <w:multiLevelType w:val="multilevel"/>
    <w:tmpl w:val="D2B865F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A7F4B78"/>
    <w:multiLevelType w:val="hybridMultilevel"/>
    <w:tmpl w:val="B546E0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5" w15:restartNumberingAfterBreak="0">
    <w:nsid w:val="3AB0328D"/>
    <w:multiLevelType w:val="multilevel"/>
    <w:tmpl w:val="08F28E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3ACBCB22"/>
    <w:multiLevelType w:val="hybridMultilevel"/>
    <w:tmpl w:val="FFFFFFFF"/>
    <w:lvl w:ilvl="0" w:tplc="25662F5A">
      <w:start w:val="1"/>
      <w:numFmt w:val="bullet"/>
      <w:lvlText w:val="·"/>
      <w:lvlJc w:val="left"/>
      <w:pPr>
        <w:ind w:left="720" w:hanging="360"/>
      </w:pPr>
      <w:rPr>
        <w:rFonts w:ascii="Symbol" w:hAnsi="Symbol" w:hint="default"/>
      </w:rPr>
    </w:lvl>
    <w:lvl w:ilvl="1" w:tplc="F1AE26D4">
      <w:start w:val="1"/>
      <w:numFmt w:val="bullet"/>
      <w:lvlText w:val="o"/>
      <w:lvlJc w:val="left"/>
      <w:pPr>
        <w:ind w:left="1440" w:hanging="360"/>
      </w:pPr>
      <w:rPr>
        <w:rFonts w:ascii="Courier New" w:hAnsi="Courier New" w:hint="default"/>
      </w:rPr>
    </w:lvl>
    <w:lvl w:ilvl="2" w:tplc="F04E7FD4">
      <w:start w:val="1"/>
      <w:numFmt w:val="bullet"/>
      <w:lvlText w:val=""/>
      <w:lvlJc w:val="left"/>
      <w:pPr>
        <w:ind w:left="2160" w:hanging="360"/>
      </w:pPr>
      <w:rPr>
        <w:rFonts w:ascii="Wingdings" w:hAnsi="Wingdings" w:hint="default"/>
      </w:rPr>
    </w:lvl>
    <w:lvl w:ilvl="3" w:tplc="631E0C92">
      <w:start w:val="1"/>
      <w:numFmt w:val="bullet"/>
      <w:lvlText w:val=""/>
      <w:lvlJc w:val="left"/>
      <w:pPr>
        <w:ind w:left="2880" w:hanging="360"/>
      </w:pPr>
      <w:rPr>
        <w:rFonts w:ascii="Symbol" w:hAnsi="Symbol" w:hint="default"/>
      </w:rPr>
    </w:lvl>
    <w:lvl w:ilvl="4" w:tplc="95A458A8">
      <w:start w:val="1"/>
      <w:numFmt w:val="bullet"/>
      <w:lvlText w:val="o"/>
      <w:lvlJc w:val="left"/>
      <w:pPr>
        <w:ind w:left="3600" w:hanging="360"/>
      </w:pPr>
      <w:rPr>
        <w:rFonts w:ascii="Courier New" w:hAnsi="Courier New" w:hint="default"/>
      </w:rPr>
    </w:lvl>
    <w:lvl w:ilvl="5" w:tplc="9FAC3B16">
      <w:start w:val="1"/>
      <w:numFmt w:val="bullet"/>
      <w:lvlText w:val=""/>
      <w:lvlJc w:val="left"/>
      <w:pPr>
        <w:ind w:left="4320" w:hanging="360"/>
      </w:pPr>
      <w:rPr>
        <w:rFonts w:ascii="Wingdings" w:hAnsi="Wingdings" w:hint="default"/>
      </w:rPr>
    </w:lvl>
    <w:lvl w:ilvl="6" w:tplc="4B7097A8">
      <w:start w:val="1"/>
      <w:numFmt w:val="bullet"/>
      <w:lvlText w:val=""/>
      <w:lvlJc w:val="left"/>
      <w:pPr>
        <w:ind w:left="5040" w:hanging="360"/>
      </w:pPr>
      <w:rPr>
        <w:rFonts w:ascii="Symbol" w:hAnsi="Symbol" w:hint="default"/>
      </w:rPr>
    </w:lvl>
    <w:lvl w:ilvl="7" w:tplc="ABF090D6">
      <w:start w:val="1"/>
      <w:numFmt w:val="bullet"/>
      <w:lvlText w:val="o"/>
      <w:lvlJc w:val="left"/>
      <w:pPr>
        <w:ind w:left="5760" w:hanging="360"/>
      </w:pPr>
      <w:rPr>
        <w:rFonts w:ascii="Courier New" w:hAnsi="Courier New" w:hint="default"/>
      </w:rPr>
    </w:lvl>
    <w:lvl w:ilvl="8" w:tplc="F468D182">
      <w:start w:val="1"/>
      <w:numFmt w:val="bullet"/>
      <w:lvlText w:val=""/>
      <w:lvlJc w:val="left"/>
      <w:pPr>
        <w:ind w:left="6480" w:hanging="360"/>
      </w:pPr>
      <w:rPr>
        <w:rFonts w:ascii="Wingdings" w:hAnsi="Wingdings" w:hint="default"/>
      </w:rPr>
    </w:lvl>
  </w:abstractNum>
  <w:abstractNum w:abstractNumId="47" w15:restartNumberingAfterBreak="0">
    <w:nsid w:val="3C15D685"/>
    <w:multiLevelType w:val="hybridMultilevel"/>
    <w:tmpl w:val="FFFFFFFF"/>
    <w:lvl w:ilvl="0" w:tplc="4E12A05A">
      <w:start w:val="1"/>
      <w:numFmt w:val="decimal"/>
      <w:lvlText w:val="%1."/>
      <w:lvlJc w:val="left"/>
      <w:pPr>
        <w:ind w:left="720" w:hanging="360"/>
      </w:pPr>
    </w:lvl>
    <w:lvl w:ilvl="1" w:tplc="377285D2">
      <w:start w:val="1"/>
      <w:numFmt w:val="lowerLetter"/>
      <w:lvlText w:val="%2."/>
      <w:lvlJc w:val="left"/>
      <w:pPr>
        <w:ind w:left="1440" w:hanging="360"/>
      </w:pPr>
    </w:lvl>
    <w:lvl w:ilvl="2" w:tplc="645A4820">
      <w:start w:val="1"/>
      <w:numFmt w:val="lowerRoman"/>
      <w:lvlText w:val="%3."/>
      <w:lvlJc w:val="right"/>
      <w:pPr>
        <w:ind w:left="2160" w:hanging="180"/>
      </w:pPr>
    </w:lvl>
    <w:lvl w:ilvl="3" w:tplc="74F68F80">
      <w:start w:val="1"/>
      <w:numFmt w:val="decimal"/>
      <w:lvlText w:val="%4."/>
      <w:lvlJc w:val="left"/>
      <w:pPr>
        <w:ind w:left="2880" w:hanging="360"/>
      </w:pPr>
    </w:lvl>
    <w:lvl w:ilvl="4" w:tplc="9E605F4A">
      <w:start w:val="1"/>
      <w:numFmt w:val="lowerLetter"/>
      <w:lvlText w:val="%5."/>
      <w:lvlJc w:val="left"/>
      <w:pPr>
        <w:ind w:left="3600" w:hanging="360"/>
      </w:pPr>
    </w:lvl>
    <w:lvl w:ilvl="5" w:tplc="1EFAA74C">
      <w:start w:val="1"/>
      <w:numFmt w:val="lowerRoman"/>
      <w:lvlText w:val="%6."/>
      <w:lvlJc w:val="right"/>
      <w:pPr>
        <w:ind w:left="4320" w:hanging="180"/>
      </w:pPr>
    </w:lvl>
    <w:lvl w:ilvl="6" w:tplc="7D8AA86A">
      <w:start w:val="1"/>
      <w:numFmt w:val="decimal"/>
      <w:lvlText w:val="%7."/>
      <w:lvlJc w:val="left"/>
      <w:pPr>
        <w:ind w:left="5040" w:hanging="360"/>
      </w:pPr>
    </w:lvl>
    <w:lvl w:ilvl="7" w:tplc="9744832E">
      <w:start w:val="1"/>
      <w:numFmt w:val="lowerLetter"/>
      <w:lvlText w:val="%8."/>
      <w:lvlJc w:val="left"/>
      <w:pPr>
        <w:ind w:left="5760" w:hanging="360"/>
      </w:pPr>
    </w:lvl>
    <w:lvl w:ilvl="8" w:tplc="1966D97C">
      <w:start w:val="1"/>
      <w:numFmt w:val="lowerRoman"/>
      <w:lvlText w:val="%9."/>
      <w:lvlJc w:val="right"/>
      <w:pPr>
        <w:ind w:left="6480" w:hanging="180"/>
      </w:pPr>
    </w:lvl>
  </w:abstractNum>
  <w:abstractNum w:abstractNumId="48" w15:restartNumberingAfterBreak="0">
    <w:nsid w:val="3DDAD5C8"/>
    <w:multiLevelType w:val="hybridMultilevel"/>
    <w:tmpl w:val="FFFFFFFF"/>
    <w:lvl w:ilvl="0" w:tplc="78248E60">
      <w:start w:val="1"/>
      <w:numFmt w:val="decimal"/>
      <w:lvlText w:val="%1."/>
      <w:lvlJc w:val="left"/>
      <w:pPr>
        <w:ind w:left="720" w:hanging="360"/>
      </w:pPr>
    </w:lvl>
    <w:lvl w:ilvl="1" w:tplc="5DD63862">
      <w:start w:val="1"/>
      <w:numFmt w:val="lowerLetter"/>
      <w:lvlText w:val="%2."/>
      <w:lvlJc w:val="left"/>
      <w:pPr>
        <w:ind w:left="1440" w:hanging="360"/>
      </w:pPr>
    </w:lvl>
    <w:lvl w:ilvl="2" w:tplc="56E63AF6">
      <w:start w:val="1"/>
      <w:numFmt w:val="lowerRoman"/>
      <w:lvlText w:val="%3."/>
      <w:lvlJc w:val="right"/>
      <w:pPr>
        <w:ind w:left="2160" w:hanging="180"/>
      </w:pPr>
    </w:lvl>
    <w:lvl w:ilvl="3" w:tplc="41C69D88">
      <w:start w:val="1"/>
      <w:numFmt w:val="decimal"/>
      <w:lvlText w:val="%4."/>
      <w:lvlJc w:val="left"/>
      <w:pPr>
        <w:ind w:left="2880" w:hanging="360"/>
      </w:pPr>
    </w:lvl>
    <w:lvl w:ilvl="4" w:tplc="01FC9A7C">
      <w:start w:val="1"/>
      <w:numFmt w:val="lowerLetter"/>
      <w:lvlText w:val="%5."/>
      <w:lvlJc w:val="left"/>
      <w:pPr>
        <w:ind w:left="3600" w:hanging="360"/>
      </w:pPr>
    </w:lvl>
    <w:lvl w:ilvl="5" w:tplc="1A9C1796">
      <w:start w:val="1"/>
      <w:numFmt w:val="lowerRoman"/>
      <w:lvlText w:val="%6."/>
      <w:lvlJc w:val="right"/>
      <w:pPr>
        <w:ind w:left="4320" w:hanging="180"/>
      </w:pPr>
    </w:lvl>
    <w:lvl w:ilvl="6" w:tplc="27C8890E">
      <w:start w:val="1"/>
      <w:numFmt w:val="decimal"/>
      <w:lvlText w:val="%7."/>
      <w:lvlJc w:val="left"/>
      <w:pPr>
        <w:ind w:left="5040" w:hanging="360"/>
      </w:pPr>
    </w:lvl>
    <w:lvl w:ilvl="7" w:tplc="802EDE88">
      <w:start w:val="1"/>
      <w:numFmt w:val="lowerLetter"/>
      <w:lvlText w:val="%8."/>
      <w:lvlJc w:val="left"/>
      <w:pPr>
        <w:ind w:left="5760" w:hanging="360"/>
      </w:pPr>
    </w:lvl>
    <w:lvl w:ilvl="8" w:tplc="BC8E391C">
      <w:start w:val="1"/>
      <w:numFmt w:val="lowerRoman"/>
      <w:lvlText w:val="%9."/>
      <w:lvlJc w:val="right"/>
      <w:pPr>
        <w:ind w:left="6480" w:hanging="180"/>
      </w:pPr>
    </w:lvl>
  </w:abstractNum>
  <w:abstractNum w:abstractNumId="49" w15:restartNumberingAfterBreak="0">
    <w:nsid w:val="3EFDD1AC"/>
    <w:multiLevelType w:val="hybridMultilevel"/>
    <w:tmpl w:val="FFFFFFFF"/>
    <w:lvl w:ilvl="0" w:tplc="26084B2A">
      <w:numFmt w:val="decimal"/>
      <w:lvlText w:val="%1."/>
      <w:lvlJc w:val="left"/>
      <w:pPr>
        <w:ind w:left="720" w:hanging="360"/>
      </w:pPr>
    </w:lvl>
    <w:lvl w:ilvl="1" w:tplc="15CCA296">
      <w:start w:val="1"/>
      <w:numFmt w:val="lowerLetter"/>
      <w:lvlText w:val="%2."/>
      <w:lvlJc w:val="left"/>
      <w:pPr>
        <w:ind w:left="1440" w:hanging="360"/>
      </w:pPr>
    </w:lvl>
    <w:lvl w:ilvl="2" w:tplc="DE026E02">
      <w:start w:val="1"/>
      <w:numFmt w:val="lowerRoman"/>
      <w:lvlText w:val="%3."/>
      <w:lvlJc w:val="right"/>
      <w:pPr>
        <w:ind w:left="2160" w:hanging="180"/>
      </w:pPr>
    </w:lvl>
    <w:lvl w:ilvl="3" w:tplc="A7341F92">
      <w:start w:val="1"/>
      <w:numFmt w:val="decimal"/>
      <w:lvlText w:val="%4."/>
      <w:lvlJc w:val="left"/>
      <w:pPr>
        <w:ind w:left="2880" w:hanging="360"/>
      </w:pPr>
    </w:lvl>
    <w:lvl w:ilvl="4" w:tplc="A7342900">
      <w:start w:val="1"/>
      <w:numFmt w:val="lowerLetter"/>
      <w:lvlText w:val="%5."/>
      <w:lvlJc w:val="left"/>
      <w:pPr>
        <w:ind w:left="3600" w:hanging="360"/>
      </w:pPr>
    </w:lvl>
    <w:lvl w:ilvl="5" w:tplc="5B0063BC">
      <w:start w:val="1"/>
      <w:numFmt w:val="lowerRoman"/>
      <w:lvlText w:val="%6."/>
      <w:lvlJc w:val="right"/>
      <w:pPr>
        <w:ind w:left="4320" w:hanging="180"/>
      </w:pPr>
    </w:lvl>
    <w:lvl w:ilvl="6" w:tplc="A6BAA676">
      <w:start w:val="1"/>
      <w:numFmt w:val="decimal"/>
      <w:lvlText w:val="%7."/>
      <w:lvlJc w:val="left"/>
      <w:pPr>
        <w:ind w:left="5040" w:hanging="360"/>
      </w:pPr>
    </w:lvl>
    <w:lvl w:ilvl="7" w:tplc="7C844760">
      <w:start w:val="1"/>
      <w:numFmt w:val="lowerLetter"/>
      <w:lvlText w:val="%8."/>
      <w:lvlJc w:val="left"/>
      <w:pPr>
        <w:ind w:left="5760" w:hanging="360"/>
      </w:pPr>
    </w:lvl>
    <w:lvl w:ilvl="8" w:tplc="C1101D26">
      <w:start w:val="1"/>
      <w:numFmt w:val="lowerRoman"/>
      <w:lvlText w:val="%9."/>
      <w:lvlJc w:val="right"/>
      <w:pPr>
        <w:ind w:left="6480" w:hanging="180"/>
      </w:pPr>
    </w:lvl>
  </w:abstractNum>
  <w:abstractNum w:abstractNumId="50" w15:restartNumberingAfterBreak="0">
    <w:nsid w:val="3F0849DB"/>
    <w:multiLevelType w:val="hybridMultilevel"/>
    <w:tmpl w:val="41C21E80"/>
    <w:lvl w:ilvl="0" w:tplc="6C3476EA">
      <w:start w:val="1"/>
      <w:numFmt w:val="bullet"/>
      <w:lvlText w:val=""/>
      <w:lvlJc w:val="left"/>
      <w:pPr>
        <w:ind w:left="720" w:hanging="360"/>
      </w:pPr>
      <w:rPr>
        <w:rFonts w:ascii="Symbol" w:hAnsi="Symbol" w:hint="default"/>
      </w:rPr>
    </w:lvl>
    <w:lvl w:ilvl="1" w:tplc="6C600D02">
      <w:start w:val="1"/>
      <w:numFmt w:val="bullet"/>
      <w:lvlText w:val="o"/>
      <w:lvlJc w:val="left"/>
      <w:pPr>
        <w:ind w:left="1440" w:hanging="360"/>
      </w:pPr>
      <w:rPr>
        <w:rFonts w:ascii="Courier New" w:hAnsi="Courier New" w:hint="default"/>
      </w:rPr>
    </w:lvl>
    <w:lvl w:ilvl="2" w:tplc="71621E68">
      <w:start w:val="1"/>
      <w:numFmt w:val="bullet"/>
      <w:lvlText w:val=""/>
      <w:lvlJc w:val="left"/>
      <w:pPr>
        <w:ind w:left="2160" w:hanging="360"/>
      </w:pPr>
      <w:rPr>
        <w:rFonts w:ascii="Wingdings" w:hAnsi="Wingdings" w:hint="default"/>
      </w:rPr>
    </w:lvl>
    <w:lvl w:ilvl="3" w:tplc="DC98442A">
      <w:start w:val="1"/>
      <w:numFmt w:val="bullet"/>
      <w:lvlText w:val=""/>
      <w:lvlJc w:val="left"/>
      <w:pPr>
        <w:ind w:left="2880" w:hanging="360"/>
      </w:pPr>
      <w:rPr>
        <w:rFonts w:ascii="Symbol" w:hAnsi="Symbol" w:hint="default"/>
      </w:rPr>
    </w:lvl>
    <w:lvl w:ilvl="4" w:tplc="7C8A2134">
      <w:start w:val="1"/>
      <w:numFmt w:val="bullet"/>
      <w:lvlText w:val="o"/>
      <w:lvlJc w:val="left"/>
      <w:pPr>
        <w:ind w:left="3600" w:hanging="360"/>
      </w:pPr>
      <w:rPr>
        <w:rFonts w:ascii="Courier New" w:hAnsi="Courier New" w:hint="default"/>
      </w:rPr>
    </w:lvl>
    <w:lvl w:ilvl="5" w:tplc="483EF78C">
      <w:start w:val="1"/>
      <w:numFmt w:val="bullet"/>
      <w:lvlText w:val=""/>
      <w:lvlJc w:val="left"/>
      <w:pPr>
        <w:ind w:left="4320" w:hanging="360"/>
      </w:pPr>
      <w:rPr>
        <w:rFonts w:ascii="Wingdings" w:hAnsi="Wingdings" w:hint="default"/>
      </w:rPr>
    </w:lvl>
    <w:lvl w:ilvl="6" w:tplc="7084FADC">
      <w:start w:val="1"/>
      <w:numFmt w:val="bullet"/>
      <w:lvlText w:val=""/>
      <w:lvlJc w:val="left"/>
      <w:pPr>
        <w:ind w:left="5040" w:hanging="360"/>
      </w:pPr>
      <w:rPr>
        <w:rFonts w:ascii="Symbol" w:hAnsi="Symbol" w:hint="default"/>
      </w:rPr>
    </w:lvl>
    <w:lvl w:ilvl="7" w:tplc="6D2CABF0">
      <w:start w:val="1"/>
      <w:numFmt w:val="bullet"/>
      <w:lvlText w:val="o"/>
      <w:lvlJc w:val="left"/>
      <w:pPr>
        <w:ind w:left="5760" w:hanging="360"/>
      </w:pPr>
      <w:rPr>
        <w:rFonts w:ascii="Courier New" w:hAnsi="Courier New" w:hint="default"/>
      </w:rPr>
    </w:lvl>
    <w:lvl w:ilvl="8" w:tplc="8A58FCAE">
      <w:start w:val="1"/>
      <w:numFmt w:val="bullet"/>
      <w:lvlText w:val=""/>
      <w:lvlJc w:val="left"/>
      <w:pPr>
        <w:ind w:left="6480" w:hanging="360"/>
      </w:pPr>
      <w:rPr>
        <w:rFonts w:ascii="Wingdings" w:hAnsi="Wingdings" w:hint="default"/>
      </w:rPr>
    </w:lvl>
  </w:abstractNum>
  <w:abstractNum w:abstractNumId="51" w15:restartNumberingAfterBreak="0">
    <w:nsid w:val="409721F0"/>
    <w:multiLevelType w:val="multilevel"/>
    <w:tmpl w:val="52B204D0"/>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430771B4"/>
    <w:multiLevelType w:val="multilevel"/>
    <w:tmpl w:val="5A90B712"/>
    <w:lvl w:ilvl="0">
      <w:start w:val="1"/>
      <w:numFmt w:val="bullet"/>
      <w:lvlText w:val="-"/>
      <w:lvlJc w:val="left"/>
      <w:pPr>
        <w:ind w:left="720" w:hanging="360"/>
      </w:pPr>
      <w:rPr>
        <w:rFonts w:ascii="Calibri" w:hAnsi="Calibr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7E436C2"/>
    <w:multiLevelType w:val="hybridMultilevel"/>
    <w:tmpl w:val="BFE07E52"/>
    <w:lvl w:ilvl="0" w:tplc="0D78FDEA">
      <w:start w:val="1"/>
      <w:numFmt w:val="decimal"/>
      <w:lvlText w:val="%1."/>
      <w:lvlJc w:val="left"/>
      <w:pPr>
        <w:tabs>
          <w:tab w:val="num" w:pos="720"/>
        </w:tabs>
        <w:ind w:left="720" w:hanging="360"/>
      </w:pPr>
    </w:lvl>
    <w:lvl w:ilvl="1" w:tplc="B8ECEF24" w:tentative="1">
      <w:start w:val="1"/>
      <w:numFmt w:val="decimal"/>
      <w:lvlText w:val="%2."/>
      <w:lvlJc w:val="left"/>
      <w:pPr>
        <w:tabs>
          <w:tab w:val="num" w:pos="1440"/>
        </w:tabs>
        <w:ind w:left="1440" w:hanging="360"/>
      </w:pPr>
    </w:lvl>
    <w:lvl w:ilvl="2" w:tplc="D0527798" w:tentative="1">
      <w:start w:val="1"/>
      <w:numFmt w:val="decimal"/>
      <w:lvlText w:val="%3."/>
      <w:lvlJc w:val="left"/>
      <w:pPr>
        <w:tabs>
          <w:tab w:val="num" w:pos="2160"/>
        </w:tabs>
        <w:ind w:left="2160" w:hanging="360"/>
      </w:pPr>
    </w:lvl>
    <w:lvl w:ilvl="3" w:tplc="6E287A68" w:tentative="1">
      <w:start w:val="1"/>
      <w:numFmt w:val="decimal"/>
      <w:lvlText w:val="%4."/>
      <w:lvlJc w:val="left"/>
      <w:pPr>
        <w:tabs>
          <w:tab w:val="num" w:pos="2880"/>
        </w:tabs>
        <w:ind w:left="2880" w:hanging="360"/>
      </w:pPr>
    </w:lvl>
    <w:lvl w:ilvl="4" w:tplc="73003B3C" w:tentative="1">
      <w:start w:val="1"/>
      <w:numFmt w:val="decimal"/>
      <w:lvlText w:val="%5."/>
      <w:lvlJc w:val="left"/>
      <w:pPr>
        <w:tabs>
          <w:tab w:val="num" w:pos="3600"/>
        </w:tabs>
        <w:ind w:left="3600" w:hanging="360"/>
      </w:pPr>
    </w:lvl>
    <w:lvl w:ilvl="5" w:tplc="BF5E0610" w:tentative="1">
      <w:start w:val="1"/>
      <w:numFmt w:val="decimal"/>
      <w:lvlText w:val="%6."/>
      <w:lvlJc w:val="left"/>
      <w:pPr>
        <w:tabs>
          <w:tab w:val="num" w:pos="4320"/>
        </w:tabs>
        <w:ind w:left="4320" w:hanging="360"/>
      </w:pPr>
    </w:lvl>
    <w:lvl w:ilvl="6" w:tplc="04104CE2" w:tentative="1">
      <w:start w:val="1"/>
      <w:numFmt w:val="decimal"/>
      <w:lvlText w:val="%7."/>
      <w:lvlJc w:val="left"/>
      <w:pPr>
        <w:tabs>
          <w:tab w:val="num" w:pos="5040"/>
        </w:tabs>
        <w:ind w:left="5040" w:hanging="360"/>
      </w:pPr>
    </w:lvl>
    <w:lvl w:ilvl="7" w:tplc="FF74C1AC" w:tentative="1">
      <w:start w:val="1"/>
      <w:numFmt w:val="decimal"/>
      <w:lvlText w:val="%8."/>
      <w:lvlJc w:val="left"/>
      <w:pPr>
        <w:tabs>
          <w:tab w:val="num" w:pos="5760"/>
        </w:tabs>
        <w:ind w:left="5760" w:hanging="360"/>
      </w:pPr>
    </w:lvl>
    <w:lvl w:ilvl="8" w:tplc="9920C9F6" w:tentative="1">
      <w:start w:val="1"/>
      <w:numFmt w:val="decimal"/>
      <w:lvlText w:val="%9."/>
      <w:lvlJc w:val="left"/>
      <w:pPr>
        <w:tabs>
          <w:tab w:val="num" w:pos="6480"/>
        </w:tabs>
        <w:ind w:left="6480" w:hanging="360"/>
      </w:pPr>
    </w:lvl>
  </w:abstractNum>
  <w:abstractNum w:abstractNumId="54" w15:restartNumberingAfterBreak="0">
    <w:nsid w:val="49295F29"/>
    <w:multiLevelType w:val="hybridMultilevel"/>
    <w:tmpl w:val="FFFFFFFF"/>
    <w:lvl w:ilvl="0" w:tplc="C08AFEE2">
      <w:start w:val="1"/>
      <w:numFmt w:val="bullet"/>
      <w:lvlText w:val=""/>
      <w:lvlJc w:val="left"/>
      <w:pPr>
        <w:ind w:left="720" w:hanging="360"/>
      </w:pPr>
      <w:rPr>
        <w:rFonts w:ascii="Symbol" w:hAnsi="Symbol" w:hint="default"/>
      </w:rPr>
    </w:lvl>
    <w:lvl w:ilvl="1" w:tplc="B0229AFA">
      <w:start w:val="1"/>
      <w:numFmt w:val="bullet"/>
      <w:lvlText w:val="o"/>
      <w:lvlJc w:val="left"/>
      <w:pPr>
        <w:ind w:left="1440" w:hanging="360"/>
      </w:pPr>
      <w:rPr>
        <w:rFonts w:ascii="Courier New" w:hAnsi="Courier New" w:hint="default"/>
      </w:rPr>
    </w:lvl>
    <w:lvl w:ilvl="2" w:tplc="F9BE9F6C">
      <w:start w:val="1"/>
      <w:numFmt w:val="bullet"/>
      <w:lvlText w:val=""/>
      <w:lvlJc w:val="left"/>
      <w:pPr>
        <w:ind w:left="2160" w:hanging="360"/>
      </w:pPr>
      <w:rPr>
        <w:rFonts w:ascii="Wingdings" w:hAnsi="Wingdings" w:hint="default"/>
      </w:rPr>
    </w:lvl>
    <w:lvl w:ilvl="3" w:tplc="634CFA78">
      <w:start w:val="1"/>
      <w:numFmt w:val="bullet"/>
      <w:lvlText w:val=""/>
      <w:lvlJc w:val="left"/>
      <w:pPr>
        <w:ind w:left="2880" w:hanging="360"/>
      </w:pPr>
      <w:rPr>
        <w:rFonts w:ascii="Symbol" w:hAnsi="Symbol" w:hint="default"/>
      </w:rPr>
    </w:lvl>
    <w:lvl w:ilvl="4" w:tplc="6EDED2D0">
      <w:start w:val="1"/>
      <w:numFmt w:val="bullet"/>
      <w:lvlText w:val="o"/>
      <w:lvlJc w:val="left"/>
      <w:pPr>
        <w:ind w:left="3600" w:hanging="360"/>
      </w:pPr>
      <w:rPr>
        <w:rFonts w:ascii="Courier New" w:hAnsi="Courier New" w:hint="default"/>
      </w:rPr>
    </w:lvl>
    <w:lvl w:ilvl="5" w:tplc="07FC9EF2">
      <w:start w:val="1"/>
      <w:numFmt w:val="bullet"/>
      <w:lvlText w:val=""/>
      <w:lvlJc w:val="left"/>
      <w:pPr>
        <w:ind w:left="4320" w:hanging="360"/>
      </w:pPr>
      <w:rPr>
        <w:rFonts w:ascii="Wingdings" w:hAnsi="Wingdings" w:hint="default"/>
      </w:rPr>
    </w:lvl>
    <w:lvl w:ilvl="6" w:tplc="314ECD0E">
      <w:start w:val="1"/>
      <w:numFmt w:val="bullet"/>
      <w:lvlText w:val=""/>
      <w:lvlJc w:val="left"/>
      <w:pPr>
        <w:ind w:left="5040" w:hanging="360"/>
      </w:pPr>
      <w:rPr>
        <w:rFonts w:ascii="Symbol" w:hAnsi="Symbol" w:hint="default"/>
      </w:rPr>
    </w:lvl>
    <w:lvl w:ilvl="7" w:tplc="0F8E14A6">
      <w:start w:val="1"/>
      <w:numFmt w:val="bullet"/>
      <w:lvlText w:val="o"/>
      <w:lvlJc w:val="left"/>
      <w:pPr>
        <w:ind w:left="5760" w:hanging="360"/>
      </w:pPr>
      <w:rPr>
        <w:rFonts w:ascii="Courier New" w:hAnsi="Courier New" w:hint="default"/>
      </w:rPr>
    </w:lvl>
    <w:lvl w:ilvl="8" w:tplc="7DD25582">
      <w:start w:val="1"/>
      <w:numFmt w:val="bullet"/>
      <w:lvlText w:val=""/>
      <w:lvlJc w:val="left"/>
      <w:pPr>
        <w:ind w:left="6480" w:hanging="360"/>
      </w:pPr>
      <w:rPr>
        <w:rFonts w:ascii="Wingdings" w:hAnsi="Wingdings" w:hint="default"/>
      </w:rPr>
    </w:lvl>
  </w:abstractNum>
  <w:abstractNum w:abstractNumId="55" w15:restartNumberingAfterBreak="0">
    <w:nsid w:val="497F54CD"/>
    <w:multiLevelType w:val="hybridMultilevel"/>
    <w:tmpl w:val="034CDBE4"/>
    <w:lvl w:ilvl="0" w:tplc="04150017">
      <w:start w:val="1"/>
      <w:numFmt w:val="lowerLetter"/>
      <w:lvlText w:val="%1)"/>
      <w:lvlJc w:val="left"/>
      <w:pPr>
        <w:ind w:left="720" w:hanging="360"/>
      </w:pPr>
      <w:rPr>
        <w:rFonts w:hint="default"/>
      </w:rPr>
    </w:lvl>
    <w:lvl w:ilvl="1" w:tplc="74681310">
      <w:start w:val="1"/>
      <w:numFmt w:val="lowerRoman"/>
      <w:lvlText w:val="(%2)"/>
      <w:lvlJc w:val="right"/>
      <w:pPr>
        <w:ind w:left="1440" w:hanging="360"/>
      </w:pPr>
      <w:rPr>
        <w:rFonts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4A8D2A34"/>
    <w:multiLevelType w:val="hybridMultilevel"/>
    <w:tmpl w:val="FFFFFFFF"/>
    <w:lvl w:ilvl="0" w:tplc="1ABE2A80">
      <w:start w:val="1"/>
      <w:numFmt w:val="decimal"/>
      <w:lvlText w:val="%1."/>
      <w:lvlJc w:val="left"/>
      <w:pPr>
        <w:ind w:left="720" w:hanging="360"/>
      </w:pPr>
    </w:lvl>
    <w:lvl w:ilvl="1" w:tplc="E4B6C4EA">
      <w:start w:val="1"/>
      <w:numFmt w:val="lowerLetter"/>
      <w:lvlText w:val="%2."/>
      <w:lvlJc w:val="left"/>
      <w:pPr>
        <w:ind w:left="1440" w:hanging="360"/>
      </w:pPr>
    </w:lvl>
    <w:lvl w:ilvl="2" w:tplc="EA567504">
      <w:start w:val="1"/>
      <w:numFmt w:val="lowerRoman"/>
      <w:lvlText w:val="%3."/>
      <w:lvlJc w:val="right"/>
      <w:pPr>
        <w:ind w:left="2160" w:hanging="180"/>
      </w:pPr>
    </w:lvl>
    <w:lvl w:ilvl="3" w:tplc="B822A79A">
      <w:start w:val="1"/>
      <w:numFmt w:val="decimal"/>
      <w:lvlText w:val="%4."/>
      <w:lvlJc w:val="left"/>
      <w:pPr>
        <w:ind w:left="2880" w:hanging="360"/>
      </w:pPr>
    </w:lvl>
    <w:lvl w:ilvl="4" w:tplc="3ED2663A">
      <w:start w:val="1"/>
      <w:numFmt w:val="lowerLetter"/>
      <w:lvlText w:val="%5."/>
      <w:lvlJc w:val="left"/>
      <w:pPr>
        <w:ind w:left="3600" w:hanging="360"/>
      </w:pPr>
    </w:lvl>
    <w:lvl w:ilvl="5" w:tplc="4EC652BC">
      <w:start w:val="1"/>
      <w:numFmt w:val="lowerRoman"/>
      <w:lvlText w:val="%6."/>
      <w:lvlJc w:val="right"/>
      <w:pPr>
        <w:ind w:left="4320" w:hanging="180"/>
      </w:pPr>
    </w:lvl>
    <w:lvl w:ilvl="6" w:tplc="58449C18">
      <w:start w:val="1"/>
      <w:numFmt w:val="decimal"/>
      <w:lvlText w:val="%7."/>
      <w:lvlJc w:val="left"/>
      <w:pPr>
        <w:ind w:left="5040" w:hanging="360"/>
      </w:pPr>
    </w:lvl>
    <w:lvl w:ilvl="7" w:tplc="EF72B2A6">
      <w:start w:val="1"/>
      <w:numFmt w:val="lowerLetter"/>
      <w:lvlText w:val="%8."/>
      <w:lvlJc w:val="left"/>
      <w:pPr>
        <w:ind w:left="5760" w:hanging="360"/>
      </w:pPr>
    </w:lvl>
    <w:lvl w:ilvl="8" w:tplc="16840BB8">
      <w:start w:val="1"/>
      <w:numFmt w:val="lowerRoman"/>
      <w:lvlText w:val="%9."/>
      <w:lvlJc w:val="right"/>
      <w:pPr>
        <w:ind w:left="6480" w:hanging="180"/>
      </w:pPr>
    </w:lvl>
  </w:abstractNum>
  <w:abstractNum w:abstractNumId="57" w15:restartNumberingAfterBreak="0">
    <w:nsid w:val="4B37F4ED"/>
    <w:multiLevelType w:val="hybridMultilevel"/>
    <w:tmpl w:val="FFFFFFFF"/>
    <w:lvl w:ilvl="0" w:tplc="CADCEFDE">
      <w:start w:val="1"/>
      <w:numFmt w:val="decimal"/>
      <w:lvlText w:val="%1."/>
      <w:lvlJc w:val="left"/>
      <w:pPr>
        <w:ind w:left="720" w:hanging="360"/>
      </w:pPr>
    </w:lvl>
    <w:lvl w:ilvl="1" w:tplc="B3C6607E">
      <w:start w:val="1"/>
      <w:numFmt w:val="lowerLetter"/>
      <w:lvlText w:val="%2."/>
      <w:lvlJc w:val="left"/>
      <w:pPr>
        <w:ind w:left="1440" w:hanging="360"/>
      </w:pPr>
    </w:lvl>
    <w:lvl w:ilvl="2" w:tplc="205AA01C">
      <w:start w:val="1"/>
      <w:numFmt w:val="lowerRoman"/>
      <w:lvlText w:val="%3."/>
      <w:lvlJc w:val="right"/>
      <w:pPr>
        <w:ind w:left="2160" w:hanging="180"/>
      </w:pPr>
    </w:lvl>
    <w:lvl w:ilvl="3" w:tplc="0450D6F0">
      <w:start w:val="1"/>
      <w:numFmt w:val="decimal"/>
      <w:lvlText w:val="%4."/>
      <w:lvlJc w:val="left"/>
      <w:pPr>
        <w:ind w:left="2880" w:hanging="360"/>
      </w:pPr>
    </w:lvl>
    <w:lvl w:ilvl="4" w:tplc="7442902E">
      <w:start w:val="1"/>
      <w:numFmt w:val="lowerLetter"/>
      <w:lvlText w:val="%5."/>
      <w:lvlJc w:val="left"/>
      <w:pPr>
        <w:ind w:left="3600" w:hanging="360"/>
      </w:pPr>
    </w:lvl>
    <w:lvl w:ilvl="5" w:tplc="D0EEC37A">
      <w:start w:val="1"/>
      <w:numFmt w:val="lowerRoman"/>
      <w:lvlText w:val="%6."/>
      <w:lvlJc w:val="right"/>
      <w:pPr>
        <w:ind w:left="4320" w:hanging="180"/>
      </w:pPr>
    </w:lvl>
    <w:lvl w:ilvl="6" w:tplc="ACB42AEC">
      <w:start w:val="1"/>
      <w:numFmt w:val="decimal"/>
      <w:lvlText w:val="%7."/>
      <w:lvlJc w:val="left"/>
      <w:pPr>
        <w:ind w:left="5040" w:hanging="360"/>
      </w:pPr>
    </w:lvl>
    <w:lvl w:ilvl="7" w:tplc="00261DB6">
      <w:start w:val="1"/>
      <w:numFmt w:val="lowerLetter"/>
      <w:lvlText w:val="%8."/>
      <w:lvlJc w:val="left"/>
      <w:pPr>
        <w:ind w:left="5760" w:hanging="360"/>
      </w:pPr>
    </w:lvl>
    <w:lvl w:ilvl="8" w:tplc="4194402E">
      <w:start w:val="1"/>
      <w:numFmt w:val="lowerRoman"/>
      <w:lvlText w:val="%9."/>
      <w:lvlJc w:val="right"/>
      <w:pPr>
        <w:ind w:left="6480" w:hanging="180"/>
      </w:pPr>
    </w:lvl>
  </w:abstractNum>
  <w:abstractNum w:abstractNumId="58" w15:restartNumberingAfterBreak="0">
    <w:nsid w:val="4BE97960"/>
    <w:multiLevelType w:val="hybridMultilevel"/>
    <w:tmpl w:val="6D724774"/>
    <w:lvl w:ilvl="0" w:tplc="1809000F">
      <w:start w:val="1"/>
      <w:numFmt w:val="decimal"/>
      <w:lvlText w:val="%1."/>
      <w:lvlJc w:val="left"/>
      <w:pPr>
        <w:ind w:left="1440" w:hanging="360"/>
      </w:pPr>
    </w:lvl>
    <w:lvl w:ilvl="1" w:tplc="18090019">
      <w:start w:val="1"/>
      <w:numFmt w:val="lowerLetter"/>
      <w:lvlText w:val="%2."/>
      <w:lvlJc w:val="left"/>
      <w:pPr>
        <w:ind w:left="2160" w:hanging="360"/>
      </w:pPr>
    </w:lvl>
    <w:lvl w:ilvl="2" w:tplc="1809001B">
      <w:start w:val="1"/>
      <w:numFmt w:val="lowerRoman"/>
      <w:lvlText w:val="%3."/>
      <w:lvlJc w:val="right"/>
      <w:pPr>
        <w:ind w:left="2880" w:hanging="180"/>
      </w:pPr>
    </w:lvl>
    <w:lvl w:ilvl="3" w:tplc="1809000F">
      <w:start w:val="1"/>
      <w:numFmt w:val="decimal"/>
      <w:lvlText w:val="%4."/>
      <w:lvlJc w:val="left"/>
      <w:pPr>
        <w:ind w:left="3600" w:hanging="360"/>
      </w:pPr>
    </w:lvl>
    <w:lvl w:ilvl="4" w:tplc="18090019">
      <w:start w:val="1"/>
      <w:numFmt w:val="lowerLetter"/>
      <w:lvlText w:val="%5."/>
      <w:lvlJc w:val="left"/>
      <w:pPr>
        <w:ind w:left="4320" w:hanging="360"/>
      </w:pPr>
    </w:lvl>
    <w:lvl w:ilvl="5" w:tplc="1809001B">
      <w:start w:val="1"/>
      <w:numFmt w:val="lowerRoman"/>
      <w:lvlText w:val="%6."/>
      <w:lvlJc w:val="right"/>
      <w:pPr>
        <w:ind w:left="5040" w:hanging="180"/>
      </w:pPr>
    </w:lvl>
    <w:lvl w:ilvl="6" w:tplc="1809000F">
      <w:start w:val="1"/>
      <w:numFmt w:val="decimal"/>
      <w:lvlText w:val="%7."/>
      <w:lvlJc w:val="left"/>
      <w:pPr>
        <w:ind w:left="5760" w:hanging="360"/>
      </w:pPr>
    </w:lvl>
    <w:lvl w:ilvl="7" w:tplc="18090019">
      <w:start w:val="1"/>
      <w:numFmt w:val="lowerLetter"/>
      <w:lvlText w:val="%8."/>
      <w:lvlJc w:val="left"/>
      <w:pPr>
        <w:ind w:left="6480" w:hanging="360"/>
      </w:pPr>
    </w:lvl>
    <w:lvl w:ilvl="8" w:tplc="1809001B">
      <w:start w:val="1"/>
      <w:numFmt w:val="lowerRoman"/>
      <w:lvlText w:val="%9."/>
      <w:lvlJc w:val="right"/>
      <w:pPr>
        <w:ind w:left="7200" w:hanging="180"/>
      </w:pPr>
    </w:lvl>
  </w:abstractNum>
  <w:abstractNum w:abstractNumId="59" w15:restartNumberingAfterBreak="0">
    <w:nsid w:val="4C247310"/>
    <w:multiLevelType w:val="hybridMultilevel"/>
    <w:tmpl w:val="FFFFFFFF"/>
    <w:lvl w:ilvl="0" w:tplc="471EB2AA">
      <w:start w:val="1"/>
      <w:numFmt w:val="decimal"/>
      <w:lvlText w:val="%1."/>
      <w:lvlJc w:val="left"/>
      <w:pPr>
        <w:ind w:left="720" w:hanging="360"/>
      </w:pPr>
    </w:lvl>
    <w:lvl w:ilvl="1" w:tplc="C5E6A66E">
      <w:start w:val="1"/>
      <w:numFmt w:val="lowerLetter"/>
      <w:lvlText w:val="%2."/>
      <w:lvlJc w:val="left"/>
      <w:pPr>
        <w:ind w:left="1440" w:hanging="360"/>
      </w:pPr>
    </w:lvl>
    <w:lvl w:ilvl="2" w:tplc="68B6866A">
      <w:start w:val="1"/>
      <w:numFmt w:val="lowerRoman"/>
      <w:lvlText w:val="%3."/>
      <w:lvlJc w:val="right"/>
      <w:pPr>
        <w:ind w:left="2160" w:hanging="180"/>
      </w:pPr>
    </w:lvl>
    <w:lvl w:ilvl="3" w:tplc="1682BF38">
      <w:start w:val="1"/>
      <w:numFmt w:val="decimal"/>
      <w:lvlText w:val="%4."/>
      <w:lvlJc w:val="left"/>
      <w:pPr>
        <w:ind w:left="2880" w:hanging="360"/>
      </w:pPr>
    </w:lvl>
    <w:lvl w:ilvl="4" w:tplc="40AA36EA">
      <w:start w:val="1"/>
      <w:numFmt w:val="lowerLetter"/>
      <w:lvlText w:val="%5."/>
      <w:lvlJc w:val="left"/>
      <w:pPr>
        <w:ind w:left="3600" w:hanging="360"/>
      </w:pPr>
    </w:lvl>
    <w:lvl w:ilvl="5" w:tplc="18F26D08">
      <w:start w:val="1"/>
      <w:numFmt w:val="lowerRoman"/>
      <w:lvlText w:val="%6."/>
      <w:lvlJc w:val="right"/>
      <w:pPr>
        <w:ind w:left="4320" w:hanging="180"/>
      </w:pPr>
    </w:lvl>
    <w:lvl w:ilvl="6" w:tplc="5CA20810">
      <w:start w:val="1"/>
      <w:numFmt w:val="decimal"/>
      <w:lvlText w:val="%7."/>
      <w:lvlJc w:val="left"/>
      <w:pPr>
        <w:ind w:left="5040" w:hanging="360"/>
      </w:pPr>
    </w:lvl>
    <w:lvl w:ilvl="7" w:tplc="D0087E46">
      <w:start w:val="1"/>
      <w:numFmt w:val="lowerLetter"/>
      <w:lvlText w:val="%8."/>
      <w:lvlJc w:val="left"/>
      <w:pPr>
        <w:ind w:left="5760" w:hanging="360"/>
      </w:pPr>
    </w:lvl>
    <w:lvl w:ilvl="8" w:tplc="A8E8508E">
      <w:start w:val="1"/>
      <w:numFmt w:val="lowerRoman"/>
      <w:lvlText w:val="%9."/>
      <w:lvlJc w:val="right"/>
      <w:pPr>
        <w:ind w:left="6480" w:hanging="180"/>
      </w:pPr>
    </w:lvl>
  </w:abstractNum>
  <w:abstractNum w:abstractNumId="60" w15:restartNumberingAfterBreak="0">
    <w:nsid w:val="4DE4AF62"/>
    <w:multiLevelType w:val="hybridMultilevel"/>
    <w:tmpl w:val="FFFFFFFF"/>
    <w:lvl w:ilvl="0" w:tplc="B81CB8E0">
      <w:start w:val="1"/>
      <w:numFmt w:val="upperRoman"/>
      <w:lvlText w:val="%1."/>
      <w:lvlJc w:val="left"/>
      <w:pPr>
        <w:ind w:left="720" w:hanging="360"/>
      </w:pPr>
    </w:lvl>
    <w:lvl w:ilvl="1" w:tplc="0444DD2A">
      <w:start w:val="1"/>
      <w:numFmt w:val="lowerLetter"/>
      <w:lvlText w:val="%2."/>
      <w:lvlJc w:val="left"/>
      <w:pPr>
        <w:ind w:left="1440" w:hanging="360"/>
      </w:pPr>
    </w:lvl>
    <w:lvl w:ilvl="2" w:tplc="3CFCE500">
      <w:start w:val="1"/>
      <w:numFmt w:val="lowerRoman"/>
      <w:lvlText w:val="%3."/>
      <w:lvlJc w:val="right"/>
      <w:pPr>
        <w:ind w:left="2160" w:hanging="180"/>
      </w:pPr>
    </w:lvl>
    <w:lvl w:ilvl="3" w:tplc="AF8655CC">
      <w:start w:val="1"/>
      <w:numFmt w:val="decimal"/>
      <w:lvlText w:val="%4."/>
      <w:lvlJc w:val="left"/>
      <w:pPr>
        <w:ind w:left="2880" w:hanging="360"/>
      </w:pPr>
    </w:lvl>
    <w:lvl w:ilvl="4" w:tplc="D452EF84">
      <w:start w:val="1"/>
      <w:numFmt w:val="lowerLetter"/>
      <w:lvlText w:val="%5."/>
      <w:lvlJc w:val="left"/>
      <w:pPr>
        <w:ind w:left="3600" w:hanging="360"/>
      </w:pPr>
    </w:lvl>
    <w:lvl w:ilvl="5" w:tplc="32D68CD2">
      <w:start w:val="1"/>
      <w:numFmt w:val="lowerRoman"/>
      <w:lvlText w:val="%6."/>
      <w:lvlJc w:val="right"/>
      <w:pPr>
        <w:ind w:left="4320" w:hanging="180"/>
      </w:pPr>
    </w:lvl>
    <w:lvl w:ilvl="6" w:tplc="EFECD75E">
      <w:start w:val="1"/>
      <w:numFmt w:val="decimal"/>
      <w:lvlText w:val="%7."/>
      <w:lvlJc w:val="left"/>
      <w:pPr>
        <w:ind w:left="5040" w:hanging="360"/>
      </w:pPr>
    </w:lvl>
    <w:lvl w:ilvl="7" w:tplc="E774E290">
      <w:start w:val="1"/>
      <w:numFmt w:val="lowerLetter"/>
      <w:lvlText w:val="%8."/>
      <w:lvlJc w:val="left"/>
      <w:pPr>
        <w:ind w:left="5760" w:hanging="360"/>
      </w:pPr>
    </w:lvl>
    <w:lvl w:ilvl="8" w:tplc="3B8A7C3A">
      <w:start w:val="1"/>
      <w:numFmt w:val="lowerRoman"/>
      <w:lvlText w:val="%9."/>
      <w:lvlJc w:val="right"/>
      <w:pPr>
        <w:ind w:left="6480" w:hanging="180"/>
      </w:pPr>
    </w:lvl>
  </w:abstractNum>
  <w:abstractNum w:abstractNumId="61" w15:restartNumberingAfterBreak="0">
    <w:nsid w:val="5234547A"/>
    <w:multiLevelType w:val="multilevel"/>
    <w:tmpl w:val="3014E3CE"/>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2" w15:restartNumberingAfterBreak="0">
    <w:nsid w:val="53692930"/>
    <w:multiLevelType w:val="hybridMultilevel"/>
    <w:tmpl w:val="2C563876"/>
    <w:lvl w:ilvl="0" w:tplc="F4AADCAE">
      <w:start w:val="1"/>
      <w:numFmt w:val="decimal"/>
      <w:lvlText w:val="G%1G"/>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3" w15:restartNumberingAfterBreak="0">
    <w:nsid w:val="53D557E7"/>
    <w:multiLevelType w:val="multilevel"/>
    <w:tmpl w:val="F8C08A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3DE2701"/>
    <w:multiLevelType w:val="multilevel"/>
    <w:tmpl w:val="22B4AD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7A04EC1"/>
    <w:multiLevelType w:val="multilevel"/>
    <w:tmpl w:val="2EE6A8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8236F01"/>
    <w:multiLevelType w:val="multilevel"/>
    <w:tmpl w:val="9658367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15:restartNumberingAfterBreak="0">
    <w:nsid w:val="59277CE8"/>
    <w:multiLevelType w:val="hybridMultilevel"/>
    <w:tmpl w:val="1F160E50"/>
    <w:lvl w:ilvl="0" w:tplc="18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8" w15:restartNumberingAfterBreak="0">
    <w:nsid w:val="5A038084"/>
    <w:multiLevelType w:val="hybridMultilevel"/>
    <w:tmpl w:val="FFFFFFFF"/>
    <w:lvl w:ilvl="0" w:tplc="060EBDCE">
      <w:start w:val="1"/>
      <w:numFmt w:val="decimal"/>
      <w:lvlText w:val="%1."/>
      <w:lvlJc w:val="left"/>
      <w:pPr>
        <w:ind w:left="720" w:hanging="360"/>
      </w:pPr>
    </w:lvl>
    <w:lvl w:ilvl="1" w:tplc="433823E0">
      <w:start w:val="2"/>
      <w:numFmt w:val="lowerLetter"/>
      <w:lvlText w:val="%2."/>
      <w:lvlJc w:val="left"/>
      <w:pPr>
        <w:ind w:left="1440" w:hanging="360"/>
      </w:pPr>
    </w:lvl>
    <w:lvl w:ilvl="2" w:tplc="A2028DD4">
      <w:start w:val="1"/>
      <w:numFmt w:val="lowerRoman"/>
      <w:lvlText w:val="%3."/>
      <w:lvlJc w:val="right"/>
      <w:pPr>
        <w:ind w:left="2160" w:hanging="180"/>
      </w:pPr>
    </w:lvl>
    <w:lvl w:ilvl="3" w:tplc="7BC018D8">
      <w:start w:val="1"/>
      <w:numFmt w:val="decimal"/>
      <w:lvlText w:val="%4."/>
      <w:lvlJc w:val="left"/>
      <w:pPr>
        <w:ind w:left="2880" w:hanging="360"/>
      </w:pPr>
    </w:lvl>
    <w:lvl w:ilvl="4" w:tplc="71F67584">
      <w:start w:val="1"/>
      <w:numFmt w:val="lowerLetter"/>
      <w:lvlText w:val="%5."/>
      <w:lvlJc w:val="left"/>
      <w:pPr>
        <w:ind w:left="3600" w:hanging="360"/>
      </w:pPr>
    </w:lvl>
    <w:lvl w:ilvl="5" w:tplc="BF3032E0">
      <w:start w:val="1"/>
      <w:numFmt w:val="lowerRoman"/>
      <w:lvlText w:val="%6."/>
      <w:lvlJc w:val="right"/>
      <w:pPr>
        <w:ind w:left="4320" w:hanging="180"/>
      </w:pPr>
    </w:lvl>
    <w:lvl w:ilvl="6" w:tplc="4392CC02">
      <w:start w:val="1"/>
      <w:numFmt w:val="decimal"/>
      <w:lvlText w:val="%7."/>
      <w:lvlJc w:val="left"/>
      <w:pPr>
        <w:ind w:left="5040" w:hanging="360"/>
      </w:pPr>
    </w:lvl>
    <w:lvl w:ilvl="7" w:tplc="EAF65DB0">
      <w:start w:val="1"/>
      <w:numFmt w:val="lowerLetter"/>
      <w:lvlText w:val="%8."/>
      <w:lvlJc w:val="left"/>
      <w:pPr>
        <w:ind w:left="5760" w:hanging="360"/>
      </w:pPr>
    </w:lvl>
    <w:lvl w:ilvl="8" w:tplc="B852AE84">
      <w:start w:val="1"/>
      <w:numFmt w:val="lowerRoman"/>
      <w:lvlText w:val="%9."/>
      <w:lvlJc w:val="right"/>
      <w:pPr>
        <w:ind w:left="6480" w:hanging="180"/>
      </w:pPr>
    </w:lvl>
  </w:abstractNum>
  <w:abstractNum w:abstractNumId="69" w15:restartNumberingAfterBreak="0">
    <w:nsid w:val="5A3A94B9"/>
    <w:multiLevelType w:val="hybridMultilevel"/>
    <w:tmpl w:val="FFFFFFFF"/>
    <w:lvl w:ilvl="0" w:tplc="038EA86A">
      <w:start w:val="1"/>
      <w:numFmt w:val="decimal"/>
      <w:lvlText w:val="%1."/>
      <w:lvlJc w:val="left"/>
      <w:pPr>
        <w:ind w:left="720" w:hanging="360"/>
      </w:pPr>
    </w:lvl>
    <w:lvl w:ilvl="1" w:tplc="70C4A8C2">
      <w:start w:val="1"/>
      <w:numFmt w:val="lowerLetter"/>
      <w:lvlText w:val="%2."/>
      <w:lvlJc w:val="left"/>
      <w:pPr>
        <w:ind w:left="1440" w:hanging="360"/>
      </w:pPr>
    </w:lvl>
    <w:lvl w:ilvl="2" w:tplc="C3EA7256">
      <w:start w:val="1"/>
      <w:numFmt w:val="lowerRoman"/>
      <w:lvlText w:val="%3."/>
      <w:lvlJc w:val="right"/>
      <w:pPr>
        <w:ind w:left="2160" w:hanging="180"/>
      </w:pPr>
    </w:lvl>
    <w:lvl w:ilvl="3" w:tplc="A7B8EDD8">
      <w:start w:val="1"/>
      <w:numFmt w:val="decimal"/>
      <w:lvlText w:val="%4."/>
      <w:lvlJc w:val="left"/>
      <w:pPr>
        <w:ind w:left="2880" w:hanging="360"/>
      </w:pPr>
    </w:lvl>
    <w:lvl w:ilvl="4" w:tplc="FB28E32C">
      <w:start w:val="1"/>
      <w:numFmt w:val="lowerLetter"/>
      <w:lvlText w:val="%5."/>
      <w:lvlJc w:val="left"/>
      <w:pPr>
        <w:ind w:left="3600" w:hanging="360"/>
      </w:pPr>
    </w:lvl>
    <w:lvl w:ilvl="5" w:tplc="928ED428">
      <w:start w:val="1"/>
      <w:numFmt w:val="lowerRoman"/>
      <w:lvlText w:val="%6."/>
      <w:lvlJc w:val="right"/>
      <w:pPr>
        <w:ind w:left="4320" w:hanging="180"/>
      </w:pPr>
    </w:lvl>
    <w:lvl w:ilvl="6" w:tplc="A5D2F4E0">
      <w:start w:val="1"/>
      <w:numFmt w:val="decimal"/>
      <w:lvlText w:val="%7."/>
      <w:lvlJc w:val="left"/>
      <w:pPr>
        <w:ind w:left="5040" w:hanging="360"/>
      </w:pPr>
    </w:lvl>
    <w:lvl w:ilvl="7" w:tplc="F5E28142">
      <w:start w:val="1"/>
      <w:numFmt w:val="lowerLetter"/>
      <w:lvlText w:val="%8."/>
      <w:lvlJc w:val="left"/>
      <w:pPr>
        <w:ind w:left="5760" w:hanging="360"/>
      </w:pPr>
    </w:lvl>
    <w:lvl w:ilvl="8" w:tplc="364C5A36">
      <w:start w:val="1"/>
      <w:numFmt w:val="lowerRoman"/>
      <w:lvlText w:val="%9."/>
      <w:lvlJc w:val="right"/>
      <w:pPr>
        <w:ind w:left="6480" w:hanging="180"/>
      </w:pPr>
    </w:lvl>
  </w:abstractNum>
  <w:abstractNum w:abstractNumId="70" w15:restartNumberingAfterBreak="0">
    <w:nsid w:val="5D9D0A35"/>
    <w:multiLevelType w:val="hybridMultilevel"/>
    <w:tmpl w:val="990A9E9C"/>
    <w:lvl w:ilvl="0" w:tplc="1809000F">
      <w:start w:val="1"/>
      <w:numFmt w:val="decimal"/>
      <w:lvlText w:val="%1."/>
      <w:lvlJc w:val="left"/>
      <w:pPr>
        <w:ind w:left="360" w:hanging="360"/>
      </w:pPr>
    </w:lvl>
    <w:lvl w:ilvl="1" w:tplc="18090019">
      <w:start w:val="1"/>
      <w:numFmt w:val="lowerLetter"/>
      <w:lvlText w:val="%2."/>
      <w:lvlJc w:val="left"/>
      <w:pPr>
        <w:ind w:left="1080" w:hanging="360"/>
      </w:pPr>
    </w:lvl>
    <w:lvl w:ilvl="2" w:tplc="1809001B">
      <w:start w:val="1"/>
      <w:numFmt w:val="lowerRoman"/>
      <w:lvlText w:val="%3."/>
      <w:lvlJc w:val="right"/>
      <w:pPr>
        <w:ind w:left="1800" w:hanging="180"/>
      </w:pPr>
    </w:lvl>
    <w:lvl w:ilvl="3" w:tplc="1809000F">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1" w15:restartNumberingAfterBreak="0">
    <w:nsid w:val="5FBC7E41"/>
    <w:multiLevelType w:val="multilevel"/>
    <w:tmpl w:val="862A6096"/>
    <w:lvl w:ilvl="0">
      <w:start w:val="2"/>
      <w:numFmt w:val="decimal"/>
      <w:lvlText w:val="%1."/>
      <w:lvlJc w:val="left"/>
      <w:pPr>
        <w:ind w:left="850" w:hanging="850"/>
      </w:pPr>
      <w:rPr>
        <w:rFonts w:hint="default"/>
      </w:rPr>
    </w:lvl>
    <w:lvl w:ilvl="1">
      <w:start w:val="1"/>
      <w:numFmt w:val="decimal"/>
      <w:lvlText w:val="%1.%2."/>
      <w:lvlJc w:val="left"/>
      <w:pPr>
        <w:ind w:left="850" w:hanging="850"/>
      </w:pPr>
      <w:rPr>
        <w:rFonts w:hint="default"/>
      </w:rPr>
    </w:lvl>
    <w:lvl w:ilvl="2">
      <w:start w:val="1"/>
      <w:numFmt w:val="decimal"/>
      <w:lvlText w:val="%1.%2.%3."/>
      <w:lvlJc w:val="left"/>
      <w:pPr>
        <w:ind w:left="850" w:hanging="850"/>
      </w:pPr>
      <w:rPr>
        <w:rFonts w:hint="default"/>
      </w:rPr>
    </w:lvl>
    <w:lvl w:ilvl="3">
      <w:start w:val="1"/>
      <w:numFmt w:val="decimal"/>
      <w:lvlText w:val="%1.%2.%3.%4."/>
      <w:lvlJc w:val="left"/>
      <w:pPr>
        <w:ind w:left="850" w:hanging="85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2" w15:restartNumberingAfterBreak="0">
    <w:nsid w:val="6094D788"/>
    <w:multiLevelType w:val="hybridMultilevel"/>
    <w:tmpl w:val="FFFFFFFF"/>
    <w:lvl w:ilvl="0" w:tplc="1E60B92A">
      <w:numFmt w:val="none"/>
      <w:lvlText w:val=""/>
      <w:lvlJc w:val="left"/>
      <w:pPr>
        <w:tabs>
          <w:tab w:val="num" w:pos="360"/>
        </w:tabs>
      </w:pPr>
    </w:lvl>
    <w:lvl w:ilvl="1" w:tplc="F9361AA0">
      <w:start w:val="1"/>
      <w:numFmt w:val="lowerLetter"/>
      <w:lvlText w:val="%2."/>
      <w:lvlJc w:val="left"/>
      <w:pPr>
        <w:ind w:left="1440" w:hanging="360"/>
      </w:pPr>
    </w:lvl>
    <w:lvl w:ilvl="2" w:tplc="AF249B5C">
      <w:start w:val="1"/>
      <w:numFmt w:val="lowerRoman"/>
      <w:lvlText w:val="%3."/>
      <w:lvlJc w:val="right"/>
      <w:pPr>
        <w:ind w:left="2160" w:hanging="180"/>
      </w:pPr>
    </w:lvl>
    <w:lvl w:ilvl="3" w:tplc="C83AEC6A">
      <w:start w:val="1"/>
      <w:numFmt w:val="decimal"/>
      <w:lvlText w:val="%4."/>
      <w:lvlJc w:val="left"/>
      <w:pPr>
        <w:ind w:left="2880" w:hanging="360"/>
      </w:pPr>
    </w:lvl>
    <w:lvl w:ilvl="4" w:tplc="317496BC">
      <w:start w:val="1"/>
      <w:numFmt w:val="lowerLetter"/>
      <w:lvlText w:val="%5."/>
      <w:lvlJc w:val="left"/>
      <w:pPr>
        <w:ind w:left="3600" w:hanging="360"/>
      </w:pPr>
    </w:lvl>
    <w:lvl w:ilvl="5" w:tplc="1B9460FC">
      <w:start w:val="1"/>
      <w:numFmt w:val="lowerRoman"/>
      <w:lvlText w:val="%6."/>
      <w:lvlJc w:val="right"/>
      <w:pPr>
        <w:ind w:left="4320" w:hanging="180"/>
      </w:pPr>
    </w:lvl>
    <w:lvl w:ilvl="6" w:tplc="3C4A6CDE">
      <w:start w:val="1"/>
      <w:numFmt w:val="decimal"/>
      <w:lvlText w:val="%7."/>
      <w:lvlJc w:val="left"/>
      <w:pPr>
        <w:ind w:left="5040" w:hanging="360"/>
      </w:pPr>
    </w:lvl>
    <w:lvl w:ilvl="7" w:tplc="1194BBAA">
      <w:start w:val="1"/>
      <w:numFmt w:val="lowerLetter"/>
      <w:lvlText w:val="%8."/>
      <w:lvlJc w:val="left"/>
      <w:pPr>
        <w:ind w:left="5760" w:hanging="360"/>
      </w:pPr>
    </w:lvl>
    <w:lvl w:ilvl="8" w:tplc="E056BD6E">
      <w:start w:val="1"/>
      <w:numFmt w:val="lowerRoman"/>
      <w:lvlText w:val="%9."/>
      <w:lvlJc w:val="right"/>
      <w:pPr>
        <w:ind w:left="6480" w:hanging="180"/>
      </w:pPr>
    </w:lvl>
  </w:abstractNum>
  <w:abstractNum w:abstractNumId="73" w15:restartNumberingAfterBreak="0">
    <w:nsid w:val="613AE64B"/>
    <w:multiLevelType w:val="hybridMultilevel"/>
    <w:tmpl w:val="FFFFFFFF"/>
    <w:lvl w:ilvl="0" w:tplc="9F201686">
      <w:start w:val="1"/>
      <w:numFmt w:val="decimal"/>
      <w:lvlText w:val="%1."/>
      <w:lvlJc w:val="left"/>
      <w:pPr>
        <w:ind w:left="720" w:hanging="360"/>
      </w:pPr>
    </w:lvl>
    <w:lvl w:ilvl="1" w:tplc="694AD870">
      <w:start w:val="3"/>
      <w:numFmt w:val="lowerLetter"/>
      <w:lvlText w:val="%2."/>
      <w:lvlJc w:val="left"/>
      <w:pPr>
        <w:ind w:left="1440" w:hanging="360"/>
      </w:pPr>
    </w:lvl>
    <w:lvl w:ilvl="2" w:tplc="D2325C8C">
      <w:start w:val="1"/>
      <w:numFmt w:val="lowerRoman"/>
      <w:lvlText w:val="%3."/>
      <w:lvlJc w:val="right"/>
      <w:pPr>
        <w:ind w:left="2160" w:hanging="180"/>
      </w:pPr>
    </w:lvl>
    <w:lvl w:ilvl="3" w:tplc="DDEEB6B2">
      <w:start w:val="1"/>
      <w:numFmt w:val="decimal"/>
      <w:lvlText w:val="%4."/>
      <w:lvlJc w:val="left"/>
      <w:pPr>
        <w:ind w:left="2880" w:hanging="360"/>
      </w:pPr>
    </w:lvl>
    <w:lvl w:ilvl="4" w:tplc="82187042">
      <w:start w:val="1"/>
      <w:numFmt w:val="lowerLetter"/>
      <w:lvlText w:val="%5."/>
      <w:lvlJc w:val="left"/>
      <w:pPr>
        <w:ind w:left="3600" w:hanging="360"/>
      </w:pPr>
    </w:lvl>
    <w:lvl w:ilvl="5" w:tplc="3634E24E">
      <w:start w:val="1"/>
      <w:numFmt w:val="lowerRoman"/>
      <w:lvlText w:val="%6."/>
      <w:lvlJc w:val="right"/>
      <w:pPr>
        <w:ind w:left="4320" w:hanging="180"/>
      </w:pPr>
    </w:lvl>
    <w:lvl w:ilvl="6" w:tplc="65F6002E">
      <w:start w:val="1"/>
      <w:numFmt w:val="decimal"/>
      <w:lvlText w:val="%7."/>
      <w:lvlJc w:val="left"/>
      <w:pPr>
        <w:ind w:left="5040" w:hanging="360"/>
      </w:pPr>
    </w:lvl>
    <w:lvl w:ilvl="7" w:tplc="5156C7DC">
      <w:start w:val="1"/>
      <w:numFmt w:val="lowerLetter"/>
      <w:lvlText w:val="%8."/>
      <w:lvlJc w:val="left"/>
      <w:pPr>
        <w:ind w:left="5760" w:hanging="360"/>
      </w:pPr>
    </w:lvl>
    <w:lvl w:ilvl="8" w:tplc="DC30B28E">
      <w:start w:val="1"/>
      <w:numFmt w:val="lowerRoman"/>
      <w:lvlText w:val="%9."/>
      <w:lvlJc w:val="right"/>
      <w:pPr>
        <w:ind w:left="6480" w:hanging="180"/>
      </w:pPr>
    </w:lvl>
  </w:abstractNum>
  <w:abstractNum w:abstractNumId="74" w15:restartNumberingAfterBreak="0">
    <w:nsid w:val="61BB42CC"/>
    <w:multiLevelType w:val="hybridMultilevel"/>
    <w:tmpl w:val="FFFFFFFF"/>
    <w:lvl w:ilvl="0" w:tplc="DFB81404">
      <w:start w:val="4"/>
      <w:numFmt w:val="decimal"/>
      <w:lvlText w:val="%1."/>
      <w:lvlJc w:val="left"/>
      <w:pPr>
        <w:ind w:left="720" w:hanging="360"/>
      </w:pPr>
    </w:lvl>
    <w:lvl w:ilvl="1" w:tplc="24342C82">
      <w:start w:val="1"/>
      <w:numFmt w:val="lowerLetter"/>
      <w:lvlText w:val="%2."/>
      <w:lvlJc w:val="left"/>
      <w:pPr>
        <w:ind w:left="1440" w:hanging="360"/>
      </w:pPr>
    </w:lvl>
    <w:lvl w:ilvl="2" w:tplc="D2BE77B8">
      <w:start w:val="1"/>
      <w:numFmt w:val="lowerRoman"/>
      <w:lvlText w:val="%3."/>
      <w:lvlJc w:val="right"/>
      <w:pPr>
        <w:ind w:left="2160" w:hanging="180"/>
      </w:pPr>
    </w:lvl>
    <w:lvl w:ilvl="3" w:tplc="61CC6CA8">
      <w:start w:val="1"/>
      <w:numFmt w:val="decimal"/>
      <w:lvlText w:val="%4."/>
      <w:lvlJc w:val="left"/>
      <w:pPr>
        <w:ind w:left="2880" w:hanging="360"/>
      </w:pPr>
    </w:lvl>
    <w:lvl w:ilvl="4" w:tplc="E47ADA80">
      <w:start w:val="1"/>
      <w:numFmt w:val="lowerLetter"/>
      <w:lvlText w:val="%5."/>
      <w:lvlJc w:val="left"/>
      <w:pPr>
        <w:ind w:left="3600" w:hanging="360"/>
      </w:pPr>
    </w:lvl>
    <w:lvl w:ilvl="5" w:tplc="FF7CCD6C">
      <w:start w:val="1"/>
      <w:numFmt w:val="lowerRoman"/>
      <w:lvlText w:val="%6."/>
      <w:lvlJc w:val="right"/>
      <w:pPr>
        <w:ind w:left="4320" w:hanging="180"/>
      </w:pPr>
    </w:lvl>
    <w:lvl w:ilvl="6" w:tplc="5016BB9E">
      <w:start w:val="1"/>
      <w:numFmt w:val="decimal"/>
      <w:lvlText w:val="%7."/>
      <w:lvlJc w:val="left"/>
      <w:pPr>
        <w:ind w:left="5040" w:hanging="360"/>
      </w:pPr>
    </w:lvl>
    <w:lvl w:ilvl="7" w:tplc="53E87A7E">
      <w:start w:val="1"/>
      <w:numFmt w:val="lowerLetter"/>
      <w:lvlText w:val="%8."/>
      <w:lvlJc w:val="left"/>
      <w:pPr>
        <w:ind w:left="5760" w:hanging="360"/>
      </w:pPr>
    </w:lvl>
    <w:lvl w:ilvl="8" w:tplc="DAC8C04A">
      <w:start w:val="1"/>
      <w:numFmt w:val="lowerRoman"/>
      <w:lvlText w:val="%9."/>
      <w:lvlJc w:val="right"/>
      <w:pPr>
        <w:ind w:left="6480" w:hanging="180"/>
      </w:pPr>
    </w:lvl>
  </w:abstractNum>
  <w:abstractNum w:abstractNumId="75" w15:restartNumberingAfterBreak="0">
    <w:nsid w:val="63016EA5"/>
    <w:multiLevelType w:val="multilevel"/>
    <w:tmpl w:val="05B438A0"/>
    <w:lvl w:ilvl="0">
      <w:start w:val="1"/>
      <w:numFmt w:val="bullet"/>
      <w:lvlText w:val="-"/>
      <w:lvlJc w:val="left"/>
      <w:pPr>
        <w:ind w:left="720" w:hanging="360"/>
      </w:pPr>
      <w:rPr>
        <w:rFonts w:ascii="Calibri" w:hAnsi="Calibri"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6" w15:restartNumberingAfterBreak="0">
    <w:nsid w:val="635C4DAB"/>
    <w:multiLevelType w:val="hybridMultilevel"/>
    <w:tmpl w:val="FFFFFFFF"/>
    <w:lvl w:ilvl="0" w:tplc="06EAB0D6">
      <w:start w:val="1"/>
      <w:numFmt w:val="decimal"/>
      <w:lvlText w:val="%1."/>
      <w:lvlJc w:val="left"/>
      <w:pPr>
        <w:ind w:left="720" w:hanging="360"/>
      </w:pPr>
    </w:lvl>
    <w:lvl w:ilvl="1" w:tplc="9BCA3460">
      <w:start w:val="4"/>
      <w:numFmt w:val="lowerLetter"/>
      <w:lvlText w:val="%2."/>
      <w:lvlJc w:val="left"/>
      <w:pPr>
        <w:ind w:left="1440" w:hanging="360"/>
      </w:pPr>
    </w:lvl>
    <w:lvl w:ilvl="2" w:tplc="9F527892">
      <w:start w:val="1"/>
      <w:numFmt w:val="lowerRoman"/>
      <w:lvlText w:val="%3."/>
      <w:lvlJc w:val="right"/>
      <w:pPr>
        <w:ind w:left="2160" w:hanging="180"/>
      </w:pPr>
    </w:lvl>
    <w:lvl w:ilvl="3" w:tplc="D9B4583A">
      <w:start w:val="1"/>
      <w:numFmt w:val="decimal"/>
      <w:lvlText w:val="%4."/>
      <w:lvlJc w:val="left"/>
      <w:pPr>
        <w:ind w:left="2880" w:hanging="360"/>
      </w:pPr>
    </w:lvl>
    <w:lvl w:ilvl="4" w:tplc="22D0D854">
      <w:start w:val="1"/>
      <w:numFmt w:val="lowerLetter"/>
      <w:lvlText w:val="%5."/>
      <w:lvlJc w:val="left"/>
      <w:pPr>
        <w:ind w:left="3600" w:hanging="360"/>
      </w:pPr>
    </w:lvl>
    <w:lvl w:ilvl="5" w:tplc="A86252B6">
      <w:start w:val="1"/>
      <w:numFmt w:val="lowerRoman"/>
      <w:lvlText w:val="%6."/>
      <w:lvlJc w:val="right"/>
      <w:pPr>
        <w:ind w:left="4320" w:hanging="180"/>
      </w:pPr>
    </w:lvl>
    <w:lvl w:ilvl="6" w:tplc="9CF4E734">
      <w:start w:val="1"/>
      <w:numFmt w:val="decimal"/>
      <w:lvlText w:val="%7."/>
      <w:lvlJc w:val="left"/>
      <w:pPr>
        <w:ind w:left="5040" w:hanging="360"/>
      </w:pPr>
    </w:lvl>
    <w:lvl w:ilvl="7" w:tplc="7B4A46F2">
      <w:start w:val="1"/>
      <w:numFmt w:val="lowerLetter"/>
      <w:lvlText w:val="%8."/>
      <w:lvlJc w:val="left"/>
      <w:pPr>
        <w:ind w:left="5760" w:hanging="360"/>
      </w:pPr>
    </w:lvl>
    <w:lvl w:ilvl="8" w:tplc="0290B1B8">
      <w:start w:val="1"/>
      <w:numFmt w:val="lowerRoman"/>
      <w:lvlText w:val="%9."/>
      <w:lvlJc w:val="right"/>
      <w:pPr>
        <w:ind w:left="6480" w:hanging="180"/>
      </w:pPr>
    </w:lvl>
  </w:abstractNum>
  <w:abstractNum w:abstractNumId="77" w15:restartNumberingAfterBreak="0">
    <w:nsid w:val="648B1F44"/>
    <w:multiLevelType w:val="hybridMultilevel"/>
    <w:tmpl w:val="FFFFFFFF"/>
    <w:lvl w:ilvl="0" w:tplc="3D1A6E02">
      <w:start w:val="1"/>
      <w:numFmt w:val="decimal"/>
      <w:lvlText w:val="%1."/>
      <w:lvlJc w:val="left"/>
      <w:pPr>
        <w:ind w:left="720" w:hanging="360"/>
      </w:pPr>
    </w:lvl>
    <w:lvl w:ilvl="1" w:tplc="9CEC91D2">
      <w:start w:val="1"/>
      <w:numFmt w:val="lowerLetter"/>
      <w:lvlText w:val="%2."/>
      <w:lvlJc w:val="left"/>
      <w:pPr>
        <w:ind w:left="1440" w:hanging="360"/>
      </w:pPr>
    </w:lvl>
    <w:lvl w:ilvl="2" w:tplc="A1FA8E0A">
      <w:start w:val="1"/>
      <w:numFmt w:val="lowerRoman"/>
      <w:lvlText w:val="%3."/>
      <w:lvlJc w:val="right"/>
      <w:pPr>
        <w:ind w:left="2160" w:hanging="180"/>
      </w:pPr>
    </w:lvl>
    <w:lvl w:ilvl="3" w:tplc="97E819FE">
      <w:start w:val="1"/>
      <w:numFmt w:val="decimal"/>
      <w:lvlText w:val="%4."/>
      <w:lvlJc w:val="left"/>
      <w:pPr>
        <w:ind w:left="2880" w:hanging="360"/>
      </w:pPr>
    </w:lvl>
    <w:lvl w:ilvl="4" w:tplc="776253DC">
      <w:start w:val="1"/>
      <w:numFmt w:val="lowerLetter"/>
      <w:lvlText w:val="%5."/>
      <w:lvlJc w:val="left"/>
      <w:pPr>
        <w:ind w:left="3600" w:hanging="360"/>
      </w:pPr>
    </w:lvl>
    <w:lvl w:ilvl="5" w:tplc="B65C5598">
      <w:start w:val="1"/>
      <w:numFmt w:val="lowerRoman"/>
      <w:lvlText w:val="%6."/>
      <w:lvlJc w:val="right"/>
      <w:pPr>
        <w:ind w:left="4320" w:hanging="180"/>
      </w:pPr>
    </w:lvl>
    <w:lvl w:ilvl="6" w:tplc="FEFCA232">
      <w:start w:val="1"/>
      <w:numFmt w:val="decimal"/>
      <w:lvlText w:val="%7."/>
      <w:lvlJc w:val="left"/>
      <w:pPr>
        <w:ind w:left="5040" w:hanging="360"/>
      </w:pPr>
    </w:lvl>
    <w:lvl w:ilvl="7" w:tplc="DBB447EC">
      <w:start w:val="1"/>
      <w:numFmt w:val="lowerLetter"/>
      <w:lvlText w:val="%8."/>
      <w:lvlJc w:val="left"/>
      <w:pPr>
        <w:ind w:left="5760" w:hanging="360"/>
      </w:pPr>
    </w:lvl>
    <w:lvl w:ilvl="8" w:tplc="A82644B8">
      <w:start w:val="1"/>
      <w:numFmt w:val="lowerRoman"/>
      <w:lvlText w:val="%9."/>
      <w:lvlJc w:val="right"/>
      <w:pPr>
        <w:ind w:left="6480" w:hanging="180"/>
      </w:pPr>
    </w:lvl>
  </w:abstractNum>
  <w:abstractNum w:abstractNumId="78" w15:restartNumberingAfterBreak="0">
    <w:nsid w:val="67BF717E"/>
    <w:multiLevelType w:val="multilevel"/>
    <w:tmpl w:val="B4C2FF44"/>
    <w:lvl w:ilvl="0">
      <w:start w:val="1"/>
      <w:numFmt w:val="bullet"/>
      <w:lvlText w:val="-"/>
      <w:lvlJc w:val="left"/>
      <w:pPr>
        <w:ind w:left="720" w:hanging="360"/>
      </w:pPr>
      <w:rPr>
        <w:rFonts w:ascii="Calibri" w:hAnsi="Calibr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688577CF"/>
    <w:multiLevelType w:val="hybridMultilevel"/>
    <w:tmpl w:val="F3A48936"/>
    <w:lvl w:ilvl="0" w:tplc="18090017">
      <w:start w:val="1"/>
      <w:numFmt w:val="lowerLetter"/>
      <w:lvlText w:val="%1)"/>
      <w:lvlJc w:val="left"/>
      <w:pPr>
        <w:ind w:left="720" w:hanging="360"/>
      </w:pPr>
      <w:rPr>
        <w:rFonts w:hint="default"/>
        <w:sz w:val="16"/>
        <w:szCs w:val="16"/>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0" w15:restartNumberingAfterBreak="0">
    <w:nsid w:val="68A24B5C"/>
    <w:multiLevelType w:val="hybridMultilevel"/>
    <w:tmpl w:val="261099B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1" w15:restartNumberingAfterBreak="0">
    <w:nsid w:val="6AD210A6"/>
    <w:multiLevelType w:val="hybridMultilevel"/>
    <w:tmpl w:val="FFFFFFFF"/>
    <w:lvl w:ilvl="0" w:tplc="33EEBFFA">
      <w:start w:val="1"/>
      <w:numFmt w:val="decimal"/>
      <w:lvlText w:val="%1."/>
      <w:lvlJc w:val="left"/>
      <w:pPr>
        <w:ind w:left="720" w:hanging="360"/>
      </w:pPr>
    </w:lvl>
    <w:lvl w:ilvl="1" w:tplc="5D96A200">
      <w:start w:val="1"/>
      <w:numFmt w:val="lowerLetter"/>
      <w:lvlText w:val="%2."/>
      <w:lvlJc w:val="left"/>
      <w:pPr>
        <w:ind w:left="1440" w:hanging="360"/>
      </w:pPr>
    </w:lvl>
    <w:lvl w:ilvl="2" w:tplc="59B4B33C">
      <w:start w:val="1"/>
      <w:numFmt w:val="lowerRoman"/>
      <w:lvlText w:val="%3."/>
      <w:lvlJc w:val="right"/>
      <w:pPr>
        <w:ind w:left="2160" w:hanging="180"/>
      </w:pPr>
    </w:lvl>
    <w:lvl w:ilvl="3" w:tplc="8E16808A">
      <w:start w:val="1"/>
      <w:numFmt w:val="decimal"/>
      <w:lvlText w:val="%4."/>
      <w:lvlJc w:val="left"/>
      <w:pPr>
        <w:ind w:left="2880" w:hanging="360"/>
      </w:pPr>
    </w:lvl>
    <w:lvl w:ilvl="4" w:tplc="9D02FF38">
      <w:start w:val="1"/>
      <w:numFmt w:val="lowerLetter"/>
      <w:lvlText w:val="%5."/>
      <w:lvlJc w:val="left"/>
      <w:pPr>
        <w:ind w:left="3600" w:hanging="360"/>
      </w:pPr>
    </w:lvl>
    <w:lvl w:ilvl="5" w:tplc="CA245CD8">
      <w:start w:val="1"/>
      <w:numFmt w:val="lowerRoman"/>
      <w:lvlText w:val="%6."/>
      <w:lvlJc w:val="right"/>
      <w:pPr>
        <w:ind w:left="4320" w:hanging="180"/>
      </w:pPr>
    </w:lvl>
    <w:lvl w:ilvl="6" w:tplc="1E32CAE0">
      <w:start w:val="1"/>
      <w:numFmt w:val="decimal"/>
      <w:lvlText w:val="%7."/>
      <w:lvlJc w:val="left"/>
      <w:pPr>
        <w:ind w:left="5040" w:hanging="360"/>
      </w:pPr>
    </w:lvl>
    <w:lvl w:ilvl="7" w:tplc="A998A298">
      <w:start w:val="1"/>
      <w:numFmt w:val="lowerLetter"/>
      <w:lvlText w:val="%8."/>
      <w:lvlJc w:val="left"/>
      <w:pPr>
        <w:ind w:left="5760" w:hanging="360"/>
      </w:pPr>
    </w:lvl>
    <w:lvl w:ilvl="8" w:tplc="4628BDF2">
      <w:start w:val="1"/>
      <w:numFmt w:val="lowerRoman"/>
      <w:lvlText w:val="%9."/>
      <w:lvlJc w:val="right"/>
      <w:pPr>
        <w:ind w:left="6480" w:hanging="180"/>
      </w:pPr>
    </w:lvl>
  </w:abstractNum>
  <w:abstractNum w:abstractNumId="82" w15:restartNumberingAfterBreak="0">
    <w:nsid w:val="6CA14AC0"/>
    <w:multiLevelType w:val="hybridMultilevel"/>
    <w:tmpl w:val="FFFFFFFF"/>
    <w:lvl w:ilvl="0" w:tplc="121059FE">
      <w:start w:val="2"/>
      <w:numFmt w:val="decimal"/>
      <w:lvlText w:val="%1."/>
      <w:lvlJc w:val="left"/>
      <w:pPr>
        <w:ind w:left="720" w:hanging="360"/>
      </w:pPr>
    </w:lvl>
    <w:lvl w:ilvl="1" w:tplc="D86C2A6A">
      <w:start w:val="1"/>
      <w:numFmt w:val="lowerLetter"/>
      <w:lvlText w:val="%2."/>
      <w:lvlJc w:val="left"/>
      <w:pPr>
        <w:ind w:left="1440" w:hanging="360"/>
      </w:pPr>
    </w:lvl>
    <w:lvl w:ilvl="2" w:tplc="9A02E936">
      <w:start w:val="1"/>
      <w:numFmt w:val="lowerRoman"/>
      <w:lvlText w:val="%3."/>
      <w:lvlJc w:val="right"/>
      <w:pPr>
        <w:ind w:left="2160" w:hanging="180"/>
      </w:pPr>
    </w:lvl>
    <w:lvl w:ilvl="3" w:tplc="42B6B286">
      <w:start w:val="1"/>
      <w:numFmt w:val="decimal"/>
      <w:lvlText w:val="%4."/>
      <w:lvlJc w:val="left"/>
      <w:pPr>
        <w:ind w:left="2880" w:hanging="360"/>
      </w:pPr>
    </w:lvl>
    <w:lvl w:ilvl="4" w:tplc="449A2CCC">
      <w:start w:val="1"/>
      <w:numFmt w:val="lowerLetter"/>
      <w:lvlText w:val="%5."/>
      <w:lvlJc w:val="left"/>
      <w:pPr>
        <w:ind w:left="3600" w:hanging="360"/>
      </w:pPr>
    </w:lvl>
    <w:lvl w:ilvl="5" w:tplc="E61E8F42">
      <w:start w:val="1"/>
      <w:numFmt w:val="lowerRoman"/>
      <w:lvlText w:val="%6."/>
      <w:lvlJc w:val="right"/>
      <w:pPr>
        <w:ind w:left="4320" w:hanging="180"/>
      </w:pPr>
    </w:lvl>
    <w:lvl w:ilvl="6" w:tplc="6956A5B6">
      <w:start w:val="1"/>
      <w:numFmt w:val="decimal"/>
      <w:lvlText w:val="%7."/>
      <w:lvlJc w:val="left"/>
      <w:pPr>
        <w:ind w:left="5040" w:hanging="360"/>
      </w:pPr>
    </w:lvl>
    <w:lvl w:ilvl="7" w:tplc="A76EAC68">
      <w:start w:val="1"/>
      <w:numFmt w:val="lowerLetter"/>
      <w:lvlText w:val="%8."/>
      <w:lvlJc w:val="left"/>
      <w:pPr>
        <w:ind w:left="5760" w:hanging="360"/>
      </w:pPr>
    </w:lvl>
    <w:lvl w:ilvl="8" w:tplc="8FC034DE">
      <w:start w:val="1"/>
      <w:numFmt w:val="lowerRoman"/>
      <w:lvlText w:val="%9."/>
      <w:lvlJc w:val="right"/>
      <w:pPr>
        <w:ind w:left="6480" w:hanging="180"/>
      </w:pPr>
    </w:lvl>
  </w:abstractNum>
  <w:abstractNum w:abstractNumId="83" w15:restartNumberingAfterBreak="0">
    <w:nsid w:val="6CB80BA9"/>
    <w:multiLevelType w:val="multilevel"/>
    <w:tmpl w:val="E7E49D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6EC000B6"/>
    <w:multiLevelType w:val="multilevel"/>
    <w:tmpl w:val="ED52FDEC"/>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5" w15:restartNumberingAfterBreak="0">
    <w:nsid w:val="6ED3543E"/>
    <w:multiLevelType w:val="multilevel"/>
    <w:tmpl w:val="45C4C8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25F7D13"/>
    <w:multiLevelType w:val="hybridMultilevel"/>
    <w:tmpl w:val="1DD849C8"/>
    <w:lvl w:ilvl="0" w:tplc="18090019">
      <w:start w:val="1"/>
      <w:numFmt w:val="lowerLetter"/>
      <w:lvlText w:val="%1."/>
      <w:lvlJc w:val="left"/>
      <w:pPr>
        <w:ind w:left="1800" w:hanging="360"/>
      </w:pPr>
    </w:lvl>
    <w:lvl w:ilvl="1" w:tplc="18090019" w:tentative="1">
      <w:start w:val="1"/>
      <w:numFmt w:val="lowerLetter"/>
      <w:lvlText w:val="%2."/>
      <w:lvlJc w:val="left"/>
      <w:pPr>
        <w:ind w:left="2520" w:hanging="360"/>
      </w:pPr>
    </w:lvl>
    <w:lvl w:ilvl="2" w:tplc="1809001B" w:tentative="1">
      <w:start w:val="1"/>
      <w:numFmt w:val="lowerRoman"/>
      <w:lvlText w:val="%3."/>
      <w:lvlJc w:val="right"/>
      <w:pPr>
        <w:ind w:left="3240" w:hanging="180"/>
      </w:pPr>
    </w:lvl>
    <w:lvl w:ilvl="3" w:tplc="1809000F" w:tentative="1">
      <w:start w:val="1"/>
      <w:numFmt w:val="decimal"/>
      <w:lvlText w:val="%4."/>
      <w:lvlJc w:val="left"/>
      <w:pPr>
        <w:ind w:left="3960" w:hanging="360"/>
      </w:pPr>
    </w:lvl>
    <w:lvl w:ilvl="4" w:tplc="18090019" w:tentative="1">
      <w:start w:val="1"/>
      <w:numFmt w:val="lowerLetter"/>
      <w:lvlText w:val="%5."/>
      <w:lvlJc w:val="left"/>
      <w:pPr>
        <w:ind w:left="4680" w:hanging="360"/>
      </w:pPr>
    </w:lvl>
    <w:lvl w:ilvl="5" w:tplc="1809001B" w:tentative="1">
      <w:start w:val="1"/>
      <w:numFmt w:val="lowerRoman"/>
      <w:lvlText w:val="%6."/>
      <w:lvlJc w:val="right"/>
      <w:pPr>
        <w:ind w:left="5400" w:hanging="180"/>
      </w:pPr>
    </w:lvl>
    <w:lvl w:ilvl="6" w:tplc="1809000F" w:tentative="1">
      <w:start w:val="1"/>
      <w:numFmt w:val="decimal"/>
      <w:lvlText w:val="%7."/>
      <w:lvlJc w:val="left"/>
      <w:pPr>
        <w:ind w:left="6120" w:hanging="360"/>
      </w:pPr>
    </w:lvl>
    <w:lvl w:ilvl="7" w:tplc="18090019" w:tentative="1">
      <w:start w:val="1"/>
      <w:numFmt w:val="lowerLetter"/>
      <w:lvlText w:val="%8."/>
      <w:lvlJc w:val="left"/>
      <w:pPr>
        <w:ind w:left="6840" w:hanging="360"/>
      </w:pPr>
    </w:lvl>
    <w:lvl w:ilvl="8" w:tplc="1809001B" w:tentative="1">
      <w:start w:val="1"/>
      <w:numFmt w:val="lowerRoman"/>
      <w:lvlText w:val="%9."/>
      <w:lvlJc w:val="right"/>
      <w:pPr>
        <w:ind w:left="7560" w:hanging="180"/>
      </w:pPr>
    </w:lvl>
  </w:abstractNum>
  <w:abstractNum w:abstractNumId="87" w15:restartNumberingAfterBreak="0">
    <w:nsid w:val="74703A52"/>
    <w:multiLevelType w:val="multilevel"/>
    <w:tmpl w:val="404AB68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8" w15:restartNumberingAfterBreak="0">
    <w:nsid w:val="74BC79F0"/>
    <w:multiLevelType w:val="hybridMultilevel"/>
    <w:tmpl w:val="FFFFFFFF"/>
    <w:lvl w:ilvl="0" w:tplc="58F29954">
      <w:start w:val="1"/>
      <w:numFmt w:val="decimal"/>
      <w:lvlText w:val="%1."/>
      <w:lvlJc w:val="left"/>
      <w:pPr>
        <w:ind w:left="720" w:hanging="360"/>
      </w:pPr>
    </w:lvl>
    <w:lvl w:ilvl="1" w:tplc="CF544774">
      <w:start w:val="5"/>
      <w:numFmt w:val="lowerLetter"/>
      <w:lvlText w:val="%2."/>
      <w:lvlJc w:val="left"/>
      <w:pPr>
        <w:ind w:left="1440" w:hanging="360"/>
      </w:pPr>
    </w:lvl>
    <w:lvl w:ilvl="2" w:tplc="8744C078">
      <w:start w:val="1"/>
      <w:numFmt w:val="lowerRoman"/>
      <w:lvlText w:val="%3."/>
      <w:lvlJc w:val="right"/>
      <w:pPr>
        <w:ind w:left="2160" w:hanging="180"/>
      </w:pPr>
    </w:lvl>
    <w:lvl w:ilvl="3" w:tplc="7090D764">
      <w:start w:val="1"/>
      <w:numFmt w:val="decimal"/>
      <w:lvlText w:val="%4."/>
      <w:lvlJc w:val="left"/>
      <w:pPr>
        <w:ind w:left="2880" w:hanging="360"/>
      </w:pPr>
    </w:lvl>
    <w:lvl w:ilvl="4" w:tplc="AA20F9FC">
      <w:start w:val="1"/>
      <w:numFmt w:val="lowerLetter"/>
      <w:lvlText w:val="%5."/>
      <w:lvlJc w:val="left"/>
      <w:pPr>
        <w:ind w:left="3600" w:hanging="360"/>
      </w:pPr>
    </w:lvl>
    <w:lvl w:ilvl="5" w:tplc="D4E4C6C4">
      <w:start w:val="1"/>
      <w:numFmt w:val="lowerRoman"/>
      <w:lvlText w:val="%6."/>
      <w:lvlJc w:val="right"/>
      <w:pPr>
        <w:ind w:left="4320" w:hanging="180"/>
      </w:pPr>
    </w:lvl>
    <w:lvl w:ilvl="6" w:tplc="CB2CCED0">
      <w:start w:val="1"/>
      <w:numFmt w:val="decimal"/>
      <w:lvlText w:val="%7."/>
      <w:lvlJc w:val="left"/>
      <w:pPr>
        <w:ind w:left="5040" w:hanging="360"/>
      </w:pPr>
    </w:lvl>
    <w:lvl w:ilvl="7" w:tplc="7736B968">
      <w:start w:val="1"/>
      <w:numFmt w:val="lowerLetter"/>
      <w:lvlText w:val="%8."/>
      <w:lvlJc w:val="left"/>
      <w:pPr>
        <w:ind w:left="5760" w:hanging="360"/>
      </w:pPr>
    </w:lvl>
    <w:lvl w:ilvl="8" w:tplc="58D8EB06">
      <w:start w:val="1"/>
      <w:numFmt w:val="lowerRoman"/>
      <w:lvlText w:val="%9."/>
      <w:lvlJc w:val="right"/>
      <w:pPr>
        <w:ind w:left="6480" w:hanging="180"/>
      </w:pPr>
    </w:lvl>
  </w:abstractNum>
  <w:abstractNum w:abstractNumId="89" w15:restartNumberingAfterBreak="0">
    <w:nsid w:val="74C4D9D9"/>
    <w:multiLevelType w:val="hybridMultilevel"/>
    <w:tmpl w:val="FFFFFFFF"/>
    <w:lvl w:ilvl="0" w:tplc="5942A3A2">
      <w:start w:val="1"/>
      <w:numFmt w:val="decimal"/>
      <w:lvlText w:val="%1."/>
      <w:lvlJc w:val="left"/>
      <w:pPr>
        <w:ind w:left="720" w:hanging="360"/>
      </w:pPr>
    </w:lvl>
    <w:lvl w:ilvl="1" w:tplc="1A4ADED6">
      <w:start w:val="1"/>
      <w:numFmt w:val="lowerLetter"/>
      <w:lvlText w:val="%2."/>
      <w:lvlJc w:val="left"/>
      <w:pPr>
        <w:ind w:left="1440" w:hanging="360"/>
      </w:pPr>
    </w:lvl>
    <w:lvl w:ilvl="2" w:tplc="40FA121E">
      <w:start w:val="1"/>
      <w:numFmt w:val="lowerRoman"/>
      <w:lvlText w:val="%3."/>
      <w:lvlJc w:val="right"/>
      <w:pPr>
        <w:ind w:left="2160" w:hanging="180"/>
      </w:pPr>
    </w:lvl>
    <w:lvl w:ilvl="3" w:tplc="4F20043C">
      <w:start w:val="1"/>
      <w:numFmt w:val="decimal"/>
      <w:lvlText w:val="%4."/>
      <w:lvlJc w:val="left"/>
      <w:pPr>
        <w:ind w:left="2880" w:hanging="360"/>
      </w:pPr>
    </w:lvl>
    <w:lvl w:ilvl="4" w:tplc="BAB0607C">
      <w:start w:val="1"/>
      <w:numFmt w:val="lowerLetter"/>
      <w:lvlText w:val="%5."/>
      <w:lvlJc w:val="left"/>
      <w:pPr>
        <w:ind w:left="3600" w:hanging="360"/>
      </w:pPr>
    </w:lvl>
    <w:lvl w:ilvl="5" w:tplc="F3F81A24">
      <w:start w:val="1"/>
      <w:numFmt w:val="lowerRoman"/>
      <w:lvlText w:val="%6."/>
      <w:lvlJc w:val="right"/>
      <w:pPr>
        <w:ind w:left="4320" w:hanging="180"/>
      </w:pPr>
    </w:lvl>
    <w:lvl w:ilvl="6" w:tplc="5BCACF98">
      <w:start w:val="1"/>
      <w:numFmt w:val="decimal"/>
      <w:lvlText w:val="%7."/>
      <w:lvlJc w:val="left"/>
      <w:pPr>
        <w:ind w:left="5040" w:hanging="360"/>
      </w:pPr>
    </w:lvl>
    <w:lvl w:ilvl="7" w:tplc="AA8C32EC">
      <w:start w:val="1"/>
      <w:numFmt w:val="lowerLetter"/>
      <w:lvlText w:val="%8."/>
      <w:lvlJc w:val="left"/>
      <w:pPr>
        <w:ind w:left="5760" w:hanging="360"/>
      </w:pPr>
    </w:lvl>
    <w:lvl w:ilvl="8" w:tplc="CF440310">
      <w:start w:val="1"/>
      <w:numFmt w:val="lowerRoman"/>
      <w:lvlText w:val="%9."/>
      <w:lvlJc w:val="right"/>
      <w:pPr>
        <w:ind w:left="6480" w:hanging="180"/>
      </w:pPr>
    </w:lvl>
  </w:abstractNum>
  <w:abstractNum w:abstractNumId="90" w15:restartNumberingAfterBreak="0">
    <w:nsid w:val="75B3E60E"/>
    <w:multiLevelType w:val="hybridMultilevel"/>
    <w:tmpl w:val="FFFFFFFF"/>
    <w:lvl w:ilvl="0" w:tplc="6EF2B5FA">
      <w:start w:val="1"/>
      <w:numFmt w:val="decimal"/>
      <w:lvlText w:val="%1."/>
      <w:lvlJc w:val="left"/>
      <w:pPr>
        <w:ind w:left="720" w:hanging="360"/>
      </w:pPr>
    </w:lvl>
    <w:lvl w:ilvl="1" w:tplc="FFFFFFFF">
      <w:start w:val="1"/>
      <w:numFmt w:val="lowerLetter"/>
      <w:lvlText w:val="%2."/>
      <w:lvlJc w:val="left"/>
      <w:pPr>
        <w:ind w:left="1440" w:hanging="360"/>
      </w:pPr>
    </w:lvl>
    <w:lvl w:ilvl="2" w:tplc="146E1900">
      <w:start w:val="1"/>
      <w:numFmt w:val="lowerRoman"/>
      <w:lvlText w:val="%3."/>
      <w:lvlJc w:val="right"/>
      <w:pPr>
        <w:ind w:left="2160" w:hanging="180"/>
      </w:pPr>
    </w:lvl>
    <w:lvl w:ilvl="3" w:tplc="8B5CF2D6">
      <w:start w:val="1"/>
      <w:numFmt w:val="decimal"/>
      <w:lvlText w:val="%4."/>
      <w:lvlJc w:val="left"/>
      <w:pPr>
        <w:ind w:left="2880" w:hanging="360"/>
      </w:pPr>
    </w:lvl>
    <w:lvl w:ilvl="4" w:tplc="96526FC0">
      <w:start w:val="1"/>
      <w:numFmt w:val="lowerLetter"/>
      <w:lvlText w:val="%5."/>
      <w:lvlJc w:val="left"/>
      <w:pPr>
        <w:ind w:left="3600" w:hanging="360"/>
      </w:pPr>
    </w:lvl>
    <w:lvl w:ilvl="5" w:tplc="BA4EC834">
      <w:start w:val="1"/>
      <w:numFmt w:val="lowerRoman"/>
      <w:lvlText w:val="%6."/>
      <w:lvlJc w:val="right"/>
      <w:pPr>
        <w:ind w:left="4320" w:hanging="180"/>
      </w:pPr>
    </w:lvl>
    <w:lvl w:ilvl="6" w:tplc="2408B162">
      <w:start w:val="1"/>
      <w:numFmt w:val="decimal"/>
      <w:lvlText w:val="%7."/>
      <w:lvlJc w:val="left"/>
      <w:pPr>
        <w:ind w:left="5040" w:hanging="360"/>
      </w:pPr>
    </w:lvl>
    <w:lvl w:ilvl="7" w:tplc="AE2AF1E2">
      <w:start w:val="1"/>
      <w:numFmt w:val="lowerLetter"/>
      <w:lvlText w:val="%8."/>
      <w:lvlJc w:val="left"/>
      <w:pPr>
        <w:ind w:left="5760" w:hanging="360"/>
      </w:pPr>
    </w:lvl>
    <w:lvl w:ilvl="8" w:tplc="EF3EADDE">
      <w:start w:val="1"/>
      <w:numFmt w:val="lowerRoman"/>
      <w:lvlText w:val="%9."/>
      <w:lvlJc w:val="right"/>
      <w:pPr>
        <w:ind w:left="6480" w:hanging="180"/>
      </w:pPr>
    </w:lvl>
  </w:abstractNum>
  <w:abstractNum w:abstractNumId="91" w15:restartNumberingAfterBreak="0">
    <w:nsid w:val="76D30F9A"/>
    <w:multiLevelType w:val="hybridMultilevel"/>
    <w:tmpl w:val="FFFFFFFF"/>
    <w:lvl w:ilvl="0" w:tplc="C5C6F9FE">
      <w:start w:val="1"/>
      <w:numFmt w:val="bullet"/>
      <w:lvlText w:val=""/>
      <w:lvlJc w:val="left"/>
      <w:pPr>
        <w:ind w:left="720" w:hanging="360"/>
      </w:pPr>
      <w:rPr>
        <w:rFonts w:ascii="Symbol" w:hAnsi="Symbol" w:hint="default"/>
      </w:rPr>
    </w:lvl>
    <w:lvl w:ilvl="1" w:tplc="1EFCF6E2">
      <w:start w:val="1"/>
      <w:numFmt w:val="bullet"/>
      <w:lvlText w:val=""/>
      <w:lvlJc w:val="left"/>
      <w:pPr>
        <w:ind w:left="1440" w:hanging="360"/>
      </w:pPr>
      <w:rPr>
        <w:rFonts w:ascii="Symbol" w:hAnsi="Symbol" w:hint="default"/>
      </w:rPr>
    </w:lvl>
    <w:lvl w:ilvl="2" w:tplc="FA66BF8A">
      <w:start w:val="1"/>
      <w:numFmt w:val="bullet"/>
      <w:lvlText w:val=""/>
      <w:lvlJc w:val="left"/>
      <w:pPr>
        <w:ind w:left="2160" w:hanging="360"/>
      </w:pPr>
      <w:rPr>
        <w:rFonts w:ascii="Wingdings" w:hAnsi="Wingdings" w:hint="default"/>
      </w:rPr>
    </w:lvl>
    <w:lvl w:ilvl="3" w:tplc="B8B0B8B0">
      <w:start w:val="1"/>
      <w:numFmt w:val="bullet"/>
      <w:lvlText w:val=""/>
      <w:lvlJc w:val="left"/>
      <w:pPr>
        <w:ind w:left="2880" w:hanging="360"/>
      </w:pPr>
      <w:rPr>
        <w:rFonts w:ascii="Symbol" w:hAnsi="Symbol" w:hint="default"/>
      </w:rPr>
    </w:lvl>
    <w:lvl w:ilvl="4" w:tplc="BD04F172">
      <w:start w:val="1"/>
      <w:numFmt w:val="bullet"/>
      <w:lvlText w:val="o"/>
      <w:lvlJc w:val="left"/>
      <w:pPr>
        <w:ind w:left="3600" w:hanging="360"/>
      </w:pPr>
      <w:rPr>
        <w:rFonts w:ascii="Courier New" w:hAnsi="Courier New" w:hint="default"/>
      </w:rPr>
    </w:lvl>
    <w:lvl w:ilvl="5" w:tplc="4FEEF374">
      <w:start w:val="1"/>
      <w:numFmt w:val="bullet"/>
      <w:lvlText w:val=""/>
      <w:lvlJc w:val="left"/>
      <w:pPr>
        <w:ind w:left="4320" w:hanging="360"/>
      </w:pPr>
      <w:rPr>
        <w:rFonts w:ascii="Wingdings" w:hAnsi="Wingdings" w:hint="default"/>
      </w:rPr>
    </w:lvl>
    <w:lvl w:ilvl="6" w:tplc="34FACFA4">
      <w:start w:val="1"/>
      <w:numFmt w:val="bullet"/>
      <w:lvlText w:val=""/>
      <w:lvlJc w:val="left"/>
      <w:pPr>
        <w:ind w:left="5040" w:hanging="360"/>
      </w:pPr>
      <w:rPr>
        <w:rFonts w:ascii="Symbol" w:hAnsi="Symbol" w:hint="default"/>
      </w:rPr>
    </w:lvl>
    <w:lvl w:ilvl="7" w:tplc="834EBA58">
      <w:start w:val="1"/>
      <w:numFmt w:val="bullet"/>
      <w:lvlText w:val="o"/>
      <w:lvlJc w:val="left"/>
      <w:pPr>
        <w:ind w:left="5760" w:hanging="360"/>
      </w:pPr>
      <w:rPr>
        <w:rFonts w:ascii="Courier New" w:hAnsi="Courier New" w:hint="default"/>
      </w:rPr>
    </w:lvl>
    <w:lvl w:ilvl="8" w:tplc="460A8394">
      <w:start w:val="1"/>
      <w:numFmt w:val="bullet"/>
      <w:lvlText w:val=""/>
      <w:lvlJc w:val="left"/>
      <w:pPr>
        <w:ind w:left="6480" w:hanging="360"/>
      </w:pPr>
      <w:rPr>
        <w:rFonts w:ascii="Wingdings" w:hAnsi="Wingdings" w:hint="default"/>
      </w:rPr>
    </w:lvl>
  </w:abstractNum>
  <w:abstractNum w:abstractNumId="92" w15:restartNumberingAfterBreak="0">
    <w:nsid w:val="76E614FF"/>
    <w:multiLevelType w:val="multilevel"/>
    <w:tmpl w:val="7B2232E4"/>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3" w15:restartNumberingAfterBreak="0">
    <w:nsid w:val="784D00E7"/>
    <w:multiLevelType w:val="hybridMultilevel"/>
    <w:tmpl w:val="D7CC33B6"/>
    <w:lvl w:ilvl="0" w:tplc="3F24D348">
      <w:start w:val="1"/>
      <w:numFmt w:val="decimal"/>
      <w:lvlText w:val="G%1G"/>
      <w:lvlJc w:val="left"/>
      <w:pPr>
        <w:ind w:left="360" w:hanging="360"/>
      </w:pPr>
      <w:rPr>
        <w:rFonts w:hint="default"/>
        <w:color w:val="auto"/>
        <w:sz w:val="18"/>
        <w:szCs w:val="18"/>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94" w15:restartNumberingAfterBreak="0">
    <w:nsid w:val="7ADB4070"/>
    <w:multiLevelType w:val="hybridMultilevel"/>
    <w:tmpl w:val="FFFFFFFF"/>
    <w:lvl w:ilvl="0" w:tplc="9A66AB28">
      <w:start w:val="2"/>
      <w:numFmt w:val="decimal"/>
      <w:lvlText w:val="%1."/>
      <w:lvlJc w:val="left"/>
      <w:pPr>
        <w:ind w:left="720" w:hanging="360"/>
      </w:pPr>
    </w:lvl>
    <w:lvl w:ilvl="1" w:tplc="9D7AEA2E">
      <w:start w:val="1"/>
      <w:numFmt w:val="lowerLetter"/>
      <w:lvlText w:val="%2."/>
      <w:lvlJc w:val="left"/>
      <w:pPr>
        <w:ind w:left="1440" w:hanging="360"/>
      </w:pPr>
    </w:lvl>
    <w:lvl w:ilvl="2" w:tplc="9272CB40">
      <w:start w:val="1"/>
      <w:numFmt w:val="lowerRoman"/>
      <w:lvlText w:val="%3."/>
      <w:lvlJc w:val="right"/>
      <w:pPr>
        <w:ind w:left="2160" w:hanging="180"/>
      </w:pPr>
    </w:lvl>
    <w:lvl w:ilvl="3" w:tplc="0B2CF43E">
      <w:start w:val="1"/>
      <w:numFmt w:val="decimal"/>
      <w:lvlText w:val="%4."/>
      <w:lvlJc w:val="left"/>
      <w:pPr>
        <w:ind w:left="2880" w:hanging="360"/>
      </w:pPr>
    </w:lvl>
    <w:lvl w:ilvl="4" w:tplc="ACCA4CBA">
      <w:start w:val="1"/>
      <w:numFmt w:val="lowerLetter"/>
      <w:lvlText w:val="%5."/>
      <w:lvlJc w:val="left"/>
      <w:pPr>
        <w:ind w:left="3600" w:hanging="360"/>
      </w:pPr>
    </w:lvl>
    <w:lvl w:ilvl="5" w:tplc="0D92E04C">
      <w:start w:val="1"/>
      <w:numFmt w:val="lowerRoman"/>
      <w:lvlText w:val="%6."/>
      <w:lvlJc w:val="right"/>
      <w:pPr>
        <w:ind w:left="4320" w:hanging="180"/>
      </w:pPr>
    </w:lvl>
    <w:lvl w:ilvl="6" w:tplc="45C6098C">
      <w:start w:val="1"/>
      <w:numFmt w:val="decimal"/>
      <w:lvlText w:val="%7."/>
      <w:lvlJc w:val="left"/>
      <w:pPr>
        <w:ind w:left="5040" w:hanging="360"/>
      </w:pPr>
    </w:lvl>
    <w:lvl w:ilvl="7" w:tplc="849AAE6E">
      <w:start w:val="1"/>
      <w:numFmt w:val="lowerLetter"/>
      <w:lvlText w:val="%8."/>
      <w:lvlJc w:val="left"/>
      <w:pPr>
        <w:ind w:left="5760" w:hanging="360"/>
      </w:pPr>
    </w:lvl>
    <w:lvl w:ilvl="8" w:tplc="1D580012">
      <w:start w:val="1"/>
      <w:numFmt w:val="lowerRoman"/>
      <w:lvlText w:val="%9."/>
      <w:lvlJc w:val="right"/>
      <w:pPr>
        <w:ind w:left="6480" w:hanging="180"/>
      </w:pPr>
    </w:lvl>
  </w:abstractNum>
  <w:abstractNum w:abstractNumId="95" w15:restartNumberingAfterBreak="0">
    <w:nsid w:val="7BF2D7FF"/>
    <w:multiLevelType w:val="hybridMultilevel"/>
    <w:tmpl w:val="FFFFFFFF"/>
    <w:lvl w:ilvl="0" w:tplc="8326DE3E">
      <w:start w:val="2"/>
      <w:numFmt w:val="decimal"/>
      <w:lvlText w:val="%1."/>
      <w:lvlJc w:val="left"/>
      <w:pPr>
        <w:ind w:left="720" w:hanging="360"/>
      </w:pPr>
    </w:lvl>
    <w:lvl w:ilvl="1" w:tplc="70725BE4">
      <w:start w:val="1"/>
      <w:numFmt w:val="lowerLetter"/>
      <w:lvlText w:val="%2."/>
      <w:lvlJc w:val="left"/>
      <w:pPr>
        <w:ind w:left="1440" w:hanging="360"/>
      </w:pPr>
    </w:lvl>
    <w:lvl w:ilvl="2" w:tplc="D0FE608C">
      <w:start w:val="1"/>
      <w:numFmt w:val="lowerRoman"/>
      <w:lvlText w:val="%3."/>
      <w:lvlJc w:val="right"/>
      <w:pPr>
        <w:ind w:left="2160" w:hanging="180"/>
      </w:pPr>
    </w:lvl>
    <w:lvl w:ilvl="3" w:tplc="400C7086">
      <w:start w:val="1"/>
      <w:numFmt w:val="decimal"/>
      <w:lvlText w:val="%4."/>
      <w:lvlJc w:val="left"/>
      <w:pPr>
        <w:ind w:left="2880" w:hanging="360"/>
      </w:pPr>
    </w:lvl>
    <w:lvl w:ilvl="4" w:tplc="2AF2FA38">
      <w:start w:val="1"/>
      <w:numFmt w:val="lowerLetter"/>
      <w:lvlText w:val="%5."/>
      <w:lvlJc w:val="left"/>
      <w:pPr>
        <w:ind w:left="3600" w:hanging="360"/>
      </w:pPr>
    </w:lvl>
    <w:lvl w:ilvl="5" w:tplc="F8A0C1CA">
      <w:start w:val="1"/>
      <w:numFmt w:val="lowerRoman"/>
      <w:lvlText w:val="%6."/>
      <w:lvlJc w:val="right"/>
      <w:pPr>
        <w:ind w:left="4320" w:hanging="180"/>
      </w:pPr>
    </w:lvl>
    <w:lvl w:ilvl="6" w:tplc="093EF2D6">
      <w:start w:val="1"/>
      <w:numFmt w:val="decimal"/>
      <w:lvlText w:val="%7."/>
      <w:lvlJc w:val="left"/>
      <w:pPr>
        <w:ind w:left="5040" w:hanging="360"/>
      </w:pPr>
    </w:lvl>
    <w:lvl w:ilvl="7" w:tplc="BC56C81C">
      <w:start w:val="1"/>
      <w:numFmt w:val="lowerLetter"/>
      <w:lvlText w:val="%8."/>
      <w:lvlJc w:val="left"/>
      <w:pPr>
        <w:ind w:left="5760" w:hanging="360"/>
      </w:pPr>
    </w:lvl>
    <w:lvl w:ilvl="8" w:tplc="57083CA6">
      <w:start w:val="1"/>
      <w:numFmt w:val="lowerRoman"/>
      <w:lvlText w:val="%9."/>
      <w:lvlJc w:val="right"/>
      <w:pPr>
        <w:ind w:left="6480" w:hanging="180"/>
      </w:pPr>
    </w:lvl>
  </w:abstractNum>
  <w:abstractNum w:abstractNumId="96" w15:restartNumberingAfterBreak="0">
    <w:nsid w:val="7C5B11D7"/>
    <w:multiLevelType w:val="multilevel"/>
    <w:tmpl w:val="26422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CB5111C"/>
    <w:multiLevelType w:val="hybridMultilevel"/>
    <w:tmpl w:val="3B22E4F0"/>
    <w:lvl w:ilvl="0" w:tplc="6E24E63C">
      <w:start w:val="1"/>
      <w:numFmt w:val="decimal"/>
      <w:lvlText w:val="%1."/>
      <w:lvlJc w:val="left"/>
      <w:pPr>
        <w:ind w:left="720" w:hanging="360"/>
      </w:pPr>
    </w:lvl>
    <w:lvl w:ilvl="1" w:tplc="410499FC">
      <w:start w:val="1"/>
      <w:numFmt w:val="lowerLetter"/>
      <w:lvlText w:val="%2."/>
      <w:lvlJc w:val="left"/>
      <w:pPr>
        <w:ind w:left="1440" w:hanging="360"/>
      </w:pPr>
    </w:lvl>
    <w:lvl w:ilvl="2" w:tplc="F2122FBC">
      <w:start w:val="1"/>
      <w:numFmt w:val="lowerRoman"/>
      <w:lvlText w:val="%3."/>
      <w:lvlJc w:val="right"/>
      <w:pPr>
        <w:ind w:left="2160" w:hanging="180"/>
      </w:pPr>
    </w:lvl>
    <w:lvl w:ilvl="3" w:tplc="A5842E00">
      <w:start w:val="1"/>
      <w:numFmt w:val="decimal"/>
      <w:lvlText w:val="%4."/>
      <w:lvlJc w:val="left"/>
      <w:pPr>
        <w:ind w:left="2880" w:hanging="360"/>
      </w:pPr>
    </w:lvl>
    <w:lvl w:ilvl="4" w:tplc="15A83A82">
      <w:start w:val="1"/>
      <w:numFmt w:val="lowerLetter"/>
      <w:lvlText w:val="%5."/>
      <w:lvlJc w:val="left"/>
      <w:pPr>
        <w:ind w:left="3600" w:hanging="360"/>
      </w:pPr>
    </w:lvl>
    <w:lvl w:ilvl="5" w:tplc="DBEA3690">
      <w:start w:val="1"/>
      <w:numFmt w:val="lowerRoman"/>
      <w:lvlText w:val="%6."/>
      <w:lvlJc w:val="right"/>
      <w:pPr>
        <w:ind w:left="4320" w:hanging="180"/>
      </w:pPr>
    </w:lvl>
    <w:lvl w:ilvl="6" w:tplc="B4084B7A">
      <w:start w:val="1"/>
      <w:numFmt w:val="decimal"/>
      <w:lvlText w:val="%7."/>
      <w:lvlJc w:val="left"/>
      <w:pPr>
        <w:ind w:left="5040" w:hanging="360"/>
      </w:pPr>
    </w:lvl>
    <w:lvl w:ilvl="7" w:tplc="FF54D6A4">
      <w:start w:val="1"/>
      <w:numFmt w:val="lowerLetter"/>
      <w:lvlText w:val="%8."/>
      <w:lvlJc w:val="left"/>
      <w:pPr>
        <w:ind w:left="5760" w:hanging="360"/>
      </w:pPr>
    </w:lvl>
    <w:lvl w:ilvl="8" w:tplc="FE7C8D0A">
      <w:start w:val="1"/>
      <w:numFmt w:val="lowerRoman"/>
      <w:lvlText w:val="%9."/>
      <w:lvlJc w:val="right"/>
      <w:pPr>
        <w:ind w:left="6480" w:hanging="180"/>
      </w:pPr>
    </w:lvl>
  </w:abstractNum>
  <w:abstractNum w:abstractNumId="98" w15:restartNumberingAfterBreak="0">
    <w:nsid w:val="7D4E72F0"/>
    <w:multiLevelType w:val="hybridMultilevel"/>
    <w:tmpl w:val="447E1B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9" w15:restartNumberingAfterBreak="0">
    <w:nsid w:val="7D9055A5"/>
    <w:multiLevelType w:val="hybridMultilevel"/>
    <w:tmpl w:val="CBA8716C"/>
    <w:lvl w:ilvl="0" w:tplc="982AF3B0">
      <w:start w:val="1"/>
      <w:numFmt w:val="lowerRoman"/>
      <w:lvlText w:val="(%1)"/>
      <w:lvlJc w:val="left"/>
      <w:pPr>
        <w:ind w:left="720" w:hanging="360"/>
      </w:pPr>
      <w:rPr>
        <w:color w:val="000000" w:themeColor="text1"/>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0" w15:restartNumberingAfterBreak="0">
    <w:nsid w:val="7DAB9AEE"/>
    <w:multiLevelType w:val="hybridMultilevel"/>
    <w:tmpl w:val="FFFFFFFF"/>
    <w:lvl w:ilvl="0" w:tplc="9A4AAD40">
      <w:numFmt w:val="decimal"/>
      <w:lvlText w:val="%1."/>
      <w:lvlJc w:val="left"/>
      <w:pPr>
        <w:ind w:left="720" w:hanging="360"/>
      </w:pPr>
    </w:lvl>
    <w:lvl w:ilvl="1" w:tplc="099E400C">
      <w:start w:val="1"/>
      <w:numFmt w:val="lowerLetter"/>
      <w:lvlText w:val="%2."/>
      <w:lvlJc w:val="left"/>
      <w:pPr>
        <w:ind w:left="1440" w:hanging="360"/>
      </w:pPr>
    </w:lvl>
    <w:lvl w:ilvl="2" w:tplc="5C48CCB0">
      <w:start w:val="1"/>
      <w:numFmt w:val="lowerRoman"/>
      <w:lvlText w:val="%3."/>
      <w:lvlJc w:val="right"/>
      <w:pPr>
        <w:ind w:left="2160" w:hanging="180"/>
      </w:pPr>
    </w:lvl>
    <w:lvl w:ilvl="3" w:tplc="27569BB8">
      <w:start w:val="1"/>
      <w:numFmt w:val="decimal"/>
      <w:lvlText w:val="%4."/>
      <w:lvlJc w:val="left"/>
      <w:pPr>
        <w:ind w:left="2880" w:hanging="360"/>
      </w:pPr>
    </w:lvl>
    <w:lvl w:ilvl="4" w:tplc="55980A00">
      <w:start w:val="1"/>
      <w:numFmt w:val="lowerLetter"/>
      <w:lvlText w:val="%5."/>
      <w:lvlJc w:val="left"/>
      <w:pPr>
        <w:ind w:left="3600" w:hanging="360"/>
      </w:pPr>
    </w:lvl>
    <w:lvl w:ilvl="5" w:tplc="1590A9F6">
      <w:start w:val="1"/>
      <w:numFmt w:val="lowerRoman"/>
      <w:lvlText w:val="%6."/>
      <w:lvlJc w:val="right"/>
      <w:pPr>
        <w:ind w:left="4320" w:hanging="180"/>
      </w:pPr>
    </w:lvl>
    <w:lvl w:ilvl="6" w:tplc="EF6C848A">
      <w:start w:val="1"/>
      <w:numFmt w:val="decimal"/>
      <w:lvlText w:val="%7."/>
      <w:lvlJc w:val="left"/>
      <w:pPr>
        <w:ind w:left="5040" w:hanging="360"/>
      </w:pPr>
    </w:lvl>
    <w:lvl w:ilvl="7" w:tplc="432A2322">
      <w:start w:val="1"/>
      <w:numFmt w:val="lowerLetter"/>
      <w:lvlText w:val="%8."/>
      <w:lvlJc w:val="left"/>
      <w:pPr>
        <w:ind w:left="5760" w:hanging="360"/>
      </w:pPr>
    </w:lvl>
    <w:lvl w:ilvl="8" w:tplc="1752F490">
      <w:start w:val="1"/>
      <w:numFmt w:val="lowerRoman"/>
      <w:lvlText w:val="%9."/>
      <w:lvlJc w:val="right"/>
      <w:pPr>
        <w:ind w:left="6480" w:hanging="180"/>
      </w:pPr>
    </w:lvl>
  </w:abstractNum>
  <w:abstractNum w:abstractNumId="101" w15:restartNumberingAfterBreak="0">
    <w:nsid w:val="7FAA4BBA"/>
    <w:multiLevelType w:val="multilevel"/>
    <w:tmpl w:val="0F26764E"/>
    <w:lvl w:ilvl="0">
      <w:start w:val="1"/>
      <w:numFmt w:val="bullet"/>
      <w:lvlText w:val="-"/>
      <w:lvlJc w:val="left"/>
      <w:pPr>
        <w:ind w:left="720" w:hanging="360"/>
      </w:pPr>
      <w:rPr>
        <w:rFonts w:ascii="Calibri" w:hAnsi="Calibr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90"/>
  </w:num>
  <w:num w:numId="2">
    <w:abstractNumId w:val="33"/>
  </w:num>
  <w:num w:numId="3">
    <w:abstractNumId w:val="9"/>
  </w:num>
  <w:num w:numId="4">
    <w:abstractNumId w:val="50"/>
  </w:num>
  <w:num w:numId="5">
    <w:abstractNumId w:val="3"/>
  </w:num>
  <w:num w:numId="6">
    <w:abstractNumId w:val="37"/>
  </w:num>
  <w:num w:numId="7">
    <w:abstractNumId w:val="92"/>
  </w:num>
  <w:num w:numId="8">
    <w:abstractNumId w:val="71"/>
  </w:num>
  <w:num w:numId="9">
    <w:abstractNumId w:val="51"/>
  </w:num>
  <w:num w:numId="10">
    <w:abstractNumId w:val="75"/>
  </w:num>
  <w:num w:numId="11">
    <w:abstractNumId w:val="61"/>
  </w:num>
  <w:num w:numId="12">
    <w:abstractNumId w:val="8"/>
  </w:num>
  <w:num w:numId="13">
    <w:abstractNumId w:val="6"/>
  </w:num>
  <w:num w:numId="14">
    <w:abstractNumId w:val="87"/>
  </w:num>
  <w:num w:numId="15">
    <w:abstractNumId w:val="84"/>
  </w:num>
  <w:num w:numId="16">
    <w:abstractNumId w:val="39"/>
  </w:num>
  <w:num w:numId="17">
    <w:abstractNumId w:val="7"/>
  </w:num>
  <w:num w:numId="18">
    <w:abstractNumId w:val="13"/>
  </w:num>
  <w:num w:numId="19">
    <w:abstractNumId w:val="44"/>
  </w:num>
  <w:num w:numId="20">
    <w:abstractNumId w:val="22"/>
  </w:num>
  <w:num w:numId="21">
    <w:abstractNumId w:val="55"/>
    <w:lvlOverride w:ilvl="0">
      <w:startOverride w:val="1"/>
    </w:lvlOverride>
    <w:lvlOverride w:ilvl="1">
      <w:startOverride w:val="1"/>
    </w:lvlOverride>
    <w:lvlOverride w:ilvl="2"/>
    <w:lvlOverride w:ilvl="3"/>
    <w:lvlOverride w:ilvl="4"/>
    <w:lvlOverride w:ilvl="5"/>
    <w:lvlOverride w:ilvl="6"/>
    <w:lvlOverride w:ilvl="7"/>
    <w:lvlOverride w:ilvl="8"/>
  </w:num>
  <w:num w:numId="22">
    <w:abstractNumId w:val="15"/>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14"/>
  </w:num>
  <w:num w:numId="24">
    <w:abstractNumId w:val="97"/>
  </w:num>
  <w:num w:numId="25">
    <w:abstractNumId w:val="99"/>
  </w:num>
  <w:num w:numId="26">
    <w:abstractNumId w:val="91"/>
  </w:num>
  <w:num w:numId="27">
    <w:abstractNumId w:val="31"/>
  </w:num>
  <w:num w:numId="28">
    <w:abstractNumId w:val="93"/>
  </w:num>
  <w:num w:numId="29">
    <w:abstractNumId w:val="79"/>
  </w:num>
  <w:num w:numId="30">
    <w:abstractNumId w:val="66"/>
  </w:num>
  <w:num w:numId="31">
    <w:abstractNumId w:val="45"/>
  </w:num>
  <w:num w:numId="32">
    <w:abstractNumId w:val="64"/>
  </w:num>
  <w:num w:numId="33">
    <w:abstractNumId w:val="42"/>
  </w:num>
  <w:num w:numId="34">
    <w:abstractNumId w:val="24"/>
  </w:num>
  <w:num w:numId="35">
    <w:abstractNumId w:val="65"/>
  </w:num>
  <w:num w:numId="36">
    <w:abstractNumId w:val="85"/>
  </w:num>
  <w:num w:numId="37">
    <w:abstractNumId w:val="43"/>
  </w:num>
  <w:num w:numId="38">
    <w:abstractNumId w:val="83"/>
  </w:num>
  <w:num w:numId="39">
    <w:abstractNumId w:val="96"/>
  </w:num>
  <w:num w:numId="40">
    <w:abstractNumId w:val="4"/>
  </w:num>
  <w:num w:numId="41">
    <w:abstractNumId w:val="70"/>
  </w:num>
  <w:num w:numId="42">
    <w:abstractNumId w:val="32"/>
  </w:num>
  <w:num w:numId="43">
    <w:abstractNumId w:val="53"/>
  </w:num>
  <w:num w:numId="44">
    <w:abstractNumId w:val="12"/>
  </w:num>
  <w:num w:numId="45">
    <w:abstractNumId w:val="11"/>
  </w:num>
  <w:num w:numId="46">
    <w:abstractNumId w:val="63"/>
  </w:num>
  <w:num w:numId="47">
    <w:abstractNumId w:val="86"/>
  </w:num>
  <w:num w:numId="48">
    <w:abstractNumId w:val="17"/>
  </w:num>
  <w:num w:numId="49">
    <w:abstractNumId w:val="80"/>
  </w:num>
  <w:num w:numId="50">
    <w:abstractNumId w:val="23"/>
  </w:num>
  <w:num w:numId="51">
    <w:abstractNumId w:val="5"/>
  </w:num>
  <w:num w:numId="52">
    <w:abstractNumId w:val="41"/>
  </w:num>
  <w:num w:numId="53">
    <w:abstractNumId w:val="54"/>
  </w:num>
  <w:num w:numId="54">
    <w:abstractNumId w:val="10"/>
  </w:num>
  <w:num w:numId="55">
    <w:abstractNumId w:val="36"/>
  </w:num>
  <w:num w:numId="56">
    <w:abstractNumId w:val="36"/>
  </w:num>
  <w:num w:numId="57">
    <w:abstractNumId w:val="36"/>
  </w:num>
  <w:num w:numId="58">
    <w:abstractNumId w:val="101"/>
  </w:num>
  <w:num w:numId="59">
    <w:abstractNumId w:val="78"/>
  </w:num>
  <w:num w:numId="60">
    <w:abstractNumId w:val="25"/>
  </w:num>
  <w:num w:numId="61">
    <w:abstractNumId w:val="52"/>
  </w:num>
  <w:num w:numId="62">
    <w:abstractNumId w:val="62"/>
  </w:num>
  <w:num w:numId="63">
    <w:abstractNumId w:val="100"/>
  </w:num>
  <w:num w:numId="64">
    <w:abstractNumId w:val="16"/>
  </w:num>
  <w:num w:numId="65">
    <w:abstractNumId w:val="30"/>
  </w:num>
  <w:num w:numId="66">
    <w:abstractNumId w:val="95"/>
  </w:num>
  <w:num w:numId="67">
    <w:abstractNumId w:val="1"/>
  </w:num>
  <w:num w:numId="68">
    <w:abstractNumId w:val="38"/>
  </w:num>
  <w:num w:numId="69">
    <w:abstractNumId w:val="35"/>
  </w:num>
  <w:num w:numId="70">
    <w:abstractNumId w:val="88"/>
  </w:num>
  <w:num w:numId="71">
    <w:abstractNumId w:val="76"/>
  </w:num>
  <w:num w:numId="72">
    <w:abstractNumId w:val="73"/>
  </w:num>
  <w:num w:numId="73">
    <w:abstractNumId w:val="68"/>
  </w:num>
  <w:num w:numId="74">
    <w:abstractNumId w:val="69"/>
  </w:num>
  <w:num w:numId="75">
    <w:abstractNumId w:val="77"/>
  </w:num>
  <w:num w:numId="76">
    <w:abstractNumId w:val="49"/>
  </w:num>
  <w:num w:numId="77">
    <w:abstractNumId w:val="2"/>
  </w:num>
  <w:num w:numId="78">
    <w:abstractNumId w:val="48"/>
  </w:num>
  <w:num w:numId="79">
    <w:abstractNumId w:val="81"/>
  </w:num>
  <w:num w:numId="80">
    <w:abstractNumId w:val="59"/>
  </w:num>
  <w:num w:numId="81">
    <w:abstractNumId w:val="26"/>
  </w:num>
  <w:num w:numId="82">
    <w:abstractNumId w:val="20"/>
  </w:num>
  <w:num w:numId="83">
    <w:abstractNumId w:val="72"/>
  </w:num>
  <w:num w:numId="84">
    <w:abstractNumId w:val="74"/>
  </w:num>
  <w:num w:numId="85">
    <w:abstractNumId w:val="40"/>
  </w:num>
  <w:num w:numId="86">
    <w:abstractNumId w:val="94"/>
  </w:num>
  <w:num w:numId="87">
    <w:abstractNumId w:val="89"/>
  </w:num>
  <w:num w:numId="88">
    <w:abstractNumId w:val="28"/>
  </w:num>
  <w:num w:numId="89">
    <w:abstractNumId w:val="29"/>
  </w:num>
  <w:num w:numId="90">
    <w:abstractNumId w:val="34"/>
  </w:num>
  <w:num w:numId="9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98"/>
  </w:num>
  <w:num w:numId="93">
    <w:abstractNumId w:val="60"/>
  </w:num>
  <w:num w:numId="94">
    <w:abstractNumId w:val="46"/>
  </w:num>
  <w:num w:numId="95">
    <w:abstractNumId w:val="82"/>
  </w:num>
  <w:num w:numId="96">
    <w:abstractNumId w:val="18"/>
  </w:num>
  <w:num w:numId="97">
    <w:abstractNumId w:val="67"/>
  </w:num>
  <w:num w:numId="98">
    <w:abstractNumId w:val="19"/>
  </w:num>
  <w:num w:numId="99">
    <w:abstractNumId w:val="56"/>
  </w:num>
  <w:num w:numId="100">
    <w:abstractNumId w:val="27"/>
  </w:num>
  <w:num w:numId="101">
    <w:abstractNumId w:val="47"/>
  </w:num>
  <w:num w:numId="102">
    <w:abstractNumId w:val="21"/>
  </w:num>
  <w:num w:numId="103">
    <w:abstractNumId w:val="57"/>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fr-BE" w:vendorID="64" w:dllVersion="0" w:nlCheck="1" w:checkStyle="0"/>
  <w:activeWritingStyle w:appName="MSWord" w:lang="de-DE" w:vendorID="64" w:dllVersion="0" w:nlCheck="1" w:checkStyle="0"/>
  <w:activeWritingStyle w:appName="MSWord" w:lang="en-GB" w:vendorID="64" w:dllVersion="0" w:nlCheck="1" w:checkStyle="0"/>
  <w:activeWritingStyle w:appName="MSWord" w:lang="en-GB" w:vendorID="64" w:dllVersion="6" w:nlCheck="1" w:checkStyle="1"/>
  <w:activeWritingStyle w:appName="MSWord" w:lang="nl" w:vendorID="64" w:dllVersion="0" w:nlCheck="1" w:checkStyle="0"/>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uncil" w:val="true"/>
    <w:docVar w:name="CoverPageOnWordDoc" w:val="true"/>
    <w:docVar w:name="DocStatus" w:val="Green"/>
    <w:docVar w:name="DocuWriteMetaData" w:val="&lt;metadataset docuwriteversion=&quot;4.6.7&quot; technicalblockguid=&quot;5201506293278761070&quot;&gt;_x000d__x000a_  &lt;metadata key=&quot;md_DocumentLanguages&quot;&gt;_x000d__x000a_    &lt;basicdatatypelist&gt;_x000d__x000a_      &lt;language key=&quot;EN&quot; text=&quot;EN&quot; /&gt;_x000d__x000a_    &lt;/basicdatatypelist&gt;_x000d__x000a_  &lt;/metadata&gt;_x000d__x000a_  &lt;metadata key=&quot;md_OriginalLanguages&quot;&gt;_x000d__x000a_    &lt;basicdatatypelist&gt;_x000d__x000a_      &lt;language key=&quot;EN&quot; text=&quot;EN&quot; /&gt;_x000d__x000a_    &lt;/basicdatatypelist&gt;_x000d__x000a_  &lt;/metadata&gt;_x000d__x000a_  &lt;metadata key=&quot;md_DocumentLanguagesAutomatic&quot;&gt;_x000d__x000a_    &lt;text&gt;&lt;/text&gt;_x000d__x000a_  &lt;/metadata&gt;_x000d__x000a_  &lt;metadata key=&quot;md_UniqueHeading&quot;&gt;_x000d__x000a_    &lt;basicdatatype&gt;_x000d__x000a_      &lt;heading key=&quot;uh_66&quot; text=&quot;NOTE&quot; /&gt;_x000d__x000a_    &lt;/basicdatatype&gt;_x000d__x000a_  &lt;/metadata&gt;_x000d__x000a_  &lt;metadata key=&quot;md_HeadingText&quot;&gt;_x000d__x000a_    &lt;headingtext text=&quot;NOTE&quot;&gt;_x000d__x000a_      &lt;formattedtext&gt;_x000d__x000a_        &lt;xaml text=&quot;NOTE&quot;&gt;&amp;lt;FlowDocument xmlns=&quot;http://schemas.microsoft.com/winfx/2006/xaml/presentation&quot;&amp;gt;&amp;lt;Paragraph&amp;gt;NOTE&amp;lt;/Paragraph&amp;gt;&amp;lt;/FlowDocument&amp;gt;&lt;/xaml&gt;_x000d__x000a_      &lt;/formattedtext&gt;_x000d__x000a_    &lt;/headingtext&gt;_x000d__x000a_  &lt;/metadata&gt;_x000d__x000a_  &lt;metadata key=&quot;md_DocumentGroup&quot;&gt;_x000d__x000a_    &lt;basicdatatype&gt;_x000d__x000a_      &lt;document_group key=&quot;dg_12&quot; text=&quot;Cover Page&quot; /&gt;_x000d__x000a_    &lt;/basicdatatype&gt;_x000d__x000a_  &lt;/metadata&gt;_x000d__x000a_  &lt;metadata key=&quot;md_DocumentType&quot;&gt;_x000d__x000a_    &lt;basicdatatype&gt;_x000d__x000a_      &lt;doc_type key=&quot;dt_ST&quot; text=&quot;ST&quot; /&gt;_x000d__x000a_    &lt;/basicdatatype&gt;_x000d__x000a_  &lt;/metadata&gt;_x000d__x000a_  &lt;metadata key=&quot;md_InstitutionalFramework&quot;&gt;_x000d__x000a_    &lt;basicdatatype&gt;_x000d__x000a_      &lt;framework key=&quot;if_01&quot; text=&quot;Council of the European Union&quot; institution=&quot;instfr_institution&quot; acronym=&quot;instfr_acronym&quot; /&gt;_x000d__x000a_    &lt;/basicdatatype&gt;_x000d__x000a_  &lt;/metadata&gt;_x000d__x000a_  &lt;metadata key=&quot;md_DraftNote&quot; /&gt;_x000d__x000a_  &lt;metadata key=&quot;md_DGName&quot;&gt;_x000d__x000a_    &lt;basicdatatype&gt;_x000d__x000a_      &lt;dgname key=&quot;&quot; /&gt;_x000d__x000a_    &lt;/basicdatatype&gt;_x000d__x000a_  &lt;/metadata&gt;_x000d__x000a_  &lt;metadata key=&quot;md_ContributingService&quot;&gt;_x000d__x000a_    &lt;text&gt;&lt;/text&gt;_x000d__x000a_  &lt;/metadata&gt;_x000d__x000a_  &lt;metadata key=&quot;md_DocumentLocation&quot;&gt;_x000d__x000a_    &lt;basicdatatype&gt;_x000d__x000a_      &lt;location key=&quot;loc_01&quot; text=&quot;Brussels&quot; /&gt;_x000d__x000a_    &lt;/basicdatatype&gt;_x000d__x000a_  &lt;/metadata&gt;_x000d__x000a_  &lt;metadata key=&quot;md_DocumentDate&quot;&gt;_x000d__x000a_    &lt;text&gt;2022-06-13&lt;/text&gt;_x000d__x000a_  &lt;/metadata&gt;_x000d__x000a_  &lt;metadata key=&quot;md_Prefix&quot;&gt;_x000d__x000a_    &lt;text&gt;&lt;/text&gt;_x000d__x000a_  &lt;/metadata&gt;_x000d__x000a_  &lt;metadata key=&quot;md_DocumentNumber&quot;&gt;_x000d__x000a_    &lt;text&gt;9728&lt;/text&gt;_x000d__x000a_  &lt;/metadata&gt;_x000d__x000a_  &lt;metadata key=&quot;md_YearDocumentNumber&quot;&gt;_x000d__x000a_    &lt;text&gt;2022&lt;/text&gt;_x000d__x000a_  &lt;/metadata&gt;_x000d__x000a_  &lt;metadata key=&quot;md_Suffixes&quot;&gt;_x000d__x000a_    &lt;text&gt;ADD 1&lt;/text&gt;_x000d__x000a_  &lt;/metadata&gt;_x000d__x000a_  &lt;metadata key=&quot;md_SuffixLanguagesInvolved&quot;&gt;_x000d__x000a_    &lt;text&gt;&lt;/text&gt;_x000d__x000a_  &lt;/metadata&gt;_x000d__x000a_  &lt;metadata key=&quot;md_FirstRevNumber&quot;&gt;_x000d__x000a_    &lt;text&gt;&lt;/text&gt;_x000d__x000a_  &lt;/metadata&gt;_x000d__x000a_  &lt;metadata key=&quot;md_Distribution&quot;&gt;_x000d__x000a_    &lt;basicdatatype&gt;_x000d__x000a_      &lt;distribution key=&quot;dis_01&quot; text=&quot;PUBLIC&quot; /&gt;_x000d__x000a_    &lt;/basicdatatype&gt;_x000d__x000a_  &lt;/metadata&gt;_x000d__x000a_  &lt;metadata key=&quot;md_SubjectCodes&quot;&gt;_x000d__x000a_    &lt;textlist&gt;_x000d__x000a_      &lt;text&gt;ECOFIN 534&lt;/text&gt;_x000d__x000a_      &lt;text&gt;CADREFIN 95&lt;/text&gt;_x000d__x000a_      &lt;text&gt;UEM 139&lt;/text&gt;_x000d__x000a_      &lt;text&gt;FIN 594&lt;/text&gt;_x000d__x000a_    &lt;/textlist&gt;_x000d__x000a_  &lt;/metadata&gt;_x000d__x000a_  &lt;metadata key=&quot;md_Contact&quot; /&gt;_x000d__x000a_  &lt;metadata key=&quot;md_ContactPhoneFax&quot; /&gt;_x000d__x000a_  &lt;metadata key=&quot;md_MeetingVenue&quot; /&gt;_x000d__x000a_  &lt;metadata key=&quot;md_ProvisionalVersion&quot;&gt;_x000d__x000a_    &lt;text&gt;&lt;/text&gt;_x000d__x000a_  &lt;/metadata&gt;_x000d__x000a_  &lt;metadata key=&quot;md_PresidentInformation&quot; /&gt;_x000d__x000a_  &lt;metadata key=&quot;md_MeetingNumber&quot; /&gt;_x000d__x000a_  &lt;metadata key=&quot;md_CouncilConfiguration&quot; /&gt;_x000d__x000a_  &lt;metadata key=&quot;md_CouncilIssue&quot; /&gt;_x000d__x000a_  &lt;metadata key=&quot;md_PhoneNumber&quot; /&gt;_x000d__x000a_  &lt;metadata key=&quot;md_TypeOfHeading&quot;&gt;_x000d__x000a_    &lt;basicdatatype&gt;_x000d__x000a_      &lt;typeofheading key=&quot;&quot; /&gt;_x000d__x000a_    &lt;/basicdatatype&gt;_x000d__x000a_  &lt;/metadata&gt;_x000d__x000a_  &lt;metadata key=&quot;md_ReplyName&quot; /&gt;_x000d__x000a_  &lt;metadata key=&quot;md_EPQuestionsData&quot; /&gt;_x000d__x000a_  &lt;metadata key=&quot;md_Deadline&quot; /&gt;_x000d__x000a_  &lt;metadata key=&quot;md_InterinstitutionalFiles&quot;&gt;_x000d__x000a_    &lt;textlist&gt;_x000d__x000a_      &lt;text&gt;2022/0181 (NLE)&lt;/text&gt;_x000d__x000a_    &lt;/textlist&gt;_x000d__x000a_  &lt;/metadata&gt;_x000d__x000a_  &lt;metadata key=&quot;md_AdditionalReferences&quot;&gt;_x000d__x000a_    &lt;textlist /&gt;_x000d__x000a_  &lt;/metadata&gt;_x000d__x000a_  &lt;metadata key=&quot;md_LEXNumber&quot;&gt;_x000d__x000a_    &lt;text&gt;&lt;/text&gt;_x000d__x000a_  &lt;/metadata&gt;_x000d__x000a_  &lt;metadata key=&quot;md_SousEmbargo&quot;&gt;_x000d__x000a_    &lt;text&gt;&lt;/text&gt;_x000d__x000a_  &lt;/metadata&gt;_x000d__x000a_  &lt;metadata key=&quot;md_DraftVersion&quot;&gt;_x000d__x000a_    &lt;text&gt;&lt;/text&gt;_x000d__x000a_  &lt;/metadata&gt;_x000d__x000a_  &lt;metadata key=&quot;md_Originator&quot;&gt;_x000d__x000a_    &lt;basicdatatype&gt;_x000d__x000a_      &lt;originator key=&quot;or_09&quot; text=&quot;General Secretariat of the Council&quot; /&gt;_x000d__x000a_    &lt;/basicdatatype&gt;_x000d__x000a_  &lt;/metadata&gt;_x000d__x000a_  &lt;metadata key=&quot;md_Recipient&quot;&gt;_x000d__x000a_    &lt;basicdatatype&gt;_x000d__x000a_      &lt;recipient key=&quot;re_07&quot; text=&quot;Delegations&quot; /&gt;_x000d__x000a_    &lt;/basicdatatype&gt;_x000d__x000a_  &lt;/metadata&gt;_x000d__x000a_  &lt;metadata key=&quot;md_DateOfReceipt&quot;&gt;_x000d__x000a_    &lt;text&gt;&lt;/text&gt;_x000d__x000a_  &lt;/metadata&gt;_x000d__x000a_  &lt;metadata key=&quot;md_FreeDate&quot;&gt;_x000d__x000a_    &lt;textlist /&gt;_x000d__x000a_  &lt;/metadata&gt;_x000d__x000a_  &lt;metadata key=&quot;md_PrecedingDocuments&quot;&gt;_x000d__x000a_    &lt;textlist /&gt;_x000d__x000a_  &lt;/metadata&gt;_x000d__x000a_  &lt;metadata key=&quot;md_CommissionDocuments&quot;&gt;_x000d__x000a_    &lt;textlist /&gt;_x000d__x000a_  &lt;/metadata&gt;_x000d__x000a_  &lt;metadata key=&quot;md_DocForDWNDCL&quot; /&gt;_x000d__x000a_  &lt;metadata key=&quot;md_Distribution_NewClassification&quot; /&gt;_x000d__x000a_  &lt;metadata key=&quot;md_DWNDCLAuthorization&quot; /&gt;_x000d__x000a_  &lt;metadata key=&quot;md_DateOfAuthorization&quot; /&gt;_x000d__x000a_  &lt;metadata key=&quot;md_MeetingLocation&quot; /&gt;_x000d__x000a_  &lt;metadata key=&quot;md_MeetingDate&quot; /&gt;_x000d__x000a_  &lt;metadata key=&quot;md_DateFormatOr&quot;&gt;_x000d__x000a_    &lt;text&gt;&lt;/text&gt;_x000d__x000a_  &lt;/metadata&gt;_x000d__x000a_  &lt;metadata key=&quot;md_MeetingInformation&quot; /&gt;_x000d__x000a_  &lt;metadata key=&quot;md_Item&quot; /&gt;_x000d__x000a_  &lt;metadata key=&quot;md_SubjectPrefix&quot;&gt;_x000d__x000a_    &lt;text&gt;&lt;/text&gt;_x000d__x000a_  &lt;/metadata&gt;_x000d__x000a_  &lt;metadata key=&quot;md_Subject&quot;&gt;_x000d__x000a_    &lt;xaml text=&quot;ANNEX to the Proposal for a Council Implementing Decision on the approval of the assessment of the recovery and resilience plan for Poland&quot;&gt;&amp;lt;FlowDocument FontFamily=&quot;Segoe UI&quot; FontSize=&quot;12&quot; LineHeight=&quot;6&quot; PageWidth=&quot;329&quot; PagePadding=&quot;2,2,2,2&quot; AllowDrop=&quot;False&quot; xmlns=&quot;http://schemas.microsoft.com/winfx/2006/xaml/presentation&quot; xmlns:x=&quot;http://schemas.microsoft.com/winfx/2006/xaml&quot;&amp;gt;&amp;lt;Paragraph&amp;gt;ANNEX to the&amp;lt;Run xml:lang=&quot;fr-be&quot; xml:space=&quot;preserve&quot;&amp;gt; Proposal for a &amp;lt;/Run&amp;gt;Council Implementing Decision on the approval of the assessment of the recovery and resilience plan for &amp;lt;Run xml:lang=&quot;fr-be&quot;&amp;gt;Poland&amp;lt;/Run&amp;gt;&amp;lt;/Paragraph&amp;gt;&amp;lt;/FlowDocument&amp;gt;&lt;/xaml&gt;_x000d__x000a_  &lt;/metadata&gt;_x000d__x000a_  &lt;metadata key=&quot;md_SubjectFootnote&quot; /&gt;_x000d__x000a_  &lt;metadata key=&quot;md_DG&quot;&gt;_x000d__x000a_    &lt;text&gt;ECOFIN 1A&lt;/text&gt;_x000d__x000a_  &lt;/metadata&gt;_x000d__x000a_  &lt;metadata key=&quot;md_Initials&quot;&gt;_x000d__x000a_    &lt;text&gt;JGR/sr&lt;/text&gt;_x000d__x000a_  &lt;/metadata&gt;_x000d__x000a_  &lt;metadata key=&quot;md_RectifProcedureType&quot;&gt;_x000d__x000a_    &lt;basicdatatype&gt;_x000d__x000a_      &lt;rectifprocedure key=&quot;&quot; /&gt;_x000d__x000a_    &lt;/basicdatatype&gt;_x000d__x000a_  &lt;/metadata&gt;_x000d__x000a_  &lt;metadata key=&quot;md_RectifLanguagesBase&quot; /&gt;_x000d__x000a_  &lt;metadata key=&quot;md_RectifLanguagesConcerned&quot; /&gt;_x000d__x000a_  &lt;metadata key=&quot;md_RectifIsLangSpec&quot; /&gt;_x000d__x000a_  &lt;metadata key=&quot;md_RectifLangSpecValue&quot; /&gt;_x000d__x000a_  &lt;metadata key=&quot;md_RectifNumberOfMistakes&quot; /&gt;_x000d__x000a_  &lt;metadata key=&quot;md_RectifHasRemarks&quot; /&gt;_x000d__x000a_  &lt;metadata key=&quot;md_RectifUseDocRef&quot; /&gt;_x000d__x000a_  &lt;metadata key=&quot;md_RectifDocRefNumber&quot; /&gt;_x000d__x000a_  &lt;metadata key=&quot;md_RectifDocRefDate&quot; /&gt;_x000d__x000a_  &lt;metadata key=&quot;md_RectifUseOJRef&quot; /&gt;_x000d__x000a_  &lt;metadata key=&quot;md_RectifOJRefType&quot; /&gt;_x000d__x000a_  &lt;metadata key=&quot;md_RectifOJLRefNumber&quot; /&gt;_x000d__x000a_  &lt;metadata key=&quot;md_RectifOJCRefNumber&quot; /&gt;_x000d__x000a_  &lt;metadata key=&quot;md_RectifOJLRefDate&quot; /&gt;_x000d__x000a_  &lt;metadata key=&quot;md_RectifOJCRefDate&quot; /&gt;_x000d__x000a_  &lt;metadata key=&quot;md_RectifOJLRefPage&quot; /&gt;_x000d__x000a_  &lt;metadata key=&quot;md_RectifOJCRefPage&quot; /&gt;_x000d__x000a_  &lt;metadata key=&quot;md_RectifUseOJCorRef&quot; /&gt;_x000d__x000a_  &lt;metadata key=&quot;md_RectifOJCorRefNumber&quot; /&gt;_x000d__x000a_  &lt;metadata key=&quot;md_RectifOJCorRefDate&quot; /&gt;_x000d__x000a_  &lt;metadata key=&quot;md_RectifOJCorRefPage&quot; /&gt;_x000d__x000a_  &lt;metadata key=&quot;md_RectifTimeLimit&quot; /&gt;_x000d__x000a_  &lt;metadata key=&quot;md_RectifCodecision&quot; /&gt;_x000d__x000a_  &lt;metadata key=&quot;md_RectifCorrectionNewLang&quot; /&gt;_x000d__x000a_  &lt;metadata key=&quot;md_RectifAgreement&quot; /&gt;_x000d__x000a_  &lt;metadata key=&quot;md_RectifSignature&quot; /&gt;_x000d__x000a_  &lt;metadata key=&quot;md_RectifLastMergeDate&quot; /&gt;_x000d__x000a_  &lt;metadata key=&quot;md_Rectif_Source1_UniqueHeading&quot;&gt;_x000d__x000a_    &lt;basicdatatype&gt;_x000d__x000a_      &lt;text&gt;&lt;/text&gt;_x000d__x000a_    &lt;/basicdatatype&gt;_x000d__x000a_  &lt;/metadata&gt;_x000d__x000a_  &lt;metadata key=&quot;md_Rectif_Source1_DocumentType&quot;&gt;_x000d__x000a_    &lt;basicdatatype&gt;_x000d__x000a_      &lt;doc_type key=&quot;&quot; /&gt;_x000d__x000a_    &lt;/basicdatatype&gt;_x000d__x000a_  &lt;/metadata&gt;_x000d__x000a_  &lt;metadata key=&quot;md_Rectif_Source1_DocumentNumber&quot;&gt;_x000d__x000a_    &lt;text&gt;&lt;/text&gt;_x000d__x000a_  &lt;/metadata&gt;_x000d__x000a_  &lt;metadata key=&quot;md_Rectif_Source1_YearDocumentNumber&quot;&gt;_x000d__x000a_    &lt;text&gt;2022&lt;/text&gt;_x000d__x000a_  &lt;/metadata&gt;_x000d__x000a_  &lt;metadata key=&quot;md_Rectif_Source1_Suffixes&quot;&gt;_x000d__x000a_    &lt;text&gt;&lt;/text&gt;_x000d__x000a_  &lt;/metadata&gt;_x000d__x000a_  &lt;metadata key=&quot;md_Rectif_Source2_UniqueHeading&quot;&gt;_x000d__x000a_    &lt;basicdatatype&gt;_x000d__x000a_      &lt;text&gt;&lt;/text&gt;_x000d__x000a_    &lt;/basicdatatype&gt;_x000d__x000a_  &lt;/metadata&gt;_x000d__x000a_  &lt;metadata key=&quot;md_Rectif_Source2_DocumentType&quot;&gt;_x000d__x000a_    &lt;basicdatatype&gt;_x000d__x000a_      &lt;doc_type key=&quot;&quot; /&gt;_x000d__x000a_    &lt;/basicdatatype&gt;_x000d__x000a_  &lt;/metadata&gt;_x000d__x000a_  &lt;metadata key=&quot;md_Rectif_Source2_DocumentNumber&quot;&gt;_x000d__x000a_    &lt;text&gt;&lt;/text&gt;_x000d__x000a_  &lt;/metadata&gt;_x000d__x000a_  &lt;metadata key=&quot;md_Rectif_Source2_YearDocumentNumber&quot;&gt;_x000d__x000a_    &lt;text&gt;&lt;/text&gt;_x000d__x000a_  &lt;/metadata&gt;_x000d__x000a_  &lt;metadata key=&quot;md_Rectif_Source2_Suffixes&quot;&gt;_x000d__x000a_    &lt;text&gt;&lt;/text&gt;_x000d__x000a_  &lt;/metadata&gt;_x000d__x000a_  &lt;metadata key=&quot;md_CoverPageDocWithCouncilFooter&quot;&gt;_x000d__x000a_    &lt;text&gt;false&lt;/text&gt;_x000d__x000a_  &lt;/metadata&gt;_x000d__x000a_  &lt;metadata key=&quot;md_SourceDocLanguage&quot;&gt;_x000d__x000a_    &lt;text&gt;EN&lt;/text&gt;_x000d__x000a_  &lt;/metadata&gt;_x000d__x000a_  &lt;metadata key=&quot;md_SourceDocType&quot;&gt;_x000d__x000a_    &lt;text&gt;&lt;/text&gt;_x000d__x000a_  &lt;/metadata&gt;_x000d__x000a_  &lt;metadata key=&quot;md_SourceDocTitle&quot;&gt;_x000d__x000a_    &lt;text&gt;&lt;/text&gt;_x000d__x000a_  &lt;/metadata&gt;_x000d__x000a_  &lt;metadata key=&quot;md_SourceDocIsCECDoc&quot;&gt;_x000d__x000a_    &lt;text&gt;false&lt;/text&gt;_x000d__x000a_  &lt;/metadata&gt;_x000d__x000a_  &lt;metadata key=&quot;md_NB1&quot; /&gt;_x000d__x000a_  &lt;metadata key=&quot;md_NB2&quot; /&gt;_x000d__x000a_  &lt;metadata key=&quot;md_NB3&quot; /&gt;_x000d__x000a_  &lt;metadata key=&quot;md_NB4&quot; /&gt;_x000d__x000a_  &lt;metadata key=&quot;md_NB5&quot; /&gt;_x000d__x000a_  &lt;metadata key=&quot;md_CustomNB&quot; /&gt;_x000d__x000a_  &lt;metadata key=&quot;md_Meetings&quot; /&gt;_x000d__x000a_  &lt;metadata key=&quot;md_VisualRepresentation&quot;&gt;_x000d__x000a_    &lt;basicdatatype&gt;_x000d__x000a_      &lt;visualrepresentation key=&quot;visrep_02&quot; text=&quot;New visual identity&quot; /&gt;_x000d__x000a_    &lt;/basicdatatype&gt;_x000d__x000a_  &lt;/metadata&gt;_x000d__x000a_  &lt;metadata key=&quot;md_LetterData&quot; /&gt;_x000d__x000a_  &lt;metadata key=&quot;md_InstFrSubWordmark&quot;&gt;_x000d__x000a_    &lt;xaml text=&quot;&quot;&gt;&amp;lt;FlowDocument FontFamily=&quot;Segoe UI&quot; FontSize=&quot;12&quot; PagePadding=&quot;2,2,2,2&quot; AllowDrop=&quot;False&quot; xmlns=&quot;http://schemas.microsoft.com/winfx/2006/xaml/presentation&quot; /&amp;gt;&lt;/xaml&gt;_x000d__x000a_  &lt;/metadata&gt;_x000d__x000a_  &lt;metadata key=&quot;md_WorkflowLinkStatus&quot;&gt;_x000d__x000a_    &lt;text&gt;&lt;/text&gt;_x000d__x000a_  &lt;/metadata&gt;_x000d__x000a_  &lt;metadata key=&quot;md_eAgendaLinkStatus&quot; /&gt;_x000d__x000a_  &lt;metadata key=&quot;md_Caveat&quot;&gt;_x000d__x000a_    &lt;text&gt;&lt;/text&gt;_x000d__x000a_  &lt;/metadata&gt;_x000d__x000a_  &lt;metadata key=&quot;md_TechnicalKey&quot; /&gt;_x000d__x000a_&lt;/metadataset&gt;"/>
    <w:docVar w:name="DocuWriteMetaDataSource1" w:val="&lt;metadataset docuwriteversion=&quot;4.6.7&quot; technicalblockguid=&quot;5700739295070080227&quot;&gt;_x000d__x000a_  &lt;metadata key=&quot;md_DocumentLanguages&quot;&gt;_x000d__x000a_    &lt;basicdatatypelist&gt;_x000d__x000a_      &lt;language key=&quot;EN&quot; text=&quot;EN&quot; /&gt;_x000d__x000a_    &lt;/basicdatatypelist&gt;_x000d__x000a_  &lt;/metadata&gt;_x000d__x000a_  &lt;metadata key=&quot;md_OriginalLanguages&quot;&gt;_x000d__x000a_    &lt;basicdatatypelist&gt;_x000d__x000a_      &lt;language key=&quot;EN&quot; text=&quot;EN&quot; /&gt;_x000d__x000a_    &lt;/basicdatatypelist&gt;_x000d__x000a_  &lt;/metadata&gt;_x000d__x000a_  &lt;metadata key=&quot;md_UniqueHeading&quot;&gt;_x000d__x000a_    &lt;basicdatatype&gt;_x000d__x000a_      &lt;heading key=&quot;uh_64&quot; text=&quot;COVER NOTE&quot; /&gt;_x000d__x000a_    &lt;/basicdatatype&gt;_x000d__x000a_  &lt;/metadata&gt;_x000d__x000a_  &lt;metadata key=&quot;md_HeadingText&quot;&gt;_x000d__x000a_    &lt;headingtext text=&quot;COVER NOTE&quot;&gt;_x000d__x000a_      &lt;formattedtext&gt;_x000d__x000a_        &lt;xaml text=&quot;COVER NOTE&quot;&gt;&amp;lt;FlowDocument xmlns=&quot;http://schemas.microsoft.com/winfx/2006/xaml/presentation&quot;&amp;gt;&amp;lt;Paragraph&amp;gt;COVER NOTE&amp;lt;/Paragraph&amp;gt;&amp;lt;/FlowDocument&amp;gt;&lt;/xaml&gt;_x000d__x000a_      &lt;/formattedtext&gt;_x000d__x000a_    &lt;/headingtext&gt;_x000d__x000a_  &lt;/metadata&gt;_x000d__x000a_  &lt;metadata key=&quot;md_DocumentGroup&quot;&gt;_x000d__x000a_    &lt;basicdatatype&gt;_x000d__x000a_      &lt;document_group key=&quot;dg_12&quot; text=&quot;Cover Page&quot; /&gt;_x000d__x000a_    &lt;/basicdatatype&gt;_x000d__x000a_  &lt;/metadata&gt;_x000d__x000a_  &lt;metadata key=&quot;md_DocumentType&quot;&gt;_x000d__x000a_    &lt;basicdatatype&gt;_x000d__x000a_      &lt;doc_type key=&quot;dt_ST&quot; text=&quot;ST&quot; /&gt;_x000d__x000a_    &lt;/basicdatatype&gt;_x000d__x000a_  &lt;/metadata&gt;_x000d__x000a_  &lt;metadata key=&quot;md_InstitutionalFramework&quot;&gt;_x000d__x000a_    &lt;basicdatatype&gt;_x000d__x000a_      &lt;framework key=&quot;if_01&quot; text=&quot;Council of the European Union&quot; institution=&quot;instfr_institution&quot; acronym=&quot;instfr_acronym&quot; /&gt;_x000d__x000a_    &lt;/basicdatatype&gt;_x000d__x000a_  &lt;/metadata&gt;_x000d__x000a_  &lt;metadata key=&quot;md_DraftNote&quot; /&gt;_x000d__x000a_  &lt;metadata key=&quot;md_DGName&quot;&gt;_x000d__x000a_    &lt;basicdatatype&gt;_x000d__x000a_      &lt;dgname key=&quot;&quot; /&gt;_x000d__x000a_    &lt;/basicdatatype&gt;_x000d__x000a_  &lt;/metadata&gt;_x000d__x000a_  &lt;metadata key=&quot;md_ContributingService&quot;&gt;_x000d__x000a_    &lt;text&gt;&lt;/text&gt;_x000d__x000a_  &lt;/metadata&gt;_x000d__x000a_  &lt;metadata key=&quot;md_DocumentLocation&quot;&gt;_x000d__x000a_    &lt;basicdatatype&gt;_x000d__x000a_      &lt;location key=&quot;loc_01&quot; text=&quot;Brussels&quot; /&gt;_x000d__x000a_    &lt;/basicdatatype&gt;_x000d__x000a_  &lt;/metadata&gt;_x000d__x000a_  &lt;metadata key=&quot;md_DocumentDate&quot;&gt;_x000d__x000a_    &lt;text&gt;2022-06-02&lt;/text&gt;_x000d__x000a_  &lt;/metadata&gt;_x000d__x000a_  &lt;metadata key=&quot;md_Prefix&quot;&gt;_x000d__x000a_    &lt;text&gt;&lt;/text&gt;_x000d__x000a_  &lt;/metadata&gt;_x000d__x000a_  &lt;metadata key=&quot;md_DocumentNumber&quot;&gt;_x000d__x000a_    &lt;text&gt;9725&lt;/text&gt;_x000d__x000a_  &lt;/metadata&gt;_x000d__x000a_  &lt;metadata key=&quot;md_YearDocumentNumber&quot;&gt;_x000d__x000a_    &lt;text&gt;2022&lt;/text&gt;_x000d__x000a_  &lt;/metadata&gt;_x000d__x000a_  &lt;metadata key=&quot;md_Suffixes&quot;&gt;_x000d__x000a_    &lt;text&gt;ADD 1&lt;/text&gt;_x000d__x000a_  &lt;/metadata&gt;_x000d__x000a_  &lt;metadata key=&quot;md_SuffixLanguagesInvolved&quot;&gt;_x000d__x000a_    &lt;text&gt;&lt;/text&gt;_x000d__x000a_  &lt;/metadata&gt;_x000d__x000a_  &lt;metadata key=&quot;md_FirstRevNumber&quot;&gt;_x000d__x000a_    &lt;text&gt;&lt;/text&gt;_x000d__x000a_  &lt;/metadata&gt;_x000d__x000a_  &lt;metadata key=&quot;md_Distribution&quot;&gt;_x000d__x000a_    &lt;basicdatatype&gt;_x000d__x000a_      &lt;distribution key=&quot;dis_01&quot; text=&quot;PUBLIC&quot; /&gt;_x000d__x000a_    &lt;/basicdatatype&gt;_x000d__x000a_  &lt;/metadata&gt;_x000d__x000a_  &lt;metadata key=&quot;md_SubjectCodes&quot;&gt;_x000d__x000a_    &lt;textlist&gt;_x000d__x000a_      &lt;text&gt;ECOFIN 532&lt;/text&gt;_x000d__x000a_      &lt;text&gt;UEM 138&lt;/text&gt;_x000d__x000a_      &lt;text&gt;FIN 593&lt;/text&gt;_x000d__x000a_    &lt;/textlist&gt;_x000d__x000a_  &lt;/metadata&gt;_x000d__x000a_  &lt;metadata key=&quot;md_Contact&quot; /&gt;_x000d__x000a_  &lt;metadata key=&quot;md_ContactPhoneFax&quot; /&gt;_x000d__x000a_  &lt;metadata key=&quot;md_MeetingVenue&quot; /&gt;_x000d__x000a_  &lt;metadata key=&quot;md_ProvisionalVersion&quot;&gt;_x000d__x000a_    &lt;text&gt;&lt;/text&gt;_x000d__x000a_  &lt;/metadata&gt;_x000d__x000a_  &lt;metadata key=&quot;md_PresidentInformation&quot; /&gt;_x000d__x000a_  &lt;metadata key=&quot;md_MeetingNumber&quot; /&gt;_x000d__x000a_  &lt;metadata key=&quot;md_CouncilConfiguration&quot; /&gt;_x000d__x000a_  &lt;metadata key=&quot;md_CouncilIssue&quot; /&gt;_x000d__x000a_  &lt;metadata key=&quot;md_PhoneNumber&quot; /&gt;_x000d__x000a_  &lt;metadata key=&quot;md_TypeOfHeading&quot;&gt;_x000d__x000a_    &lt;basicdatatype&gt;_x000d__x000a_      &lt;typeofheading key=&quot;typeofhead_06&quot; text=&quot;Other&quot; /&gt;_x000d__x000a_    &lt;/basicdatatype&gt;_x000d__x000a_  &lt;/metadata&gt;_x000d__x000a_  &lt;metadata key=&quot;md_ReplyName&quot; /&gt;_x000d__x000a_  &lt;metadata key=&quot;md_EPQuestionsData&quot; /&gt;_x000d__x000a_  &lt;metadata key=&quot;md_Deadline&quot; /&gt;_x000d__x000a_  &lt;metadata key=&quot;md_InterinstitutionalFiles&quot;&gt;_x000d__x000a_    &lt;textlist&gt;_x000d__x000a_      &lt;text&gt;2022/0181 (NLE)&lt;/text&gt;_x000d__x000a_    &lt;/textlist&gt;_x000d__x000a_  &lt;/metadata&gt;_x000d__x000a_  &lt;metadata key=&quot;md_AdditionalReferences&quot; /&gt;_x000d__x000a_  &lt;metadata key=&quot;md_LEXNumber&quot; /&gt;_x000d__x000a_  &lt;metadata key=&quot;md_SousEmbargo&quot;&gt;_x000d__x000a_    &lt;text&gt;&lt;/text&gt;_x000d__x000a_  &lt;/metadata&gt;_x000d__x000a_  &lt;metadata key=&quot;md_DraftVersion&quot;&gt;_x000d__x000a_    &lt;text&gt;&lt;/text&gt;_x000d__x000a_  &lt;/metadata&gt;_x000d__x000a_  &lt;metadata key=&quot;md_Originator&quot;&gt;_x000d__x000a_    &lt;basicdatatype&gt;_x000d__x000a_      &lt;originator key=&quot;or_33&quot; text=&quot;Secretary-General of the European Commission, signed by Ms Martine DEPREZ, Director&quot; /&gt;_x000d__x000a_    &lt;/basicdatatype&gt;_x000d__x000a_  &lt;/metadata&gt;_x000d__x000a_  &lt;metadata key=&quot;md_Recipient&quot;&gt;_x000d__x000a_    &lt;basicdatatype&gt;_x000d__x000a_      &lt;recipient key=&quot;re_11&quot; text=&quot;General Secretariat of the Council&quot; /&gt;_x000d__x000a_    &lt;/basicdatatype&gt;_x000d__x000a_  &lt;/metadata&gt;_x000d__x000a_  &lt;metadata key=&quot;md_DateOfReceipt&quot;&gt;_x000d__x000a_    &lt;text&gt;2022-06-02&lt;/text&gt;_x000d__x000a_  &lt;/metadata&gt;_x000d__x000a_  &lt;metadata key=&quot;md_FreeDate&quot;&gt;_x000d__x000a_    &lt;textlist /&gt;_x000d__x000a_  &lt;/metadata&gt;_x000d__x000a_  &lt;metadata key=&quot;md_PrecedingDocuments&quot;&gt;_x000d__x000a_    &lt;textlist /&gt;_x000d__x000a_  &lt;/metadata&gt;_x000d__x000a_  &lt;metadata key=&quot;md_CommissionDocuments&quot;&gt;_x000d__x000a_    &lt;textlist&gt;_x000d__x000a_      &lt;text&gt;COM(2022) 268 final&lt;/text&gt;_x000d__x000a_    &lt;/textlist&gt;_x000d__x000a_  &lt;/metadata&gt;_x000d__x000a_  &lt;metadata key=&quot;md_DocForDWNDCL&quot; /&gt;_x000d__x000a_  &lt;metadata key=&quot;md_Distribution_NewClassification&quot; /&gt;_x000d__x000a_  &lt;metadata key=&quot;md_DWNDCLAuthorization&quot; /&gt;_x000d__x000a_  &lt;metadata key=&quot;md_DateOfAuthorization&quot; /&gt;_x000d__x000a_  &lt;metadata key=&quot;md_MeetingLocation&quot; /&gt;_x000d__x000a_  &lt;metadata key=&quot;md_MeetingDate&quot; /&gt;_x000d__x000a_  &lt;metadata key=&quot;md_DateFormatOr&quot;&gt;_x000d__x000a_    &lt;text&gt;&lt;/text&gt;_x000d__x000a_  &lt;/metadata&gt;_x000d__x000a_  &lt;metadata key=&quot;md_MeetingInformation&quot; /&gt;_x000d__x000a_  &lt;metadata key=&quot;md_Item&quot; /&gt;_x000d__x000a_  &lt;metadata key=&quot;md_SubjectPrefix&quot;&gt;_x000d__x000a_    &lt;text&gt;&lt;/text&gt;_x000d__x000a_  &lt;/metadata&gt;_x000d__x000a_  &lt;metadata key=&quot;md_Subject&quot;&gt;_x000d__x000a_    &lt;xaml text=&quot;ANNEXES to the Proposal for a Council Implementing Decision on the approval of the assessment of the recovery and resilience plan for Poland&quot;&gt;&amp;lt;FlowDocument FontFamily=&quot;Segoe UI&quot; FontSize=&quot;12&quot; PagePadding=&quot;2,2,2,2&quot; AllowDrop=&quot;False&quot; xmlns=&quot;http://schemas.microsoft.com/winfx/2006/xaml/presentation&quot;&amp;gt;&amp;lt;Paragraph&amp;gt;ANNEXES to the Proposal for a Council Implementing Decision on the approval of the assessment of the recovery and resilience plan for Poland&amp;lt;/Paragraph&amp;gt;&amp;lt;/FlowDocument&amp;gt;&lt;/xaml&gt;_x000d__x000a_  &lt;/metadata&gt;_x000d__x000a_  &lt;metadata key=&quot;md_SubjectFootnote&quot; /&gt;_x000d__x000a_  &lt;metadata key=&quot;md_DG&quot;&gt;_x000d__x000a_    &lt;text&gt;ECOFIN 1A&lt;/text&gt;_x000d__x000a_  &lt;/metadata&gt;_x000d__x000a_  &lt;metadata key=&quot;md_Initials&quot;&gt;_x000d__x000a_    &lt;text&gt;JPS/sr&lt;/text&gt;_x000d__x000a_  &lt;/metadata&gt;_x000d__x000a_  &lt;metadata key=&quot;md_RectifProcedureType&quot;&gt;_x000d__x000a_    &lt;basicdatatype&gt;_x000d__x000a_      &lt;rectifprocedure key=&quot;&quot; /&gt;_x000d__x000a_    &lt;/basicdatatype&gt;_x000d__x000a_  &lt;/metadata&gt;_x000d__x000a_  &lt;metadata key=&quot;md_RectifLanguagesBase&quot; /&gt;_x000d__x000a_  &lt;metadata key=&quot;md_RectifLanguagesConcerned&quot; /&gt;_x000d__x000a_  &lt;metadata key=&quot;md_RectifIsLangSpec&quot; /&gt;_x000d__x000a_  &lt;metadata key=&quot;md_RectifLangSpecValue&quot; /&gt;_x000d__x000a_  &lt;metadata key=&quot;md_RectifNumberOfMistakes&quot; /&gt;_x000d__x000a_  &lt;metadata key=&quot;md_RectifHasRemarks&quot; /&gt;_x000d__x000a_  &lt;metadata key=&quot;md_RectifUseDocRef&quot; /&gt;_x000d__x000a_  &lt;metadata key=&quot;md_RectifDocRefNumber&quot; /&gt;_x000d__x000a_  &lt;metadata key=&quot;md_RectifDocRefDate&quot; /&gt;_x000d__x000a_  &lt;metadata key=&quot;md_RectifUseOJRef&quot; /&gt;_x000d__x000a_  &lt;metadata key=&quot;md_RectifOJRefType&quot; /&gt;_x000d__x000a_  &lt;metadata key=&quot;md_RectifOJLRefNumber&quot; /&gt;_x000d__x000a_  &lt;metadata key=&quot;md_RectifOJCRefNumber&quot; /&gt;_x000d__x000a_  &lt;metadata key=&quot;md_RectifOJLRefDate&quot; /&gt;_x000d__x000a_  &lt;metadata key=&quot;md_RectifOJCRefDate&quot; /&gt;_x000d__x000a_  &lt;metadata key=&quot;md_RectifOJLRefPage&quot; /&gt;_x000d__x000a_  &lt;metadata key=&quot;md_RectifOJCRefPage&quot; /&gt;_x000d__x000a_  &lt;metadata key=&quot;md_RectifUseOJCorRef&quot; /&gt;_x000d__x000a_  &lt;metadata key=&quot;md_RectifOJCorRefNumber&quot; /&gt;_x000d__x000a_  &lt;metadata key=&quot;md_RectifOJCorRefDate&quot; /&gt;_x000d__x000a_  &lt;metadata key=&quot;md_RectifOJCorRefPage&quot; /&gt;_x000d__x000a_  &lt;metadata key=&quot;md_RectifTimeLimit&quot; /&gt;_x000d__x000a_  &lt;metadata key=&quot;md_RectifCodecision&quot; /&gt;_x000d__x000a_  &lt;metadata key=&quot;md_RectifCorrectionNewLang&quot; /&gt;_x000d__x000a_  &lt;metadata key=&quot;md_RectifAgreement&quot; /&gt;_x000d__x000a_  &lt;metadata key=&quot;md_RectifSignature&quot; /&gt;_x000d__x000a_  &lt;metadata key=&quot;md_RectifLastMergeDate&quot; /&gt;_x000d__x000a_  &lt;metadata key=&quot;md_Rectif_Source1_UniqueHeading&quot;&gt;_x000d__x000a_    &lt;basicdatatype&gt;_x000d__x000a_      &lt;text&gt;&lt;/text&gt;_x000d__x000a_    &lt;/basicdatatype&gt;_x000d__x000a_  &lt;/metadata&gt;_x000d__x000a_  &lt;metadata key=&quot;md_Rectif_Source1_DocumentType&quot;&gt;_x000d__x000a_    &lt;basicdatatype&gt;_x000d__x000a_      &lt;doc_type key=&quot;&quot; /&gt;_x000d__x000a_    &lt;/basicdatatype&gt;_x000d__x000a_  &lt;/metadata&gt;_x000d__x000a_  &lt;metadata key=&quot;md_Rectif_Source1_DocumentNumber&quot;&gt;_x000d__x000a_    &lt;text&gt;&lt;/text&gt;_x000d__x000a_  &lt;/metadata&gt;_x000d__x000a_  &lt;metadata key=&quot;md_Rectif_Source1_YearDocumentNumber&quot;&gt;_x000d__x000a_    &lt;text&gt;2022&lt;/text&gt;_x000d__x000a_  &lt;/metadata&gt;_x000d__x000a_  &lt;metadata key=&quot;md_Rectif_Source1_Suffixes&quot;&gt;_x000d__x000a_    &lt;text&gt;&lt;/text&gt;_x000d__x000a_  &lt;/metadata&gt;_x000d__x000a_  &lt;metadata key=&quot;md_Rectif_Source2_UniqueHeading&quot;&gt;_x000d__x000a_    &lt;basicdatatype&gt;_x000d__x000a_      &lt;text&gt;&lt;/text&gt;_x000d__x000a_    &lt;/basicdatatype&gt;_x000d__x000a_  &lt;/metadata&gt;_x000d__x000a_  &lt;metadata key=&quot;md_Rectif_Source2_DocumentType&quot;&gt;_x000d__x000a_    &lt;basicdatatype&gt;_x000d__x000a_      &lt;doc_type key=&quot;&quot; /&gt;_x000d__x000a_    &lt;/basicdatatype&gt;_x000d__x000a_  &lt;/metadata&gt;_x000d__x000a_  &lt;metadata key=&quot;md_Rectif_Source2_DocumentNumber&quot;&gt;_x000d__x000a_    &lt;text&gt;&lt;/text&gt;_x000d__x000a_  &lt;/metadata&gt;_x000d__x000a_  &lt;metadata key=&quot;md_Rectif_Source2_YearDocumentNumber&quot;&gt;_x000d__x000a_    &lt;text&gt;2022&lt;/text&gt;_x000d__x000a_  &lt;/metadata&gt;_x000d__x000a_  &lt;metadata key=&quot;md_Rectif_Source2_Suffixes&quot;&gt;_x000d__x000a_    &lt;text&gt;&lt;/text&gt;_x000d__x000a_  &lt;/metadata&gt;_x000d__x000a_  &lt;metadata key=&quot;md_CoverPageDocWithCouncilFooter&quot;&gt;_x000d__x000a_    &lt;text&gt;false&lt;/text&gt;_x000d__x000a_  &lt;/metadata&gt;_x000d__x000a_  &lt;metadata key=&quot;md_SourceDocLanguage&quot;&gt;_x000d__x000a_    &lt;text&gt;EN&lt;/text&gt;_x000d__x000a_  &lt;/metadata&gt;_x000d__x000a_  &lt;metadata key=&quot;md_SourceDocType&quot;&gt;_x000d__x000a_    &lt;text&gt;ANNEXES_x000d__x000a_&lt;/text&gt;_x000d__x000a_  &lt;/metadata&gt;_x000d__x000a_  &lt;metadata key=&quot;md_SourceDocTitle&quot;&gt;_x000d__x000a_    &lt;text&gt;to the _x000d__x000a_Proposal for a Council Implementing Decision _x000d__x000a_on the approval of the assessment of the recovery and resilience plan for Poland&lt;/text&gt;_x000d__x000a_  &lt;/metadata&gt;_x000d__x000a_  &lt;metadata key=&quot;md_SourceDocIsCECDoc&quot;&gt;_x000d__x000a_    &lt;text&gt;true&lt;/text&gt;_x000d__x000a_  &lt;/metadata&gt;_x000d__x000a_  &lt;metadata key=&quot;md_NB1&quot; /&gt;_x000d__x000a_  &lt;metadata key=&quot;md_NB2&quot; /&gt;_x000d__x000a_  &lt;metadata key=&quot;md_NB3&quot; /&gt;_x000d__x000a_  &lt;metadata key=&quot;md_NB4&quot; /&gt;_x000d__x000a_  &lt;metadata key=&quot;md_NB5&quot; /&gt;_x000d__x000a_  &lt;metadata key=&quot;md_CustomNB&quot; /&gt;_x000d__x000a_  &lt;metadata key=&quot;md_Meetings&quot; /&gt;_x000d__x000a_  &lt;metadata key=&quot;md_VisualRepresentation&quot;&gt;_x000d__x000a_    &lt;basicdatatype&gt;_x000d__x000a_      &lt;originator key=&quot;visrep_02&quot; /&gt;_x000d__x000a_    &lt;/basicdatatype&gt;_x000d__x000a_  &lt;/metadata&gt;_x000d__x000a_  &lt;metadata key=&quot;md_LetterData&quot; /&gt;_x000d__x000a_  &lt;metadata key=&quot;md_InstFrSubWordmark&quot;&gt;_x000d__x000a_    &lt;xaml text=&quot;&quot;&gt;&amp;lt;FlowDocument FontFamily=&quot;Segoe UI&quot; FontSize=&quot;12&quot; PagePadding=&quot;2,2,2,2&quot; AllowDrop=&quot;False&quot; xmlns=&quot;http://schemas.microsoft.com/winfx/2006/xaml/presentation&quot; /&amp;gt;&lt;/xaml&gt;_x000d__x000a_  &lt;/metadata&gt;_x000d__x000a_  &lt;metadata key=&quot;md_WorkflowLinkStatus&quot; /&gt;_x000d__x000a_  &lt;metadata key=&quot;md_eAgendaLinkStatus&quot; /&gt;_x000d__x000a_  &lt;metadata key=&quot;md_Caveat&quot;&gt;_x000d__x000a_    &lt;text&gt;&lt;/text&gt;_x000d__x000a_  &lt;/metadata&gt;_x000d__x000a_  &lt;metadata key=&quot;md_TechnicalKey&quot; /&gt;_x000d__x000a_&lt;/metadataset&gt;"/>
    <w:docVar w:name="LW_ACCOMPAGNANT.CP" w:val="bij het"/>
    <w:docVar w:name="LW_ANNEX_NBR_FIRST" w:val="1"/>
    <w:docVar w:name="LW_ANNEX_NBR_LAST" w:val="1"/>
    <w:docVar w:name="LW_ANNEX_UNIQUE" w:val="1"/>
    <w:docVar w:name="LW_CORRIGENDUM" w:val="&lt;UNUSED&gt;"/>
    <w:docVar w:name="LW_COVERPAGE_EXISTS" w:val="True"/>
    <w:docVar w:name="LW_COVERPAGE_GUID" w:val="A741E4B5-D232-430E-BA60-8B00DBAE7D81"/>
    <w:docVar w:name="LW_COVERPAGE_TYPE" w:val="1"/>
    <w:docVar w:name="LW_CROSSREFERENCE" w:val="{SWD(2023) 381 final}"/>
    <w:docVar w:name="LW_DocType" w:val="NORMAL"/>
    <w:docVar w:name="LW_EMISSION" w:val="21.11.2023"/>
    <w:docVar w:name="LW_EMISSION_ISODATE" w:val="2023-11-21"/>
    <w:docVar w:name="LW_EMISSION_LOCATION" w:val="BRX"/>
    <w:docVar w:name="LW_EMISSION_PREFIX" w:val="Brussel, "/>
    <w:docVar w:name="LW_EMISSION_SUFFIX" w:val=" "/>
    <w:docVar w:name="LW_ID_DOCTYPE_NONLW" w:val="CP-036"/>
    <w:docVar w:name="LW_LANGUE" w:val="NL"/>
    <w:docVar w:name="LW_LEVEL_OF_SENSITIVITY" w:val="Standard treatment"/>
    <w:docVar w:name="LW_NOM.INST" w:val="EUROPESE COMMISSIE"/>
    <w:docVar w:name="LW_NOM.INST_JOINTDOC" w:val="&lt;EMPTY&gt;"/>
    <w:docVar w:name="LW_OBJETACTEPRINCIPAL.CP" w:val="tot wijziging van Uitvoeringsbesluit (EU) (ST 9728/22 INIT; ST/9728/22 ADD 1) van 17 juni 2022 betreffende de goedkeuring van de beoordeling van het herstel- en veerkrachtplan voor Polen"/>
    <w:docVar w:name="LW_PART_NBR" w:val="1"/>
    <w:docVar w:name="LW_PART_NBR_TOTAL" w:val="1"/>
    <w:docVar w:name="LW_REF.INST.NEW" w:val="COM"/>
    <w:docVar w:name="LW_REF.INST.NEW_ADOPTED" w:val="final"/>
    <w:docVar w:name="LW_REF.INST.NEW_TEXT" w:val="(2023) 74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BIJLAGE_x000b_"/>
    <w:docVar w:name="LW_TYPEACTEPRINCIPAL.CP" w:val="Voorstel voor een UITVOERINGSBESLUIT VAN DE RAAD"/>
    <w:docVar w:name="LwApiVersions" w:val="LW4CoDe 1.23.2.0; LW 8.0, Build 20211117"/>
  </w:docVars>
  <w:rsids>
    <w:rsidRoot w:val="007C4506"/>
    <w:rsid w:val="00000050"/>
    <w:rsid w:val="0000013A"/>
    <w:rsid w:val="00000356"/>
    <w:rsid w:val="00000460"/>
    <w:rsid w:val="00000581"/>
    <w:rsid w:val="00000651"/>
    <w:rsid w:val="00000754"/>
    <w:rsid w:val="000007F1"/>
    <w:rsid w:val="00000894"/>
    <w:rsid w:val="00000A51"/>
    <w:rsid w:val="00000E93"/>
    <w:rsid w:val="00000F13"/>
    <w:rsid w:val="00000F64"/>
    <w:rsid w:val="000016D4"/>
    <w:rsid w:val="00001A3D"/>
    <w:rsid w:val="00001AAE"/>
    <w:rsid w:val="00001B4B"/>
    <w:rsid w:val="00001BC3"/>
    <w:rsid w:val="00001CB5"/>
    <w:rsid w:val="0000201A"/>
    <w:rsid w:val="000023A6"/>
    <w:rsid w:val="000024A0"/>
    <w:rsid w:val="000026CE"/>
    <w:rsid w:val="0000278E"/>
    <w:rsid w:val="0000281A"/>
    <w:rsid w:val="0000289E"/>
    <w:rsid w:val="000028DC"/>
    <w:rsid w:val="00002A94"/>
    <w:rsid w:val="000031D1"/>
    <w:rsid w:val="000033CD"/>
    <w:rsid w:val="00003831"/>
    <w:rsid w:val="00003B69"/>
    <w:rsid w:val="00003D70"/>
    <w:rsid w:val="00003DE6"/>
    <w:rsid w:val="00003EEA"/>
    <w:rsid w:val="00004A54"/>
    <w:rsid w:val="00005156"/>
    <w:rsid w:val="0000525E"/>
    <w:rsid w:val="00005693"/>
    <w:rsid w:val="00005A81"/>
    <w:rsid w:val="00005B21"/>
    <w:rsid w:val="00005CF9"/>
    <w:rsid w:val="00005D7D"/>
    <w:rsid w:val="00005F11"/>
    <w:rsid w:val="000061CE"/>
    <w:rsid w:val="00006434"/>
    <w:rsid w:val="000064A7"/>
    <w:rsid w:val="000064C9"/>
    <w:rsid w:val="00006509"/>
    <w:rsid w:val="000065D8"/>
    <w:rsid w:val="00006A83"/>
    <w:rsid w:val="00006A84"/>
    <w:rsid w:val="00006FCB"/>
    <w:rsid w:val="00007608"/>
    <w:rsid w:val="00007709"/>
    <w:rsid w:val="00007C3E"/>
    <w:rsid w:val="00007F35"/>
    <w:rsid w:val="00008C9B"/>
    <w:rsid w:val="0000BDEB"/>
    <w:rsid w:val="00010126"/>
    <w:rsid w:val="000101D8"/>
    <w:rsid w:val="000105D9"/>
    <w:rsid w:val="000106E0"/>
    <w:rsid w:val="00010760"/>
    <w:rsid w:val="00010959"/>
    <w:rsid w:val="000109D4"/>
    <w:rsid w:val="00010A9B"/>
    <w:rsid w:val="00010AAD"/>
    <w:rsid w:val="00010B68"/>
    <w:rsid w:val="00010E74"/>
    <w:rsid w:val="00010E92"/>
    <w:rsid w:val="00010EE0"/>
    <w:rsid w:val="00010FF8"/>
    <w:rsid w:val="0001115A"/>
    <w:rsid w:val="0001176F"/>
    <w:rsid w:val="00011C45"/>
    <w:rsid w:val="00012181"/>
    <w:rsid w:val="0001256F"/>
    <w:rsid w:val="0001284E"/>
    <w:rsid w:val="00012928"/>
    <w:rsid w:val="000129D4"/>
    <w:rsid w:val="00012B64"/>
    <w:rsid w:val="00012BE6"/>
    <w:rsid w:val="00012D55"/>
    <w:rsid w:val="00012DB3"/>
    <w:rsid w:val="00012F0D"/>
    <w:rsid w:val="00012F92"/>
    <w:rsid w:val="00013B2B"/>
    <w:rsid w:val="00013CA4"/>
    <w:rsid w:val="000140D3"/>
    <w:rsid w:val="000143A6"/>
    <w:rsid w:val="000143E9"/>
    <w:rsid w:val="00014699"/>
    <w:rsid w:val="000146B5"/>
    <w:rsid w:val="00014827"/>
    <w:rsid w:val="00014B87"/>
    <w:rsid w:val="00014C0A"/>
    <w:rsid w:val="00014D32"/>
    <w:rsid w:val="00014D7D"/>
    <w:rsid w:val="00014DDB"/>
    <w:rsid w:val="000151DC"/>
    <w:rsid w:val="000154D3"/>
    <w:rsid w:val="00015513"/>
    <w:rsid w:val="000155F6"/>
    <w:rsid w:val="00015844"/>
    <w:rsid w:val="000159AF"/>
    <w:rsid w:val="00015A23"/>
    <w:rsid w:val="00015AC0"/>
    <w:rsid w:val="00015D08"/>
    <w:rsid w:val="00015DDE"/>
    <w:rsid w:val="00015F05"/>
    <w:rsid w:val="00016051"/>
    <w:rsid w:val="00016643"/>
    <w:rsid w:val="00016E35"/>
    <w:rsid w:val="00016EA7"/>
    <w:rsid w:val="00016EAC"/>
    <w:rsid w:val="00016EF9"/>
    <w:rsid w:val="0001702F"/>
    <w:rsid w:val="000172E0"/>
    <w:rsid w:val="00017964"/>
    <w:rsid w:val="00017A48"/>
    <w:rsid w:val="00017D59"/>
    <w:rsid w:val="00017D91"/>
    <w:rsid w:val="0001E604"/>
    <w:rsid w:val="00020954"/>
    <w:rsid w:val="000209E9"/>
    <w:rsid w:val="00020A56"/>
    <w:rsid w:val="00020E1E"/>
    <w:rsid w:val="00020E2A"/>
    <w:rsid w:val="00020E45"/>
    <w:rsid w:val="00021268"/>
    <w:rsid w:val="000212B8"/>
    <w:rsid w:val="00021482"/>
    <w:rsid w:val="0002151E"/>
    <w:rsid w:val="000216C5"/>
    <w:rsid w:val="00021717"/>
    <w:rsid w:val="00021A6A"/>
    <w:rsid w:val="00021DE6"/>
    <w:rsid w:val="00022107"/>
    <w:rsid w:val="000226CB"/>
    <w:rsid w:val="00022791"/>
    <w:rsid w:val="000227E7"/>
    <w:rsid w:val="000227EF"/>
    <w:rsid w:val="000228DE"/>
    <w:rsid w:val="00022B2A"/>
    <w:rsid w:val="00022B3B"/>
    <w:rsid w:val="000231C3"/>
    <w:rsid w:val="000232B4"/>
    <w:rsid w:val="0002330F"/>
    <w:rsid w:val="0002350F"/>
    <w:rsid w:val="00023643"/>
    <w:rsid w:val="00023997"/>
    <w:rsid w:val="000239CA"/>
    <w:rsid w:val="00023A81"/>
    <w:rsid w:val="0002404E"/>
    <w:rsid w:val="000240D2"/>
    <w:rsid w:val="00024584"/>
    <w:rsid w:val="00024886"/>
    <w:rsid w:val="000248CF"/>
    <w:rsid w:val="00024AB3"/>
    <w:rsid w:val="00024B76"/>
    <w:rsid w:val="00024BE2"/>
    <w:rsid w:val="00024CE9"/>
    <w:rsid w:val="00024D55"/>
    <w:rsid w:val="0002515C"/>
    <w:rsid w:val="000252DF"/>
    <w:rsid w:val="00025604"/>
    <w:rsid w:val="00025760"/>
    <w:rsid w:val="00025E2D"/>
    <w:rsid w:val="000260BC"/>
    <w:rsid w:val="000261C6"/>
    <w:rsid w:val="00026520"/>
    <w:rsid w:val="000266D4"/>
    <w:rsid w:val="00026B10"/>
    <w:rsid w:val="00026E9E"/>
    <w:rsid w:val="0002708E"/>
    <w:rsid w:val="00027240"/>
    <w:rsid w:val="000275A3"/>
    <w:rsid w:val="000276B9"/>
    <w:rsid w:val="00027700"/>
    <w:rsid w:val="000277EA"/>
    <w:rsid w:val="000277F7"/>
    <w:rsid w:val="000279F3"/>
    <w:rsid w:val="00027CC5"/>
    <w:rsid w:val="00027E92"/>
    <w:rsid w:val="000302AC"/>
    <w:rsid w:val="00030305"/>
    <w:rsid w:val="0003041F"/>
    <w:rsid w:val="00030617"/>
    <w:rsid w:val="00030934"/>
    <w:rsid w:val="00030E69"/>
    <w:rsid w:val="00031261"/>
    <w:rsid w:val="000312E0"/>
    <w:rsid w:val="00031430"/>
    <w:rsid w:val="00031652"/>
    <w:rsid w:val="000319A4"/>
    <w:rsid w:val="00031CCD"/>
    <w:rsid w:val="000320A6"/>
    <w:rsid w:val="00032406"/>
    <w:rsid w:val="00032481"/>
    <w:rsid w:val="00032556"/>
    <w:rsid w:val="000326A2"/>
    <w:rsid w:val="000327A9"/>
    <w:rsid w:val="00032839"/>
    <w:rsid w:val="00032860"/>
    <w:rsid w:val="000329B1"/>
    <w:rsid w:val="00032C23"/>
    <w:rsid w:val="0003309F"/>
    <w:rsid w:val="00033354"/>
    <w:rsid w:val="000337DC"/>
    <w:rsid w:val="00033D22"/>
    <w:rsid w:val="00033DD8"/>
    <w:rsid w:val="00034023"/>
    <w:rsid w:val="00034165"/>
    <w:rsid w:val="000344DA"/>
    <w:rsid w:val="00034A49"/>
    <w:rsid w:val="00034A56"/>
    <w:rsid w:val="00035459"/>
    <w:rsid w:val="000355D1"/>
    <w:rsid w:val="0003576C"/>
    <w:rsid w:val="000357CE"/>
    <w:rsid w:val="00035968"/>
    <w:rsid w:val="00035A13"/>
    <w:rsid w:val="00035AFF"/>
    <w:rsid w:val="00035B9A"/>
    <w:rsid w:val="00035BB1"/>
    <w:rsid w:val="00035C8D"/>
    <w:rsid w:val="00035CD8"/>
    <w:rsid w:val="00035FDB"/>
    <w:rsid w:val="000360A2"/>
    <w:rsid w:val="000361D3"/>
    <w:rsid w:val="000361ED"/>
    <w:rsid w:val="00036205"/>
    <w:rsid w:val="00036225"/>
    <w:rsid w:val="000362A0"/>
    <w:rsid w:val="000365D3"/>
    <w:rsid w:val="00036773"/>
    <w:rsid w:val="00036849"/>
    <w:rsid w:val="00036B7F"/>
    <w:rsid w:val="00036D4D"/>
    <w:rsid w:val="00036D73"/>
    <w:rsid w:val="00036E4C"/>
    <w:rsid w:val="000371F2"/>
    <w:rsid w:val="0003745B"/>
    <w:rsid w:val="00037604"/>
    <w:rsid w:val="0003766C"/>
    <w:rsid w:val="00037743"/>
    <w:rsid w:val="00037773"/>
    <w:rsid w:val="000377AE"/>
    <w:rsid w:val="000377CC"/>
    <w:rsid w:val="00037A5A"/>
    <w:rsid w:val="00037DE0"/>
    <w:rsid w:val="00037E7B"/>
    <w:rsid w:val="00040065"/>
    <w:rsid w:val="000401F0"/>
    <w:rsid w:val="00040BA9"/>
    <w:rsid w:val="00040D75"/>
    <w:rsid w:val="00040E6D"/>
    <w:rsid w:val="000415AB"/>
    <w:rsid w:val="00041697"/>
    <w:rsid w:val="00041698"/>
    <w:rsid w:val="000419C8"/>
    <w:rsid w:val="00041ED1"/>
    <w:rsid w:val="00042114"/>
    <w:rsid w:val="00042936"/>
    <w:rsid w:val="00042966"/>
    <w:rsid w:val="00042B90"/>
    <w:rsid w:val="00042C08"/>
    <w:rsid w:val="00042EE5"/>
    <w:rsid w:val="00043205"/>
    <w:rsid w:val="00043218"/>
    <w:rsid w:val="00043499"/>
    <w:rsid w:val="00043754"/>
    <w:rsid w:val="00043B52"/>
    <w:rsid w:val="00043B7A"/>
    <w:rsid w:val="00043F69"/>
    <w:rsid w:val="0004406D"/>
    <w:rsid w:val="00044100"/>
    <w:rsid w:val="0004417B"/>
    <w:rsid w:val="000441BE"/>
    <w:rsid w:val="000442D3"/>
    <w:rsid w:val="000449AE"/>
    <w:rsid w:val="000456D9"/>
    <w:rsid w:val="0004588A"/>
    <w:rsid w:val="0004597A"/>
    <w:rsid w:val="0004599E"/>
    <w:rsid w:val="00045B2B"/>
    <w:rsid w:val="00045D81"/>
    <w:rsid w:val="0004615D"/>
    <w:rsid w:val="00046318"/>
    <w:rsid w:val="00046513"/>
    <w:rsid w:val="00046521"/>
    <w:rsid w:val="00046640"/>
    <w:rsid w:val="00046D5C"/>
    <w:rsid w:val="0004713D"/>
    <w:rsid w:val="00047445"/>
    <w:rsid w:val="00047575"/>
    <w:rsid w:val="000476A9"/>
    <w:rsid w:val="00047702"/>
    <w:rsid w:val="00047740"/>
    <w:rsid w:val="0004793B"/>
    <w:rsid w:val="000479F3"/>
    <w:rsid w:val="00047B47"/>
    <w:rsid w:val="00047B52"/>
    <w:rsid w:val="00047DA8"/>
    <w:rsid w:val="00050178"/>
    <w:rsid w:val="00050192"/>
    <w:rsid w:val="00050A87"/>
    <w:rsid w:val="00050ABC"/>
    <w:rsid w:val="00051388"/>
    <w:rsid w:val="00051524"/>
    <w:rsid w:val="0005163A"/>
    <w:rsid w:val="000516A9"/>
    <w:rsid w:val="00051A09"/>
    <w:rsid w:val="00052050"/>
    <w:rsid w:val="0005241A"/>
    <w:rsid w:val="00052477"/>
    <w:rsid w:val="00052642"/>
    <w:rsid w:val="00052661"/>
    <w:rsid w:val="000526FF"/>
    <w:rsid w:val="00052A1D"/>
    <w:rsid w:val="00052E3C"/>
    <w:rsid w:val="000530A7"/>
    <w:rsid w:val="000530E6"/>
    <w:rsid w:val="0005324A"/>
    <w:rsid w:val="000532DA"/>
    <w:rsid w:val="000532E4"/>
    <w:rsid w:val="0005339A"/>
    <w:rsid w:val="00053449"/>
    <w:rsid w:val="00053522"/>
    <w:rsid w:val="00053912"/>
    <w:rsid w:val="00053A7B"/>
    <w:rsid w:val="00053AB9"/>
    <w:rsid w:val="00053E4B"/>
    <w:rsid w:val="00053FD9"/>
    <w:rsid w:val="000543AE"/>
    <w:rsid w:val="000543BD"/>
    <w:rsid w:val="000543F7"/>
    <w:rsid w:val="0005448D"/>
    <w:rsid w:val="00054695"/>
    <w:rsid w:val="000547D8"/>
    <w:rsid w:val="00054990"/>
    <w:rsid w:val="00054D5D"/>
    <w:rsid w:val="00054D6D"/>
    <w:rsid w:val="000550E7"/>
    <w:rsid w:val="00055141"/>
    <w:rsid w:val="0005524C"/>
    <w:rsid w:val="000557CC"/>
    <w:rsid w:val="000557DE"/>
    <w:rsid w:val="00055827"/>
    <w:rsid w:val="0005591D"/>
    <w:rsid w:val="00055BBB"/>
    <w:rsid w:val="00055E93"/>
    <w:rsid w:val="0005623C"/>
    <w:rsid w:val="000563B5"/>
    <w:rsid w:val="00056582"/>
    <w:rsid w:val="000565CF"/>
    <w:rsid w:val="000566C9"/>
    <w:rsid w:val="00056AA2"/>
    <w:rsid w:val="00056B02"/>
    <w:rsid w:val="00056C15"/>
    <w:rsid w:val="0005742B"/>
    <w:rsid w:val="000578E4"/>
    <w:rsid w:val="00057B2B"/>
    <w:rsid w:val="00057B59"/>
    <w:rsid w:val="00057B5F"/>
    <w:rsid w:val="00057B90"/>
    <w:rsid w:val="00057BA8"/>
    <w:rsid w:val="00057CB7"/>
    <w:rsid w:val="0006001F"/>
    <w:rsid w:val="0006013B"/>
    <w:rsid w:val="000609FE"/>
    <w:rsid w:val="00060AD4"/>
    <w:rsid w:val="00060F30"/>
    <w:rsid w:val="00061BD9"/>
    <w:rsid w:val="00061D0C"/>
    <w:rsid w:val="00061E31"/>
    <w:rsid w:val="0006238E"/>
    <w:rsid w:val="0006246E"/>
    <w:rsid w:val="0006247D"/>
    <w:rsid w:val="00062505"/>
    <w:rsid w:val="00062597"/>
    <w:rsid w:val="00062E8E"/>
    <w:rsid w:val="000631D1"/>
    <w:rsid w:val="00063971"/>
    <w:rsid w:val="00063A83"/>
    <w:rsid w:val="00063BAA"/>
    <w:rsid w:val="00063FAD"/>
    <w:rsid w:val="00064041"/>
    <w:rsid w:val="00064593"/>
    <w:rsid w:val="00064621"/>
    <w:rsid w:val="00064838"/>
    <w:rsid w:val="00064992"/>
    <w:rsid w:val="00064AD1"/>
    <w:rsid w:val="00064AD6"/>
    <w:rsid w:val="00064B63"/>
    <w:rsid w:val="00064B91"/>
    <w:rsid w:val="00064BA4"/>
    <w:rsid w:val="00064C88"/>
    <w:rsid w:val="00064E08"/>
    <w:rsid w:val="00064F7D"/>
    <w:rsid w:val="00065210"/>
    <w:rsid w:val="0006547A"/>
    <w:rsid w:val="00065502"/>
    <w:rsid w:val="000656B2"/>
    <w:rsid w:val="000658F4"/>
    <w:rsid w:val="00065AAC"/>
    <w:rsid w:val="00065AD6"/>
    <w:rsid w:val="00065C39"/>
    <w:rsid w:val="00065EC6"/>
    <w:rsid w:val="00065F9F"/>
    <w:rsid w:val="000660AF"/>
    <w:rsid w:val="0006661F"/>
    <w:rsid w:val="00066A66"/>
    <w:rsid w:val="00066B5C"/>
    <w:rsid w:val="000670FB"/>
    <w:rsid w:val="0006714E"/>
    <w:rsid w:val="000672D0"/>
    <w:rsid w:val="00067B5F"/>
    <w:rsid w:val="00067D78"/>
    <w:rsid w:val="00070090"/>
    <w:rsid w:val="000703D2"/>
    <w:rsid w:val="0007042F"/>
    <w:rsid w:val="0007044B"/>
    <w:rsid w:val="000706B1"/>
    <w:rsid w:val="00070B73"/>
    <w:rsid w:val="00070DED"/>
    <w:rsid w:val="00070E22"/>
    <w:rsid w:val="00070E7F"/>
    <w:rsid w:val="00070EFB"/>
    <w:rsid w:val="000712BE"/>
    <w:rsid w:val="000713E9"/>
    <w:rsid w:val="00071780"/>
    <w:rsid w:val="0007188A"/>
    <w:rsid w:val="000718CE"/>
    <w:rsid w:val="00071908"/>
    <w:rsid w:val="00071AB8"/>
    <w:rsid w:val="00071BE2"/>
    <w:rsid w:val="00071FCD"/>
    <w:rsid w:val="00071FE7"/>
    <w:rsid w:val="00072994"/>
    <w:rsid w:val="00072C2A"/>
    <w:rsid w:val="00072C78"/>
    <w:rsid w:val="00072E03"/>
    <w:rsid w:val="00072E16"/>
    <w:rsid w:val="00073041"/>
    <w:rsid w:val="00073416"/>
    <w:rsid w:val="0007346E"/>
    <w:rsid w:val="00073550"/>
    <w:rsid w:val="000738E4"/>
    <w:rsid w:val="00073B36"/>
    <w:rsid w:val="00073B4C"/>
    <w:rsid w:val="00073CEA"/>
    <w:rsid w:val="00073D24"/>
    <w:rsid w:val="00073D56"/>
    <w:rsid w:val="00073E5E"/>
    <w:rsid w:val="00073F2E"/>
    <w:rsid w:val="000741AD"/>
    <w:rsid w:val="000742A0"/>
    <w:rsid w:val="00074336"/>
    <w:rsid w:val="0007445D"/>
    <w:rsid w:val="00074853"/>
    <w:rsid w:val="000749F5"/>
    <w:rsid w:val="00074D5B"/>
    <w:rsid w:val="00075140"/>
    <w:rsid w:val="000751CA"/>
    <w:rsid w:val="00075522"/>
    <w:rsid w:val="000758BF"/>
    <w:rsid w:val="0007593E"/>
    <w:rsid w:val="00075A3A"/>
    <w:rsid w:val="00075A7B"/>
    <w:rsid w:val="00075C43"/>
    <w:rsid w:val="00075C64"/>
    <w:rsid w:val="00075FDB"/>
    <w:rsid w:val="000760FE"/>
    <w:rsid w:val="00076555"/>
    <w:rsid w:val="0007661D"/>
    <w:rsid w:val="00076881"/>
    <w:rsid w:val="000769E3"/>
    <w:rsid w:val="00076A5D"/>
    <w:rsid w:val="00076A99"/>
    <w:rsid w:val="00076C44"/>
    <w:rsid w:val="00076D4B"/>
    <w:rsid w:val="00076D61"/>
    <w:rsid w:val="0007711E"/>
    <w:rsid w:val="00077846"/>
    <w:rsid w:val="00077987"/>
    <w:rsid w:val="00077A75"/>
    <w:rsid w:val="00077A81"/>
    <w:rsid w:val="00077A9B"/>
    <w:rsid w:val="00077CD7"/>
    <w:rsid w:val="00077E1F"/>
    <w:rsid w:val="0008054E"/>
    <w:rsid w:val="00080C5A"/>
    <w:rsid w:val="00080DB2"/>
    <w:rsid w:val="00081332"/>
    <w:rsid w:val="000814D4"/>
    <w:rsid w:val="0008155F"/>
    <w:rsid w:val="000815FE"/>
    <w:rsid w:val="000816E3"/>
    <w:rsid w:val="00081821"/>
    <w:rsid w:val="00081A95"/>
    <w:rsid w:val="00081A9B"/>
    <w:rsid w:val="00081AC2"/>
    <w:rsid w:val="00081BBB"/>
    <w:rsid w:val="00081BE5"/>
    <w:rsid w:val="00081C01"/>
    <w:rsid w:val="00081CFF"/>
    <w:rsid w:val="00081F6F"/>
    <w:rsid w:val="0008219F"/>
    <w:rsid w:val="0008244F"/>
    <w:rsid w:val="000827F5"/>
    <w:rsid w:val="00082E55"/>
    <w:rsid w:val="00082E79"/>
    <w:rsid w:val="0008363E"/>
    <w:rsid w:val="0008371D"/>
    <w:rsid w:val="00083735"/>
    <w:rsid w:val="00083810"/>
    <w:rsid w:val="00083C97"/>
    <w:rsid w:val="00083D10"/>
    <w:rsid w:val="00083FED"/>
    <w:rsid w:val="00084410"/>
    <w:rsid w:val="00084547"/>
    <w:rsid w:val="00084A34"/>
    <w:rsid w:val="00084D53"/>
    <w:rsid w:val="00084D74"/>
    <w:rsid w:val="00084EBB"/>
    <w:rsid w:val="00085031"/>
    <w:rsid w:val="00085093"/>
    <w:rsid w:val="00085100"/>
    <w:rsid w:val="000854CE"/>
    <w:rsid w:val="000857CF"/>
    <w:rsid w:val="00085C6B"/>
    <w:rsid w:val="00085EEA"/>
    <w:rsid w:val="0008610E"/>
    <w:rsid w:val="00086159"/>
    <w:rsid w:val="0008646C"/>
    <w:rsid w:val="0008670F"/>
    <w:rsid w:val="0008675C"/>
    <w:rsid w:val="000869D2"/>
    <w:rsid w:val="00086A9F"/>
    <w:rsid w:val="00086BAD"/>
    <w:rsid w:val="00086CE5"/>
    <w:rsid w:val="00086D2C"/>
    <w:rsid w:val="00086DEF"/>
    <w:rsid w:val="00086E36"/>
    <w:rsid w:val="00086EEA"/>
    <w:rsid w:val="00087107"/>
    <w:rsid w:val="0008719A"/>
    <w:rsid w:val="00087B57"/>
    <w:rsid w:val="00087C00"/>
    <w:rsid w:val="00087DA7"/>
    <w:rsid w:val="00087FB0"/>
    <w:rsid w:val="00087FD4"/>
    <w:rsid w:val="00087FDF"/>
    <w:rsid w:val="000903BC"/>
    <w:rsid w:val="000903E1"/>
    <w:rsid w:val="000903E5"/>
    <w:rsid w:val="000904E9"/>
    <w:rsid w:val="00090802"/>
    <w:rsid w:val="000908E5"/>
    <w:rsid w:val="00090928"/>
    <w:rsid w:val="00090957"/>
    <w:rsid w:val="00090978"/>
    <w:rsid w:val="00090BCF"/>
    <w:rsid w:val="00090CBF"/>
    <w:rsid w:val="0009107A"/>
    <w:rsid w:val="00091103"/>
    <w:rsid w:val="0009126A"/>
    <w:rsid w:val="000912D6"/>
    <w:rsid w:val="00091700"/>
    <w:rsid w:val="0009182B"/>
    <w:rsid w:val="00092356"/>
    <w:rsid w:val="00092755"/>
    <w:rsid w:val="00092760"/>
    <w:rsid w:val="00092885"/>
    <w:rsid w:val="00092975"/>
    <w:rsid w:val="00092A1A"/>
    <w:rsid w:val="00092F1D"/>
    <w:rsid w:val="000932A7"/>
    <w:rsid w:val="000933B3"/>
    <w:rsid w:val="00093417"/>
    <w:rsid w:val="000937E4"/>
    <w:rsid w:val="000937E6"/>
    <w:rsid w:val="00093866"/>
    <w:rsid w:val="0009389C"/>
    <w:rsid w:val="00093AFA"/>
    <w:rsid w:val="00093C62"/>
    <w:rsid w:val="00093D17"/>
    <w:rsid w:val="00094018"/>
    <w:rsid w:val="000941A4"/>
    <w:rsid w:val="0009421E"/>
    <w:rsid w:val="00094417"/>
    <w:rsid w:val="00094426"/>
    <w:rsid w:val="00094817"/>
    <w:rsid w:val="0009490F"/>
    <w:rsid w:val="0009494F"/>
    <w:rsid w:val="00094B8F"/>
    <w:rsid w:val="00094D12"/>
    <w:rsid w:val="00094DDC"/>
    <w:rsid w:val="00095054"/>
    <w:rsid w:val="0009515E"/>
    <w:rsid w:val="000951B7"/>
    <w:rsid w:val="00095289"/>
    <w:rsid w:val="00095E06"/>
    <w:rsid w:val="00095E3E"/>
    <w:rsid w:val="00095EF3"/>
    <w:rsid w:val="000960E4"/>
    <w:rsid w:val="0009611E"/>
    <w:rsid w:val="0009624E"/>
    <w:rsid w:val="000962B9"/>
    <w:rsid w:val="0009637C"/>
    <w:rsid w:val="0009689B"/>
    <w:rsid w:val="00096D97"/>
    <w:rsid w:val="00096E6A"/>
    <w:rsid w:val="0009738D"/>
    <w:rsid w:val="000978B1"/>
    <w:rsid w:val="00097B51"/>
    <w:rsid w:val="00097C37"/>
    <w:rsid w:val="00097C57"/>
    <w:rsid w:val="00097DB1"/>
    <w:rsid w:val="0009E8E4"/>
    <w:rsid w:val="000A009A"/>
    <w:rsid w:val="000A01DA"/>
    <w:rsid w:val="000A0292"/>
    <w:rsid w:val="000A0573"/>
    <w:rsid w:val="000A0917"/>
    <w:rsid w:val="000A0F4E"/>
    <w:rsid w:val="000A0FBD"/>
    <w:rsid w:val="000A104F"/>
    <w:rsid w:val="000A106D"/>
    <w:rsid w:val="000A12F7"/>
    <w:rsid w:val="000A144E"/>
    <w:rsid w:val="000A17EB"/>
    <w:rsid w:val="000A1897"/>
    <w:rsid w:val="000A1AD7"/>
    <w:rsid w:val="000A1B40"/>
    <w:rsid w:val="000A1F66"/>
    <w:rsid w:val="000A1F97"/>
    <w:rsid w:val="000A20BF"/>
    <w:rsid w:val="000A2123"/>
    <w:rsid w:val="000A2209"/>
    <w:rsid w:val="000A254B"/>
    <w:rsid w:val="000A2639"/>
    <w:rsid w:val="000A26DE"/>
    <w:rsid w:val="000A2716"/>
    <w:rsid w:val="000A289B"/>
    <w:rsid w:val="000A28EB"/>
    <w:rsid w:val="000A3233"/>
    <w:rsid w:val="000A3460"/>
    <w:rsid w:val="000A364C"/>
    <w:rsid w:val="000A3727"/>
    <w:rsid w:val="000A3A2B"/>
    <w:rsid w:val="000A3B39"/>
    <w:rsid w:val="000A41F7"/>
    <w:rsid w:val="000A4317"/>
    <w:rsid w:val="000A46EC"/>
    <w:rsid w:val="000A4942"/>
    <w:rsid w:val="000A49A7"/>
    <w:rsid w:val="000A4B89"/>
    <w:rsid w:val="000A4C87"/>
    <w:rsid w:val="000A4D9F"/>
    <w:rsid w:val="000A4DF5"/>
    <w:rsid w:val="000A5216"/>
    <w:rsid w:val="000A551E"/>
    <w:rsid w:val="000A57CF"/>
    <w:rsid w:val="000A5879"/>
    <w:rsid w:val="000A59EE"/>
    <w:rsid w:val="000A5F36"/>
    <w:rsid w:val="000A6278"/>
    <w:rsid w:val="000A637A"/>
    <w:rsid w:val="000A64E4"/>
    <w:rsid w:val="000A69D2"/>
    <w:rsid w:val="000A6A12"/>
    <w:rsid w:val="000A6A77"/>
    <w:rsid w:val="000A6CB9"/>
    <w:rsid w:val="000A7030"/>
    <w:rsid w:val="000A7038"/>
    <w:rsid w:val="000A7425"/>
    <w:rsid w:val="000A75CE"/>
    <w:rsid w:val="000A7633"/>
    <w:rsid w:val="000A78F6"/>
    <w:rsid w:val="000A7C58"/>
    <w:rsid w:val="000A7E04"/>
    <w:rsid w:val="000A7E9D"/>
    <w:rsid w:val="000B03AF"/>
    <w:rsid w:val="000B0456"/>
    <w:rsid w:val="000B0CA1"/>
    <w:rsid w:val="000B0E6F"/>
    <w:rsid w:val="000B0F96"/>
    <w:rsid w:val="000B1474"/>
    <w:rsid w:val="000B151B"/>
    <w:rsid w:val="000B1588"/>
    <w:rsid w:val="000B18FC"/>
    <w:rsid w:val="000B1A02"/>
    <w:rsid w:val="000B1AD7"/>
    <w:rsid w:val="000B1CD6"/>
    <w:rsid w:val="000B1DDF"/>
    <w:rsid w:val="000B1EAF"/>
    <w:rsid w:val="000B2159"/>
    <w:rsid w:val="000B2235"/>
    <w:rsid w:val="000B2237"/>
    <w:rsid w:val="000B2262"/>
    <w:rsid w:val="000B22BC"/>
    <w:rsid w:val="000B2323"/>
    <w:rsid w:val="000B2471"/>
    <w:rsid w:val="000B24F5"/>
    <w:rsid w:val="000B27DD"/>
    <w:rsid w:val="000B27F4"/>
    <w:rsid w:val="000B284D"/>
    <w:rsid w:val="000B2884"/>
    <w:rsid w:val="000B29D3"/>
    <w:rsid w:val="000B2D3F"/>
    <w:rsid w:val="000B2EB8"/>
    <w:rsid w:val="000B3187"/>
    <w:rsid w:val="000B3435"/>
    <w:rsid w:val="000B3700"/>
    <w:rsid w:val="000B3BB2"/>
    <w:rsid w:val="000B3BF3"/>
    <w:rsid w:val="000B3CF0"/>
    <w:rsid w:val="000B427D"/>
    <w:rsid w:val="000B4551"/>
    <w:rsid w:val="000B45BE"/>
    <w:rsid w:val="000B4672"/>
    <w:rsid w:val="000B4723"/>
    <w:rsid w:val="000B474D"/>
    <w:rsid w:val="000B4765"/>
    <w:rsid w:val="000B49A2"/>
    <w:rsid w:val="000B4CD4"/>
    <w:rsid w:val="000B4D6B"/>
    <w:rsid w:val="000B4F5C"/>
    <w:rsid w:val="000B509C"/>
    <w:rsid w:val="000B5146"/>
    <w:rsid w:val="000B57E7"/>
    <w:rsid w:val="000B5882"/>
    <w:rsid w:val="000B5AE6"/>
    <w:rsid w:val="000B5BFA"/>
    <w:rsid w:val="000B5E5B"/>
    <w:rsid w:val="000B5EA0"/>
    <w:rsid w:val="000B622A"/>
    <w:rsid w:val="000B631E"/>
    <w:rsid w:val="000B6623"/>
    <w:rsid w:val="000B68E3"/>
    <w:rsid w:val="000B6A2C"/>
    <w:rsid w:val="000B6B15"/>
    <w:rsid w:val="000B6C7F"/>
    <w:rsid w:val="000B6E0B"/>
    <w:rsid w:val="000B6E52"/>
    <w:rsid w:val="000B70FF"/>
    <w:rsid w:val="000B7309"/>
    <w:rsid w:val="000B74C1"/>
    <w:rsid w:val="000B758F"/>
    <w:rsid w:val="000B7686"/>
    <w:rsid w:val="000B771B"/>
    <w:rsid w:val="000B7759"/>
    <w:rsid w:val="000B77F4"/>
    <w:rsid w:val="000B78AC"/>
    <w:rsid w:val="000B7A20"/>
    <w:rsid w:val="000B7CB3"/>
    <w:rsid w:val="000C01E9"/>
    <w:rsid w:val="000C0291"/>
    <w:rsid w:val="000C10BA"/>
    <w:rsid w:val="000C1161"/>
    <w:rsid w:val="000C1984"/>
    <w:rsid w:val="000C19AA"/>
    <w:rsid w:val="000C19E8"/>
    <w:rsid w:val="000C1A2B"/>
    <w:rsid w:val="000C1FE7"/>
    <w:rsid w:val="000C209C"/>
    <w:rsid w:val="000C22F0"/>
    <w:rsid w:val="000C2347"/>
    <w:rsid w:val="000C2373"/>
    <w:rsid w:val="000C2703"/>
    <w:rsid w:val="000C2929"/>
    <w:rsid w:val="000C29C5"/>
    <w:rsid w:val="000C2A1E"/>
    <w:rsid w:val="000C2F1D"/>
    <w:rsid w:val="000C2F85"/>
    <w:rsid w:val="000C2FE4"/>
    <w:rsid w:val="000C303B"/>
    <w:rsid w:val="000C31CC"/>
    <w:rsid w:val="000C3217"/>
    <w:rsid w:val="000C3305"/>
    <w:rsid w:val="000C3615"/>
    <w:rsid w:val="000C39B1"/>
    <w:rsid w:val="000C3BB5"/>
    <w:rsid w:val="000C4077"/>
    <w:rsid w:val="000C4623"/>
    <w:rsid w:val="000C493E"/>
    <w:rsid w:val="000C4A90"/>
    <w:rsid w:val="000C4B15"/>
    <w:rsid w:val="000C4B77"/>
    <w:rsid w:val="000C4D8B"/>
    <w:rsid w:val="000C507E"/>
    <w:rsid w:val="000C519C"/>
    <w:rsid w:val="000C5371"/>
    <w:rsid w:val="000C537C"/>
    <w:rsid w:val="000C54C4"/>
    <w:rsid w:val="000C554D"/>
    <w:rsid w:val="000C555C"/>
    <w:rsid w:val="000C5850"/>
    <w:rsid w:val="000C594A"/>
    <w:rsid w:val="000C5954"/>
    <w:rsid w:val="000C5BD7"/>
    <w:rsid w:val="000C5ED9"/>
    <w:rsid w:val="000C6222"/>
    <w:rsid w:val="000C6955"/>
    <w:rsid w:val="000C69F1"/>
    <w:rsid w:val="000C6AE7"/>
    <w:rsid w:val="000C6CEA"/>
    <w:rsid w:val="000C6D9F"/>
    <w:rsid w:val="000C6E93"/>
    <w:rsid w:val="000C6FD9"/>
    <w:rsid w:val="000C7321"/>
    <w:rsid w:val="000C7559"/>
    <w:rsid w:val="000C7746"/>
    <w:rsid w:val="000C7953"/>
    <w:rsid w:val="000C7AD0"/>
    <w:rsid w:val="000C7CB1"/>
    <w:rsid w:val="000C7DF5"/>
    <w:rsid w:val="000C7E69"/>
    <w:rsid w:val="000D0233"/>
    <w:rsid w:val="000D02DE"/>
    <w:rsid w:val="000D05CA"/>
    <w:rsid w:val="000D05F2"/>
    <w:rsid w:val="000D0620"/>
    <w:rsid w:val="000D07CC"/>
    <w:rsid w:val="000D0C01"/>
    <w:rsid w:val="000D0CDA"/>
    <w:rsid w:val="000D106D"/>
    <w:rsid w:val="000D1217"/>
    <w:rsid w:val="000D12F1"/>
    <w:rsid w:val="000D1394"/>
    <w:rsid w:val="000D13C4"/>
    <w:rsid w:val="000D1424"/>
    <w:rsid w:val="000D1927"/>
    <w:rsid w:val="000D1A28"/>
    <w:rsid w:val="000D1A37"/>
    <w:rsid w:val="000D1B68"/>
    <w:rsid w:val="000D2055"/>
    <w:rsid w:val="000D2064"/>
    <w:rsid w:val="000D22E8"/>
    <w:rsid w:val="000D23B1"/>
    <w:rsid w:val="000D2491"/>
    <w:rsid w:val="000D255E"/>
    <w:rsid w:val="000D271A"/>
    <w:rsid w:val="000D2B77"/>
    <w:rsid w:val="000D3028"/>
    <w:rsid w:val="000D306A"/>
    <w:rsid w:val="000D3276"/>
    <w:rsid w:val="000D34AC"/>
    <w:rsid w:val="000D38E7"/>
    <w:rsid w:val="000D3B46"/>
    <w:rsid w:val="000D3BE3"/>
    <w:rsid w:val="000D3F27"/>
    <w:rsid w:val="000D4073"/>
    <w:rsid w:val="000D40B9"/>
    <w:rsid w:val="000D43DC"/>
    <w:rsid w:val="000D47D3"/>
    <w:rsid w:val="000D4968"/>
    <w:rsid w:val="000D4DDF"/>
    <w:rsid w:val="000D517E"/>
    <w:rsid w:val="000D54CA"/>
    <w:rsid w:val="000D611E"/>
    <w:rsid w:val="000D6161"/>
    <w:rsid w:val="000D65E1"/>
    <w:rsid w:val="000D664B"/>
    <w:rsid w:val="000D67E0"/>
    <w:rsid w:val="000D68ED"/>
    <w:rsid w:val="000D6B66"/>
    <w:rsid w:val="000D6B96"/>
    <w:rsid w:val="000D6C37"/>
    <w:rsid w:val="000D6CC1"/>
    <w:rsid w:val="000D6D87"/>
    <w:rsid w:val="000D6E57"/>
    <w:rsid w:val="000D6F19"/>
    <w:rsid w:val="000D71FE"/>
    <w:rsid w:val="000D7444"/>
    <w:rsid w:val="000D7593"/>
    <w:rsid w:val="000D77B0"/>
    <w:rsid w:val="000D77D4"/>
    <w:rsid w:val="000D78B8"/>
    <w:rsid w:val="000D7BD4"/>
    <w:rsid w:val="000D7CF8"/>
    <w:rsid w:val="000D7DB4"/>
    <w:rsid w:val="000E001B"/>
    <w:rsid w:val="000E034B"/>
    <w:rsid w:val="000E03E0"/>
    <w:rsid w:val="000E055E"/>
    <w:rsid w:val="000E0593"/>
    <w:rsid w:val="000E0B19"/>
    <w:rsid w:val="000E0CB2"/>
    <w:rsid w:val="000E0D0E"/>
    <w:rsid w:val="000E0E1B"/>
    <w:rsid w:val="000E0F86"/>
    <w:rsid w:val="000E0FCD"/>
    <w:rsid w:val="000E116C"/>
    <w:rsid w:val="000E13B6"/>
    <w:rsid w:val="000E14F0"/>
    <w:rsid w:val="000E154C"/>
    <w:rsid w:val="000E15F9"/>
    <w:rsid w:val="000E160A"/>
    <w:rsid w:val="000E16E6"/>
    <w:rsid w:val="000E1813"/>
    <w:rsid w:val="000E1DBF"/>
    <w:rsid w:val="000E2214"/>
    <w:rsid w:val="000E2268"/>
    <w:rsid w:val="000E242C"/>
    <w:rsid w:val="000E249C"/>
    <w:rsid w:val="000E2526"/>
    <w:rsid w:val="000E25D1"/>
    <w:rsid w:val="000E25DC"/>
    <w:rsid w:val="000E2D44"/>
    <w:rsid w:val="000E32A8"/>
    <w:rsid w:val="000E336E"/>
    <w:rsid w:val="000E341A"/>
    <w:rsid w:val="000E34D5"/>
    <w:rsid w:val="000E355F"/>
    <w:rsid w:val="000E3571"/>
    <w:rsid w:val="000E386C"/>
    <w:rsid w:val="000E398C"/>
    <w:rsid w:val="000E39CA"/>
    <w:rsid w:val="000E3EFF"/>
    <w:rsid w:val="000E44AE"/>
    <w:rsid w:val="000E45FD"/>
    <w:rsid w:val="000E49F7"/>
    <w:rsid w:val="000E4BD8"/>
    <w:rsid w:val="000E4E41"/>
    <w:rsid w:val="000E510A"/>
    <w:rsid w:val="000E522B"/>
    <w:rsid w:val="000E5366"/>
    <w:rsid w:val="000E54FF"/>
    <w:rsid w:val="000E55C6"/>
    <w:rsid w:val="000E560B"/>
    <w:rsid w:val="000E56D8"/>
    <w:rsid w:val="000E576C"/>
    <w:rsid w:val="000E592E"/>
    <w:rsid w:val="000E5AA1"/>
    <w:rsid w:val="000E5EED"/>
    <w:rsid w:val="000E5FB2"/>
    <w:rsid w:val="000E6391"/>
    <w:rsid w:val="000E63A8"/>
    <w:rsid w:val="000E6478"/>
    <w:rsid w:val="000E6492"/>
    <w:rsid w:val="000E64D1"/>
    <w:rsid w:val="000E66BE"/>
    <w:rsid w:val="000E6900"/>
    <w:rsid w:val="000E6994"/>
    <w:rsid w:val="000E69B6"/>
    <w:rsid w:val="000E6E07"/>
    <w:rsid w:val="000E6EED"/>
    <w:rsid w:val="000E6F5C"/>
    <w:rsid w:val="000E6FDE"/>
    <w:rsid w:val="000E753E"/>
    <w:rsid w:val="000E7811"/>
    <w:rsid w:val="000E7A89"/>
    <w:rsid w:val="000E7D42"/>
    <w:rsid w:val="000ECA4A"/>
    <w:rsid w:val="000F035C"/>
    <w:rsid w:val="000F040A"/>
    <w:rsid w:val="000F0961"/>
    <w:rsid w:val="000F141B"/>
    <w:rsid w:val="000F161C"/>
    <w:rsid w:val="000F1683"/>
    <w:rsid w:val="000F17A4"/>
    <w:rsid w:val="000F1A71"/>
    <w:rsid w:val="000F205A"/>
    <w:rsid w:val="000F22A7"/>
    <w:rsid w:val="000F249D"/>
    <w:rsid w:val="000F2676"/>
    <w:rsid w:val="000F29C7"/>
    <w:rsid w:val="000F2A9F"/>
    <w:rsid w:val="000F2CEF"/>
    <w:rsid w:val="000F301D"/>
    <w:rsid w:val="000F334E"/>
    <w:rsid w:val="000F33A8"/>
    <w:rsid w:val="000F3440"/>
    <w:rsid w:val="000F3702"/>
    <w:rsid w:val="000F3A29"/>
    <w:rsid w:val="000F3CAC"/>
    <w:rsid w:val="000F3D6C"/>
    <w:rsid w:val="000F3EE6"/>
    <w:rsid w:val="000F40DA"/>
    <w:rsid w:val="000F410F"/>
    <w:rsid w:val="000F414E"/>
    <w:rsid w:val="000F42F6"/>
    <w:rsid w:val="000F4576"/>
    <w:rsid w:val="000F46CA"/>
    <w:rsid w:val="000F4762"/>
    <w:rsid w:val="000F47CA"/>
    <w:rsid w:val="000F47FB"/>
    <w:rsid w:val="000F49A7"/>
    <w:rsid w:val="000F49CC"/>
    <w:rsid w:val="000F4EEB"/>
    <w:rsid w:val="000F5538"/>
    <w:rsid w:val="000F582A"/>
    <w:rsid w:val="000F58A0"/>
    <w:rsid w:val="000F58E8"/>
    <w:rsid w:val="000F5EC4"/>
    <w:rsid w:val="000F5EEC"/>
    <w:rsid w:val="000F6389"/>
    <w:rsid w:val="000F646B"/>
    <w:rsid w:val="000F67BA"/>
    <w:rsid w:val="000F70B4"/>
    <w:rsid w:val="000F71C2"/>
    <w:rsid w:val="000F7601"/>
    <w:rsid w:val="000F77D4"/>
    <w:rsid w:val="000F792A"/>
    <w:rsid w:val="000F7954"/>
    <w:rsid w:val="000F7A0C"/>
    <w:rsid w:val="000F7B69"/>
    <w:rsid w:val="000F7B6D"/>
    <w:rsid w:val="000F7BC5"/>
    <w:rsid w:val="000F7CBB"/>
    <w:rsid w:val="000F7F78"/>
    <w:rsid w:val="000F7FE4"/>
    <w:rsid w:val="000F8B02"/>
    <w:rsid w:val="0010020C"/>
    <w:rsid w:val="00100DE6"/>
    <w:rsid w:val="00100F67"/>
    <w:rsid w:val="001010D7"/>
    <w:rsid w:val="001011F2"/>
    <w:rsid w:val="0010149E"/>
    <w:rsid w:val="001014A8"/>
    <w:rsid w:val="00101752"/>
    <w:rsid w:val="0010193F"/>
    <w:rsid w:val="00101C34"/>
    <w:rsid w:val="00101C8E"/>
    <w:rsid w:val="00101E5E"/>
    <w:rsid w:val="00102194"/>
    <w:rsid w:val="00102390"/>
    <w:rsid w:val="001023AA"/>
    <w:rsid w:val="0010250C"/>
    <w:rsid w:val="0010296D"/>
    <w:rsid w:val="00102AA1"/>
    <w:rsid w:val="00102DBC"/>
    <w:rsid w:val="00102E1E"/>
    <w:rsid w:val="00102FF6"/>
    <w:rsid w:val="0010322E"/>
    <w:rsid w:val="0010347F"/>
    <w:rsid w:val="001039D1"/>
    <w:rsid w:val="00103A14"/>
    <w:rsid w:val="00103B5D"/>
    <w:rsid w:val="00103C1C"/>
    <w:rsid w:val="00103CF9"/>
    <w:rsid w:val="001041CE"/>
    <w:rsid w:val="00104493"/>
    <w:rsid w:val="00104524"/>
    <w:rsid w:val="001045D8"/>
    <w:rsid w:val="00104807"/>
    <w:rsid w:val="00104C24"/>
    <w:rsid w:val="0010501A"/>
    <w:rsid w:val="001051EA"/>
    <w:rsid w:val="00105780"/>
    <w:rsid w:val="00105902"/>
    <w:rsid w:val="001059A2"/>
    <w:rsid w:val="00105B73"/>
    <w:rsid w:val="00105D26"/>
    <w:rsid w:val="00105D2F"/>
    <w:rsid w:val="00105DCD"/>
    <w:rsid w:val="00105DEB"/>
    <w:rsid w:val="00105E4E"/>
    <w:rsid w:val="00106095"/>
    <w:rsid w:val="001060F3"/>
    <w:rsid w:val="00106166"/>
    <w:rsid w:val="0010631A"/>
    <w:rsid w:val="0010657D"/>
    <w:rsid w:val="001067A5"/>
    <w:rsid w:val="001069F5"/>
    <w:rsid w:val="00106A49"/>
    <w:rsid w:val="00106B1B"/>
    <w:rsid w:val="00106B44"/>
    <w:rsid w:val="00106DD6"/>
    <w:rsid w:val="00106DF5"/>
    <w:rsid w:val="00106E25"/>
    <w:rsid w:val="00107004"/>
    <w:rsid w:val="00107299"/>
    <w:rsid w:val="00107310"/>
    <w:rsid w:val="00107589"/>
    <w:rsid w:val="00107C1B"/>
    <w:rsid w:val="00107DFB"/>
    <w:rsid w:val="00107EE4"/>
    <w:rsid w:val="00107F51"/>
    <w:rsid w:val="001102F9"/>
    <w:rsid w:val="001103F3"/>
    <w:rsid w:val="0011047B"/>
    <w:rsid w:val="00110537"/>
    <w:rsid w:val="00110585"/>
    <w:rsid w:val="00110777"/>
    <w:rsid w:val="001107B3"/>
    <w:rsid w:val="0011088A"/>
    <w:rsid w:val="001109D4"/>
    <w:rsid w:val="00110ACC"/>
    <w:rsid w:val="001110C1"/>
    <w:rsid w:val="00111245"/>
    <w:rsid w:val="00111721"/>
    <w:rsid w:val="001117FB"/>
    <w:rsid w:val="00111914"/>
    <w:rsid w:val="00111938"/>
    <w:rsid w:val="00112196"/>
    <w:rsid w:val="001121D2"/>
    <w:rsid w:val="00112410"/>
    <w:rsid w:val="00112526"/>
    <w:rsid w:val="00112617"/>
    <w:rsid w:val="00112B7F"/>
    <w:rsid w:val="0011301A"/>
    <w:rsid w:val="00113288"/>
    <w:rsid w:val="00113799"/>
    <w:rsid w:val="00113C17"/>
    <w:rsid w:val="00113F09"/>
    <w:rsid w:val="0011404B"/>
    <w:rsid w:val="00114199"/>
    <w:rsid w:val="001141E5"/>
    <w:rsid w:val="0011461E"/>
    <w:rsid w:val="001146FE"/>
    <w:rsid w:val="00114883"/>
    <w:rsid w:val="00114943"/>
    <w:rsid w:val="00114A49"/>
    <w:rsid w:val="00114B07"/>
    <w:rsid w:val="00115032"/>
    <w:rsid w:val="00115102"/>
    <w:rsid w:val="0011514C"/>
    <w:rsid w:val="00115227"/>
    <w:rsid w:val="0011590E"/>
    <w:rsid w:val="00115B9E"/>
    <w:rsid w:val="00115D03"/>
    <w:rsid w:val="00115E51"/>
    <w:rsid w:val="00115E69"/>
    <w:rsid w:val="00115F74"/>
    <w:rsid w:val="001160BC"/>
    <w:rsid w:val="001160EA"/>
    <w:rsid w:val="001164B9"/>
    <w:rsid w:val="00116660"/>
    <w:rsid w:val="001166B4"/>
    <w:rsid w:val="00116A67"/>
    <w:rsid w:val="00117569"/>
    <w:rsid w:val="0011762F"/>
    <w:rsid w:val="00117713"/>
    <w:rsid w:val="00117DD6"/>
    <w:rsid w:val="00117EE5"/>
    <w:rsid w:val="00117F57"/>
    <w:rsid w:val="001200A4"/>
    <w:rsid w:val="001200DB"/>
    <w:rsid w:val="001200E5"/>
    <w:rsid w:val="00120359"/>
    <w:rsid w:val="001204D2"/>
    <w:rsid w:val="001206CB"/>
    <w:rsid w:val="00120943"/>
    <w:rsid w:val="00120E42"/>
    <w:rsid w:val="00120EE2"/>
    <w:rsid w:val="00121280"/>
    <w:rsid w:val="001213B2"/>
    <w:rsid w:val="00121806"/>
    <w:rsid w:val="001219F8"/>
    <w:rsid w:val="00121F5C"/>
    <w:rsid w:val="00122345"/>
    <w:rsid w:val="00122CEB"/>
    <w:rsid w:val="00123046"/>
    <w:rsid w:val="001230E5"/>
    <w:rsid w:val="00123138"/>
    <w:rsid w:val="0012314A"/>
    <w:rsid w:val="00123351"/>
    <w:rsid w:val="00123404"/>
    <w:rsid w:val="00123AB1"/>
    <w:rsid w:val="00123B04"/>
    <w:rsid w:val="00123D51"/>
    <w:rsid w:val="00123FC8"/>
    <w:rsid w:val="001240BB"/>
    <w:rsid w:val="0012434B"/>
    <w:rsid w:val="00124546"/>
    <w:rsid w:val="00124682"/>
    <w:rsid w:val="0012472F"/>
    <w:rsid w:val="0012494C"/>
    <w:rsid w:val="001249A7"/>
    <w:rsid w:val="00124AE1"/>
    <w:rsid w:val="00124CF6"/>
    <w:rsid w:val="00124E14"/>
    <w:rsid w:val="00124FAA"/>
    <w:rsid w:val="00125370"/>
    <w:rsid w:val="0012542B"/>
    <w:rsid w:val="001259F5"/>
    <w:rsid w:val="00125D55"/>
    <w:rsid w:val="00126076"/>
    <w:rsid w:val="00126366"/>
    <w:rsid w:val="0012665A"/>
    <w:rsid w:val="001266AD"/>
    <w:rsid w:val="00126E81"/>
    <w:rsid w:val="00126F00"/>
    <w:rsid w:val="00126FEB"/>
    <w:rsid w:val="0012748D"/>
    <w:rsid w:val="001274CE"/>
    <w:rsid w:val="00127730"/>
    <w:rsid w:val="00127E7C"/>
    <w:rsid w:val="00127FCC"/>
    <w:rsid w:val="001303B2"/>
    <w:rsid w:val="00130410"/>
    <w:rsid w:val="00130811"/>
    <w:rsid w:val="00130EE1"/>
    <w:rsid w:val="00130F0E"/>
    <w:rsid w:val="0013112D"/>
    <w:rsid w:val="001311F4"/>
    <w:rsid w:val="0013137D"/>
    <w:rsid w:val="00131894"/>
    <w:rsid w:val="0013189C"/>
    <w:rsid w:val="001318DF"/>
    <w:rsid w:val="00131CF7"/>
    <w:rsid w:val="00131DAA"/>
    <w:rsid w:val="00131E4F"/>
    <w:rsid w:val="00131FB7"/>
    <w:rsid w:val="00132012"/>
    <w:rsid w:val="00132172"/>
    <w:rsid w:val="00132694"/>
    <w:rsid w:val="0013289D"/>
    <w:rsid w:val="00132A18"/>
    <w:rsid w:val="00132BC1"/>
    <w:rsid w:val="00132C96"/>
    <w:rsid w:val="00132DE3"/>
    <w:rsid w:val="00132E85"/>
    <w:rsid w:val="0013307C"/>
    <w:rsid w:val="00133118"/>
    <w:rsid w:val="0013315B"/>
    <w:rsid w:val="001332B6"/>
    <w:rsid w:val="001332F7"/>
    <w:rsid w:val="001333CA"/>
    <w:rsid w:val="00133751"/>
    <w:rsid w:val="0013388E"/>
    <w:rsid w:val="00133926"/>
    <w:rsid w:val="00133AE3"/>
    <w:rsid w:val="00133AE4"/>
    <w:rsid w:val="00133B64"/>
    <w:rsid w:val="001340D2"/>
    <w:rsid w:val="00134181"/>
    <w:rsid w:val="0013451F"/>
    <w:rsid w:val="00134735"/>
    <w:rsid w:val="00134B79"/>
    <w:rsid w:val="00134E45"/>
    <w:rsid w:val="00135107"/>
    <w:rsid w:val="0013513F"/>
    <w:rsid w:val="001351C8"/>
    <w:rsid w:val="00135471"/>
    <w:rsid w:val="00135874"/>
    <w:rsid w:val="00135EA0"/>
    <w:rsid w:val="00135F9C"/>
    <w:rsid w:val="00135FD0"/>
    <w:rsid w:val="00137024"/>
    <w:rsid w:val="00137149"/>
    <w:rsid w:val="00137325"/>
    <w:rsid w:val="001374F5"/>
    <w:rsid w:val="00137561"/>
    <w:rsid w:val="0013772A"/>
    <w:rsid w:val="001377E3"/>
    <w:rsid w:val="00137D0C"/>
    <w:rsid w:val="00137D36"/>
    <w:rsid w:val="00137E57"/>
    <w:rsid w:val="00137E6F"/>
    <w:rsid w:val="00137FBB"/>
    <w:rsid w:val="00140050"/>
    <w:rsid w:val="00140053"/>
    <w:rsid w:val="001401E8"/>
    <w:rsid w:val="001404BC"/>
    <w:rsid w:val="00140625"/>
    <w:rsid w:val="00141128"/>
    <w:rsid w:val="0014125B"/>
    <w:rsid w:val="001413AB"/>
    <w:rsid w:val="001415C4"/>
    <w:rsid w:val="00141766"/>
    <w:rsid w:val="00141808"/>
    <w:rsid w:val="00141F91"/>
    <w:rsid w:val="00142392"/>
    <w:rsid w:val="001423B1"/>
    <w:rsid w:val="00142410"/>
    <w:rsid w:val="00142422"/>
    <w:rsid w:val="001424B0"/>
    <w:rsid w:val="001424C4"/>
    <w:rsid w:val="001425A8"/>
    <w:rsid w:val="001428FB"/>
    <w:rsid w:val="00142B2E"/>
    <w:rsid w:val="00142F1B"/>
    <w:rsid w:val="00142FE5"/>
    <w:rsid w:val="001431B1"/>
    <w:rsid w:val="001431D8"/>
    <w:rsid w:val="00143329"/>
    <w:rsid w:val="00143622"/>
    <w:rsid w:val="00143751"/>
    <w:rsid w:val="00143980"/>
    <w:rsid w:val="001439D2"/>
    <w:rsid w:val="00143A4C"/>
    <w:rsid w:val="00143ACC"/>
    <w:rsid w:val="00143BBB"/>
    <w:rsid w:val="00143F32"/>
    <w:rsid w:val="00144627"/>
    <w:rsid w:val="00144721"/>
    <w:rsid w:val="001447C7"/>
    <w:rsid w:val="0014482C"/>
    <w:rsid w:val="0014482D"/>
    <w:rsid w:val="0014483C"/>
    <w:rsid w:val="00144B35"/>
    <w:rsid w:val="00144CB0"/>
    <w:rsid w:val="00144CCB"/>
    <w:rsid w:val="001450F1"/>
    <w:rsid w:val="00145757"/>
    <w:rsid w:val="00145779"/>
    <w:rsid w:val="00145912"/>
    <w:rsid w:val="00145945"/>
    <w:rsid w:val="00145C4F"/>
    <w:rsid w:val="00145DAB"/>
    <w:rsid w:val="0014621A"/>
    <w:rsid w:val="00146972"/>
    <w:rsid w:val="00146AA0"/>
    <w:rsid w:val="00146C16"/>
    <w:rsid w:val="00146C4B"/>
    <w:rsid w:val="00146D02"/>
    <w:rsid w:val="00146D9B"/>
    <w:rsid w:val="00146F84"/>
    <w:rsid w:val="00147083"/>
    <w:rsid w:val="001472A1"/>
    <w:rsid w:val="001474DA"/>
    <w:rsid w:val="00147671"/>
    <w:rsid w:val="00147856"/>
    <w:rsid w:val="001478A9"/>
    <w:rsid w:val="00147903"/>
    <w:rsid w:val="00147D4F"/>
    <w:rsid w:val="00147F34"/>
    <w:rsid w:val="0014AD95"/>
    <w:rsid w:val="0015011B"/>
    <w:rsid w:val="001501E2"/>
    <w:rsid w:val="00150628"/>
    <w:rsid w:val="001507C6"/>
    <w:rsid w:val="00150ACB"/>
    <w:rsid w:val="001511D8"/>
    <w:rsid w:val="001512BC"/>
    <w:rsid w:val="00151390"/>
    <w:rsid w:val="00151525"/>
    <w:rsid w:val="0015174B"/>
    <w:rsid w:val="0015177C"/>
    <w:rsid w:val="00151803"/>
    <w:rsid w:val="00151896"/>
    <w:rsid w:val="0015195E"/>
    <w:rsid w:val="00151C17"/>
    <w:rsid w:val="00151D49"/>
    <w:rsid w:val="00151DEB"/>
    <w:rsid w:val="0015214E"/>
    <w:rsid w:val="0015219C"/>
    <w:rsid w:val="0015235F"/>
    <w:rsid w:val="001523A4"/>
    <w:rsid w:val="0015242E"/>
    <w:rsid w:val="0015245F"/>
    <w:rsid w:val="0015295C"/>
    <w:rsid w:val="00152A01"/>
    <w:rsid w:val="00152A10"/>
    <w:rsid w:val="00152A19"/>
    <w:rsid w:val="00152D13"/>
    <w:rsid w:val="00152D1E"/>
    <w:rsid w:val="00152FC4"/>
    <w:rsid w:val="0015335F"/>
    <w:rsid w:val="001535A8"/>
    <w:rsid w:val="00153AE2"/>
    <w:rsid w:val="00153B0E"/>
    <w:rsid w:val="00153B3E"/>
    <w:rsid w:val="00153E37"/>
    <w:rsid w:val="0015429B"/>
    <w:rsid w:val="001544A7"/>
    <w:rsid w:val="001548A2"/>
    <w:rsid w:val="00154950"/>
    <w:rsid w:val="00154A33"/>
    <w:rsid w:val="00154A5F"/>
    <w:rsid w:val="00154B7A"/>
    <w:rsid w:val="00154D8B"/>
    <w:rsid w:val="0015515D"/>
    <w:rsid w:val="00155248"/>
    <w:rsid w:val="0015543F"/>
    <w:rsid w:val="00155655"/>
    <w:rsid w:val="00155E1C"/>
    <w:rsid w:val="00155F4C"/>
    <w:rsid w:val="00156108"/>
    <w:rsid w:val="001563A3"/>
    <w:rsid w:val="00156583"/>
    <w:rsid w:val="0015664B"/>
    <w:rsid w:val="00156706"/>
    <w:rsid w:val="00156D40"/>
    <w:rsid w:val="0015703C"/>
    <w:rsid w:val="0015715A"/>
    <w:rsid w:val="00157809"/>
    <w:rsid w:val="00157A47"/>
    <w:rsid w:val="00157B7A"/>
    <w:rsid w:val="00160320"/>
    <w:rsid w:val="001606C2"/>
    <w:rsid w:val="00160711"/>
    <w:rsid w:val="00160855"/>
    <w:rsid w:val="001608D2"/>
    <w:rsid w:val="00160FF3"/>
    <w:rsid w:val="001611F2"/>
    <w:rsid w:val="0016190E"/>
    <w:rsid w:val="00161AB9"/>
    <w:rsid w:val="00161AD6"/>
    <w:rsid w:val="00161B9F"/>
    <w:rsid w:val="00161EBB"/>
    <w:rsid w:val="00162088"/>
    <w:rsid w:val="001621DA"/>
    <w:rsid w:val="00162362"/>
    <w:rsid w:val="001625AF"/>
    <w:rsid w:val="001628F1"/>
    <w:rsid w:val="00162CD5"/>
    <w:rsid w:val="00162CD8"/>
    <w:rsid w:val="00162CF0"/>
    <w:rsid w:val="00163152"/>
    <w:rsid w:val="00163215"/>
    <w:rsid w:val="001634F8"/>
    <w:rsid w:val="0016375C"/>
    <w:rsid w:val="00163CD6"/>
    <w:rsid w:val="00163D99"/>
    <w:rsid w:val="00163DA0"/>
    <w:rsid w:val="00163DD8"/>
    <w:rsid w:val="00163FC9"/>
    <w:rsid w:val="001644D6"/>
    <w:rsid w:val="00164512"/>
    <w:rsid w:val="001647C2"/>
    <w:rsid w:val="001648F8"/>
    <w:rsid w:val="00164C1F"/>
    <w:rsid w:val="0016502F"/>
    <w:rsid w:val="001650D2"/>
    <w:rsid w:val="001654AD"/>
    <w:rsid w:val="001654F1"/>
    <w:rsid w:val="0016552E"/>
    <w:rsid w:val="00165A27"/>
    <w:rsid w:val="00165A36"/>
    <w:rsid w:val="00165D4B"/>
    <w:rsid w:val="00166113"/>
    <w:rsid w:val="00166788"/>
    <w:rsid w:val="00166ABD"/>
    <w:rsid w:val="00166CFF"/>
    <w:rsid w:val="00166DC1"/>
    <w:rsid w:val="00166FD8"/>
    <w:rsid w:val="00167281"/>
    <w:rsid w:val="0016758A"/>
    <w:rsid w:val="001675B6"/>
    <w:rsid w:val="00167CBD"/>
    <w:rsid w:val="00167D62"/>
    <w:rsid w:val="00167D78"/>
    <w:rsid w:val="001702FC"/>
    <w:rsid w:val="00170355"/>
    <w:rsid w:val="001703DA"/>
    <w:rsid w:val="00170644"/>
    <w:rsid w:val="001707AF"/>
    <w:rsid w:val="001708FC"/>
    <w:rsid w:val="001709D8"/>
    <w:rsid w:val="00170CA8"/>
    <w:rsid w:val="00170D18"/>
    <w:rsid w:val="00171176"/>
    <w:rsid w:val="001711E0"/>
    <w:rsid w:val="001713BA"/>
    <w:rsid w:val="0017146D"/>
    <w:rsid w:val="0017162B"/>
    <w:rsid w:val="001716B0"/>
    <w:rsid w:val="001716F1"/>
    <w:rsid w:val="001718F7"/>
    <w:rsid w:val="00171B50"/>
    <w:rsid w:val="00171B90"/>
    <w:rsid w:val="00171C47"/>
    <w:rsid w:val="001721D1"/>
    <w:rsid w:val="00172542"/>
    <w:rsid w:val="001729CF"/>
    <w:rsid w:val="00172A69"/>
    <w:rsid w:val="001732A6"/>
    <w:rsid w:val="00173448"/>
    <w:rsid w:val="00173666"/>
    <w:rsid w:val="001736F9"/>
    <w:rsid w:val="0017391A"/>
    <w:rsid w:val="00173A4F"/>
    <w:rsid w:val="00173B34"/>
    <w:rsid w:val="00173BE9"/>
    <w:rsid w:val="00173E03"/>
    <w:rsid w:val="00173EB9"/>
    <w:rsid w:val="00174000"/>
    <w:rsid w:val="00174472"/>
    <w:rsid w:val="0017456D"/>
    <w:rsid w:val="00174615"/>
    <w:rsid w:val="00175258"/>
    <w:rsid w:val="001752FF"/>
    <w:rsid w:val="00175384"/>
    <w:rsid w:val="001754AA"/>
    <w:rsid w:val="001754D3"/>
    <w:rsid w:val="00175AB3"/>
    <w:rsid w:val="00175C9C"/>
    <w:rsid w:val="00175DFE"/>
    <w:rsid w:val="0017613A"/>
    <w:rsid w:val="00176222"/>
    <w:rsid w:val="00176268"/>
    <w:rsid w:val="001762FF"/>
    <w:rsid w:val="001763B0"/>
    <w:rsid w:val="0017643C"/>
    <w:rsid w:val="001764DE"/>
    <w:rsid w:val="001765B1"/>
    <w:rsid w:val="00176687"/>
    <w:rsid w:val="00176936"/>
    <w:rsid w:val="00176955"/>
    <w:rsid w:val="00176CAF"/>
    <w:rsid w:val="00176FDE"/>
    <w:rsid w:val="0017733C"/>
    <w:rsid w:val="00177667"/>
    <w:rsid w:val="00177D3A"/>
    <w:rsid w:val="00177DAB"/>
    <w:rsid w:val="00177FC6"/>
    <w:rsid w:val="001800E3"/>
    <w:rsid w:val="00180172"/>
    <w:rsid w:val="0018017F"/>
    <w:rsid w:val="001801F7"/>
    <w:rsid w:val="00180376"/>
    <w:rsid w:val="0018077F"/>
    <w:rsid w:val="00180C3F"/>
    <w:rsid w:val="0018131D"/>
    <w:rsid w:val="001814D6"/>
    <w:rsid w:val="001814FD"/>
    <w:rsid w:val="001815E9"/>
    <w:rsid w:val="001817E7"/>
    <w:rsid w:val="00181942"/>
    <w:rsid w:val="001819A0"/>
    <w:rsid w:val="00181AD8"/>
    <w:rsid w:val="00181B5E"/>
    <w:rsid w:val="00181D18"/>
    <w:rsid w:val="00182114"/>
    <w:rsid w:val="00182127"/>
    <w:rsid w:val="0018217A"/>
    <w:rsid w:val="001821DB"/>
    <w:rsid w:val="001821EA"/>
    <w:rsid w:val="0018238C"/>
    <w:rsid w:val="0018242B"/>
    <w:rsid w:val="00182629"/>
    <w:rsid w:val="00182740"/>
    <w:rsid w:val="00182926"/>
    <w:rsid w:val="00182AF7"/>
    <w:rsid w:val="00182B7C"/>
    <w:rsid w:val="00182FB2"/>
    <w:rsid w:val="001835B1"/>
    <w:rsid w:val="0018375D"/>
    <w:rsid w:val="001837A1"/>
    <w:rsid w:val="0018381D"/>
    <w:rsid w:val="00183868"/>
    <w:rsid w:val="00183A5F"/>
    <w:rsid w:val="00183AB5"/>
    <w:rsid w:val="00183B64"/>
    <w:rsid w:val="00183CBB"/>
    <w:rsid w:val="00183D4F"/>
    <w:rsid w:val="00184765"/>
    <w:rsid w:val="00184899"/>
    <w:rsid w:val="00184CBD"/>
    <w:rsid w:val="00184E5B"/>
    <w:rsid w:val="00184E93"/>
    <w:rsid w:val="00184F3D"/>
    <w:rsid w:val="00185525"/>
    <w:rsid w:val="00185879"/>
    <w:rsid w:val="00185B1B"/>
    <w:rsid w:val="00185B58"/>
    <w:rsid w:val="00185EEA"/>
    <w:rsid w:val="00185FB5"/>
    <w:rsid w:val="001861FD"/>
    <w:rsid w:val="001862B7"/>
    <w:rsid w:val="001863C9"/>
    <w:rsid w:val="001864B2"/>
    <w:rsid w:val="001864C2"/>
    <w:rsid w:val="001864C4"/>
    <w:rsid w:val="001867E1"/>
    <w:rsid w:val="00186B6E"/>
    <w:rsid w:val="00186BD3"/>
    <w:rsid w:val="00186D77"/>
    <w:rsid w:val="00186E1A"/>
    <w:rsid w:val="00186F1F"/>
    <w:rsid w:val="00187048"/>
    <w:rsid w:val="00187209"/>
    <w:rsid w:val="00187315"/>
    <w:rsid w:val="0018758D"/>
    <w:rsid w:val="0018778E"/>
    <w:rsid w:val="001877E2"/>
    <w:rsid w:val="00187C43"/>
    <w:rsid w:val="00187F57"/>
    <w:rsid w:val="00190002"/>
    <w:rsid w:val="00190064"/>
    <w:rsid w:val="00190137"/>
    <w:rsid w:val="00190409"/>
    <w:rsid w:val="0019081D"/>
    <w:rsid w:val="001908B3"/>
    <w:rsid w:val="00190B8A"/>
    <w:rsid w:val="00190BE2"/>
    <w:rsid w:val="00190D83"/>
    <w:rsid w:val="00190FA8"/>
    <w:rsid w:val="0019100F"/>
    <w:rsid w:val="0019116B"/>
    <w:rsid w:val="001911AA"/>
    <w:rsid w:val="0019132A"/>
    <w:rsid w:val="001914B4"/>
    <w:rsid w:val="00191640"/>
    <w:rsid w:val="001916D8"/>
    <w:rsid w:val="00191974"/>
    <w:rsid w:val="00191B3E"/>
    <w:rsid w:val="00191D31"/>
    <w:rsid w:val="001923C7"/>
    <w:rsid w:val="00192490"/>
    <w:rsid w:val="0019262E"/>
    <w:rsid w:val="001926CB"/>
    <w:rsid w:val="00192745"/>
    <w:rsid w:val="0019276B"/>
    <w:rsid w:val="00192779"/>
    <w:rsid w:val="00192B76"/>
    <w:rsid w:val="001930B5"/>
    <w:rsid w:val="001930F4"/>
    <w:rsid w:val="0019335A"/>
    <w:rsid w:val="001933E2"/>
    <w:rsid w:val="001934D5"/>
    <w:rsid w:val="00193521"/>
    <w:rsid w:val="00193582"/>
    <w:rsid w:val="00193634"/>
    <w:rsid w:val="00193F12"/>
    <w:rsid w:val="00194030"/>
    <w:rsid w:val="00194327"/>
    <w:rsid w:val="001943A8"/>
    <w:rsid w:val="001944E0"/>
    <w:rsid w:val="00194537"/>
    <w:rsid w:val="00194553"/>
    <w:rsid w:val="00194909"/>
    <w:rsid w:val="00194A83"/>
    <w:rsid w:val="00194F20"/>
    <w:rsid w:val="001954CE"/>
    <w:rsid w:val="00195F4F"/>
    <w:rsid w:val="00195F55"/>
    <w:rsid w:val="00196159"/>
    <w:rsid w:val="001961B0"/>
    <w:rsid w:val="001968DD"/>
    <w:rsid w:val="00196AC0"/>
    <w:rsid w:val="00196EF2"/>
    <w:rsid w:val="00196F12"/>
    <w:rsid w:val="0019715D"/>
    <w:rsid w:val="001972BC"/>
    <w:rsid w:val="00197489"/>
    <w:rsid w:val="001978C7"/>
    <w:rsid w:val="00197AD0"/>
    <w:rsid w:val="00197ADB"/>
    <w:rsid w:val="001A0980"/>
    <w:rsid w:val="001A0A6C"/>
    <w:rsid w:val="001A15EB"/>
    <w:rsid w:val="001A177F"/>
    <w:rsid w:val="001A1B4F"/>
    <w:rsid w:val="001A2105"/>
    <w:rsid w:val="001A2177"/>
    <w:rsid w:val="001A2227"/>
    <w:rsid w:val="001A227D"/>
    <w:rsid w:val="001A2452"/>
    <w:rsid w:val="001A25FE"/>
    <w:rsid w:val="001A26E8"/>
    <w:rsid w:val="001A2A6F"/>
    <w:rsid w:val="001A2CE7"/>
    <w:rsid w:val="001A3243"/>
    <w:rsid w:val="001A32AF"/>
    <w:rsid w:val="001A338B"/>
    <w:rsid w:val="001A3429"/>
    <w:rsid w:val="001A38BB"/>
    <w:rsid w:val="001A3E35"/>
    <w:rsid w:val="001A4062"/>
    <w:rsid w:val="001A4527"/>
    <w:rsid w:val="001A461C"/>
    <w:rsid w:val="001A47FD"/>
    <w:rsid w:val="001A48E7"/>
    <w:rsid w:val="001A4C06"/>
    <w:rsid w:val="001A4DCE"/>
    <w:rsid w:val="001A5476"/>
    <w:rsid w:val="001A5735"/>
    <w:rsid w:val="001A5A3C"/>
    <w:rsid w:val="001A5A52"/>
    <w:rsid w:val="001A5C2C"/>
    <w:rsid w:val="001A5CD3"/>
    <w:rsid w:val="001A5DA9"/>
    <w:rsid w:val="001A5DD5"/>
    <w:rsid w:val="001A5E02"/>
    <w:rsid w:val="001A5FE5"/>
    <w:rsid w:val="001A6031"/>
    <w:rsid w:val="001A6032"/>
    <w:rsid w:val="001A609B"/>
    <w:rsid w:val="001A6222"/>
    <w:rsid w:val="001A6298"/>
    <w:rsid w:val="001A62B0"/>
    <w:rsid w:val="001A643E"/>
    <w:rsid w:val="001A64B7"/>
    <w:rsid w:val="001A6834"/>
    <w:rsid w:val="001A6CB9"/>
    <w:rsid w:val="001A7078"/>
    <w:rsid w:val="001A713A"/>
    <w:rsid w:val="001A778F"/>
    <w:rsid w:val="001A7999"/>
    <w:rsid w:val="001A7FE3"/>
    <w:rsid w:val="001AB439"/>
    <w:rsid w:val="001B0321"/>
    <w:rsid w:val="001B04EB"/>
    <w:rsid w:val="001B05E9"/>
    <w:rsid w:val="001B07B6"/>
    <w:rsid w:val="001B0CAB"/>
    <w:rsid w:val="001B0ED9"/>
    <w:rsid w:val="001B1203"/>
    <w:rsid w:val="001B1236"/>
    <w:rsid w:val="001B1A8E"/>
    <w:rsid w:val="001B1D72"/>
    <w:rsid w:val="001B1E48"/>
    <w:rsid w:val="001B1EC4"/>
    <w:rsid w:val="001B2044"/>
    <w:rsid w:val="001B21E2"/>
    <w:rsid w:val="001B257E"/>
    <w:rsid w:val="001B2847"/>
    <w:rsid w:val="001B285F"/>
    <w:rsid w:val="001B2918"/>
    <w:rsid w:val="001B2CCA"/>
    <w:rsid w:val="001B3086"/>
    <w:rsid w:val="001B3118"/>
    <w:rsid w:val="001B3150"/>
    <w:rsid w:val="001B33AD"/>
    <w:rsid w:val="001B34C0"/>
    <w:rsid w:val="001B3C7B"/>
    <w:rsid w:val="001B3CB8"/>
    <w:rsid w:val="001B3E5C"/>
    <w:rsid w:val="001B463E"/>
    <w:rsid w:val="001B478F"/>
    <w:rsid w:val="001B4796"/>
    <w:rsid w:val="001B493D"/>
    <w:rsid w:val="001B4BA2"/>
    <w:rsid w:val="001B4BE5"/>
    <w:rsid w:val="001B4F8C"/>
    <w:rsid w:val="001B51A9"/>
    <w:rsid w:val="001B562B"/>
    <w:rsid w:val="001B5653"/>
    <w:rsid w:val="001B59A5"/>
    <w:rsid w:val="001B5B89"/>
    <w:rsid w:val="001B5EC6"/>
    <w:rsid w:val="001B5FAB"/>
    <w:rsid w:val="001B5FE5"/>
    <w:rsid w:val="001B60B9"/>
    <w:rsid w:val="001B645D"/>
    <w:rsid w:val="001B648B"/>
    <w:rsid w:val="001B64CC"/>
    <w:rsid w:val="001B652F"/>
    <w:rsid w:val="001B65A4"/>
    <w:rsid w:val="001B65BA"/>
    <w:rsid w:val="001B66CF"/>
    <w:rsid w:val="001B6CFB"/>
    <w:rsid w:val="001B6D99"/>
    <w:rsid w:val="001B73F3"/>
    <w:rsid w:val="001B74BB"/>
    <w:rsid w:val="001B76A1"/>
    <w:rsid w:val="001B79A5"/>
    <w:rsid w:val="001B7B89"/>
    <w:rsid w:val="001B7BA7"/>
    <w:rsid w:val="001B7DCD"/>
    <w:rsid w:val="001BDD17"/>
    <w:rsid w:val="001C005A"/>
    <w:rsid w:val="001C0095"/>
    <w:rsid w:val="001C0199"/>
    <w:rsid w:val="001C01F1"/>
    <w:rsid w:val="001C02C4"/>
    <w:rsid w:val="001C0630"/>
    <w:rsid w:val="001C065F"/>
    <w:rsid w:val="001C0886"/>
    <w:rsid w:val="001C0955"/>
    <w:rsid w:val="001C09E5"/>
    <w:rsid w:val="001C0B83"/>
    <w:rsid w:val="001C0C01"/>
    <w:rsid w:val="001C0C10"/>
    <w:rsid w:val="001C0EB6"/>
    <w:rsid w:val="001C0ED9"/>
    <w:rsid w:val="001C0FDA"/>
    <w:rsid w:val="001C10A5"/>
    <w:rsid w:val="001C10FA"/>
    <w:rsid w:val="001C112A"/>
    <w:rsid w:val="001C18C3"/>
    <w:rsid w:val="001C1B6F"/>
    <w:rsid w:val="001C1C03"/>
    <w:rsid w:val="001C1ECE"/>
    <w:rsid w:val="001C1F4C"/>
    <w:rsid w:val="001C1FBF"/>
    <w:rsid w:val="001C2124"/>
    <w:rsid w:val="001C21DD"/>
    <w:rsid w:val="001C25C1"/>
    <w:rsid w:val="001C27C1"/>
    <w:rsid w:val="001C27D9"/>
    <w:rsid w:val="001C294C"/>
    <w:rsid w:val="001C2AA6"/>
    <w:rsid w:val="001C2AF2"/>
    <w:rsid w:val="001C2CFE"/>
    <w:rsid w:val="001C2F56"/>
    <w:rsid w:val="001C316E"/>
    <w:rsid w:val="001C3397"/>
    <w:rsid w:val="001C36A4"/>
    <w:rsid w:val="001C385B"/>
    <w:rsid w:val="001C389D"/>
    <w:rsid w:val="001C3A8A"/>
    <w:rsid w:val="001C3ABA"/>
    <w:rsid w:val="001C3DE4"/>
    <w:rsid w:val="001C3EBA"/>
    <w:rsid w:val="001C3F17"/>
    <w:rsid w:val="001C3F80"/>
    <w:rsid w:val="001C4079"/>
    <w:rsid w:val="001C43A4"/>
    <w:rsid w:val="001C46B4"/>
    <w:rsid w:val="001C4FA3"/>
    <w:rsid w:val="001C503A"/>
    <w:rsid w:val="001C52F4"/>
    <w:rsid w:val="001C5566"/>
    <w:rsid w:val="001C55FF"/>
    <w:rsid w:val="001C5C9C"/>
    <w:rsid w:val="001C5D55"/>
    <w:rsid w:val="001C5DBC"/>
    <w:rsid w:val="001C6449"/>
    <w:rsid w:val="001C6540"/>
    <w:rsid w:val="001C65A0"/>
    <w:rsid w:val="001C677F"/>
    <w:rsid w:val="001C6A30"/>
    <w:rsid w:val="001C6B25"/>
    <w:rsid w:val="001C6D6B"/>
    <w:rsid w:val="001C6EF8"/>
    <w:rsid w:val="001C706D"/>
    <w:rsid w:val="001C7149"/>
    <w:rsid w:val="001C7224"/>
    <w:rsid w:val="001C7226"/>
    <w:rsid w:val="001C72DF"/>
    <w:rsid w:val="001C7429"/>
    <w:rsid w:val="001C7516"/>
    <w:rsid w:val="001C7545"/>
    <w:rsid w:val="001C7AA7"/>
    <w:rsid w:val="001C7C0A"/>
    <w:rsid w:val="001C7C5C"/>
    <w:rsid w:val="001C7D05"/>
    <w:rsid w:val="001D0164"/>
    <w:rsid w:val="001D038D"/>
    <w:rsid w:val="001D03B8"/>
    <w:rsid w:val="001D0424"/>
    <w:rsid w:val="001D0531"/>
    <w:rsid w:val="001D0765"/>
    <w:rsid w:val="001D076A"/>
    <w:rsid w:val="001D0B27"/>
    <w:rsid w:val="001D0C13"/>
    <w:rsid w:val="001D0E28"/>
    <w:rsid w:val="001D103E"/>
    <w:rsid w:val="001D107A"/>
    <w:rsid w:val="001D10A6"/>
    <w:rsid w:val="001D1130"/>
    <w:rsid w:val="001D13E9"/>
    <w:rsid w:val="001D14F0"/>
    <w:rsid w:val="001D179B"/>
    <w:rsid w:val="001D1812"/>
    <w:rsid w:val="001D1AF1"/>
    <w:rsid w:val="001D1C40"/>
    <w:rsid w:val="001D1CCA"/>
    <w:rsid w:val="001D1E9F"/>
    <w:rsid w:val="001D1FC6"/>
    <w:rsid w:val="001D1FCC"/>
    <w:rsid w:val="001D2176"/>
    <w:rsid w:val="001D2246"/>
    <w:rsid w:val="001D250A"/>
    <w:rsid w:val="001D26DB"/>
    <w:rsid w:val="001D2709"/>
    <w:rsid w:val="001D28FE"/>
    <w:rsid w:val="001D2D48"/>
    <w:rsid w:val="001D2F6A"/>
    <w:rsid w:val="001D2FF2"/>
    <w:rsid w:val="001D369F"/>
    <w:rsid w:val="001D3960"/>
    <w:rsid w:val="001D398E"/>
    <w:rsid w:val="001D3B81"/>
    <w:rsid w:val="001D3D42"/>
    <w:rsid w:val="001D467F"/>
    <w:rsid w:val="001D4725"/>
    <w:rsid w:val="001D4951"/>
    <w:rsid w:val="001D4969"/>
    <w:rsid w:val="001D4ABD"/>
    <w:rsid w:val="001D4C21"/>
    <w:rsid w:val="001D4D96"/>
    <w:rsid w:val="001D4E72"/>
    <w:rsid w:val="001D4F75"/>
    <w:rsid w:val="001D5358"/>
    <w:rsid w:val="001D5398"/>
    <w:rsid w:val="001D54F9"/>
    <w:rsid w:val="001D553E"/>
    <w:rsid w:val="001D55CE"/>
    <w:rsid w:val="001D5645"/>
    <w:rsid w:val="001D5906"/>
    <w:rsid w:val="001D598E"/>
    <w:rsid w:val="001D5A41"/>
    <w:rsid w:val="001D5BCC"/>
    <w:rsid w:val="001D5D29"/>
    <w:rsid w:val="001D5ED2"/>
    <w:rsid w:val="001D5F17"/>
    <w:rsid w:val="001D6163"/>
    <w:rsid w:val="001D61F5"/>
    <w:rsid w:val="001D62E9"/>
    <w:rsid w:val="001D6495"/>
    <w:rsid w:val="001D6581"/>
    <w:rsid w:val="001D69BB"/>
    <w:rsid w:val="001D6DE5"/>
    <w:rsid w:val="001D70AC"/>
    <w:rsid w:val="001D74B7"/>
    <w:rsid w:val="001D78F3"/>
    <w:rsid w:val="001D7BC6"/>
    <w:rsid w:val="001D7E75"/>
    <w:rsid w:val="001D7FB7"/>
    <w:rsid w:val="001D7FEC"/>
    <w:rsid w:val="001E0073"/>
    <w:rsid w:val="001E01E5"/>
    <w:rsid w:val="001E0254"/>
    <w:rsid w:val="001E039C"/>
    <w:rsid w:val="001E0583"/>
    <w:rsid w:val="001E0600"/>
    <w:rsid w:val="001E06AA"/>
    <w:rsid w:val="001E086B"/>
    <w:rsid w:val="001E0886"/>
    <w:rsid w:val="001E09D8"/>
    <w:rsid w:val="001E09F3"/>
    <w:rsid w:val="001E0AC8"/>
    <w:rsid w:val="001E0C11"/>
    <w:rsid w:val="001E139A"/>
    <w:rsid w:val="001E142E"/>
    <w:rsid w:val="001E14F1"/>
    <w:rsid w:val="001E17B7"/>
    <w:rsid w:val="001E1822"/>
    <w:rsid w:val="001E1A2C"/>
    <w:rsid w:val="001E1CD8"/>
    <w:rsid w:val="001E1DD1"/>
    <w:rsid w:val="001E1F05"/>
    <w:rsid w:val="001E1F56"/>
    <w:rsid w:val="001E1F9C"/>
    <w:rsid w:val="001E251C"/>
    <w:rsid w:val="001E2860"/>
    <w:rsid w:val="001E2B52"/>
    <w:rsid w:val="001E2CD0"/>
    <w:rsid w:val="001E2F55"/>
    <w:rsid w:val="001E30E2"/>
    <w:rsid w:val="001E313F"/>
    <w:rsid w:val="001E3182"/>
    <w:rsid w:val="001E34DC"/>
    <w:rsid w:val="001E35C3"/>
    <w:rsid w:val="001E3907"/>
    <w:rsid w:val="001E3EE6"/>
    <w:rsid w:val="001E3FB6"/>
    <w:rsid w:val="001E4088"/>
    <w:rsid w:val="001E4280"/>
    <w:rsid w:val="001E441E"/>
    <w:rsid w:val="001E45F0"/>
    <w:rsid w:val="001E4C3C"/>
    <w:rsid w:val="001E4E0B"/>
    <w:rsid w:val="001E5253"/>
    <w:rsid w:val="001E54DB"/>
    <w:rsid w:val="001E559C"/>
    <w:rsid w:val="001E5873"/>
    <w:rsid w:val="001E5BE1"/>
    <w:rsid w:val="001E5F4B"/>
    <w:rsid w:val="001E5F7F"/>
    <w:rsid w:val="001E6172"/>
    <w:rsid w:val="001E652B"/>
    <w:rsid w:val="001E6649"/>
    <w:rsid w:val="001E6C41"/>
    <w:rsid w:val="001E6CE0"/>
    <w:rsid w:val="001E6E17"/>
    <w:rsid w:val="001E6E74"/>
    <w:rsid w:val="001E6F63"/>
    <w:rsid w:val="001E6F90"/>
    <w:rsid w:val="001E717C"/>
    <w:rsid w:val="001E72BF"/>
    <w:rsid w:val="001E743F"/>
    <w:rsid w:val="001E76ED"/>
    <w:rsid w:val="001E7731"/>
    <w:rsid w:val="001E787B"/>
    <w:rsid w:val="001E7A0C"/>
    <w:rsid w:val="001E7AB0"/>
    <w:rsid w:val="001E7ADB"/>
    <w:rsid w:val="001E7C76"/>
    <w:rsid w:val="001E7D5A"/>
    <w:rsid w:val="001E7DB4"/>
    <w:rsid w:val="001E7F50"/>
    <w:rsid w:val="001F0323"/>
    <w:rsid w:val="001F0804"/>
    <w:rsid w:val="001F0821"/>
    <w:rsid w:val="001F0A90"/>
    <w:rsid w:val="001F0A95"/>
    <w:rsid w:val="001F0B4B"/>
    <w:rsid w:val="001F0CCE"/>
    <w:rsid w:val="001F0D4C"/>
    <w:rsid w:val="001F0DB9"/>
    <w:rsid w:val="001F0DCF"/>
    <w:rsid w:val="001F0DDD"/>
    <w:rsid w:val="001F0EE7"/>
    <w:rsid w:val="001F0FBE"/>
    <w:rsid w:val="001F112F"/>
    <w:rsid w:val="001F12FA"/>
    <w:rsid w:val="001F139F"/>
    <w:rsid w:val="001F1421"/>
    <w:rsid w:val="001F1434"/>
    <w:rsid w:val="001F1461"/>
    <w:rsid w:val="001F1761"/>
    <w:rsid w:val="001F1945"/>
    <w:rsid w:val="001F1A3B"/>
    <w:rsid w:val="001F1B2C"/>
    <w:rsid w:val="001F1C4C"/>
    <w:rsid w:val="001F1C98"/>
    <w:rsid w:val="001F1E52"/>
    <w:rsid w:val="001F230F"/>
    <w:rsid w:val="001F2702"/>
    <w:rsid w:val="001F29AC"/>
    <w:rsid w:val="001F2A4D"/>
    <w:rsid w:val="001F2C20"/>
    <w:rsid w:val="001F2E11"/>
    <w:rsid w:val="001F2E21"/>
    <w:rsid w:val="001F3031"/>
    <w:rsid w:val="001F391D"/>
    <w:rsid w:val="001F3989"/>
    <w:rsid w:val="001F3C18"/>
    <w:rsid w:val="001F3F37"/>
    <w:rsid w:val="001F409D"/>
    <w:rsid w:val="001F4227"/>
    <w:rsid w:val="001F43C4"/>
    <w:rsid w:val="001F44E8"/>
    <w:rsid w:val="001F4610"/>
    <w:rsid w:val="001F4698"/>
    <w:rsid w:val="001F47EB"/>
    <w:rsid w:val="001F49C5"/>
    <w:rsid w:val="001F4C73"/>
    <w:rsid w:val="001F4EE8"/>
    <w:rsid w:val="001F50D0"/>
    <w:rsid w:val="001F5736"/>
    <w:rsid w:val="001F57FE"/>
    <w:rsid w:val="001F5C39"/>
    <w:rsid w:val="001F5F66"/>
    <w:rsid w:val="001F61B0"/>
    <w:rsid w:val="001F64A7"/>
    <w:rsid w:val="001F654F"/>
    <w:rsid w:val="001F69FD"/>
    <w:rsid w:val="001F6C68"/>
    <w:rsid w:val="001F6DF8"/>
    <w:rsid w:val="001F6F67"/>
    <w:rsid w:val="001F7211"/>
    <w:rsid w:val="001F74B4"/>
    <w:rsid w:val="001F74E4"/>
    <w:rsid w:val="001F7622"/>
    <w:rsid w:val="001F7694"/>
    <w:rsid w:val="001F76B1"/>
    <w:rsid w:val="001F776C"/>
    <w:rsid w:val="001F78C6"/>
    <w:rsid w:val="001F78E0"/>
    <w:rsid w:val="001F7A37"/>
    <w:rsid w:val="001F7B10"/>
    <w:rsid w:val="001F7E6C"/>
    <w:rsid w:val="0020014E"/>
    <w:rsid w:val="00200374"/>
    <w:rsid w:val="00200446"/>
    <w:rsid w:val="00200A08"/>
    <w:rsid w:val="00200B88"/>
    <w:rsid w:val="00200D1F"/>
    <w:rsid w:val="00200E16"/>
    <w:rsid w:val="0020108A"/>
    <w:rsid w:val="002014D4"/>
    <w:rsid w:val="00201A1E"/>
    <w:rsid w:val="00201A36"/>
    <w:rsid w:val="00201CB8"/>
    <w:rsid w:val="00201D90"/>
    <w:rsid w:val="00201E57"/>
    <w:rsid w:val="00202435"/>
    <w:rsid w:val="00202738"/>
    <w:rsid w:val="002028E5"/>
    <w:rsid w:val="002028EF"/>
    <w:rsid w:val="00202A91"/>
    <w:rsid w:val="00202FF4"/>
    <w:rsid w:val="002030C7"/>
    <w:rsid w:val="002031DC"/>
    <w:rsid w:val="002032A8"/>
    <w:rsid w:val="002036B8"/>
    <w:rsid w:val="0020372C"/>
    <w:rsid w:val="00203733"/>
    <w:rsid w:val="002038D0"/>
    <w:rsid w:val="00203A30"/>
    <w:rsid w:val="00203BC1"/>
    <w:rsid w:val="00203F0C"/>
    <w:rsid w:val="00204152"/>
    <w:rsid w:val="002044FD"/>
    <w:rsid w:val="00204909"/>
    <w:rsid w:val="00204A9B"/>
    <w:rsid w:val="00204B3A"/>
    <w:rsid w:val="002051BD"/>
    <w:rsid w:val="002054E9"/>
    <w:rsid w:val="002055D9"/>
    <w:rsid w:val="00205834"/>
    <w:rsid w:val="00205859"/>
    <w:rsid w:val="00205B1C"/>
    <w:rsid w:val="00205DDB"/>
    <w:rsid w:val="00205EA0"/>
    <w:rsid w:val="00205FFE"/>
    <w:rsid w:val="00206023"/>
    <w:rsid w:val="00206104"/>
    <w:rsid w:val="0020613C"/>
    <w:rsid w:val="002064E1"/>
    <w:rsid w:val="00206758"/>
    <w:rsid w:val="00206A5E"/>
    <w:rsid w:val="002072A1"/>
    <w:rsid w:val="002074A3"/>
    <w:rsid w:val="002076C7"/>
    <w:rsid w:val="00207C1E"/>
    <w:rsid w:val="00207CA5"/>
    <w:rsid w:val="00207D7D"/>
    <w:rsid w:val="00207F1E"/>
    <w:rsid w:val="002089EA"/>
    <w:rsid w:val="002104E9"/>
    <w:rsid w:val="00210513"/>
    <w:rsid w:val="00210571"/>
    <w:rsid w:val="00210736"/>
    <w:rsid w:val="00210829"/>
    <w:rsid w:val="0021084D"/>
    <w:rsid w:val="002109AB"/>
    <w:rsid w:val="002109D9"/>
    <w:rsid w:val="00210A8C"/>
    <w:rsid w:val="00210C74"/>
    <w:rsid w:val="00211103"/>
    <w:rsid w:val="002111A5"/>
    <w:rsid w:val="002112BA"/>
    <w:rsid w:val="002112DD"/>
    <w:rsid w:val="0021161B"/>
    <w:rsid w:val="00211695"/>
    <w:rsid w:val="00211A18"/>
    <w:rsid w:val="00211AA1"/>
    <w:rsid w:val="00212507"/>
    <w:rsid w:val="00212550"/>
    <w:rsid w:val="00212630"/>
    <w:rsid w:val="002129F4"/>
    <w:rsid w:val="00212A4E"/>
    <w:rsid w:val="00212BCC"/>
    <w:rsid w:val="00212D6D"/>
    <w:rsid w:val="00212F3E"/>
    <w:rsid w:val="00213119"/>
    <w:rsid w:val="002133A7"/>
    <w:rsid w:val="002133F8"/>
    <w:rsid w:val="002136A5"/>
    <w:rsid w:val="00213887"/>
    <w:rsid w:val="00213AB7"/>
    <w:rsid w:val="00213B01"/>
    <w:rsid w:val="00213B3A"/>
    <w:rsid w:val="00213C6F"/>
    <w:rsid w:val="00213CA9"/>
    <w:rsid w:val="00213E0F"/>
    <w:rsid w:val="00213EAE"/>
    <w:rsid w:val="00213F05"/>
    <w:rsid w:val="002143CE"/>
    <w:rsid w:val="002143E9"/>
    <w:rsid w:val="0021478B"/>
    <w:rsid w:val="00214869"/>
    <w:rsid w:val="002148A3"/>
    <w:rsid w:val="00214A98"/>
    <w:rsid w:val="00214C1E"/>
    <w:rsid w:val="00214F57"/>
    <w:rsid w:val="002152F4"/>
    <w:rsid w:val="002153DC"/>
    <w:rsid w:val="002155EB"/>
    <w:rsid w:val="00215A07"/>
    <w:rsid w:val="00215F02"/>
    <w:rsid w:val="002161C6"/>
    <w:rsid w:val="002163F2"/>
    <w:rsid w:val="00216988"/>
    <w:rsid w:val="00216B70"/>
    <w:rsid w:val="00216D0C"/>
    <w:rsid w:val="00216E35"/>
    <w:rsid w:val="002172A3"/>
    <w:rsid w:val="0021753A"/>
    <w:rsid w:val="00217634"/>
    <w:rsid w:val="00217690"/>
    <w:rsid w:val="00217AD4"/>
    <w:rsid w:val="00217AE8"/>
    <w:rsid w:val="0022043F"/>
    <w:rsid w:val="002205AB"/>
    <w:rsid w:val="002207E0"/>
    <w:rsid w:val="0022094F"/>
    <w:rsid w:val="00220973"/>
    <w:rsid w:val="002209C3"/>
    <w:rsid w:val="00220A84"/>
    <w:rsid w:val="00220F1C"/>
    <w:rsid w:val="00221063"/>
    <w:rsid w:val="00221171"/>
    <w:rsid w:val="00221315"/>
    <w:rsid w:val="002214FB"/>
    <w:rsid w:val="00221635"/>
    <w:rsid w:val="002216B7"/>
    <w:rsid w:val="002217D5"/>
    <w:rsid w:val="0022197F"/>
    <w:rsid w:val="00221BAB"/>
    <w:rsid w:val="00221D4E"/>
    <w:rsid w:val="00221FB1"/>
    <w:rsid w:val="0022227C"/>
    <w:rsid w:val="00222326"/>
    <w:rsid w:val="0022238D"/>
    <w:rsid w:val="002224DC"/>
    <w:rsid w:val="002224F9"/>
    <w:rsid w:val="00222691"/>
    <w:rsid w:val="00222882"/>
    <w:rsid w:val="0022290F"/>
    <w:rsid w:val="00222936"/>
    <w:rsid w:val="00222AD3"/>
    <w:rsid w:val="00222B41"/>
    <w:rsid w:val="00222B5F"/>
    <w:rsid w:val="00222EB5"/>
    <w:rsid w:val="00223162"/>
    <w:rsid w:val="00223165"/>
    <w:rsid w:val="00223886"/>
    <w:rsid w:val="002238EA"/>
    <w:rsid w:val="00223BFD"/>
    <w:rsid w:val="00223CCF"/>
    <w:rsid w:val="00223D65"/>
    <w:rsid w:val="00223E06"/>
    <w:rsid w:val="00223F4A"/>
    <w:rsid w:val="00223F57"/>
    <w:rsid w:val="00224369"/>
    <w:rsid w:val="002243BD"/>
    <w:rsid w:val="00224453"/>
    <w:rsid w:val="00224645"/>
    <w:rsid w:val="00224742"/>
    <w:rsid w:val="002247D7"/>
    <w:rsid w:val="002247EB"/>
    <w:rsid w:val="002248AA"/>
    <w:rsid w:val="00224A35"/>
    <w:rsid w:val="00224D34"/>
    <w:rsid w:val="00224F8F"/>
    <w:rsid w:val="002250A2"/>
    <w:rsid w:val="002254EE"/>
    <w:rsid w:val="0022552E"/>
    <w:rsid w:val="0022558C"/>
    <w:rsid w:val="0022558E"/>
    <w:rsid w:val="002257C3"/>
    <w:rsid w:val="00225ACA"/>
    <w:rsid w:val="00225B6A"/>
    <w:rsid w:val="00225B6C"/>
    <w:rsid w:val="00225D17"/>
    <w:rsid w:val="00225FE1"/>
    <w:rsid w:val="0022602D"/>
    <w:rsid w:val="00226B1E"/>
    <w:rsid w:val="00226B85"/>
    <w:rsid w:val="00226C5F"/>
    <w:rsid w:val="00226F4C"/>
    <w:rsid w:val="00227165"/>
    <w:rsid w:val="002272A6"/>
    <w:rsid w:val="0022737B"/>
    <w:rsid w:val="00227500"/>
    <w:rsid w:val="002275EF"/>
    <w:rsid w:val="0022789B"/>
    <w:rsid w:val="00227B28"/>
    <w:rsid w:val="00227B42"/>
    <w:rsid w:val="0023000B"/>
    <w:rsid w:val="00230452"/>
    <w:rsid w:val="002307A9"/>
    <w:rsid w:val="00230D65"/>
    <w:rsid w:val="00230DF7"/>
    <w:rsid w:val="00230F16"/>
    <w:rsid w:val="00230F81"/>
    <w:rsid w:val="0023102D"/>
    <w:rsid w:val="002310E3"/>
    <w:rsid w:val="00231206"/>
    <w:rsid w:val="0023133B"/>
    <w:rsid w:val="002314B6"/>
    <w:rsid w:val="00231638"/>
    <w:rsid w:val="00231C9A"/>
    <w:rsid w:val="00231D95"/>
    <w:rsid w:val="00231DC3"/>
    <w:rsid w:val="00231E5D"/>
    <w:rsid w:val="00231EAC"/>
    <w:rsid w:val="00231F04"/>
    <w:rsid w:val="0023200C"/>
    <w:rsid w:val="00232664"/>
    <w:rsid w:val="00232734"/>
    <w:rsid w:val="0023273C"/>
    <w:rsid w:val="002327A3"/>
    <w:rsid w:val="0023289C"/>
    <w:rsid w:val="00232B0B"/>
    <w:rsid w:val="00232E66"/>
    <w:rsid w:val="002330BA"/>
    <w:rsid w:val="0023319D"/>
    <w:rsid w:val="0023330D"/>
    <w:rsid w:val="00233752"/>
    <w:rsid w:val="0023396A"/>
    <w:rsid w:val="00233ADB"/>
    <w:rsid w:val="00233ADF"/>
    <w:rsid w:val="00233CB5"/>
    <w:rsid w:val="00233F31"/>
    <w:rsid w:val="002344C0"/>
    <w:rsid w:val="0023457A"/>
    <w:rsid w:val="002347F8"/>
    <w:rsid w:val="0023492D"/>
    <w:rsid w:val="00234958"/>
    <w:rsid w:val="00234974"/>
    <w:rsid w:val="00234C48"/>
    <w:rsid w:val="002355DD"/>
    <w:rsid w:val="00235647"/>
    <w:rsid w:val="002359F2"/>
    <w:rsid w:val="00235A2F"/>
    <w:rsid w:val="00235A77"/>
    <w:rsid w:val="00235B3D"/>
    <w:rsid w:val="002360C7"/>
    <w:rsid w:val="00236199"/>
    <w:rsid w:val="002363E1"/>
    <w:rsid w:val="00236700"/>
    <w:rsid w:val="002367DD"/>
    <w:rsid w:val="00236889"/>
    <w:rsid w:val="00236A53"/>
    <w:rsid w:val="00236CA6"/>
    <w:rsid w:val="00236E6C"/>
    <w:rsid w:val="002370A1"/>
    <w:rsid w:val="00237559"/>
    <w:rsid w:val="00237B5A"/>
    <w:rsid w:val="00237D03"/>
    <w:rsid w:val="00237D89"/>
    <w:rsid w:val="00237ED7"/>
    <w:rsid w:val="00237F70"/>
    <w:rsid w:val="00240210"/>
    <w:rsid w:val="00240343"/>
    <w:rsid w:val="002409D0"/>
    <w:rsid w:val="00240BE3"/>
    <w:rsid w:val="00240C5A"/>
    <w:rsid w:val="00241402"/>
    <w:rsid w:val="00241675"/>
    <w:rsid w:val="00241734"/>
    <w:rsid w:val="00241747"/>
    <w:rsid w:val="002418FF"/>
    <w:rsid w:val="00241984"/>
    <w:rsid w:val="002419CD"/>
    <w:rsid w:val="00241A19"/>
    <w:rsid w:val="00241CB2"/>
    <w:rsid w:val="00241D6D"/>
    <w:rsid w:val="00241DD7"/>
    <w:rsid w:val="00241DDB"/>
    <w:rsid w:val="00241EEC"/>
    <w:rsid w:val="00241F20"/>
    <w:rsid w:val="0024217E"/>
    <w:rsid w:val="0024220B"/>
    <w:rsid w:val="002424AF"/>
    <w:rsid w:val="002424C1"/>
    <w:rsid w:val="00242C43"/>
    <w:rsid w:val="00242D20"/>
    <w:rsid w:val="00242E87"/>
    <w:rsid w:val="00243154"/>
    <w:rsid w:val="00243167"/>
    <w:rsid w:val="0024337E"/>
    <w:rsid w:val="0024343C"/>
    <w:rsid w:val="00243499"/>
    <w:rsid w:val="0024365C"/>
    <w:rsid w:val="00243736"/>
    <w:rsid w:val="00243806"/>
    <w:rsid w:val="00243AF2"/>
    <w:rsid w:val="00243E0F"/>
    <w:rsid w:val="0024413B"/>
    <w:rsid w:val="00244298"/>
    <w:rsid w:val="00244495"/>
    <w:rsid w:val="00244868"/>
    <w:rsid w:val="00244B8D"/>
    <w:rsid w:val="00244D43"/>
    <w:rsid w:val="002450C6"/>
    <w:rsid w:val="00245255"/>
    <w:rsid w:val="0024527D"/>
    <w:rsid w:val="00245871"/>
    <w:rsid w:val="0024589D"/>
    <w:rsid w:val="00245953"/>
    <w:rsid w:val="0024597E"/>
    <w:rsid w:val="002459B6"/>
    <w:rsid w:val="00245BBB"/>
    <w:rsid w:val="00246024"/>
    <w:rsid w:val="00246091"/>
    <w:rsid w:val="00246098"/>
    <w:rsid w:val="002460C2"/>
    <w:rsid w:val="0024695C"/>
    <w:rsid w:val="002469C8"/>
    <w:rsid w:val="00246B8F"/>
    <w:rsid w:val="00246CC7"/>
    <w:rsid w:val="00247218"/>
    <w:rsid w:val="002472A1"/>
    <w:rsid w:val="0024752B"/>
    <w:rsid w:val="00247604"/>
    <w:rsid w:val="002477E1"/>
    <w:rsid w:val="00247900"/>
    <w:rsid w:val="00247A9F"/>
    <w:rsid w:val="00247AE2"/>
    <w:rsid w:val="00247B9A"/>
    <w:rsid w:val="00250024"/>
    <w:rsid w:val="002504C8"/>
    <w:rsid w:val="002504D7"/>
    <w:rsid w:val="00250858"/>
    <w:rsid w:val="00250ACF"/>
    <w:rsid w:val="00250BC5"/>
    <w:rsid w:val="00250CF8"/>
    <w:rsid w:val="00250E17"/>
    <w:rsid w:val="00250F6D"/>
    <w:rsid w:val="00251152"/>
    <w:rsid w:val="002512C4"/>
    <w:rsid w:val="00251DF8"/>
    <w:rsid w:val="00251E9E"/>
    <w:rsid w:val="0025216E"/>
    <w:rsid w:val="002521EB"/>
    <w:rsid w:val="00252829"/>
    <w:rsid w:val="002528A0"/>
    <w:rsid w:val="00252AAF"/>
    <w:rsid w:val="00252CE1"/>
    <w:rsid w:val="00253120"/>
    <w:rsid w:val="002534F0"/>
    <w:rsid w:val="00253586"/>
    <w:rsid w:val="002536B6"/>
    <w:rsid w:val="0025371F"/>
    <w:rsid w:val="002538D4"/>
    <w:rsid w:val="00253B2F"/>
    <w:rsid w:val="00253DDB"/>
    <w:rsid w:val="00253F33"/>
    <w:rsid w:val="00254249"/>
    <w:rsid w:val="002542F9"/>
    <w:rsid w:val="002545E4"/>
    <w:rsid w:val="0025462E"/>
    <w:rsid w:val="00254805"/>
    <w:rsid w:val="00254A7F"/>
    <w:rsid w:val="00254ACD"/>
    <w:rsid w:val="00254FDA"/>
    <w:rsid w:val="002550B5"/>
    <w:rsid w:val="00255124"/>
    <w:rsid w:val="0025581E"/>
    <w:rsid w:val="00255969"/>
    <w:rsid w:val="00255A2C"/>
    <w:rsid w:val="00255C2F"/>
    <w:rsid w:val="00256137"/>
    <w:rsid w:val="002564E1"/>
    <w:rsid w:val="002565AB"/>
    <w:rsid w:val="00256610"/>
    <w:rsid w:val="0025671D"/>
    <w:rsid w:val="002567C8"/>
    <w:rsid w:val="002567F0"/>
    <w:rsid w:val="00256B34"/>
    <w:rsid w:val="00256C61"/>
    <w:rsid w:val="00256D32"/>
    <w:rsid w:val="00256F84"/>
    <w:rsid w:val="00256FBE"/>
    <w:rsid w:val="00257055"/>
    <w:rsid w:val="0025726C"/>
    <w:rsid w:val="002573F4"/>
    <w:rsid w:val="00257531"/>
    <w:rsid w:val="0025794D"/>
    <w:rsid w:val="00257961"/>
    <w:rsid w:val="00257B70"/>
    <w:rsid w:val="00257C2D"/>
    <w:rsid w:val="00257C64"/>
    <w:rsid w:val="00257CE9"/>
    <w:rsid w:val="00257DE4"/>
    <w:rsid w:val="002602B4"/>
    <w:rsid w:val="00260401"/>
    <w:rsid w:val="00260457"/>
    <w:rsid w:val="002604CA"/>
    <w:rsid w:val="002605BA"/>
    <w:rsid w:val="002605DB"/>
    <w:rsid w:val="002607DB"/>
    <w:rsid w:val="002609D4"/>
    <w:rsid w:val="00260AD4"/>
    <w:rsid w:val="00260EB6"/>
    <w:rsid w:val="00261070"/>
    <w:rsid w:val="002611D2"/>
    <w:rsid w:val="0026138B"/>
    <w:rsid w:val="002613D9"/>
    <w:rsid w:val="002614E5"/>
    <w:rsid w:val="002615B8"/>
    <w:rsid w:val="0026193B"/>
    <w:rsid w:val="00261CCB"/>
    <w:rsid w:val="00261E42"/>
    <w:rsid w:val="002620CC"/>
    <w:rsid w:val="002620E1"/>
    <w:rsid w:val="002622AE"/>
    <w:rsid w:val="002625FE"/>
    <w:rsid w:val="0026273D"/>
    <w:rsid w:val="00262820"/>
    <w:rsid w:val="00262B4B"/>
    <w:rsid w:val="00262FE4"/>
    <w:rsid w:val="00263334"/>
    <w:rsid w:val="00263654"/>
    <w:rsid w:val="002638F9"/>
    <w:rsid w:val="00263A7B"/>
    <w:rsid w:val="00263B32"/>
    <w:rsid w:val="00263BB9"/>
    <w:rsid w:val="00263F7A"/>
    <w:rsid w:val="002642EA"/>
    <w:rsid w:val="00264397"/>
    <w:rsid w:val="00264430"/>
    <w:rsid w:val="00264760"/>
    <w:rsid w:val="00264855"/>
    <w:rsid w:val="00264C9C"/>
    <w:rsid w:val="0026531B"/>
    <w:rsid w:val="002654C2"/>
    <w:rsid w:val="002659CC"/>
    <w:rsid w:val="00265B1A"/>
    <w:rsid w:val="00265D7F"/>
    <w:rsid w:val="00265ECD"/>
    <w:rsid w:val="00265FC7"/>
    <w:rsid w:val="00266156"/>
    <w:rsid w:val="0026651D"/>
    <w:rsid w:val="002666A0"/>
    <w:rsid w:val="00266EF5"/>
    <w:rsid w:val="0026719F"/>
    <w:rsid w:val="002673FA"/>
    <w:rsid w:val="00267560"/>
    <w:rsid w:val="002676E2"/>
    <w:rsid w:val="002677F8"/>
    <w:rsid w:val="002679FF"/>
    <w:rsid w:val="00267AAF"/>
    <w:rsid w:val="00267DEC"/>
    <w:rsid w:val="00267E75"/>
    <w:rsid w:val="0027039F"/>
    <w:rsid w:val="002704BB"/>
    <w:rsid w:val="00270830"/>
    <w:rsid w:val="00270A93"/>
    <w:rsid w:val="00270CB7"/>
    <w:rsid w:val="00270DC1"/>
    <w:rsid w:val="00270F4B"/>
    <w:rsid w:val="00271204"/>
    <w:rsid w:val="0027130C"/>
    <w:rsid w:val="0027140B"/>
    <w:rsid w:val="00271BFF"/>
    <w:rsid w:val="00271C2B"/>
    <w:rsid w:val="00272066"/>
    <w:rsid w:val="0027228F"/>
    <w:rsid w:val="00272375"/>
    <w:rsid w:val="002723B7"/>
    <w:rsid w:val="00272562"/>
    <w:rsid w:val="00272682"/>
    <w:rsid w:val="002727B1"/>
    <w:rsid w:val="00272A9F"/>
    <w:rsid w:val="00272C38"/>
    <w:rsid w:val="00272EA0"/>
    <w:rsid w:val="00272FE9"/>
    <w:rsid w:val="00273217"/>
    <w:rsid w:val="002732CD"/>
    <w:rsid w:val="002732CF"/>
    <w:rsid w:val="00273614"/>
    <w:rsid w:val="002736B9"/>
    <w:rsid w:val="00273878"/>
    <w:rsid w:val="002738A2"/>
    <w:rsid w:val="00273A59"/>
    <w:rsid w:val="00273ABC"/>
    <w:rsid w:val="00273B76"/>
    <w:rsid w:val="00273C9F"/>
    <w:rsid w:val="00273EEC"/>
    <w:rsid w:val="00274072"/>
    <w:rsid w:val="00274121"/>
    <w:rsid w:val="002742AD"/>
    <w:rsid w:val="0027460F"/>
    <w:rsid w:val="00274B42"/>
    <w:rsid w:val="00274BFC"/>
    <w:rsid w:val="00274C90"/>
    <w:rsid w:val="00274DEC"/>
    <w:rsid w:val="002751DF"/>
    <w:rsid w:val="0027522B"/>
    <w:rsid w:val="00275789"/>
    <w:rsid w:val="002757F2"/>
    <w:rsid w:val="00275DE9"/>
    <w:rsid w:val="00275E93"/>
    <w:rsid w:val="002763E6"/>
    <w:rsid w:val="002764B6"/>
    <w:rsid w:val="00276656"/>
    <w:rsid w:val="00276874"/>
    <w:rsid w:val="00276963"/>
    <w:rsid w:val="00276B1E"/>
    <w:rsid w:val="00276DCA"/>
    <w:rsid w:val="00276EA9"/>
    <w:rsid w:val="00277155"/>
    <w:rsid w:val="00277222"/>
    <w:rsid w:val="002773C0"/>
    <w:rsid w:val="00277459"/>
    <w:rsid w:val="00277652"/>
    <w:rsid w:val="00277702"/>
    <w:rsid w:val="00277C78"/>
    <w:rsid w:val="00277EC6"/>
    <w:rsid w:val="002800A6"/>
    <w:rsid w:val="00280328"/>
    <w:rsid w:val="002804F4"/>
    <w:rsid w:val="00280760"/>
    <w:rsid w:val="002808A6"/>
    <w:rsid w:val="00280AD9"/>
    <w:rsid w:val="00280C11"/>
    <w:rsid w:val="00280D20"/>
    <w:rsid w:val="00280E8C"/>
    <w:rsid w:val="00281055"/>
    <w:rsid w:val="00281123"/>
    <w:rsid w:val="002812F6"/>
    <w:rsid w:val="002813CA"/>
    <w:rsid w:val="00281441"/>
    <w:rsid w:val="002814BC"/>
    <w:rsid w:val="002817EB"/>
    <w:rsid w:val="00281A83"/>
    <w:rsid w:val="00281CBF"/>
    <w:rsid w:val="00281DFE"/>
    <w:rsid w:val="00281E81"/>
    <w:rsid w:val="0028202A"/>
    <w:rsid w:val="002823EC"/>
    <w:rsid w:val="00282A63"/>
    <w:rsid w:val="00282A75"/>
    <w:rsid w:val="00282A82"/>
    <w:rsid w:val="00282BAA"/>
    <w:rsid w:val="0028307F"/>
    <w:rsid w:val="002836FA"/>
    <w:rsid w:val="00283703"/>
    <w:rsid w:val="00283AFE"/>
    <w:rsid w:val="00283EB1"/>
    <w:rsid w:val="00283F9D"/>
    <w:rsid w:val="002841C1"/>
    <w:rsid w:val="0028436C"/>
    <w:rsid w:val="002846CD"/>
    <w:rsid w:val="00284828"/>
    <w:rsid w:val="0028483A"/>
    <w:rsid w:val="00284874"/>
    <w:rsid w:val="00284A8D"/>
    <w:rsid w:val="00284B14"/>
    <w:rsid w:val="00284C81"/>
    <w:rsid w:val="00284EF6"/>
    <w:rsid w:val="00285117"/>
    <w:rsid w:val="00285995"/>
    <w:rsid w:val="00285D09"/>
    <w:rsid w:val="00285D4B"/>
    <w:rsid w:val="00286156"/>
    <w:rsid w:val="00286482"/>
    <w:rsid w:val="002864EA"/>
    <w:rsid w:val="00286666"/>
    <w:rsid w:val="00286709"/>
    <w:rsid w:val="002867A2"/>
    <w:rsid w:val="00286A87"/>
    <w:rsid w:val="00286AF1"/>
    <w:rsid w:val="00286C44"/>
    <w:rsid w:val="00286C67"/>
    <w:rsid w:val="00286CAE"/>
    <w:rsid w:val="00286CED"/>
    <w:rsid w:val="00286D3B"/>
    <w:rsid w:val="00286F12"/>
    <w:rsid w:val="00287457"/>
    <w:rsid w:val="002878F3"/>
    <w:rsid w:val="00287A74"/>
    <w:rsid w:val="00287B7C"/>
    <w:rsid w:val="00287CBB"/>
    <w:rsid w:val="00287EC0"/>
    <w:rsid w:val="00290044"/>
    <w:rsid w:val="002906E9"/>
    <w:rsid w:val="002907CF"/>
    <w:rsid w:val="00290873"/>
    <w:rsid w:val="002908CF"/>
    <w:rsid w:val="00290B5C"/>
    <w:rsid w:val="00290C61"/>
    <w:rsid w:val="00290CED"/>
    <w:rsid w:val="002912C0"/>
    <w:rsid w:val="002913EB"/>
    <w:rsid w:val="0029151C"/>
    <w:rsid w:val="0029158E"/>
    <w:rsid w:val="00291601"/>
    <w:rsid w:val="002916A4"/>
    <w:rsid w:val="002916A9"/>
    <w:rsid w:val="00291790"/>
    <w:rsid w:val="002918F4"/>
    <w:rsid w:val="00291B29"/>
    <w:rsid w:val="00291BA7"/>
    <w:rsid w:val="00291C2F"/>
    <w:rsid w:val="0029203D"/>
    <w:rsid w:val="0029223A"/>
    <w:rsid w:val="0029251D"/>
    <w:rsid w:val="002925B1"/>
    <w:rsid w:val="00292E3E"/>
    <w:rsid w:val="00292F24"/>
    <w:rsid w:val="00292FE1"/>
    <w:rsid w:val="0029304A"/>
    <w:rsid w:val="002931F0"/>
    <w:rsid w:val="00293225"/>
    <w:rsid w:val="00293305"/>
    <w:rsid w:val="00293319"/>
    <w:rsid w:val="0029369B"/>
    <w:rsid w:val="002936F5"/>
    <w:rsid w:val="00293735"/>
    <w:rsid w:val="002938BB"/>
    <w:rsid w:val="002939F5"/>
    <w:rsid w:val="00293AB9"/>
    <w:rsid w:val="00293D26"/>
    <w:rsid w:val="00293D91"/>
    <w:rsid w:val="00293E50"/>
    <w:rsid w:val="00294069"/>
    <w:rsid w:val="00294207"/>
    <w:rsid w:val="0029434A"/>
    <w:rsid w:val="002943DA"/>
    <w:rsid w:val="00294509"/>
    <w:rsid w:val="0029459A"/>
    <w:rsid w:val="0029459B"/>
    <w:rsid w:val="00294831"/>
    <w:rsid w:val="0029484E"/>
    <w:rsid w:val="00294900"/>
    <w:rsid w:val="00294A39"/>
    <w:rsid w:val="00294A85"/>
    <w:rsid w:val="00294B1A"/>
    <w:rsid w:val="00294B61"/>
    <w:rsid w:val="00294DC7"/>
    <w:rsid w:val="002953AC"/>
    <w:rsid w:val="002955F0"/>
    <w:rsid w:val="00295A2C"/>
    <w:rsid w:val="00295BC6"/>
    <w:rsid w:val="00296038"/>
    <w:rsid w:val="002962E5"/>
    <w:rsid w:val="00296405"/>
    <w:rsid w:val="00296455"/>
    <w:rsid w:val="00296466"/>
    <w:rsid w:val="00296475"/>
    <w:rsid w:val="002964FA"/>
    <w:rsid w:val="00296597"/>
    <w:rsid w:val="002965EF"/>
    <w:rsid w:val="002966BA"/>
    <w:rsid w:val="00296A80"/>
    <w:rsid w:val="00296BF9"/>
    <w:rsid w:val="00296D7A"/>
    <w:rsid w:val="00296E12"/>
    <w:rsid w:val="00296EEF"/>
    <w:rsid w:val="00297093"/>
    <w:rsid w:val="002970AB"/>
    <w:rsid w:val="002970CC"/>
    <w:rsid w:val="0029738E"/>
    <w:rsid w:val="002973C8"/>
    <w:rsid w:val="002974F2"/>
    <w:rsid w:val="00297E6A"/>
    <w:rsid w:val="00297E8E"/>
    <w:rsid w:val="002A04AC"/>
    <w:rsid w:val="002A0807"/>
    <w:rsid w:val="002A0959"/>
    <w:rsid w:val="002A0A05"/>
    <w:rsid w:val="002A0AD8"/>
    <w:rsid w:val="002A0B9A"/>
    <w:rsid w:val="002A0E43"/>
    <w:rsid w:val="002A0F86"/>
    <w:rsid w:val="002A15CE"/>
    <w:rsid w:val="002A15FE"/>
    <w:rsid w:val="002A182E"/>
    <w:rsid w:val="002A19EA"/>
    <w:rsid w:val="002A1A4B"/>
    <w:rsid w:val="002A1D80"/>
    <w:rsid w:val="002A2026"/>
    <w:rsid w:val="002A21F9"/>
    <w:rsid w:val="002A2640"/>
    <w:rsid w:val="002A2845"/>
    <w:rsid w:val="002A28FE"/>
    <w:rsid w:val="002A2A7F"/>
    <w:rsid w:val="002A2F0E"/>
    <w:rsid w:val="002A2F87"/>
    <w:rsid w:val="002A2F98"/>
    <w:rsid w:val="002A30E5"/>
    <w:rsid w:val="002A33C6"/>
    <w:rsid w:val="002A3744"/>
    <w:rsid w:val="002A37C2"/>
    <w:rsid w:val="002A3FAE"/>
    <w:rsid w:val="002A4384"/>
    <w:rsid w:val="002A44D5"/>
    <w:rsid w:val="002A451A"/>
    <w:rsid w:val="002A4558"/>
    <w:rsid w:val="002A488B"/>
    <w:rsid w:val="002A48DB"/>
    <w:rsid w:val="002A4934"/>
    <w:rsid w:val="002A4DBF"/>
    <w:rsid w:val="002A4E33"/>
    <w:rsid w:val="002A4EAD"/>
    <w:rsid w:val="002A5030"/>
    <w:rsid w:val="002A5037"/>
    <w:rsid w:val="002A546D"/>
    <w:rsid w:val="002A5533"/>
    <w:rsid w:val="002A565C"/>
    <w:rsid w:val="002A5781"/>
    <w:rsid w:val="002A584C"/>
    <w:rsid w:val="002A5D9B"/>
    <w:rsid w:val="002A607D"/>
    <w:rsid w:val="002A6152"/>
    <w:rsid w:val="002A6600"/>
    <w:rsid w:val="002A6658"/>
    <w:rsid w:val="002A683F"/>
    <w:rsid w:val="002A6D90"/>
    <w:rsid w:val="002A7646"/>
    <w:rsid w:val="002A7728"/>
    <w:rsid w:val="002A77C4"/>
    <w:rsid w:val="002A7919"/>
    <w:rsid w:val="002A79FA"/>
    <w:rsid w:val="002B0075"/>
    <w:rsid w:val="002B00B0"/>
    <w:rsid w:val="002B0240"/>
    <w:rsid w:val="002B03D4"/>
    <w:rsid w:val="002B0454"/>
    <w:rsid w:val="002B0562"/>
    <w:rsid w:val="002B062C"/>
    <w:rsid w:val="002B065F"/>
    <w:rsid w:val="002B08A9"/>
    <w:rsid w:val="002B09D0"/>
    <w:rsid w:val="002B09D5"/>
    <w:rsid w:val="002B0BB6"/>
    <w:rsid w:val="002B0CF6"/>
    <w:rsid w:val="002B0DAD"/>
    <w:rsid w:val="002B0E51"/>
    <w:rsid w:val="002B0F52"/>
    <w:rsid w:val="002B0FF8"/>
    <w:rsid w:val="002B12F5"/>
    <w:rsid w:val="002B1702"/>
    <w:rsid w:val="002B193D"/>
    <w:rsid w:val="002B19CB"/>
    <w:rsid w:val="002B1D09"/>
    <w:rsid w:val="002B1D5E"/>
    <w:rsid w:val="002B1DE9"/>
    <w:rsid w:val="002B1E38"/>
    <w:rsid w:val="002B1FA7"/>
    <w:rsid w:val="002B2068"/>
    <w:rsid w:val="002B22CB"/>
    <w:rsid w:val="002B232D"/>
    <w:rsid w:val="002B23AA"/>
    <w:rsid w:val="002B288E"/>
    <w:rsid w:val="002B3065"/>
    <w:rsid w:val="002B37B4"/>
    <w:rsid w:val="002B3910"/>
    <w:rsid w:val="002B3AAC"/>
    <w:rsid w:val="002B3F29"/>
    <w:rsid w:val="002B3FDA"/>
    <w:rsid w:val="002B41DE"/>
    <w:rsid w:val="002B47CD"/>
    <w:rsid w:val="002B482A"/>
    <w:rsid w:val="002B496E"/>
    <w:rsid w:val="002B4A36"/>
    <w:rsid w:val="002B4CF0"/>
    <w:rsid w:val="002B5080"/>
    <w:rsid w:val="002B50DF"/>
    <w:rsid w:val="002B50FC"/>
    <w:rsid w:val="002B532E"/>
    <w:rsid w:val="002B53B4"/>
    <w:rsid w:val="002B53FF"/>
    <w:rsid w:val="002B5460"/>
    <w:rsid w:val="002B5741"/>
    <w:rsid w:val="002B5A4F"/>
    <w:rsid w:val="002B5FFB"/>
    <w:rsid w:val="002B60B1"/>
    <w:rsid w:val="002B620E"/>
    <w:rsid w:val="002B633F"/>
    <w:rsid w:val="002B639E"/>
    <w:rsid w:val="002B6651"/>
    <w:rsid w:val="002B6D84"/>
    <w:rsid w:val="002B6ECC"/>
    <w:rsid w:val="002B7463"/>
    <w:rsid w:val="002B750B"/>
    <w:rsid w:val="002B752C"/>
    <w:rsid w:val="002B76C0"/>
    <w:rsid w:val="002B7F7D"/>
    <w:rsid w:val="002B7F92"/>
    <w:rsid w:val="002B7FF8"/>
    <w:rsid w:val="002C0018"/>
    <w:rsid w:val="002C0082"/>
    <w:rsid w:val="002C01E9"/>
    <w:rsid w:val="002C045F"/>
    <w:rsid w:val="002C082B"/>
    <w:rsid w:val="002C0A78"/>
    <w:rsid w:val="002C0B35"/>
    <w:rsid w:val="002C0C28"/>
    <w:rsid w:val="002C0F71"/>
    <w:rsid w:val="002C0FA4"/>
    <w:rsid w:val="002C0FC7"/>
    <w:rsid w:val="002C103F"/>
    <w:rsid w:val="002C1211"/>
    <w:rsid w:val="002C1259"/>
    <w:rsid w:val="002C1409"/>
    <w:rsid w:val="002C17B9"/>
    <w:rsid w:val="002C184C"/>
    <w:rsid w:val="002C1AA9"/>
    <w:rsid w:val="002C1C4F"/>
    <w:rsid w:val="002C1D23"/>
    <w:rsid w:val="002C1F15"/>
    <w:rsid w:val="002C2237"/>
    <w:rsid w:val="002C2282"/>
    <w:rsid w:val="002C23BC"/>
    <w:rsid w:val="002C274D"/>
    <w:rsid w:val="002C2834"/>
    <w:rsid w:val="002C2B1E"/>
    <w:rsid w:val="002C2EC4"/>
    <w:rsid w:val="002C2F1D"/>
    <w:rsid w:val="002C2F8A"/>
    <w:rsid w:val="002C30FA"/>
    <w:rsid w:val="002C31EB"/>
    <w:rsid w:val="002C3233"/>
    <w:rsid w:val="002C334C"/>
    <w:rsid w:val="002C3886"/>
    <w:rsid w:val="002C3A02"/>
    <w:rsid w:val="002C3A9D"/>
    <w:rsid w:val="002C3AF6"/>
    <w:rsid w:val="002C3E2B"/>
    <w:rsid w:val="002C3E7A"/>
    <w:rsid w:val="002C4102"/>
    <w:rsid w:val="002C43AB"/>
    <w:rsid w:val="002C43E3"/>
    <w:rsid w:val="002C4406"/>
    <w:rsid w:val="002C4442"/>
    <w:rsid w:val="002C476C"/>
    <w:rsid w:val="002C4784"/>
    <w:rsid w:val="002C47BA"/>
    <w:rsid w:val="002C4AF7"/>
    <w:rsid w:val="002C4D1D"/>
    <w:rsid w:val="002C4D86"/>
    <w:rsid w:val="002C4EAA"/>
    <w:rsid w:val="002C4F0E"/>
    <w:rsid w:val="002C4F9E"/>
    <w:rsid w:val="002C5033"/>
    <w:rsid w:val="002C5A29"/>
    <w:rsid w:val="002C5A68"/>
    <w:rsid w:val="002C5C58"/>
    <w:rsid w:val="002C5F63"/>
    <w:rsid w:val="002C5FC2"/>
    <w:rsid w:val="002C6E11"/>
    <w:rsid w:val="002C6FBE"/>
    <w:rsid w:val="002C71BF"/>
    <w:rsid w:val="002C742B"/>
    <w:rsid w:val="002C775D"/>
    <w:rsid w:val="002C7859"/>
    <w:rsid w:val="002C7B1A"/>
    <w:rsid w:val="002C7B44"/>
    <w:rsid w:val="002C7EB3"/>
    <w:rsid w:val="002D0227"/>
    <w:rsid w:val="002D04CA"/>
    <w:rsid w:val="002D053D"/>
    <w:rsid w:val="002D0626"/>
    <w:rsid w:val="002D06A9"/>
    <w:rsid w:val="002D099A"/>
    <w:rsid w:val="002D0B7C"/>
    <w:rsid w:val="002D0F1B"/>
    <w:rsid w:val="002D0FCE"/>
    <w:rsid w:val="002D193A"/>
    <w:rsid w:val="002D1BAB"/>
    <w:rsid w:val="002D1F4F"/>
    <w:rsid w:val="002D1F61"/>
    <w:rsid w:val="002D2056"/>
    <w:rsid w:val="002D2134"/>
    <w:rsid w:val="002D21E7"/>
    <w:rsid w:val="002D295E"/>
    <w:rsid w:val="002D2A24"/>
    <w:rsid w:val="002D2B15"/>
    <w:rsid w:val="002D2B3F"/>
    <w:rsid w:val="002D2D73"/>
    <w:rsid w:val="002D2F6D"/>
    <w:rsid w:val="002D307B"/>
    <w:rsid w:val="002D3348"/>
    <w:rsid w:val="002D33DF"/>
    <w:rsid w:val="002D3674"/>
    <w:rsid w:val="002D36D5"/>
    <w:rsid w:val="002D3D13"/>
    <w:rsid w:val="002D3EDD"/>
    <w:rsid w:val="002D4121"/>
    <w:rsid w:val="002D45E7"/>
    <w:rsid w:val="002D4741"/>
    <w:rsid w:val="002D48F0"/>
    <w:rsid w:val="002D48F1"/>
    <w:rsid w:val="002D4AC1"/>
    <w:rsid w:val="002D4D3D"/>
    <w:rsid w:val="002D50C6"/>
    <w:rsid w:val="002D516F"/>
    <w:rsid w:val="002D51B6"/>
    <w:rsid w:val="002D562D"/>
    <w:rsid w:val="002D575F"/>
    <w:rsid w:val="002D576A"/>
    <w:rsid w:val="002D5873"/>
    <w:rsid w:val="002D589F"/>
    <w:rsid w:val="002D58B0"/>
    <w:rsid w:val="002D593A"/>
    <w:rsid w:val="002D5A2B"/>
    <w:rsid w:val="002D5C17"/>
    <w:rsid w:val="002D5F2E"/>
    <w:rsid w:val="002D5F5D"/>
    <w:rsid w:val="002D5F88"/>
    <w:rsid w:val="002D6139"/>
    <w:rsid w:val="002D6219"/>
    <w:rsid w:val="002D630B"/>
    <w:rsid w:val="002D662D"/>
    <w:rsid w:val="002D6792"/>
    <w:rsid w:val="002D67E3"/>
    <w:rsid w:val="002D67F2"/>
    <w:rsid w:val="002D6A13"/>
    <w:rsid w:val="002D6BCB"/>
    <w:rsid w:val="002D6E10"/>
    <w:rsid w:val="002D712A"/>
    <w:rsid w:val="002D721B"/>
    <w:rsid w:val="002D73D7"/>
    <w:rsid w:val="002D74CB"/>
    <w:rsid w:val="002D7602"/>
    <w:rsid w:val="002D7AE1"/>
    <w:rsid w:val="002D7D12"/>
    <w:rsid w:val="002D7DE3"/>
    <w:rsid w:val="002D7E41"/>
    <w:rsid w:val="002D7E68"/>
    <w:rsid w:val="002E028C"/>
    <w:rsid w:val="002E04FE"/>
    <w:rsid w:val="002E07AA"/>
    <w:rsid w:val="002E084A"/>
    <w:rsid w:val="002E0E53"/>
    <w:rsid w:val="002E0F86"/>
    <w:rsid w:val="002E1119"/>
    <w:rsid w:val="002E11DC"/>
    <w:rsid w:val="002E13BB"/>
    <w:rsid w:val="002E1519"/>
    <w:rsid w:val="002E15C2"/>
    <w:rsid w:val="002E17D9"/>
    <w:rsid w:val="002E186E"/>
    <w:rsid w:val="002E191B"/>
    <w:rsid w:val="002E1973"/>
    <w:rsid w:val="002E1A01"/>
    <w:rsid w:val="002E1C6D"/>
    <w:rsid w:val="002E1E14"/>
    <w:rsid w:val="002E1E70"/>
    <w:rsid w:val="002E1F96"/>
    <w:rsid w:val="002E20DF"/>
    <w:rsid w:val="002E2345"/>
    <w:rsid w:val="002E2494"/>
    <w:rsid w:val="002E24FD"/>
    <w:rsid w:val="002E2667"/>
    <w:rsid w:val="002E2842"/>
    <w:rsid w:val="002E29B0"/>
    <w:rsid w:val="002E2DB9"/>
    <w:rsid w:val="002E2F56"/>
    <w:rsid w:val="002E3786"/>
    <w:rsid w:val="002E39D1"/>
    <w:rsid w:val="002E3BAB"/>
    <w:rsid w:val="002E3EBE"/>
    <w:rsid w:val="002E4173"/>
    <w:rsid w:val="002E47B8"/>
    <w:rsid w:val="002E4B5B"/>
    <w:rsid w:val="002E4CB0"/>
    <w:rsid w:val="002E4DC4"/>
    <w:rsid w:val="002E566A"/>
    <w:rsid w:val="002E5838"/>
    <w:rsid w:val="002E5853"/>
    <w:rsid w:val="002E5EFB"/>
    <w:rsid w:val="002E5F91"/>
    <w:rsid w:val="002E61D4"/>
    <w:rsid w:val="002E6297"/>
    <w:rsid w:val="002E62ED"/>
    <w:rsid w:val="002E6322"/>
    <w:rsid w:val="002E6748"/>
    <w:rsid w:val="002E6AFB"/>
    <w:rsid w:val="002E6E58"/>
    <w:rsid w:val="002E7221"/>
    <w:rsid w:val="002E78D6"/>
    <w:rsid w:val="002E7C0B"/>
    <w:rsid w:val="002E7DCD"/>
    <w:rsid w:val="002E7EF8"/>
    <w:rsid w:val="002F03F9"/>
    <w:rsid w:val="002F050D"/>
    <w:rsid w:val="002F08B9"/>
    <w:rsid w:val="002F0AB7"/>
    <w:rsid w:val="002F0F62"/>
    <w:rsid w:val="002F0F6F"/>
    <w:rsid w:val="002F12F6"/>
    <w:rsid w:val="002F168D"/>
    <w:rsid w:val="002F189E"/>
    <w:rsid w:val="002F18B6"/>
    <w:rsid w:val="002F1B9B"/>
    <w:rsid w:val="002F1BC3"/>
    <w:rsid w:val="002F1CF4"/>
    <w:rsid w:val="002F1D53"/>
    <w:rsid w:val="002F1F7A"/>
    <w:rsid w:val="002F20B5"/>
    <w:rsid w:val="002F2160"/>
    <w:rsid w:val="002F219C"/>
    <w:rsid w:val="002F224F"/>
    <w:rsid w:val="002F2325"/>
    <w:rsid w:val="002F2695"/>
    <w:rsid w:val="002F2714"/>
    <w:rsid w:val="002F2848"/>
    <w:rsid w:val="002F2FA5"/>
    <w:rsid w:val="002F3453"/>
    <w:rsid w:val="002F3468"/>
    <w:rsid w:val="002F349D"/>
    <w:rsid w:val="002F3538"/>
    <w:rsid w:val="002F36EC"/>
    <w:rsid w:val="002F372D"/>
    <w:rsid w:val="002F3893"/>
    <w:rsid w:val="002F3A9F"/>
    <w:rsid w:val="002F3CA0"/>
    <w:rsid w:val="002F410A"/>
    <w:rsid w:val="002F4387"/>
    <w:rsid w:val="002F4689"/>
    <w:rsid w:val="002F48DC"/>
    <w:rsid w:val="002F4B4F"/>
    <w:rsid w:val="002F4D11"/>
    <w:rsid w:val="002F5151"/>
    <w:rsid w:val="002F5497"/>
    <w:rsid w:val="002F5E1E"/>
    <w:rsid w:val="002F5E68"/>
    <w:rsid w:val="002F63D3"/>
    <w:rsid w:val="002F6475"/>
    <w:rsid w:val="002F65C6"/>
    <w:rsid w:val="002F67BB"/>
    <w:rsid w:val="002F683E"/>
    <w:rsid w:val="002F6871"/>
    <w:rsid w:val="002F69BB"/>
    <w:rsid w:val="002F69BF"/>
    <w:rsid w:val="002F6E5A"/>
    <w:rsid w:val="002F6E5B"/>
    <w:rsid w:val="002F70FC"/>
    <w:rsid w:val="002F72D1"/>
    <w:rsid w:val="002F747B"/>
    <w:rsid w:val="002F75FE"/>
    <w:rsid w:val="002F761F"/>
    <w:rsid w:val="002F7BFD"/>
    <w:rsid w:val="002F7C1A"/>
    <w:rsid w:val="002F7C7C"/>
    <w:rsid w:val="002F7D64"/>
    <w:rsid w:val="00300426"/>
    <w:rsid w:val="00300796"/>
    <w:rsid w:val="0030092D"/>
    <w:rsid w:val="00300D3A"/>
    <w:rsid w:val="00300DB1"/>
    <w:rsid w:val="00300E8C"/>
    <w:rsid w:val="00301256"/>
    <w:rsid w:val="00301460"/>
    <w:rsid w:val="00301566"/>
    <w:rsid w:val="00301575"/>
    <w:rsid w:val="00301591"/>
    <w:rsid w:val="00301A68"/>
    <w:rsid w:val="00301B80"/>
    <w:rsid w:val="00301C62"/>
    <w:rsid w:val="00301ED1"/>
    <w:rsid w:val="00301F05"/>
    <w:rsid w:val="00302050"/>
    <w:rsid w:val="0030215B"/>
    <w:rsid w:val="003024B2"/>
    <w:rsid w:val="00302682"/>
    <w:rsid w:val="00302745"/>
    <w:rsid w:val="00302770"/>
    <w:rsid w:val="00302861"/>
    <w:rsid w:val="003029E0"/>
    <w:rsid w:val="00302C89"/>
    <w:rsid w:val="00302CA8"/>
    <w:rsid w:val="00302EC9"/>
    <w:rsid w:val="00303301"/>
    <w:rsid w:val="003033C8"/>
    <w:rsid w:val="00303A77"/>
    <w:rsid w:val="00303B28"/>
    <w:rsid w:val="00303B8A"/>
    <w:rsid w:val="00303DAF"/>
    <w:rsid w:val="00303DBA"/>
    <w:rsid w:val="00303F89"/>
    <w:rsid w:val="00304104"/>
    <w:rsid w:val="003041BF"/>
    <w:rsid w:val="0030439F"/>
    <w:rsid w:val="0030461B"/>
    <w:rsid w:val="00304654"/>
    <w:rsid w:val="003046F6"/>
    <w:rsid w:val="003047A4"/>
    <w:rsid w:val="00304D55"/>
    <w:rsid w:val="00304F39"/>
    <w:rsid w:val="00305099"/>
    <w:rsid w:val="0030512C"/>
    <w:rsid w:val="003054D4"/>
    <w:rsid w:val="003055C6"/>
    <w:rsid w:val="00305764"/>
    <w:rsid w:val="0030584C"/>
    <w:rsid w:val="0030598E"/>
    <w:rsid w:val="00305C00"/>
    <w:rsid w:val="00305CC5"/>
    <w:rsid w:val="00306187"/>
    <w:rsid w:val="003062CB"/>
    <w:rsid w:val="003066ED"/>
    <w:rsid w:val="003068B7"/>
    <w:rsid w:val="003069E2"/>
    <w:rsid w:val="00306CD6"/>
    <w:rsid w:val="00307019"/>
    <w:rsid w:val="0030724A"/>
    <w:rsid w:val="0030742A"/>
    <w:rsid w:val="003075A3"/>
    <w:rsid w:val="0030771A"/>
    <w:rsid w:val="00307A91"/>
    <w:rsid w:val="00307AC0"/>
    <w:rsid w:val="00307AE7"/>
    <w:rsid w:val="00307BA9"/>
    <w:rsid w:val="00307C95"/>
    <w:rsid w:val="00307D5F"/>
    <w:rsid w:val="00307E9C"/>
    <w:rsid w:val="00307EF5"/>
    <w:rsid w:val="00310232"/>
    <w:rsid w:val="0031042F"/>
    <w:rsid w:val="00310768"/>
    <w:rsid w:val="0031078C"/>
    <w:rsid w:val="0031096D"/>
    <w:rsid w:val="003109F1"/>
    <w:rsid w:val="00310A9E"/>
    <w:rsid w:val="00310ABB"/>
    <w:rsid w:val="00311105"/>
    <w:rsid w:val="003112AA"/>
    <w:rsid w:val="00311491"/>
    <w:rsid w:val="0031188A"/>
    <w:rsid w:val="003119E2"/>
    <w:rsid w:val="00311B05"/>
    <w:rsid w:val="00311E2F"/>
    <w:rsid w:val="003122FA"/>
    <w:rsid w:val="0031256C"/>
    <w:rsid w:val="0031281B"/>
    <w:rsid w:val="00312A4F"/>
    <w:rsid w:val="00312AEE"/>
    <w:rsid w:val="00312DFB"/>
    <w:rsid w:val="00312FAA"/>
    <w:rsid w:val="00312FBB"/>
    <w:rsid w:val="00313011"/>
    <w:rsid w:val="003130E2"/>
    <w:rsid w:val="00313291"/>
    <w:rsid w:val="003137A1"/>
    <w:rsid w:val="00313996"/>
    <w:rsid w:val="00313B04"/>
    <w:rsid w:val="00313B90"/>
    <w:rsid w:val="00313E5C"/>
    <w:rsid w:val="003141A3"/>
    <w:rsid w:val="00314360"/>
    <w:rsid w:val="003149FC"/>
    <w:rsid w:val="00314A7D"/>
    <w:rsid w:val="003150D8"/>
    <w:rsid w:val="00315A89"/>
    <w:rsid w:val="00315AF7"/>
    <w:rsid w:val="00315BB2"/>
    <w:rsid w:val="00315DC0"/>
    <w:rsid w:val="00315EB3"/>
    <w:rsid w:val="00316011"/>
    <w:rsid w:val="0031621B"/>
    <w:rsid w:val="0031622A"/>
    <w:rsid w:val="003162F8"/>
    <w:rsid w:val="00316462"/>
    <w:rsid w:val="00316A13"/>
    <w:rsid w:val="00316AE0"/>
    <w:rsid w:val="00316B8A"/>
    <w:rsid w:val="00317128"/>
    <w:rsid w:val="00317184"/>
    <w:rsid w:val="00317507"/>
    <w:rsid w:val="00317691"/>
    <w:rsid w:val="00317949"/>
    <w:rsid w:val="003179B7"/>
    <w:rsid w:val="00317B80"/>
    <w:rsid w:val="00317E6D"/>
    <w:rsid w:val="0032000D"/>
    <w:rsid w:val="0032013F"/>
    <w:rsid w:val="003202D1"/>
    <w:rsid w:val="003203C3"/>
    <w:rsid w:val="003205A7"/>
    <w:rsid w:val="003206D7"/>
    <w:rsid w:val="003206EA"/>
    <w:rsid w:val="0032077D"/>
    <w:rsid w:val="00320AAC"/>
    <w:rsid w:val="00320B87"/>
    <w:rsid w:val="00320BAF"/>
    <w:rsid w:val="00320FC8"/>
    <w:rsid w:val="00321043"/>
    <w:rsid w:val="00321099"/>
    <w:rsid w:val="00321183"/>
    <w:rsid w:val="0032118F"/>
    <w:rsid w:val="003211DD"/>
    <w:rsid w:val="00321366"/>
    <w:rsid w:val="0032140B"/>
    <w:rsid w:val="003215FA"/>
    <w:rsid w:val="0032168E"/>
    <w:rsid w:val="0032172E"/>
    <w:rsid w:val="00321A12"/>
    <w:rsid w:val="00321B9E"/>
    <w:rsid w:val="00321CD8"/>
    <w:rsid w:val="00321D32"/>
    <w:rsid w:val="00321EB7"/>
    <w:rsid w:val="00321F15"/>
    <w:rsid w:val="00322198"/>
    <w:rsid w:val="003222F5"/>
    <w:rsid w:val="0032251A"/>
    <w:rsid w:val="003227ED"/>
    <w:rsid w:val="00322E69"/>
    <w:rsid w:val="00323231"/>
    <w:rsid w:val="003234DD"/>
    <w:rsid w:val="003235F5"/>
    <w:rsid w:val="0032375B"/>
    <w:rsid w:val="00323A32"/>
    <w:rsid w:val="00323CF4"/>
    <w:rsid w:val="003240C2"/>
    <w:rsid w:val="0032421C"/>
    <w:rsid w:val="00324261"/>
    <w:rsid w:val="00324594"/>
    <w:rsid w:val="003247BB"/>
    <w:rsid w:val="003249E4"/>
    <w:rsid w:val="00324B03"/>
    <w:rsid w:val="00324B60"/>
    <w:rsid w:val="00324C29"/>
    <w:rsid w:val="00324D7D"/>
    <w:rsid w:val="00324F9A"/>
    <w:rsid w:val="00325108"/>
    <w:rsid w:val="003251F0"/>
    <w:rsid w:val="00325213"/>
    <w:rsid w:val="00325327"/>
    <w:rsid w:val="00325444"/>
    <w:rsid w:val="00325502"/>
    <w:rsid w:val="003255DD"/>
    <w:rsid w:val="003257D1"/>
    <w:rsid w:val="00325BCE"/>
    <w:rsid w:val="00325C53"/>
    <w:rsid w:val="00325D30"/>
    <w:rsid w:val="00325E32"/>
    <w:rsid w:val="00325EEB"/>
    <w:rsid w:val="00326492"/>
    <w:rsid w:val="003265B0"/>
    <w:rsid w:val="00326832"/>
    <w:rsid w:val="003269EC"/>
    <w:rsid w:val="00326AD7"/>
    <w:rsid w:val="00326B02"/>
    <w:rsid w:val="00326F5E"/>
    <w:rsid w:val="00327000"/>
    <w:rsid w:val="003271F9"/>
    <w:rsid w:val="00327415"/>
    <w:rsid w:val="003274A1"/>
    <w:rsid w:val="00327BB3"/>
    <w:rsid w:val="00327D43"/>
    <w:rsid w:val="0032DA66"/>
    <w:rsid w:val="003303AE"/>
    <w:rsid w:val="003304BF"/>
    <w:rsid w:val="003308F9"/>
    <w:rsid w:val="00330CD8"/>
    <w:rsid w:val="00330CD9"/>
    <w:rsid w:val="00330DBD"/>
    <w:rsid w:val="00330E5E"/>
    <w:rsid w:val="00330E7C"/>
    <w:rsid w:val="00330F30"/>
    <w:rsid w:val="0033104F"/>
    <w:rsid w:val="003311FA"/>
    <w:rsid w:val="003312E8"/>
    <w:rsid w:val="0033130A"/>
    <w:rsid w:val="003313D4"/>
    <w:rsid w:val="003314F4"/>
    <w:rsid w:val="003317AB"/>
    <w:rsid w:val="00331C25"/>
    <w:rsid w:val="00331C32"/>
    <w:rsid w:val="00332304"/>
    <w:rsid w:val="00332402"/>
    <w:rsid w:val="00332700"/>
    <w:rsid w:val="00332879"/>
    <w:rsid w:val="00332886"/>
    <w:rsid w:val="00332A5B"/>
    <w:rsid w:val="00332AFC"/>
    <w:rsid w:val="00332B48"/>
    <w:rsid w:val="00332F4D"/>
    <w:rsid w:val="003331F3"/>
    <w:rsid w:val="003334E7"/>
    <w:rsid w:val="00333721"/>
    <w:rsid w:val="00333905"/>
    <w:rsid w:val="00333FF3"/>
    <w:rsid w:val="0033461B"/>
    <w:rsid w:val="003347C2"/>
    <w:rsid w:val="00334889"/>
    <w:rsid w:val="003349AD"/>
    <w:rsid w:val="00334A2D"/>
    <w:rsid w:val="00334ABB"/>
    <w:rsid w:val="00334D24"/>
    <w:rsid w:val="00334E3D"/>
    <w:rsid w:val="00334ED8"/>
    <w:rsid w:val="00335007"/>
    <w:rsid w:val="00335049"/>
    <w:rsid w:val="003351DE"/>
    <w:rsid w:val="00335225"/>
    <w:rsid w:val="003353E5"/>
    <w:rsid w:val="0033587B"/>
    <w:rsid w:val="003358C3"/>
    <w:rsid w:val="00335B51"/>
    <w:rsid w:val="00335D2F"/>
    <w:rsid w:val="00336205"/>
    <w:rsid w:val="003365BD"/>
    <w:rsid w:val="00336631"/>
    <w:rsid w:val="003366D9"/>
    <w:rsid w:val="00336863"/>
    <w:rsid w:val="00336D7B"/>
    <w:rsid w:val="00336E97"/>
    <w:rsid w:val="00337077"/>
    <w:rsid w:val="003370F4"/>
    <w:rsid w:val="003374CE"/>
    <w:rsid w:val="003376F2"/>
    <w:rsid w:val="00337733"/>
    <w:rsid w:val="00337AF3"/>
    <w:rsid w:val="00337CE8"/>
    <w:rsid w:val="00340076"/>
    <w:rsid w:val="003402A2"/>
    <w:rsid w:val="003405DC"/>
    <w:rsid w:val="0034069F"/>
    <w:rsid w:val="003406B8"/>
    <w:rsid w:val="003408AC"/>
    <w:rsid w:val="00340A4B"/>
    <w:rsid w:val="00340AD2"/>
    <w:rsid w:val="00340B2F"/>
    <w:rsid w:val="00340D04"/>
    <w:rsid w:val="003412C2"/>
    <w:rsid w:val="0034132E"/>
    <w:rsid w:val="003414FA"/>
    <w:rsid w:val="003416E0"/>
    <w:rsid w:val="00341A7A"/>
    <w:rsid w:val="00341CE2"/>
    <w:rsid w:val="00341FCB"/>
    <w:rsid w:val="003422A1"/>
    <w:rsid w:val="0034251D"/>
    <w:rsid w:val="003426AA"/>
    <w:rsid w:val="00342729"/>
    <w:rsid w:val="0034273D"/>
    <w:rsid w:val="003427EF"/>
    <w:rsid w:val="00342A03"/>
    <w:rsid w:val="00342B30"/>
    <w:rsid w:val="00342C3C"/>
    <w:rsid w:val="00342F91"/>
    <w:rsid w:val="0034305F"/>
    <w:rsid w:val="00343117"/>
    <w:rsid w:val="00343308"/>
    <w:rsid w:val="00343329"/>
    <w:rsid w:val="00343A2D"/>
    <w:rsid w:val="00343A41"/>
    <w:rsid w:val="00343BC0"/>
    <w:rsid w:val="0034413C"/>
    <w:rsid w:val="003441F2"/>
    <w:rsid w:val="003441F8"/>
    <w:rsid w:val="003443D7"/>
    <w:rsid w:val="0034485C"/>
    <w:rsid w:val="003448D6"/>
    <w:rsid w:val="00344B4D"/>
    <w:rsid w:val="00344BA8"/>
    <w:rsid w:val="00344E6E"/>
    <w:rsid w:val="00344F33"/>
    <w:rsid w:val="0034508C"/>
    <w:rsid w:val="003450BB"/>
    <w:rsid w:val="00345439"/>
    <w:rsid w:val="003459EA"/>
    <w:rsid w:val="00345C63"/>
    <w:rsid w:val="00345E7A"/>
    <w:rsid w:val="003464FA"/>
    <w:rsid w:val="00346501"/>
    <w:rsid w:val="0034664C"/>
    <w:rsid w:val="0034696C"/>
    <w:rsid w:val="00346C91"/>
    <w:rsid w:val="00346E8D"/>
    <w:rsid w:val="00346F6A"/>
    <w:rsid w:val="00346F86"/>
    <w:rsid w:val="00347087"/>
    <w:rsid w:val="003470EE"/>
    <w:rsid w:val="00347208"/>
    <w:rsid w:val="00347262"/>
    <w:rsid w:val="0034728B"/>
    <w:rsid w:val="003472FB"/>
    <w:rsid w:val="0034736E"/>
    <w:rsid w:val="0034750A"/>
    <w:rsid w:val="00347656"/>
    <w:rsid w:val="00347677"/>
    <w:rsid w:val="00347B5C"/>
    <w:rsid w:val="00347C15"/>
    <w:rsid w:val="00347D17"/>
    <w:rsid w:val="00347D60"/>
    <w:rsid w:val="003500A6"/>
    <w:rsid w:val="0035035D"/>
    <w:rsid w:val="0035047D"/>
    <w:rsid w:val="00350635"/>
    <w:rsid w:val="0035092C"/>
    <w:rsid w:val="00350974"/>
    <w:rsid w:val="00350A04"/>
    <w:rsid w:val="00350A7D"/>
    <w:rsid w:val="00350BC3"/>
    <w:rsid w:val="00350C3E"/>
    <w:rsid w:val="00350F43"/>
    <w:rsid w:val="00350F7A"/>
    <w:rsid w:val="003517AE"/>
    <w:rsid w:val="003518A5"/>
    <w:rsid w:val="00351A4F"/>
    <w:rsid w:val="00351BEC"/>
    <w:rsid w:val="00351CEB"/>
    <w:rsid w:val="00351DF4"/>
    <w:rsid w:val="00351F3E"/>
    <w:rsid w:val="00351F9C"/>
    <w:rsid w:val="00351FF8"/>
    <w:rsid w:val="00352466"/>
    <w:rsid w:val="0035278B"/>
    <w:rsid w:val="00352BB8"/>
    <w:rsid w:val="00352CDF"/>
    <w:rsid w:val="00352F64"/>
    <w:rsid w:val="003530C3"/>
    <w:rsid w:val="003531AD"/>
    <w:rsid w:val="003533B9"/>
    <w:rsid w:val="003533F1"/>
    <w:rsid w:val="003534EE"/>
    <w:rsid w:val="00353700"/>
    <w:rsid w:val="003537BB"/>
    <w:rsid w:val="0035387A"/>
    <w:rsid w:val="00353A31"/>
    <w:rsid w:val="00353CF7"/>
    <w:rsid w:val="00353D32"/>
    <w:rsid w:val="00353FC9"/>
    <w:rsid w:val="003540B1"/>
    <w:rsid w:val="00354476"/>
    <w:rsid w:val="0035447B"/>
    <w:rsid w:val="003547D9"/>
    <w:rsid w:val="0035482A"/>
    <w:rsid w:val="003548EE"/>
    <w:rsid w:val="003549FC"/>
    <w:rsid w:val="00354A1B"/>
    <w:rsid w:val="00354ED8"/>
    <w:rsid w:val="0035501B"/>
    <w:rsid w:val="003551E0"/>
    <w:rsid w:val="003552ED"/>
    <w:rsid w:val="00355656"/>
    <w:rsid w:val="00355668"/>
    <w:rsid w:val="00355ADC"/>
    <w:rsid w:val="0035626D"/>
    <w:rsid w:val="0035652F"/>
    <w:rsid w:val="00356B0E"/>
    <w:rsid w:val="00356B13"/>
    <w:rsid w:val="00356D4A"/>
    <w:rsid w:val="00356EE4"/>
    <w:rsid w:val="0035718C"/>
    <w:rsid w:val="00357293"/>
    <w:rsid w:val="00357518"/>
    <w:rsid w:val="003575A1"/>
    <w:rsid w:val="003576F6"/>
    <w:rsid w:val="003577F0"/>
    <w:rsid w:val="0035782F"/>
    <w:rsid w:val="00357974"/>
    <w:rsid w:val="00357A0E"/>
    <w:rsid w:val="00357AD3"/>
    <w:rsid w:val="0036002F"/>
    <w:rsid w:val="003601B8"/>
    <w:rsid w:val="00360508"/>
    <w:rsid w:val="00360654"/>
    <w:rsid w:val="003607C4"/>
    <w:rsid w:val="003609A1"/>
    <w:rsid w:val="00360ACF"/>
    <w:rsid w:val="00360B49"/>
    <w:rsid w:val="00360D0E"/>
    <w:rsid w:val="00361327"/>
    <w:rsid w:val="003613F1"/>
    <w:rsid w:val="0036155C"/>
    <w:rsid w:val="0036173B"/>
    <w:rsid w:val="0036190F"/>
    <w:rsid w:val="00361C08"/>
    <w:rsid w:val="00361C3E"/>
    <w:rsid w:val="00361C89"/>
    <w:rsid w:val="00361CCC"/>
    <w:rsid w:val="00361DDD"/>
    <w:rsid w:val="00361E2D"/>
    <w:rsid w:val="00361F4F"/>
    <w:rsid w:val="00362112"/>
    <w:rsid w:val="00362263"/>
    <w:rsid w:val="00362723"/>
    <w:rsid w:val="003628C8"/>
    <w:rsid w:val="00362EC0"/>
    <w:rsid w:val="0036304A"/>
    <w:rsid w:val="003630A6"/>
    <w:rsid w:val="003630BF"/>
    <w:rsid w:val="00363113"/>
    <w:rsid w:val="003632BA"/>
    <w:rsid w:val="00363B72"/>
    <w:rsid w:val="00363BD7"/>
    <w:rsid w:val="00363C4F"/>
    <w:rsid w:val="00364012"/>
    <w:rsid w:val="0036416E"/>
    <w:rsid w:val="003641FE"/>
    <w:rsid w:val="003643C2"/>
    <w:rsid w:val="00364681"/>
    <w:rsid w:val="003649F4"/>
    <w:rsid w:val="00364C42"/>
    <w:rsid w:val="00365180"/>
    <w:rsid w:val="003652F6"/>
    <w:rsid w:val="0036556F"/>
    <w:rsid w:val="003656A2"/>
    <w:rsid w:val="00365BD7"/>
    <w:rsid w:val="00365DDC"/>
    <w:rsid w:val="003661FF"/>
    <w:rsid w:val="00366322"/>
    <w:rsid w:val="00366418"/>
    <w:rsid w:val="0036642E"/>
    <w:rsid w:val="0036669D"/>
    <w:rsid w:val="00366BDE"/>
    <w:rsid w:val="003671F6"/>
    <w:rsid w:val="003675D6"/>
    <w:rsid w:val="003676DC"/>
    <w:rsid w:val="0036782A"/>
    <w:rsid w:val="00367843"/>
    <w:rsid w:val="00367DE4"/>
    <w:rsid w:val="00367E28"/>
    <w:rsid w:val="00367EFF"/>
    <w:rsid w:val="00367FC2"/>
    <w:rsid w:val="003700C0"/>
    <w:rsid w:val="00370602"/>
    <w:rsid w:val="00370610"/>
    <w:rsid w:val="003706F9"/>
    <w:rsid w:val="00370842"/>
    <w:rsid w:val="003708BE"/>
    <w:rsid w:val="00370ABD"/>
    <w:rsid w:val="00370F93"/>
    <w:rsid w:val="00370FEC"/>
    <w:rsid w:val="00371E5E"/>
    <w:rsid w:val="0037202F"/>
    <w:rsid w:val="003720D4"/>
    <w:rsid w:val="00372153"/>
    <w:rsid w:val="00372276"/>
    <w:rsid w:val="003726D3"/>
    <w:rsid w:val="00372D0B"/>
    <w:rsid w:val="00373033"/>
    <w:rsid w:val="003731AB"/>
    <w:rsid w:val="003732E6"/>
    <w:rsid w:val="0037346A"/>
    <w:rsid w:val="003734CF"/>
    <w:rsid w:val="003736E4"/>
    <w:rsid w:val="003737CF"/>
    <w:rsid w:val="0037389C"/>
    <w:rsid w:val="00373A7A"/>
    <w:rsid w:val="00373B7A"/>
    <w:rsid w:val="00373EE0"/>
    <w:rsid w:val="00373FE3"/>
    <w:rsid w:val="003752B7"/>
    <w:rsid w:val="003755F6"/>
    <w:rsid w:val="00375641"/>
    <w:rsid w:val="003759DD"/>
    <w:rsid w:val="00375C13"/>
    <w:rsid w:val="00376192"/>
    <w:rsid w:val="003763EC"/>
    <w:rsid w:val="00376646"/>
    <w:rsid w:val="00376673"/>
    <w:rsid w:val="0037667F"/>
    <w:rsid w:val="00376753"/>
    <w:rsid w:val="00376B13"/>
    <w:rsid w:val="00376B32"/>
    <w:rsid w:val="00376D45"/>
    <w:rsid w:val="0037713F"/>
    <w:rsid w:val="0037732C"/>
    <w:rsid w:val="00377686"/>
    <w:rsid w:val="003777EB"/>
    <w:rsid w:val="00377830"/>
    <w:rsid w:val="00377A8B"/>
    <w:rsid w:val="00377AC8"/>
    <w:rsid w:val="00377B96"/>
    <w:rsid w:val="00377F1B"/>
    <w:rsid w:val="003802AB"/>
    <w:rsid w:val="00380328"/>
    <w:rsid w:val="00380501"/>
    <w:rsid w:val="003805B3"/>
    <w:rsid w:val="0038060B"/>
    <w:rsid w:val="00380785"/>
    <w:rsid w:val="00380858"/>
    <w:rsid w:val="00380AE5"/>
    <w:rsid w:val="00380B8B"/>
    <w:rsid w:val="00380BB4"/>
    <w:rsid w:val="00380D7D"/>
    <w:rsid w:val="00380F78"/>
    <w:rsid w:val="00381021"/>
    <w:rsid w:val="00381238"/>
    <w:rsid w:val="00381296"/>
    <w:rsid w:val="003814E2"/>
    <w:rsid w:val="00381616"/>
    <w:rsid w:val="00381646"/>
    <w:rsid w:val="003816A0"/>
    <w:rsid w:val="003816D0"/>
    <w:rsid w:val="0038182D"/>
    <w:rsid w:val="00381A05"/>
    <w:rsid w:val="00381A0F"/>
    <w:rsid w:val="00381AF1"/>
    <w:rsid w:val="00381B78"/>
    <w:rsid w:val="00381E22"/>
    <w:rsid w:val="0038217B"/>
    <w:rsid w:val="003823C9"/>
    <w:rsid w:val="00382727"/>
    <w:rsid w:val="00382AE0"/>
    <w:rsid w:val="00382BC3"/>
    <w:rsid w:val="00382D4E"/>
    <w:rsid w:val="00382F3B"/>
    <w:rsid w:val="00382FC1"/>
    <w:rsid w:val="0038303A"/>
    <w:rsid w:val="0038320F"/>
    <w:rsid w:val="00383463"/>
    <w:rsid w:val="00383BC9"/>
    <w:rsid w:val="00383D1E"/>
    <w:rsid w:val="00383D50"/>
    <w:rsid w:val="003840D2"/>
    <w:rsid w:val="00384346"/>
    <w:rsid w:val="00384605"/>
    <w:rsid w:val="00384809"/>
    <w:rsid w:val="00384BA9"/>
    <w:rsid w:val="00384E27"/>
    <w:rsid w:val="00385211"/>
    <w:rsid w:val="003852B8"/>
    <w:rsid w:val="0038537A"/>
    <w:rsid w:val="003858D5"/>
    <w:rsid w:val="00385A43"/>
    <w:rsid w:val="00385AA2"/>
    <w:rsid w:val="00385B21"/>
    <w:rsid w:val="00385C73"/>
    <w:rsid w:val="00385DAB"/>
    <w:rsid w:val="00385E81"/>
    <w:rsid w:val="00386088"/>
    <w:rsid w:val="003863A8"/>
    <w:rsid w:val="003864F5"/>
    <w:rsid w:val="003864F8"/>
    <w:rsid w:val="003865A4"/>
    <w:rsid w:val="00386982"/>
    <w:rsid w:val="0038699E"/>
    <w:rsid w:val="003869B4"/>
    <w:rsid w:val="00386A85"/>
    <w:rsid w:val="00386AE9"/>
    <w:rsid w:val="00386CFD"/>
    <w:rsid w:val="00386E7C"/>
    <w:rsid w:val="00386F80"/>
    <w:rsid w:val="003870EA"/>
    <w:rsid w:val="00387130"/>
    <w:rsid w:val="003871CC"/>
    <w:rsid w:val="003876D9"/>
    <w:rsid w:val="003876DC"/>
    <w:rsid w:val="00387ACA"/>
    <w:rsid w:val="00387B96"/>
    <w:rsid w:val="00387BDD"/>
    <w:rsid w:val="00387C8F"/>
    <w:rsid w:val="00387DE0"/>
    <w:rsid w:val="00390090"/>
    <w:rsid w:val="0039030B"/>
    <w:rsid w:val="003904DB"/>
    <w:rsid w:val="00390633"/>
    <w:rsid w:val="0039063E"/>
    <w:rsid w:val="00390859"/>
    <w:rsid w:val="00390DAF"/>
    <w:rsid w:val="00390FA9"/>
    <w:rsid w:val="0039101A"/>
    <w:rsid w:val="00391CD0"/>
    <w:rsid w:val="00391DD0"/>
    <w:rsid w:val="00391E15"/>
    <w:rsid w:val="00392219"/>
    <w:rsid w:val="003922D9"/>
    <w:rsid w:val="003923F8"/>
    <w:rsid w:val="00392870"/>
    <w:rsid w:val="003928E0"/>
    <w:rsid w:val="00392B0B"/>
    <w:rsid w:val="00392D91"/>
    <w:rsid w:val="00392E19"/>
    <w:rsid w:val="00392E43"/>
    <w:rsid w:val="00393039"/>
    <w:rsid w:val="003931E9"/>
    <w:rsid w:val="003934C5"/>
    <w:rsid w:val="00393583"/>
    <w:rsid w:val="00393C52"/>
    <w:rsid w:val="003940A0"/>
    <w:rsid w:val="003944C1"/>
    <w:rsid w:val="0039456E"/>
    <w:rsid w:val="003945DC"/>
    <w:rsid w:val="003945DD"/>
    <w:rsid w:val="0039472D"/>
    <w:rsid w:val="0039483B"/>
    <w:rsid w:val="00394B30"/>
    <w:rsid w:val="00394CD3"/>
    <w:rsid w:val="00394D5B"/>
    <w:rsid w:val="0039500F"/>
    <w:rsid w:val="00395169"/>
    <w:rsid w:val="003952B4"/>
    <w:rsid w:val="003954C5"/>
    <w:rsid w:val="003956A2"/>
    <w:rsid w:val="00395744"/>
    <w:rsid w:val="00395C0F"/>
    <w:rsid w:val="00395CBC"/>
    <w:rsid w:val="00395E28"/>
    <w:rsid w:val="00395F54"/>
    <w:rsid w:val="003968C1"/>
    <w:rsid w:val="003969D2"/>
    <w:rsid w:val="00396F8E"/>
    <w:rsid w:val="00396F99"/>
    <w:rsid w:val="00396FDC"/>
    <w:rsid w:val="003971A7"/>
    <w:rsid w:val="003974AA"/>
    <w:rsid w:val="003974C9"/>
    <w:rsid w:val="00397534"/>
    <w:rsid w:val="0039763C"/>
    <w:rsid w:val="00397C05"/>
    <w:rsid w:val="00397D26"/>
    <w:rsid w:val="00397DDD"/>
    <w:rsid w:val="00397F1C"/>
    <w:rsid w:val="00397F92"/>
    <w:rsid w:val="00397FB4"/>
    <w:rsid w:val="003A0285"/>
    <w:rsid w:val="003A0487"/>
    <w:rsid w:val="003A06FF"/>
    <w:rsid w:val="003A074A"/>
    <w:rsid w:val="003A08AA"/>
    <w:rsid w:val="003A08D7"/>
    <w:rsid w:val="003A0901"/>
    <w:rsid w:val="003A0AE2"/>
    <w:rsid w:val="003A0BCA"/>
    <w:rsid w:val="003A0DA6"/>
    <w:rsid w:val="003A0EA6"/>
    <w:rsid w:val="003A1153"/>
    <w:rsid w:val="003A138A"/>
    <w:rsid w:val="003A13A4"/>
    <w:rsid w:val="003A13C6"/>
    <w:rsid w:val="003A15E7"/>
    <w:rsid w:val="003A15F8"/>
    <w:rsid w:val="003A183D"/>
    <w:rsid w:val="003A18C4"/>
    <w:rsid w:val="003A1973"/>
    <w:rsid w:val="003A1B00"/>
    <w:rsid w:val="003A1E06"/>
    <w:rsid w:val="003A1F33"/>
    <w:rsid w:val="003A1F70"/>
    <w:rsid w:val="003A2587"/>
    <w:rsid w:val="003A2786"/>
    <w:rsid w:val="003A283E"/>
    <w:rsid w:val="003A2857"/>
    <w:rsid w:val="003A2A59"/>
    <w:rsid w:val="003A2C71"/>
    <w:rsid w:val="003A2D74"/>
    <w:rsid w:val="003A2F18"/>
    <w:rsid w:val="003A366C"/>
    <w:rsid w:val="003A3686"/>
    <w:rsid w:val="003A3B6E"/>
    <w:rsid w:val="003A3F21"/>
    <w:rsid w:val="003A4112"/>
    <w:rsid w:val="003A41A1"/>
    <w:rsid w:val="003A41C4"/>
    <w:rsid w:val="003A4B19"/>
    <w:rsid w:val="003A4B1D"/>
    <w:rsid w:val="003A506D"/>
    <w:rsid w:val="003A516F"/>
    <w:rsid w:val="003A5392"/>
    <w:rsid w:val="003A542B"/>
    <w:rsid w:val="003A5549"/>
    <w:rsid w:val="003A57E2"/>
    <w:rsid w:val="003A57ED"/>
    <w:rsid w:val="003A5EC3"/>
    <w:rsid w:val="003A65E7"/>
    <w:rsid w:val="003A69D5"/>
    <w:rsid w:val="003A6CB4"/>
    <w:rsid w:val="003A6E6B"/>
    <w:rsid w:val="003A6E78"/>
    <w:rsid w:val="003A6FDA"/>
    <w:rsid w:val="003A716C"/>
    <w:rsid w:val="003A74B6"/>
    <w:rsid w:val="003A76D3"/>
    <w:rsid w:val="003A79BB"/>
    <w:rsid w:val="003A7AA6"/>
    <w:rsid w:val="003A7EEA"/>
    <w:rsid w:val="003B00D7"/>
    <w:rsid w:val="003B024E"/>
    <w:rsid w:val="003B05DD"/>
    <w:rsid w:val="003B075F"/>
    <w:rsid w:val="003B0EB7"/>
    <w:rsid w:val="003B12B9"/>
    <w:rsid w:val="003B16E1"/>
    <w:rsid w:val="003B1721"/>
    <w:rsid w:val="003B1774"/>
    <w:rsid w:val="003B216D"/>
    <w:rsid w:val="003B2470"/>
    <w:rsid w:val="003B2838"/>
    <w:rsid w:val="003B2AF9"/>
    <w:rsid w:val="003B2B8B"/>
    <w:rsid w:val="003B2C3F"/>
    <w:rsid w:val="003B2C83"/>
    <w:rsid w:val="003B2CB0"/>
    <w:rsid w:val="003B30AE"/>
    <w:rsid w:val="003B30B3"/>
    <w:rsid w:val="003B327F"/>
    <w:rsid w:val="003B35E9"/>
    <w:rsid w:val="003B3CE6"/>
    <w:rsid w:val="003B3EFB"/>
    <w:rsid w:val="003B3F6D"/>
    <w:rsid w:val="003B3FD6"/>
    <w:rsid w:val="003B4482"/>
    <w:rsid w:val="003B4565"/>
    <w:rsid w:val="003B45A8"/>
    <w:rsid w:val="003B4654"/>
    <w:rsid w:val="003B46B1"/>
    <w:rsid w:val="003B473B"/>
    <w:rsid w:val="003B4896"/>
    <w:rsid w:val="003B48F9"/>
    <w:rsid w:val="003B499B"/>
    <w:rsid w:val="003B4A75"/>
    <w:rsid w:val="003B4AA5"/>
    <w:rsid w:val="003B4DF0"/>
    <w:rsid w:val="003B4F16"/>
    <w:rsid w:val="003B57FE"/>
    <w:rsid w:val="003B5A2C"/>
    <w:rsid w:val="003B5B99"/>
    <w:rsid w:val="003B5CA0"/>
    <w:rsid w:val="003B611C"/>
    <w:rsid w:val="003B640C"/>
    <w:rsid w:val="003B6AC8"/>
    <w:rsid w:val="003B6B5A"/>
    <w:rsid w:val="003B6C73"/>
    <w:rsid w:val="003B6CA6"/>
    <w:rsid w:val="003B6E7E"/>
    <w:rsid w:val="003B6EB1"/>
    <w:rsid w:val="003B6F2D"/>
    <w:rsid w:val="003B6F6C"/>
    <w:rsid w:val="003B749F"/>
    <w:rsid w:val="003B76C0"/>
    <w:rsid w:val="003B7814"/>
    <w:rsid w:val="003B78B9"/>
    <w:rsid w:val="003B7CC6"/>
    <w:rsid w:val="003B7DFC"/>
    <w:rsid w:val="003C0000"/>
    <w:rsid w:val="003C00D5"/>
    <w:rsid w:val="003C016F"/>
    <w:rsid w:val="003C0444"/>
    <w:rsid w:val="003C05CB"/>
    <w:rsid w:val="003C06EF"/>
    <w:rsid w:val="003C0959"/>
    <w:rsid w:val="003C0CE7"/>
    <w:rsid w:val="003C0DD8"/>
    <w:rsid w:val="003C1275"/>
    <w:rsid w:val="003C188B"/>
    <w:rsid w:val="003C18B5"/>
    <w:rsid w:val="003C1BF1"/>
    <w:rsid w:val="003C1D0A"/>
    <w:rsid w:val="003C21D4"/>
    <w:rsid w:val="003C2224"/>
    <w:rsid w:val="003C22E0"/>
    <w:rsid w:val="003C24AC"/>
    <w:rsid w:val="003C2782"/>
    <w:rsid w:val="003C28E3"/>
    <w:rsid w:val="003C2B8E"/>
    <w:rsid w:val="003C2BE5"/>
    <w:rsid w:val="003C2E26"/>
    <w:rsid w:val="003C30E8"/>
    <w:rsid w:val="003C314C"/>
    <w:rsid w:val="003C33DE"/>
    <w:rsid w:val="003C352B"/>
    <w:rsid w:val="003C35A0"/>
    <w:rsid w:val="003C364E"/>
    <w:rsid w:val="003C3669"/>
    <w:rsid w:val="003C37DB"/>
    <w:rsid w:val="003C397A"/>
    <w:rsid w:val="003C3B90"/>
    <w:rsid w:val="003C3BD4"/>
    <w:rsid w:val="003C3D16"/>
    <w:rsid w:val="003C3FDF"/>
    <w:rsid w:val="003C41CA"/>
    <w:rsid w:val="003C42EF"/>
    <w:rsid w:val="003C4C9D"/>
    <w:rsid w:val="003C4CBD"/>
    <w:rsid w:val="003C5109"/>
    <w:rsid w:val="003C51A0"/>
    <w:rsid w:val="003C51DE"/>
    <w:rsid w:val="003C5285"/>
    <w:rsid w:val="003C5666"/>
    <w:rsid w:val="003C5670"/>
    <w:rsid w:val="003C5888"/>
    <w:rsid w:val="003C58D1"/>
    <w:rsid w:val="003C59BD"/>
    <w:rsid w:val="003C5EAD"/>
    <w:rsid w:val="003C614F"/>
    <w:rsid w:val="003C63C4"/>
    <w:rsid w:val="003C6497"/>
    <w:rsid w:val="003C651A"/>
    <w:rsid w:val="003C6C61"/>
    <w:rsid w:val="003C6CD3"/>
    <w:rsid w:val="003C710E"/>
    <w:rsid w:val="003C7237"/>
    <w:rsid w:val="003C7460"/>
    <w:rsid w:val="003C7463"/>
    <w:rsid w:val="003C763A"/>
    <w:rsid w:val="003C7905"/>
    <w:rsid w:val="003C7912"/>
    <w:rsid w:val="003D0138"/>
    <w:rsid w:val="003D04BA"/>
    <w:rsid w:val="003D04CB"/>
    <w:rsid w:val="003D06BB"/>
    <w:rsid w:val="003D06F2"/>
    <w:rsid w:val="003D086C"/>
    <w:rsid w:val="003D0D5B"/>
    <w:rsid w:val="003D0F1C"/>
    <w:rsid w:val="003D10CD"/>
    <w:rsid w:val="003D13BA"/>
    <w:rsid w:val="003D1812"/>
    <w:rsid w:val="003D19CD"/>
    <w:rsid w:val="003D1AAD"/>
    <w:rsid w:val="003D1B8C"/>
    <w:rsid w:val="003D1F2D"/>
    <w:rsid w:val="003D1F95"/>
    <w:rsid w:val="003D217C"/>
    <w:rsid w:val="003D29F6"/>
    <w:rsid w:val="003D2ACA"/>
    <w:rsid w:val="003D2B9D"/>
    <w:rsid w:val="003D2DE7"/>
    <w:rsid w:val="003D3680"/>
    <w:rsid w:val="003D369F"/>
    <w:rsid w:val="003D36D3"/>
    <w:rsid w:val="003D3859"/>
    <w:rsid w:val="003D387C"/>
    <w:rsid w:val="003D3EA9"/>
    <w:rsid w:val="003D3FA7"/>
    <w:rsid w:val="003D41F7"/>
    <w:rsid w:val="003D4214"/>
    <w:rsid w:val="003D47D5"/>
    <w:rsid w:val="003D4931"/>
    <w:rsid w:val="003D4B55"/>
    <w:rsid w:val="003D4EC8"/>
    <w:rsid w:val="003D5046"/>
    <w:rsid w:val="003D5310"/>
    <w:rsid w:val="003D53EC"/>
    <w:rsid w:val="003D5549"/>
    <w:rsid w:val="003D5650"/>
    <w:rsid w:val="003D5717"/>
    <w:rsid w:val="003D578F"/>
    <w:rsid w:val="003D58BE"/>
    <w:rsid w:val="003D5998"/>
    <w:rsid w:val="003D5A97"/>
    <w:rsid w:val="003D5DAB"/>
    <w:rsid w:val="003D6265"/>
    <w:rsid w:val="003D664D"/>
    <w:rsid w:val="003D682B"/>
    <w:rsid w:val="003D6E0D"/>
    <w:rsid w:val="003D6F28"/>
    <w:rsid w:val="003D7174"/>
    <w:rsid w:val="003D72BA"/>
    <w:rsid w:val="003D7707"/>
    <w:rsid w:val="003D7D71"/>
    <w:rsid w:val="003D7DF0"/>
    <w:rsid w:val="003E0134"/>
    <w:rsid w:val="003E026B"/>
    <w:rsid w:val="003E0382"/>
    <w:rsid w:val="003E06C0"/>
    <w:rsid w:val="003E0805"/>
    <w:rsid w:val="003E0950"/>
    <w:rsid w:val="003E0B47"/>
    <w:rsid w:val="003E0E02"/>
    <w:rsid w:val="003E106D"/>
    <w:rsid w:val="003E128A"/>
    <w:rsid w:val="003E12CB"/>
    <w:rsid w:val="003E12F4"/>
    <w:rsid w:val="003E16E0"/>
    <w:rsid w:val="003E1A05"/>
    <w:rsid w:val="003E1C2E"/>
    <w:rsid w:val="003E1D13"/>
    <w:rsid w:val="003E1FE3"/>
    <w:rsid w:val="003E211E"/>
    <w:rsid w:val="003E25AB"/>
    <w:rsid w:val="003E2698"/>
    <w:rsid w:val="003E2895"/>
    <w:rsid w:val="003E29B0"/>
    <w:rsid w:val="003E2C0D"/>
    <w:rsid w:val="003E30AE"/>
    <w:rsid w:val="003E32D5"/>
    <w:rsid w:val="003E38D2"/>
    <w:rsid w:val="003E3F28"/>
    <w:rsid w:val="003E3FBE"/>
    <w:rsid w:val="003E3FF4"/>
    <w:rsid w:val="003E4021"/>
    <w:rsid w:val="003E4064"/>
    <w:rsid w:val="003E43E4"/>
    <w:rsid w:val="003E498D"/>
    <w:rsid w:val="003E4A37"/>
    <w:rsid w:val="003E4F21"/>
    <w:rsid w:val="003E5004"/>
    <w:rsid w:val="003E51F7"/>
    <w:rsid w:val="003E52CD"/>
    <w:rsid w:val="003E539D"/>
    <w:rsid w:val="003E53A9"/>
    <w:rsid w:val="003E5443"/>
    <w:rsid w:val="003E5891"/>
    <w:rsid w:val="003E5A52"/>
    <w:rsid w:val="003E5AAC"/>
    <w:rsid w:val="003E5D8F"/>
    <w:rsid w:val="003E5FCA"/>
    <w:rsid w:val="003E61CB"/>
    <w:rsid w:val="003E61DD"/>
    <w:rsid w:val="003E63A2"/>
    <w:rsid w:val="003E6488"/>
    <w:rsid w:val="003E64A2"/>
    <w:rsid w:val="003E64FF"/>
    <w:rsid w:val="003E65C2"/>
    <w:rsid w:val="003E6A10"/>
    <w:rsid w:val="003E6C79"/>
    <w:rsid w:val="003E6FB8"/>
    <w:rsid w:val="003E752F"/>
    <w:rsid w:val="003E7998"/>
    <w:rsid w:val="003E7C0C"/>
    <w:rsid w:val="003E7EB4"/>
    <w:rsid w:val="003F02D2"/>
    <w:rsid w:val="003F036F"/>
    <w:rsid w:val="003F0736"/>
    <w:rsid w:val="003F0889"/>
    <w:rsid w:val="003F0A2A"/>
    <w:rsid w:val="003F0B71"/>
    <w:rsid w:val="003F0ECD"/>
    <w:rsid w:val="003F0F70"/>
    <w:rsid w:val="003F0FE0"/>
    <w:rsid w:val="003F1282"/>
    <w:rsid w:val="003F1351"/>
    <w:rsid w:val="003F1400"/>
    <w:rsid w:val="003F1409"/>
    <w:rsid w:val="003F16C3"/>
    <w:rsid w:val="003F1945"/>
    <w:rsid w:val="003F1B59"/>
    <w:rsid w:val="003F1B70"/>
    <w:rsid w:val="003F2119"/>
    <w:rsid w:val="003F2144"/>
    <w:rsid w:val="003F23D9"/>
    <w:rsid w:val="003F2503"/>
    <w:rsid w:val="003F25AB"/>
    <w:rsid w:val="003F25F9"/>
    <w:rsid w:val="003F2DC6"/>
    <w:rsid w:val="003F2F41"/>
    <w:rsid w:val="003F32CE"/>
    <w:rsid w:val="003F33B9"/>
    <w:rsid w:val="003F3B04"/>
    <w:rsid w:val="003F3B22"/>
    <w:rsid w:val="003F3C29"/>
    <w:rsid w:val="003F3DC0"/>
    <w:rsid w:val="003F47D9"/>
    <w:rsid w:val="003F47F3"/>
    <w:rsid w:val="003F4D3F"/>
    <w:rsid w:val="003F4DC7"/>
    <w:rsid w:val="003F50F2"/>
    <w:rsid w:val="003F51BE"/>
    <w:rsid w:val="003F520E"/>
    <w:rsid w:val="003F53B0"/>
    <w:rsid w:val="003F548D"/>
    <w:rsid w:val="003F575F"/>
    <w:rsid w:val="003F5B95"/>
    <w:rsid w:val="003F5C19"/>
    <w:rsid w:val="003F5C2E"/>
    <w:rsid w:val="003F5CDA"/>
    <w:rsid w:val="003F5E57"/>
    <w:rsid w:val="003F5EC0"/>
    <w:rsid w:val="003F60CB"/>
    <w:rsid w:val="003F61AF"/>
    <w:rsid w:val="003F626A"/>
    <w:rsid w:val="003F6345"/>
    <w:rsid w:val="003F6666"/>
    <w:rsid w:val="003F67F6"/>
    <w:rsid w:val="003F6C45"/>
    <w:rsid w:val="003F6EF2"/>
    <w:rsid w:val="003F743D"/>
    <w:rsid w:val="003F76B4"/>
    <w:rsid w:val="003F7D92"/>
    <w:rsid w:val="0040012F"/>
    <w:rsid w:val="00400162"/>
    <w:rsid w:val="0040029F"/>
    <w:rsid w:val="00400349"/>
    <w:rsid w:val="00400B82"/>
    <w:rsid w:val="00400D38"/>
    <w:rsid w:val="00400FE9"/>
    <w:rsid w:val="004010BD"/>
    <w:rsid w:val="00401102"/>
    <w:rsid w:val="0040111E"/>
    <w:rsid w:val="00401122"/>
    <w:rsid w:val="0040154A"/>
    <w:rsid w:val="00401C56"/>
    <w:rsid w:val="00401D74"/>
    <w:rsid w:val="004020D4"/>
    <w:rsid w:val="004023D3"/>
    <w:rsid w:val="00402988"/>
    <w:rsid w:val="00402AEA"/>
    <w:rsid w:val="00402B88"/>
    <w:rsid w:val="00402D59"/>
    <w:rsid w:val="00403010"/>
    <w:rsid w:val="004030C6"/>
    <w:rsid w:val="004032D3"/>
    <w:rsid w:val="00403B1C"/>
    <w:rsid w:val="00403C60"/>
    <w:rsid w:val="00403C82"/>
    <w:rsid w:val="00403CAA"/>
    <w:rsid w:val="00403CC5"/>
    <w:rsid w:val="00403E29"/>
    <w:rsid w:val="00403EBE"/>
    <w:rsid w:val="0040411A"/>
    <w:rsid w:val="00404159"/>
    <w:rsid w:val="00404356"/>
    <w:rsid w:val="00404723"/>
    <w:rsid w:val="004048E4"/>
    <w:rsid w:val="00404CD8"/>
    <w:rsid w:val="00404D68"/>
    <w:rsid w:val="00404DEB"/>
    <w:rsid w:val="00404F5D"/>
    <w:rsid w:val="0040518B"/>
    <w:rsid w:val="0040585D"/>
    <w:rsid w:val="0040593E"/>
    <w:rsid w:val="00405A3C"/>
    <w:rsid w:val="00405D51"/>
    <w:rsid w:val="00405E25"/>
    <w:rsid w:val="00406087"/>
    <w:rsid w:val="004060D5"/>
    <w:rsid w:val="004062AF"/>
    <w:rsid w:val="00406486"/>
    <w:rsid w:val="00406923"/>
    <w:rsid w:val="004069D5"/>
    <w:rsid w:val="00406A92"/>
    <w:rsid w:val="00406AB7"/>
    <w:rsid w:val="00406C31"/>
    <w:rsid w:val="00406F9A"/>
    <w:rsid w:val="004071B3"/>
    <w:rsid w:val="004073CB"/>
    <w:rsid w:val="00407C33"/>
    <w:rsid w:val="00407C49"/>
    <w:rsid w:val="00407C4E"/>
    <w:rsid w:val="00407DC2"/>
    <w:rsid w:val="00407E82"/>
    <w:rsid w:val="00407F28"/>
    <w:rsid w:val="00407F68"/>
    <w:rsid w:val="00410266"/>
    <w:rsid w:val="00410819"/>
    <w:rsid w:val="00410B1D"/>
    <w:rsid w:val="00410C59"/>
    <w:rsid w:val="00410C5D"/>
    <w:rsid w:val="00410D4B"/>
    <w:rsid w:val="00410FC2"/>
    <w:rsid w:val="004114E9"/>
    <w:rsid w:val="00411657"/>
    <w:rsid w:val="004118A6"/>
    <w:rsid w:val="00411980"/>
    <w:rsid w:val="004119B5"/>
    <w:rsid w:val="00411AA5"/>
    <w:rsid w:val="0041207C"/>
    <w:rsid w:val="0041226B"/>
    <w:rsid w:val="004122B2"/>
    <w:rsid w:val="004123D1"/>
    <w:rsid w:val="0041265E"/>
    <w:rsid w:val="004129B6"/>
    <w:rsid w:val="00412F67"/>
    <w:rsid w:val="00413A00"/>
    <w:rsid w:val="00413CCF"/>
    <w:rsid w:val="004145E2"/>
    <w:rsid w:val="00414631"/>
    <w:rsid w:val="00414693"/>
    <w:rsid w:val="00414E00"/>
    <w:rsid w:val="00414E4D"/>
    <w:rsid w:val="00414E85"/>
    <w:rsid w:val="00414EF5"/>
    <w:rsid w:val="00415082"/>
    <w:rsid w:val="004153B1"/>
    <w:rsid w:val="00415415"/>
    <w:rsid w:val="0041593B"/>
    <w:rsid w:val="004159A2"/>
    <w:rsid w:val="00415B7F"/>
    <w:rsid w:val="00415BBC"/>
    <w:rsid w:val="00415E9F"/>
    <w:rsid w:val="00415EAC"/>
    <w:rsid w:val="00415F25"/>
    <w:rsid w:val="00415F74"/>
    <w:rsid w:val="00416169"/>
    <w:rsid w:val="00416179"/>
    <w:rsid w:val="00416582"/>
    <w:rsid w:val="00416784"/>
    <w:rsid w:val="00416B4B"/>
    <w:rsid w:val="00416B5D"/>
    <w:rsid w:val="00416C29"/>
    <w:rsid w:val="00416C77"/>
    <w:rsid w:val="00416D47"/>
    <w:rsid w:val="004170C4"/>
    <w:rsid w:val="00417361"/>
    <w:rsid w:val="00417613"/>
    <w:rsid w:val="00417731"/>
    <w:rsid w:val="00417B0D"/>
    <w:rsid w:val="00417C62"/>
    <w:rsid w:val="00417D8D"/>
    <w:rsid w:val="00417DD7"/>
    <w:rsid w:val="0041E3A8"/>
    <w:rsid w:val="0042005E"/>
    <w:rsid w:val="0042020F"/>
    <w:rsid w:val="0042028C"/>
    <w:rsid w:val="0042054E"/>
    <w:rsid w:val="00420679"/>
    <w:rsid w:val="004207D1"/>
    <w:rsid w:val="004208A2"/>
    <w:rsid w:val="0042092A"/>
    <w:rsid w:val="00420DB9"/>
    <w:rsid w:val="00420EDF"/>
    <w:rsid w:val="00420EE4"/>
    <w:rsid w:val="00420FA8"/>
    <w:rsid w:val="004212C0"/>
    <w:rsid w:val="00421549"/>
    <w:rsid w:val="0042161F"/>
    <w:rsid w:val="00421827"/>
    <w:rsid w:val="00421A36"/>
    <w:rsid w:val="00421B36"/>
    <w:rsid w:val="00421BCF"/>
    <w:rsid w:val="00421CE0"/>
    <w:rsid w:val="00421F44"/>
    <w:rsid w:val="004222F3"/>
    <w:rsid w:val="0042243C"/>
    <w:rsid w:val="00422750"/>
    <w:rsid w:val="00422A39"/>
    <w:rsid w:val="00422B35"/>
    <w:rsid w:val="00422BF9"/>
    <w:rsid w:val="004230BC"/>
    <w:rsid w:val="00423376"/>
    <w:rsid w:val="004233E1"/>
    <w:rsid w:val="004233EB"/>
    <w:rsid w:val="00423457"/>
    <w:rsid w:val="00423983"/>
    <w:rsid w:val="00423B3F"/>
    <w:rsid w:val="00423B57"/>
    <w:rsid w:val="00423EB6"/>
    <w:rsid w:val="0042406C"/>
    <w:rsid w:val="0042429D"/>
    <w:rsid w:val="004243DF"/>
    <w:rsid w:val="00424656"/>
    <w:rsid w:val="004246AF"/>
    <w:rsid w:val="0042474A"/>
    <w:rsid w:val="00424B47"/>
    <w:rsid w:val="00424B73"/>
    <w:rsid w:val="00424B9E"/>
    <w:rsid w:val="00424C9D"/>
    <w:rsid w:val="0042501E"/>
    <w:rsid w:val="00425847"/>
    <w:rsid w:val="00425A01"/>
    <w:rsid w:val="00425A15"/>
    <w:rsid w:val="00425B97"/>
    <w:rsid w:val="004260D8"/>
    <w:rsid w:val="004260EA"/>
    <w:rsid w:val="0042614C"/>
    <w:rsid w:val="00426434"/>
    <w:rsid w:val="00426578"/>
    <w:rsid w:val="00426707"/>
    <w:rsid w:val="00426D71"/>
    <w:rsid w:val="00427151"/>
    <w:rsid w:val="004272E7"/>
    <w:rsid w:val="00427383"/>
    <w:rsid w:val="00427AB6"/>
    <w:rsid w:val="00427EF4"/>
    <w:rsid w:val="00427F83"/>
    <w:rsid w:val="00430122"/>
    <w:rsid w:val="00430152"/>
    <w:rsid w:val="00430363"/>
    <w:rsid w:val="0043076F"/>
    <w:rsid w:val="00430BBD"/>
    <w:rsid w:val="00430C26"/>
    <w:rsid w:val="00430C71"/>
    <w:rsid w:val="00430D08"/>
    <w:rsid w:val="00430D5B"/>
    <w:rsid w:val="00430F89"/>
    <w:rsid w:val="00431168"/>
    <w:rsid w:val="0043125E"/>
    <w:rsid w:val="004313F4"/>
    <w:rsid w:val="0043146F"/>
    <w:rsid w:val="0043157C"/>
    <w:rsid w:val="00431616"/>
    <w:rsid w:val="004317A9"/>
    <w:rsid w:val="004319E3"/>
    <w:rsid w:val="00431C33"/>
    <w:rsid w:val="00431D8F"/>
    <w:rsid w:val="00432077"/>
    <w:rsid w:val="00432760"/>
    <w:rsid w:val="00432A17"/>
    <w:rsid w:val="00433092"/>
    <w:rsid w:val="00433245"/>
    <w:rsid w:val="00433369"/>
    <w:rsid w:val="00433544"/>
    <w:rsid w:val="004335FF"/>
    <w:rsid w:val="004338F2"/>
    <w:rsid w:val="004339E4"/>
    <w:rsid w:val="00433BA4"/>
    <w:rsid w:val="00433C63"/>
    <w:rsid w:val="00433FCD"/>
    <w:rsid w:val="00434072"/>
    <w:rsid w:val="00434078"/>
    <w:rsid w:val="004340A5"/>
    <w:rsid w:val="00434155"/>
    <w:rsid w:val="0043418D"/>
    <w:rsid w:val="004343AE"/>
    <w:rsid w:val="004343CA"/>
    <w:rsid w:val="004343E5"/>
    <w:rsid w:val="00434407"/>
    <w:rsid w:val="00434AC8"/>
    <w:rsid w:val="00434B33"/>
    <w:rsid w:val="00434BD8"/>
    <w:rsid w:val="00434F10"/>
    <w:rsid w:val="00434F6F"/>
    <w:rsid w:val="00434F79"/>
    <w:rsid w:val="004356EB"/>
    <w:rsid w:val="00435AA8"/>
    <w:rsid w:val="00435F72"/>
    <w:rsid w:val="0043605E"/>
    <w:rsid w:val="004363B8"/>
    <w:rsid w:val="0043657E"/>
    <w:rsid w:val="004366F4"/>
    <w:rsid w:val="00436750"/>
    <w:rsid w:val="004367E9"/>
    <w:rsid w:val="0043685D"/>
    <w:rsid w:val="004369DE"/>
    <w:rsid w:val="00436A6E"/>
    <w:rsid w:val="00436C3C"/>
    <w:rsid w:val="00436E1A"/>
    <w:rsid w:val="00436EC9"/>
    <w:rsid w:val="004371C9"/>
    <w:rsid w:val="004373A3"/>
    <w:rsid w:val="004373A4"/>
    <w:rsid w:val="00437438"/>
    <w:rsid w:val="0043772D"/>
    <w:rsid w:val="00437797"/>
    <w:rsid w:val="004377DF"/>
    <w:rsid w:val="004377ED"/>
    <w:rsid w:val="00437A23"/>
    <w:rsid w:val="00437A92"/>
    <w:rsid w:val="00437CB8"/>
    <w:rsid w:val="00440297"/>
    <w:rsid w:val="0044048A"/>
    <w:rsid w:val="0044054A"/>
    <w:rsid w:val="00440595"/>
    <w:rsid w:val="00440801"/>
    <w:rsid w:val="00440A71"/>
    <w:rsid w:val="00440A9C"/>
    <w:rsid w:val="00440FF0"/>
    <w:rsid w:val="00441063"/>
    <w:rsid w:val="00441418"/>
    <w:rsid w:val="004414DD"/>
    <w:rsid w:val="00441547"/>
    <w:rsid w:val="004415A6"/>
    <w:rsid w:val="004415FF"/>
    <w:rsid w:val="00441624"/>
    <w:rsid w:val="00441BE0"/>
    <w:rsid w:val="00441BF1"/>
    <w:rsid w:val="00441C1A"/>
    <w:rsid w:val="00441E09"/>
    <w:rsid w:val="00441FED"/>
    <w:rsid w:val="00442981"/>
    <w:rsid w:val="00442C26"/>
    <w:rsid w:val="00442C41"/>
    <w:rsid w:val="00442E8A"/>
    <w:rsid w:val="00443219"/>
    <w:rsid w:val="004435BE"/>
    <w:rsid w:val="00443660"/>
    <w:rsid w:val="004436B2"/>
    <w:rsid w:val="00443836"/>
    <w:rsid w:val="00443B74"/>
    <w:rsid w:val="00443D02"/>
    <w:rsid w:val="00443D1A"/>
    <w:rsid w:val="00443DFD"/>
    <w:rsid w:val="00443E22"/>
    <w:rsid w:val="00443F23"/>
    <w:rsid w:val="004440CB"/>
    <w:rsid w:val="00444319"/>
    <w:rsid w:val="00444544"/>
    <w:rsid w:val="00444596"/>
    <w:rsid w:val="004445B8"/>
    <w:rsid w:val="00444712"/>
    <w:rsid w:val="004449A1"/>
    <w:rsid w:val="00444EE3"/>
    <w:rsid w:val="00444F53"/>
    <w:rsid w:val="00445081"/>
    <w:rsid w:val="004452DC"/>
    <w:rsid w:val="00445307"/>
    <w:rsid w:val="00445843"/>
    <w:rsid w:val="00445945"/>
    <w:rsid w:val="00445A27"/>
    <w:rsid w:val="00446150"/>
    <w:rsid w:val="0044671D"/>
    <w:rsid w:val="00446914"/>
    <w:rsid w:val="00446B21"/>
    <w:rsid w:val="00446FC9"/>
    <w:rsid w:val="0044743C"/>
    <w:rsid w:val="0044760D"/>
    <w:rsid w:val="00447756"/>
    <w:rsid w:val="00447997"/>
    <w:rsid w:val="004479B2"/>
    <w:rsid w:val="00447DEB"/>
    <w:rsid w:val="00447DF5"/>
    <w:rsid w:val="00447E22"/>
    <w:rsid w:val="004502E7"/>
    <w:rsid w:val="004503AE"/>
    <w:rsid w:val="004504AF"/>
    <w:rsid w:val="00450B8F"/>
    <w:rsid w:val="00450EFC"/>
    <w:rsid w:val="00450F58"/>
    <w:rsid w:val="00450FEE"/>
    <w:rsid w:val="00451162"/>
    <w:rsid w:val="0045121C"/>
    <w:rsid w:val="00451536"/>
    <w:rsid w:val="00451793"/>
    <w:rsid w:val="00451801"/>
    <w:rsid w:val="00451806"/>
    <w:rsid w:val="0045199C"/>
    <w:rsid w:val="004519C1"/>
    <w:rsid w:val="00451AF4"/>
    <w:rsid w:val="004520EB"/>
    <w:rsid w:val="004522BF"/>
    <w:rsid w:val="0045232B"/>
    <w:rsid w:val="0045259B"/>
    <w:rsid w:val="004526F6"/>
    <w:rsid w:val="00452823"/>
    <w:rsid w:val="00452A9F"/>
    <w:rsid w:val="00452B00"/>
    <w:rsid w:val="00452E5A"/>
    <w:rsid w:val="00452F24"/>
    <w:rsid w:val="0045313C"/>
    <w:rsid w:val="00453403"/>
    <w:rsid w:val="004534BF"/>
    <w:rsid w:val="00453A3B"/>
    <w:rsid w:val="00453D58"/>
    <w:rsid w:val="00453E41"/>
    <w:rsid w:val="00453F81"/>
    <w:rsid w:val="00454237"/>
    <w:rsid w:val="0045431E"/>
    <w:rsid w:val="00454766"/>
    <w:rsid w:val="0045499C"/>
    <w:rsid w:val="00454AB6"/>
    <w:rsid w:val="00454ABC"/>
    <w:rsid w:val="00454AFC"/>
    <w:rsid w:val="00454D6F"/>
    <w:rsid w:val="00454E4E"/>
    <w:rsid w:val="00454FC8"/>
    <w:rsid w:val="00455025"/>
    <w:rsid w:val="0045503D"/>
    <w:rsid w:val="004555EB"/>
    <w:rsid w:val="004558F5"/>
    <w:rsid w:val="00455ADE"/>
    <w:rsid w:val="00455D7C"/>
    <w:rsid w:val="004568EC"/>
    <w:rsid w:val="00456931"/>
    <w:rsid w:val="00456D91"/>
    <w:rsid w:val="00456F99"/>
    <w:rsid w:val="00457216"/>
    <w:rsid w:val="00457561"/>
    <w:rsid w:val="00457640"/>
    <w:rsid w:val="0045790D"/>
    <w:rsid w:val="00457CD5"/>
    <w:rsid w:val="00457D17"/>
    <w:rsid w:val="00457D44"/>
    <w:rsid w:val="00457ED2"/>
    <w:rsid w:val="0046006F"/>
    <w:rsid w:val="00460123"/>
    <w:rsid w:val="004606E8"/>
    <w:rsid w:val="004608D6"/>
    <w:rsid w:val="00460C2E"/>
    <w:rsid w:val="004610E9"/>
    <w:rsid w:val="00461111"/>
    <w:rsid w:val="004612E2"/>
    <w:rsid w:val="004614FF"/>
    <w:rsid w:val="004616E9"/>
    <w:rsid w:val="00461919"/>
    <w:rsid w:val="004619C1"/>
    <w:rsid w:val="004619C2"/>
    <w:rsid w:val="00461B70"/>
    <w:rsid w:val="00461CB8"/>
    <w:rsid w:val="00461D88"/>
    <w:rsid w:val="00462329"/>
    <w:rsid w:val="00462384"/>
    <w:rsid w:val="0046251C"/>
    <w:rsid w:val="00462547"/>
    <w:rsid w:val="00462B37"/>
    <w:rsid w:val="00462BE0"/>
    <w:rsid w:val="00462DD4"/>
    <w:rsid w:val="00462E3F"/>
    <w:rsid w:val="00463116"/>
    <w:rsid w:val="00463240"/>
    <w:rsid w:val="0046338F"/>
    <w:rsid w:val="004633A8"/>
    <w:rsid w:val="004635FC"/>
    <w:rsid w:val="00463875"/>
    <w:rsid w:val="004638A1"/>
    <w:rsid w:val="00463BD3"/>
    <w:rsid w:val="00463BFE"/>
    <w:rsid w:val="00463C4B"/>
    <w:rsid w:val="00463F76"/>
    <w:rsid w:val="00464105"/>
    <w:rsid w:val="0046462D"/>
    <w:rsid w:val="00464702"/>
    <w:rsid w:val="00464A6D"/>
    <w:rsid w:val="00464A9B"/>
    <w:rsid w:val="00464D88"/>
    <w:rsid w:val="00464ED5"/>
    <w:rsid w:val="00464FE2"/>
    <w:rsid w:val="0046521E"/>
    <w:rsid w:val="00465656"/>
    <w:rsid w:val="004659A1"/>
    <w:rsid w:val="00465B58"/>
    <w:rsid w:val="00465BF6"/>
    <w:rsid w:val="00465C3E"/>
    <w:rsid w:val="00465CB9"/>
    <w:rsid w:val="00465D1A"/>
    <w:rsid w:val="0046608A"/>
    <w:rsid w:val="004660DB"/>
    <w:rsid w:val="00466125"/>
    <w:rsid w:val="00466262"/>
    <w:rsid w:val="0046634F"/>
    <w:rsid w:val="00466474"/>
    <w:rsid w:val="00466DB6"/>
    <w:rsid w:val="0046723E"/>
    <w:rsid w:val="00467499"/>
    <w:rsid w:val="00467522"/>
    <w:rsid w:val="0046756C"/>
    <w:rsid w:val="004675A3"/>
    <w:rsid w:val="00467B2F"/>
    <w:rsid w:val="00467B4C"/>
    <w:rsid w:val="00467E46"/>
    <w:rsid w:val="0047023D"/>
    <w:rsid w:val="004702A5"/>
    <w:rsid w:val="00470494"/>
    <w:rsid w:val="004704C4"/>
    <w:rsid w:val="00470540"/>
    <w:rsid w:val="004708A8"/>
    <w:rsid w:val="00470ABC"/>
    <w:rsid w:val="00470F68"/>
    <w:rsid w:val="00470FCD"/>
    <w:rsid w:val="004710AE"/>
    <w:rsid w:val="0047122B"/>
    <w:rsid w:val="0047148C"/>
    <w:rsid w:val="00471496"/>
    <w:rsid w:val="00471515"/>
    <w:rsid w:val="0047152D"/>
    <w:rsid w:val="00471626"/>
    <w:rsid w:val="0047187C"/>
    <w:rsid w:val="00471A30"/>
    <w:rsid w:val="00471A68"/>
    <w:rsid w:val="00471AE2"/>
    <w:rsid w:val="00471C1E"/>
    <w:rsid w:val="00471C3C"/>
    <w:rsid w:val="00471DB5"/>
    <w:rsid w:val="00471E63"/>
    <w:rsid w:val="00471F66"/>
    <w:rsid w:val="0047217B"/>
    <w:rsid w:val="0047244A"/>
    <w:rsid w:val="004725C4"/>
    <w:rsid w:val="00472888"/>
    <w:rsid w:val="004728B9"/>
    <w:rsid w:val="00472921"/>
    <w:rsid w:val="004729FF"/>
    <w:rsid w:val="0047302E"/>
    <w:rsid w:val="00473388"/>
    <w:rsid w:val="004733EE"/>
    <w:rsid w:val="00473773"/>
    <w:rsid w:val="0047381F"/>
    <w:rsid w:val="00473D2C"/>
    <w:rsid w:val="00474178"/>
    <w:rsid w:val="00474181"/>
    <w:rsid w:val="00474482"/>
    <w:rsid w:val="00474825"/>
    <w:rsid w:val="00474989"/>
    <w:rsid w:val="00474B77"/>
    <w:rsid w:val="00474EF6"/>
    <w:rsid w:val="00474F72"/>
    <w:rsid w:val="00475163"/>
    <w:rsid w:val="004751A4"/>
    <w:rsid w:val="00475896"/>
    <w:rsid w:val="00475B4C"/>
    <w:rsid w:val="00475D3B"/>
    <w:rsid w:val="0047607B"/>
    <w:rsid w:val="00476144"/>
    <w:rsid w:val="00476204"/>
    <w:rsid w:val="004763AC"/>
    <w:rsid w:val="004763C3"/>
    <w:rsid w:val="0047673C"/>
    <w:rsid w:val="00476A67"/>
    <w:rsid w:val="00476E11"/>
    <w:rsid w:val="00476F25"/>
    <w:rsid w:val="0047714F"/>
    <w:rsid w:val="00477182"/>
    <w:rsid w:val="004771CB"/>
    <w:rsid w:val="00477CFA"/>
    <w:rsid w:val="00477D98"/>
    <w:rsid w:val="00477FFB"/>
    <w:rsid w:val="0047D7C0"/>
    <w:rsid w:val="00480225"/>
    <w:rsid w:val="004802EC"/>
    <w:rsid w:val="00480601"/>
    <w:rsid w:val="00480783"/>
    <w:rsid w:val="00480A47"/>
    <w:rsid w:val="00480F1C"/>
    <w:rsid w:val="00480F4A"/>
    <w:rsid w:val="004810ED"/>
    <w:rsid w:val="00481112"/>
    <w:rsid w:val="00481275"/>
    <w:rsid w:val="004817E9"/>
    <w:rsid w:val="00481AE2"/>
    <w:rsid w:val="00481D1B"/>
    <w:rsid w:val="00481E6D"/>
    <w:rsid w:val="004820B2"/>
    <w:rsid w:val="00482536"/>
    <w:rsid w:val="00482632"/>
    <w:rsid w:val="004826DC"/>
    <w:rsid w:val="0048272C"/>
    <w:rsid w:val="0048272F"/>
    <w:rsid w:val="0048283B"/>
    <w:rsid w:val="00482CCB"/>
    <w:rsid w:val="00482D10"/>
    <w:rsid w:val="00482EB0"/>
    <w:rsid w:val="00482F1D"/>
    <w:rsid w:val="00482F85"/>
    <w:rsid w:val="004831B3"/>
    <w:rsid w:val="00483537"/>
    <w:rsid w:val="004836D2"/>
    <w:rsid w:val="004837AA"/>
    <w:rsid w:val="00483817"/>
    <w:rsid w:val="00483BC3"/>
    <w:rsid w:val="00483FA6"/>
    <w:rsid w:val="0048404E"/>
    <w:rsid w:val="004841DF"/>
    <w:rsid w:val="0048424F"/>
    <w:rsid w:val="0048465F"/>
    <w:rsid w:val="004847E5"/>
    <w:rsid w:val="004848D7"/>
    <w:rsid w:val="00484925"/>
    <w:rsid w:val="0048494A"/>
    <w:rsid w:val="00485006"/>
    <w:rsid w:val="004851EB"/>
    <w:rsid w:val="00485263"/>
    <w:rsid w:val="0048548B"/>
    <w:rsid w:val="00485619"/>
    <w:rsid w:val="004856B1"/>
    <w:rsid w:val="00485976"/>
    <w:rsid w:val="00485C20"/>
    <w:rsid w:val="00485CB5"/>
    <w:rsid w:val="00485E30"/>
    <w:rsid w:val="00485EEB"/>
    <w:rsid w:val="00485F4E"/>
    <w:rsid w:val="00486317"/>
    <w:rsid w:val="00486449"/>
    <w:rsid w:val="004868B6"/>
    <w:rsid w:val="004868B7"/>
    <w:rsid w:val="00486B77"/>
    <w:rsid w:val="00486E01"/>
    <w:rsid w:val="00486F5F"/>
    <w:rsid w:val="0048714A"/>
    <w:rsid w:val="0048718C"/>
    <w:rsid w:val="0048727A"/>
    <w:rsid w:val="00487487"/>
    <w:rsid w:val="004874E7"/>
    <w:rsid w:val="00487655"/>
    <w:rsid w:val="004877CF"/>
    <w:rsid w:val="0048781E"/>
    <w:rsid w:val="00487AB4"/>
    <w:rsid w:val="00490079"/>
    <w:rsid w:val="00490262"/>
    <w:rsid w:val="0049035C"/>
    <w:rsid w:val="0049041B"/>
    <w:rsid w:val="00490466"/>
    <w:rsid w:val="00490517"/>
    <w:rsid w:val="004910FB"/>
    <w:rsid w:val="00491224"/>
    <w:rsid w:val="00491270"/>
    <w:rsid w:val="0049145B"/>
    <w:rsid w:val="004916C6"/>
    <w:rsid w:val="004918E4"/>
    <w:rsid w:val="004919A9"/>
    <w:rsid w:val="00491AA8"/>
    <w:rsid w:val="00491CC5"/>
    <w:rsid w:val="00491CF3"/>
    <w:rsid w:val="00492879"/>
    <w:rsid w:val="004928D4"/>
    <w:rsid w:val="004929C6"/>
    <w:rsid w:val="00492E1B"/>
    <w:rsid w:val="00493140"/>
    <w:rsid w:val="00493232"/>
    <w:rsid w:val="0049386F"/>
    <w:rsid w:val="004938AF"/>
    <w:rsid w:val="00493A72"/>
    <w:rsid w:val="00493E26"/>
    <w:rsid w:val="00493E5C"/>
    <w:rsid w:val="0049412E"/>
    <w:rsid w:val="00494206"/>
    <w:rsid w:val="00494759"/>
    <w:rsid w:val="00494A88"/>
    <w:rsid w:val="00494C43"/>
    <w:rsid w:val="00494C89"/>
    <w:rsid w:val="00494D62"/>
    <w:rsid w:val="00494D6C"/>
    <w:rsid w:val="00494F7C"/>
    <w:rsid w:val="0049536E"/>
    <w:rsid w:val="004956AF"/>
    <w:rsid w:val="00495758"/>
    <w:rsid w:val="004959BB"/>
    <w:rsid w:val="004959DC"/>
    <w:rsid w:val="00495B8B"/>
    <w:rsid w:val="00495F46"/>
    <w:rsid w:val="00496326"/>
    <w:rsid w:val="00496600"/>
    <w:rsid w:val="0049676E"/>
    <w:rsid w:val="0049697C"/>
    <w:rsid w:val="004969E5"/>
    <w:rsid w:val="00496D11"/>
    <w:rsid w:val="00496D31"/>
    <w:rsid w:val="00496EE9"/>
    <w:rsid w:val="004970C3"/>
    <w:rsid w:val="004971E1"/>
    <w:rsid w:val="00497505"/>
    <w:rsid w:val="004976A9"/>
    <w:rsid w:val="00497808"/>
    <w:rsid w:val="00497998"/>
    <w:rsid w:val="00497A64"/>
    <w:rsid w:val="00497CDE"/>
    <w:rsid w:val="00497F41"/>
    <w:rsid w:val="004A04A2"/>
    <w:rsid w:val="004A0614"/>
    <w:rsid w:val="004A06E0"/>
    <w:rsid w:val="004A08BE"/>
    <w:rsid w:val="004A0912"/>
    <w:rsid w:val="004A0DA0"/>
    <w:rsid w:val="004A0F34"/>
    <w:rsid w:val="004A11E8"/>
    <w:rsid w:val="004A1225"/>
    <w:rsid w:val="004A1542"/>
    <w:rsid w:val="004A1658"/>
    <w:rsid w:val="004A1699"/>
    <w:rsid w:val="004A17B0"/>
    <w:rsid w:val="004A1C66"/>
    <w:rsid w:val="004A21AD"/>
    <w:rsid w:val="004A21C0"/>
    <w:rsid w:val="004A2379"/>
    <w:rsid w:val="004A24B1"/>
    <w:rsid w:val="004A27FB"/>
    <w:rsid w:val="004A285C"/>
    <w:rsid w:val="004A2C54"/>
    <w:rsid w:val="004A2CCC"/>
    <w:rsid w:val="004A35D4"/>
    <w:rsid w:val="004A3621"/>
    <w:rsid w:val="004A3662"/>
    <w:rsid w:val="004A3760"/>
    <w:rsid w:val="004A3769"/>
    <w:rsid w:val="004A3860"/>
    <w:rsid w:val="004A3877"/>
    <w:rsid w:val="004A3990"/>
    <w:rsid w:val="004A39A0"/>
    <w:rsid w:val="004A3B56"/>
    <w:rsid w:val="004A3EF6"/>
    <w:rsid w:val="004A3F1C"/>
    <w:rsid w:val="004A4525"/>
    <w:rsid w:val="004A47F4"/>
    <w:rsid w:val="004A4BA6"/>
    <w:rsid w:val="004A4CF7"/>
    <w:rsid w:val="004A4E93"/>
    <w:rsid w:val="004A4F1E"/>
    <w:rsid w:val="004A514E"/>
    <w:rsid w:val="004A5201"/>
    <w:rsid w:val="004A523F"/>
    <w:rsid w:val="004A531C"/>
    <w:rsid w:val="004A5438"/>
    <w:rsid w:val="004A549E"/>
    <w:rsid w:val="004A572B"/>
    <w:rsid w:val="004A5923"/>
    <w:rsid w:val="004A5CE2"/>
    <w:rsid w:val="004A5E49"/>
    <w:rsid w:val="004A6304"/>
    <w:rsid w:val="004A6744"/>
    <w:rsid w:val="004A67B7"/>
    <w:rsid w:val="004A6815"/>
    <w:rsid w:val="004A6AF4"/>
    <w:rsid w:val="004A6DB6"/>
    <w:rsid w:val="004A6E84"/>
    <w:rsid w:val="004A6EAF"/>
    <w:rsid w:val="004A717B"/>
    <w:rsid w:val="004A7A4A"/>
    <w:rsid w:val="004A7C39"/>
    <w:rsid w:val="004A7F64"/>
    <w:rsid w:val="004A7F89"/>
    <w:rsid w:val="004AD14F"/>
    <w:rsid w:val="004AE5B6"/>
    <w:rsid w:val="004AED6A"/>
    <w:rsid w:val="004B005C"/>
    <w:rsid w:val="004B028A"/>
    <w:rsid w:val="004B0743"/>
    <w:rsid w:val="004B093C"/>
    <w:rsid w:val="004B093E"/>
    <w:rsid w:val="004B0F5D"/>
    <w:rsid w:val="004B0F65"/>
    <w:rsid w:val="004B109B"/>
    <w:rsid w:val="004B1104"/>
    <w:rsid w:val="004B1151"/>
    <w:rsid w:val="004B1268"/>
    <w:rsid w:val="004B1A83"/>
    <w:rsid w:val="004B1C30"/>
    <w:rsid w:val="004B2448"/>
    <w:rsid w:val="004B24E5"/>
    <w:rsid w:val="004B25CE"/>
    <w:rsid w:val="004B2825"/>
    <w:rsid w:val="004B28C4"/>
    <w:rsid w:val="004B29B2"/>
    <w:rsid w:val="004B29BB"/>
    <w:rsid w:val="004B2A3E"/>
    <w:rsid w:val="004B2ACB"/>
    <w:rsid w:val="004B2C57"/>
    <w:rsid w:val="004B2DAE"/>
    <w:rsid w:val="004B2E0F"/>
    <w:rsid w:val="004B2F64"/>
    <w:rsid w:val="004B3097"/>
    <w:rsid w:val="004B3186"/>
    <w:rsid w:val="004B360D"/>
    <w:rsid w:val="004B3650"/>
    <w:rsid w:val="004B3D45"/>
    <w:rsid w:val="004B3D90"/>
    <w:rsid w:val="004B3EF3"/>
    <w:rsid w:val="004B42DB"/>
    <w:rsid w:val="004B461E"/>
    <w:rsid w:val="004B4724"/>
    <w:rsid w:val="004B4998"/>
    <w:rsid w:val="004B4DAB"/>
    <w:rsid w:val="004B4E36"/>
    <w:rsid w:val="004B4F3C"/>
    <w:rsid w:val="004B509E"/>
    <w:rsid w:val="004B5432"/>
    <w:rsid w:val="004B55D4"/>
    <w:rsid w:val="004B578E"/>
    <w:rsid w:val="004B58BA"/>
    <w:rsid w:val="004B5968"/>
    <w:rsid w:val="004B59E2"/>
    <w:rsid w:val="004B5A20"/>
    <w:rsid w:val="004B5D24"/>
    <w:rsid w:val="004B5EF2"/>
    <w:rsid w:val="004B6676"/>
    <w:rsid w:val="004B667E"/>
    <w:rsid w:val="004B66AA"/>
    <w:rsid w:val="004B670D"/>
    <w:rsid w:val="004B6745"/>
    <w:rsid w:val="004B693A"/>
    <w:rsid w:val="004B6DCD"/>
    <w:rsid w:val="004B6E1B"/>
    <w:rsid w:val="004B7102"/>
    <w:rsid w:val="004B719D"/>
    <w:rsid w:val="004B71E0"/>
    <w:rsid w:val="004B72B1"/>
    <w:rsid w:val="004B736A"/>
    <w:rsid w:val="004B76FE"/>
    <w:rsid w:val="004B7779"/>
    <w:rsid w:val="004B783F"/>
    <w:rsid w:val="004B7B74"/>
    <w:rsid w:val="004B7BDB"/>
    <w:rsid w:val="004C0218"/>
    <w:rsid w:val="004C027C"/>
    <w:rsid w:val="004C0D7B"/>
    <w:rsid w:val="004C14FF"/>
    <w:rsid w:val="004C1A5C"/>
    <w:rsid w:val="004C1D12"/>
    <w:rsid w:val="004C2192"/>
    <w:rsid w:val="004C223F"/>
    <w:rsid w:val="004C225F"/>
    <w:rsid w:val="004C22FE"/>
    <w:rsid w:val="004C260B"/>
    <w:rsid w:val="004C27BE"/>
    <w:rsid w:val="004C2864"/>
    <w:rsid w:val="004C2912"/>
    <w:rsid w:val="004C294C"/>
    <w:rsid w:val="004C2AFC"/>
    <w:rsid w:val="004C2D22"/>
    <w:rsid w:val="004C3911"/>
    <w:rsid w:val="004C3C37"/>
    <w:rsid w:val="004C3D41"/>
    <w:rsid w:val="004C3F27"/>
    <w:rsid w:val="004C42BE"/>
    <w:rsid w:val="004C42C7"/>
    <w:rsid w:val="004C44D4"/>
    <w:rsid w:val="004C44F0"/>
    <w:rsid w:val="004C4AF0"/>
    <w:rsid w:val="004C4C9D"/>
    <w:rsid w:val="004C4EBF"/>
    <w:rsid w:val="004C4F01"/>
    <w:rsid w:val="004C514D"/>
    <w:rsid w:val="004C534C"/>
    <w:rsid w:val="004C554F"/>
    <w:rsid w:val="004C5A6B"/>
    <w:rsid w:val="004C5AA0"/>
    <w:rsid w:val="004C5BFE"/>
    <w:rsid w:val="004C5C8D"/>
    <w:rsid w:val="004C5D16"/>
    <w:rsid w:val="004C5D7C"/>
    <w:rsid w:val="004C61EA"/>
    <w:rsid w:val="004C6281"/>
    <w:rsid w:val="004C63EA"/>
    <w:rsid w:val="004C66EB"/>
    <w:rsid w:val="004C66FB"/>
    <w:rsid w:val="004C6A2A"/>
    <w:rsid w:val="004C6C3B"/>
    <w:rsid w:val="004C6E78"/>
    <w:rsid w:val="004C6EEE"/>
    <w:rsid w:val="004C7000"/>
    <w:rsid w:val="004C70B2"/>
    <w:rsid w:val="004C70FA"/>
    <w:rsid w:val="004C7187"/>
    <w:rsid w:val="004C71AE"/>
    <w:rsid w:val="004C71F5"/>
    <w:rsid w:val="004C75C1"/>
    <w:rsid w:val="004C779B"/>
    <w:rsid w:val="004C780E"/>
    <w:rsid w:val="004C782B"/>
    <w:rsid w:val="004C785B"/>
    <w:rsid w:val="004C7A58"/>
    <w:rsid w:val="004C7D85"/>
    <w:rsid w:val="004D041A"/>
    <w:rsid w:val="004D0441"/>
    <w:rsid w:val="004D04BF"/>
    <w:rsid w:val="004D05BE"/>
    <w:rsid w:val="004D09F9"/>
    <w:rsid w:val="004D0A7E"/>
    <w:rsid w:val="004D0A80"/>
    <w:rsid w:val="004D0D00"/>
    <w:rsid w:val="004D0D6F"/>
    <w:rsid w:val="004D1107"/>
    <w:rsid w:val="004D11FA"/>
    <w:rsid w:val="004D1421"/>
    <w:rsid w:val="004D14DD"/>
    <w:rsid w:val="004D174C"/>
    <w:rsid w:val="004D17E6"/>
    <w:rsid w:val="004D1913"/>
    <w:rsid w:val="004D19C3"/>
    <w:rsid w:val="004D19F0"/>
    <w:rsid w:val="004D206B"/>
    <w:rsid w:val="004D2212"/>
    <w:rsid w:val="004D2602"/>
    <w:rsid w:val="004D26EB"/>
    <w:rsid w:val="004D27D1"/>
    <w:rsid w:val="004D2F82"/>
    <w:rsid w:val="004D3536"/>
    <w:rsid w:val="004D37C8"/>
    <w:rsid w:val="004D37D8"/>
    <w:rsid w:val="004D3D21"/>
    <w:rsid w:val="004D3EA0"/>
    <w:rsid w:val="004D41EE"/>
    <w:rsid w:val="004D4255"/>
    <w:rsid w:val="004D43D5"/>
    <w:rsid w:val="004D4562"/>
    <w:rsid w:val="004D4689"/>
    <w:rsid w:val="004D46E4"/>
    <w:rsid w:val="004D47D9"/>
    <w:rsid w:val="004D4DBB"/>
    <w:rsid w:val="004D50FA"/>
    <w:rsid w:val="004D5427"/>
    <w:rsid w:val="004D576E"/>
    <w:rsid w:val="004D57BE"/>
    <w:rsid w:val="004D595A"/>
    <w:rsid w:val="004D5AFF"/>
    <w:rsid w:val="004D5EEA"/>
    <w:rsid w:val="004D5F0F"/>
    <w:rsid w:val="004D5F38"/>
    <w:rsid w:val="004D5FE2"/>
    <w:rsid w:val="004D6079"/>
    <w:rsid w:val="004D6131"/>
    <w:rsid w:val="004D649F"/>
    <w:rsid w:val="004D65E7"/>
    <w:rsid w:val="004D67BB"/>
    <w:rsid w:val="004D697F"/>
    <w:rsid w:val="004D69C7"/>
    <w:rsid w:val="004D6C5D"/>
    <w:rsid w:val="004D6C78"/>
    <w:rsid w:val="004D6D1C"/>
    <w:rsid w:val="004D6E39"/>
    <w:rsid w:val="004D6E46"/>
    <w:rsid w:val="004D7127"/>
    <w:rsid w:val="004D71FD"/>
    <w:rsid w:val="004D7ADE"/>
    <w:rsid w:val="004D7B54"/>
    <w:rsid w:val="004D7CAA"/>
    <w:rsid w:val="004D7EF8"/>
    <w:rsid w:val="004D7F5E"/>
    <w:rsid w:val="004E0214"/>
    <w:rsid w:val="004E05B2"/>
    <w:rsid w:val="004E0994"/>
    <w:rsid w:val="004E0E48"/>
    <w:rsid w:val="004E0F56"/>
    <w:rsid w:val="004E1167"/>
    <w:rsid w:val="004E14B3"/>
    <w:rsid w:val="004E1E72"/>
    <w:rsid w:val="004E208F"/>
    <w:rsid w:val="004E2344"/>
    <w:rsid w:val="004E2401"/>
    <w:rsid w:val="004E24A6"/>
    <w:rsid w:val="004E251A"/>
    <w:rsid w:val="004E271E"/>
    <w:rsid w:val="004E2735"/>
    <w:rsid w:val="004E2915"/>
    <w:rsid w:val="004E29CE"/>
    <w:rsid w:val="004E2AAA"/>
    <w:rsid w:val="004E2D66"/>
    <w:rsid w:val="004E34C3"/>
    <w:rsid w:val="004E35FF"/>
    <w:rsid w:val="004E37D7"/>
    <w:rsid w:val="004E3C80"/>
    <w:rsid w:val="004E43B5"/>
    <w:rsid w:val="004E46B7"/>
    <w:rsid w:val="004E4836"/>
    <w:rsid w:val="004E4C41"/>
    <w:rsid w:val="004E51BD"/>
    <w:rsid w:val="004E530E"/>
    <w:rsid w:val="004E534A"/>
    <w:rsid w:val="004E5451"/>
    <w:rsid w:val="004E5576"/>
    <w:rsid w:val="004E55C2"/>
    <w:rsid w:val="004E5828"/>
    <w:rsid w:val="004E58E6"/>
    <w:rsid w:val="004E5B08"/>
    <w:rsid w:val="004E5B4E"/>
    <w:rsid w:val="004E5B7C"/>
    <w:rsid w:val="004E5EC7"/>
    <w:rsid w:val="004E5ECA"/>
    <w:rsid w:val="004E6026"/>
    <w:rsid w:val="004E68FC"/>
    <w:rsid w:val="004E69D1"/>
    <w:rsid w:val="004E6F17"/>
    <w:rsid w:val="004E6F5A"/>
    <w:rsid w:val="004E725F"/>
    <w:rsid w:val="004E780E"/>
    <w:rsid w:val="004E7A86"/>
    <w:rsid w:val="004E7BDC"/>
    <w:rsid w:val="004E7C0C"/>
    <w:rsid w:val="004E7EF1"/>
    <w:rsid w:val="004E7F79"/>
    <w:rsid w:val="004F09B2"/>
    <w:rsid w:val="004F131A"/>
    <w:rsid w:val="004F1348"/>
    <w:rsid w:val="004F1586"/>
    <w:rsid w:val="004F17E9"/>
    <w:rsid w:val="004F20E0"/>
    <w:rsid w:val="004F217D"/>
    <w:rsid w:val="004F21B1"/>
    <w:rsid w:val="004F21B5"/>
    <w:rsid w:val="004F2618"/>
    <w:rsid w:val="004F28D8"/>
    <w:rsid w:val="004F290C"/>
    <w:rsid w:val="004F2954"/>
    <w:rsid w:val="004F2A7D"/>
    <w:rsid w:val="004F2F16"/>
    <w:rsid w:val="004F2F20"/>
    <w:rsid w:val="004F3134"/>
    <w:rsid w:val="004F31CE"/>
    <w:rsid w:val="004F3285"/>
    <w:rsid w:val="004F3944"/>
    <w:rsid w:val="004F3A6C"/>
    <w:rsid w:val="004F3ABD"/>
    <w:rsid w:val="004F3C78"/>
    <w:rsid w:val="004F3E19"/>
    <w:rsid w:val="004F4160"/>
    <w:rsid w:val="004F42F9"/>
    <w:rsid w:val="004F43D5"/>
    <w:rsid w:val="004F4717"/>
    <w:rsid w:val="004F48A4"/>
    <w:rsid w:val="004F49B9"/>
    <w:rsid w:val="004F4ECF"/>
    <w:rsid w:val="004F5251"/>
    <w:rsid w:val="004F53AA"/>
    <w:rsid w:val="004F54C5"/>
    <w:rsid w:val="004F57AA"/>
    <w:rsid w:val="004F5B8C"/>
    <w:rsid w:val="004F5B9D"/>
    <w:rsid w:val="004F5CDF"/>
    <w:rsid w:val="004F5D58"/>
    <w:rsid w:val="004F6228"/>
    <w:rsid w:val="004F64BC"/>
    <w:rsid w:val="004F70C9"/>
    <w:rsid w:val="004F75B8"/>
    <w:rsid w:val="004F7BAF"/>
    <w:rsid w:val="004F7E42"/>
    <w:rsid w:val="00500016"/>
    <w:rsid w:val="005005A3"/>
    <w:rsid w:val="00500648"/>
    <w:rsid w:val="005009D9"/>
    <w:rsid w:val="00500BE4"/>
    <w:rsid w:val="00500C2F"/>
    <w:rsid w:val="00500CDA"/>
    <w:rsid w:val="00501037"/>
    <w:rsid w:val="005011A4"/>
    <w:rsid w:val="005011BC"/>
    <w:rsid w:val="00501288"/>
    <w:rsid w:val="00501367"/>
    <w:rsid w:val="00501581"/>
    <w:rsid w:val="0050190D"/>
    <w:rsid w:val="00501965"/>
    <w:rsid w:val="005019C0"/>
    <w:rsid w:val="00501C64"/>
    <w:rsid w:val="00501F26"/>
    <w:rsid w:val="00502592"/>
    <w:rsid w:val="005026D6"/>
    <w:rsid w:val="0050275D"/>
    <w:rsid w:val="00502C2B"/>
    <w:rsid w:val="00503047"/>
    <w:rsid w:val="005033A1"/>
    <w:rsid w:val="00503C31"/>
    <w:rsid w:val="00503C83"/>
    <w:rsid w:val="00503E5E"/>
    <w:rsid w:val="005043C0"/>
    <w:rsid w:val="00504700"/>
    <w:rsid w:val="00504751"/>
    <w:rsid w:val="00504BE2"/>
    <w:rsid w:val="00504D18"/>
    <w:rsid w:val="00504F01"/>
    <w:rsid w:val="0050527D"/>
    <w:rsid w:val="005053B0"/>
    <w:rsid w:val="00505493"/>
    <w:rsid w:val="0050552B"/>
    <w:rsid w:val="00505675"/>
    <w:rsid w:val="005059F4"/>
    <w:rsid w:val="00505CB1"/>
    <w:rsid w:val="00505CEF"/>
    <w:rsid w:val="00505DF4"/>
    <w:rsid w:val="00505EA8"/>
    <w:rsid w:val="00505F6F"/>
    <w:rsid w:val="0050602B"/>
    <w:rsid w:val="0050607B"/>
    <w:rsid w:val="005060E8"/>
    <w:rsid w:val="00506162"/>
    <w:rsid w:val="0050618E"/>
    <w:rsid w:val="00506579"/>
    <w:rsid w:val="005069B9"/>
    <w:rsid w:val="00507063"/>
    <w:rsid w:val="00507242"/>
    <w:rsid w:val="00507358"/>
    <w:rsid w:val="0050754A"/>
    <w:rsid w:val="0050754F"/>
    <w:rsid w:val="005076B9"/>
    <w:rsid w:val="005077D9"/>
    <w:rsid w:val="005079A4"/>
    <w:rsid w:val="00507AA6"/>
    <w:rsid w:val="00507AA9"/>
    <w:rsid w:val="005102D5"/>
    <w:rsid w:val="00510520"/>
    <w:rsid w:val="0051053D"/>
    <w:rsid w:val="00510567"/>
    <w:rsid w:val="005109CF"/>
    <w:rsid w:val="005109F3"/>
    <w:rsid w:val="00510CCD"/>
    <w:rsid w:val="0051117B"/>
    <w:rsid w:val="00511365"/>
    <w:rsid w:val="00511424"/>
    <w:rsid w:val="005114FC"/>
    <w:rsid w:val="005115FA"/>
    <w:rsid w:val="00511996"/>
    <w:rsid w:val="00511C54"/>
    <w:rsid w:val="00511D23"/>
    <w:rsid w:val="005120AE"/>
    <w:rsid w:val="005122C3"/>
    <w:rsid w:val="00512811"/>
    <w:rsid w:val="00512909"/>
    <w:rsid w:val="005129EC"/>
    <w:rsid w:val="00512BFB"/>
    <w:rsid w:val="00512DAD"/>
    <w:rsid w:val="00512FBA"/>
    <w:rsid w:val="0051325D"/>
    <w:rsid w:val="0051334B"/>
    <w:rsid w:val="00513646"/>
    <w:rsid w:val="005138C0"/>
    <w:rsid w:val="005138F7"/>
    <w:rsid w:val="0051390D"/>
    <w:rsid w:val="005139C3"/>
    <w:rsid w:val="005139FD"/>
    <w:rsid w:val="00513A25"/>
    <w:rsid w:val="00513CE0"/>
    <w:rsid w:val="00513D41"/>
    <w:rsid w:val="00513E25"/>
    <w:rsid w:val="00513F12"/>
    <w:rsid w:val="005140C3"/>
    <w:rsid w:val="00514212"/>
    <w:rsid w:val="0051428B"/>
    <w:rsid w:val="0051462D"/>
    <w:rsid w:val="00514686"/>
    <w:rsid w:val="00514A6F"/>
    <w:rsid w:val="00514AE2"/>
    <w:rsid w:val="00514BC1"/>
    <w:rsid w:val="00514BD3"/>
    <w:rsid w:val="00515006"/>
    <w:rsid w:val="00515238"/>
    <w:rsid w:val="005152FD"/>
    <w:rsid w:val="005154A9"/>
    <w:rsid w:val="005156C7"/>
    <w:rsid w:val="005156DA"/>
    <w:rsid w:val="00515712"/>
    <w:rsid w:val="00515C01"/>
    <w:rsid w:val="00515EBD"/>
    <w:rsid w:val="00516047"/>
    <w:rsid w:val="0051606C"/>
    <w:rsid w:val="0051624D"/>
    <w:rsid w:val="0051628A"/>
    <w:rsid w:val="00516304"/>
    <w:rsid w:val="00516344"/>
    <w:rsid w:val="00516435"/>
    <w:rsid w:val="005166C9"/>
    <w:rsid w:val="005167B4"/>
    <w:rsid w:val="005168D6"/>
    <w:rsid w:val="00516961"/>
    <w:rsid w:val="00516A9B"/>
    <w:rsid w:val="00516C1F"/>
    <w:rsid w:val="0051712E"/>
    <w:rsid w:val="005172AF"/>
    <w:rsid w:val="0051732D"/>
    <w:rsid w:val="005174F7"/>
    <w:rsid w:val="00517554"/>
    <w:rsid w:val="005176BA"/>
    <w:rsid w:val="00517AC8"/>
    <w:rsid w:val="00517B86"/>
    <w:rsid w:val="00517C6E"/>
    <w:rsid w:val="00517E61"/>
    <w:rsid w:val="00517ECF"/>
    <w:rsid w:val="00517ED1"/>
    <w:rsid w:val="00517F27"/>
    <w:rsid w:val="005201E8"/>
    <w:rsid w:val="00520413"/>
    <w:rsid w:val="00520506"/>
    <w:rsid w:val="005205BA"/>
    <w:rsid w:val="005207FF"/>
    <w:rsid w:val="00520FD4"/>
    <w:rsid w:val="00521866"/>
    <w:rsid w:val="00521890"/>
    <w:rsid w:val="00521B75"/>
    <w:rsid w:val="00521D21"/>
    <w:rsid w:val="005225CA"/>
    <w:rsid w:val="0052294F"/>
    <w:rsid w:val="00522A00"/>
    <w:rsid w:val="00522BBA"/>
    <w:rsid w:val="00522CA1"/>
    <w:rsid w:val="00523426"/>
    <w:rsid w:val="00523707"/>
    <w:rsid w:val="00523F7C"/>
    <w:rsid w:val="00524056"/>
    <w:rsid w:val="00524376"/>
    <w:rsid w:val="005243DD"/>
    <w:rsid w:val="005246E6"/>
    <w:rsid w:val="00524845"/>
    <w:rsid w:val="00524851"/>
    <w:rsid w:val="0052494B"/>
    <w:rsid w:val="00525036"/>
    <w:rsid w:val="00525182"/>
    <w:rsid w:val="00525384"/>
    <w:rsid w:val="005254A1"/>
    <w:rsid w:val="00525D54"/>
    <w:rsid w:val="00525E0D"/>
    <w:rsid w:val="00525EAB"/>
    <w:rsid w:val="00526058"/>
    <w:rsid w:val="005261C8"/>
    <w:rsid w:val="00526202"/>
    <w:rsid w:val="00526DC0"/>
    <w:rsid w:val="00526F04"/>
    <w:rsid w:val="005271FD"/>
    <w:rsid w:val="005272BB"/>
    <w:rsid w:val="005272F1"/>
    <w:rsid w:val="00527314"/>
    <w:rsid w:val="0052740B"/>
    <w:rsid w:val="00527415"/>
    <w:rsid w:val="00527419"/>
    <w:rsid w:val="005274D7"/>
    <w:rsid w:val="00527544"/>
    <w:rsid w:val="005279C1"/>
    <w:rsid w:val="00527AE8"/>
    <w:rsid w:val="00527D03"/>
    <w:rsid w:val="00527DB9"/>
    <w:rsid w:val="00527E48"/>
    <w:rsid w:val="0053051F"/>
    <w:rsid w:val="0053072F"/>
    <w:rsid w:val="0053086A"/>
    <w:rsid w:val="00530A23"/>
    <w:rsid w:val="00530A73"/>
    <w:rsid w:val="00530E2A"/>
    <w:rsid w:val="00530EAF"/>
    <w:rsid w:val="0053137F"/>
    <w:rsid w:val="0053148C"/>
    <w:rsid w:val="00531608"/>
    <w:rsid w:val="00531692"/>
    <w:rsid w:val="00531743"/>
    <w:rsid w:val="00531C66"/>
    <w:rsid w:val="00532132"/>
    <w:rsid w:val="00532134"/>
    <w:rsid w:val="00532903"/>
    <w:rsid w:val="00532E33"/>
    <w:rsid w:val="00532E64"/>
    <w:rsid w:val="00532E6C"/>
    <w:rsid w:val="005333C7"/>
    <w:rsid w:val="0053357C"/>
    <w:rsid w:val="00533749"/>
    <w:rsid w:val="005337AB"/>
    <w:rsid w:val="005339BF"/>
    <w:rsid w:val="00533EF8"/>
    <w:rsid w:val="00534191"/>
    <w:rsid w:val="00534637"/>
    <w:rsid w:val="005347B8"/>
    <w:rsid w:val="00534B88"/>
    <w:rsid w:val="00534C1F"/>
    <w:rsid w:val="00534DC0"/>
    <w:rsid w:val="00534E57"/>
    <w:rsid w:val="00535027"/>
    <w:rsid w:val="005350A2"/>
    <w:rsid w:val="00535289"/>
    <w:rsid w:val="005356C3"/>
    <w:rsid w:val="00535719"/>
    <w:rsid w:val="005358E8"/>
    <w:rsid w:val="00535DA5"/>
    <w:rsid w:val="005360BD"/>
    <w:rsid w:val="0053620D"/>
    <w:rsid w:val="00536625"/>
    <w:rsid w:val="00536747"/>
    <w:rsid w:val="00536791"/>
    <w:rsid w:val="00536A1A"/>
    <w:rsid w:val="00536BC2"/>
    <w:rsid w:val="00536E68"/>
    <w:rsid w:val="00536F11"/>
    <w:rsid w:val="00537126"/>
    <w:rsid w:val="00537231"/>
    <w:rsid w:val="0053725B"/>
    <w:rsid w:val="00537468"/>
    <w:rsid w:val="0053774C"/>
    <w:rsid w:val="00537765"/>
    <w:rsid w:val="005378B5"/>
    <w:rsid w:val="00537C55"/>
    <w:rsid w:val="0054008C"/>
    <w:rsid w:val="0054009A"/>
    <w:rsid w:val="00540121"/>
    <w:rsid w:val="0054017F"/>
    <w:rsid w:val="005402A4"/>
    <w:rsid w:val="00540366"/>
    <w:rsid w:val="00540424"/>
    <w:rsid w:val="00540554"/>
    <w:rsid w:val="0054059C"/>
    <w:rsid w:val="00540677"/>
    <w:rsid w:val="00540A52"/>
    <w:rsid w:val="00540AB2"/>
    <w:rsid w:val="00540E55"/>
    <w:rsid w:val="00540FFC"/>
    <w:rsid w:val="005411C6"/>
    <w:rsid w:val="005412EB"/>
    <w:rsid w:val="005416E2"/>
    <w:rsid w:val="00541A84"/>
    <w:rsid w:val="00541C45"/>
    <w:rsid w:val="00541DD5"/>
    <w:rsid w:val="00541FA6"/>
    <w:rsid w:val="00541FD5"/>
    <w:rsid w:val="00542078"/>
    <w:rsid w:val="00542267"/>
    <w:rsid w:val="005422E6"/>
    <w:rsid w:val="0054233C"/>
    <w:rsid w:val="0054233E"/>
    <w:rsid w:val="00542550"/>
    <w:rsid w:val="005425DB"/>
    <w:rsid w:val="00542A62"/>
    <w:rsid w:val="00542B29"/>
    <w:rsid w:val="00542CD1"/>
    <w:rsid w:val="00542CDE"/>
    <w:rsid w:val="00542E05"/>
    <w:rsid w:val="00542E2A"/>
    <w:rsid w:val="00542E59"/>
    <w:rsid w:val="00542EF7"/>
    <w:rsid w:val="0054343D"/>
    <w:rsid w:val="00543837"/>
    <w:rsid w:val="00543C75"/>
    <w:rsid w:val="00543FB1"/>
    <w:rsid w:val="00544100"/>
    <w:rsid w:val="00544285"/>
    <w:rsid w:val="00544759"/>
    <w:rsid w:val="005447A0"/>
    <w:rsid w:val="00544969"/>
    <w:rsid w:val="00544A69"/>
    <w:rsid w:val="00544CE2"/>
    <w:rsid w:val="00544E09"/>
    <w:rsid w:val="00544F3F"/>
    <w:rsid w:val="00544FBC"/>
    <w:rsid w:val="0054527F"/>
    <w:rsid w:val="00545319"/>
    <w:rsid w:val="00545616"/>
    <w:rsid w:val="00545644"/>
    <w:rsid w:val="005456E1"/>
    <w:rsid w:val="005458A9"/>
    <w:rsid w:val="00545926"/>
    <w:rsid w:val="00545CDC"/>
    <w:rsid w:val="00546337"/>
    <w:rsid w:val="00546383"/>
    <w:rsid w:val="005464DF"/>
    <w:rsid w:val="00546865"/>
    <w:rsid w:val="00546877"/>
    <w:rsid w:val="0054691F"/>
    <w:rsid w:val="00546956"/>
    <w:rsid w:val="00546A08"/>
    <w:rsid w:val="00546D43"/>
    <w:rsid w:val="00546DED"/>
    <w:rsid w:val="00547014"/>
    <w:rsid w:val="005470BC"/>
    <w:rsid w:val="00547884"/>
    <w:rsid w:val="00547C55"/>
    <w:rsid w:val="00547C8D"/>
    <w:rsid w:val="00547DE3"/>
    <w:rsid w:val="00547F8F"/>
    <w:rsid w:val="00550254"/>
    <w:rsid w:val="0055043E"/>
    <w:rsid w:val="00550707"/>
    <w:rsid w:val="00550722"/>
    <w:rsid w:val="00550854"/>
    <w:rsid w:val="00550900"/>
    <w:rsid w:val="00550A53"/>
    <w:rsid w:val="00550C11"/>
    <w:rsid w:val="00550C14"/>
    <w:rsid w:val="00550CCD"/>
    <w:rsid w:val="00550E00"/>
    <w:rsid w:val="0055127C"/>
    <w:rsid w:val="00551353"/>
    <w:rsid w:val="005514FF"/>
    <w:rsid w:val="00551AC5"/>
    <w:rsid w:val="00551C28"/>
    <w:rsid w:val="00551E35"/>
    <w:rsid w:val="00551E5F"/>
    <w:rsid w:val="00551FA5"/>
    <w:rsid w:val="00552412"/>
    <w:rsid w:val="0055256C"/>
    <w:rsid w:val="005526C5"/>
    <w:rsid w:val="005527A2"/>
    <w:rsid w:val="00552821"/>
    <w:rsid w:val="0055287C"/>
    <w:rsid w:val="00552C22"/>
    <w:rsid w:val="00552F4F"/>
    <w:rsid w:val="00553045"/>
    <w:rsid w:val="00553346"/>
    <w:rsid w:val="00553474"/>
    <w:rsid w:val="0055351F"/>
    <w:rsid w:val="005535F1"/>
    <w:rsid w:val="00553674"/>
    <w:rsid w:val="00553863"/>
    <w:rsid w:val="0055387B"/>
    <w:rsid w:val="0055398E"/>
    <w:rsid w:val="00553C60"/>
    <w:rsid w:val="00553DC2"/>
    <w:rsid w:val="00553EE2"/>
    <w:rsid w:val="005540C2"/>
    <w:rsid w:val="005543E3"/>
    <w:rsid w:val="0055455F"/>
    <w:rsid w:val="0055464A"/>
    <w:rsid w:val="00554F7B"/>
    <w:rsid w:val="00554FDF"/>
    <w:rsid w:val="005550F7"/>
    <w:rsid w:val="0055533D"/>
    <w:rsid w:val="005553E4"/>
    <w:rsid w:val="005556D5"/>
    <w:rsid w:val="00555B9F"/>
    <w:rsid w:val="00555FDE"/>
    <w:rsid w:val="00556046"/>
    <w:rsid w:val="0055607D"/>
    <w:rsid w:val="005564EB"/>
    <w:rsid w:val="00556590"/>
    <w:rsid w:val="005567CF"/>
    <w:rsid w:val="00556964"/>
    <w:rsid w:val="00556B28"/>
    <w:rsid w:val="00556F32"/>
    <w:rsid w:val="00557189"/>
    <w:rsid w:val="00557258"/>
    <w:rsid w:val="005572D7"/>
    <w:rsid w:val="0055782D"/>
    <w:rsid w:val="00557B5E"/>
    <w:rsid w:val="00557BF3"/>
    <w:rsid w:val="00557E95"/>
    <w:rsid w:val="00557F3A"/>
    <w:rsid w:val="005600FC"/>
    <w:rsid w:val="00560347"/>
    <w:rsid w:val="00560B88"/>
    <w:rsid w:val="00560E45"/>
    <w:rsid w:val="00560F82"/>
    <w:rsid w:val="00561393"/>
    <w:rsid w:val="00561E01"/>
    <w:rsid w:val="005620AC"/>
    <w:rsid w:val="005623B5"/>
    <w:rsid w:val="00562437"/>
    <w:rsid w:val="00562459"/>
    <w:rsid w:val="00562847"/>
    <w:rsid w:val="00562AF9"/>
    <w:rsid w:val="00562F52"/>
    <w:rsid w:val="005631AD"/>
    <w:rsid w:val="00563698"/>
    <w:rsid w:val="005638F8"/>
    <w:rsid w:val="00563978"/>
    <w:rsid w:val="00563A6D"/>
    <w:rsid w:val="00563A89"/>
    <w:rsid w:val="00563B41"/>
    <w:rsid w:val="00563C05"/>
    <w:rsid w:val="00563C2F"/>
    <w:rsid w:val="00563C44"/>
    <w:rsid w:val="00563CD6"/>
    <w:rsid w:val="00563D00"/>
    <w:rsid w:val="00563D1C"/>
    <w:rsid w:val="00563D38"/>
    <w:rsid w:val="00563DDB"/>
    <w:rsid w:val="005641A1"/>
    <w:rsid w:val="00564648"/>
    <w:rsid w:val="005646E9"/>
    <w:rsid w:val="005648A6"/>
    <w:rsid w:val="005648D7"/>
    <w:rsid w:val="00564973"/>
    <w:rsid w:val="00564A22"/>
    <w:rsid w:val="00564A81"/>
    <w:rsid w:val="00564C4D"/>
    <w:rsid w:val="00564D71"/>
    <w:rsid w:val="00564D86"/>
    <w:rsid w:val="00565060"/>
    <w:rsid w:val="00565280"/>
    <w:rsid w:val="005652E1"/>
    <w:rsid w:val="00565499"/>
    <w:rsid w:val="00565618"/>
    <w:rsid w:val="005657D3"/>
    <w:rsid w:val="005657D9"/>
    <w:rsid w:val="00565A74"/>
    <w:rsid w:val="00565BB8"/>
    <w:rsid w:val="00565BD1"/>
    <w:rsid w:val="00565D0B"/>
    <w:rsid w:val="00565DA2"/>
    <w:rsid w:val="0056601A"/>
    <w:rsid w:val="00566022"/>
    <w:rsid w:val="005660D4"/>
    <w:rsid w:val="005661C6"/>
    <w:rsid w:val="00566325"/>
    <w:rsid w:val="00566618"/>
    <w:rsid w:val="0056668A"/>
    <w:rsid w:val="00566836"/>
    <w:rsid w:val="00566A19"/>
    <w:rsid w:val="00566D03"/>
    <w:rsid w:val="00566D5D"/>
    <w:rsid w:val="005672BC"/>
    <w:rsid w:val="00567341"/>
    <w:rsid w:val="0056769B"/>
    <w:rsid w:val="00567E3B"/>
    <w:rsid w:val="00567E88"/>
    <w:rsid w:val="00567ECA"/>
    <w:rsid w:val="00567EFF"/>
    <w:rsid w:val="00567F5A"/>
    <w:rsid w:val="00570297"/>
    <w:rsid w:val="00570462"/>
    <w:rsid w:val="005705AB"/>
    <w:rsid w:val="005706CD"/>
    <w:rsid w:val="00570B4D"/>
    <w:rsid w:val="00570CFC"/>
    <w:rsid w:val="00570DA8"/>
    <w:rsid w:val="005710E5"/>
    <w:rsid w:val="005711A6"/>
    <w:rsid w:val="00571378"/>
    <w:rsid w:val="005714F9"/>
    <w:rsid w:val="005718A6"/>
    <w:rsid w:val="00571AC1"/>
    <w:rsid w:val="00571DAF"/>
    <w:rsid w:val="00571F80"/>
    <w:rsid w:val="005720B1"/>
    <w:rsid w:val="00572480"/>
    <w:rsid w:val="005724C2"/>
    <w:rsid w:val="005727F8"/>
    <w:rsid w:val="00572E69"/>
    <w:rsid w:val="00572E85"/>
    <w:rsid w:val="00572F00"/>
    <w:rsid w:val="00572F97"/>
    <w:rsid w:val="00572FC8"/>
    <w:rsid w:val="005731BA"/>
    <w:rsid w:val="005734AC"/>
    <w:rsid w:val="00573605"/>
    <w:rsid w:val="005739CF"/>
    <w:rsid w:val="00573E8D"/>
    <w:rsid w:val="00574398"/>
    <w:rsid w:val="005743DF"/>
    <w:rsid w:val="00574437"/>
    <w:rsid w:val="0057446D"/>
    <w:rsid w:val="00574ADA"/>
    <w:rsid w:val="00575115"/>
    <w:rsid w:val="0057516E"/>
    <w:rsid w:val="0057586D"/>
    <w:rsid w:val="00575A90"/>
    <w:rsid w:val="00575C20"/>
    <w:rsid w:val="00575E9B"/>
    <w:rsid w:val="005760C7"/>
    <w:rsid w:val="005764F8"/>
    <w:rsid w:val="005765E9"/>
    <w:rsid w:val="005767E0"/>
    <w:rsid w:val="005768B1"/>
    <w:rsid w:val="005769B5"/>
    <w:rsid w:val="00576C29"/>
    <w:rsid w:val="00576CE4"/>
    <w:rsid w:val="00576D8F"/>
    <w:rsid w:val="00576E47"/>
    <w:rsid w:val="00577874"/>
    <w:rsid w:val="00577A10"/>
    <w:rsid w:val="00577AA0"/>
    <w:rsid w:val="005801B7"/>
    <w:rsid w:val="0058042D"/>
    <w:rsid w:val="0058093A"/>
    <w:rsid w:val="005809F9"/>
    <w:rsid w:val="00580A71"/>
    <w:rsid w:val="00580C83"/>
    <w:rsid w:val="00580CB5"/>
    <w:rsid w:val="00580D03"/>
    <w:rsid w:val="00580DDA"/>
    <w:rsid w:val="00581023"/>
    <w:rsid w:val="00581286"/>
    <w:rsid w:val="00581447"/>
    <w:rsid w:val="0058171A"/>
    <w:rsid w:val="00581B2D"/>
    <w:rsid w:val="00582592"/>
    <w:rsid w:val="00582671"/>
    <w:rsid w:val="00582B34"/>
    <w:rsid w:val="00582B97"/>
    <w:rsid w:val="00582D60"/>
    <w:rsid w:val="00582F3A"/>
    <w:rsid w:val="005832E2"/>
    <w:rsid w:val="00583763"/>
    <w:rsid w:val="0058384D"/>
    <w:rsid w:val="0058393C"/>
    <w:rsid w:val="0058394D"/>
    <w:rsid w:val="00583C1F"/>
    <w:rsid w:val="00583DCA"/>
    <w:rsid w:val="0058404D"/>
    <w:rsid w:val="00584057"/>
    <w:rsid w:val="005849C7"/>
    <w:rsid w:val="00584BB2"/>
    <w:rsid w:val="00585185"/>
    <w:rsid w:val="005853D3"/>
    <w:rsid w:val="005854E2"/>
    <w:rsid w:val="00585526"/>
    <w:rsid w:val="00585896"/>
    <w:rsid w:val="005860BB"/>
    <w:rsid w:val="0058615F"/>
    <w:rsid w:val="0058645C"/>
    <w:rsid w:val="0058656B"/>
    <w:rsid w:val="005865A1"/>
    <w:rsid w:val="005867C0"/>
    <w:rsid w:val="00586912"/>
    <w:rsid w:val="00586BB0"/>
    <w:rsid w:val="00586D56"/>
    <w:rsid w:val="00587082"/>
    <w:rsid w:val="005870BA"/>
    <w:rsid w:val="005871D6"/>
    <w:rsid w:val="0058767F"/>
    <w:rsid w:val="005876EA"/>
    <w:rsid w:val="0058772F"/>
    <w:rsid w:val="00587ADE"/>
    <w:rsid w:val="00587B09"/>
    <w:rsid w:val="00587BAA"/>
    <w:rsid w:val="00587C54"/>
    <w:rsid w:val="00587D61"/>
    <w:rsid w:val="00587E20"/>
    <w:rsid w:val="00587E22"/>
    <w:rsid w:val="00590388"/>
    <w:rsid w:val="0059052E"/>
    <w:rsid w:val="00590600"/>
    <w:rsid w:val="00590645"/>
    <w:rsid w:val="00590C8C"/>
    <w:rsid w:val="00590F2E"/>
    <w:rsid w:val="00591090"/>
    <w:rsid w:val="005914EA"/>
    <w:rsid w:val="00591668"/>
    <w:rsid w:val="00591830"/>
    <w:rsid w:val="005918EC"/>
    <w:rsid w:val="00591B5B"/>
    <w:rsid w:val="00591E22"/>
    <w:rsid w:val="00592009"/>
    <w:rsid w:val="00592071"/>
    <w:rsid w:val="005926DA"/>
    <w:rsid w:val="00592816"/>
    <w:rsid w:val="00592960"/>
    <w:rsid w:val="005929DA"/>
    <w:rsid w:val="00592E12"/>
    <w:rsid w:val="00593085"/>
    <w:rsid w:val="005930AE"/>
    <w:rsid w:val="0059323A"/>
    <w:rsid w:val="0059325C"/>
    <w:rsid w:val="00593547"/>
    <w:rsid w:val="0059376F"/>
    <w:rsid w:val="00593818"/>
    <w:rsid w:val="00593858"/>
    <w:rsid w:val="00593A28"/>
    <w:rsid w:val="00593AA4"/>
    <w:rsid w:val="00593B1B"/>
    <w:rsid w:val="00593EE9"/>
    <w:rsid w:val="00594288"/>
    <w:rsid w:val="00594418"/>
    <w:rsid w:val="005945A7"/>
    <w:rsid w:val="005948C9"/>
    <w:rsid w:val="00594A0D"/>
    <w:rsid w:val="00594BBB"/>
    <w:rsid w:val="00594C8D"/>
    <w:rsid w:val="00594D5C"/>
    <w:rsid w:val="00594DED"/>
    <w:rsid w:val="00594EFA"/>
    <w:rsid w:val="005950E7"/>
    <w:rsid w:val="00595532"/>
    <w:rsid w:val="0059554B"/>
    <w:rsid w:val="0059578B"/>
    <w:rsid w:val="00595925"/>
    <w:rsid w:val="00595A2A"/>
    <w:rsid w:val="00595B4D"/>
    <w:rsid w:val="00595F23"/>
    <w:rsid w:val="00595F41"/>
    <w:rsid w:val="005960A2"/>
    <w:rsid w:val="0059624A"/>
    <w:rsid w:val="00596607"/>
    <w:rsid w:val="005967BB"/>
    <w:rsid w:val="00596B6E"/>
    <w:rsid w:val="00596C53"/>
    <w:rsid w:val="00596CA3"/>
    <w:rsid w:val="00596CC2"/>
    <w:rsid w:val="00596E17"/>
    <w:rsid w:val="00596E65"/>
    <w:rsid w:val="00597111"/>
    <w:rsid w:val="0059711A"/>
    <w:rsid w:val="0059718C"/>
    <w:rsid w:val="005971A4"/>
    <w:rsid w:val="005972B2"/>
    <w:rsid w:val="005973A5"/>
    <w:rsid w:val="005973C4"/>
    <w:rsid w:val="005974BD"/>
    <w:rsid w:val="00597649"/>
    <w:rsid w:val="005976F9"/>
    <w:rsid w:val="005979C3"/>
    <w:rsid w:val="00597EF0"/>
    <w:rsid w:val="00597FC0"/>
    <w:rsid w:val="005A0260"/>
    <w:rsid w:val="005A0325"/>
    <w:rsid w:val="005A0590"/>
    <w:rsid w:val="005A0870"/>
    <w:rsid w:val="005A0E17"/>
    <w:rsid w:val="005A0E94"/>
    <w:rsid w:val="005A0EA4"/>
    <w:rsid w:val="005A1005"/>
    <w:rsid w:val="005A1057"/>
    <w:rsid w:val="005A147D"/>
    <w:rsid w:val="005A18B0"/>
    <w:rsid w:val="005A18F0"/>
    <w:rsid w:val="005A1A6A"/>
    <w:rsid w:val="005A1AB5"/>
    <w:rsid w:val="005A1AE3"/>
    <w:rsid w:val="005A1B2F"/>
    <w:rsid w:val="005A1CD2"/>
    <w:rsid w:val="005A1F39"/>
    <w:rsid w:val="005A1FFE"/>
    <w:rsid w:val="005A249D"/>
    <w:rsid w:val="005A24D4"/>
    <w:rsid w:val="005A26EA"/>
    <w:rsid w:val="005A27E6"/>
    <w:rsid w:val="005A283A"/>
    <w:rsid w:val="005A2A54"/>
    <w:rsid w:val="005A2BAA"/>
    <w:rsid w:val="005A2CFE"/>
    <w:rsid w:val="005A2D02"/>
    <w:rsid w:val="005A2D04"/>
    <w:rsid w:val="005A3049"/>
    <w:rsid w:val="005A30FA"/>
    <w:rsid w:val="005A314E"/>
    <w:rsid w:val="005A34B3"/>
    <w:rsid w:val="005A375D"/>
    <w:rsid w:val="005A394B"/>
    <w:rsid w:val="005A3A76"/>
    <w:rsid w:val="005A3D49"/>
    <w:rsid w:val="005A4448"/>
    <w:rsid w:val="005A4630"/>
    <w:rsid w:val="005A4714"/>
    <w:rsid w:val="005A4870"/>
    <w:rsid w:val="005A48AA"/>
    <w:rsid w:val="005A4939"/>
    <w:rsid w:val="005A4A51"/>
    <w:rsid w:val="005A4C33"/>
    <w:rsid w:val="005A4C78"/>
    <w:rsid w:val="005A4C8B"/>
    <w:rsid w:val="005A4CE4"/>
    <w:rsid w:val="005A4CF4"/>
    <w:rsid w:val="005A4D0F"/>
    <w:rsid w:val="005A51B1"/>
    <w:rsid w:val="005A529A"/>
    <w:rsid w:val="005A53DA"/>
    <w:rsid w:val="005A560A"/>
    <w:rsid w:val="005A5630"/>
    <w:rsid w:val="005A56EA"/>
    <w:rsid w:val="005A5BC4"/>
    <w:rsid w:val="005A5D76"/>
    <w:rsid w:val="005A6144"/>
    <w:rsid w:val="005A6310"/>
    <w:rsid w:val="005A656A"/>
    <w:rsid w:val="005A6901"/>
    <w:rsid w:val="005A6988"/>
    <w:rsid w:val="005A6B79"/>
    <w:rsid w:val="005A6F04"/>
    <w:rsid w:val="005A7132"/>
    <w:rsid w:val="005A71AA"/>
    <w:rsid w:val="005A7210"/>
    <w:rsid w:val="005A7289"/>
    <w:rsid w:val="005A7C7B"/>
    <w:rsid w:val="005A7FC2"/>
    <w:rsid w:val="005B033E"/>
    <w:rsid w:val="005B0434"/>
    <w:rsid w:val="005B0489"/>
    <w:rsid w:val="005B05BF"/>
    <w:rsid w:val="005B0B88"/>
    <w:rsid w:val="005B0CF6"/>
    <w:rsid w:val="005B0DE7"/>
    <w:rsid w:val="005B0E25"/>
    <w:rsid w:val="005B0F0E"/>
    <w:rsid w:val="005B1032"/>
    <w:rsid w:val="005B1136"/>
    <w:rsid w:val="005B115E"/>
    <w:rsid w:val="005B12F4"/>
    <w:rsid w:val="005B1822"/>
    <w:rsid w:val="005B2009"/>
    <w:rsid w:val="005B2023"/>
    <w:rsid w:val="005B205C"/>
    <w:rsid w:val="005B240C"/>
    <w:rsid w:val="005B2BFA"/>
    <w:rsid w:val="005B2CDC"/>
    <w:rsid w:val="005B300E"/>
    <w:rsid w:val="005B3448"/>
    <w:rsid w:val="005B381D"/>
    <w:rsid w:val="005B39B6"/>
    <w:rsid w:val="005B3E32"/>
    <w:rsid w:val="005B3E72"/>
    <w:rsid w:val="005B3F70"/>
    <w:rsid w:val="005B3FBB"/>
    <w:rsid w:val="005B4088"/>
    <w:rsid w:val="005B40D9"/>
    <w:rsid w:val="005B40E8"/>
    <w:rsid w:val="005B421F"/>
    <w:rsid w:val="005B4723"/>
    <w:rsid w:val="005B47E4"/>
    <w:rsid w:val="005B47F6"/>
    <w:rsid w:val="005B493F"/>
    <w:rsid w:val="005B4A4C"/>
    <w:rsid w:val="005B4CF4"/>
    <w:rsid w:val="005B52C0"/>
    <w:rsid w:val="005B53A5"/>
    <w:rsid w:val="005B5E4B"/>
    <w:rsid w:val="005B5E4F"/>
    <w:rsid w:val="005B5FF4"/>
    <w:rsid w:val="005B61A3"/>
    <w:rsid w:val="005B62C1"/>
    <w:rsid w:val="005B653C"/>
    <w:rsid w:val="005B69AD"/>
    <w:rsid w:val="005B6ACB"/>
    <w:rsid w:val="005B6C27"/>
    <w:rsid w:val="005B6C59"/>
    <w:rsid w:val="005B7314"/>
    <w:rsid w:val="005B73AE"/>
    <w:rsid w:val="005B7883"/>
    <w:rsid w:val="005B791B"/>
    <w:rsid w:val="005B7972"/>
    <w:rsid w:val="005B7C72"/>
    <w:rsid w:val="005B7D4B"/>
    <w:rsid w:val="005B7DC7"/>
    <w:rsid w:val="005B7DE2"/>
    <w:rsid w:val="005C0825"/>
    <w:rsid w:val="005C0A81"/>
    <w:rsid w:val="005C0B28"/>
    <w:rsid w:val="005C0E0E"/>
    <w:rsid w:val="005C0FB9"/>
    <w:rsid w:val="005C10ED"/>
    <w:rsid w:val="005C1553"/>
    <w:rsid w:val="005C15E8"/>
    <w:rsid w:val="005C1882"/>
    <w:rsid w:val="005C1946"/>
    <w:rsid w:val="005C19F4"/>
    <w:rsid w:val="005C201E"/>
    <w:rsid w:val="005C229F"/>
    <w:rsid w:val="005C2346"/>
    <w:rsid w:val="005C261D"/>
    <w:rsid w:val="005C2AEB"/>
    <w:rsid w:val="005C2B7B"/>
    <w:rsid w:val="005C2E27"/>
    <w:rsid w:val="005C2E93"/>
    <w:rsid w:val="005C2FC2"/>
    <w:rsid w:val="005C3030"/>
    <w:rsid w:val="005C324C"/>
    <w:rsid w:val="005C3479"/>
    <w:rsid w:val="005C3494"/>
    <w:rsid w:val="005C35BE"/>
    <w:rsid w:val="005C3701"/>
    <w:rsid w:val="005C37C1"/>
    <w:rsid w:val="005C3BEF"/>
    <w:rsid w:val="005C3C55"/>
    <w:rsid w:val="005C4563"/>
    <w:rsid w:val="005C4728"/>
    <w:rsid w:val="005C4731"/>
    <w:rsid w:val="005C4854"/>
    <w:rsid w:val="005C4A53"/>
    <w:rsid w:val="005C4CA3"/>
    <w:rsid w:val="005C4E62"/>
    <w:rsid w:val="005C5099"/>
    <w:rsid w:val="005C52F9"/>
    <w:rsid w:val="005C5425"/>
    <w:rsid w:val="005C5489"/>
    <w:rsid w:val="005C55BE"/>
    <w:rsid w:val="005C5706"/>
    <w:rsid w:val="005C57BC"/>
    <w:rsid w:val="005C5BDF"/>
    <w:rsid w:val="005C5FDB"/>
    <w:rsid w:val="005C6040"/>
    <w:rsid w:val="005C63EC"/>
    <w:rsid w:val="005C676F"/>
    <w:rsid w:val="005C693C"/>
    <w:rsid w:val="005C6A70"/>
    <w:rsid w:val="005C6B99"/>
    <w:rsid w:val="005C6C59"/>
    <w:rsid w:val="005C6DEC"/>
    <w:rsid w:val="005C6F2A"/>
    <w:rsid w:val="005C6FB2"/>
    <w:rsid w:val="005C7018"/>
    <w:rsid w:val="005C748A"/>
    <w:rsid w:val="005C7992"/>
    <w:rsid w:val="005C7B4A"/>
    <w:rsid w:val="005C7B92"/>
    <w:rsid w:val="005D01AB"/>
    <w:rsid w:val="005D0257"/>
    <w:rsid w:val="005D0BF7"/>
    <w:rsid w:val="005D0CD7"/>
    <w:rsid w:val="005D0D9E"/>
    <w:rsid w:val="005D0E94"/>
    <w:rsid w:val="005D10A4"/>
    <w:rsid w:val="005D10C8"/>
    <w:rsid w:val="005D121B"/>
    <w:rsid w:val="005D1272"/>
    <w:rsid w:val="005D1436"/>
    <w:rsid w:val="005D19A1"/>
    <w:rsid w:val="005D1AA0"/>
    <w:rsid w:val="005D21F5"/>
    <w:rsid w:val="005D2353"/>
    <w:rsid w:val="005D2699"/>
    <w:rsid w:val="005D26E4"/>
    <w:rsid w:val="005D26EA"/>
    <w:rsid w:val="005D2A00"/>
    <w:rsid w:val="005D2A5B"/>
    <w:rsid w:val="005D2A83"/>
    <w:rsid w:val="005D2EB0"/>
    <w:rsid w:val="005D2F26"/>
    <w:rsid w:val="005D30A4"/>
    <w:rsid w:val="005D31B2"/>
    <w:rsid w:val="005D337F"/>
    <w:rsid w:val="005D33F6"/>
    <w:rsid w:val="005D3421"/>
    <w:rsid w:val="005D3423"/>
    <w:rsid w:val="005D353B"/>
    <w:rsid w:val="005D3807"/>
    <w:rsid w:val="005D3A68"/>
    <w:rsid w:val="005D3AA4"/>
    <w:rsid w:val="005D3BBF"/>
    <w:rsid w:val="005D3E82"/>
    <w:rsid w:val="005D40DC"/>
    <w:rsid w:val="005D42B9"/>
    <w:rsid w:val="005D431E"/>
    <w:rsid w:val="005D444C"/>
    <w:rsid w:val="005D44A2"/>
    <w:rsid w:val="005D44B3"/>
    <w:rsid w:val="005D45F9"/>
    <w:rsid w:val="005D4A24"/>
    <w:rsid w:val="005D4AB8"/>
    <w:rsid w:val="005D4D1D"/>
    <w:rsid w:val="005D4EE1"/>
    <w:rsid w:val="005D4FA8"/>
    <w:rsid w:val="005D4FBB"/>
    <w:rsid w:val="005D510E"/>
    <w:rsid w:val="005D5494"/>
    <w:rsid w:val="005D5496"/>
    <w:rsid w:val="005D5516"/>
    <w:rsid w:val="005D5559"/>
    <w:rsid w:val="005D566E"/>
    <w:rsid w:val="005D56B9"/>
    <w:rsid w:val="005D598B"/>
    <w:rsid w:val="005D5F28"/>
    <w:rsid w:val="005D626E"/>
    <w:rsid w:val="005D6745"/>
    <w:rsid w:val="005D6991"/>
    <w:rsid w:val="005D6B03"/>
    <w:rsid w:val="005D6C9F"/>
    <w:rsid w:val="005D6DCD"/>
    <w:rsid w:val="005D6EE9"/>
    <w:rsid w:val="005D732A"/>
    <w:rsid w:val="005D75E5"/>
    <w:rsid w:val="005D7771"/>
    <w:rsid w:val="005D78CD"/>
    <w:rsid w:val="005D7AC1"/>
    <w:rsid w:val="005D7CCD"/>
    <w:rsid w:val="005D7D78"/>
    <w:rsid w:val="005E02AC"/>
    <w:rsid w:val="005E03A6"/>
    <w:rsid w:val="005E0437"/>
    <w:rsid w:val="005E06DA"/>
    <w:rsid w:val="005E0968"/>
    <w:rsid w:val="005E0BC8"/>
    <w:rsid w:val="005E0DFF"/>
    <w:rsid w:val="005E0F3C"/>
    <w:rsid w:val="005E1209"/>
    <w:rsid w:val="005E12F8"/>
    <w:rsid w:val="005E1D7D"/>
    <w:rsid w:val="005E21C4"/>
    <w:rsid w:val="005E284B"/>
    <w:rsid w:val="005E2980"/>
    <w:rsid w:val="005E29A5"/>
    <w:rsid w:val="005E2C78"/>
    <w:rsid w:val="005E2E32"/>
    <w:rsid w:val="005E2E8A"/>
    <w:rsid w:val="005E2EE6"/>
    <w:rsid w:val="005E322F"/>
    <w:rsid w:val="005E3730"/>
    <w:rsid w:val="005E3876"/>
    <w:rsid w:val="005E3B07"/>
    <w:rsid w:val="005E3D9C"/>
    <w:rsid w:val="005E3E8F"/>
    <w:rsid w:val="005E43B4"/>
    <w:rsid w:val="005E446D"/>
    <w:rsid w:val="005E4482"/>
    <w:rsid w:val="005E4582"/>
    <w:rsid w:val="005E460B"/>
    <w:rsid w:val="005E4CDC"/>
    <w:rsid w:val="005E4D43"/>
    <w:rsid w:val="005E4D7C"/>
    <w:rsid w:val="005E4E8D"/>
    <w:rsid w:val="005E51F4"/>
    <w:rsid w:val="005E5546"/>
    <w:rsid w:val="005E565B"/>
    <w:rsid w:val="005E568E"/>
    <w:rsid w:val="005E6022"/>
    <w:rsid w:val="005E6285"/>
    <w:rsid w:val="005E6465"/>
    <w:rsid w:val="005E657B"/>
    <w:rsid w:val="005E6673"/>
    <w:rsid w:val="005E674C"/>
    <w:rsid w:val="005E6975"/>
    <w:rsid w:val="005E6C61"/>
    <w:rsid w:val="005E6D48"/>
    <w:rsid w:val="005E73BE"/>
    <w:rsid w:val="005E7513"/>
    <w:rsid w:val="005E764C"/>
    <w:rsid w:val="005E7A3A"/>
    <w:rsid w:val="005E7ABD"/>
    <w:rsid w:val="005E7B49"/>
    <w:rsid w:val="005E7BE1"/>
    <w:rsid w:val="005E7D96"/>
    <w:rsid w:val="005E7F9F"/>
    <w:rsid w:val="005F01F2"/>
    <w:rsid w:val="005F01F7"/>
    <w:rsid w:val="005F0258"/>
    <w:rsid w:val="005F0480"/>
    <w:rsid w:val="005F05EE"/>
    <w:rsid w:val="005F0A88"/>
    <w:rsid w:val="005F0B0F"/>
    <w:rsid w:val="005F0E44"/>
    <w:rsid w:val="005F0F4C"/>
    <w:rsid w:val="005F11DC"/>
    <w:rsid w:val="005F135A"/>
    <w:rsid w:val="005F1372"/>
    <w:rsid w:val="005F1430"/>
    <w:rsid w:val="005F17C1"/>
    <w:rsid w:val="005F195A"/>
    <w:rsid w:val="005F197B"/>
    <w:rsid w:val="005F1C5A"/>
    <w:rsid w:val="005F228B"/>
    <w:rsid w:val="005F25F0"/>
    <w:rsid w:val="005F28A8"/>
    <w:rsid w:val="005F2B0F"/>
    <w:rsid w:val="005F3083"/>
    <w:rsid w:val="005F368C"/>
    <w:rsid w:val="005F37C1"/>
    <w:rsid w:val="005F3AF3"/>
    <w:rsid w:val="005F3FB6"/>
    <w:rsid w:val="005F40D8"/>
    <w:rsid w:val="005F43CD"/>
    <w:rsid w:val="005F4516"/>
    <w:rsid w:val="005F46D7"/>
    <w:rsid w:val="005F48FA"/>
    <w:rsid w:val="005F499D"/>
    <w:rsid w:val="005F4A2D"/>
    <w:rsid w:val="005F4ABD"/>
    <w:rsid w:val="005F4C21"/>
    <w:rsid w:val="005F4CBC"/>
    <w:rsid w:val="005F4CC8"/>
    <w:rsid w:val="005F4DB0"/>
    <w:rsid w:val="005F4E38"/>
    <w:rsid w:val="005F4F88"/>
    <w:rsid w:val="005F554B"/>
    <w:rsid w:val="005F55C7"/>
    <w:rsid w:val="005F5801"/>
    <w:rsid w:val="005F6284"/>
    <w:rsid w:val="005F63F5"/>
    <w:rsid w:val="005F6D77"/>
    <w:rsid w:val="005F7047"/>
    <w:rsid w:val="005F7204"/>
    <w:rsid w:val="005F73E9"/>
    <w:rsid w:val="005F7600"/>
    <w:rsid w:val="005F7787"/>
    <w:rsid w:val="005F7794"/>
    <w:rsid w:val="005F7DE9"/>
    <w:rsid w:val="005F7F64"/>
    <w:rsid w:val="0060002F"/>
    <w:rsid w:val="00600036"/>
    <w:rsid w:val="0060018E"/>
    <w:rsid w:val="006003C9"/>
    <w:rsid w:val="00600591"/>
    <w:rsid w:val="006006A5"/>
    <w:rsid w:val="006006DE"/>
    <w:rsid w:val="0060092C"/>
    <w:rsid w:val="00600A1F"/>
    <w:rsid w:val="00600D12"/>
    <w:rsid w:val="00600F12"/>
    <w:rsid w:val="0060130D"/>
    <w:rsid w:val="006014A7"/>
    <w:rsid w:val="00601585"/>
    <w:rsid w:val="0060163F"/>
    <w:rsid w:val="0060166C"/>
    <w:rsid w:val="0060184D"/>
    <w:rsid w:val="00601A35"/>
    <w:rsid w:val="00601BBC"/>
    <w:rsid w:val="00601C6F"/>
    <w:rsid w:val="00601CBD"/>
    <w:rsid w:val="00601DDE"/>
    <w:rsid w:val="0060213F"/>
    <w:rsid w:val="00602169"/>
    <w:rsid w:val="006022BB"/>
    <w:rsid w:val="0060248C"/>
    <w:rsid w:val="0060253E"/>
    <w:rsid w:val="0060256B"/>
    <w:rsid w:val="006026BB"/>
    <w:rsid w:val="006028FF"/>
    <w:rsid w:val="00602C08"/>
    <w:rsid w:val="0060307A"/>
    <w:rsid w:val="006030B7"/>
    <w:rsid w:val="0060328A"/>
    <w:rsid w:val="0060362B"/>
    <w:rsid w:val="00603901"/>
    <w:rsid w:val="00603926"/>
    <w:rsid w:val="00603987"/>
    <w:rsid w:val="00603B0A"/>
    <w:rsid w:val="00603D31"/>
    <w:rsid w:val="00603FA7"/>
    <w:rsid w:val="00604319"/>
    <w:rsid w:val="00604389"/>
    <w:rsid w:val="006046FC"/>
    <w:rsid w:val="006048A1"/>
    <w:rsid w:val="00604929"/>
    <w:rsid w:val="00604E84"/>
    <w:rsid w:val="006052C6"/>
    <w:rsid w:val="006055E0"/>
    <w:rsid w:val="0060579A"/>
    <w:rsid w:val="00605CDC"/>
    <w:rsid w:val="00605FAD"/>
    <w:rsid w:val="00606680"/>
    <w:rsid w:val="006067B0"/>
    <w:rsid w:val="006068E5"/>
    <w:rsid w:val="00606C8D"/>
    <w:rsid w:val="00606CDF"/>
    <w:rsid w:val="00606E41"/>
    <w:rsid w:val="00606ED7"/>
    <w:rsid w:val="00607193"/>
    <w:rsid w:val="006072DE"/>
    <w:rsid w:val="006074EA"/>
    <w:rsid w:val="00607682"/>
    <w:rsid w:val="0060776F"/>
    <w:rsid w:val="006078C0"/>
    <w:rsid w:val="00607A18"/>
    <w:rsid w:val="00607BD5"/>
    <w:rsid w:val="00610113"/>
    <w:rsid w:val="0061011C"/>
    <w:rsid w:val="0061025D"/>
    <w:rsid w:val="00610794"/>
    <w:rsid w:val="00610852"/>
    <w:rsid w:val="00610C88"/>
    <w:rsid w:val="00610E92"/>
    <w:rsid w:val="00610EBB"/>
    <w:rsid w:val="00610F38"/>
    <w:rsid w:val="0061175A"/>
    <w:rsid w:val="00611A1A"/>
    <w:rsid w:val="00611A49"/>
    <w:rsid w:val="00611B1C"/>
    <w:rsid w:val="00611C1B"/>
    <w:rsid w:val="00611DEF"/>
    <w:rsid w:val="00611E67"/>
    <w:rsid w:val="00611FEC"/>
    <w:rsid w:val="00612110"/>
    <w:rsid w:val="00612173"/>
    <w:rsid w:val="006122B5"/>
    <w:rsid w:val="00612580"/>
    <w:rsid w:val="006125A4"/>
    <w:rsid w:val="006127AF"/>
    <w:rsid w:val="00612B74"/>
    <w:rsid w:val="00612CD1"/>
    <w:rsid w:val="00612F25"/>
    <w:rsid w:val="00612FB2"/>
    <w:rsid w:val="00613058"/>
    <w:rsid w:val="00613224"/>
    <w:rsid w:val="00613504"/>
    <w:rsid w:val="00613575"/>
    <w:rsid w:val="006136C1"/>
    <w:rsid w:val="0061378E"/>
    <w:rsid w:val="00613D90"/>
    <w:rsid w:val="00613E08"/>
    <w:rsid w:val="006141A6"/>
    <w:rsid w:val="00614201"/>
    <w:rsid w:val="0061442D"/>
    <w:rsid w:val="00614B22"/>
    <w:rsid w:val="00614C2A"/>
    <w:rsid w:val="00614C93"/>
    <w:rsid w:val="00614DB5"/>
    <w:rsid w:val="00614E5A"/>
    <w:rsid w:val="0061534E"/>
    <w:rsid w:val="0061587C"/>
    <w:rsid w:val="00615A2C"/>
    <w:rsid w:val="00615A67"/>
    <w:rsid w:val="00615AEA"/>
    <w:rsid w:val="00615B84"/>
    <w:rsid w:val="00615BB3"/>
    <w:rsid w:val="00615DA1"/>
    <w:rsid w:val="00615E67"/>
    <w:rsid w:val="00615EC6"/>
    <w:rsid w:val="0061618D"/>
    <w:rsid w:val="00616229"/>
    <w:rsid w:val="00616347"/>
    <w:rsid w:val="00616442"/>
    <w:rsid w:val="006166FF"/>
    <w:rsid w:val="00616B50"/>
    <w:rsid w:val="00616FCC"/>
    <w:rsid w:val="00617026"/>
    <w:rsid w:val="00617200"/>
    <w:rsid w:val="0061754F"/>
    <w:rsid w:val="00617645"/>
    <w:rsid w:val="006176B7"/>
    <w:rsid w:val="0061771A"/>
    <w:rsid w:val="006178A7"/>
    <w:rsid w:val="006178B8"/>
    <w:rsid w:val="006179B8"/>
    <w:rsid w:val="00617C3D"/>
    <w:rsid w:val="00617DDF"/>
    <w:rsid w:val="00617DF6"/>
    <w:rsid w:val="00617E5A"/>
    <w:rsid w:val="00617FEF"/>
    <w:rsid w:val="006200CE"/>
    <w:rsid w:val="00620121"/>
    <w:rsid w:val="006203BC"/>
    <w:rsid w:val="006204E8"/>
    <w:rsid w:val="00620556"/>
    <w:rsid w:val="006205DD"/>
    <w:rsid w:val="00620665"/>
    <w:rsid w:val="006206E2"/>
    <w:rsid w:val="006207BF"/>
    <w:rsid w:val="006208CA"/>
    <w:rsid w:val="0062090C"/>
    <w:rsid w:val="00620965"/>
    <w:rsid w:val="00620FC4"/>
    <w:rsid w:val="00621132"/>
    <w:rsid w:val="00621274"/>
    <w:rsid w:val="006217F0"/>
    <w:rsid w:val="0062181F"/>
    <w:rsid w:val="00621847"/>
    <w:rsid w:val="00621923"/>
    <w:rsid w:val="00621930"/>
    <w:rsid w:val="00621CEE"/>
    <w:rsid w:val="00621D37"/>
    <w:rsid w:val="00621D52"/>
    <w:rsid w:val="00621F91"/>
    <w:rsid w:val="006221C8"/>
    <w:rsid w:val="00622327"/>
    <w:rsid w:val="00622425"/>
    <w:rsid w:val="006224FE"/>
    <w:rsid w:val="00622ACF"/>
    <w:rsid w:val="00622C9C"/>
    <w:rsid w:val="00622F0B"/>
    <w:rsid w:val="00622FF5"/>
    <w:rsid w:val="00623819"/>
    <w:rsid w:val="00623A5A"/>
    <w:rsid w:val="00623A81"/>
    <w:rsid w:val="00623B98"/>
    <w:rsid w:val="00623D75"/>
    <w:rsid w:val="00624057"/>
    <w:rsid w:val="006241AD"/>
    <w:rsid w:val="006245B2"/>
    <w:rsid w:val="006248E8"/>
    <w:rsid w:val="00624CAB"/>
    <w:rsid w:val="0062516A"/>
    <w:rsid w:val="006251BF"/>
    <w:rsid w:val="006259F2"/>
    <w:rsid w:val="00625C00"/>
    <w:rsid w:val="00625C23"/>
    <w:rsid w:val="00625C7B"/>
    <w:rsid w:val="006260C2"/>
    <w:rsid w:val="00626501"/>
    <w:rsid w:val="006265E3"/>
    <w:rsid w:val="00626720"/>
    <w:rsid w:val="00626BBA"/>
    <w:rsid w:val="00626BD5"/>
    <w:rsid w:val="00626C8F"/>
    <w:rsid w:val="00626FDF"/>
    <w:rsid w:val="00627193"/>
    <w:rsid w:val="00627CA6"/>
    <w:rsid w:val="00630082"/>
    <w:rsid w:val="00630258"/>
    <w:rsid w:val="0063029A"/>
    <w:rsid w:val="006303B3"/>
    <w:rsid w:val="006306B7"/>
    <w:rsid w:val="006306BB"/>
    <w:rsid w:val="00630909"/>
    <w:rsid w:val="006309D3"/>
    <w:rsid w:val="00630A23"/>
    <w:rsid w:val="00630DC1"/>
    <w:rsid w:val="00630E03"/>
    <w:rsid w:val="0063106E"/>
    <w:rsid w:val="00631B96"/>
    <w:rsid w:val="00631C42"/>
    <w:rsid w:val="00631DD7"/>
    <w:rsid w:val="006320AD"/>
    <w:rsid w:val="00632173"/>
    <w:rsid w:val="006323EA"/>
    <w:rsid w:val="0063245F"/>
    <w:rsid w:val="006324B8"/>
    <w:rsid w:val="006324CD"/>
    <w:rsid w:val="006324D1"/>
    <w:rsid w:val="006324E4"/>
    <w:rsid w:val="006327B1"/>
    <w:rsid w:val="006327C3"/>
    <w:rsid w:val="006327DD"/>
    <w:rsid w:val="00632861"/>
    <w:rsid w:val="00632B53"/>
    <w:rsid w:val="00632C45"/>
    <w:rsid w:val="00632EE3"/>
    <w:rsid w:val="006339ED"/>
    <w:rsid w:val="00633A9C"/>
    <w:rsid w:val="00633AC8"/>
    <w:rsid w:val="00633BB1"/>
    <w:rsid w:val="00633CCE"/>
    <w:rsid w:val="00633DD5"/>
    <w:rsid w:val="00633EFA"/>
    <w:rsid w:val="00633F1F"/>
    <w:rsid w:val="00634294"/>
    <w:rsid w:val="00634366"/>
    <w:rsid w:val="006345FC"/>
    <w:rsid w:val="00634677"/>
    <w:rsid w:val="0063487C"/>
    <w:rsid w:val="006348FE"/>
    <w:rsid w:val="0063493A"/>
    <w:rsid w:val="00634974"/>
    <w:rsid w:val="00634B5C"/>
    <w:rsid w:val="00634D50"/>
    <w:rsid w:val="00634F10"/>
    <w:rsid w:val="00635047"/>
    <w:rsid w:val="006350D4"/>
    <w:rsid w:val="00635114"/>
    <w:rsid w:val="006355DA"/>
    <w:rsid w:val="00635660"/>
    <w:rsid w:val="006357A2"/>
    <w:rsid w:val="0063582D"/>
    <w:rsid w:val="00635881"/>
    <w:rsid w:val="00635BEC"/>
    <w:rsid w:val="00635DEE"/>
    <w:rsid w:val="00635EFE"/>
    <w:rsid w:val="0063611F"/>
    <w:rsid w:val="00636206"/>
    <w:rsid w:val="00636256"/>
    <w:rsid w:val="00636295"/>
    <w:rsid w:val="006367CE"/>
    <w:rsid w:val="00636841"/>
    <w:rsid w:val="00636856"/>
    <w:rsid w:val="006368B5"/>
    <w:rsid w:val="006369AA"/>
    <w:rsid w:val="006369DA"/>
    <w:rsid w:val="00636A6E"/>
    <w:rsid w:val="00636EF1"/>
    <w:rsid w:val="00636FE5"/>
    <w:rsid w:val="00637052"/>
    <w:rsid w:val="006375EE"/>
    <w:rsid w:val="006378E1"/>
    <w:rsid w:val="00637A22"/>
    <w:rsid w:val="00637BF4"/>
    <w:rsid w:val="00637D85"/>
    <w:rsid w:val="0063A452"/>
    <w:rsid w:val="00640175"/>
    <w:rsid w:val="00640196"/>
    <w:rsid w:val="00640311"/>
    <w:rsid w:val="0064068F"/>
    <w:rsid w:val="00640C58"/>
    <w:rsid w:val="00640DE2"/>
    <w:rsid w:val="00640E90"/>
    <w:rsid w:val="006410A2"/>
    <w:rsid w:val="00641176"/>
    <w:rsid w:val="006411E8"/>
    <w:rsid w:val="0064134C"/>
    <w:rsid w:val="0064137B"/>
    <w:rsid w:val="006413C5"/>
    <w:rsid w:val="006413F0"/>
    <w:rsid w:val="0064167C"/>
    <w:rsid w:val="00641684"/>
    <w:rsid w:val="006418EF"/>
    <w:rsid w:val="00641E70"/>
    <w:rsid w:val="00641F4C"/>
    <w:rsid w:val="00641FFA"/>
    <w:rsid w:val="006423A8"/>
    <w:rsid w:val="006429D8"/>
    <w:rsid w:val="00642C32"/>
    <w:rsid w:val="00642C5F"/>
    <w:rsid w:val="00642D14"/>
    <w:rsid w:val="00642D3D"/>
    <w:rsid w:val="00642F58"/>
    <w:rsid w:val="006431B4"/>
    <w:rsid w:val="0064324B"/>
    <w:rsid w:val="006435D5"/>
    <w:rsid w:val="006438BE"/>
    <w:rsid w:val="00643A47"/>
    <w:rsid w:val="00643A8C"/>
    <w:rsid w:val="00643BE4"/>
    <w:rsid w:val="00643CA0"/>
    <w:rsid w:val="00643CBC"/>
    <w:rsid w:val="00643E64"/>
    <w:rsid w:val="00644054"/>
    <w:rsid w:val="006441F8"/>
    <w:rsid w:val="0064439F"/>
    <w:rsid w:val="006443EF"/>
    <w:rsid w:val="00644516"/>
    <w:rsid w:val="006445EE"/>
    <w:rsid w:val="00644771"/>
    <w:rsid w:val="0064486A"/>
    <w:rsid w:val="00644975"/>
    <w:rsid w:val="006449DE"/>
    <w:rsid w:val="00644BF4"/>
    <w:rsid w:val="00644C87"/>
    <w:rsid w:val="00644D5C"/>
    <w:rsid w:val="006451B3"/>
    <w:rsid w:val="00645344"/>
    <w:rsid w:val="0064568B"/>
    <w:rsid w:val="00645691"/>
    <w:rsid w:val="0064585C"/>
    <w:rsid w:val="0064599D"/>
    <w:rsid w:val="00645D1D"/>
    <w:rsid w:val="00645D6C"/>
    <w:rsid w:val="00645D9C"/>
    <w:rsid w:val="00645FD3"/>
    <w:rsid w:val="0064606C"/>
    <w:rsid w:val="006462C5"/>
    <w:rsid w:val="006462CE"/>
    <w:rsid w:val="006464F4"/>
    <w:rsid w:val="006467FB"/>
    <w:rsid w:val="006469C3"/>
    <w:rsid w:val="00646AAF"/>
    <w:rsid w:val="00646D66"/>
    <w:rsid w:val="00646ED4"/>
    <w:rsid w:val="00646EEB"/>
    <w:rsid w:val="006471FD"/>
    <w:rsid w:val="006475A1"/>
    <w:rsid w:val="0064767C"/>
    <w:rsid w:val="006476BA"/>
    <w:rsid w:val="0064794C"/>
    <w:rsid w:val="00647FDE"/>
    <w:rsid w:val="00650504"/>
    <w:rsid w:val="00650C3E"/>
    <w:rsid w:val="00650CCB"/>
    <w:rsid w:val="00650CE5"/>
    <w:rsid w:val="00650E0C"/>
    <w:rsid w:val="00650E85"/>
    <w:rsid w:val="006511C3"/>
    <w:rsid w:val="006519A8"/>
    <w:rsid w:val="00651D3A"/>
    <w:rsid w:val="00652103"/>
    <w:rsid w:val="0065216E"/>
    <w:rsid w:val="00652A94"/>
    <w:rsid w:val="00652CB7"/>
    <w:rsid w:val="00652FEB"/>
    <w:rsid w:val="0065308D"/>
    <w:rsid w:val="00653294"/>
    <w:rsid w:val="006532E5"/>
    <w:rsid w:val="006536ED"/>
    <w:rsid w:val="00653EE8"/>
    <w:rsid w:val="00653FFB"/>
    <w:rsid w:val="00654071"/>
    <w:rsid w:val="00654241"/>
    <w:rsid w:val="0065430D"/>
    <w:rsid w:val="006547B4"/>
    <w:rsid w:val="00654B4D"/>
    <w:rsid w:val="00654BC8"/>
    <w:rsid w:val="00654DB0"/>
    <w:rsid w:val="00655208"/>
    <w:rsid w:val="0065520D"/>
    <w:rsid w:val="006552DB"/>
    <w:rsid w:val="0065568A"/>
    <w:rsid w:val="00655A54"/>
    <w:rsid w:val="00655CEC"/>
    <w:rsid w:val="00655ED0"/>
    <w:rsid w:val="00655FF2"/>
    <w:rsid w:val="00656193"/>
    <w:rsid w:val="006561B5"/>
    <w:rsid w:val="00656238"/>
    <w:rsid w:val="00656537"/>
    <w:rsid w:val="00656583"/>
    <w:rsid w:val="0065696C"/>
    <w:rsid w:val="00656A27"/>
    <w:rsid w:val="00656B4F"/>
    <w:rsid w:val="00656D1D"/>
    <w:rsid w:val="00656D7B"/>
    <w:rsid w:val="00657148"/>
    <w:rsid w:val="006573CA"/>
    <w:rsid w:val="006579C2"/>
    <w:rsid w:val="00657C98"/>
    <w:rsid w:val="00657E33"/>
    <w:rsid w:val="00657F8F"/>
    <w:rsid w:val="006601F4"/>
    <w:rsid w:val="00660202"/>
    <w:rsid w:val="00660217"/>
    <w:rsid w:val="00660B75"/>
    <w:rsid w:val="00660D7B"/>
    <w:rsid w:val="00660F91"/>
    <w:rsid w:val="0066103D"/>
    <w:rsid w:val="00661049"/>
    <w:rsid w:val="006610A8"/>
    <w:rsid w:val="00661234"/>
    <w:rsid w:val="006615D9"/>
    <w:rsid w:val="006616AF"/>
    <w:rsid w:val="006617E2"/>
    <w:rsid w:val="0066182B"/>
    <w:rsid w:val="00661836"/>
    <w:rsid w:val="0066198D"/>
    <w:rsid w:val="00661B77"/>
    <w:rsid w:val="00661F92"/>
    <w:rsid w:val="0066204A"/>
    <w:rsid w:val="00662222"/>
    <w:rsid w:val="0066247C"/>
    <w:rsid w:val="0066249C"/>
    <w:rsid w:val="00662530"/>
    <w:rsid w:val="006625C6"/>
    <w:rsid w:val="00662A9B"/>
    <w:rsid w:val="00662B46"/>
    <w:rsid w:val="00662EF6"/>
    <w:rsid w:val="006630D9"/>
    <w:rsid w:val="006630FA"/>
    <w:rsid w:val="0066357D"/>
    <w:rsid w:val="006637A4"/>
    <w:rsid w:val="0066382C"/>
    <w:rsid w:val="00663A49"/>
    <w:rsid w:val="00663B85"/>
    <w:rsid w:val="00663BA2"/>
    <w:rsid w:val="00663F06"/>
    <w:rsid w:val="00664538"/>
    <w:rsid w:val="006645D5"/>
    <w:rsid w:val="00664FF7"/>
    <w:rsid w:val="006652AE"/>
    <w:rsid w:val="0066557D"/>
    <w:rsid w:val="0066584D"/>
    <w:rsid w:val="00665E32"/>
    <w:rsid w:val="00665E39"/>
    <w:rsid w:val="00665E66"/>
    <w:rsid w:val="0066604E"/>
    <w:rsid w:val="006661D9"/>
    <w:rsid w:val="006661DE"/>
    <w:rsid w:val="0066641E"/>
    <w:rsid w:val="0066663A"/>
    <w:rsid w:val="00666684"/>
    <w:rsid w:val="0066672B"/>
    <w:rsid w:val="00666D28"/>
    <w:rsid w:val="00666DD1"/>
    <w:rsid w:val="00666E58"/>
    <w:rsid w:val="00666E6C"/>
    <w:rsid w:val="0066728D"/>
    <w:rsid w:val="0066765D"/>
    <w:rsid w:val="006677DC"/>
    <w:rsid w:val="00667821"/>
    <w:rsid w:val="00667860"/>
    <w:rsid w:val="00667B7A"/>
    <w:rsid w:val="00670393"/>
    <w:rsid w:val="006708A2"/>
    <w:rsid w:val="00670902"/>
    <w:rsid w:val="00670ACF"/>
    <w:rsid w:val="00670AD2"/>
    <w:rsid w:val="00670E72"/>
    <w:rsid w:val="00671212"/>
    <w:rsid w:val="0067123A"/>
    <w:rsid w:val="006716A1"/>
    <w:rsid w:val="00671B0E"/>
    <w:rsid w:val="00671BFF"/>
    <w:rsid w:val="00671C0A"/>
    <w:rsid w:val="00671E4A"/>
    <w:rsid w:val="00671F66"/>
    <w:rsid w:val="00671FAD"/>
    <w:rsid w:val="00672138"/>
    <w:rsid w:val="006723A8"/>
    <w:rsid w:val="00672B43"/>
    <w:rsid w:val="00672BE4"/>
    <w:rsid w:val="00672CF3"/>
    <w:rsid w:val="00672CFB"/>
    <w:rsid w:val="00672FF3"/>
    <w:rsid w:val="006730A2"/>
    <w:rsid w:val="00673206"/>
    <w:rsid w:val="00673224"/>
    <w:rsid w:val="006732A3"/>
    <w:rsid w:val="006733A0"/>
    <w:rsid w:val="006733F9"/>
    <w:rsid w:val="00673881"/>
    <w:rsid w:val="006738C2"/>
    <w:rsid w:val="006738F3"/>
    <w:rsid w:val="0067395C"/>
    <w:rsid w:val="00673CC2"/>
    <w:rsid w:val="00673CC6"/>
    <w:rsid w:val="00673D36"/>
    <w:rsid w:val="00674194"/>
    <w:rsid w:val="006741CF"/>
    <w:rsid w:val="00674273"/>
    <w:rsid w:val="00674445"/>
    <w:rsid w:val="00674943"/>
    <w:rsid w:val="0067496B"/>
    <w:rsid w:val="00674E66"/>
    <w:rsid w:val="00674EFD"/>
    <w:rsid w:val="0067529A"/>
    <w:rsid w:val="006753E3"/>
    <w:rsid w:val="00675406"/>
    <w:rsid w:val="0067567D"/>
    <w:rsid w:val="00675794"/>
    <w:rsid w:val="006759D4"/>
    <w:rsid w:val="00675A36"/>
    <w:rsid w:val="00675A58"/>
    <w:rsid w:val="00675BA6"/>
    <w:rsid w:val="00676026"/>
    <w:rsid w:val="00676166"/>
    <w:rsid w:val="006763CF"/>
    <w:rsid w:val="0067653A"/>
    <w:rsid w:val="006767C5"/>
    <w:rsid w:val="006767D3"/>
    <w:rsid w:val="00676853"/>
    <w:rsid w:val="006768E3"/>
    <w:rsid w:val="00676966"/>
    <w:rsid w:val="0067697C"/>
    <w:rsid w:val="006769E6"/>
    <w:rsid w:val="00677387"/>
    <w:rsid w:val="006778F2"/>
    <w:rsid w:val="00677954"/>
    <w:rsid w:val="00677C18"/>
    <w:rsid w:val="00677D05"/>
    <w:rsid w:val="00680362"/>
    <w:rsid w:val="006803BD"/>
    <w:rsid w:val="006804DD"/>
    <w:rsid w:val="00680902"/>
    <w:rsid w:val="00680A84"/>
    <w:rsid w:val="00680B2F"/>
    <w:rsid w:val="00680B3D"/>
    <w:rsid w:val="00680D78"/>
    <w:rsid w:val="00680F64"/>
    <w:rsid w:val="00681118"/>
    <w:rsid w:val="00681267"/>
    <w:rsid w:val="006814A2"/>
    <w:rsid w:val="0068168D"/>
    <w:rsid w:val="006816EE"/>
    <w:rsid w:val="00681D72"/>
    <w:rsid w:val="00681DBB"/>
    <w:rsid w:val="00681FE3"/>
    <w:rsid w:val="00682026"/>
    <w:rsid w:val="0068205F"/>
    <w:rsid w:val="006822BA"/>
    <w:rsid w:val="006823A9"/>
    <w:rsid w:val="006824CD"/>
    <w:rsid w:val="00682BA6"/>
    <w:rsid w:val="00682D06"/>
    <w:rsid w:val="00682D7F"/>
    <w:rsid w:val="006831D6"/>
    <w:rsid w:val="00683473"/>
    <w:rsid w:val="00683DC4"/>
    <w:rsid w:val="00684212"/>
    <w:rsid w:val="0068461D"/>
    <w:rsid w:val="006847F9"/>
    <w:rsid w:val="006849AC"/>
    <w:rsid w:val="00684A90"/>
    <w:rsid w:val="00684BBA"/>
    <w:rsid w:val="00684D9D"/>
    <w:rsid w:val="00684E36"/>
    <w:rsid w:val="006852C5"/>
    <w:rsid w:val="006852FA"/>
    <w:rsid w:val="00685504"/>
    <w:rsid w:val="006855BC"/>
    <w:rsid w:val="00685827"/>
    <w:rsid w:val="0068595C"/>
    <w:rsid w:val="006859E6"/>
    <w:rsid w:val="00685A88"/>
    <w:rsid w:val="00685CE3"/>
    <w:rsid w:val="00685F84"/>
    <w:rsid w:val="00686304"/>
    <w:rsid w:val="0068643F"/>
    <w:rsid w:val="00686539"/>
    <w:rsid w:val="00686855"/>
    <w:rsid w:val="0068686C"/>
    <w:rsid w:val="00686B20"/>
    <w:rsid w:val="00686E39"/>
    <w:rsid w:val="006875BC"/>
    <w:rsid w:val="006877C0"/>
    <w:rsid w:val="006878E4"/>
    <w:rsid w:val="00687956"/>
    <w:rsid w:val="00687BB1"/>
    <w:rsid w:val="00687DF3"/>
    <w:rsid w:val="00687E54"/>
    <w:rsid w:val="00687EAB"/>
    <w:rsid w:val="00690074"/>
    <w:rsid w:val="006901CF"/>
    <w:rsid w:val="0069031C"/>
    <w:rsid w:val="006903AE"/>
    <w:rsid w:val="006904B7"/>
    <w:rsid w:val="0069078A"/>
    <w:rsid w:val="00690810"/>
    <w:rsid w:val="0069096B"/>
    <w:rsid w:val="00690B5E"/>
    <w:rsid w:val="00690BB7"/>
    <w:rsid w:val="00690FBB"/>
    <w:rsid w:val="00691530"/>
    <w:rsid w:val="006919BE"/>
    <w:rsid w:val="006919CF"/>
    <w:rsid w:val="00691AE0"/>
    <w:rsid w:val="00691B18"/>
    <w:rsid w:val="00691C3C"/>
    <w:rsid w:val="0069208C"/>
    <w:rsid w:val="006920FD"/>
    <w:rsid w:val="00692135"/>
    <w:rsid w:val="00692235"/>
    <w:rsid w:val="00692439"/>
    <w:rsid w:val="00692953"/>
    <w:rsid w:val="00692B0E"/>
    <w:rsid w:val="00692CD7"/>
    <w:rsid w:val="0069320D"/>
    <w:rsid w:val="00693615"/>
    <w:rsid w:val="00693679"/>
    <w:rsid w:val="00693976"/>
    <w:rsid w:val="00693C5F"/>
    <w:rsid w:val="00693D0F"/>
    <w:rsid w:val="006940D6"/>
    <w:rsid w:val="00694428"/>
    <w:rsid w:val="00694586"/>
    <w:rsid w:val="006945F0"/>
    <w:rsid w:val="00694743"/>
    <w:rsid w:val="00694848"/>
    <w:rsid w:val="00694959"/>
    <w:rsid w:val="006949C7"/>
    <w:rsid w:val="00694D1E"/>
    <w:rsid w:val="006951BD"/>
    <w:rsid w:val="0069549B"/>
    <w:rsid w:val="0069576C"/>
    <w:rsid w:val="00695AFE"/>
    <w:rsid w:val="00695FB6"/>
    <w:rsid w:val="00696035"/>
    <w:rsid w:val="006961B7"/>
    <w:rsid w:val="0069655E"/>
    <w:rsid w:val="006968AC"/>
    <w:rsid w:val="00696AB4"/>
    <w:rsid w:val="00696AC2"/>
    <w:rsid w:val="00696B58"/>
    <w:rsid w:val="00696C6E"/>
    <w:rsid w:val="00696E84"/>
    <w:rsid w:val="006971FA"/>
    <w:rsid w:val="00697260"/>
    <w:rsid w:val="00697373"/>
    <w:rsid w:val="006978B9"/>
    <w:rsid w:val="00697AFE"/>
    <w:rsid w:val="00697B19"/>
    <w:rsid w:val="00697BE1"/>
    <w:rsid w:val="00697BE6"/>
    <w:rsid w:val="00697DA8"/>
    <w:rsid w:val="00699E8F"/>
    <w:rsid w:val="006A0019"/>
    <w:rsid w:val="006A0046"/>
    <w:rsid w:val="006A0395"/>
    <w:rsid w:val="006A048F"/>
    <w:rsid w:val="006A04C6"/>
    <w:rsid w:val="006A04ED"/>
    <w:rsid w:val="006A051E"/>
    <w:rsid w:val="006A083B"/>
    <w:rsid w:val="006A0B01"/>
    <w:rsid w:val="006A0C14"/>
    <w:rsid w:val="006A0E1B"/>
    <w:rsid w:val="006A1012"/>
    <w:rsid w:val="006A116A"/>
    <w:rsid w:val="006A12B9"/>
    <w:rsid w:val="006A12CD"/>
    <w:rsid w:val="006A13DA"/>
    <w:rsid w:val="006A1594"/>
    <w:rsid w:val="006A1996"/>
    <w:rsid w:val="006A1B4E"/>
    <w:rsid w:val="006A1B50"/>
    <w:rsid w:val="006A1BE3"/>
    <w:rsid w:val="006A215A"/>
    <w:rsid w:val="006A23A0"/>
    <w:rsid w:val="006A2403"/>
    <w:rsid w:val="006A298C"/>
    <w:rsid w:val="006A29EA"/>
    <w:rsid w:val="006A2A90"/>
    <w:rsid w:val="006A2E56"/>
    <w:rsid w:val="006A2EB9"/>
    <w:rsid w:val="006A2F23"/>
    <w:rsid w:val="006A2F26"/>
    <w:rsid w:val="006A2FF4"/>
    <w:rsid w:val="006A3270"/>
    <w:rsid w:val="006A3582"/>
    <w:rsid w:val="006A362F"/>
    <w:rsid w:val="006A3DC1"/>
    <w:rsid w:val="006A4297"/>
    <w:rsid w:val="006A42B3"/>
    <w:rsid w:val="006A44BC"/>
    <w:rsid w:val="006A44ED"/>
    <w:rsid w:val="006A44FE"/>
    <w:rsid w:val="006A4699"/>
    <w:rsid w:val="006A4868"/>
    <w:rsid w:val="006A4D3E"/>
    <w:rsid w:val="006A5105"/>
    <w:rsid w:val="006A54AB"/>
    <w:rsid w:val="006A54B5"/>
    <w:rsid w:val="006A5501"/>
    <w:rsid w:val="006A5664"/>
    <w:rsid w:val="006A57BC"/>
    <w:rsid w:val="006A57C9"/>
    <w:rsid w:val="006A5955"/>
    <w:rsid w:val="006A5C93"/>
    <w:rsid w:val="006A5E9F"/>
    <w:rsid w:val="006A6218"/>
    <w:rsid w:val="006A645A"/>
    <w:rsid w:val="006A66A2"/>
    <w:rsid w:val="006A69AA"/>
    <w:rsid w:val="006A6B18"/>
    <w:rsid w:val="006A6CAC"/>
    <w:rsid w:val="006A6F08"/>
    <w:rsid w:val="006A738C"/>
    <w:rsid w:val="006A75C2"/>
    <w:rsid w:val="006A7615"/>
    <w:rsid w:val="006A765A"/>
    <w:rsid w:val="006A7C5D"/>
    <w:rsid w:val="006A7E4D"/>
    <w:rsid w:val="006A7F31"/>
    <w:rsid w:val="006B00AA"/>
    <w:rsid w:val="006B0393"/>
    <w:rsid w:val="006B0827"/>
    <w:rsid w:val="006B08FE"/>
    <w:rsid w:val="006B0D43"/>
    <w:rsid w:val="006B103E"/>
    <w:rsid w:val="006B125E"/>
    <w:rsid w:val="006B137C"/>
    <w:rsid w:val="006B13AF"/>
    <w:rsid w:val="006B17B4"/>
    <w:rsid w:val="006B1BB9"/>
    <w:rsid w:val="006B1CD3"/>
    <w:rsid w:val="006B1D7D"/>
    <w:rsid w:val="006B222D"/>
    <w:rsid w:val="006B2287"/>
    <w:rsid w:val="006B24EF"/>
    <w:rsid w:val="006B2555"/>
    <w:rsid w:val="006B2685"/>
    <w:rsid w:val="006B27CF"/>
    <w:rsid w:val="006B2901"/>
    <w:rsid w:val="006B2BE5"/>
    <w:rsid w:val="006B2CD4"/>
    <w:rsid w:val="006B2FA3"/>
    <w:rsid w:val="006B33EC"/>
    <w:rsid w:val="006B38AB"/>
    <w:rsid w:val="006B3948"/>
    <w:rsid w:val="006B3A2A"/>
    <w:rsid w:val="006B3A3A"/>
    <w:rsid w:val="006B3CC8"/>
    <w:rsid w:val="006B4129"/>
    <w:rsid w:val="006B4199"/>
    <w:rsid w:val="006B419D"/>
    <w:rsid w:val="006B41F4"/>
    <w:rsid w:val="006B434E"/>
    <w:rsid w:val="006B4598"/>
    <w:rsid w:val="006B45F2"/>
    <w:rsid w:val="006B478E"/>
    <w:rsid w:val="006B4966"/>
    <w:rsid w:val="006B4B0E"/>
    <w:rsid w:val="006B5081"/>
    <w:rsid w:val="006B55E5"/>
    <w:rsid w:val="006B5848"/>
    <w:rsid w:val="006B5ED0"/>
    <w:rsid w:val="006B6161"/>
    <w:rsid w:val="006B6346"/>
    <w:rsid w:val="006B635F"/>
    <w:rsid w:val="006B63F7"/>
    <w:rsid w:val="006B656C"/>
    <w:rsid w:val="006B6B29"/>
    <w:rsid w:val="006B6BAB"/>
    <w:rsid w:val="006B701F"/>
    <w:rsid w:val="006B715C"/>
    <w:rsid w:val="006B71B4"/>
    <w:rsid w:val="006B7566"/>
    <w:rsid w:val="006B75EF"/>
    <w:rsid w:val="006B79E7"/>
    <w:rsid w:val="006B7A4F"/>
    <w:rsid w:val="006B7D5E"/>
    <w:rsid w:val="006B7E37"/>
    <w:rsid w:val="006B7E76"/>
    <w:rsid w:val="006C0039"/>
    <w:rsid w:val="006C02F5"/>
    <w:rsid w:val="006C05E2"/>
    <w:rsid w:val="006C0620"/>
    <w:rsid w:val="006C0ACF"/>
    <w:rsid w:val="006C0C7D"/>
    <w:rsid w:val="006C0E87"/>
    <w:rsid w:val="006C0FDF"/>
    <w:rsid w:val="006C109F"/>
    <w:rsid w:val="006C1368"/>
    <w:rsid w:val="006C1872"/>
    <w:rsid w:val="006C220C"/>
    <w:rsid w:val="006C22EB"/>
    <w:rsid w:val="006C230B"/>
    <w:rsid w:val="006C2868"/>
    <w:rsid w:val="006C2B02"/>
    <w:rsid w:val="006C2B8A"/>
    <w:rsid w:val="006C3026"/>
    <w:rsid w:val="006C30D6"/>
    <w:rsid w:val="006C3513"/>
    <w:rsid w:val="006C352E"/>
    <w:rsid w:val="006C3624"/>
    <w:rsid w:val="006C3805"/>
    <w:rsid w:val="006C3984"/>
    <w:rsid w:val="006C3C81"/>
    <w:rsid w:val="006C3F70"/>
    <w:rsid w:val="006C4310"/>
    <w:rsid w:val="006C465B"/>
    <w:rsid w:val="006C472B"/>
    <w:rsid w:val="006C4839"/>
    <w:rsid w:val="006C4D95"/>
    <w:rsid w:val="006C4D9B"/>
    <w:rsid w:val="006C4E9C"/>
    <w:rsid w:val="006C512A"/>
    <w:rsid w:val="006C513A"/>
    <w:rsid w:val="006C53CF"/>
    <w:rsid w:val="006C5681"/>
    <w:rsid w:val="006C58D6"/>
    <w:rsid w:val="006C5B85"/>
    <w:rsid w:val="006C5EA7"/>
    <w:rsid w:val="006C6079"/>
    <w:rsid w:val="006C632D"/>
    <w:rsid w:val="006C65ED"/>
    <w:rsid w:val="006C6608"/>
    <w:rsid w:val="006C686D"/>
    <w:rsid w:val="006C6B9B"/>
    <w:rsid w:val="006C6BDB"/>
    <w:rsid w:val="006C6C9E"/>
    <w:rsid w:val="006C6E87"/>
    <w:rsid w:val="006C6EC2"/>
    <w:rsid w:val="006C70CE"/>
    <w:rsid w:val="006C729B"/>
    <w:rsid w:val="006C7596"/>
    <w:rsid w:val="006C75FE"/>
    <w:rsid w:val="006C77CF"/>
    <w:rsid w:val="006C77EE"/>
    <w:rsid w:val="006C7C6E"/>
    <w:rsid w:val="006C7DD7"/>
    <w:rsid w:val="006C7F4F"/>
    <w:rsid w:val="006D0098"/>
    <w:rsid w:val="006D02E7"/>
    <w:rsid w:val="006D0876"/>
    <w:rsid w:val="006D0ACF"/>
    <w:rsid w:val="006D0C7A"/>
    <w:rsid w:val="006D12A1"/>
    <w:rsid w:val="006D15EF"/>
    <w:rsid w:val="006D18FE"/>
    <w:rsid w:val="006D1B4F"/>
    <w:rsid w:val="006D1C36"/>
    <w:rsid w:val="006D1D19"/>
    <w:rsid w:val="006D21C8"/>
    <w:rsid w:val="006D22F0"/>
    <w:rsid w:val="006D25EC"/>
    <w:rsid w:val="006D26CF"/>
    <w:rsid w:val="006D28C5"/>
    <w:rsid w:val="006D2E28"/>
    <w:rsid w:val="006D34CE"/>
    <w:rsid w:val="006D3589"/>
    <w:rsid w:val="006D35B7"/>
    <w:rsid w:val="006D377E"/>
    <w:rsid w:val="006D3785"/>
    <w:rsid w:val="006D3980"/>
    <w:rsid w:val="006D3991"/>
    <w:rsid w:val="006D39BD"/>
    <w:rsid w:val="006D4040"/>
    <w:rsid w:val="006D4161"/>
    <w:rsid w:val="006D41D5"/>
    <w:rsid w:val="006D41FD"/>
    <w:rsid w:val="006D421B"/>
    <w:rsid w:val="006D44A7"/>
    <w:rsid w:val="006D4D9F"/>
    <w:rsid w:val="006D4E8F"/>
    <w:rsid w:val="006D4F67"/>
    <w:rsid w:val="006D4FC8"/>
    <w:rsid w:val="006D504A"/>
    <w:rsid w:val="006D50D0"/>
    <w:rsid w:val="006D5302"/>
    <w:rsid w:val="006D53F3"/>
    <w:rsid w:val="006D5432"/>
    <w:rsid w:val="006D5696"/>
    <w:rsid w:val="006D5717"/>
    <w:rsid w:val="006D5730"/>
    <w:rsid w:val="006D59C6"/>
    <w:rsid w:val="006D5A60"/>
    <w:rsid w:val="006D5D6B"/>
    <w:rsid w:val="006D5D71"/>
    <w:rsid w:val="006D5EDF"/>
    <w:rsid w:val="006D5F1D"/>
    <w:rsid w:val="006D5F2F"/>
    <w:rsid w:val="006D605E"/>
    <w:rsid w:val="006D62E2"/>
    <w:rsid w:val="006D655C"/>
    <w:rsid w:val="006D6A95"/>
    <w:rsid w:val="006D6AF9"/>
    <w:rsid w:val="006D6F43"/>
    <w:rsid w:val="006D7D27"/>
    <w:rsid w:val="006D7E46"/>
    <w:rsid w:val="006D7E71"/>
    <w:rsid w:val="006D7FE5"/>
    <w:rsid w:val="006E031F"/>
    <w:rsid w:val="006E050B"/>
    <w:rsid w:val="006E0748"/>
    <w:rsid w:val="006E09FB"/>
    <w:rsid w:val="006E0A8E"/>
    <w:rsid w:val="006E0F67"/>
    <w:rsid w:val="006E1A4C"/>
    <w:rsid w:val="006E1B0A"/>
    <w:rsid w:val="006E1CE5"/>
    <w:rsid w:val="006E1E3A"/>
    <w:rsid w:val="006E20EE"/>
    <w:rsid w:val="006E20F7"/>
    <w:rsid w:val="006E23AF"/>
    <w:rsid w:val="006E2786"/>
    <w:rsid w:val="006E2805"/>
    <w:rsid w:val="006E2868"/>
    <w:rsid w:val="006E2913"/>
    <w:rsid w:val="006E29A3"/>
    <w:rsid w:val="006E2CA8"/>
    <w:rsid w:val="006E2DDD"/>
    <w:rsid w:val="006E30A3"/>
    <w:rsid w:val="006E3188"/>
    <w:rsid w:val="006E340E"/>
    <w:rsid w:val="006E3677"/>
    <w:rsid w:val="006E3D99"/>
    <w:rsid w:val="006E44A0"/>
    <w:rsid w:val="006E474E"/>
    <w:rsid w:val="006E486E"/>
    <w:rsid w:val="006E4DE4"/>
    <w:rsid w:val="006E5841"/>
    <w:rsid w:val="006E58F7"/>
    <w:rsid w:val="006E5B1E"/>
    <w:rsid w:val="006E6112"/>
    <w:rsid w:val="006E6184"/>
    <w:rsid w:val="006E61E1"/>
    <w:rsid w:val="006E64DF"/>
    <w:rsid w:val="006E65A8"/>
    <w:rsid w:val="006E689D"/>
    <w:rsid w:val="006E6B81"/>
    <w:rsid w:val="006E6BCE"/>
    <w:rsid w:val="006E6E08"/>
    <w:rsid w:val="006E6E4B"/>
    <w:rsid w:val="006E6FF8"/>
    <w:rsid w:val="006E712D"/>
    <w:rsid w:val="006E75E3"/>
    <w:rsid w:val="006E75FB"/>
    <w:rsid w:val="006E77E3"/>
    <w:rsid w:val="006E7C88"/>
    <w:rsid w:val="006F01FB"/>
    <w:rsid w:val="006F0218"/>
    <w:rsid w:val="006F02E5"/>
    <w:rsid w:val="006F0436"/>
    <w:rsid w:val="006F0626"/>
    <w:rsid w:val="006F092B"/>
    <w:rsid w:val="006F0A02"/>
    <w:rsid w:val="006F0AD2"/>
    <w:rsid w:val="006F0C73"/>
    <w:rsid w:val="006F0CBA"/>
    <w:rsid w:val="006F0FAE"/>
    <w:rsid w:val="006F11CF"/>
    <w:rsid w:val="006F147D"/>
    <w:rsid w:val="006F1A00"/>
    <w:rsid w:val="006F1CAA"/>
    <w:rsid w:val="006F1E8C"/>
    <w:rsid w:val="006F1F6D"/>
    <w:rsid w:val="006F2477"/>
    <w:rsid w:val="006F2765"/>
    <w:rsid w:val="006F2795"/>
    <w:rsid w:val="006F289B"/>
    <w:rsid w:val="006F28BA"/>
    <w:rsid w:val="006F2DC8"/>
    <w:rsid w:val="006F3110"/>
    <w:rsid w:val="006F32C3"/>
    <w:rsid w:val="006F335A"/>
    <w:rsid w:val="006F3646"/>
    <w:rsid w:val="006F382A"/>
    <w:rsid w:val="006F389A"/>
    <w:rsid w:val="006F38BC"/>
    <w:rsid w:val="006F38DA"/>
    <w:rsid w:val="006F3D3A"/>
    <w:rsid w:val="006F3D8D"/>
    <w:rsid w:val="006F3E36"/>
    <w:rsid w:val="006F443D"/>
    <w:rsid w:val="006F4466"/>
    <w:rsid w:val="006F446E"/>
    <w:rsid w:val="006F4580"/>
    <w:rsid w:val="006F4583"/>
    <w:rsid w:val="006F45E1"/>
    <w:rsid w:val="006F4604"/>
    <w:rsid w:val="006F46F9"/>
    <w:rsid w:val="006F4C0F"/>
    <w:rsid w:val="006F4D22"/>
    <w:rsid w:val="006F4E1A"/>
    <w:rsid w:val="006F5295"/>
    <w:rsid w:val="006F5515"/>
    <w:rsid w:val="006F5629"/>
    <w:rsid w:val="006F5697"/>
    <w:rsid w:val="006F592B"/>
    <w:rsid w:val="006F59B8"/>
    <w:rsid w:val="006F5B26"/>
    <w:rsid w:val="006F5C7C"/>
    <w:rsid w:val="006F6102"/>
    <w:rsid w:val="006F6225"/>
    <w:rsid w:val="006F642E"/>
    <w:rsid w:val="006F644A"/>
    <w:rsid w:val="006F6640"/>
    <w:rsid w:val="006F68BD"/>
    <w:rsid w:val="006F6A56"/>
    <w:rsid w:val="006F6B28"/>
    <w:rsid w:val="006F6C26"/>
    <w:rsid w:val="006F6FA1"/>
    <w:rsid w:val="006F7023"/>
    <w:rsid w:val="006F7172"/>
    <w:rsid w:val="006F7493"/>
    <w:rsid w:val="006F75E6"/>
    <w:rsid w:val="006F77FE"/>
    <w:rsid w:val="006F7C18"/>
    <w:rsid w:val="006F7F5F"/>
    <w:rsid w:val="0070005F"/>
    <w:rsid w:val="0070010D"/>
    <w:rsid w:val="00700348"/>
    <w:rsid w:val="007003CD"/>
    <w:rsid w:val="007006A2"/>
    <w:rsid w:val="00700B33"/>
    <w:rsid w:val="00700EC6"/>
    <w:rsid w:val="00700FA7"/>
    <w:rsid w:val="00701268"/>
    <w:rsid w:val="007013BE"/>
    <w:rsid w:val="00701448"/>
    <w:rsid w:val="00701554"/>
    <w:rsid w:val="007015BD"/>
    <w:rsid w:val="007016F2"/>
    <w:rsid w:val="00701706"/>
    <w:rsid w:val="00701C59"/>
    <w:rsid w:val="00701D03"/>
    <w:rsid w:val="00701DA8"/>
    <w:rsid w:val="007028C7"/>
    <w:rsid w:val="00702988"/>
    <w:rsid w:val="00702A18"/>
    <w:rsid w:val="00702C4F"/>
    <w:rsid w:val="00702FE6"/>
    <w:rsid w:val="00703041"/>
    <w:rsid w:val="007032BD"/>
    <w:rsid w:val="00703399"/>
    <w:rsid w:val="00703651"/>
    <w:rsid w:val="007036C2"/>
    <w:rsid w:val="00703CF1"/>
    <w:rsid w:val="00703E5F"/>
    <w:rsid w:val="00704140"/>
    <w:rsid w:val="00704225"/>
    <w:rsid w:val="00704280"/>
    <w:rsid w:val="0070431D"/>
    <w:rsid w:val="007043EA"/>
    <w:rsid w:val="00704477"/>
    <w:rsid w:val="0070454B"/>
    <w:rsid w:val="0070455C"/>
    <w:rsid w:val="00704B9D"/>
    <w:rsid w:val="00704CEC"/>
    <w:rsid w:val="00704D15"/>
    <w:rsid w:val="00704D9B"/>
    <w:rsid w:val="00704F7D"/>
    <w:rsid w:val="00705242"/>
    <w:rsid w:val="00705298"/>
    <w:rsid w:val="00705558"/>
    <w:rsid w:val="007055F0"/>
    <w:rsid w:val="00705646"/>
    <w:rsid w:val="007058C4"/>
    <w:rsid w:val="007059E6"/>
    <w:rsid w:val="00705C7B"/>
    <w:rsid w:val="00705D3C"/>
    <w:rsid w:val="00705DFD"/>
    <w:rsid w:val="00705F46"/>
    <w:rsid w:val="00706165"/>
    <w:rsid w:val="00706A84"/>
    <w:rsid w:val="00706A95"/>
    <w:rsid w:val="00706BC0"/>
    <w:rsid w:val="00706C8B"/>
    <w:rsid w:val="00706E1E"/>
    <w:rsid w:val="007070D6"/>
    <w:rsid w:val="00707348"/>
    <w:rsid w:val="0070769D"/>
    <w:rsid w:val="00707791"/>
    <w:rsid w:val="00707B12"/>
    <w:rsid w:val="00707C4D"/>
    <w:rsid w:val="00710308"/>
    <w:rsid w:val="0071048D"/>
    <w:rsid w:val="007104FD"/>
    <w:rsid w:val="0071069D"/>
    <w:rsid w:val="007106FA"/>
    <w:rsid w:val="00710790"/>
    <w:rsid w:val="0071080B"/>
    <w:rsid w:val="00710A96"/>
    <w:rsid w:val="00710BF2"/>
    <w:rsid w:val="0071125C"/>
    <w:rsid w:val="00711265"/>
    <w:rsid w:val="00711333"/>
    <w:rsid w:val="007118D0"/>
    <w:rsid w:val="00711C32"/>
    <w:rsid w:val="00711E20"/>
    <w:rsid w:val="007122B8"/>
    <w:rsid w:val="0071237D"/>
    <w:rsid w:val="0071294A"/>
    <w:rsid w:val="007129D4"/>
    <w:rsid w:val="00712A16"/>
    <w:rsid w:val="00712A47"/>
    <w:rsid w:val="00712CE0"/>
    <w:rsid w:val="00712D5D"/>
    <w:rsid w:val="00712E8B"/>
    <w:rsid w:val="00713570"/>
    <w:rsid w:val="007135C5"/>
    <w:rsid w:val="007136BD"/>
    <w:rsid w:val="00713766"/>
    <w:rsid w:val="00713A43"/>
    <w:rsid w:val="00713A6C"/>
    <w:rsid w:val="00713D74"/>
    <w:rsid w:val="00713DEE"/>
    <w:rsid w:val="00713EB6"/>
    <w:rsid w:val="0071417D"/>
    <w:rsid w:val="00714218"/>
    <w:rsid w:val="00714232"/>
    <w:rsid w:val="0071432A"/>
    <w:rsid w:val="007144AB"/>
    <w:rsid w:val="00714523"/>
    <w:rsid w:val="007146B2"/>
    <w:rsid w:val="007146DD"/>
    <w:rsid w:val="00714732"/>
    <w:rsid w:val="00714892"/>
    <w:rsid w:val="00714C14"/>
    <w:rsid w:val="00714D9E"/>
    <w:rsid w:val="00714F3F"/>
    <w:rsid w:val="007153A4"/>
    <w:rsid w:val="0071569B"/>
    <w:rsid w:val="007157DB"/>
    <w:rsid w:val="00715B00"/>
    <w:rsid w:val="00715CC0"/>
    <w:rsid w:val="00715CE5"/>
    <w:rsid w:val="00715EAD"/>
    <w:rsid w:val="00715F32"/>
    <w:rsid w:val="00715F80"/>
    <w:rsid w:val="007167C0"/>
    <w:rsid w:val="007168FD"/>
    <w:rsid w:val="00716A7F"/>
    <w:rsid w:val="00717011"/>
    <w:rsid w:val="00717138"/>
    <w:rsid w:val="00717244"/>
    <w:rsid w:val="007172DE"/>
    <w:rsid w:val="007175ED"/>
    <w:rsid w:val="007177A6"/>
    <w:rsid w:val="00717802"/>
    <w:rsid w:val="0071783F"/>
    <w:rsid w:val="007178B9"/>
    <w:rsid w:val="00717D1B"/>
    <w:rsid w:val="00718982"/>
    <w:rsid w:val="0072003B"/>
    <w:rsid w:val="0072014C"/>
    <w:rsid w:val="00720259"/>
    <w:rsid w:val="007202EE"/>
    <w:rsid w:val="00720444"/>
    <w:rsid w:val="007205E3"/>
    <w:rsid w:val="0072075C"/>
    <w:rsid w:val="007208D4"/>
    <w:rsid w:val="00720A31"/>
    <w:rsid w:val="00720C22"/>
    <w:rsid w:val="00720DA5"/>
    <w:rsid w:val="00720E54"/>
    <w:rsid w:val="00720E9B"/>
    <w:rsid w:val="00721082"/>
    <w:rsid w:val="007212C9"/>
    <w:rsid w:val="007215C3"/>
    <w:rsid w:val="00721710"/>
    <w:rsid w:val="007217F7"/>
    <w:rsid w:val="007218F3"/>
    <w:rsid w:val="0072196E"/>
    <w:rsid w:val="00721B03"/>
    <w:rsid w:val="00721BC8"/>
    <w:rsid w:val="00721CCB"/>
    <w:rsid w:val="00721CF0"/>
    <w:rsid w:val="00722207"/>
    <w:rsid w:val="00722452"/>
    <w:rsid w:val="00722506"/>
    <w:rsid w:val="00722623"/>
    <w:rsid w:val="00722A81"/>
    <w:rsid w:val="00722A82"/>
    <w:rsid w:val="00722DBB"/>
    <w:rsid w:val="00722E28"/>
    <w:rsid w:val="00722E41"/>
    <w:rsid w:val="007232A1"/>
    <w:rsid w:val="007233EF"/>
    <w:rsid w:val="0072341D"/>
    <w:rsid w:val="00723BF4"/>
    <w:rsid w:val="00723DC6"/>
    <w:rsid w:val="00723ECC"/>
    <w:rsid w:val="007245D3"/>
    <w:rsid w:val="007249AA"/>
    <w:rsid w:val="00724AD2"/>
    <w:rsid w:val="00724BDE"/>
    <w:rsid w:val="00724F28"/>
    <w:rsid w:val="00725048"/>
    <w:rsid w:val="00725378"/>
    <w:rsid w:val="0072558E"/>
    <w:rsid w:val="007256BA"/>
    <w:rsid w:val="007258D3"/>
    <w:rsid w:val="007258D8"/>
    <w:rsid w:val="00725B49"/>
    <w:rsid w:val="00725E7C"/>
    <w:rsid w:val="00725FFC"/>
    <w:rsid w:val="00726111"/>
    <w:rsid w:val="00726195"/>
    <w:rsid w:val="0072683E"/>
    <w:rsid w:val="00726CD5"/>
    <w:rsid w:val="00726F16"/>
    <w:rsid w:val="0072721C"/>
    <w:rsid w:val="00727792"/>
    <w:rsid w:val="00727A22"/>
    <w:rsid w:val="0073036E"/>
    <w:rsid w:val="00730A99"/>
    <w:rsid w:val="00730B38"/>
    <w:rsid w:val="00730B3D"/>
    <w:rsid w:val="00730CF7"/>
    <w:rsid w:val="00730F7D"/>
    <w:rsid w:val="00731127"/>
    <w:rsid w:val="007311EF"/>
    <w:rsid w:val="0073124B"/>
    <w:rsid w:val="00731290"/>
    <w:rsid w:val="0073144E"/>
    <w:rsid w:val="007315CD"/>
    <w:rsid w:val="007316B1"/>
    <w:rsid w:val="007316B9"/>
    <w:rsid w:val="007318D3"/>
    <w:rsid w:val="00731C0F"/>
    <w:rsid w:val="00731C70"/>
    <w:rsid w:val="00731E39"/>
    <w:rsid w:val="00731EED"/>
    <w:rsid w:val="00732D6D"/>
    <w:rsid w:val="007337C2"/>
    <w:rsid w:val="00733A0A"/>
    <w:rsid w:val="00733AE6"/>
    <w:rsid w:val="00733B2C"/>
    <w:rsid w:val="00733C25"/>
    <w:rsid w:val="00733C75"/>
    <w:rsid w:val="00733D5F"/>
    <w:rsid w:val="00733F96"/>
    <w:rsid w:val="00734087"/>
    <w:rsid w:val="007340CC"/>
    <w:rsid w:val="0073422E"/>
    <w:rsid w:val="00734690"/>
    <w:rsid w:val="00734725"/>
    <w:rsid w:val="007348FE"/>
    <w:rsid w:val="00734CAA"/>
    <w:rsid w:val="00734E75"/>
    <w:rsid w:val="00734F2C"/>
    <w:rsid w:val="00735175"/>
    <w:rsid w:val="0073524B"/>
    <w:rsid w:val="007353CF"/>
    <w:rsid w:val="007356D9"/>
    <w:rsid w:val="0073598A"/>
    <w:rsid w:val="00735BAA"/>
    <w:rsid w:val="00735BF5"/>
    <w:rsid w:val="00735EC8"/>
    <w:rsid w:val="00735F10"/>
    <w:rsid w:val="007361EE"/>
    <w:rsid w:val="007366BB"/>
    <w:rsid w:val="007369E5"/>
    <w:rsid w:val="00736A75"/>
    <w:rsid w:val="00736BBF"/>
    <w:rsid w:val="00736EAA"/>
    <w:rsid w:val="00736EC0"/>
    <w:rsid w:val="00736FC2"/>
    <w:rsid w:val="0073728F"/>
    <w:rsid w:val="007374EE"/>
    <w:rsid w:val="00737588"/>
    <w:rsid w:val="007376D2"/>
    <w:rsid w:val="0073775C"/>
    <w:rsid w:val="00737932"/>
    <w:rsid w:val="0073794A"/>
    <w:rsid w:val="00737CEF"/>
    <w:rsid w:val="00737E32"/>
    <w:rsid w:val="00737FDE"/>
    <w:rsid w:val="0073B999"/>
    <w:rsid w:val="007403FE"/>
    <w:rsid w:val="007406D7"/>
    <w:rsid w:val="0074077F"/>
    <w:rsid w:val="007407FF"/>
    <w:rsid w:val="0074083C"/>
    <w:rsid w:val="00740938"/>
    <w:rsid w:val="00740ADE"/>
    <w:rsid w:val="00740B55"/>
    <w:rsid w:val="00740B60"/>
    <w:rsid w:val="00740CED"/>
    <w:rsid w:val="00740E38"/>
    <w:rsid w:val="00740EC9"/>
    <w:rsid w:val="00740ECF"/>
    <w:rsid w:val="00741087"/>
    <w:rsid w:val="007413B8"/>
    <w:rsid w:val="00741622"/>
    <w:rsid w:val="007417BD"/>
    <w:rsid w:val="007418AF"/>
    <w:rsid w:val="00741DC1"/>
    <w:rsid w:val="007420E1"/>
    <w:rsid w:val="007422F5"/>
    <w:rsid w:val="007425CE"/>
    <w:rsid w:val="007426BC"/>
    <w:rsid w:val="007427A8"/>
    <w:rsid w:val="00742CCE"/>
    <w:rsid w:val="00742D00"/>
    <w:rsid w:val="00743096"/>
    <w:rsid w:val="007430F8"/>
    <w:rsid w:val="007431BF"/>
    <w:rsid w:val="007431FE"/>
    <w:rsid w:val="00743EAB"/>
    <w:rsid w:val="00743F3C"/>
    <w:rsid w:val="007442E4"/>
    <w:rsid w:val="00744462"/>
    <w:rsid w:val="0074490B"/>
    <w:rsid w:val="00744923"/>
    <w:rsid w:val="00744A18"/>
    <w:rsid w:val="00744B51"/>
    <w:rsid w:val="00744D3A"/>
    <w:rsid w:val="00744F8D"/>
    <w:rsid w:val="007451B4"/>
    <w:rsid w:val="0074524F"/>
    <w:rsid w:val="0074527C"/>
    <w:rsid w:val="007452A3"/>
    <w:rsid w:val="00745C32"/>
    <w:rsid w:val="00745CE3"/>
    <w:rsid w:val="0074617C"/>
    <w:rsid w:val="007463B4"/>
    <w:rsid w:val="0074641F"/>
    <w:rsid w:val="007467BC"/>
    <w:rsid w:val="007469FF"/>
    <w:rsid w:val="00746BB4"/>
    <w:rsid w:val="00746C02"/>
    <w:rsid w:val="00746F4C"/>
    <w:rsid w:val="00747050"/>
    <w:rsid w:val="007473DE"/>
    <w:rsid w:val="00747416"/>
    <w:rsid w:val="007474D3"/>
    <w:rsid w:val="007477E4"/>
    <w:rsid w:val="00747904"/>
    <w:rsid w:val="00747C7C"/>
    <w:rsid w:val="00747D3A"/>
    <w:rsid w:val="00750122"/>
    <w:rsid w:val="007503A4"/>
    <w:rsid w:val="0075062A"/>
    <w:rsid w:val="00750637"/>
    <w:rsid w:val="00750657"/>
    <w:rsid w:val="00750B3C"/>
    <w:rsid w:val="00750B7E"/>
    <w:rsid w:val="00750DE6"/>
    <w:rsid w:val="00750E30"/>
    <w:rsid w:val="00750FD9"/>
    <w:rsid w:val="007510D3"/>
    <w:rsid w:val="00751519"/>
    <w:rsid w:val="0075187E"/>
    <w:rsid w:val="007518E3"/>
    <w:rsid w:val="007519EC"/>
    <w:rsid w:val="00751DB7"/>
    <w:rsid w:val="0075238F"/>
    <w:rsid w:val="00752463"/>
    <w:rsid w:val="00752490"/>
    <w:rsid w:val="00752521"/>
    <w:rsid w:val="007525F6"/>
    <w:rsid w:val="00752603"/>
    <w:rsid w:val="00752A01"/>
    <w:rsid w:val="00752B66"/>
    <w:rsid w:val="00752BFB"/>
    <w:rsid w:val="00752DF6"/>
    <w:rsid w:val="00752EB7"/>
    <w:rsid w:val="00753103"/>
    <w:rsid w:val="00753126"/>
    <w:rsid w:val="007532AA"/>
    <w:rsid w:val="007533F0"/>
    <w:rsid w:val="0075359B"/>
    <w:rsid w:val="007536EA"/>
    <w:rsid w:val="00753760"/>
    <w:rsid w:val="00753797"/>
    <w:rsid w:val="007537F4"/>
    <w:rsid w:val="007539C8"/>
    <w:rsid w:val="00753A63"/>
    <w:rsid w:val="00753CA4"/>
    <w:rsid w:val="00753E45"/>
    <w:rsid w:val="00753F69"/>
    <w:rsid w:val="00753FA9"/>
    <w:rsid w:val="00754161"/>
    <w:rsid w:val="007543EF"/>
    <w:rsid w:val="007544B0"/>
    <w:rsid w:val="0075478B"/>
    <w:rsid w:val="00754957"/>
    <w:rsid w:val="0075499A"/>
    <w:rsid w:val="00754C1B"/>
    <w:rsid w:val="00754E23"/>
    <w:rsid w:val="00754E66"/>
    <w:rsid w:val="00755027"/>
    <w:rsid w:val="007550BB"/>
    <w:rsid w:val="007550DF"/>
    <w:rsid w:val="00755139"/>
    <w:rsid w:val="007553AC"/>
    <w:rsid w:val="0075569F"/>
    <w:rsid w:val="0075575E"/>
    <w:rsid w:val="007557E8"/>
    <w:rsid w:val="00755A9A"/>
    <w:rsid w:val="00755B25"/>
    <w:rsid w:val="00755C32"/>
    <w:rsid w:val="00755DD0"/>
    <w:rsid w:val="007563D2"/>
    <w:rsid w:val="0075648E"/>
    <w:rsid w:val="0075654E"/>
    <w:rsid w:val="007565F1"/>
    <w:rsid w:val="00756728"/>
    <w:rsid w:val="0075695F"/>
    <w:rsid w:val="00756AD2"/>
    <w:rsid w:val="00756BD8"/>
    <w:rsid w:val="00756CB5"/>
    <w:rsid w:val="00756D59"/>
    <w:rsid w:val="00756F1B"/>
    <w:rsid w:val="00756FC8"/>
    <w:rsid w:val="00756FDD"/>
    <w:rsid w:val="00757167"/>
    <w:rsid w:val="007571D5"/>
    <w:rsid w:val="00757741"/>
    <w:rsid w:val="007577F5"/>
    <w:rsid w:val="00757926"/>
    <w:rsid w:val="00757DF9"/>
    <w:rsid w:val="00757E7E"/>
    <w:rsid w:val="00757F29"/>
    <w:rsid w:val="00757F47"/>
    <w:rsid w:val="00757F75"/>
    <w:rsid w:val="00760088"/>
    <w:rsid w:val="0076010D"/>
    <w:rsid w:val="0076013D"/>
    <w:rsid w:val="00760487"/>
    <w:rsid w:val="007607F7"/>
    <w:rsid w:val="00760A15"/>
    <w:rsid w:val="00760A2A"/>
    <w:rsid w:val="00760D06"/>
    <w:rsid w:val="007611A2"/>
    <w:rsid w:val="00761970"/>
    <w:rsid w:val="00761ACE"/>
    <w:rsid w:val="00761DAF"/>
    <w:rsid w:val="00761F25"/>
    <w:rsid w:val="00761F5A"/>
    <w:rsid w:val="0076250C"/>
    <w:rsid w:val="007629DC"/>
    <w:rsid w:val="00762B91"/>
    <w:rsid w:val="00762D42"/>
    <w:rsid w:val="00762FF5"/>
    <w:rsid w:val="007632C2"/>
    <w:rsid w:val="007634DF"/>
    <w:rsid w:val="0076351D"/>
    <w:rsid w:val="007635F4"/>
    <w:rsid w:val="007636EB"/>
    <w:rsid w:val="00763D0B"/>
    <w:rsid w:val="00763E61"/>
    <w:rsid w:val="007642C1"/>
    <w:rsid w:val="00764A66"/>
    <w:rsid w:val="00764ACD"/>
    <w:rsid w:val="00764CCA"/>
    <w:rsid w:val="00764F74"/>
    <w:rsid w:val="00764FB2"/>
    <w:rsid w:val="007650EB"/>
    <w:rsid w:val="0076547E"/>
    <w:rsid w:val="00765639"/>
    <w:rsid w:val="00765643"/>
    <w:rsid w:val="00765D50"/>
    <w:rsid w:val="00766013"/>
    <w:rsid w:val="00766117"/>
    <w:rsid w:val="0076620E"/>
    <w:rsid w:val="00766215"/>
    <w:rsid w:val="00766411"/>
    <w:rsid w:val="0076683A"/>
    <w:rsid w:val="00766A59"/>
    <w:rsid w:val="00766AE4"/>
    <w:rsid w:val="00766B5E"/>
    <w:rsid w:val="00766CFB"/>
    <w:rsid w:val="00766E6E"/>
    <w:rsid w:val="007671A7"/>
    <w:rsid w:val="007674C8"/>
    <w:rsid w:val="00767873"/>
    <w:rsid w:val="00767945"/>
    <w:rsid w:val="00767A60"/>
    <w:rsid w:val="00770096"/>
    <w:rsid w:val="0077032A"/>
    <w:rsid w:val="007705C2"/>
    <w:rsid w:val="00770797"/>
    <w:rsid w:val="0077096A"/>
    <w:rsid w:val="00770A36"/>
    <w:rsid w:val="00770ACA"/>
    <w:rsid w:val="00770B19"/>
    <w:rsid w:val="00770D12"/>
    <w:rsid w:val="00770E80"/>
    <w:rsid w:val="00770F55"/>
    <w:rsid w:val="00771108"/>
    <w:rsid w:val="0077172F"/>
    <w:rsid w:val="00771731"/>
    <w:rsid w:val="0077180C"/>
    <w:rsid w:val="00771A27"/>
    <w:rsid w:val="00771D24"/>
    <w:rsid w:val="00771F80"/>
    <w:rsid w:val="00772488"/>
    <w:rsid w:val="0077264D"/>
    <w:rsid w:val="007727FB"/>
    <w:rsid w:val="00772800"/>
    <w:rsid w:val="00772A63"/>
    <w:rsid w:val="00772C4E"/>
    <w:rsid w:val="00772E8A"/>
    <w:rsid w:val="00773185"/>
    <w:rsid w:val="0077325C"/>
    <w:rsid w:val="007732F8"/>
    <w:rsid w:val="007733CE"/>
    <w:rsid w:val="007735F5"/>
    <w:rsid w:val="0077397E"/>
    <w:rsid w:val="00773B1E"/>
    <w:rsid w:val="00773FFE"/>
    <w:rsid w:val="00774202"/>
    <w:rsid w:val="00774357"/>
    <w:rsid w:val="00774618"/>
    <w:rsid w:val="00774640"/>
    <w:rsid w:val="00774674"/>
    <w:rsid w:val="0077470A"/>
    <w:rsid w:val="0077476C"/>
    <w:rsid w:val="00775069"/>
    <w:rsid w:val="00775124"/>
    <w:rsid w:val="0077516A"/>
    <w:rsid w:val="007753C4"/>
    <w:rsid w:val="0077558B"/>
    <w:rsid w:val="007757FD"/>
    <w:rsid w:val="00775B7E"/>
    <w:rsid w:val="00775C43"/>
    <w:rsid w:val="00775DDF"/>
    <w:rsid w:val="00775F6F"/>
    <w:rsid w:val="00776716"/>
    <w:rsid w:val="0077679F"/>
    <w:rsid w:val="007768A8"/>
    <w:rsid w:val="007768D7"/>
    <w:rsid w:val="007768FD"/>
    <w:rsid w:val="00776A90"/>
    <w:rsid w:val="00776DC2"/>
    <w:rsid w:val="0077727E"/>
    <w:rsid w:val="007772A0"/>
    <w:rsid w:val="00777320"/>
    <w:rsid w:val="007773C1"/>
    <w:rsid w:val="007773D9"/>
    <w:rsid w:val="00777556"/>
    <w:rsid w:val="00777D0B"/>
    <w:rsid w:val="00777D93"/>
    <w:rsid w:val="00777E48"/>
    <w:rsid w:val="00777EDA"/>
    <w:rsid w:val="007800CC"/>
    <w:rsid w:val="00780180"/>
    <w:rsid w:val="007801A9"/>
    <w:rsid w:val="007801C6"/>
    <w:rsid w:val="00780302"/>
    <w:rsid w:val="00780329"/>
    <w:rsid w:val="007807B7"/>
    <w:rsid w:val="00780AF0"/>
    <w:rsid w:val="00780CB2"/>
    <w:rsid w:val="00780D35"/>
    <w:rsid w:val="00780E15"/>
    <w:rsid w:val="00780E8D"/>
    <w:rsid w:val="00781308"/>
    <w:rsid w:val="007813C7"/>
    <w:rsid w:val="00781487"/>
    <w:rsid w:val="00781653"/>
    <w:rsid w:val="0078185C"/>
    <w:rsid w:val="00781A0A"/>
    <w:rsid w:val="00781B1D"/>
    <w:rsid w:val="00781D11"/>
    <w:rsid w:val="00781DDA"/>
    <w:rsid w:val="00782006"/>
    <w:rsid w:val="00782202"/>
    <w:rsid w:val="00782493"/>
    <w:rsid w:val="007824F7"/>
    <w:rsid w:val="00782547"/>
    <w:rsid w:val="00782691"/>
    <w:rsid w:val="0078273C"/>
    <w:rsid w:val="00782816"/>
    <w:rsid w:val="007829A1"/>
    <w:rsid w:val="00782A2F"/>
    <w:rsid w:val="00782BA0"/>
    <w:rsid w:val="00782C51"/>
    <w:rsid w:val="00782F28"/>
    <w:rsid w:val="00783067"/>
    <w:rsid w:val="007830BD"/>
    <w:rsid w:val="00783727"/>
    <w:rsid w:val="00783B27"/>
    <w:rsid w:val="00783CC7"/>
    <w:rsid w:val="00783F94"/>
    <w:rsid w:val="00784110"/>
    <w:rsid w:val="00784403"/>
    <w:rsid w:val="0078461C"/>
    <w:rsid w:val="00784621"/>
    <w:rsid w:val="00784782"/>
    <w:rsid w:val="007848F4"/>
    <w:rsid w:val="0078506D"/>
    <w:rsid w:val="00785443"/>
    <w:rsid w:val="0078558D"/>
    <w:rsid w:val="0078564B"/>
    <w:rsid w:val="00785750"/>
    <w:rsid w:val="00785844"/>
    <w:rsid w:val="00785BAF"/>
    <w:rsid w:val="00786088"/>
    <w:rsid w:val="007860DB"/>
    <w:rsid w:val="00786134"/>
    <w:rsid w:val="00786256"/>
    <w:rsid w:val="00786280"/>
    <w:rsid w:val="00786590"/>
    <w:rsid w:val="007866BF"/>
    <w:rsid w:val="007868CA"/>
    <w:rsid w:val="00786946"/>
    <w:rsid w:val="00786A1B"/>
    <w:rsid w:val="00786BB3"/>
    <w:rsid w:val="00786C39"/>
    <w:rsid w:val="0078718A"/>
    <w:rsid w:val="00787305"/>
    <w:rsid w:val="00787477"/>
    <w:rsid w:val="007877F6"/>
    <w:rsid w:val="00787C4C"/>
    <w:rsid w:val="00787E29"/>
    <w:rsid w:val="007888B8"/>
    <w:rsid w:val="00790026"/>
    <w:rsid w:val="00790052"/>
    <w:rsid w:val="0079026B"/>
    <w:rsid w:val="00790535"/>
    <w:rsid w:val="00790565"/>
    <w:rsid w:val="0079058B"/>
    <w:rsid w:val="00790701"/>
    <w:rsid w:val="00790815"/>
    <w:rsid w:val="007909AE"/>
    <w:rsid w:val="007912AE"/>
    <w:rsid w:val="00791477"/>
    <w:rsid w:val="007914E5"/>
    <w:rsid w:val="007915F5"/>
    <w:rsid w:val="007917F6"/>
    <w:rsid w:val="00791BBA"/>
    <w:rsid w:val="00791CB5"/>
    <w:rsid w:val="00792088"/>
    <w:rsid w:val="00792238"/>
    <w:rsid w:val="00792441"/>
    <w:rsid w:val="0079250A"/>
    <w:rsid w:val="00792715"/>
    <w:rsid w:val="007929FE"/>
    <w:rsid w:val="00792A9E"/>
    <w:rsid w:val="00792C32"/>
    <w:rsid w:val="00792EB6"/>
    <w:rsid w:val="00792FFF"/>
    <w:rsid w:val="0079306E"/>
    <w:rsid w:val="007930E3"/>
    <w:rsid w:val="0079352D"/>
    <w:rsid w:val="0079360B"/>
    <w:rsid w:val="007936BE"/>
    <w:rsid w:val="00793D86"/>
    <w:rsid w:val="00793EF1"/>
    <w:rsid w:val="007940BE"/>
    <w:rsid w:val="00794212"/>
    <w:rsid w:val="007946A0"/>
    <w:rsid w:val="00794824"/>
    <w:rsid w:val="00794A47"/>
    <w:rsid w:val="00794AA4"/>
    <w:rsid w:val="00794CF3"/>
    <w:rsid w:val="00794DCC"/>
    <w:rsid w:val="00794DF1"/>
    <w:rsid w:val="00794F61"/>
    <w:rsid w:val="00795177"/>
    <w:rsid w:val="007951F3"/>
    <w:rsid w:val="00795C45"/>
    <w:rsid w:val="00795D3A"/>
    <w:rsid w:val="00795E85"/>
    <w:rsid w:val="00796089"/>
    <w:rsid w:val="0079611A"/>
    <w:rsid w:val="0079612E"/>
    <w:rsid w:val="00796813"/>
    <w:rsid w:val="0079682A"/>
    <w:rsid w:val="00796831"/>
    <w:rsid w:val="00796A59"/>
    <w:rsid w:val="00796C7D"/>
    <w:rsid w:val="00796CEF"/>
    <w:rsid w:val="00796E55"/>
    <w:rsid w:val="00797192"/>
    <w:rsid w:val="007971DB"/>
    <w:rsid w:val="00797458"/>
    <w:rsid w:val="0079748C"/>
    <w:rsid w:val="00797888"/>
    <w:rsid w:val="00797B1A"/>
    <w:rsid w:val="00797F0D"/>
    <w:rsid w:val="007A0027"/>
    <w:rsid w:val="007A0560"/>
    <w:rsid w:val="007A06C4"/>
    <w:rsid w:val="007A06F9"/>
    <w:rsid w:val="007A0764"/>
    <w:rsid w:val="007A0AB0"/>
    <w:rsid w:val="007A0B00"/>
    <w:rsid w:val="007A1074"/>
    <w:rsid w:val="007A11D1"/>
    <w:rsid w:val="007A12AB"/>
    <w:rsid w:val="007A12D3"/>
    <w:rsid w:val="007A16DD"/>
    <w:rsid w:val="007A1AA3"/>
    <w:rsid w:val="007A1B51"/>
    <w:rsid w:val="007A1C04"/>
    <w:rsid w:val="007A1CA5"/>
    <w:rsid w:val="007A1CD2"/>
    <w:rsid w:val="007A22E1"/>
    <w:rsid w:val="007A25A8"/>
    <w:rsid w:val="007A2908"/>
    <w:rsid w:val="007A322E"/>
    <w:rsid w:val="007A3251"/>
    <w:rsid w:val="007A36A9"/>
    <w:rsid w:val="007A3703"/>
    <w:rsid w:val="007A3960"/>
    <w:rsid w:val="007A3D27"/>
    <w:rsid w:val="007A3F9B"/>
    <w:rsid w:val="007A3FEE"/>
    <w:rsid w:val="007A472D"/>
    <w:rsid w:val="007A4753"/>
    <w:rsid w:val="007A47B6"/>
    <w:rsid w:val="007A4899"/>
    <w:rsid w:val="007A49F5"/>
    <w:rsid w:val="007A5318"/>
    <w:rsid w:val="007A5395"/>
    <w:rsid w:val="007A53E2"/>
    <w:rsid w:val="007A5449"/>
    <w:rsid w:val="007A5476"/>
    <w:rsid w:val="007A55E3"/>
    <w:rsid w:val="007A567B"/>
    <w:rsid w:val="007A5A4B"/>
    <w:rsid w:val="007A5C23"/>
    <w:rsid w:val="007A5D2E"/>
    <w:rsid w:val="007A5F9C"/>
    <w:rsid w:val="007A5FF3"/>
    <w:rsid w:val="007A602F"/>
    <w:rsid w:val="007A620A"/>
    <w:rsid w:val="007A6228"/>
    <w:rsid w:val="007A654B"/>
    <w:rsid w:val="007A66D6"/>
    <w:rsid w:val="007A69ED"/>
    <w:rsid w:val="007A6B5A"/>
    <w:rsid w:val="007A6BB7"/>
    <w:rsid w:val="007A6DA7"/>
    <w:rsid w:val="007A6E6E"/>
    <w:rsid w:val="007A6FA3"/>
    <w:rsid w:val="007A72F5"/>
    <w:rsid w:val="007A73FF"/>
    <w:rsid w:val="007A757C"/>
    <w:rsid w:val="007A7D93"/>
    <w:rsid w:val="007A7DCA"/>
    <w:rsid w:val="007A7F40"/>
    <w:rsid w:val="007ABAC1"/>
    <w:rsid w:val="007B0067"/>
    <w:rsid w:val="007B00ED"/>
    <w:rsid w:val="007B0408"/>
    <w:rsid w:val="007B06D0"/>
    <w:rsid w:val="007B0831"/>
    <w:rsid w:val="007B0856"/>
    <w:rsid w:val="007B0B56"/>
    <w:rsid w:val="007B0C50"/>
    <w:rsid w:val="007B0EAD"/>
    <w:rsid w:val="007B1238"/>
    <w:rsid w:val="007B1256"/>
    <w:rsid w:val="007B1292"/>
    <w:rsid w:val="007B130E"/>
    <w:rsid w:val="007B13CC"/>
    <w:rsid w:val="007B1A15"/>
    <w:rsid w:val="007B1AAF"/>
    <w:rsid w:val="007B1BC6"/>
    <w:rsid w:val="007B1D2E"/>
    <w:rsid w:val="007B1D97"/>
    <w:rsid w:val="007B21D9"/>
    <w:rsid w:val="007B2420"/>
    <w:rsid w:val="007B286C"/>
    <w:rsid w:val="007B299C"/>
    <w:rsid w:val="007B2CBF"/>
    <w:rsid w:val="007B2D0F"/>
    <w:rsid w:val="007B312E"/>
    <w:rsid w:val="007B322A"/>
    <w:rsid w:val="007B34FA"/>
    <w:rsid w:val="007B3A45"/>
    <w:rsid w:val="007B3A5A"/>
    <w:rsid w:val="007B3C70"/>
    <w:rsid w:val="007B3D73"/>
    <w:rsid w:val="007B4033"/>
    <w:rsid w:val="007B408B"/>
    <w:rsid w:val="007B43FE"/>
    <w:rsid w:val="007B47FA"/>
    <w:rsid w:val="007B484F"/>
    <w:rsid w:val="007B50A7"/>
    <w:rsid w:val="007B51FC"/>
    <w:rsid w:val="007B5242"/>
    <w:rsid w:val="007B54F2"/>
    <w:rsid w:val="007B56B7"/>
    <w:rsid w:val="007B582B"/>
    <w:rsid w:val="007B5986"/>
    <w:rsid w:val="007B6021"/>
    <w:rsid w:val="007B6287"/>
    <w:rsid w:val="007B63BA"/>
    <w:rsid w:val="007B652B"/>
    <w:rsid w:val="007B653A"/>
    <w:rsid w:val="007B69F2"/>
    <w:rsid w:val="007B6A1A"/>
    <w:rsid w:val="007B7046"/>
    <w:rsid w:val="007B724A"/>
    <w:rsid w:val="007B741E"/>
    <w:rsid w:val="007B7460"/>
    <w:rsid w:val="007B7761"/>
    <w:rsid w:val="007B7954"/>
    <w:rsid w:val="007B7B9E"/>
    <w:rsid w:val="007B7F61"/>
    <w:rsid w:val="007C0090"/>
    <w:rsid w:val="007C0240"/>
    <w:rsid w:val="007C0263"/>
    <w:rsid w:val="007C0277"/>
    <w:rsid w:val="007C0475"/>
    <w:rsid w:val="007C0673"/>
    <w:rsid w:val="007C06EA"/>
    <w:rsid w:val="007C07A4"/>
    <w:rsid w:val="007C0B95"/>
    <w:rsid w:val="007C0EFD"/>
    <w:rsid w:val="007C11A2"/>
    <w:rsid w:val="007C14CE"/>
    <w:rsid w:val="007C1E7F"/>
    <w:rsid w:val="007C1F78"/>
    <w:rsid w:val="007C1FFB"/>
    <w:rsid w:val="007C23A4"/>
    <w:rsid w:val="007C2752"/>
    <w:rsid w:val="007C2BE0"/>
    <w:rsid w:val="007C2E44"/>
    <w:rsid w:val="007C2E8B"/>
    <w:rsid w:val="007C31CE"/>
    <w:rsid w:val="007C34B0"/>
    <w:rsid w:val="007C3506"/>
    <w:rsid w:val="007C3637"/>
    <w:rsid w:val="007C3735"/>
    <w:rsid w:val="007C389E"/>
    <w:rsid w:val="007C389F"/>
    <w:rsid w:val="007C3994"/>
    <w:rsid w:val="007C3CA9"/>
    <w:rsid w:val="007C3EE3"/>
    <w:rsid w:val="007C3F14"/>
    <w:rsid w:val="007C3FB6"/>
    <w:rsid w:val="007C4274"/>
    <w:rsid w:val="007C42D9"/>
    <w:rsid w:val="007C4506"/>
    <w:rsid w:val="007C4682"/>
    <w:rsid w:val="007C4998"/>
    <w:rsid w:val="007C4D3C"/>
    <w:rsid w:val="007C4E1C"/>
    <w:rsid w:val="007C4F0C"/>
    <w:rsid w:val="007C4F36"/>
    <w:rsid w:val="007C5775"/>
    <w:rsid w:val="007C597C"/>
    <w:rsid w:val="007C597F"/>
    <w:rsid w:val="007C5AC2"/>
    <w:rsid w:val="007C5CBC"/>
    <w:rsid w:val="007C5D72"/>
    <w:rsid w:val="007C5E47"/>
    <w:rsid w:val="007C5FB2"/>
    <w:rsid w:val="007C6210"/>
    <w:rsid w:val="007C6221"/>
    <w:rsid w:val="007C6465"/>
    <w:rsid w:val="007C66A5"/>
    <w:rsid w:val="007C67CA"/>
    <w:rsid w:val="007C68EA"/>
    <w:rsid w:val="007C6947"/>
    <w:rsid w:val="007C694A"/>
    <w:rsid w:val="007C6A79"/>
    <w:rsid w:val="007C6B5A"/>
    <w:rsid w:val="007C6C27"/>
    <w:rsid w:val="007C6EB5"/>
    <w:rsid w:val="007C7194"/>
    <w:rsid w:val="007C71EE"/>
    <w:rsid w:val="007C731F"/>
    <w:rsid w:val="007C7334"/>
    <w:rsid w:val="007C758B"/>
    <w:rsid w:val="007C77CA"/>
    <w:rsid w:val="007C78EB"/>
    <w:rsid w:val="007C7D13"/>
    <w:rsid w:val="007CCCB2"/>
    <w:rsid w:val="007D0226"/>
    <w:rsid w:val="007D077C"/>
    <w:rsid w:val="007D07E0"/>
    <w:rsid w:val="007D0875"/>
    <w:rsid w:val="007D0A24"/>
    <w:rsid w:val="007D0B9A"/>
    <w:rsid w:val="007D0DCC"/>
    <w:rsid w:val="007D109B"/>
    <w:rsid w:val="007D1669"/>
    <w:rsid w:val="007D16D3"/>
    <w:rsid w:val="007D1786"/>
    <w:rsid w:val="007D1846"/>
    <w:rsid w:val="007D1871"/>
    <w:rsid w:val="007D1BED"/>
    <w:rsid w:val="007D1C14"/>
    <w:rsid w:val="007D1F4D"/>
    <w:rsid w:val="007D2072"/>
    <w:rsid w:val="007D2AE7"/>
    <w:rsid w:val="007D2D2B"/>
    <w:rsid w:val="007D2FAF"/>
    <w:rsid w:val="007D3427"/>
    <w:rsid w:val="007D35E9"/>
    <w:rsid w:val="007D3881"/>
    <w:rsid w:val="007D38D3"/>
    <w:rsid w:val="007D3975"/>
    <w:rsid w:val="007D39EB"/>
    <w:rsid w:val="007D3A19"/>
    <w:rsid w:val="007D3BA7"/>
    <w:rsid w:val="007D3BB9"/>
    <w:rsid w:val="007D3D35"/>
    <w:rsid w:val="007D3EF1"/>
    <w:rsid w:val="007D41D2"/>
    <w:rsid w:val="007D42CF"/>
    <w:rsid w:val="007D441F"/>
    <w:rsid w:val="007D491E"/>
    <w:rsid w:val="007D49D6"/>
    <w:rsid w:val="007D4A5F"/>
    <w:rsid w:val="007D4E9E"/>
    <w:rsid w:val="007D516C"/>
    <w:rsid w:val="007D51D6"/>
    <w:rsid w:val="007D535C"/>
    <w:rsid w:val="007D53AD"/>
    <w:rsid w:val="007D548E"/>
    <w:rsid w:val="007D5496"/>
    <w:rsid w:val="007D55F7"/>
    <w:rsid w:val="007D56C6"/>
    <w:rsid w:val="007D57A2"/>
    <w:rsid w:val="007D5A85"/>
    <w:rsid w:val="007D5A96"/>
    <w:rsid w:val="007D61A8"/>
    <w:rsid w:val="007D61A9"/>
    <w:rsid w:val="007D61D5"/>
    <w:rsid w:val="007D61E9"/>
    <w:rsid w:val="007D6865"/>
    <w:rsid w:val="007D68AF"/>
    <w:rsid w:val="007D690D"/>
    <w:rsid w:val="007D6928"/>
    <w:rsid w:val="007D6B49"/>
    <w:rsid w:val="007D6BA0"/>
    <w:rsid w:val="007D72BC"/>
    <w:rsid w:val="007D72EE"/>
    <w:rsid w:val="007D763A"/>
    <w:rsid w:val="007D7737"/>
    <w:rsid w:val="007D7826"/>
    <w:rsid w:val="007D7972"/>
    <w:rsid w:val="007D7CC3"/>
    <w:rsid w:val="007E00D5"/>
    <w:rsid w:val="007E010D"/>
    <w:rsid w:val="007E0627"/>
    <w:rsid w:val="007E0658"/>
    <w:rsid w:val="007E08A8"/>
    <w:rsid w:val="007E08BD"/>
    <w:rsid w:val="007E0926"/>
    <w:rsid w:val="007E0AC2"/>
    <w:rsid w:val="007E0CCA"/>
    <w:rsid w:val="007E0F65"/>
    <w:rsid w:val="007E17A1"/>
    <w:rsid w:val="007E1A18"/>
    <w:rsid w:val="007E1ADF"/>
    <w:rsid w:val="007E1B43"/>
    <w:rsid w:val="007E1B7A"/>
    <w:rsid w:val="007E1C34"/>
    <w:rsid w:val="007E1C95"/>
    <w:rsid w:val="007E1EEB"/>
    <w:rsid w:val="007E1F06"/>
    <w:rsid w:val="007E210C"/>
    <w:rsid w:val="007E2291"/>
    <w:rsid w:val="007E234F"/>
    <w:rsid w:val="007E24D8"/>
    <w:rsid w:val="007E2867"/>
    <w:rsid w:val="007E2A51"/>
    <w:rsid w:val="007E2D3E"/>
    <w:rsid w:val="007E2DCB"/>
    <w:rsid w:val="007E2EE8"/>
    <w:rsid w:val="007E305F"/>
    <w:rsid w:val="007E32C7"/>
    <w:rsid w:val="007E33A0"/>
    <w:rsid w:val="007E36A6"/>
    <w:rsid w:val="007E3775"/>
    <w:rsid w:val="007E3DC6"/>
    <w:rsid w:val="007E3E21"/>
    <w:rsid w:val="007E3E8F"/>
    <w:rsid w:val="007E40C4"/>
    <w:rsid w:val="007E419F"/>
    <w:rsid w:val="007E50AA"/>
    <w:rsid w:val="007E51FA"/>
    <w:rsid w:val="007E5363"/>
    <w:rsid w:val="007E57E7"/>
    <w:rsid w:val="007E59D1"/>
    <w:rsid w:val="007E5EDB"/>
    <w:rsid w:val="007E6206"/>
    <w:rsid w:val="007E6252"/>
    <w:rsid w:val="007E6374"/>
    <w:rsid w:val="007E6473"/>
    <w:rsid w:val="007E6776"/>
    <w:rsid w:val="007E6915"/>
    <w:rsid w:val="007E6986"/>
    <w:rsid w:val="007E6B2C"/>
    <w:rsid w:val="007E6B86"/>
    <w:rsid w:val="007E6B99"/>
    <w:rsid w:val="007E6C5D"/>
    <w:rsid w:val="007E7056"/>
    <w:rsid w:val="007E7180"/>
    <w:rsid w:val="007E7599"/>
    <w:rsid w:val="007E759C"/>
    <w:rsid w:val="007E7AE8"/>
    <w:rsid w:val="007E7B08"/>
    <w:rsid w:val="007E7CEF"/>
    <w:rsid w:val="007E7D19"/>
    <w:rsid w:val="007E7F13"/>
    <w:rsid w:val="007E7F68"/>
    <w:rsid w:val="007F022F"/>
    <w:rsid w:val="007F0454"/>
    <w:rsid w:val="007F0B83"/>
    <w:rsid w:val="007F0C57"/>
    <w:rsid w:val="007F0F5E"/>
    <w:rsid w:val="007F0FBA"/>
    <w:rsid w:val="007F1210"/>
    <w:rsid w:val="007F15FE"/>
    <w:rsid w:val="007F16B4"/>
    <w:rsid w:val="007F1819"/>
    <w:rsid w:val="007F1BA9"/>
    <w:rsid w:val="007F1D25"/>
    <w:rsid w:val="007F1EFD"/>
    <w:rsid w:val="007F1F47"/>
    <w:rsid w:val="007F202B"/>
    <w:rsid w:val="007F23F2"/>
    <w:rsid w:val="007F24E3"/>
    <w:rsid w:val="007F263C"/>
    <w:rsid w:val="007F2688"/>
    <w:rsid w:val="007F27C2"/>
    <w:rsid w:val="007F2941"/>
    <w:rsid w:val="007F2C7D"/>
    <w:rsid w:val="007F2D78"/>
    <w:rsid w:val="007F2D8F"/>
    <w:rsid w:val="007F2E79"/>
    <w:rsid w:val="007F3052"/>
    <w:rsid w:val="007F31BF"/>
    <w:rsid w:val="007F3670"/>
    <w:rsid w:val="007F36AF"/>
    <w:rsid w:val="007F38FB"/>
    <w:rsid w:val="007F39E2"/>
    <w:rsid w:val="007F3AB5"/>
    <w:rsid w:val="007F3B38"/>
    <w:rsid w:val="007F3B54"/>
    <w:rsid w:val="007F3B68"/>
    <w:rsid w:val="007F3BA7"/>
    <w:rsid w:val="007F3BD0"/>
    <w:rsid w:val="007F3D16"/>
    <w:rsid w:val="007F3DC7"/>
    <w:rsid w:val="007F40EC"/>
    <w:rsid w:val="007F442E"/>
    <w:rsid w:val="007F450A"/>
    <w:rsid w:val="007F4638"/>
    <w:rsid w:val="007F4661"/>
    <w:rsid w:val="007F46C4"/>
    <w:rsid w:val="007F4999"/>
    <w:rsid w:val="007F53B8"/>
    <w:rsid w:val="007F5657"/>
    <w:rsid w:val="007F574A"/>
    <w:rsid w:val="007F59F7"/>
    <w:rsid w:val="007F5E9E"/>
    <w:rsid w:val="007F64B3"/>
    <w:rsid w:val="007F66CD"/>
    <w:rsid w:val="007F68C2"/>
    <w:rsid w:val="007F6995"/>
    <w:rsid w:val="007F69B7"/>
    <w:rsid w:val="007F6C11"/>
    <w:rsid w:val="007F71CC"/>
    <w:rsid w:val="007F7311"/>
    <w:rsid w:val="007F75B6"/>
    <w:rsid w:val="007F77C2"/>
    <w:rsid w:val="007F784F"/>
    <w:rsid w:val="007F7867"/>
    <w:rsid w:val="007F79DE"/>
    <w:rsid w:val="007F7C8B"/>
    <w:rsid w:val="007F7CA3"/>
    <w:rsid w:val="007FBA49"/>
    <w:rsid w:val="00800079"/>
    <w:rsid w:val="008002A6"/>
    <w:rsid w:val="00800793"/>
    <w:rsid w:val="00800AB1"/>
    <w:rsid w:val="00800E0D"/>
    <w:rsid w:val="00800EFE"/>
    <w:rsid w:val="00801540"/>
    <w:rsid w:val="008018AD"/>
    <w:rsid w:val="00801974"/>
    <w:rsid w:val="00801CE6"/>
    <w:rsid w:val="0080233A"/>
    <w:rsid w:val="008025FA"/>
    <w:rsid w:val="00802741"/>
    <w:rsid w:val="008028AC"/>
    <w:rsid w:val="008028CA"/>
    <w:rsid w:val="00802951"/>
    <w:rsid w:val="008029FD"/>
    <w:rsid w:val="00802CE6"/>
    <w:rsid w:val="00803099"/>
    <w:rsid w:val="008031B8"/>
    <w:rsid w:val="0080322D"/>
    <w:rsid w:val="00803256"/>
    <w:rsid w:val="008033EF"/>
    <w:rsid w:val="00803AFE"/>
    <w:rsid w:val="00803DD5"/>
    <w:rsid w:val="00803F91"/>
    <w:rsid w:val="0080446F"/>
    <w:rsid w:val="0080447C"/>
    <w:rsid w:val="00805368"/>
    <w:rsid w:val="00805553"/>
    <w:rsid w:val="00805AEA"/>
    <w:rsid w:val="00805D83"/>
    <w:rsid w:val="00805DD5"/>
    <w:rsid w:val="00805E4B"/>
    <w:rsid w:val="00805E77"/>
    <w:rsid w:val="0080608A"/>
    <w:rsid w:val="0080622D"/>
    <w:rsid w:val="0080622F"/>
    <w:rsid w:val="008062A0"/>
    <w:rsid w:val="0080676A"/>
    <w:rsid w:val="008068CE"/>
    <w:rsid w:val="008068D2"/>
    <w:rsid w:val="00806BA4"/>
    <w:rsid w:val="00806BBA"/>
    <w:rsid w:val="00806BCF"/>
    <w:rsid w:val="00806C6D"/>
    <w:rsid w:val="00806E77"/>
    <w:rsid w:val="00806E97"/>
    <w:rsid w:val="00807051"/>
    <w:rsid w:val="0080735D"/>
    <w:rsid w:val="008074C2"/>
    <w:rsid w:val="00807AAE"/>
    <w:rsid w:val="00807AC6"/>
    <w:rsid w:val="00807BD0"/>
    <w:rsid w:val="00807C30"/>
    <w:rsid w:val="00807D86"/>
    <w:rsid w:val="00807E21"/>
    <w:rsid w:val="00807E47"/>
    <w:rsid w:val="00807FAA"/>
    <w:rsid w:val="00810564"/>
    <w:rsid w:val="008105B5"/>
    <w:rsid w:val="008105D9"/>
    <w:rsid w:val="008105E3"/>
    <w:rsid w:val="00810721"/>
    <w:rsid w:val="0081085F"/>
    <w:rsid w:val="00810979"/>
    <w:rsid w:val="00810B4E"/>
    <w:rsid w:val="00810B83"/>
    <w:rsid w:val="00810D29"/>
    <w:rsid w:val="00810E9F"/>
    <w:rsid w:val="008110B1"/>
    <w:rsid w:val="0081110C"/>
    <w:rsid w:val="008115BC"/>
    <w:rsid w:val="00811612"/>
    <w:rsid w:val="00811B86"/>
    <w:rsid w:val="00811BAE"/>
    <w:rsid w:val="00811CFF"/>
    <w:rsid w:val="008121B9"/>
    <w:rsid w:val="0081220A"/>
    <w:rsid w:val="008123B8"/>
    <w:rsid w:val="00812745"/>
    <w:rsid w:val="0081277F"/>
    <w:rsid w:val="00812954"/>
    <w:rsid w:val="00812B8A"/>
    <w:rsid w:val="00812CD1"/>
    <w:rsid w:val="00812CE2"/>
    <w:rsid w:val="00812EA0"/>
    <w:rsid w:val="00813129"/>
    <w:rsid w:val="00813223"/>
    <w:rsid w:val="008132FF"/>
    <w:rsid w:val="008133B1"/>
    <w:rsid w:val="00813736"/>
    <w:rsid w:val="00813BDF"/>
    <w:rsid w:val="00813F09"/>
    <w:rsid w:val="0081418C"/>
    <w:rsid w:val="00814494"/>
    <w:rsid w:val="0081450E"/>
    <w:rsid w:val="00814556"/>
    <w:rsid w:val="0081469B"/>
    <w:rsid w:val="008146EC"/>
    <w:rsid w:val="008148D8"/>
    <w:rsid w:val="00814B6D"/>
    <w:rsid w:val="00814DE8"/>
    <w:rsid w:val="00814FC3"/>
    <w:rsid w:val="00815333"/>
    <w:rsid w:val="008156DC"/>
    <w:rsid w:val="0081570C"/>
    <w:rsid w:val="00815B6B"/>
    <w:rsid w:val="00815B73"/>
    <w:rsid w:val="00815BF9"/>
    <w:rsid w:val="00815DD6"/>
    <w:rsid w:val="00815E9A"/>
    <w:rsid w:val="00815F09"/>
    <w:rsid w:val="00815FD1"/>
    <w:rsid w:val="00816475"/>
    <w:rsid w:val="008165CB"/>
    <w:rsid w:val="0081662C"/>
    <w:rsid w:val="00816642"/>
    <w:rsid w:val="00816672"/>
    <w:rsid w:val="008167D6"/>
    <w:rsid w:val="00816ECB"/>
    <w:rsid w:val="00816FA9"/>
    <w:rsid w:val="0081703E"/>
    <w:rsid w:val="008170C8"/>
    <w:rsid w:val="00817491"/>
    <w:rsid w:val="00817549"/>
    <w:rsid w:val="008175AC"/>
    <w:rsid w:val="00817670"/>
    <w:rsid w:val="008178D5"/>
    <w:rsid w:val="00817DF7"/>
    <w:rsid w:val="0081B9A7"/>
    <w:rsid w:val="008201F4"/>
    <w:rsid w:val="00820588"/>
    <w:rsid w:val="008206D0"/>
    <w:rsid w:val="00820A5A"/>
    <w:rsid w:val="00820BAC"/>
    <w:rsid w:val="00820E3D"/>
    <w:rsid w:val="00820EE5"/>
    <w:rsid w:val="00821090"/>
    <w:rsid w:val="00821190"/>
    <w:rsid w:val="008212EF"/>
    <w:rsid w:val="008214E1"/>
    <w:rsid w:val="00821959"/>
    <w:rsid w:val="00821AE2"/>
    <w:rsid w:val="00821B9E"/>
    <w:rsid w:val="0082201E"/>
    <w:rsid w:val="008220DA"/>
    <w:rsid w:val="008221DD"/>
    <w:rsid w:val="00822617"/>
    <w:rsid w:val="008226C4"/>
    <w:rsid w:val="00822865"/>
    <w:rsid w:val="0082299F"/>
    <w:rsid w:val="00822A10"/>
    <w:rsid w:val="00822A44"/>
    <w:rsid w:val="00822A78"/>
    <w:rsid w:val="00822EC1"/>
    <w:rsid w:val="00822F1E"/>
    <w:rsid w:val="0082342A"/>
    <w:rsid w:val="008234BD"/>
    <w:rsid w:val="00823603"/>
    <w:rsid w:val="008236DE"/>
    <w:rsid w:val="008238FD"/>
    <w:rsid w:val="00823C4D"/>
    <w:rsid w:val="00823D6C"/>
    <w:rsid w:val="00824093"/>
    <w:rsid w:val="00824240"/>
    <w:rsid w:val="008244CF"/>
    <w:rsid w:val="008246C4"/>
    <w:rsid w:val="00824876"/>
    <w:rsid w:val="00824895"/>
    <w:rsid w:val="00824D43"/>
    <w:rsid w:val="008251A0"/>
    <w:rsid w:val="008252C1"/>
    <w:rsid w:val="008252FA"/>
    <w:rsid w:val="00825A78"/>
    <w:rsid w:val="00825AC8"/>
    <w:rsid w:val="00825EDE"/>
    <w:rsid w:val="008266FE"/>
    <w:rsid w:val="00826A62"/>
    <w:rsid w:val="00826A6B"/>
    <w:rsid w:val="00826BC7"/>
    <w:rsid w:val="00826BF2"/>
    <w:rsid w:val="00826D5C"/>
    <w:rsid w:val="00826DD5"/>
    <w:rsid w:val="00826E8E"/>
    <w:rsid w:val="0082710E"/>
    <w:rsid w:val="00827364"/>
    <w:rsid w:val="008274B6"/>
    <w:rsid w:val="008278E7"/>
    <w:rsid w:val="00827994"/>
    <w:rsid w:val="00827FE9"/>
    <w:rsid w:val="00830083"/>
    <w:rsid w:val="00830284"/>
    <w:rsid w:val="008302F1"/>
    <w:rsid w:val="00830492"/>
    <w:rsid w:val="00830549"/>
    <w:rsid w:val="008305BE"/>
    <w:rsid w:val="008305F3"/>
    <w:rsid w:val="00830680"/>
    <w:rsid w:val="00830689"/>
    <w:rsid w:val="008306FC"/>
    <w:rsid w:val="0083095F"/>
    <w:rsid w:val="008309E0"/>
    <w:rsid w:val="00830A02"/>
    <w:rsid w:val="00830A4A"/>
    <w:rsid w:val="00830EC3"/>
    <w:rsid w:val="00831046"/>
    <w:rsid w:val="008311D7"/>
    <w:rsid w:val="00831375"/>
    <w:rsid w:val="00831634"/>
    <w:rsid w:val="00831664"/>
    <w:rsid w:val="00831822"/>
    <w:rsid w:val="00831853"/>
    <w:rsid w:val="008319B7"/>
    <w:rsid w:val="00831B29"/>
    <w:rsid w:val="00831E4C"/>
    <w:rsid w:val="0083207D"/>
    <w:rsid w:val="008320D9"/>
    <w:rsid w:val="00832152"/>
    <w:rsid w:val="00832310"/>
    <w:rsid w:val="008323B7"/>
    <w:rsid w:val="008323E9"/>
    <w:rsid w:val="008326C3"/>
    <w:rsid w:val="00833038"/>
    <w:rsid w:val="00833370"/>
    <w:rsid w:val="008334E5"/>
    <w:rsid w:val="008336FF"/>
    <w:rsid w:val="00833B49"/>
    <w:rsid w:val="0083405D"/>
    <w:rsid w:val="008344C2"/>
    <w:rsid w:val="00834531"/>
    <w:rsid w:val="00834694"/>
    <w:rsid w:val="00834704"/>
    <w:rsid w:val="00834979"/>
    <w:rsid w:val="00834A8F"/>
    <w:rsid w:val="00834AEA"/>
    <w:rsid w:val="00834C1E"/>
    <w:rsid w:val="00834D25"/>
    <w:rsid w:val="0083514F"/>
    <w:rsid w:val="0083543C"/>
    <w:rsid w:val="0083549B"/>
    <w:rsid w:val="0083553D"/>
    <w:rsid w:val="00835899"/>
    <w:rsid w:val="00835920"/>
    <w:rsid w:val="0083593E"/>
    <w:rsid w:val="00835A84"/>
    <w:rsid w:val="00835B32"/>
    <w:rsid w:val="00835E1D"/>
    <w:rsid w:val="008360BC"/>
    <w:rsid w:val="0083622C"/>
    <w:rsid w:val="008365B1"/>
    <w:rsid w:val="0083687E"/>
    <w:rsid w:val="00836928"/>
    <w:rsid w:val="00836D6E"/>
    <w:rsid w:val="0083720B"/>
    <w:rsid w:val="00837235"/>
    <w:rsid w:val="00837429"/>
    <w:rsid w:val="008375DE"/>
    <w:rsid w:val="00837716"/>
    <w:rsid w:val="00837726"/>
    <w:rsid w:val="008378BE"/>
    <w:rsid w:val="00837D0D"/>
    <w:rsid w:val="00837FB4"/>
    <w:rsid w:val="00840253"/>
    <w:rsid w:val="00840364"/>
    <w:rsid w:val="0084061D"/>
    <w:rsid w:val="00840622"/>
    <w:rsid w:val="00840C17"/>
    <w:rsid w:val="00840EC1"/>
    <w:rsid w:val="00840EDD"/>
    <w:rsid w:val="00840F3C"/>
    <w:rsid w:val="00840F98"/>
    <w:rsid w:val="0084100E"/>
    <w:rsid w:val="0084132A"/>
    <w:rsid w:val="0084161D"/>
    <w:rsid w:val="00841ABC"/>
    <w:rsid w:val="00841C3E"/>
    <w:rsid w:val="00841C76"/>
    <w:rsid w:val="00841DE9"/>
    <w:rsid w:val="00841E95"/>
    <w:rsid w:val="00841FF5"/>
    <w:rsid w:val="00842069"/>
    <w:rsid w:val="008421C9"/>
    <w:rsid w:val="0084225E"/>
    <w:rsid w:val="0084241F"/>
    <w:rsid w:val="00842460"/>
    <w:rsid w:val="0084276D"/>
    <w:rsid w:val="00842789"/>
    <w:rsid w:val="00842908"/>
    <w:rsid w:val="00842A77"/>
    <w:rsid w:val="00842FC4"/>
    <w:rsid w:val="00843084"/>
    <w:rsid w:val="0084382A"/>
    <w:rsid w:val="008438C7"/>
    <w:rsid w:val="00843CAD"/>
    <w:rsid w:val="00843D9C"/>
    <w:rsid w:val="00843ED9"/>
    <w:rsid w:val="00843FD6"/>
    <w:rsid w:val="00844126"/>
    <w:rsid w:val="0084434B"/>
    <w:rsid w:val="00844856"/>
    <w:rsid w:val="008448DC"/>
    <w:rsid w:val="008448DD"/>
    <w:rsid w:val="0084497E"/>
    <w:rsid w:val="00844D72"/>
    <w:rsid w:val="00844E4B"/>
    <w:rsid w:val="008456B3"/>
    <w:rsid w:val="0084570D"/>
    <w:rsid w:val="00845A52"/>
    <w:rsid w:val="00845B38"/>
    <w:rsid w:val="00845D88"/>
    <w:rsid w:val="00845E34"/>
    <w:rsid w:val="00845E69"/>
    <w:rsid w:val="00845EFA"/>
    <w:rsid w:val="008463B2"/>
    <w:rsid w:val="008464E0"/>
    <w:rsid w:val="008464E4"/>
    <w:rsid w:val="0084673A"/>
    <w:rsid w:val="00846AB5"/>
    <w:rsid w:val="00846F87"/>
    <w:rsid w:val="00847183"/>
    <w:rsid w:val="008473C1"/>
    <w:rsid w:val="008473F4"/>
    <w:rsid w:val="00847550"/>
    <w:rsid w:val="00847626"/>
    <w:rsid w:val="00847921"/>
    <w:rsid w:val="00847A6D"/>
    <w:rsid w:val="00847BFF"/>
    <w:rsid w:val="00847DB8"/>
    <w:rsid w:val="00847EFD"/>
    <w:rsid w:val="00847F3D"/>
    <w:rsid w:val="00847FDD"/>
    <w:rsid w:val="0085008D"/>
    <w:rsid w:val="00850272"/>
    <w:rsid w:val="00850301"/>
    <w:rsid w:val="00850357"/>
    <w:rsid w:val="008506E2"/>
    <w:rsid w:val="008507AA"/>
    <w:rsid w:val="008507D3"/>
    <w:rsid w:val="008509D7"/>
    <w:rsid w:val="00850BA3"/>
    <w:rsid w:val="00850F4E"/>
    <w:rsid w:val="00850FCF"/>
    <w:rsid w:val="00851180"/>
    <w:rsid w:val="008511BC"/>
    <w:rsid w:val="00851300"/>
    <w:rsid w:val="00851466"/>
    <w:rsid w:val="008515D8"/>
    <w:rsid w:val="008515E2"/>
    <w:rsid w:val="00851627"/>
    <w:rsid w:val="0085170F"/>
    <w:rsid w:val="0085177F"/>
    <w:rsid w:val="008517C9"/>
    <w:rsid w:val="00851B15"/>
    <w:rsid w:val="00851C91"/>
    <w:rsid w:val="00852061"/>
    <w:rsid w:val="0085223D"/>
    <w:rsid w:val="008523E2"/>
    <w:rsid w:val="0085267D"/>
    <w:rsid w:val="0085267F"/>
    <w:rsid w:val="008528E3"/>
    <w:rsid w:val="00852938"/>
    <w:rsid w:val="00852EB8"/>
    <w:rsid w:val="008530EC"/>
    <w:rsid w:val="0085323C"/>
    <w:rsid w:val="0085331D"/>
    <w:rsid w:val="00853355"/>
    <w:rsid w:val="008535A9"/>
    <w:rsid w:val="00853C6E"/>
    <w:rsid w:val="0085411A"/>
    <w:rsid w:val="00854269"/>
    <w:rsid w:val="00854331"/>
    <w:rsid w:val="0085443E"/>
    <w:rsid w:val="008545D9"/>
    <w:rsid w:val="008549A8"/>
    <w:rsid w:val="008549EC"/>
    <w:rsid w:val="00854BA2"/>
    <w:rsid w:val="008550C5"/>
    <w:rsid w:val="0085514F"/>
    <w:rsid w:val="00855263"/>
    <w:rsid w:val="008552F5"/>
    <w:rsid w:val="008554A0"/>
    <w:rsid w:val="00855617"/>
    <w:rsid w:val="0085567D"/>
    <w:rsid w:val="00855AF6"/>
    <w:rsid w:val="00855CBF"/>
    <w:rsid w:val="008560F4"/>
    <w:rsid w:val="0085616F"/>
    <w:rsid w:val="0085628F"/>
    <w:rsid w:val="008564A0"/>
    <w:rsid w:val="00856509"/>
    <w:rsid w:val="00856646"/>
    <w:rsid w:val="008566C0"/>
    <w:rsid w:val="00857170"/>
    <w:rsid w:val="0085734B"/>
    <w:rsid w:val="00857454"/>
    <w:rsid w:val="00857703"/>
    <w:rsid w:val="00857F9D"/>
    <w:rsid w:val="00860039"/>
    <w:rsid w:val="008600A8"/>
    <w:rsid w:val="008602BC"/>
    <w:rsid w:val="00860386"/>
    <w:rsid w:val="00860627"/>
    <w:rsid w:val="008609EC"/>
    <w:rsid w:val="00860BCA"/>
    <w:rsid w:val="00860F80"/>
    <w:rsid w:val="0086102E"/>
    <w:rsid w:val="008612EF"/>
    <w:rsid w:val="0086159F"/>
    <w:rsid w:val="008615FE"/>
    <w:rsid w:val="00861D23"/>
    <w:rsid w:val="00861F14"/>
    <w:rsid w:val="0086242B"/>
    <w:rsid w:val="00862555"/>
    <w:rsid w:val="00862AC1"/>
    <w:rsid w:val="00862D19"/>
    <w:rsid w:val="00862F67"/>
    <w:rsid w:val="00862F7F"/>
    <w:rsid w:val="0086338E"/>
    <w:rsid w:val="00863582"/>
    <w:rsid w:val="0086359E"/>
    <w:rsid w:val="008636BC"/>
    <w:rsid w:val="00863AF9"/>
    <w:rsid w:val="00863E0B"/>
    <w:rsid w:val="00863E74"/>
    <w:rsid w:val="008642E4"/>
    <w:rsid w:val="00864A0E"/>
    <w:rsid w:val="00864C0F"/>
    <w:rsid w:val="00864DB7"/>
    <w:rsid w:val="00864E88"/>
    <w:rsid w:val="00864F54"/>
    <w:rsid w:val="00865063"/>
    <w:rsid w:val="00865119"/>
    <w:rsid w:val="0086516C"/>
    <w:rsid w:val="00865462"/>
    <w:rsid w:val="00865487"/>
    <w:rsid w:val="008656E0"/>
    <w:rsid w:val="00865CC7"/>
    <w:rsid w:val="00865E87"/>
    <w:rsid w:val="008660BB"/>
    <w:rsid w:val="0086610B"/>
    <w:rsid w:val="00866357"/>
    <w:rsid w:val="0086655B"/>
    <w:rsid w:val="008669AC"/>
    <w:rsid w:val="00866E97"/>
    <w:rsid w:val="0086722D"/>
    <w:rsid w:val="0086725A"/>
    <w:rsid w:val="00867430"/>
    <w:rsid w:val="008674AC"/>
    <w:rsid w:val="00867B09"/>
    <w:rsid w:val="00867C1B"/>
    <w:rsid w:val="00867F12"/>
    <w:rsid w:val="00868611"/>
    <w:rsid w:val="00870275"/>
    <w:rsid w:val="008704DA"/>
    <w:rsid w:val="0087096A"/>
    <w:rsid w:val="00870991"/>
    <w:rsid w:val="008711CD"/>
    <w:rsid w:val="00871324"/>
    <w:rsid w:val="00871469"/>
    <w:rsid w:val="00871473"/>
    <w:rsid w:val="0087166D"/>
    <w:rsid w:val="00871865"/>
    <w:rsid w:val="00871B7A"/>
    <w:rsid w:val="00871C0A"/>
    <w:rsid w:val="00872039"/>
    <w:rsid w:val="00872151"/>
    <w:rsid w:val="008721E5"/>
    <w:rsid w:val="008722CD"/>
    <w:rsid w:val="00872393"/>
    <w:rsid w:val="00872473"/>
    <w:rsid w:val="00872A8F"/>
    <w:rsid w:val="00872ADA"/>
    <w:rsid w:val="00872AE7"/>
    <w:rsid w:val="00872EDD"/>
    <w:rsid w:val="0087322A"/>
    <w:rsid w:val="0087323A"/>
    <w:rsid w:val="00873276"/>
    <w:rsid w:val="0087344F"/>
    <w:rsid w:val="00873685"/>
    <w:rsid w:val="008736A2"/>
    <w:rsid w:val="008738F6"/>
    <w:rsid w:val="00873A6A"/>
    <w:rsid w:val="00873B15"/>
    <w:rsid w:val="00873E33"/>
    <w:rsid w:val="00873E85"/>
    <w:rsid w:val="00873FBA"/>
    <w:rsid w:val="00874021"/>
    <w:rsid w:val="008740B7"/>
    <w:rsid w:val="00874116"/>
    <w:rsid w:val="0087412C"/>
    <w:rsid w:val="00874237"/>
    <w:rsid w:val="00874372"/>
    <w:rsid w:val="008743C5"/>
    <w:rsid w:val="008745AF"/>
    <w:rsid w:val="008746FD"/>
    <w:rsid w:val="00874724"/>
    <w:rsid w:val="00874AE7"/>
    <w:rsid w:val="00874BCD"/>
    <w:rsid w:val="00874E55"/>
    <w:rsid w:val="008752CF"/>
    <w:rsid w:val="008756CF"/>
    <w:rsid w:val="0087570A"/>
    <w:rsid w:val="0087572D"/>
    <w:rsid w:val="008757DB"/>
    <w:rsid w:val="008758C7"/>
    <w:rsid w:val="00875A72"/>
    <w:rsid w:val="00875C69"/>
    <w:rsid w:val="00875D2F"/>
    <w:rsid w:val="0087624B"/>
    <w:rsid w:val="008763BF"/>
    <w:rsid w:val="00876433"/>
    <w:rsid w:val="00876447"/>
    <w:rsid w:val="00876498"/>
    <w:rsid w:val="00876834"/>
    <w:rsid w:val="00876989"/>
    <w:rsid w:val="008769FB"/>
    <w:rsid w:val="00876CB2"/>
    <w:rsid w:val="00876D36"/>
    <w:rsid w:val="00876E44"/>
    <w:rsid w:val="00876FAB"/>
    <w:rsid w:val="00877231"/>
    <w:rsid w:val="0087728A"/>
    <w:rsid w:val="008772D5"/>
    <w:rsid w:val="008773AD"/>
    <w:rsid w:val="008773B9"/>
    <w:rsid w:val="008774C6"/>
    <w:rsid w:val="00877A78"/>
    <w:rsid w:val="00877D6A"/>
    <w:rsid w:val="00877F07"/>
    <w:rsid w:val="00880253"/>
    <w:rsid w:val="0088027F"/>
    <w:rsid w:val="0088060D"/>
    <w:rsid w:val="00880CA4"/>
    <w:rsid w:val="00880CC4"/>
    <w:rsid w:val="008811BF"/>
    <w:rsid w:val="0088129C"/>
    <w:rsid w:val="008812B9"/>
    <w:rsid w:val="008815D4"/>
    <w:rsid w:val="00881662"/>
    <w:rsid w:val="0088177B"/>
    <w:rsid w:val="0088183C"/>
    <w:rsid w:val="00881AAF"/>
    <w:rsid w:val="00881FD7"/>
    <w:rsid w:val="008821BB"/>
    <w:rsid w:val="008824DD"/>
    <w:rsid w:val="008829A9"/>
    <w:rsid w:val="00882DE0"/>
    <w:rsid w:val="00882E1F"/>
    <w:rsid w:val="00883011"/>
    <w:rsid w:val="00883197"/>
    <w:rsid w:val="008832B9"/>
    <w:rsid w:val="008833B0"/>
    <w:rsid w:val="008833C0"/>
    <w:rsid w:val="00883528"/>
    <w:rsid w:val="00883C8A"/>
    <w:rsid w:val="00883E87"/>
    <w:rsid w:val="00883F4B"/>
    <w:rsid w:val="00884038"/>
    <w:rsid w:val="0088413A"/>
    <w:rsid w:val="0088434D"/>
    <w:rsid w:val="00884399"/>
    <w:rsid w:val="00884724"/>
    <w:rsid w:val="00885115"/>
    <w:rsid w:val="008852B1"/>
    <w:rsid w:val="00885393"/>
    <w:rsid w:val="00885584"/>
    <w:rsid w:val="0088616A"/>
    <w:rsid w:val="008861B1"/>
    <w:rsid w:val="00886221"/>
    <w:rsid w:val="0088652B"/>
    <w:rsid w:val="0088661D"/>
    <w:rsid w:val="0088683E"/>
    <w:rsid w:val="0088687C"/>
    <w:rsid w:val="00886884"/>
    <w:rsid w:val="008868A3"/>
    <w:rsid w:val="008869D5"/>
    <w:rsid w:val="00886A8D"/>
    <w:rsid w:val="00886D8C"/>
    <w:rsid w:val="00886E35"/>
    <w:rsid w:val="00886EC7"/>
    <w:rsid w:val="0088711B"/>
    <w:rsid w:val="0088711E"/>
    <w:rsid w:val="0088721F"/>
    <w:rsid w:val="008872A2"/>
    <w:rsid w:val="00887545"/>
    <w:rsid w:val="00887888"/>
    <w:rsid w:val="0088791A"/>
    <w:rsid w:val="00887990"/>
    <w:rsid w:val="008879CE"/>
    <w:rsid w:val="00887AB0"/>
    <w:rsid w:val="00887B76"/>
    <w:rsid w:val="00887C0F"/>
    <w:rsid w:val="00887C91"/>
    <w:rsid w:val="00890053"/>
    <w:rsid w:val="008901EE"/>
    <w:rsid w:val="008902A6"/>
    <w:rsid w:val="008904DF"/>
    <w:rsid w:val="008905F7"/>
    <w:rsid w:val="00890646"/>
    <w:rsid w:val="0089065A"/>
    <w:rsid w:val="008906B1"/>
    <w:rsid w:val="0089083B"/>
    <w:rsid w:val="00890B64"/>
    <w:rsid w:val="00890B71"/>
    <w:rsid w:val="00890BDF"/>
    <w:rsid w:val="00890C36"/>
    <w:rsid w:val="00890D84"/>
    <w:rsid w:val="00890E65"/>
    <w:rsid w:val="0089106D"/>
    <w:rsid w:val="008913FE"/>
    <w:rsid w:val="00891494"/>
    <w:rsid w:val="008917D3"/>
    <w:rsid w:val="00891D6A"/>
    <w:rsid w:val="00892128"/>
    <w:rsid w:val="00892245"/>
    <w:rsid w:val="0089234C"/>
    <w:rsid w:val="008925B5"/>
    <w:rsid w:val="0089277A"/>
    <w:rsid w:val="008928DB"/>
    <w:rsid w:val="00892AB6"/>
    <w:rsid w:val="00892C2D"/>
    <w:rsid w:val="00892C5E"/>
    <w:rsid w:val="00892D6F"/>
    <w:rsid w:val="00892DA8"/>
    <w:rsid w:val="00892F8B"/>
    <w:rsid w:val="0089333E"/>
    <w:rsid w:val="008934F5"/>
    <w:rsid w:val="00893843"/>
    <w:rsid w:val="00893D8F"/>
    <w:rsid w:val="00893F93"/>
    <w:rsid w:val="0089420B"/>
    <w:rsid w:val="00894410"/>
    <w:rsid w:val="008946FD"/>
    <w:rsid w:val="0089480F"/>
    <w:rsid w:val="008948EC"/>
    <w:rsid w:val="00894A91"/>
    <w:rsid w:val="00894D4D"/>
    <w:rsid w:val="00894F5B"/>
    <w:rsid w:val="0089509F"/>
    <w:rsid w:val="0089516C"/>
    <w:rsid w:val="008953CC"/>
    <w:rsid w:val="00895452"/>
    <w:rsid w:val="008954CC"/>
    <w:rsid w:val="0089590A"/>
    <w:rsid w:val="00895B64"/>
    <w:rsid w:val="00895CDD"/>
    <w:rsid w:val="00895E34"/>
    <w:rsid w:val="0089600C"/>
    <w:rsid w:val="008961C7"/>
    <w:rsid w:val="0089626E"/>
    <w:rsid w:val="008962F2"/>
    <w:rsid w:val="0089663C"/>
    <w:rsid w:val="00896940"/>
    <w:rsid w:val="00896E0B"/>
    <w:rsid w:val="00896F35"/>
    <w:rsid w:val="00896FE6"/>
    <w:rsid w:val="00896FF3"/>
    <w:rsid w:val="0089720F"/>
    <w:rsid w:val="00897263"/>
    <w:rsid w:val="008972C9"/>
    <w:rsid w:val="008973DB"/>
    <w:rsid w:val="008977B5"/>
    <w:rsid w:val="008978E4"/>
    <w:rsid w:val="008A0260"/>
    <w:rsid w:val="008A04D3"/>
    <w:rsid w:val="008A05AF"/>
    <w:rsid w:val="008A08A5"/>
    <w:rsid w:val="008A0A5A"/>
    <w:rsid w:val="008A0AA6"/>
    <w:rsid w:val="008A1221"/>
    <w:rsid w:val="008A1454"/>
    <w:rsid w:val="008A191B"/>
    <w:rsid w:val="008A19D7"/>
    <w:rsid w:val="008A22BF"/>
    <w:rsid w:val="008A24E9"/>
    <w:rsid w:val="008A260F"/>
    <w:rsid w:val="008A263D"/>
    <w:rsid w:val="008A26F1"/>
    <w:rsid w:val="008A2911"/>
    <w:rsid w:val="008A2DD6"/>
    <w:rsid w:val="008A2EA0"/>
    <w:rsid w:val="008A2FD7"/>
    <w:rsid w:val="008A329F"/>
    <w:rsid w:val="008A3430"/>
    <w:rsid w:val="008A394E"/>
    <w:rsid w:val="008A3B10"/>
    <w:rsid w:val="008A3B1B"/>
    <w:rsid w:val="008A3E93"/>
    <w:rsid w:val="008A40FE"/>
    <w:rsid w:val="008A422E"/>
    <w:rsid w:val="008A4A75"/>
    <w:rsid w:val="008A4BBB"/>
    <w:rsid w:val="008A52C3"/>
    <w:rsid w:val="008A53B2"/>
    <w:rsid w:val="008A5684"/>
    <w:rsid w:val="008A56B1"/>
    <w:rsid w:val="008A5BB8"/>
    <w:rsid w:val="008A618C"/>
    <w:rsid w:val="008A63B7"/>
    <w:rsid w:val="008A6734"/>
    <w:rsid w:val="008A674C"/>
    <w:rsid w:val="008A69E1"/>
    <w:rsid w:val="008A6B76"/>
    <w:rsid w:val="008A6CEB"/>
    <w:rsid w:val="008A6D7E"/>
    <w:rsid w:val="008A6E14"/>
    <w:rsid w:val="008A6E37"/>
    <w:rsid w:val="008A6ECA"/>
    <w:rsid w:val="008A70BC"/>
    <w:rsid w:val="008A70D1"/>
    <w:rsid w:val="008A7432"/>
    <w:rsid w:val="008A758B"/>
    <w:rsid w:val="008A77F2"/>
    <w:rsid w:val="008A7A09"/>
    <w:rsid w:val="008A7AAA"/>
    <w:rsid w:val="008A7AFE"/>
    <w:rsid w:val="008A7C09"/>
    <w:rsid w:val="008B00B3"/>
    <w:rsid w:val="008B017D"/>
    <w:rsid w:val="008B072F"/>
    <w:rsid w:val="008B0869"/>
    <w:rsid w:val="008B089E"/>
    <w:rsid w:val="008B1019"/>
    <w:rsid w:val="008B141C"/>
    <w:rsid w:val="008B1634"/>
    <w:rsid w:val="008B1704"/>
    <w:rsid w:val="008B176A"/>
    <w:rsid w:val="008B183A"/>
    <w:rsid w:val="008B19A1"/>
    <w:rsid w:val="008B1CBA"/>
    <w:rsid w:val="008B1D15"/>
    <w:rsid w:val="008B20DC"/>
    <w:rsid w:val="008B22F8"/>
    <w:rsid w:val="008B241D"/>
    <w:rsid w:val="008B24D6"/>
    <w:rsid w:val="008B2A43"/>
    <w:rsid w:val="008B2DF2"/>
    <w:rsid w:val="008B2ECF"/>
    <w:rsid w:val="008B325C"/>
    <w:rsid w:val="008B327F"/>
    <w:rsid w:val="008B33A0"/>
    <w:rsid w:val="008B3A53"/>
    <w:rsid w:val="008B3C02"/>
    <w:rsid w:val="008B3E42"/>
    <w:rsid w:val="008B42CA"/>
    <w:rsid w:val="008B4463"/>
    <w:rsid w:val="008B45BB"/>
    <w:rsid w:val="008B48D7"/>
    <w:rsid w:val="008B4A67"/>
    <w:rsid w:val="008B4B1A"/>
    <w:rsid w:val="008B4B2B"/>
    <w:rsid w:val="008B4E10"/>
    <w:rsid w:val="008B4F52"/>
    <w:rsid w:val="008B5052"/>
    <w:rsid w:val="008B5267"/>
    <w:rsid w:val="008B5405"/>
    <w:rsid w:val="008B554E"/>
    <w:rsid w:val="008B561C"/>
    <w:rsid w:val="008B5940"/>
    <w:rsid w:val="008B5AC9"/>
    <w:rsid w:val="008B5BFB"/>
    <w:rsid w:val="008B5D56"/>
    <w:rsid w:val="008B5FA3"/>
    <w:rsid w:val="008B665D"/>
    <w:rsid w:val="008B66DC"/>
    <w:rsid w:val="008B6A11"/>
    <w:rsid w:val="008B6A69"/>
    <w:rsid w:val="008B704E"/>
    <w:rsid w:val="008B743D"/>
    <w:rsid w:val="008B77BF"/>
    <w:rsid w:val="008B7AE3"/>
    <w:rsid w:val="008B7D86"/>
    <w:rsid w:val="008B7F37"/>
    <w:rsid w:val="008C05F6"/>
    <w:rsid w:val="008C0695"/>
    <w:rsid w:val="008C0717"/>
    <w:rsid w:val="008C0AAD"/>
    <w:rsid w:val="008C0BFC"/>
    <w:rsid w:val="008C0CFE"/>
    <w:rsid w:val="008C0E41"/>
    <w:rsid w:val="008C0E4D"/>
    <w:rsid w:val="008C0FA3"/>
    <w:rsid w:val="008C0FFC"/>
    <w:rsid w:val="008C116B"/>
    <w:rsid w:val="008C124D"/>
    <w:rsid w:val="008C14E4"/>
    <w:rsid w:val="008C1857"/>
    <w:rsid w:val="008C19AE"/>
    <w:rsid w:val="008C1B3A"/>
    <w:rsid w:val="008C1D08"/>
    <w:rsid w:val="008C1D6D"/>
    <w:rsid w:val="008C1F43"/>
    <w:rsid w:val="008C1FBB"/>
    <w:rsid w:val="008C227B"/>
    <w:rsid w:val="008C2963"/>
    <w:rsid w:val="008C29CF"/>
    <w:rsid w:val="008C2A26"/>
    <w:rsid w:val="008C2AF1"/>
    <w:rsid w:val="008C2BF2"/>
    <w:rsid w:val="008C2DE4"/>
    <w:rsid w:val="008C2F2B"/>
    <w:rsid w:val="008C2FB7"/>
    <w:rsid w:val="008C3100"/>
    <w:rsid w:val="008C3118"/>
    <w:rsid w:val="008C31C2"/>
    <w:rsid w:val="008C32AC"/>
    <w:rsid w:val="008C354D"/>
    <w:rsid w:val="008C38C9"/>
    <w:rsid w:val="008C3988"/>
    <w:rsid w:val="008C3B67"/>
    <w:rsid w:val="008C3BAB"/>
    <w:rsid w:val="008C3D90"/>
    <w:rsid w:val="008C3F8B"/>
    <w:rsid w:val="008C4150"/>
    <w:rsid w:val="008C41B4"/>
    <w:rsid w:val="008C42BB"/>
    <w:rsid w:val="008C460E"/>
    <w:rsid w:val="008C4680"/>
    <w:rsid w:val="008C4858"/>
    <w:rsid w:val="008C4876"/>
    <w:rsid w:val="008C4ADB"/>
    <w:rsid w:val="008C4C07"/>
    <w:rsid w:val="008C4CF8"/>
    <w:rsid w:val="008C4E17"/>
    <w:rsid w:val="008C4F43"/>
    <w:rsid w:val="008C50D6"/>
    <w:rsid w:val="008C50EE"/>
    <w:rsid w:val="008C5166"/>
    <w:rsid w:val="008C51E6"/>
    <w:rsid w:val="008C52FF"/>
    <w:rsid w:val="008C56A8"/>
    <w:rsid w:val="008C5832"/>
    <w:rsid w:val="008C5B22"/>
    <w:rsid w:val="008C5C36"/>
    <w:rsid w:val="008C61CB"/>
    <w:rsid w:val="008C62A1"/>
    <w:rsid w:val="008C64E3"/>
    <w:rsid w:val="008C6624"/>
    <w:rsid w:val="008C6726"/>
    <w:rsid w:val="008C6896"/>
    <w:rsid w:val="008C6AD6"/>
    <w:rsid w:val="008C6DC4"/>
    <w:rsid w:val="008C6EA4"/>
    <w:rsid w:val="008C6F4B"/>
    <w:rsid w:val="008C7060"/>
    <w:rsid w:val="008C725A"/>
    <w:rsid w:val="008C73F6"/>
    <w:rsid w:val="008C7881"/>
    <w:rsid w:val="008C7A07"/>
    <w:rsid w:val="008C7E40"/>
    <w:rsid w:val="008C7E68"/>
    <w:rsid w:val="008C7F2D"/>
    <w:rsid w:val="008D02BA"/>
    <w:rsid w:val="008D038F"/>
    <w:rsid w:val="008D04FF"/>
    <w:rsid w:val="008D0642"/>
    <w:rsid w:val="008D09B2"/>
    <w:rsid w:val="008D0B50"/>
    <w:rsid w:val="008D0D9A"/>
    <w:rsid w:val="008D0E94"/>
    <w:rsid w:val="008D0F8F"/>
    <w:rsid w:val="008D0FAC"/>
    <w:rsid w:val="008D1315"/>
    <w:rsid w:val="008D1327"/>
    <w:rsid w:val="008D135D"/>
    <w:rsid w:val="008D13BA"/>
    <w:rsid w:val="008D1632"/>
    <w:rsid w:val="008D17E2"/>
    <w:rsid w:val="008D191E"/>
    <w:rsid w:val="008D1A95"/>
    <w:rsid w:val="008D1DB7"/>
    <w:rsid w:val="008D1E37"/>
    <w:rsid w:val="008D1E85"/>
    <w:rsid w:val="008D1F53"/>
    <w:rsid w:val="008D24E3"/>
    <w:rsid w:val="008D26B6"/>
    <w:rsid w:val="008D293F"/>
    <w:rsid w:val="008D2E35"/>
    <w:rsid w:val="008D333F"/>
    <w:rsid w:val="008D3370"/>
    <w:rsid w:val="008D3449"/>
    <w:rsid w:val="008D35D3"/>
    <w:rsid w:val="008D3AD1"/>
    <w:rsid w:val="008D3C8B"/>
    <w:rsid w:val="008D3E9C"/>
    <w:rsid w:val="008D4111"/>
    <w:rsid w:val="008D4228"/>
    <w:rsid w:val="008D4BD4"/>
    <w:rsid w:val="008D4E1B"/>
    <w:rsid w:val="008D5103"/>
    <w:rsid w:val="008D525F"/>
    <w:rsid w:val="008D56A5"/>
    <w:rsid w:val="008D59B3"/>
    <w:rsid w:val="008D5B3B"/>
    <w:rsid w:val="008D5DC0"/>
    <w:rsid w:val="008D6A9C"/>
    <w:rsid w:val="008D6BF7"/>
    <w:rsid w:val="008D6CE2"/>
    <w:rsid w:val="008D6EC9"/>
    <w:rsid w:val="008D728D"/>
    <w:rsid w:val="008D74C7"/>
    <w:rsid w:val="008D7773"/>
    <w:rsid w:val="008D77E7"/>
    <w:rsid w:val="008D7900"/>
    <w:rsid w:val="008D79C5"/>
    <w:rsid w:val="008D7B4D"/>
    <w:rsid w:val="008D7C2F"/>
    <w:rsid w:val="008E003C"/>
    <w:rsid w:val="008E00DC"/>
    <w:rsid w:val="008E015B"/>
    <w:rsid w:val="008E0504"/>
    <w:rsid w:val="008E05D4"/>
    <w:rsid w:val="008E0969"/>
    <w:rsid w:val="008E0E98"/>
    <w:rsid w:val="008E0FC5"/>
    <w:rsid w:val="008E11B1"/>
    <w:rsid w:val="008E16F6"/>
    <w:rsid w:val="008E1A5D"/>
    <w:rsid w:val="008E1B4C"/>
    <w:rsid w:val="008E1C11"/>
    <w:rsid w:val="008E2325"/>
    <w:rsid w:val="008E236C"/>
    <w:rsid w:val="008E249D"/>
    <w:rsid w:val="008E25E3"/>
    <w:rsid w:val="008E29A0"/>
    <w:rsid w:val="008E2BE3"/>
    <w:rsid w:val="008E2BF8"/>
    <w:rsid w:val="008E2DC9"/>
    <w:rsid w:val="008E329A"/>
    <w:rsid w:val="008E3D30"/>
    <w:rsid w:val="008E3DF1"/>
    <w:rsid w:val="008E41CA"/>
    <w:rsid w:val="008E4688"/>
    <w:rsid w:val="008E46B5"/>
    <w:rsid w:val="008E49AB"/>
    <w:rsid w:val="008E4A86"/>
    <w:rsid w:val="008E4CB8"/>
    <w:rsid w:val="008E4CF7"/>
    <w:rsid w:val="008E4E17"/>
    <w:rsid w:val="008E4EF6"/>
    <w:rsid w:val="008E5074"/>
    <w:rsid w:val="008E5542"/>
    <w:rsid w:val="008E57DF"/>
    <w:rsid w:val="008E58D8"/>
    <w:rsid w:val="008E5B2A"/>
    <w:rsid w:val="008E5B73"/>
    <w:rsid w:val="008E5BA5"/>
    <w:rsid w:val="008E5BCC"/>
    <w:rsid w:val="008E5C07"/>
    <w:rsid w:val="008E5CFC"/>
    <w:rsid w:val="008E5FB3"/>
    <w:rsid w:val="008E61B0"/>
    <w:rsid w:val="008E65D9"/>
    <w:rsid w:val="008E678F"/>
    <w:rsid w:val="008E7B69"/>
    <w:rsid w:val="008E7C38"/>
    <w:rsid w:val="008E7DBD"/>
    <w:rsid w:val="008E7ED6"/>
    <w:rsid w:val="008F00EE"/>
    <w:rsid w:val="008F01ED"/>
    <w:rsid w:val="008F0400"/>
    <w:rsid w:val="008F0877"/>
    <w:rsid w:val="008F090D"/>
    <w:rsid w:val="008F096E"/>
    <w:rsid w:val="008F0A11"/>
    <w:rsid w:val="008F0C6F"/>
    <w:rsid w:val="008F0CCE"/>
    <w:rsid w:val="008F0D17"/>
    <w:rsid w:val="008F0E8E"/>
    <w:rsid w:val="008F111F"/>
    <w:rsid w:val="008F12B0"/>
    <w:rsid w:val="008F1349"/>
    <w:rsid w:val="008F13A3"/>
    <w:rsid w:val="008F15C9"/>
    <w:rsid w:val="008F21F4"/>
    <w:rsid w:val="008F2274"/>
    <w:rsid w:val="008F22D1"/>
    <w:rsid w:val="008F2346"/>
    <w:rsid w:val="008F2731"/>
    <w:rsid w:val="008F295C"/>
    <w:rsid w:val="008F2CD8"/>
    <w:rsid w:val="008F3279"/>
    <w:rsid w:val="008F34E3"/>
    <w:rsid w:val="008F351E"/>
    <w:rsid w:val="008F3899"/>
    <w:rsid w:val="008F3EB7"/>
    <w:rsid w:val="008F4018"/>
    <w:rsid w:val="008F4044"/>
    <w:rsid w:val="008F40E5"/>
    <w:rsid w:val="008F420D"/>
    <w:rsid w:val="008F4440"/>
    <w:rsid w:val="008F44B6"/>
    <w:rsid w:val="008F45FA"/>
    <w:rsid w:val="008F46D7"/>
    <w:rsid w:val="008F47C1"/>
    <w:rsid w:val="008F4863"/>
    <w:rsid w:val="008F4911"/>
    <w:rsid w:val="008F49A8"/>
    <w:rsid w:val="008F4A1C"/>
    <w:rsid w:val="008F4DEA"/>
    <w:rsid w:val="008F5004"/>
    <w:rsid w:val="008F5533"/>
    <w:rsid w:val="008F58CC"/>
    <w:rsid w:val="008F5928"/>
    <w:rsid w:val="008F5AC9"/>
    <w:rsid w:val="008F5C58"/>
    <w:rsid w:val="008F5FFE"/>
    <w:rsid w:val="008F6092"/>
    <w:rsid w:val="008F6254"/>
    <w:rsid w:val="008F6534"/>
    <w:rsid w:val="008F661F"/>
    <w:rsid w:val="008F66CB"/>
    <w:rsid w:val="008F68FE"/>
    <w:rsid w:val="008F69C0"/>
    <w:rsid w:val="008F6B04"/>
    <w:rsid w:val="008F6DCB"/>
    <w:rsid w:val="008F717A"/>
    <w:rsid w:val="008F71EA"/>
    <w:rsid w:val="008F73FA"/>
    <w:rsid w:val="008F7DA1"/>
    <w:rsid w:val="009009F2"/>
    <w:rsid w:val="00900B88"/>
    <w:rsid w:val="00900FC2"/>
    <w:rsid w:val="00901126"/>
    <w:rsid w:val="009011B6"/>
    <w:rsid w:val="009015C6"/>
    <w:rsid w:val="00901A20"/>
    <w:rsid w:val="00901BAD"/>
    <w:rsid w:val="00901D97"/>
    <w:rsid w:val="00901EEA"/>
    <w:rsid w:val="0090212B"/>
    <w:rsid w:val="00902394"/>
    <w:rsid w:val="0090256F"/>
    <w:rsid w:val="00902644"/>
    <w:rsid w:val="00902756"/>
    <w:rsid w:val="00902DB6"/>
    <w:rsid w:val="00902E4D"/>
    <w:rsid w:val="009030F0"/>
    <w:rsid w:val="00903138"/>
    <w:rsid w:val="00903A8F"/>
    <w:rsid w:val="00903BF6"/>
    <w:rsid w:val="00903EFD"/>
    <w:rsid w:val="00903F00"/>
    <w:rsid w:val="00903F53"/>
    <w:rsid w:val="00903F55"/>
    <w:rsid w:val="0090414A"/>
    <w:rsid w:val="0090415C"/>
    <w:rsid w:val="0090422C"/>
    <w:rsid w:val="009044AF"/>
    <w:rsid w:val="0090465F"/>
    <w:rsid w:val="00904726"/>
    <w:rsid w:val="00904875"/>
    <w:rsid w:val="00904959"/>
    <w:rsid w:val="0090495A"/>
    <w:rsid w:val="0090495F"/>
    <w:rsid w:val="00904CE0"/>
    <w:rsid w:val="00904D8F"/>
    <w:rsid w:val="00905372"/>
    <w:rsid w:val="00905856"/>
    <w:rsid w:val="00905888"/>
    <w:rsid w:val="00905934"/>
    <w:rsid w:val="00905B67"/>
    <w:rsid w:val="00905FD7"/>
    <w:rsid w:val="00905FEA"/>
    <w:rsid w:val="0090606A"/>
    <w:rsid w:val="009062D3"/>
    <w:rsid w:val="00906325"/>
    <w:rsid w:val="009067BA"/>
    <w:rsid w:val="009068B0"/>
    <w:rsid w:val="00906D45"/>
    <w:rsid w:val="009070B6"/>
    <w:rsid w:val="00907319"/>
    <w:rsid w:val="00907426"/>
    <w:rsid w:val="00907938"/>
    <w:rsid w:val="00907B85"/>
    <w:rsid w:val="00907C47"/>
    <w:rsid w:val="00907DDB"/>
    <w:rsid w:val="00907E9E"/>
    <w:rsid w:val="00910358"/>
    <w:rsid w:val="009103A0"/>
    <w:rsid w:val="009107C5"/>
    <w:rsid w:val="00910873"/>
    <w:rsid w:val="00910954"/>
    <w:rsid w:val="00910B93"/>
    <w:rsid w:val="00910F96"/>
    <w:rsid w:val="009110AA"/>
    <w:rsid w:val="0091125C"/>
    <w:rsid w:val="009112C7"/>
    <w:rsid w:val="00911323"/>
    <w:rsid w:val="00911433"/>
    <w:rsid w:val="00911467"/>
    <w:rsid w:val="00911691"/>
    <w:rsid w:val="00911834"/>
    <w:rsid w:val="00911867"/>
    <w:rsid w:val="009118F9"/>
    <w:rsid w:val="0091191D"/>
    <w:rsid w:val="00911A1D"/>
    <w:rsid w:val="00911BEA"/>
    <w:rsid w:val="00911F56"/>
    <w:rsid w:val="00912423"/>
    <w:rsid w:val="00912781"/>
    <w:rsid w:val="00912B7A"/>
    <w:rsid w:val="00912D13"/>
    <w:rsid w:val="00912D1A"/>
    <w:rsid w:val="00912D79"/>
    <w:rsid w:val="00912EF0"/>
    <w:rsid w:val="00912F1B"/>
    <w:rsid w:val="0091333F"/>
    <w:rsid w:val="00913408"/>
    <w:rsid w:val="00913489"/>
    <w:rsid w:val="009136FF"/>
    <w:rsid w:val="00913825"/>
    <w:rsid w:val="00913B6F"/>
    <w:rsid w:val="00913C3F"/>
    <w:rsid w:val="00913F14"/>
    <w:rsid w:val="009140B6"/>
    <w:rsid w:val="00914168"/>
    <w:rsid w:val="00914185"/>
    <w:rsid w:val="0091430B"/>
    <w:rsid w:val="0091438A"/>
    <w:rsid w:val="0091451A"/>
    <w:rsid w:val="009152C1"/>
    <w:rsid w:val="00915596"/>
    <w:rsid w:val="00915621"/>
    <w:rsid w:val="00915840"/>
    <w:rsid w:val="0091584A"/>
    <w:rsid w:val="00915983"/>
    <w:rsid w:val="00915AA7"/>
    <w:rsid w:val="00915BB4"/>
    <w:rsid w:val="00915C03"/>
    <w:rsid w:val="00915C3F"/>
    <w:rsid w:val="00915F47"/>
    <w:rsid w:val="009163A9"/>
    <w:rsid w:val="00916610"/>
    <w:rsid w:val="0091694D"/>
    <w:rsid w:val="00916ADF"/>
    <w:rsid w:val="00916C12"/>
    <w:rsid w:val="00916C97"/>
    <w:rsid w:val="00916D18"/>
    <w:rsid w:val="00916F32"/>
    <w:rsid w:val="009170E2"/>
    <w:rsid w:val="009171DD"/>
    <w:rsid w:val="009172D8"/>
    <w:rsid w:val="00917382"/>
    <w:rsid w:val="0091758D"/>
    <w:rsid w:val="009179F4"/>
    <w:rsid w:val="00917A56"/>
    <w:rsid w:val="00917B52"/>
    <w:rsid w:val="00917DAC"/>
    <w:rsid w:val="00917F58"/>
    <w:rsid w:val="009204D5"/>
    <w:rsid w:val="00920539"/>
    <w:rsid w:val="0092058E"/>
    <w:rsid w:val="009205A6"/>
    <w:rsid w:val="00920A82"/>
    <w:rsid w:val="00920BDB"/>
    <w:rsid w:val="00920DF2"/>
    <w:rsid w:val="00920E5A"/>
    <w:rsid w:val="00920F47"/>
    <w:rsid w:val="00920FE2"/>
    <w:rsid w:val="009210DD"/>
    <w:rsid w:val="009211B3"/>
    <w:rsid w:val="00921383"/>
    <w:rsid w:val="009214AE"/>
    <w:rsid w:val="0092158E"/>
    <w:rsid w:val="0092181C"/>
    <w:rsid w:val="00921A65"/>
    <w:rsid w:val="00921E2E"/>
    <w:rsid w:val="0092206F"/>
    <w:rsid w:val="009221F9"/>
    <w:rsid w:val="009223FC"/>
    <w:rsid w:val="009225AF"/>
    <w:rsid w:val="0092286D"/>
    <w:rsid w:val="009229F0"/>
    <w:rsid w:val="00922A84"/>
    <w:rsid w:val="00922CB7"/>
    <w:rsid w:val="00922E5F"/>
    <w:rsid w:val="0092313E"/>
    <w:rsid w:val="00923534"/>
    <w:rsid w:val="009235B8"/>
    <w:rsid w:val="009235D6"/>
    <w:rsid w:val="009237F5"/>
    <w:rsid w:val="009238D4"/>
    <w:rsid w:val="00923E3A"/>
    <w:rsid w:val="0092427E"/>
    <w:rsid w:val="009242E6"/>
    <w:rsid w:val="009243D1"/>
    <w:rsid w:val="00924421"/>
    <w:rsid w:val="009244AD"/>
    <w:rsid w:val="0092470B"/>
    <w:rsid w:val="0092482D"/>
    <w:rsid w:val="00924844"/>
    <w:rsid w:val="00924AA9"/>
    <w:rsid w:val="00924B25"/>
    <w:rsid w:val="00924CC3"/>
    <w:rsid w:val="009250E9"/>
    <w:rsid w:val="00925159"/>
    <w:rsid w:val="0092550B"/>
    <w:rsid w:val="009255C7"/>
    <w:rsid w:val="00925667"/>
    <w:rsid w:val="009257D2"/>
    <w:rsid w:val="00925858"/>
    <w:rsid w:val="009258E4"/>
    <w:rsid w:val="00925BB8"/>
    <w:rsid w:val="00925BCC"/>
    <w:rsid w:val="00925F61"/>
    <w:rsid w:val="009262D0"/>
    <w:rsid w:val="0092635A"/>
    <w:rsid w:val="0092642F"/>
    <w:rsid w:val="00926E25"/>
    <w:rsid w:val="00926ED4"/>
    <w:rsid w:val="00927090"/>
    <w:rsid w:val="009271CD"/>
    <w:rsid w:val="009272A1"/>
    <w:rsid w:val="0092759C"/>
    <w:rsid w:val="009275D7"/>
    <w:rsid w:val="009276F5"/>
    <w:rsid w:val="00930527"/>
    <w:rsid w:val="00930528"/>
    <w:rsid w:val="009305EF"/>
    <w:rsid w:val="009307E1"/>
    <w:rsid w:val="0093099A"/>
    <w:rsid w:val="009311D8"/>
    <w:rsid w:val="0093146C"/>
    <w:rsid w:val="0093188A"/>
    <w:rsid w:val="00931A81"/>
    <w:rsid w:val="00931CF7"/>
    <w:rsid w:val="00931DFD"/>
    <w:rsid w:val="00931FFD"/>
    <w:rsid w:val="00932034"/>
    <w:rsid w:val="009320E4"/>
    <w:rsid w:val="00932378"/>
    <w:rsid w:val="0093237D"/>
    <w:rsid w:val="00932406"/>
    <w:rsid w:val="00932492"/>
    <w:rsid w:val="009325A9"/>
    <w:rsid w:val="00932BBB"/>
    <w:rsid w:val="009331D9"/>
    <w:rsid w:val="00933391"/>
    <w:rsid w:val="0093351A"/>
    <w:rsid w:val="00933810"/>
    <w:rsid w:val="00933BDF"/>
    <w:rsid w:val="00933CD5"/>
    <w:rsid w:val="00933D9B"/>
    <w:rsid w:val="00933E4F"/>
    <w:rsid w:val="00934023"/>
    <w:rsid w:val="0093407B"/>
    <w:rsid w:val="0093419A"/>
    <w:rsid w:val="009341EB"/>
    <w:rsid w:val="00934562"/>
    <w:rsid w:val="0093459C"/>
    <w:rsid w:val="009345D0"/>
    <w:rsid w:val="0093460B"/>
    <w:rsid w:val="00934D5D"/>
    <w:rsid w:val="00934EE7"/>
    <w:rsid w:val="0093501F"/>
    <w:rsid w:val="00935179"/>
    <w:rsid w:val="00935360"/>
    <w:rsid w:val="0093554A"/>
    <w:rsid w:val="009355AA"/>
    <w:rsid w:val="009357E6"/>
    <w:rsid w:val="00935A34"/>
    <w:rsid w:val="009360C5"/>
    <w:rsid w:val="0093610F"/>
    <w:rsid w:val="00936188"/>
    <w:rsid w:val="00936352"/>
    <w:rsid w:val="0093696F"/>
    <w:rsid w:val="00936D4A"/>
    <w:rsid w:val="00936D9B"/>
    <w:rsid w:val="00937195"/>
    <w:rsid w:val="009378C1"/>
    <w:rsid w:val="00937BAF"/>
    <w:rsid w:val="00937D79"/>
    <w:rsid w:val="00937DB0"/>
    <w:rsid w:val="0093DA02"/>
    <w:rsid w:val="0094032A"/>
    <w:rsid w:val="009405CB"/>
    <w:rsid w:val="00940616"/>
    <w:rsid w:val="00940967"/>
    <w:rsid w:val="00940DC1"/>
    <w:rsid w:val="00940DFA"/>
    <w:rsid w:val="00940F30"/>
    <w:rsid w:val="00940FF3"/>
    <w:rsid w:val="00941369"/>
    <w:rsid w:val="00941622"/>
    <w:rsid w:val="0094163E"/>
    <w:rsid w:val="0094179C"/>
    <w:rsid w:val="00941877"/>
    <w:rsid w:val="0094189B"/>
    <w:rsid w:val="0094190E"/>
    <w:rsid w:val="00941C48"/>
    <w:rsid w:val="00941D03"/>
    <w:rsid w:val="00941DFC"/>
    <w:rsid w:val="009421C0"/>
    <w:rsid w:val="009424FB"/>
    <w:rsid w:val="00942527"/>
    <w:rsid w:val="0094264D"/>
    <w:rsid w:val="00942994"/>
    <w:rsid w:val="00942BD2"/>
    <w:rsid w:val="00942D13"/>
    <w:rsid w:val="009438DD"/>
    <w:rsid w:val="00943923"/>
    <w:rsid w:val="00943980"/>
    <w:rsid w:val="00943A35"/>
    <w:rsid w:val="00943BF4"/>
    <w:rsid w:val="009440AB"/>
    <w:rsid w:val="00944192"/>
    <w:rsid w:val="009444B8"/>
    <w:rsid w:val="00944773"/>
    <w:rsid w:val="009448D1"/>
    <w:rsid w:val="009449F0"/>
    <w:rsid w:val="00944B25"/>
    <w:rsid w:val="009454A1"/>
    <w:rsid w:val="00945B54"/>
    <w:rsid w:val="00945E38"/>
    <w:rsid w:val="00946167"/>
    <w:rsid w:val="009462F2"/>
    <w:rsid w:val="00946432"/>
    <w:rsid w:val="009464B0"/>
    <w:rsid w:val="00946576"/>
    <w:rsid w:val="0094692C"/>
    <w:rsid w:val="00946959"/>
    <w:rsid w:val="00946AB1"/>
    <w:rsid w:val="00946DB8"/>
    <w:rsid w:val="00947087"/>
    <w:rsid w:val="00947226"/>
    <w:rsid w:val="0094727A"/>
    <w:rsid w:val="009473DE"/>
    <w:rsid w:val="009473E6"/>
    <w:rsid w:val="00947A53"/>
    <w:rsid w:val="00947B29"/>
    <w:rsid w:val="00947DCB"/>
    <w:rsid w:val="00947EDD"/>
    <w:rsid w:val="009504C3"/>
    <w:rsid w:val="009506E1"/>
    <w:rsid w:val="00950864"/>
    <w:rsid w:val="00950963"/>
    <w:rsid w:val="00950A8C"/>
    <w:rsid w:val="00950AC5"/>
    <w:rsid w:val="00950B68"/>
    <w:rsid w:val="00950C91"/>
    <w:rsid w:val="00950ED2"/>
    <w:rsid w:val="00951824"/>
    <w:rsid w:val="00951A54"/>
    <w:rsid w:val="00951B81"/>
    <w:rsid w:val="00951BE2"/>
    <w:rsid w:val="00951E2D"/>
    <w:rsid w:val="00951FC9"/>
    <w:rsid w:val="009523C2"/>
    <w:rsid w:val="00952A48"/>
    <w:rsid w:val="00952A5A"/>
    <w:rsid w:val="00952AA5"/>
    <w:rsid w:val="00952AC9"/>
    <w:rsid w:val="00952DB0"/>
    <w:rsid w:val="0095303C"/>
    <w:rsid w:val="009533DF"/>
    <w:rsid w:val="00953A71"/>
    <w:rsid w:val="00953B7A"/>
    <w:rsid w:val="00953DC6"/>
    <w:rsid w:val="00953E09"/>
    <w:rsid w:val="00953FE3"/>
    <w:rsid w:val="009541A1"/>
    <w:rsid w:val="009543D3"/>
    <w:rsid w:val="009543E3"/>
    <w:rsid w:val="00954428"/>
    <w:rsid w:val="009549EC"/>
    <w:rsid w:val="00954B5E"/>
    <w:rsid w:val="00954C6C"/>
    <w:rsid w:val="00954D75"/>
    <w:rsid w:val="00954E74"/>
    <w:rsid w:val="009550D2"/>
    <w:rsid w:val="00955119"/>
    <w:rsid w:val="00955276"/>
    <w:rsid w:val="00955290"/>
    <w:rsid w:val="009552D0"/>
    <w:rsid w:val="00955356"/>
    <w:rsid w:val="0095567A"/>
    <w:rsid w:val="0095574C"/>
    <w:rsid w:val="00955825"/>
    <w:rsid w:val="0095598D"/>
    <w:rsid w:val="00955AA8"/>
    <w:rsid w:val="00955D5E"/>
    <w:rsid w:val="00955DE7"/>
    <w:rsid w:val="00955DF5"/>
    <w:rsid w:val="00956070"/>
    <w:rsid w:val="009563DC"/>
    <w:rsid w:val="009568BB"/>
    <w:rsid w:val="0095693A"/>
    <w:rsid w:val="0095695B"/>
    <w:rsid w:val="00956F3B"/>
    <w:rsid w:val="009570D3"/>
    <w:rsid w:val="00957382"/>
    <w:rsid w:val="009576FB"/>
    <w:rsid w:val="009577FE"/>
    <w:rsid w:val="009579E1"/>
    <w:rsid w:val="00957E41"/>
    <w:rsid w:val="00957F49"/>
    <w:rsid w:val="00960701"/>
    <w:rsid w:val="0096096A"/>
    <w:rsid w:val="00960B25"/>
    <w:rsid w:val="00960FC0"/>
    <w:rsid w:val="00961501"/>
    <w:rsid w:val="00961509"/>
    <w:rsid w:val="0096151E"/>
    <w:rsid w:val="009615D2"/>
    <w:rsid w:val="00961932"/>
    <w:rsid w:val="0096197A"/>
    <w:rsid w:val="00961AE3"/>
    <w:rsid w:val="00961B76"/>
    <w:rsid w:val="00961E1F"/>
    <w:rsid w:val="0096218F"/>
    <w:rsid w:val="009621BA"/>
    <w:rsid w:val="00962287"/>
    <w:rsid w:val="00962356"/>
    <w:rsid w:val="0096249C"/>
    <w:rsid w:val="009624CC"/>
    <w:rsid w:val="00962684"/>
    <w:rsid w:val="009626C9"/>
    <w:rsid w:val="00962742"/>
    <w:rsid w:val="009628CC"/>
    <w:rsid w:val="00962B7E"/>
    <w:rsid w:val="00962E8D"/>
    <w:rsid w:val="00963320"/>
    <w:rsid w:val="0096371D"/>
    <w:rsid w:val="00963764"/>
    <w:rsid w:val="00963842"/>
    <w:rsid w:val="0096399E"/>
    <w:rsid w:val="00963D1F"/>
    <w:rsid w:val="009640BE"/>
    <w:rsid w:val="00964103"/>
    <w:rsid w:val="009641B7"/>
    <w:rsid w:val="009642A3"/>
    <w:rsid w:val="0096436A"/>
    <w:rsid w:val="009644CE"/>
    <w:rsid w:val="009645C2"/>
    <w:rsid w:val="00964814"/>
    <w:rsid w:val="00964AB3"/>
    <w:rsid w:val="00964D39"/>
    <w:rsid w:val="00964D59"/>
    <w:rsid w:val="00964D72"/>
    <w:rsid w:val="00964EEA"/>
    <w:rsid w:val="0096511A"/>
    <w:rsid w:val="0096517A"/>
    <w:rsid w:val="009655DC"/>
    <w:rsid w:val="00965F29"/>
    <w:rsid w:val="009660DC"/>
    <w:rsid w:val="009665BD"/>
    <w:rsid w:val="00966B80"/>
    <w:rsid w:val="00966C2B"/>
    <w:rsid w:val="00966C97"/>
    <w:rsid w:val="00966CE4"/>
    <w:rsid w:val="009670A3"/>
    <w:rsid w:val="009674CC"/>
    <w:rsid w:val="009675C4"/>
    <w:rsid w:val="00967CDC"/>
    <w:rsid w:val="00967D6D"/>
    <w:rsid w:val="0097005E"/>
    <w:rsid w:val="00970162"/>
    <w:rsid w:val="0097097C"/>
    <w:rsid w:val="00970F35"/>
    <w:rsid w:val="00971050"/>
    <w:rsid w:val="00971145"/>
    <w:rsid w:val="00971630"/>
    <w:rsid w:val="00971B19"/>
    <w:rsid w:val="00971ED6"/>
    <w:rsid w:val="0097216E"/>
    <w:rsid w:val="00972405"/>
    <w:rsid w:val="009728CE"/>
    <w:rsid w:val="00972979"/>
    <w:rsid w:val="009729FB"/>
    <w:rsid w:val="00972AB1"/>
    <w:rsid w:val="00972C80"/>
    <w:rsid w:val="00972D07"/>
    <w:rsid w:val="00972DA0"/>
    <w:rsid w:val="00972E32"/>
    <w:rsid w:val="00972FAA"/>
    <w:rsid w:val="0097316B"/>
    <w:rsid w:val="009732ED"/>
    <w:rsid w:val="009733AC"/>
    <w:rsid w:val="00973663"/>
    <w:rsid w:val="00973C70"/>
    <w:rsid w:val="00973CDB"/>
    <w:rsid w:val="00973D11"/>
    <w:rsid w:val="00973EF8"/>
    <w:rsid w:val="00973F57"/>
    <w:rsid w:val="00973FD9"/>
    <w:rsid w:val="009749CE"/>
    <w:rsid w:val="0097513E"/>
    <w:rsid w:val="0097544D"/>
    <w:rsid w:val="00975BE5"/>
    <w:rsid w:val="00975C65"/>
    <w:rsid w:val="00975E8C"/>
    <w:rsid w:val="0097607E"/>
    <w:rsid w:val="0097609E"/>
    <w:rsid w:val="009761A4"/>
    <w:rsid w:val="00976716"/>
    <w:rsid w:val="009767FA"/>
    <w:rsid w:val="00976AFA"/>
    <w:rsid w:val="00976E20"/>
    <w:rsid w:val="00976F1C"/>
    <w:rsid w:val="00976F23"/>
    <w:rsid w:val="00976F79"/>
    <w:rsid w:val="00977004"/>
    <w:rsid w:val="00977174"/>
    <w:rsid w:val="009771A9"/>
    <w:rsid w:val="0097754F"/>
    <w:rsid w:val="009779F8"/>
    <w:rsid w:val="00977ADC"/>
    <w:rsid w:val="00977BDB"/>
    <w:rsid w:val="00977C37"/>
    <w:rsid w:val="00977C9F"/>
    <w:rsid w:val="00977CD6"/>
    <w:rsid w:val="0098019B"/>
    <w:rsid w:val="00980383"/>
    <w:rsid w:val="009803C7"/>
    <w:rsid w:val="00980572"/>
    <w:rsid w:val="00980587"/>
    <w:rsid w:val="00980C61"/>
    <w:rsid w:val="00980DB7"/>
    <w:rsid w:val="00980FD6"/>
    <w:rsid w:val="0098104C"/>
    <w:rsid w:val="00981293"/>
    <w:rsid w:val="00981737"/>
    <w:rsid w:val="00981A4F"/>
    <w:rsid w:val="00981D57"/>
    <w:rsid w:val="00981E12"/>
    <w:rsid w:val="0098201B"/>
    <w:rsid w:val="00982593"/>
    <w:rsid w:val="0098290E"/>
    <w:rsid w:val="00982E01"/>
    <w:rsid w:val="00982E59"/>
    <w:rsid w:val="009830C5"/>
    <w:rsid w:val="009834E1"/>
    <w:rsid w:val="00983AA3"/>
    <w:rsid w:val="00983C9E"/>
    <w:rsid w:val="00983F3F"/>
    <w:rsid w:val="009840AE"/>
    <w:rsid w:val="009841FB"/>
    <w:rsid w:val="00984439"/>
    <w:rsid w:val="00984560"/>
    <w:rsid w:val="00984EA1"/>
    <w:rsid w:val="00984EF7"/>
    <w:rsid w:val="00984F14"/>
    <w:rsid w:val="009851E1"/>
    <w:rsid w:val="0098545D"/>
    <w:rsid w:val="0098555B"/>
    <w:rsid w:val="009855CB"/>
    <w:rsid w:val="00985A30"/>
    <w:rsid w:val="00985B67"/>
    <w:rsid w:val="00985BE8"/>
    <w:rsid w:val="00985E75"/>
    <w:rsid w:val="009860E5"/>
    <w:rsid w:val="0098620A"/>
    <w:rsid w:val="00986382"/>
    <w:rsid w:val="00986437"/>
    <w:rsid w:val="0098662E"/>
    <w:rsid w:val="00986668"/>
    <w:rsid w:val="009866C5"/>
    <w:rsid w:val="00986791"/>
    <w:rsid w:val="00986B57"/>
    <w:rsid w:val="00986C85"/>
    <w:rsid w:val="00986E17"/>
    <w:rsid w:val="00986E94"/>
    <w:rsid w:val="009871B3"/>
    <w:rsid w:val="009871F3"/>
    <w:rsid w:val="009872A9"/>
    <w:rsid w:val="00987572"/>
    <w:rsid w:val="00987726"/>
    <w:rsid w:val="009877DD"/>
    <w:rsid w:val="00987A69"/>
    <w:rsid w:val="00987A89"/>
    <w:rsid w:val="00987C5F"/>
    <w:rsid w:val="00987C84"/>
    <w:rsid w:val="00987C9E"/>
    <w:rsid w:val="00990156"/>
    <w:rsid w:val="00990374"/>
    <w:rsid w:val="00990617"/>
    <w:rsid w:val="00990730"/>
    <w:rsid w:val="00990D42"/>
    <w:rsid w:val="00990E60"/>
    <w:rsid w:val="00991313"/>
    <w:rsid w:val="00991442"/>
    <w:rsid w:val="00991667"/>
    <w:rsid w:val="0099177F"/>
    <w:rsid w:val="0099194D"/>
    <w:rsid w:val="00991E50"/>
    <w:rsid w:val="00991F4A"/>
    <w:rsid w:val="00991FF6"/>
    <w:rsid w:val="009920BC"/>
    <w:rsid w:val="00992420"/>
    <w:rsid w:val="00992464"/>
    <w:rsid w:val="00992790"/>
    <w:rsid w:val="00992866"/>
    <w:rsid w:val="00992970"/>
    <w:rsid w:val="00992B3D"/>
    <w:rsid w:val="00992B96"/>
    <w:rsid w:val="00992D8A"/>
    <w:rsid w:val="00992E2B"/>
    <w:rsid w:val="00992E40"/>
    <w:rsid w:val="00992E97"/>
    <w:rsid w:val="009933F9"/>
    <w:rsid w:val="0099368D"/>
    <w:rsid w:val="00993998"/>
    <w:rsid w:val="00993BA5"/>
    <w:rsid w:val="00993F02"/>
    <w:rsid w:val="00993F06"/>
    <w:rsid w:val="00993F70"/>
    <w:rsid w:val="0099423F"/>
    <w:rsid w:val="00994284"/>
    <w:rsid w:val="00994388"/>
    <w:rsid w:val="009944D5"/>
    <w:rsid w:val="009947AC"/>
    <w:rsid w:val="00994D2D"/>
    <w:rsid w:val="00994DA5"/>
    <w:rsid w:val="00994DDA"/>
    <w:rsid w:val="00994F8F"/>
    <w:rsid w:val="00995167"/>
    <w:rsid w:val="00995273"/>
    <w:rsid w:val="00995557"/>
    <w:rsid w:val="009955E5"/>
    <w:rsid w:val="0099569B"/>
    <w:rsid w:val="00995769"/>
    <w:rsid w:val="00995A5C"/>
    <w:rsid w:val="00995DBF"/>
    <w:rsid w:val="00995E69"/>
    <w:rsid w:val="00995FF7"/>
    <w:rsid w:val="0099621C"/>
    <w:rsid w:val="009963A6"/>
    <w:rsid w:val="00996563"/>
    <w:rsid w:val="009966A5"/>
    <w:rsid w:val="00996856"/>
    <w:rsid w:val="00996DB8"/>
    <w:rsid w:val="00996E44"/>
    <w:rsid w:val="00996EA9"/>
    <w:rsid w:val="00996FF3"/>
    <w:rsid w:val="009973FC"/>
    <w:rsid w:val="00997433"/>
    <w:rsid w:val="0099759A"/>
    <w:rsid w:val="009977F8"/>
    <w:rsid w:val="00997AF1"/>
    <w:rsid w:val="00997C7E"/>
    <w:rsid w:val="00997D09"/>
    <w:rsid w:val="009A0331"/>
    <w:rsid w:val="009A0460"/>
    <w:rsid w:val="009A083C"/>
    <w:rsid w:val="009A0BCB"/>
    <w:rsid w:val="009A0BE9"/>
    <w:rsid w:val="009A1120"/>
    <w:rsid w:val="009A114E"/>
    <w:rsid w:val="009A1445"/>
    <w:rsid w:val="009A190A"/>
    <w:rsid w:val="009A1AB9"/>
    <w:rsid w:val="009A1B5C"/>
    <w:rsid w:val="009A1B61"/>
    <w:rsid w:val="009A1CFC"/>
    <w:rsid w:val="009A1D81"/>
    <w:rsid w:val="009A1F95"/>
    <w:rsid w:val="009A25D2"/>
    <w:rsid w:val="009A28EB"/>
    <w:rsid w:val="009A2B15"/>
    <w:rsid w:val="009A2B5A"/>
    <w:rsid w:val="009A2CD3"/>
    <w:rsid w:val="009A2DE2"/>
    <w:rsid w:val="009A2EE1"/>
    <w:rsid w:val="009A2FBD"/>
    <w:rsid w:val="009A30BF"/>
    <w:rsid w:val="009A317F"/>
    <w:rsid w:val="009A35F5"/>
    <w:rsid w:val="009A3918"/>
    <w:rsid w:val="009A3CC2"/>
    <w:rsid w:val="009A3E61"/>
    <w:rsid w:val="009A4231"/>
    <w:rsid w:val="009A4562"/>
    <w:rsid w:val="009A46DC"/>
    <w:rsid w:val="009A4727"/>
    <w:rsid w:val="009A49DD"/>
    <w:rsid w:val="009A4A19"/>
    <w:rsid w:val="009A4A76"/>
    <w:rsid w:val="009A4BCF"/>
    <w:rsid w:val="009A4C5A"/>
    <w:rsid w:val="009A4CA7"/>
    <w:rsid w:val="009A4D1E"/>
    <w:rsid w:val="009A4E36"/>
    <w:rsid w:val="009A4E6F"/>
    <w:rsid w:val="009A4E73"/>
    <w:rsid w:val="009A5061"/>
    <w:rsid w:val="009A506E"/>
    <w:rsid w:val="009A50EB"/>
    <w:rsid w:val="009A511B"/>
    <w:rsid w:val="009A52D2"/>
    <w:rsid w:val="009A5749"/>
    <w:rsid w:val="009A5C07"/>
    <w:rsid w:val="009A6317"/>
    <w:rsid w:val="009A6A52"/>
    <w:rsid w:val="009A6C1D"/>
    <w:rsid w:val="009A6C2B"/>
    <w:rsid w:val="009A6D66"/>
    <w:rsid w:val="009A6DB5"/>
    <w:rsid w:val="009A7639"/>
    <w:rsid w:val="009A7705"/>
    <w:rsid w:val="009A781A"/>
    <w:rsid w:val="009A79A8"/>
    <w:rsid w:val="009A7F54"/>
    <w:rsid w:val="009ABD25"/>
    <w:rsid w:val="009AF02D"/>
    <w:rsid w:val="009B00D7"/>
    <w:rsid w:val="009B024A"/>
    <w:rsid w:val="009B0437"/>
    <w:rsid w:val="009B054C"/>
    <w:rsid w:val="009B08FE"/>
    <w:rsid w:val="009B099D"/>
    <w:rsid w:val="009B0C82"/>
    <w:rsid w:val="009B0CF7"/>
    <w:rsid w:val="009B0F92"/>
    <w:rsid w:val="009B1084"/>
    <w:rsid w:val="009B1525"/>
    <w:rsid w:val="009B16EE"/>
    <w:rsid w:val="009B1780"/>
    <w:rsid w:val="009B1FC5"/>
    <w:rsid w:val="009B22CE"/>
    <w:rsid w:val="009B281B"/>
    <w:rsid w:val="009B2889"/>
    <w:rsid w:val="009B2C6C"/>
    <w:rsid w:val="009B3025"/>
    <w:rsid w:val="009B30E1"/>
    <w:rsid w:val="009B3279"/>
    <w:rsid w:val="009B3369"/>
    <w:rsid w:val="009B3785"/>
    <w:rsid w:val="009B394A"/>
    <w:rsid w:val="009B410B"/>
    <w:rsid w:val="009B44AE"/>
    <w:rsid w:val="009B498A"/>
    <w:rsid w:val="009B4C50"/>
    <w:rsid w:val="009B4DF6"/>
    <w:rsid w:val="009B4ECB"/>
    <w:rsid w:val="009B4F6B"/>
    <w:rsid w:val="009B5381"/>
    <w:rsid w:val="009B5421"/>
    <w:rsid w:val="009B56B2"/>
    <w:rsid w:val="009B5708"/>
    <w:rsid w:val="009B5AC5"/>
    <w:rsid w:val="009B5CD7"/>
    <w:rsid w:val="009B60C3"/>
    <w:rsid w:val="009B6242"/>
    <w:rsid w:val="009B68FD"/>
    <w:rsid w:val="009B69F1"/>
    <w:rsid w:val="009B6B49"/>
    <w:rsid w:val="009B6B53"/>
    <w:rsid w:val="009B6BB9"/>
    <w:rsid w:val="009B6CD5"/>
    <w:rsid w:val="009B6D45"/>
    <w:rsid w:val="009B6DEF"/>
    <w:rsid w:val="009B6E0B"/>
    <w:rsid w:val="009B7138"/>
    <w:rsid w:val="009B715A"/>
    <w:rsid w:val="009B7410"/>
    <w:rsid w:val="009B748F"/>
    <w:rsid w:val="009B74D4"/>
    <w:rsid w:val="009B74F6"/>
    <w:rsid w:val="009B7A66"/>
    <w:rsid w:val="009B7A83"/>
    <w:rsid w:val="009B7AED"/>
    <w:rsid w:val="009C0237"/>
    <w:rsid w:val="009C041A"/>
    <w:rsid w:val="009C0ABD"/>
    <w:rsid w:val="009C0CD1"/>
    <w:rsid w:val="009C0CE4"/>
    <w:rsid w:val="009C11F0"/>
    <w:rsid w:val="009C128B"/>
    <w:rsid w:val="009C1346"/>
    <w:rsid w:val="009C1439"/>
    <w:rsid w:val="009C1482"/>
    <w:rsid w:val="009C1877"/>
    <w:rsid w:val="009C19E8"/>
    <w:rsid w:val="009C19EE"/>
    <w:rsid w:val="009C1D6F"/>
    <w:rsid w:val="009C1F8D"/>
    <w:rsid w:val="009C2255"/>
    <w:rsid w:val="009C23B1"/>
    <w:rsid w:val="009C27DF"/>
    <w:rsid w:val="009C29CF"/>
    <w:rsid w:val="009C2AD1"/>
    <w:rsid w:val="009C2AE7"/>
    <w:rsid w:val="009C2B03"/>
    <w:rsid w:val="009C2B93"/>
    <w:rsid w:val="009C2DF0"/>
    <w:rsid w:val="009C2FAD"/>
    <w:rsid w:val="009C31A6"/>
    <w:rsid w:val="009C32BC"/>
    <w:rsid w:val="009C334F"/>
    <w:rsid w:val="009C33B6"/>
    <w:rsid w:val="009C3688"/>
    <w:rsid w:val="009C3A5D"/>
    <w:rsid w:val="009C3B01"/>
    <w:rsid w:val="009C3D71"/>
    <w:rsid w:val="009C3D93"/>
    <w:rsid w:val="009C3E46"/>
    <w:rsid w:val="009C447F"/>
    <w:rsid w:val="009C456C"/>
    <w:rsid w:val="009C45A9"/>
    <w:rsid w:val="009C45DA"/>
    <w:rsid w:val="009C4602"/>
    <w:rsid w:val="009C4BEC"/>
    <w:rsid w:val="009C4FF6"/>
    <w:rsid w:val="009C5018"/>
    <w:rsid w:val="009C519F"/>
    <w:rsid w:val="009C576A"/>
    <w:rsid w:val="009C5C13"/>
    <w:rsid w:val="009C5DFE"/>
    <w:rsid w:val="009C6055"/>
    <w:rsid w:val="009C6464"/>
    <w:rsid w:val="009C656C"/>
    <w:rsid w:val="009C658D"/>
    <w:rsid w:val="009C65B5"/>
    <w:rsid w:val="009C66A7"/>
    <w:rsid w:val="009C68CD"/>
    <w:rsid w:val="009C69C5"/>
    <w:rsid w:val="009C6A2B"/>
    <w:rsid w:val="009C6CC0"/>
    <w:rsid w:val="009C6CE4"/>
    <w:rsid w:val="009C6E78"/>
    <w:rsid w:val="009C715E"/>
    <w:rsid w:val="009C7243"/>
    <w:rsid w:val="009C7319"/>
    <w:rsid w:val="009C75C4"/>
    <w:rsid w:val="009C791C"/>
    <w:rsid w:val="009C7966"/>
    <w:rsid w:val="009C7985"/>
    <w:rsid w:val="009C7E20"/>
    <w:rsid w:val="009C7FAE"/>
    <w:rsid w:val="009D0018"/>
    <w:rsid w:val="009D006D"/>
    <w:rsid w:val="009D016F"/>
    <w:rsid w:val="009D025B"/>
    <w:rsid w:val="009D0408"/>
    <w:rsid w:val="009D0476"/>
    <w:rsid w:val="009D058D"/>
    <w:rsid w:val="009D06B6"/>
    <w:rsid w:val="009D0C86"/>
    <w:rsid w:val="009D0EE3"/>
    <w:rsid w:val="009D11F8"/>
    <w:rsid w:val="009D1372"/>
    <w:rsid w:val="009D1517"/>
    <w:rsid w:val="009D174D"/>
    <w:rsid w:val="009D181A"/>
    <w:rsid w:val="009D18B3"/>
    <w:rsid w:val="009D192B"/>
    <w:rsid w:val="009D1A7E"/>
    <w:rsid w:val="009D217B"/>
    <w:rsid w:val="009D2435"/>
    <w:rsid w:val="009D2578"/>
    <w:rsid w:val="009D25B3"/>
    <w:rsid w:val="009D25EC"/>
    <w:rsid w:val="009D25F2"/>
    <w:rsid w:val="009D2684"/>
    <w:rsid w:val="009D28C7"/>
    <w:rsid w:val="009D3279"/>
    <w:rsid w:val="009D33D5"/>
    <w:rsid w:val="009D34ED"/>
    <w:rsid w:val="009D381C"/>
    <w:rsid w:val="009D3B60"/>
    <w:rsid w:val="009D3D73"/>
    <w:rsid w:val="009D3D83"/>
    <w:rsid w:val="009D405A"/>
    <w:rsid w:val="009D4196"/>
    <w:rsid w:val="009D43BF"/>
    <w:rsid w:val="009D463D"/>
    <w:rsid w:val="009D4741"/>
    <w:rsid w:val="009D47F0"/>
    <w:rsid w:val="009D47F9"/>
    <w:rsid w:val="009D47FA"/>
    <w:rsid w:val="009D4929"/>
    <w:rsid w:val="009D4AD5"/>
    <w:rsid w:val="009D4C76"/>
    <w:rsid w:val="009D4E2F"/>
    <w:rsid w:val="009D4FC7"/>
    <w:rsid w:val="009D517F"/>
    <w:rsid w:val="009D5238"/>
    <w:rsid w:val="009D535D"/>
    <w:rsid w:val="009D5670"/>
    <w:rsid w:val="009D56BE"/>
    <w:rsid w:val="009D596F"/>
    <w:rsid w:val="009D5B7E"/>
    <w:rsid w:val="009D5D3C"/>
    <w:rsid w:val="009D5D44"/>
    <w:rsid w:val="009D5E00"/>
    <w:rsid w:val="009D5F8F"/>
    <w:rsid w:val="009D606F"/>
    <w:rsid w:val="009D613A"/>
    <w:rsid w:val="009D63F0"/>
    <w:rsid w:val="009D680D"/>
    <w:rsid w:val="009D690F"/>
    <w:rsid w:val="009D6B58"/>
    <w:rsid w:val="009D6E42"/>
    <w:rsid w:val="009D6EAF"/>
    <w:rsid w:val="009D6F59"/>
    <w:rsid w:val="009D702B"/>
    <w:rsid w:val="009D7486"/>
    <w:rsid w:val="009D78B7"/>
    <w:rsid w:val="009D79BE"/>
    <w:rsid w:val="009D7C0F"/>
    <w:rsid w:val="009D7DAD"/>
    <w:rsid w:val="009E0158"/>
    <w:rsid w:val="009E055B"/>
    <w:rsid w:val="009E0995"/>
    <w:rsid w:val="009E1027"/>
    <w:rsid w:val="009E106F"/>
    <w:rsid w:val="009E12ED"/>
    <w:rsid w:val="009E1474"/>
    <w:rsid w:val="009E1624"/>
    <w:rsid w:val="009E16F6"/>
    <w:rsid w:val="009E1847"/>
    <w:rsid w:val="009E19E0"/>
    <w:rsid w:val="009E1BFD"/>
    <w:rsid w:val="009E20E7"/>
    <w:rsid w:val="009E25FD"/>
    <w:rsid w:val="009E2801"/>
    <w:rsid w:val="009E2A98"/>
    <w:rsid w:val="009E2BF0"/>
    <w:rsid w:val="009E2C21"/>
    <w:rsid w:val="009E2CF7"/>
    <w:rsid w:val="009E2E51"/>
    <w:rsid w:val="009E2EF1"/>
    <w:rsid w:val="009E2F32"/>
    <w:rsid w:val="009E37C0"/>
    <w:rsid w:val="009E39D9"/>
    <w:rsid w:val="009E3B9C"/>
    <w:rsid w:val="009E3DAF"/>
    <w:rsid w:val="009E401C"/>
    <w:rsid w:val="009E435E"/>
    <w:rsid w:val="009E4425"/>
    <w:rsid w:val="009E4474"/>
    <w:rsid w:val="009E45EC"/>
    <w:rsid w:val="009E4957"/>
    <w:rsid w:val="009E4B76"/>
    <w:rsid w:val="009E4BAA"/>
    <w:rsid w:val="009E5147"/>
    <w:rsid w:val="009E523E"/>
    <w:rsid w:val="009E5809"/>
    <w:rsid w:val="009E5837"/>
    <w:rsid w:val="009E59DA"/>
    <w:rsid w:val="009E5FD7"/>
    <w:rsid w:val="009E61EA"/>
    <w:rsid w:val="009E64A8"/>
    <w:rsid w:val="009E688E"/>
    <w:rsid w:val="009E68D8"/>
    <w:rsid w:val="009E6B0F"/>
    <w:rsid w:val="009E6B17"/>
    <w:rsid w:val="009E719B"/>
    <w:rsid w:val="009E738D"/>
    <w:rsid w:val="009E7401"/>
    <w:rsid w:val="009E7459"/>
    <w:rsid w:val="009E7863"/>
    <w:rsid w:val="009E79E7"/>
    <w:rsid w:val="009E7A1A"/>
    <w:rsid w:val="009E7ABF"/>
    <w:rsid w:val="009E7D58"/>
    <w:rsid w:val="009F00E9"/>
    <w:rsid w:val="009F012A"/>
    <w:rsid w:val="009F02C8"/>
    <w:rsid w:val="009F02F4"/>
    <w:rsid w:val="009F043F"/>
    <w:rsid w:val="009F0867"/>
    <w:rsid w:val="009F0C5C"/>
    <w:rsid w:val="009F0F97"/>
    <w:rsid w:val="009F0FB3"/>
    <w:rsid w:val="009F0FD8"/>
    <w:rsid w:val="009F108B"/>
    <w:rsid w:val="009F10D9"/>
    <w:rsid w:val="009F11D3"/>
    <w:rsid w:val="009F1254"/>
    <w:rsid w:val="009F16D0"/>
    <w:rsid w:val="009F178F"/>
    <w:rsid w:val="009F1A0C"/>
    <w:rsid w:val="009F2EBD"/>
    <w:rsid w:val="009F2F27"/>
    <w:rsid w:val="009F341B"/>
    <w:rsid w:val="009F3525"/>
    <w:rsid w:val="009F357F"/>
    <w:rsid w:val="009F3E37"/>
    <w:rsid w:val="009F3EBD"/>
    <w:rsid w:val="009F4373"/>
    <w:rsid w:val="009F445C"/>
    <w:rsid w:val="009F4552"/>
    <w:rsid w:val="009F46C0"/>
    <w:rsid w:val="009F4930"/>
    <w:rsid w:val="009F4F76"/>
    <w:rsid w:val="009F506E"/>
    <w:rsid w:val="009F508B"/>
    <w:rsid w:val="009F50DB"/>
    <w:rsid w:val="009F54B3"/>
    <w:rsid w:val="009F5628"/>
    <w:rsid w:val="009F56F6"/>
    <w:rsid w:val="009F5731"/>
    <w:rsid w:val="009F578D"/>
    <w:rsid w:val="009F5966"/>
    <w:rsid w:val="009F5BEC"/>
    <w:rsid w:val="009F5EF7"/>
    <w:rsid w:val="009F5FF8"/>
    <w:rsid w:val="009F638E"/>
    <w:rsid w:val="009F64D2"/>
    <w:rsid w:val="009F66F0"/>
    <w:rsid w:val="009F6BD6"/>
    <w:rsid w:val="009F6CF2"/>
    <w:rsid w:val="009F6D31"/>
    <w:rsid w:val="009F6D74"/>
    <w:rsid w:val="009F6FBC"/>
    <w:rsid w:val="009F7574"/>
    <w:rsid w:val="009F75B3"/>
    <w:rsid w:val="009F795E"/>
    <w:rsid w:val="009F7AFA"/>
    <w:rsid w:val="009F7D6B"/>
    <w:rsid w:val="009F7DF2"/>
    <w:rsid w:val="009F7F4B"/>
    <w:rsid w:val="009F7FD5"/>
    <w:rsid w:val="00A00107"/>
    <w:rsid w:val="00A003EE"/>
    <w:rsid w:val="00A0044E"/>
    <w:rsid w:val="00A0054B"/>
    <w:rsid w:val="00A00A66"/>
    <w:rsid w:val="00A00BD2"/>
    <w:rsid w:val="00A00F4F"/>
    <w:rsid w:val="00A011A7"/>
    <w:rsid w:val="00A011D0"/>
    <w:rsid w:val="00A014DD"/>
    <w:rsid w:val="00A01630"/>
    <w:rsid w:val="00A01A54"/>
    <w:rsid w:val="00A01B38"/>
    <w:rsid w:val="00A01EB2"/>
    <w:rsid w:val="00A01F44"/>
    <w:rsid w:val="00A022C0"/>
    <w:rsid w:val="00A02596"/>
    <w:rsid w:val="00A02652"/>
    <w:rsid w:val="00A02707"/>
    <w:rsid w:val="00A0270C"/>
    <w:rsid w:val="00A02AF3"/>
    <w:rsid w:val="00A02C15"/>
    <w:rsid w:val="00A03792"/>
    <w:rsid w:val="00A037A9"/>
    <w:rsid w:val="00A03976"/>
    <w:rsid w:val="00A039AE"/>
    <w:rsid w:val="00A03AE0"/>
    <w:rsid w:val="00A03B8E"/>
    <w:rsid w:val="00A03C9A"/>
    <w:rsid w:val="00A03E33"/>
    <w:rsid w:val="00A0462C"/>
    <w:rsid w:val="00A0484A"/>
    <w:rsid w:val="00A04890"/>
    <w:rsid w:val="00A048C3"/>
    <w:rsid w:val="00A04E30"/>
    <w:rsid w:val="00A04E5A"/>
    <w:rsid w:val="00A055AD"/>
    <w:rsid w:val="00A056DC"/>
    <w:rsid w:val="00A0593C"/>
    <w:rsid w:val="00A05BD0"/>
    <w:rsid w:val="00A05D52"/>
    <w:rsid w:val="00A05ECD"/>
    <w:rsid w:val="00A05F50"/>
    <w:rsid w:val="00A06127"/>
    <w:rsid w:val="00A064B4"/>
    <w:rsid w:val="00A06925"/>
    <w:rsid w:val="00A069C2"/>
    <w:rsid w:val="00A06A92"/>
    <w:rsid w:val="00A06BAC"/>
    <w:rsid w:val="00A06FB8"/>
    <w:rsid w:val="00A07290"/>
    <w:rsid w:val="00A0743E"/>
    <w:rsid w:val="00A07550"/>
    <w:rsid w:val="00A0761D"/>
    <w:rsid w:val="00A07A13"/>
    <w:rsid w:val="00A07A78"/>
    <w:rsid w:val="00A07CD5"/>
    <w:rsid w:val="00A07E26"/>
    <w:rsid w:val="00A10376"/>
    <w:rsid w:val="00A105C4"/>
    <w:rsid w:val="00A10922"/>
    <w:rsid w:val="00A10A45"/>
    <w:rsid w:val="00A10B54"/>
    <w:rsid w:val="00A10C98"/>
    <w:rsid w:val="00A10CAD"/>
    <w:rsid w:val="00A10EE1"/>
    <w:rsid w:val="00A10F3F"/>
    <w:rsid w:val="00A1107F"/>
    <w:rsid w:val="00A11218"/>
    <w:rsid w:val="00A1137A"/>
    <w:rsid w:val="00A118F2"/>
    <w:rsid w:val="00A11988"/>
    <w:rsid w:val="00A11A16"/>
    <w:rsid w:val="00A11BBB"/>
    <w:rsid w:val="00A11F1C"/>
    <w:rsid w:val="00A12454"/>
    <w:rsid w:val="00A12474"/>
    <w:rsid w:val="00A12617"/>
    <w:rsid w:val="00A12661"/>
    <w:rsid w:val="00A1268F"/>
    <w:rsid w:val="00A128BA"/>
    <w:rsid w:val="00A12C3B"/>
    <w:rsid w:val="00A12DF7"/>
    <w:rsid w:val="00A1312F"/>
    <w:rsid w:val="00A13379"/>
    <w:rsid w:val="00A13495"/>
    <w:rsid w:val="00A13557"/>
    <w:rsid w:val="00A1384E"/>
    <w:rsid w:val="00A139E8"/>
    <w:rsid w:val="00A13BB6"/>
    <w:rsid w:val="00A13EE9"/>
    <w:rsid w:val="00A143FD"/>
    <w:rsid w:val="00A14566"/>
    <w:rsid w:val="00A146FB"/>
    <w:rsid w:val="00A149FB"/>
    <w:rsid w:val="00A14A50"/>
    <w:rsid w:val="00A14A9B"/>
    <w:rsid w:val="00A14B24"/>
    <w:rsid w:val="00A14C87"/>
    <w:rsid w:val="00A14D5C"/>
    <w:rsid w:val="00A1516A"/>
    <w:rsid w:val="00A1523C"/>
    <w:rsid w:val="00A15490"/>
    <w:rsid w:val="00A15521"/>
    <w:rsid w:val="00A15529"/>
    <w:rsid w:val="00A1564B"/>
    <w:rsid w:val="00A15674"/>
    <w:rsid w:val="00A1585A"/>
    <w:rsid w:val="00A1586B"/>
    <w:rsid w:val="00A15916"/>
    <w:rsid w:val="00A15932"/>
    <w:rsid w:val="00A1593A"/>
    <w:rsid w:val="00A15CF7"/>
    <w:rsid w:val="00A15F02"/>
    <w:rsid w:val="00A16329"/>
    <w:rsid w:val="00A164E8"/>
    <w:rsid w:val="00A168EC"/>
    <w:rsid w:val="00A169AD"/>
    <w:rsid w:val="00A16A1E"/>
    <w:rsid w:val="00A16DF4"/>
    <w:rsid w:val="00A16F61"/>
    <w:rsid w:val="00A17184"/>
    <w:rsid w:val="00A17291"/>
    <w:rsid w:val="00A17457"/>
    <w:rsid w:val="00A17569"/>
    <w:rsid w:val="00A1766B"/>
    <w:rsid w:val="00A1769B"/>
    <w:rsid w:val="00A17903"/>
    <w:rsid w:val="00A17CF3"/>
    <w:rsid w:val="00A17E60"/>
    <w:rsid w:val="00A17EFE"/>
    <w:rsid w:val="00A17F11"/>
    <w:rsid w:val="00A19CDF"/>
    <w:rsid w:val="00A201F6"/>
    <w:rsid w:val="00A20390"/>
    <w:rsid w:val="00A20710"/>
    <w:rsid w:val="00A20779"/>
    <w:rsid w:val="00A20921"/>
    <w:rsid w:val="00A20937"/>
    <w:rsid w:val="00A21247"/>
    <w:rsid w:val="00A2141D"/>
    <w:rsid w:val="00A2142E"/>
    <w:rsid w:val="00A21A74"/>
    <w:rsid w:val="00A21C8B"/>
    <w:rsid w:val="00A21DCA"/>
    <w:rsid w:val="00A21E5B"/>
    <w:rsid w:val="00A22205"/>
    <w:rsid w:val="00A222D8"/>
    <w:rsid w:val="00A226E3"/>
    <w:rsid w:val="00A22A4B"/>
    <w:rsid w:val="00A22E29"/>
    <w:rsid w:val="00A22EBD"/>
    <w:rsid w:val="00A233FB"/>
    <w:rsid w:val="00A236A9"/>
    <w:rsid w:val="00A23820"/>
    <w:rsid w:val="00A23D4F"/>
    <w:rsid w:val="00A24042"/>
    <w:rsid w:val="00A24062"/>
    <w:rsid w:val="00A240A8"/>
    <w:rsid w:val="00A2425C"/>
    <w:rsid w:val="00A2444B"/>
    <w:rsid w:val="00A24817"/>
    <w:rsid w:val="00A24E76"/>
    <w:rsid w:val="00A2515C"/>
    <w:rsid w:val="00A25362"/>
    <w:rsid w:val="00A25BFB"/>
    <w:rsid w:val="00A25C48"/>
    <w:rsid w:val="00A25E68"/>
    <w:rsid w:val="00A25F94"/>
    <w:rsid w:val="00A2604E"/>
    <w:rsid w:val="00A26353"/>
    <w:rsid w:val="00A2640D"/>
    <w:rsid w:val="00A2646F"/>
    <w:rsid w:val="00A267EB"/>
    <w:rsid w:val="00A2681C"/>
    <w:rsid w:val="00A26B5C"/>
    <w:rsid w:val="00A26CB8"/>
    <w:rsid w:val="00A26D9C"/>
    <w:rsid w:val="00A26E90"/>
    <w:rsid w:val="00A27087"/>
    <w:rsid w:val="00A27321"/>
    <w:rsid w:val="00A274D1"/>
    <w:rsid w:val="00A27570"/>
    <w:rsid w:val="00A27D52"/>
    <w:rsid w:val="00A30067"/>
    <w:rsid w:val="00A301BB"/>
    <w:rsid w:val="00A3021E"/>
    <w:rsid w:val="00A304F2"/>
    <w:rsid w:val="00A3075B"/>
    <w:rsid w:val="00A30B30"/>
    <w:rsid w:val="00A30C25"/>
    <w:rsid w:val="00A310FF"/>
    <w:rsid w:val="00A31328"/>
    <w:rsid w:val="00A3138B"/>
    <w:rsid w:val="00A31640"/>
    <w:rsid w:val="00A31662"/>
    <w:rsid w:val="00A316D7"/>
    <w:rsid w:val="00A318DF"/>
    <w:rsid w:val="00A31C85"/>
    <w:rsid w:val="00A31CCB"/>
    <w:rsid w:val="00A31EC3"/>
    <w:rsid w:val="00A31F4A"/>
    <w:rsid w:val="00A321CD"/>
    <w:rsid w:val="00A32238"/>
    <w:rsid w:val="00A32380"/>
    <w:rsid w:val="00A3247C"/>
    <w:rsid w:val="00A324C3"/>
    <w:rsid w:val="00A3259B"/>
    <w:rsid w:val="00A32742"/>
    <w:rsid w:val="00A32DB8"/>
    <w:rsid w:val="00A3348E"/>
    <w:rsid w:val="00A33596"/>
    <w:rsid w:val="00A33642"/>
    <w:rsid w:val="00A3371C"/>
    <w:rsid w:val="00A33A7D"/>
    <w:rsid w:val="00A33ADF"/>
    <w:rsid w:val="00A33B13"/>
    <w:rsid w:val="00A33EE5"/>
    <w:rsid w:val="00A34033"/>
    <w:rsid w:val="00A34089"/>
    <w:rsid w:val="00A3427D"/>
    <w:rsid w:val="00A346CB"/>
    <w:rsid w:val="00A34788"/>
    <w:rsid w:val="00A347D8"/>
    <w:rsid w:val="00A34830"/>
    <w:rsid w:val="00A34B5C"/>
    <w:rsid w:val="00A34BFD"/>
    <w:rsid w:val="00A357C4"/>
    <w:rsid w:val="00A35A80"/>
    <w:rsid w:val="00A35BC1"/>
    <w:rsid w:val="00A35D12"/>
    <w:rsid w:val="00A35D95"/>
    <w:rsid w:val="00A35E6A"/>
    <w:rsid w:val="00A35EF9"/>
    <w:rsid w:val="00A35FA8"/>
    <w:rsid w:val="00A35FFF"/>
    <w:rsid w:val="00A36327"/>
    <w:rsid w:val="00A36568"/>
    <w:rsid w:val="00A36B28"/>
    <w:rsid w:val="00A36BEF"/>
    <w:rsid w:val="00A36C0F"/>
    <w:rsid w:val="00A36D7A"/>
    <w:rsid w:val="00A36D89"/>
    <w:rsid w:val="00A36EA6"/>
    <w:rsid w:val="00A377D4"/>
    <w:rsid w:val="00A37986"/>
    <w:rsid w:val="00A37D22"/>
    <w:rsid w:val="00A37DD8"/>
    <w:rsid w:val="00A37F3F"/>
    <w:rsid w:val="00A39D46"/>
    <w:rsid w:val="00A400EE"/>
    <w:rsid w:val="00A402D8"/>
    <w:rsid w:val="00A40387"/>
    <w:rsid w:val="00A405B9"/>
    <w:rsid w:val="00A40753"/>
    <w:rsid w:val="00A409D5"/>
    <w:rsid w:val="00A40E2C"/>
    <w:rsid w:val="00A41018"/>
    <w:rsid w:val="00A4173F"/>
    <w:rsid w:val="00A41A9F"/>
    <w:rsid w:val="00A41C96"/>
    <w:rsid w:val="00A41D1C"/>
    <w:rsid w:val="00A41DA6"/>
    <w:rsid w:val="00A421DA"/>
    <w:rsid w:val="00A422A3"/>
    <w:rsid w:val="00A423E5"/>
    <w:rsid w:val="00A42699"/>
    <w:rsid w:val="00A42719"/>
    <w:rsid w:val="00A42B6D"/>
    <w:rsid w:val="00A4324A"/>
    <w:rsid w:val="00A4328D"/>
    <w:rsid w:val="00A4334F"/>
    <w:rsid w:val="00A43425"/>
    <w:rsid w:val="00A43A6D"/>
    <w:rsid w:val="00A43AB7"/>
    <w:rsid w:val="00A43B56"/>
    <w:rsid w:val="00A43BC1"/>
    <w:rsid w:val="00A43E2D"/>
    <w:rsid w:val="00A43E73"/>
    <w:rsid w:val="00A43E77"/>
    <w:rsid w:val="00A43EA7"/>
    <w:rsid w:val="00A43EFC"/>
    <w:rsid w:val="00A43F2C"/>
    <w:rsid w:val="00A44350"/>
    <w:rsid w:val="00A443B9"/>
    <w:rsid w:val="00A445C6"/>
    <w:rsid w:val="00A44AE1"/>
    <w:rsid w:val="00A44B0F"/>
    <w:rsid w:val="00A453C9"/>
    <w:rsid w:val="00A45A38"/>
    <w:rsid w:val="00A45B26"/>
    <w:rsid w:val="00A45C01"/>
    <w:rsid w:val="00A45D68"/>
    <w:rsid w:val="00A45DC3"/>
    <w:rsid w:val="00A45E37"/>
    <w:rsid w:val="00A45E74"/>
    <w:rsid w:val="00A45E8D"/>
    <w:rsid w:val="00A46406"/>
    <w:rsid w:val="00A46A7F"/>
    <w:rsid w:val="00A46BDD"/>
    <w:rsid w:val="00A46C99"/>
    <w:rsid w:val="00A46E20"/>
    <w:rsid w:val="00A46E37"/>
    <w:rsid w:val="00A46E3B"/>
    <w:rsid w:val="00A46FB6"/>
    <w:rsid w:val="00A470A7"/>
    <w:rsid w:val="00A47431"/>
    <w:rsid w:val="00A475CA"/>
    <w:rsid w:val="00A47659"/>
    <w:rsid w:val="00A4769A"/>
    <w:rsid w:val="00A47F8B"/>
    <w:rsid w:val="00A503FC"/>
    <w:rsid w:val="00A50710"/>
    <w:rsid w:val="00A50A50"/>
    <w:rsid w:val="00A50A51"/>
    <w:rsid w:val="00A50A9F"/>
    <w:rsid w:val="00A50CBC"/>
    <w:rsid w:val="00A50CF8"/>
    <w:rsid w:val="00A50DA3"/>
    <w:rsid w:val="00A50DE1"/>
    <w:rsid w:val="00A5119B"/>
    <w:rsid w:val="00A511AA"/>
    <w:rsid w:val="00A51597"/>
    <w:rsid w:val="00A515F5"/>
    <w:rsid w:val="00A51623"/>
    <w:rsid w:val="00A5162B"/>
    <w:rsid w:val="00A51AF1"/>
    <w:rsid w:val="00A51CF8"/>
    <w:rsid w:val="00A51D77"/>
    <w:rsid w:val="00A52259"/>
    <w:rsid w:val="00A5228A"/>
    <w:rsid w:val="00A52411"/>
    <w:rsid w:val="00A524D8"/>
    <w:rsid w:val="00A525CB"/>
    <w:rsid w:val="00A52F3E"/>
    <w:rsid w:val="00A53155"/>
    <w:rsid w:val="00A5316C"/>
    <w:rsid w:val="00A5323A"/>
    <w:rsid w:val="00A532B8"/>
    <w:rsid w:val="00A53355"/>
    <w:rsid w:val="00A53909"/>
    <w:rsid w:val="00A5396B"/>
    <w:rsid w:val="00A53E70"/>
    <w:rsid w:val="00A53E7A"/>
    <w:rsid w:val="00A53EE8"/>
    <w:rsid w:val="00A5409C"/>
    <w:rsid w:val="00A5430A"/>
    <w:rsid w:val="00A54348"/>
    <w:rsid w:val="00A54676"/>
    <w:rsid w:val="00A54766"/>
    <w:rsid w:val="00A54AF6"/>
    <w:rsid w:val="00A54BCE"/>
    <w:rsid w:val="00A54CAF"/>
    <w:rsid w:val="00A54D3E"/>
    <w:rsid w:val="00A558E2"/>
    <w:rsid w:val="00A55A30"/>
    <w:rsid w:val="00A55AD8"/>
    <w:rsid w:val="00A55D7E"/>
    <w:rsid w:val="00A5612F"/>
    <w:rsid w:val="00A56571"/>
    <w:rsid w:val="00A5673E"/>
    <w:rsid w:val="00A57327"/>
    <w:rsid w:val="00A579B1"/>
    <w:rsid w:val="00A57CA1"/>
    <w:rsid w:val="00A57CB3"/>
    <w:rsid w:val="00A57E27"/>
    <w:rsid w:val="00A57F1A"/>
    <w:rsid w:val="00A6000B"/>
    <w:rsid w:val="00A6023E"/>
    <w:rsid w:val="00A602C0"/>
    <w:rsid w:val="00A60343"/>
    <w:rsid w:val="00A60560"/>
    <w:rsid w:val="00A60626"/>
    <w:rsid w:val="00A60A56"/>
    <w:rsid w:val="00A60C1E"/>
    <w:rsid w:val="00A61263"/>
    <w:rsid w:val="00A6139B"/>
    <w:rsid w:val="00A615CA"/>
    <w:rsid w:val="00A62226"/>
    <w:rsid w:val="00A62321"/>
    <w:rsid w:val="00A623BD"/>
    <w:rsid w:val="00A62A0E"/>
    <w:rsid w:val="00A62B22"/>
    <w:rsid w:val="00A62C53"/>
    <w:rsid w:val="00A631BA"/>
    <w:rsid w:val="00A63ACA"/>
    <w:rsid w:val="00A63C81"/>
    <w:rsid w:val="00A63ECE"/>
    <w:rsid w:val="00A63F28"/>
    <w:rsid w:val="00A63F86"/>
    <w:rsid w:val="00A63FD3"/>
    <w:rsid w:val="00A64463"/>
    <w:rsid w:val="00A64586"/>
    <w:rsid w:val="00A645B2"/>
    <w:rsid w:val="00A649C0"/>
    <w:rsid w:val="00A64DA0"/>
    <w:rsid w:val="00A650C8"/>
    <w:rsid w:val="00A65474"/>
    <w:rsid w:val="00A654C8"/>
    <w:rsid w:val="00A65523"/>
    <w:rsid w:val="00A65981"/>
    <w:rsid w:val="00A659A4"/>
    <w:rsid w:val="00A65A06"/>
    <w:rsid w:val="00A65B54"/>
    <w:rsid w:val="00A65E45"/>
    <w:rsid w:val="00A661CF"/>
    <w:rsid w:val="00A662F7"/>
    <w:rsid w:val="00A663E9"/>
    <w:rsid w:val="00A66530"/>
    <w:rsid w:val="00A66581"/>
    <w:rsid w:val="00A6674E"/>
    <w:rsid w:val="00A66924"/>
    <w:rsid w:val="00A66997"/>
    <w:rsid w:val="00A66BBE"/>
    <w:rsid w:val="00A66EA6"/>
    <w:rsid w:val="00A673CB"/>
    <w:rsid w:val="00A673E2"/>
    <w:rsid w:val="00A678C9"/>
    <w:rsid w:val="00A6793C"/>
    <w:rsid w:val="00A6797B"/>
    <w:rsid w:val="00A67B4C"/>
    <w:rsid w:val="00A67D52"/>
    <w:rsid w:val="00A6B0AA"/>
    <w:rsid w:val="00A70188"/>
    <w:rsid w:val="00A703F7"/>
    <w:rsid w:val="00A705A2"/>
    <w:rsid w:val="00A70743"/>
    <w:rsid w:val="00A7092F"/>
    <w:rsid w:val="00A70AC3"/>
    <w:rsid w:val="00A70B42"/>
    <w:rsid w:val="00A70C1B"/>
    <w:rsid w:val="00A70CBB"/>
    <w:rsid w:val="00A70E5D"/>
    <w:rsid w:val="00A71278"/>
    <w:rsid w:val="00A71519"/>
    <w:rsid w:val="00A716CA"/>
    <w:rsid w:val="00A7191F"/>
    <w:rsid w:val="00A71A8C"/>
    <w:rsid w:val="00A71C24"/>
    <w:rsid w:val="00A71DD9"/>
    <w:rsid w:val="00A71E5B"/>
    <w:rsid w:val="00A71F4E"/>
    <w:rsid w:val="00A7205C"/>
    <w:rsid w:val="00A7215C"/>
    <w:rsid w:val="00A724CF"/>
    <w:rsid w:val="00A7270D"/>
    <w:rsid w:val="00A72720"/>
    <w:rsid w:val="00A72A44"/>
    <w:rsid w:val="00A72CD4"/>
    <w:rsid w:val="00A72FCA"/>
    <w:rsid w:val="00A73085"/>
    <w:rsid w:val="00A7323C"/>
    <w:rsid w:val="00A734CB"/>
    <w:rsid w:val="00A736ED"/>
    <w:rsid w:val="00A73707"/>
    <w:rsid w:val="00A73C33"/>
    <w:rsid w:val="00A73C5B"/>
    <w:rsid w:val="00A73CDB"/>
    <w:rsid w:val="00A74009"/>
    <w:rsid w:val="00A7400B"/>
    <w:rsid w:val="00A740F3"/>
    <w:rsid w:val="00A743B9"/>
    <w:rsid w:val="00A74534"/>
    <w:rsid w:val="00A74BA3"/>
    <w:rsid w:val="00A74CDE"/>
    <w:rsid w:val="00A74CE9"/>
    <w:rsid w:val="00A74D05"/>
    <w:rsid w:val="00A74DCB"/>
    <w:rsid w:val="00A7507E"/>
    <w:rsid w:val="00A7545A"/>
    <w:rsid w:val="00A7546B"/>
    <w:rsid w:val="00A75602"/>
    <w:rsid w:val="00A75AFF"/>
    <w:rsid w:val="00A75C54"/>
    <w:rsid w:val="00A75D3B"/>
    <w:rsid w:val="00A75E1B"/>
    <w:rsid w:val="00A75F52"/>
    <w:rsid w:val="00A76903"/>
    <w:rsid w:val="00A769AC"/>
    <w:rsid w:val="00A76B93"/>
    <w:rsid w:val="00A76BEF"/>
    <w:rsid w:val="00A76C5E"/>
    <w:rsid w:val="00A76C7B"/>
    <w:rsid w:val="00A76CA0"/>
    <w:rsid w:val="00A772CA"/>
    <w:rsid w:val="00A773C8"/>
    <w:rsid w:val="00A77636"/>
    <w:rsid w:val="00A7769C"/>
    <w:rsid w:val="00A778D9"/>
    <w:rsid w:val="00A77929"/>
    <w:rsid w:val="00A77A9B"/>
    <w:rsid w:val="00A77B21"/>
    <w:rsid w:val="00A77B35"/>
    <w:rsid w:val="00A77BE8"/>
    <w:rsid w:val="00A77F0C"/>
    <w:rsid w:val="00A77F74"/>
    <w:rsid w:val="00A80394"/>
    <w:rsid w:val="00A8042C"/>
    <w:rsid w:val="00A80491"/>
    <w:rsid w:val="00A804BB"/>
    <w:rsid w:val="00A804D2"/>
    <w:rsid w:val="00A807F0"/>
    <w:rsid w:val="00A80E75"/>
    <w:rsid w:val="00A816FC"/>
    <w:rsid w:val="00A81C92"/>
    <w:rsid w:val="00A820BA"/>
    <w:rsid w:val="00A821CF"/>
    <w:rsid w:val="00A8234A"/>
    <w:rsid w:val="00A825C5"/>
    <w:rsid w:val="00A827CB"/>
    <w:rsid w:val="00A827CF"/>
    <w:rsid w:val="00A82915"/>
    <w:rsid w:val="00A82998"/>
    <w:rsid w:val="00A82F44"/>
    <w:rsid w:val="00A82FC9"/>
    <w:rsid w:val="00A83030"/>
    <w:rsid w:val="00A831F7"/>
    <w:rsid w:val="00A832E0"/>
    <w:rsid w:val="00A832EC"/>
    <w:rsid w:val="00A8386D"/>
    <w:rsid w:val="00A83B04"/>
    <w:rsid w:val="00A83D32"/>
    <w:rsid w:val="00A84268"/>
    <w:rsid w:val="00A842B1"/>
    <w:rsid w:val="00A846B8"/>
    <w:rsid w:val="00A84D99"/>
    <w:rsid w:val="00A84DD9"/>
    <w:rsid w:val="00A84E5C"/>
    <w:rsid w:val="00A85236"/>
    <w:rsid w:val="00A853EE"/>
    <w:rsid w:val="00A85826"/>
    <w:rsid w:val="00A85851"/>
    <w:rsid w:val="00A85912"/>
    <w:rsid w:val="00A85F3B"/>
    <w:rsid w:val="00A8619C"/>
    <w:rsid w:val="00A8619D"/>
    <w:rsid w:val="00A86248"/>
    <w:rsid w:val="00A864FF"/>
    <w:rsid w:val="00A86538"/>
    <w:rsid w:val="00A8657A"/>
    <w:rsid w:val="00A87066"/>
    <w:rsid w:val="00A870A4"/>
    <w:rsid w:val="00A87121"/>
    <w:rsid w:val="00A871FE"/>
    <w:rsid w:val="00A87251"/>
    <w:rsid w:val="00A877FE"/>
    <w:rsid w:val="00A90002"/>
    <w:rsid w:val="00A90007"/>
    <w:rsid w:val="00A90088"/>
    <w:rsid w:val="00A902DE"/>
    <w:rsid w:val="00A907BB"/>
    <w:rsid w:val="00A9080D"/>
    <w:rsid w:val="00A90D3C"/>
    <w:rsid w:val="00A90E6C"/>
    <w:rsid w:val="00A90FC6"/>
    <w:rsid w:val="00A9101D"/>
    <w:rsid w:val="00A91119"/>
    <w:rsid w:val="00A91166"/>
    <w:rsid w:val="00A91267"/>
    <w:rsid w:val="00A9131B"/>
    <w:rsid w:val="00A9134A"/>
    <w:rsid w:val="00A9137F"/>
    <w:rsid w:val="00A913F5"/>
    <w:rsid w:val="00A9143D"/>
    <w:rsid w:val="00A91B2D"/>
    <w:rsid w:val="00A91B61"/>
    <w:rsid w:val="00A91B81"/>
    <w:rsid w:val="00A91C1B"/>
    <w:rsid w:val="00A91CF8"/>
    <w:rsid w:val="00A921C4"/>
    <w:rsid w:val="00A924FE"/>
    <w:rsid w:val="00A927F9"/>
    <w:rsid w:val="00A9293E"/>
    <w:rsid w:val="00A92BF3"/>
    <w:rsid w:val="00A92E4E"/>
    <w:rsid w:val="00A932BD"/>
    <w:rsid w:val="00A932CE"/>
    <w:rsid w:val="00A9330C"/>
    <w:rsid w:val="00A93B0D"/>
    <w:rsid w:val="00A93BE5"/>
    <w:rsid w:val="00A93FA3"/>
    <w:rsid w:val="00A94152"/>
    <w:rsid w:val="00A94291"/>
    <w:rsid w:val="00A943C0"/>
    <w:rsid w:val="00A94507"/>
    <w:rsid w:val="00A948C7"/>
    <w:rsid w:val="00A94B34"/>
    <w:rsid w:val="00A950BA"/>
    <w:rsid w:val="00A95495"/>
    <w:rsid w:val="00A954AA"/>
    <w:rsid w:val="00A95584"/>
    <w:rsid w:val="00A956B5"/>
    <w:rsid w:val="00A95711"/>
    <w:rsid w:val="00A957C9"/>
    <w:rsid w:val="00A958AF"/>
    <w:rsid w:val="00A958D1"/>
    <w:rsid w:val="00A95A0B"/>
    <w:rsid w:val="00A95B63"/>
    <w:rsid w:val="00A95C27"/>
    <w:rsid w:val="00A95CFD"/>
    <w:rsid w:val="00A95DDD"/>
    <w:rsid w:val="00A96002"/>
    <w:rsid w:val="00A962E4"/>
    <w:rsid w:val="00A962F2"/>
    <w:rsid w:val="00A96351"/>
    <w:rsid w:val="00A9643E"/>
    <w:rsid w:val="00A96532"/>
    <w:rsid w:val="00A9675C"/>
    <w:rsid w:val="00A96869"/>
    <w:rsid w:val="00A9699D"/>
    <w:rsid w:val="00A96AA3"/>
    <w:rsid w:val="00A96C8E"/>
    <w:rsid w:val="00A96DDA"/>
    <w:rsid w:val="00A96F97"/>
    <w:rsid w:val="00A971EB"/>
    <w:rsid w:val="00A9728B"/>
    <w:rsid w:val="00A97BD6"/>
    <w:rsid w:val="00A97E1E"/>
    <w:rsid w:val="00A98784"/>
    <w:rsid w:val="00AA0109"/>
    <w:rsid w:val="00AA0315"/>
    <w:rsid w:val="00AA0335"/>
    <w:rsid w:val="00AA04CE"/>
    <w:rsid w:val="00AA05FF"/>
    <w:rsid w:val="00AA0601"/>
    <w:rsid w:val="00AA061F"/>
    <w:rsid w:val="00AA06F9"/>
    <w:rsid w:val="00AA0878"/>
    <w:rsid w:val="00AA0900"/>
    <w:rsid w:val="00AA0994"/>
    <w:rsid w:val="00AA0D56"/>
    <w:rsid w:val="00AA1142"/>
    <w:rsid w:val="00AA168E"/>
    <w:rsid w:val="00AA1B0F"/>
    <w:rsid w:val="00AA1BDA"/>
    <w:rsid w:val="00AA1FFE"/>
    <w:rsid w:val="00AA206D"/>
    <w:rsid w:val="00AA209E"/>
    <w:rsid w:val="00AA2108"/>
    <w:rsid w:val="00AA21F0"/>
    <w:rsid w:val="00AA21F2"/>
    <w:rsid w:val="00AA2364"/>
    <w:rsid w:val="00AA2444"/>
    <w:rsid w:val="00AA2EAF"/>
    <w:rsid w:val="00AA3006"/>
    <w:rsid w:val="00AA321F"/>
    <w:rsid w:val="00AA36E8"/>
    <w:rsid w:val="00AA382D"/>
    <w:rsid w:val="00AA3924"/>
    <w:rsid w:val="00AA3FC1"/>
    <w:rsid w:val="00AA4217"/>
    <w:rsid w:val="00AA46C5"/>
    <w:rsid w:val="00AA46E4"/>
    <w:rsid w:val="00AA47F1"/>
    <w:rsid w:val="00AA4CF1"/>
    <w:rsid w:val="00AA4E61"/>
    <w:rsid w:val="00AA4EFF"/>
    <w:rsid w:val="00AA5190"/>
    <w:rsid w:val="00AA5528"/>
    <w:rsid w:val="00AA5760"/>
    <w:rsid w:val="00AA57E3"/>
    <w:rsid w:val="00AA58E6"/>
    <w:rsid w:val="00AA5A5F"/>
    <w:rsid w:val="00AA5DD6"/>
    <w:rsid w:val="00AA5FA2"/>
    <w:rsid w:val="00AA604F"/>
    <w:rsid w:val="00AA60E6"/>
    <w:rsid w:val="00AA646C"/>
    <w:rsid w:val="00AA64E9"/>
    <w:rsid w:val="00AA6682"/>
    <w:rsid w:val="00AA679C"/>
    <w:rsid w:val="00AA6813"/>
    <w:rsid w:val="00AA6877"/>
    <w:rsid w:val="00AA6CB2"/>
    <w:rsid w:val="00AA6DC8"/>
    <w:rsid w:val="00AA6DE0"/>
    <w:rsid w:val="00AA6ECB"/>
    <w:rsid w:val="00AA70F0"/>
    <w:rsid w:val="00AA74E3"/>
    <w:rsid w:val="00AA76CF"/>
    <w:rsid w:val="00AA7766"/>
    <w:rsid w:val="00AA790B"/>
    <w:rsid w:val="00AA7AD0"/>
    <w:rsid w:val="00AA7E81"/>
    <w:rsid w:val="00AA7EC8"/>
    <w:rsid w:val="00AB000E"/>
    <w:rsid w:val="00AB03FE"/>
    <w:rsid w:val="00AB048F"/>
    <w:rsid w:val="00AB05BA"/>
    <w:rsid w:val="00AB0622"/>
    <w:rsid w:val="00AB0636"/>
    <w:rsid w:val="00AB063E"/>
    <w:rsid w:val="00AB0A84"/>
    <w:rsid w:val="00AB166C"/>
    <w:rsid w:val="00AB16F6"/>
    <w:rsid w:val="00AB187B"/>
    <w:rsid w:val="00AB1D3D"/>
    <w:rsid w:val="00AB1E58"/>
    <w:rsid w:val="00AB1F45"/>
    <w:rsid w:val="00AB22F7"/>
    <w:rsid w:val="00AB2574"/>
    <w:rsid w:val="00AB2A04"/>
    <w:rsid w:val="00AB2AF4"/>
    <w:rsid w:val="00AB2B5F"/>
    <w:rsid w:val="00AB2C2D"/>
    <w:rsid w:val="00AB3188"/>
    <w:rsid w:val="00AB3276"/>
    <w:rsid w:val="00AB3E41"/>
    <w:rsid w:val="00AB4B1B"/>
    <w:rsid w:val="00AB4BCD"/>
    <w:rsid w:val="00AB4E9D"/>
    <w:rsid w:val="00AB4FBC"/>
    <w:rsid w:val="00AB5058"/>
    <w:rsid w:val="00AB5207"/>
    <w:rsid w:val="00AB53A5"/>
    <w:rsid w:val="00AB5665"/>
    <w:rsid w:val="00AB5719"/>
    <w:rsid w:val="00AB5A87"/>
    <w:rsid w:val="00AB5B21"/>
    <w:rsid w:val="00AB5B62"/>
    <w:rsid w:val="00AB5BAE"/>
    <w:rsid w:val="00AB5C41"/>
    <w:rsid w:val="00AB5C7A"/>
    <w:rsid w:val="00AB5DD7"/>
    <w:rsid w:val="00AB61FB"/>
    <w:rsid w:val="00AB62B7"/>
    <w:rsid w:val="00AB6AB0"/>
    <w:rsid w:val="00AB6B16"/>
    <w:rsid w:val="00AB6F9B"/>
    <w:rsid w:val="00AB6FBE"/>
    <w:rsid w:val="00AB7047"/>
    <w:rsid w:val="00AB70C8"/>
    <w:rsid w:val="00AB7109"/>
    <w:rsid w:val="00AB7132"/>
    <w:rsid w:val="00AB74DD"/>
    <w:rsid w:val="00AB76FB"/>
    <w:rsid w:val="00AB7860"/>
    <w:rsid w:val="00AB78C0"/>
    <w:rsid w:val="00AB7A96"/>
    <w:rsid w:val="00AB7D5D"/>
    <w:rsid w:val="00AC0043"/>
    <w:rsid w:val="00AC03A4"/>
    <w:rsid w:val="00AC046E"/>
    <w:rsid w:val="00AC0B01"/>
    <w:rsid w:val="00AC0D00"/>
    <w:rsid w:val="00AC0DB6"/>
    <w:rsid w:val="00AC0F00"/>
    <w:rsid w:val="00AC1004"/>
    <w:rsid w:val="00AC1188"/>
    <w:rsid w:val="00AC145F"/>
    <w:rsid w:val="00AC16E4"/>
    <w:rsid w:val="00AC1810"/>
    <w:rsid w:val="00AC1B99"/>
    <w:rsid w:val="00AC1F13"/>
    <w:rsid w:val="00AC1FD0"/>
    <w:rsid w:val="00AC20A7"/>
    <w:rsid w:val="00AC2444"/>
    <w:rsid w:val="00AC2946"/>
    <w:rsid w:val="00AC2C9D"/>
    <w:rsid w:val="00AC2D04"/>
    <w:rsid w:val="00AC3728"/>
    <w:rsid w:val="00AC37B7"/>
    <w:rsid w:val="00AC37ED"/>
    <w:rsid w:val="00AC3B27"/>
    <w:rsid w:val="00AC3B91"/>
    <w:rsid w:val="00AC3BCB"/>
    <w:rsid w:val="00AC3EA5"/>
    <w:rsid w:val="00AC4013"/>
    <w:rsid w:val="00AC43A2"/>
    <w:rsid w:val="00AC4410"/>
    <w:rsid w:val="00AC44B5"/>
    <w:rsid w:val="00AC44D4"/>
    <w:rsid w:val="00AC483B"/>
    <w:rsid w:val="00AC4A87"/>
    <w:rsid w:val="00AC4E21"/>
    <w:rsid w:val="00AC4E55"/>
    <w:rsid w:val="00AC4EBD"/>
    <w:rsid w:val="00AC4F1E"/>
    <w:rsid w:val="00AC5249"/>
    <w:rsid w:val="00AC541E"/>
    <w:rsid w:val="00AC5A3D"/>
    <w:rsid w:val="00AC5B30"/>
    <w:rsid w:val="00AC5E2B"/>
    <w:rsid w:val="00AC6055"/>
    <w:rsid w:val="00AC61C6"/>
    <w:rsid w:val="00AC65E7"/>
    <w:rsid w:val="00AC68CD"/>
    <w:rsid w:val="00AC690B"/>
    <w:rsid w:val="00AC69CA"/>
    <w:rsid w:val="00AC6A79"/>
    <w:rsid w:val="00AC6B2E"/>
    <w:rsid w:val="00AC6C86"/>
    <w:rsid w:val="00AC6DA9"/>
    <w:rsid w:val="00AC6EEA"/>
    <w:rsid w:val="00AC7030"/>
    <w:rsid w:val="00AC7357"/>
    <w:rsid w:val="00AC748B"/>
    <w:rsid w:val="00AC7C20"/>
    <w:rsid w:val="00AC7C31"/>
    <w:rsid w:val="00AC7CCF"/>
    <w:rsid w:val="00AC7D5A"/>
    <w:rsid w:val="00AC7DE8"/>
    <w:rsid w:val="00AD00DC"/>
    <w:rsid w:val="00AD0414"/>
    <w:rsid w:val="00AD0436"/>
    <w:rsid w:val="00AD04FE"/>
    <w:rsid w:val="00AD0738"/>
    <w:rsid w:val="00AD0B09"/>
    <w:rsid w:val="00AD0C3A"/>
    <w:rsid w:val="00AD0EC8"/>
    <w:rsid w:val="00AD0FC1"/>
    <w:rsid w:val="00AD0FF2"/>
    <w:rsid w:val="00AD1081"/>
    <w:rsid w:val="00AD13D4"/>
    <w:rsid w:val="00AD1A1C"/>
    <w:rsid w:val="00AD1B75"/>
    <w:rsid w:val="00AD1D65"/>
    <w:rsid w:val="00AD1F11"/>
    <w:rsid w:val="00AD231B"/>
    <w:rsid w:val="00AD2493"/>
    <w:rsid w:val="00AD252F"/>
    <w:rsid w:val="00AD2683"/>
    <w:rsid w:val="00AD2710"/>
    <w:rsid w:val="00AD2731"/>
    <w:rsid w:val="00AD2C24"/>
    <w:rsid w:val="00AD2D97"/>
    <w:rsid w:val="00AD30E8"/>
    <w:rsid w:val="00AD3257"/>
    <w:rsid w:val="00AD3415"/>
    <w:rsid w:val="00AD34F2"/>
    <w:rsid w:val="00AD370B"/>
    <w:rsid w:val="00AD3C01"/>
    <w:rsid w:val="00AD4661"/>
    <w:rsid w:val="00AD4792"/>
    <w:rsid w:val="00AD483D"/>
    <w:rsid w:val="00AD525E"/>
    <w:rsid w:val="00AD55F4"/>
    <w:rsid w:val="00AD5794"/>
    <w:rsid w:val="00AD59FA"/>
    <w:rsid w:val="00AD6036"/>
    <w:rsid w:val="00AD672E"/>
    <w:rsid w:val="00AD6732"/>
    <w:rsid w:val="00AD6945"/>
    <w:rsid w:val="00AD69B7"/>
    <w:rsid w:val="00AD6A4E"/>
    <w:rsid w:val="00AD6DDF"/>
    <w:rsid w:val="00AD6F4C"/>
    <w:rsid w:val="00AD702A"/>
    <w:rsid w:val="00AD7086"/>
    <w:rsid w:val="00AD70C8"/>
    <w:rsid w:val="00AD710F"/>
    <w:rsid w:val="00AD7158"/>
    <w:rsid w:val="00AD716F"/>
    <w:rsid w:val="00AD7296"/>
    <w:rsid w:val="00AD733A"/>
    <w:rsid w:val="00AD7502"/>
    <w:rsid w:val="00AD7680"/>
    <w:rsid w:val="00AD7796"/>
    <w:rsid w:val="00AD782E"/>
    <w:rsid w:val="00AD7953"/>
    <w:rsid w:val="00AD7B07"/>
    <w:rsid w:val="00AD7B4E"/>
    <w:rsid w:val="00AD7BA1"/>
    <w:rsid w:val="00AE00DE"/>
    <w:rsid w:val="00AE03CF"/>
    <w:rsid w:val="00AE04FE"/>
    <w:rsid w:val="00AE06D2"/>
    <w:rsid w:val="00AE087D"/>
    <w:rsid w:val="00AE0AF4"/>
    <w:rsid w:val="00AE0E46"/>
    <w:rsid w:val="00AE0EF2"/>
    <w:rsid w:val="00AE0FA9"/>
    <w:rsid w:val="00AE0FEA"/>
    <w:rsid w:val="00AE104A"/>
    <w:rsid w:val="00AE115B"/>
    <w:rsid w:val="00AE1221"/>
    <w:rsid w:val="00AE12A6"/>
    <w:rsid w:val="00AE1448"/>
    <w:rsid w:val="00AE1827"/>
    <w:rsid w:val="00AE198D"/>
    <w:rsid w:val="00AE1D0D"/>
    <w:rsid w:val="00AE2082"/>
    <w:rsid w:val="00AE20F9"/>
    <w:rsid w:val="00AE217F"/>
    <w:rsid w:val="00AE23FD"/>
    <w:rsid w:val="00AE24FE"/>
    <w:rsid w:val="00AE25F0"/>
    <w:rsid w:val="00AE263E"/>
    <w:rsid w:val="00AE27C2"/>
    <w:rsid w:val="00AE287B"/>
    <w:rsid w:val="00AE28AA"/>
    <w:rsid w:val="00AE295A"/>
    <w:rsid w:val="00AE2CCF"/>
    <w:rsid w:val="00AE2DE2"/>
    <w:rsid w:val="00AE2DF0"/>
    <w:rsid w:val="00AE2DF3"/>
    <w:rsid w:val="00AE2E01"/>
    <w:rsid w:val="00AE31DE"/>
    <w:rsid w:val="00AE32BE"/>
    <w:rsid w:val="00AE3888"/>
    <w:rsid w:val="00AE3AD5"/>
    <w:rsid w:val="00AE3E12"/>
    <w:rsid w:val="00AE3F3E"/>
    <w:rsid w:val="00AE4079"/>
    <w:rsid w:val="00AE40A1"/>
    <w:rsid w:val="00AE4263"/>
    <w:rsid w:val="00AE445B"/>
    <w:rsid w:val="00AE4469"/>
    <w:rsid w:val="00AE4655"/>
    <w:rsid w:val="00AE4762"/>
    <w:rsid w:val="00AE47B8"/>
    <w:rsid w:val="00AE4B0D"/>
    <w:rsid w:val="00AE4B66"/>
    <w:rsid w:val="00AE4CAB"/>
    <w:rsid w:val="00AE4D11"/>
    <w:rsid w:val="00AE565D"/>
    <w:rsid w:val="00AE5695"/>
    <w:rsid w:val="00AE57E0"/>
    <w:rsid w:val="00AE5A62"/>
    <w:rsid w:val="00AE5EA6"/>
    <w:rsid w:val="00AE5FE1"/>
    <w:rsid w:val="00AE63CB"/>
    <w:rsid w:val="00AE6430"/>
    <w:rsid w:val="00AE6564"/>
    <w:rsid w:val="00AE65DB"/>
    <w:rsid w:val="00AE66F2"/>
    <w:rsid w:val="00AE675D"/>
    <w:rsid w:val="00AE6780"/>
    <w:rsid w:val="00AE67A8"/>
    <w:rsid w:val="00AE67FF"/>
    <w:rsid w:val="00AE6847"/>
    <w:rsid w:val="00AE6B79"/>
    <w:rsid w:val="00AE7055"/>
    <w:rsid w:val="00AE7097"/>
    <w:rsid w:val="00AE720F"/>
    <w:rsid w:val="00AE740B"/>
    <w:rsid w:val="00AE7458"/>
    <w:rsid w:val="00AE74BA"/>
    <w:rsid w:val="00AE78BA"/>
    <w:rsid w:val="00AE7956"/>
    <w:rsid w:val="00AE797B"/>
    <w:rsid w:val="00AE7D29"/>
    <w:rsid w:val="00AE7D5C"/>
    <w:rsid w:val="00AE7F01"/>
    <w:rsid w:val="00AF03E6"/>
    <w:rsid w:val="00AF03F7"/>
    <w:rsid w:val="00AF04A2"/>
    <w:rsid w:val="00AF0648"/>
    <w:rsid w:val="00AF070E"/>
    <w:rsid w:val="00AF080E"/>
    <w:rsid w:val="00AF088F"/>
    <w:rsid w:val="00AF09C9"/>
    <w:rsid w:val="00AF0A00"/>
    <w:rsid w:val="00AF0A02"/>
    <w:rsid w:val="00AF0A27"/>
    <w:rsid w:val="00AF0AC4"/>
    <w:rsid w:val="00AF0BC6"/>
    <w:rsid w:val="00AF0D1F"/>
    <w:rsid w:val="00AF0F06"/>
    <w:rsid w:val="00AF0F16"/>
    <w:rsid w:val="00AF16A3"/>
    <w:rsid w:val="00AF1875"/>
    <w:rsid w:val="00AF1A5A"/>
    <w:rsid w:val="00AF1AAD"/>
    <w:rsid w:val="00AF1B7A"/>
    <w:rsid w:val="00AF1CA5"/>
    <w:rsid w:val="00AF22AC"/>
    <w:rsid w:val="00AF22CB"/>
    <w:rsid w:val="00AF2482"/>
    <w:rsid w:val="00AF29D4"/>
    <w:rsid w:val="00AF2CB7"/>
    <w:rsid w:val="00AF2D12"/>
    <w:rsid w:val="00AF2D4C"/>
    <w:rsid w:val="00AF2DB1"/>
    <w:rsid w:val="00AF31F7"/>
    <w:rsid w:val="00AF32A1"/>
    <w:rsid w:val="00AF33BE"/>
    <w:rsid w:val="00AF33CE"/>
    <w:rsid w:val="00AF35B6"/>
    <w:rsid w:val="00AF38D3"/>
    <w:rsid w:val="00AF3C60"/>
    <w:rsid w:val="00AF3D0C"/>
    <w:rsid w:val="00AF3D8D"/>
    <w:rsid w:val="00AF4B56"/>
    <w:rsid w:val="00AF4D83"/>
    <w:rsid w:val="00AF52F6"/>
    <w:rsid w:val="00AF53C2"/>
    <w:rsid w:val="00AF5616"/>
    <w:rsid w:val="00AF5738"/>
    <w:rsid w:val="00AF5E62"/>
    <w:rsid w:val="00AF5F80"/>
    <w:rsid w:val="00AF60FD"/>
    <w:rsid w:val="00AF6529"/>
    <w:rsid w:val="00AF666B"/>
    <w:rsid w:val="00AF6CAB"/>
    <w:rsid w:val="00AF6E4F"/>
    <w:rsid w:val="00AF703E"/>
    <w:rsid w:val="00AF7196"/>
    <w:rsid w:val="00AF76BE"/>
    <w:rsid w:val="00AF7777"/>
    <w:rsid w:val="00AF779C"/>
    <w:rsid w:val="00AF7A31"/>
    <w:rsid w:val="00AF7C6B"/>
    <w:rsid w:val="00AFE357"/>
    <w:rsid w:val="00B001FB"/>
    <w:rsid w:val="00B004AA"/>
    <w:rsid w:val="00B004C0"/>
    <w:rsid w:val="00B00625"/>
    <w:rsid w:val="00B009A2"/>
    <w:rsid w:val="00B00D1F"/>
    <w:rsid w:val="00B00D24"/>
    <w:rsid w:val="00B00D93"/>
    <w:rsid w:val="00B00F5D"/>
    <w:rsid w:val="00B011BC"/>
    <w:rsid w:val="00B012D5"/>
    <w:rsid w:val="00B01AEC"/>
    <w:rsid w:val="00B01B65"/>
    <w:rsid w:val="00B01B70"/>
    <w:rsid w:val="00B01BC0"/>
    <w:rsid w:val="00B01C58"/>
    <w:rsid w:val="00B01E38"/>
    <w:rsid w:val="00B02215"/>
    <w:rsid w:val="00B023FD"/>
    <w:rsid w:val="00B0242B"/>
    <w:rsid w:val="00B025BB"/>
    <w:rsid w:val="00B02636"/>
    <w:rsid w:val="00B0266C"/>
    <w:rsid w:val="00B02C28"/>
    <w:rsid w:val="00B0316D"/>
    <w:rsid w:val="00B03272"/>
    <w:rsid w:val="00B0341A"/>
    <w:rsid w:val="00B035BD"/>
    <w:rsid w:val="00B0394C"/>
    <w:rsid w:val="00B03A7B"/>
    <w:rsid w:val="00B03AE6"/>
    <w:rsid w:val="00B03B9F"/>
    <w:rsid w:val="00B03BC6"/>
    <w:rsid w:val="00B0407D"/>
    <w:rsid w:val="00B043E9"/>
    <w:rsid w:val="00B04891"/>
    <w:rsid w:val="00B04988"/>
    <w:rsid w:val="00B04AEC"/>
    <w:rsid w:val="00B04B3C"/>
    <w:rsid w:val="00B04B8C"/>
    <w:rsid w:val="00B04CC4"/>
    <w:rsid w:val="00B04CDB"/>
    <w:rsid w:val="00B04D1F"/>
    <w:rsid w:val="00B04E5D"/>
    <w:rsid w:val="00B05409"/>
    <w:rsid w:val="00B05488"/>
    <w:rsid w:val="00B0560C"/>
    <w:rsid w:val="00B057B6"/>
    <w:rsid w:val="00B05853"/>
    <w:rsid w:val="00B05882"/>
    <w:rsid w:val="00B05AC4"/>
    <w:rsid w:val="00B05BB0"/>
    <w:rsid w:val="00B05F58"/>
    <w:rsid w:val="00B06360"/>
    <w:rsid w:val="00B06520"/>
    <w:rsid w:val="00B06841"/>
    <w:rsid w:val="00B06A19"/>
    <w:rsid w:val="00B06C43"/>
    <w:rsid w:val="00B06D76"/>
    <w:rsid w:val="00B0710E"/>
    <w:rsid w:val="00B0716F"/>
    <w:rsid w:val="00B0762F"/>
    <w:rsid w:val="00B079DC"/>
    <w:rsid w:val="00B07A6D"/>
    <w:rsid w:val="00B07B3E"/>
    <w:rsid w:val="00B07C55"/>
    <w:rsid w:val="00B07F76"/>
    <w:rsid w:val="00B10492"/>
    <w:rsid w:val="00B106A1"/>
    <w:rsid w:val="00B10886"/>
    <w:rsid w:val="00B1093D"/>
    <w:rsid w:val="00B10B47"/>
    <w:rsid w:val="00B10BDC"/>
    <w:rsid w:val="00B10DBB"/>
    <w:rsid w:val="00B10ECB"/>
    <w:rsid w:val="00B10F12"/>
    <w:rsid w:val="00B1101D"/>
    <w:rsid w:val="00B11829"/>
    <w:rsid w:val="00B119A6"/>
    <w:rsid w:val="00B11B2A"/>
    <w:rsid w:val="00B11B6A"/>
    <w:rsid w:val="00B11B6B"/>
    <w:rsid w:val="00B11E5E"/>
    <w:rsid w:val="00B11FCB"/>
    <w:rsid w:val="00B121E4"/>
    <w:rsid w:val="00B123BF"/>
    <w:rsid w:val="00B12509"/>
    <w:rsid w:val="00B1259F"/>
    <w:rsid w:val="00B12883"/>
    <w:rsid w:val="00B12BCC"/>
    <w:rsid w:val="00B12D54"/>
    <w:rsid w:val="00B1323B"/>
    <w:rsid w:val="00B13249"/>
    <w:rsid w:val="00B1332F"/>
    <w:rsid w:val="00B1345B"/>
    <w:rsid w:val="00B13763"/>
    <w:rsid w:val="00B13A08"/>
    <w:rsid w:val="00B13DD1"/>
    <w:rsid w:val="00B13E44"/>
    <w:rsid w:val="00B13E8E"/>
    <w:rsid w:val="00B13F72"/>
    <w:rsid w:val="00B1400D"/>
    <w:rsid w:val="00B1438C"/>
    <w:rsid w:val="00B14403"/>
    <w:rsid w:val="00B1474C"/>
    <w:rsid w:val="00B14A07"/>
    <w:rsid w:val="00B14D5A"/>
    <w:rsid w:val="00B14F5D"/>
    <w:rsid w:val="00B15689"/>
    <w:rsid w:val="00B1584B"/>
    <w:rsid w:val="00B15F73"/>
    <w:rsid w:val="00B15FFF"/>
    <w:rsid w:val="00B16074"/>
    <w:rsid w:val="00B160A5"/>
    <w:rsid w:val="00B160FA"/>
    <w:rsid w:val="00B1633B"/>
    <w:rsid w:val="00B1638C"/>
    <w:rsid w:val="00B1640A"/>
    <w:rsid w:val="00B1663B"/>
    <w:rsid w:val="00B16B74"/>
    <w:rsid w:val="00B16F01"/>
    <w:rsid w:val="00B174F3"/>
    <w:rsid w:val="00B1767A"/>
    <w:rsid w:val="00B176B4"/>
    <w:rsid w:val="00B177B0"/>
    <w:rsid w:val="00B17F23"/>
    <w:rsid w:val="00B1FCE7"/>
    <w:rsid w:val="00B20671"/>
    <w:rsid w:val="00B206BA"/>
    <w:rsid w:val="00B20C46"/>
    <w:rsid w:val="00B20D54"/>
    <w:rsid w:val="00B20FE3"/>
    <w:rsid w:val="00B21126"/>
    <w:rsid w:val="00B211F1"/>
    <w:rsid w:val="00B21339"/>
    <w:rsid w:val="00B214B2"/>
    <w:rsid w:val="00B217F2"/>
    <w:rsid w:val="00B21E6C"/>
    <w:rsid w:val="00B220F7"/>
    <w:rsid w:val="00B224EA"/>
    <w:rsid w:val="00B22588"/>
    <w:rsid w:val="00B22984"/>
    <w:rsid w:val="00B22CEB"/>
    <w:rsid w:val="00B22DA1"/>
    <w:rsid w:val="00B23016"/>
    <w:rsid w:val="00B2307B"/>
    <w:rsid w:val="00B237C4"/>
    <w:rsid w:val="00B238CE"/>
    <w:rsid w:val="00B23C74"/>
    <w:rsid w:val="00B23D02"/>
    <w:rsid w:val="00B240AE"/>
    <w:rsid w:val="00B2416E"/>
    <w:rsid w:val="00B24406"/>
    <w:rsid w:val="00B24470"/>
    <w:rsid w:val="00B247AA"/>
    <w:rsid w:val="00B24964"/>
    <w:rsid w:val="00B24CD9"/>
    <w:rsid w:val="00B24D6C"/>
    <w:rsid w:val="00B251C2"/>
    <w:rsid w:val="00B2522F"/>
    <w:rsid w:val="00B25676"/>
    <w:rsid w:val="00B257CD"/>
    <w:rsid w:val="00B25812"/>
    <w:rsid w:val="00B25B88"/>
    <w:rsid w:val="00B26274"/>
    <w:rsid w:val="00B263A2"/>
    <w:rsid w:val="00B2683A"/>
    <w:rsid w:val="00B26966"/>
    <w:rsid w:val="00B26A17"/>
    <w:rsid w:val="00B26BFE"/>
    <w:rsid w:val="00B26F4E"/>
    <w:rsid w:val="00B27391"/>
    <w:rsid w:val="00B27723"/>
    <w:rsid w:val="00B2784A"/>
    <w:rsid w:val="00B278D0"/>
    <w:rsid w:val="00B27A91"/>
    <w:rsid w:val="00B2CC38"/>
    <w:rsid w:val="00B30242"/>
    <w:rsid w:val="00B3063C"/>
    <w:rsid w:val="00B3078D"/>
    <w:rsid w:val="00B3084B"/>
    <w:rsid w:val="00B30AE8"/>
    <w:rsid w:val="00B30C95"/>
    <w:rsid w:val="00B30D59"/>
    <w:rsid w:val="00B31117"/>
    <w:rsid w:val="00B311DF"/>
    <w:rsid w:val="00B3130F"/>
    <w:rsid w:val="00B3156D"/>
    <w:rsid w:val="00B3170B"/>
    <w:rsid w:val="00B31737"/>
    <w:rsid w:val="00B31819"/>
    <w:rsid w:val="00B3181A"/>
    <w:rsid w:val="00B31839"/>
    <w:rsid w:val="00B31DC1"/>
    <w:rsid w:val="00B31F4A"/>
    <w:rsid w:val="00B3201E"/>
    <w:rsid w:val="00B320A5"/>
    <w:rsid w:val="00B320AD"/>
    <w:rsid w:val="00B320D7"/>
    <w:rsid w:val="00B3224E"/>
    <w:rsid w:val="00B32635"/>
    <w:rsid w:val="00B3266F"/>
    <w:rsid w:val="00B32965"/>
    <w:rsid w:val="00B32D53"/>
    <w:rsid w:val="00B32E0E"/>
    <w:rsid w:val="00B32E3C"/>
    <w:rsid w:val="00B330A5"/>
    <w:rsid w:val="00B335A8"/>
    <w:rsid w:val="00B338EA"/>
    <w:rsid w:val="00B33A8A"/>
    <w:rsid w:val="00B33CB6"/>
    <w:rsid w:val="00B33D24"/>
    <w:rsid w:val="00B33DA2"/>
    <w:rsid w:val="00B33EA5"/>
    <w:rsid w:val="00B344DC"/>
    <w:rsid w:val="00B347BB"/>
    <w:rsid w:val="00B3492A"/>
    <w:rsid w:val="00B34A0F"/>
    <w:rsid w:val="00B34A66"/>
    <w:rsid w:val="00B34B2D"/>
    <w:rsid w:val="00B34B6A"/>
    <w:rsid w:val="00B34C13"/>
    <w:rsid w:val="00B34EC6"/>
    <w:rsid w:val="00B34F46"/>
    <w:rsid w:val="00B350FA"/>
    <w:rsid w:val="00B35CD1"/>
    <w:rsid w:val="00B35DDE"/>
    <w:rsid w:val="00B35F66"/>
    <w:rsid w:val="00B35F7E"/>
    <w:rsid w:val="00B3606E"/>
    <w:rsid w:val="00B3612A"/>
    <w:rsid w:val="00B36444"/>
    <w:rsid w:val="00B366A2"/>
    <w:rsid w:val="00B3677C"/>
    <w:rsid w:val="00B36BCA"/>
    <w:rsid w:val="00B36DE0"/>
    <w:rsid w:val="00B36E2D"/>
    <w:rsid w:val="00B36F90"/>
    <w:rsid w:val="00B37104"/>
    <w:rsid w:val="00B3713F"/>
    <w:rsid w:val="00B37505"/>
    <w:rsid w:val="00B376B5"/>
    <w:rsid w:val="00B37C37"/>
    <w:rsid w:val="00B37C9C"/>
    <w:rsid w:val="00B37E18"/>
    <w:rsid w:val="00B40269"/>
    <w:rsid w:val="00B402FB"/>
    <w:rsid w:val="00B40425"/>
    <w:rsid w:val="00B40428"/>
    <w:rsid w:val="00B404D9"/>
    <w:rsid w:val="00B41655"/>
    <w:rsid w:val="00B4168B"/>
    <w:rsid w:val="00B417EC"/>
    <w:rsid w:val="00B418B2"/>
    <w:rsid w:val="00B4191D"/>
    <w:rsid w:val="00B41A8A"/>
    <w:rsid w:val="00B41ABE"/>
    <w:rsid w:val="00B41B5D"/>
    <w:rsid w:val="00B41E9B"/>
    <w:rsid w:val="00B42262"/>
    <w:rsid w:val="00B4284D"/>
    <w:rsid w:val="00B42949"/>
    <w:rsid w:val="00B4296E"/>
    <w:rsid w:val="00B42A0C"/>
    <w:rsid w:val="00B42A24"/>
    <w:rsid w:val="00B42BD6"/>
    <w:rsid w:val="00B42DC9"/>
    <w:rsid w:val="00B42F44"/>
    <w:rsid w:val="00B42F5C"/>
    <w:rsid w:val="00B432D3"/>
    <w:rsid w:val="00B43464"/>
    <w:rsid w:val="00B435C7"/>
    <w:rsid w:val="00B435FB"/>
    <w:rsid w:val="00B4382C"/>
    <w:rsid w:val="00B43B22"/>
    <w:rsid w:val="00B43EA3"/>
    <w:rsid w:val="00B44009"/>
    <w:rsid w:val="00B440C5"/>
    <w:rsid w:val="00B44470"/>
    <w:rsid w:val="00B4465A"/>
    <w:rsid w:val="00B44B3D"/>
    <w:rsid w:val="00B44E4B"/>
    <w:rsid w:val="00B44E6E"/>
    <w:rsid w:val="00B44EA8"/>
    <w:rsid w:val="00B4527B"/>
    <w:rsid w:val="00B45343"/>
    <w:rsid w:val="00B4536F"/>
    <w:rsid w:val="00B45674"/>
    <w:rsid w:val="00B45703"/>
    <w:rsid w:val="00B45742"/>
    <w:rsid w:val="00B45856"/>
    <w:rsid w:val="00B45B74"/>
    <w:rsid w:val="00B45BDE"/>
    <w:rsid w:val="00B45D93"/>
    <w:rsid w:val="00B45F04"/>
    <w:rsid w:val="00B46320"/>
    <w:rsid w:val="00B46458"/>
    <w:rsid w:val="00B4679F"/>
    <w:rsid w:val="00B46886"/>
    <w:rsid w:val="00B4698D"/>
    <w:rsid w:val="00B46A4D"/>
    <w:rsid w:val="00B46EE1"/>
    <w:rsid w:val="00B46FFF"/>
    <w:rsid w:val="00B471F2"/>
    <w:rsid w:val="00B4762D"/>
    <w:rsid w:val="00B47A3B"/>
    <w:rsid w:val="00B47CD0"/>
    <w:rsid w:val="00B4D341"/>
    <w:rsid w:val="00B50AF7"/>
    <w:rsid w:val="00B50B05"/>
    <w:rsid w:val="00B50C5E"/>
    <w:rsid w:val="00B50C6B"/>
    <w:rsid w:val="00B50CE5"/>
    <w:rsid w:val="00B50D4E"/>
    <w:rsid w:val="00B50F63"/>
    <w:rsid w:val="00B51000"/>
    <w:rsid w:val="00B5107C"/>
    <w:rsid w:val="00B511E2"/>
    <w:rsid w:val="00B51203"/>
    <w:rsid w:val="00B51447"/>
    <w:rsid w:val="00B51541"/>
    <w:rsid w:val="00B51544"/>
    <w:rsid w:val="00B51838"/>
    <w:rsid w:val="00B51A7E"/>
    <w:rsid w:val="00B51DA0"/>
    <w:rsid w:val="00B52084"/>
    <w:rsid w:val="00B520EB"/>
    <w:rsid w:val="00B52544"/>
    <w:rsid w:val="00B52612"/>
    <w:rsid w:val="00B52815"/>
    <w:rsid w:val="00B52927"/>
    <w:rsid w:val="00B52D49"/>
    <w:rsid w:val="00B52DD8"/>
    <w:rsid w:val="00B52F04"/>
    <w:rsid w:val="00B52F4E"/>
    <w:rsid w:val="00B53428"/>
    <w:rsid w:val="00B534F7"/>
    <w:rsid w:val="00B53934"/>
    <w:rsid w:val="00B53A77"/>
    <w:rsid w:val="00B53B0D"/>
    <w:rsid w:val="00B53B67"/>
    <w:rsid w:val="00B53BAB"/>
    <w:rsid w:val="00B53BC1"/>
    <w:rsid w:val="00B53E51"/>
    <w:rsid w:val="00B53F61"/>
    <w:rsid w:val="00B540AE"/>
    <w:rsid w:val="00B5420B"/>
    <w:rsid w:val="00B543C4"/>
    <w:rsid w:val="00B54E14"/>
    <w:rsid w:val="00B550B3"/>
    <w:rsid w:val="00B55137"/>
    <w:rsid w:val="00B5549A"/>
    <w:rsid w:val="00B55505"/>
    <w:rsid w:val="00B55902"/>
    <w:rsid w:val="00B55F46"/>
    <w:rsid w:val="00B5622C"/>
    <w:rsid w:val="00B5669A"/>
    <w:rsid w:val="00B56787"/>
    <w:rsid w:val="00B569D3"/>
    <w:rsid w:val="00B56BCA"/>
    <w:rsid w:val="00B56DD5"/>
    <w:rsid w:val="00B56DF6"/>
    <w:rsid w:val="00B57211"/>
    <w:rsid w:val="00B5798C"/>
    <w:rsid w:val="00B600F3"/>
    <w:rsid w:val="00B60341"/>
    <w:rsid w:val="00B604FA"/>
    <w:rsid w:val="00B607B4"/>
    <w:rsid w:val="00B6080C"/>
    <w:rsid w:val="00B6083E"/>
    <w:rsid w:val="00B60876"/>
    <w:rsid w:val="00B609EB"/>
    <w:rsid w:val="00B60F9B"/>
    <w:rsid w:val="00B6139C"/>
    <w:rsid w:val="00B614A1"/>
    <w:rsid w:val="00B615D4"/>
    <w:rsid w:val="00B6178F"/>
    <w:rsid w:val="00B617F1"/>
    <w:rsid w:val="00B61957"/>
    <w:rsid w:val="00B61CD0"/>
    <w:rsid w:val="00B61D95"/>
    <w:rsid w:val="00B61ECD"/>
    <w:rsid w:val="00B62022"/>
    <w:rsid w:val="00B626B1"/>
    <w:rsid w:val="00B627AC"/>
    <w:rsid w:val="00B627B4"/>
    <w:rsid w:val="00B62875"/>
    <w:rsid w:val="00B62AA2"/>
    <w:rsid w:val="00B62AC7"/>
    <w:rsid w:val="00B62E23"/>
    <w:rsid w:val="00B62FBD"/>
    <w:rsid w:val="00B62FEF"/>
    <w:rsid w:val="00B6327D"/>
    <w:rsid w:val="00B63596"/>
    <w:rsid w:val="00B63736"/>
    <w:rsid w:val="00B63745"/>
    <w:rsid w:val="00B6380D"/>
    <w:rsid w:val="00B6381D"/>
    <w:rsid w:val="00B63969"/>
    <w:rsid w:val="00B63CF8"/>
    <w:rsid w:val="00B64097"/>
    <w:rsid w:val="00B64177"/>
    <w:rsid w:val="00B64356"/>
    <w:rsid w:val="00B643D9"/>
    <w:rsid w:val="00B643E5"/>
    <w:rsid w:val="00B64467"/>
    <w:rsid w:val="00B6449C"/>
    <w:rsid w:val="00B649A7"/>
    <w:rsid w:val="00B64BFA"/>
    <w:rsid w:val="00B64C69"/>
    <w:rsid w:val="00B64E6F"/>
    <w:rsid w:val="00B64F55"/>
    <w:rsid w:val="00B652FB"/>
    <w:rsid w:val="00B6550A"/>
    <w:rsid w:val="00B65638"/>
    <w:rsid w:val="00B65D54"/>
    <w:rsid w:val="00B65F13"/>
    <w:rsid w:val="00B6616D"/>
    <w:rsid w:val="00B663EA"/>
    <w:rsid w:val="00B66469"/>
    <w:rsid w:val="00B669B4"/>
    <w:rsid w:val="00B66A00"/>
    <w:rsid w:val="00B67046"/>
    <w:rsid w:val="00B670C1"/>
    <w:rsid w:val="00B670F5"/>
    <w:rsid w:val="00B6737A"/>
    <w:rsid w:val="00B6742F"/>
    <w:rsid w:val="00B675DF"/>
    <w:rsid w:val="00B67749"/>
    <w:rsid w:val="00B6781F"/>
    <w:rsid w:val="00B67BE5"/>
    <w:rsid w:val="00B67BFD"/>
    <w:rsid w:val="00B67F54"/>
    <w:rsid w:val="00B7001F"/>
    <w:rsid w:val="00B702E0"/>
    <w:rsid w:val="00B7030C"/>
    <w:rsid w:val="00B704E1"/>
    <w:rsid w:val="00B706FB"/>
    <w:rsid w:val="00B706FD"/>
    <w:rsid w:val="00B70999"/>
    <w:rsid w:val="00B70A6C"/>
    <w:rsid w:val="00B70B4E"/>
    <w:rsid w:val="00B70C07"/>
    <w:rsid w:val="00B70EE7"/>
    <w:rsid w:val="00B70FB8"/>
    <w:rsid w:val="00B710E0"/>
    <w:rsid w:val="00B713AE"/>
    <w:rsid w:val="00B716B9"/>
    <w:rsid w:val="00B71747"/>
    <w:rsid w:val="00B717CD"/>
    <w:rsid w:val="00B718C4"/>
    <w:rsid w:val="00B718E9"/>
    <w:rsid w:val="00B71AD6"/>
    <w:rsid w:val="00B71C24"/>
    <w:rsid w:val="00B71D34"/>
    <w:rsid w:val="00B71F74"/>
    <w:rsid w:val="00B72218"/>
    <w:rsid w:val="00B7229B"/>
    <w:rsid w:val="00B72428"/>
    <w:rsid w:val="00B727B5"/>
    <w:rsid w:val="00B727E6"/>
    <w:rsid w:val="00B72988"/>
    <w:rsid w:val="00B72DC7"/>
    <w:rsid w:val="00B730EE"/>
    <w:rsid w:val="00B732BF"/>
    <w:rsid w:val="00B732C4"/>
    <w:rsid w:val="00B73455"/>
    <w:rsid w:val="00B734D7"/>
    <w:rsid w:val="00B734E8"/>
    <w:rsid w:val="00B73984"/>
    <w:rsid w:val="00B73C05"/>
    <w:rsid w:val="00B73C3C"/>
    <w:rsid w:val="00B73C66"/>
    <w:rsid w:val="00B73C9F"/>
    <w:rsid w:val="00B73E44"/>
    <w:rsid w:val="00B73F42"/>
    <w:rsid w:val="00B7408B"/>
    <w:rsid w:val="00B74584"/>
    <w:rsid w:val="00B74660"/>
    <w:rsid w:val="00B74B0F"/>
    <w:rsid w:val="00B74EB7"/>
    <w:rsid w:val="00B74FF4"/>
    <w:rsid w:val="00B752CD"/>
    <w:rsid w:val="00B75503"/>
    <w:rsid w:val="00B755EA"/>
    <w:rsid w:val="00B756D5"/>
    <w:rsid w:val="00B759E0"/>
    <w:rsid w:val="00B75CA0"/>
    <w:rsid w:val="00B75DE0"/>
    <w:rsid w:val="00B75E81"/>
    <w:rsid w:val="00B7602B"/>
    <w:rsid w:val="00B761E4"/>
    <w:rsid w:val="00B7625A"/>
    <w:rsid w:val="00B76351"/>
    <w:rsid w:val="00B766C8"/>
    <w:rsid w:val="00B7672C"/>
    <w:rsid w:val="00B767D4"/>
    <w:rsid w:val="00B7690B"/>
    <w:rsid w:val="00B76ABB"/>
    <w:rsid w:val="00B76D66"/>
    <w:rsid w:val="00B76D96"/>
    <w:rsid w:val="00B76EFB"/>
    <w:rsid w:val="00B77201"/>
    <w:rsid w:val="00B773F7"/>
    <w:rsid w:val="00B7768E"/>
    <w:rsid w:val="00B77827"/>
    <w:rsid w:val="00B77CA0"/>
    <w:rsid w:val="00B77D3D"/>
    <w:rsid w:val="00B77E76"/>
    <w:rsid w:val="00B77FBC"/>
    <w:rsid w:val="00B77FBF"/>
    <w:rsid w:val="00B7DE26"/>
    <w:rsid w:val="00B80064"/>
    <w:rsid w:val="00B8037F"/>
    <w:rsid w:val="00B8050D"/>
    <w:rsid w:val="00B80540"/>
    <w:rsid w:val="00B807EC"/>
    <w:rsid w:val="00B808A5"/>
    <w:rsid w:val="00B80C0F"/>
    <w:rsid w:val="00B80C68"/>
    <w:rsid w:val="00B80F1D"/>
    <w:rsid w:val="00B80FB8"/>
    <w:rsid w:val="00B816C5"/>
    <w:rsid w:val="00B8177F"/>
    <w:rsid w:val="00B8189B"/>
    <w:rsid w:val="00B818FD"/>
    <w:rsid w:val="00B81925"/>
    <w:rsid w:val="00B81D3C"/>
    <w:rsid w:val="00B81F79"/>
    <w:rsid w:val="00B82224"/>
    <w:rsid w:val="00B822FD"/>
    <w:rsid w:val="00B823A0"/>
    <w:rsid w:val="00B823BD"/>
    <w:rsid w:val="00B827BD"/>
    <w:rsid w:val="00B82CBE"/>
    <w:rsid w:val="00B82D6E"/>
    <w:rsid w:val="00B82E65"/>
    <w:rsid w:val="00B82FB6"/>
    <w:rsid w:val="00B8314C"/>
    <w:rsid w:val="00B83272"/>
    <w:rsid w:val="00B835CC"/>
    <w:rsid w:val="00B83A28"/>
    <w:rsid w:val="00B83BAB"/>
    <w:rsid w:val="00B83C66"/>
    <w:rsid w:val="00B83C9E"/>
    <w:rsid w:val="00B83E25"/>
    <w:rsid w:val="00B83EAF"/>
    <w:rsid w:val="00B83EDD"/>
    <w:rsid w:val="00B8408B"/>
    <w:rsid w:val="00B840D9"/>
    <w:rsid w:val="00B8431E"/>
    <w:rsid w:val="00B8444B"/>
    <w:rsid w:val="00B84797"/>
    <w:rsid w:val="00B849A4"/>
    <w:rsid w:val="00B84A20"/>
    <w:rsid w:val="00B84BA9"/>
    <w:rsid w:val="00B84D73"/>
    <w:rsid w:val="00B84DCC"/>
    <w:rsid w:val="00B84DED"/>
    <w:rsid w:val="00B851A3"/>
    <w:rsid w:val="00B85209"/>
    <w:rsid w:val="00B8531F"/>
    <w:rsid w:val="00B853D8"/>
    <w:rsid w:val="00B8549C"/>
    <w:rsid w:val="00B855C3"/>
    <w:rsid w:val="00B8597C"/>
    <w:rsid w:val="00B85D7D"/>
    <w:rsid w:val="00B862B7"/>
    <w:rsid w:val="00B865AD"/>
    <w:rsid w:val="00B86630"/>
    <w:rsid w:val="00B867CA"/>
    <w:rsid w:val="00B86ADD"/>
    <w:rsid w:val="00B86C5D"/>
    <w:rsid w:val="00B86E7C"/>
    <w:rsid w:val="00B871F3"/>
    <w:rsid w:val="00B8724C"/>
    <w:rsid w:val="00B87277"/>
    <w:rsid w:val="00B872C9"/>
    <w:rsid w:val="00B873A9"/>
    <w:rsid w:val="00B8767E"/>
    <w:rsid w:val="00B877A2"/>
    <w:rsid w:val="00B87928"/>
    <w:rsid w:val="00B87B7A"/>
    <w:rsid w:val="00B87CC0"/>
    <w:rsid w:val="00B87E92"/>
    <w:rsid w:val="00B87E9E"/>
    <w:rsid w:val="00B90139"/>
    <w:rsid w:val="00B902BF"/>
    <w:rsid w:val="00B903EF"/>
    <w:rsid w:val="00B90727"/>
    <w:rsid w:val="00B908CF"/>
    <w:rsid w:val="00B908E0"/>
    <w:rsid w:val="00B90EE6"/>
    <w:rsid w:val="00B90F0C"/>
    <w:rsid w:val="00B910B6"/>
    <w:rsid w:val="00B91327"/>
    <w:rsid w:val="00B91535"/>
    <w:rsid w:val="00B9190C"/>
    <w:rsid w:val="00B91991"/>
    <w:rsid w:val="00B91A45"/>
    <w:rsid w:val="00B91A57"/>
    <w:rsid w:val="00B91BD7"/>
    <w:rsid w:val="00B91D52"/>
    <w:rsid w:val="00B92005"/>
    <w:rsid w:val="00B921D7"/>
    <w:rsid w:val="00B92694"/>
    <w:rsid w:val="00B9272A"/>
    <w:rsid w:val="00B927B2"/>
    <w:rsid w:val="00B927D9"/>
    <w:rsid w:val="00B92A95"/>
    <w:rsid w:val="00B92C7F"/>
    <w:rsid w:val="00B92EBB"/>
    <w:rsid w:val="00B9327C"/>
    <w:rsid w:val="00B93673"/>
    <w:rsid w:val="00B93813"/>
    <w:rsid w:val="00B93970"/>
    <w:rsid w:val="00B93B44"/>
    <w:rsid w:val="00B93DB2"/>
    <w:rsid w:val="00B9426A"/>
    <w:rsid w:val="00B943B9"/>
    <w:rsid w:val="00B9443F"/>
    <w:rsid w:val="00B94501"/>
    <w:rsid w:val="00B94580"/>
    <w:rsid w:val="00B947AB"/>
    <w:rsid w:val="00B94920"/>
    <w:rsid w:val="00B94BFF"/>
    <w:rsid w:val="00B94D33"/>
    <w:rsid w:val="00B954A7"/>
    <w:rsid w:val="00B956E8"/>
    <w:rsid w:val="00B956FA"/>
    <w:rsid w:val="00B95770"/>
    <w:rsid w:val="00B95821"/>
    <w:rsid w:val="00B958AB"/>
    <w:rsid w:val="00B95DBD"/>
    <w:rsid w:val="00B96052"/>
    <w:rsid w:val="00B960AD"/>
    <w:rsid w:val="00B9641D"/>
    <w:rsid w:val="00B9642D"/>
    <w:rsid w:val="00B96982"/>
    <w:rsid w:val="00B969DA"/>
    <w:rsid w:val="00B969F4"/>
    <w:rsid w:val="00B96F13"/>
    <w:rsid w:val="00B97066"/>
    <w:rsid w:val="00B9713B"/>
    <w:rsid w:val="00B972D7"/>
    <w:rsid w:val="00B97375"/>
    <w:rsid w:val="00B976D4"/>
    <w:rsid w:val="00B977B8"/>
    <w:rsid w:val="00B97961"/>
    <w:rsid w:val="00B97FA9"/>
    <w:rsid w:val="00BA0028"/>
    <w:rsid w:val="00BA01A5"/>
    <w:rsid w:val="00BA03E8"/>
    <w:rsid w:val="00BA051A"/>
    <w:rsid w:val="00BA05C2"/>
    <w:rsid w:val="00BA05F7"/>
    <w:rsid w:val="00BA0860"/>
    <w:rsid w:val="00BA0B79"/>
    <w:rsid w:val="00BA0F7D"/>
    <w:rsid w:val="00BA1027"/>
    <w:rsid w:val="00BA1091"/>
    <w:rsid w:val="00BA126B"/>
    <w:rsid w:val="00BA1BDF"/>
    <w:rsid w:val="00BA1D2B"/>
    <w:rsid w:val="00BA1FFF"/>
    <w:rsid w:val="00BA22E2"/>
    <w:rsid w:val="00BA2471"/>
    <w:rsid w:val="00BA275B"/>
    <w:rsid w:val="00BA2854"/>
    <w:rsid w:val="00BA285B"/>
    <w:rsid w:val="00BA28F4"/>
    <w:rsid w:val="00BA2981"/>
    <w:rsid w:val="00BA302D"/>
    <w:rsid w:val="00BA3040"/>
    <w:rsid w:val="00BA3388"/>
    <w:rsid w:val="00BA373E"/>
    <w:rsid w:val="00BA3819"/>
    <w:rsid w:val="00BA3B44"/>
    <w:rsid w:val="00BA3C67"/>
    <w:rsid w:val="00BA3CE6"/>
    <w:rsid w:val="00BA3D9B"/>
    <w:rsid w:val="00BA3E4D"/>
    <w:rsid w:val="00BA41E5"/>
    <w:rsid w:val="00BA44BD"/>
    <w:rsid w:val="00BA487C"/>
    <w:rsid w:val="00BA497C"/>
    <w:rsid w:val="00BA50DC"/>
    <w:rsid w:val="00BA5326"/>
    <w:rsid w:val="00BA53C5"/>
    <w:rsid w:val="00BA53DB"/>
    <w:rsid w:val="00BA54BF"/>
    <w:rsid w:val="00BA58C2"/>
    <w:rsid w:val="00BA5B78"/>
    <w:rsid w:val="00BA5C3D"/>
    <w:rsid w:val="00BA5D06"/>
    <w:rsid w:val="00BA5DE4"/>
    <w:rsid w:val="00BA62DC"/>
    <w:rsid w:val="00BA64F1"/>
    <w:rsid w:val="00BA6A19"/>
    <w:rsid w:val="00BA6A1D"/>
    <w:rsid w:val="00BA6A96"/>
    <w:rsid w:val="00BA6BF9"/>
    <w:rsid w:val="00BA6C9D"/>
    <w:rsid w:val="00BA7071"/>
    <w:rsid w:val="00BA719A"/>
    <w:rsid w:val="00BA7531"/>
    <w:rsid w:val="00BA79F9"/>
    <w:rsid w:val="00BA7AB5"/>
    <w:rsid w:val="00BA7BE5"/>
    <w:rsid w:val="00BA7D16"/>
    <w:rsid w:val="00BA7DD3"/>
    <w:rsid w:val="00BB0229"/>
    <w:rsid w:val="00BB02B8"/>
    <w:rsid w:val="00BB0419"/>
    <w:rsid w:val="00BB062D"/>
    <w:rsid w:val="00BB07F1"/>
    <w:rsid w:val="00BB0A69"/>
    <w:rsid w:val="00BB0AE9"/>
    <w:rsid w:val="00BB0B2E"/>
    <w:rsid w:val="00BB0BA5"/>
    <w:rsid w:val="00BB0D36"/>
    <w:rsid w:val="00BB123E"/>
    <w:rsid w:val="00BB12EF"/>
    <w:rsid w:val="00BB13C5"/>
    <w:rsid w:val="00BB18E8"/>
    <w:rsid w:val="00BB19AE"/>
    <w:rsid w:val="00BB1C54"/>
    <w:rsid w:val="00BB26D6"/>
    <w:rsid w:val="00BB2717"/>
    <w:rsid w:val="00BB27F8"/>
    <w:rsid w:val="00BB2FAB"/>
    <w:rsid w:val="00BB2FC7"/>
    <w:rsid w:val="00BB2FFF"/>
    <w:rsid w:val="00BB32E5"/>
    <w:rsid w:val="00BB3C9B"/>
    <w:rsid w:val="00BB406B"/>
    <w:rsid w:val="00BB40D6"/>
    <w:rsid w:val="00BB426D"/>
    <w:rsid w:val="00BB42AD"/>
    <w:rsid w:val="00BB44CB"/>
    <w:rsid w:val="00BB45F0"/>
    <w:rsid w:val="00BB4707"/>
    <w:rsid w:val="00BB4795"/>
    <w:rsid w:val="00BB4D61"/>
    <w:rsid w:val="00BB4E44"/>
    <w:rsid w:val="00BB500A"/>
    <w:rsid w:val="00BB504A"/>
    <w:rsid w:val="00BB5A6F"/>
    <w:rsid w:val="00BB5C52"/>
    <w:rsid w:val="00BB5E38"/>
    <w:rsid w:val="00BB6022"/>
    <w:rsid w:val="00BB6142"/>
    <w:rsid w:val="00BB6371"/>
    <w:rsid w:val="00BB64F7"/>
    <w:rsid w:val="00BB65E2"/>
    <w:rsid w:val="00BB66AD"/>
    <w:rsid w:val="00BB673C"/>
    <w:rsid w:val="00BB67B6"/>
    <w:rsid w:val="00BB683B"/>
    <w:rsid w:val="00BB6BFE"/>
    <w:rsid w:val="00BB6F58"/>
    <w:rsid w:val="00BB6FD7"/>
    <w:rsid w:val="00BB6FF5"/>
    <w:rsid w:val="00BB7064"/>
    <w:rsid w:val="00BB71AE"/>
    <w:rsid w:val="00BB7859"/>
    <w:rsid w:val="00BB7B1D"/>
    <w:rsid w:val="00BB7D65"/>
    <w:rsid w:val="00BB7FA4"/>
    <w:rsid w:val="00BB7FB8"/>
    <w:rsid w:val="00BC0199"/>
    <w:rsid w:val="00BC090C"/>
    <w:rsid w:val="00BC0970"/>
    <w:rsid w:val="00BC0E70"/>
    <w:rsid w:val="00BC0F54"/>
    <w:rsid w:val="00BC143C"/>
    <w:rsid w:val="00BC15ED"/>
    <w:rsid w:val="00BC15EF"/>
    <w:rsid w:val="00BC16E0"/>
    <w:rsid w:val="00BC1769"/>
    <w:rsid w:val="00BC180E"/>
    <w:rsid w:val="00BC1AB5"/>
    <w:rsid w:val="00BC1B19"/>
    <w:rsid w:val="00BC1CB7"/>
    <w:rsid w:val="00BC1EFE"/>
    <w:rsid w:val="00BC1F9E"/>
    <w:rsid w:val="00BC218A"/>
    <w:rsid w:val="00BC2509"/>
    <w:rsid w:val="00BC285C"/>
    <w:rsid w:val="00BC2AD6"/>
    <w:rsid w:val="00BC2B76"/>
    <w:rsid w:val="00BC2BFE"/>
    <w:rsid w:val="00BC2EB4"/>
    <w:rsid w:val="00BC3079"/>
    <w:rsid w:val="00BC318C"/>
    <w:rsid w:val="00BC3377"/>
    <w:rsid w:val="00BC36FE"/>
    <w:rsid w:val="00BC3B65"/>
    <w:rsid w:val="00BC3BF0"/>
    <w:rsid w:val="00BC4101"/>
    <w:rsid w:val="00BC42C0"/>
    <w:rsid w:val="00BC43A6"/>
    <w:rsid w:val="00BC448F"/>
    <w:rsid w:val="00BC466A"/>
    <w:rsid w:val="00BC49ED"/>
    <w:rsid w:val="00BC4D36"/>
    <w:rsid w:val="00BC51DE"/>
    <w:rsid w:val="00BC5836"/>
    <w:rsid w:val="00BC5BA1"/>
    <w:rsid w:val="00BC5C4B"/>
    <w:rsid w:val="00BC5C89"/>
    <w:rsid w:val="00BC5CBC"/>
    <w:rsid w:val="00BC5CE5"/>
    <w:rsid w:val="00BC5CF9"/>
    <w:rsid w:val="00BC5D9A"/>
    <w:rsid w:val="00BC5DC1"/>
    <w:rsid w:val="00BC600B"/>
    <w:rsid w:val="00BC6052"/>
    <w:rsid w:val="00BC616D"/>
    <w:rsid w:val="00BC6749"/>
    <w:rsid w:val="00BC680E"/>
    <w:rsid w:val="00BC69E8"/>
    <w:rsid w:val="00BC6AA8"/>
    <w:rsid w:val="00BC6BE2"/>
    <w:rsid w:val="00BC71C3"/>
    <w:rsid w:val="00BC72FD"/>
    <w:rsid w:val="00BC740B"/>
    <w:rsid w:val="00BC74F3"/>
    <w:rsid w:val="00BC7512"/>
    <w:rsid w:val="00BC756D"/>
    <w:rsid w:val="00BC75FF"/>
    <w:rsid w:val="00BC77F9"/>
    <w:rsid w:val="00BC7944"/>
    <w:rsid w:val="00BC7E2B"/>
    <w:rsid w:val="00BC7FC4"/>
    <w:rsid w:val="00BD008F"/>
    <w:rsid w:val="00BD0305"/>
    <w:rsid w:val="00BD081D"/>
    <w:rsid w:val="00BD0902"/>
    <w:rsid w:val="00BD0C1B"/>
    <w:rsid w:val="00BD0C77"/>
    <w:rsid w:val="00BD0D02"/>
    <w:rsid w:val="00BD0DF9"/>
    <w:rsid w:val="00BD143A"/>
    <w:rsid w:val="00BD175F"/>
    <w:rsid w:val="00BD1A7F"/>
    <w:rsid w:val="00BD1B6A"/>
    <w:rsid w:val="00BD20D6"/>
    <w:rsid w:val="00BD25F0"/>
    <w:rsid w:val="00BD273A"/>
    <w:rsid w:val="00BD278F"/>
    <w:rsid w:val="00BD27C5"/>
    <w:rsid w:val="00BD2976"/>
    <w:rsid w:val="00BD2AAE"/>
    <w:rsid w:val="00BD2E56"/>
    <w:rsid w:val="00BD2FA6"/>
    <w:rsid w:val="00BD3043"/>
    <w:rsid w:val="00BD3126"/>
    <w:rsid w:val="00BD3407"/>
    <w:rsid w:val="00BD3522"/>
    <w:rsid w:val="00BD3615"/>
    <w:rsid w:val="00BD3988"/>
    <w:rsid w:val="00BD3AF4"/>
    <w:rsid w:val="00BD3D21"/>
    <w:rsid w:val="00BD4253"/>
    <w:rsid w:val="00BD43B6"/>
    <w:rsid w:val="00BD4532"/>
    <w:rsid w:val="00BD4689"/>
    <w:rsid w:val="00BD4839"/>
    <w:rsid w:val="00BD4DED"/>
    <w:rsid w:val="00BD4F06"/>
    <w:rsid w:val="00BD4F3F"/>
    <w:rsid w:val="00BD532D"/>
    <w:rsid w:val="00BD53A7"/>
    <w:rsid w:val="00BD5540"/>
    <w:rsid w:val="00BD5944"/>
    <w:rsid w:val="00BD6329"/>
    <w:rsid w:val="00BD6473"/>
    <w:rsid w:val="00BD64D6"/>
    <w:rsid w:val="00BD6760"/>
    <w:rsid w:val="00BD6A2D"/>
    <w:rsid w:val="00BD70C6"/>
    <w:rsid w:val="00BD70CC"/>
    <w:rsid w:val="00BD7241"/>
    <w:rsid w:val="00BD730A"/>
    <w:rsid w:val="00BD7D3A"/>
    <w:rsid w:val="00BD7F30"/>
    <w:rsid w:val="00BE00DD"/>
    <w:rsid w:val="00BE01CD"/>
    <w:rsid w:val="00BE0FA4"/>
    <w:rsid w:val="00BE1068"/>
    <w:rsid w:val="00BE12BE"/>
    <w:rsid w:val="00BE15C4"/>
    <w:rsid w:val="00BE186B"/>
    <w:rsid w:val="00BE196A"/>
    <w:rsid w:val="00BE1A06"/>
    <w:rsid w:val="00BE1AAE"/>
    <w:rsid w:val="00BE1B25"/>
    <w:rsid w:val="00BE1D40"/>
    <w:rsid w:val="00BE1E61"/>
    <w:rsid w:val="00BE1EBF"/>
    <w:rsid w:val="00BE211E"/>
    <w:rsid w:val="00BE2173"/>
    <w:rsid w:val="00BE22DD"/>
    <w:rsid w:val="00BE238E"/>
    <w:rsid w:val="00BE24BC"/>
    <w:rsid w:val="00BE265C"/>
    <w:rsid w:val="00BE2684"/>
    <w:rsid w:val="00BE27BA"/>
    <w:rsid w:val="00BE2B89"/>
    <w:rsid w:val="00BE3229"/>
    <w:rsid w:val="00BE3521"/>
    <w:rsid w:val="00BE3896"/>
    <w:rsid w:val="00BE3A50"/>
    <w:rsid w:val="00BE3EE5"/>
    <w:rsid w:val="00BE4096"/>
    <w:rsid w:val="00BE430F"/>
    <w:rsid w:val="00BE44F5"/>
    <w:rsid w:val="00BE45A3"/>
    <w:rsid w:val="00BE46DE"/>
    <w:rsid w:val="00BE49CB"/>
    <w:rsid w:val="00BE4BFF"/>
    <w:rsid w:val="00BE4E6B"/>
    <w:rsid w:val="00BE5056"/>
    <w:rsid w:val="00BE51A1"/>
    <w:rsid w:val="00BE5322"/>
    <w:rsid w:val="00BE5601"/>
    <w:rsid w:val="00BE58A8"/>
    <w:rsid w:val="00BE5D1A"/>
    <w:rsid w:val="00BE61A6"/>
    <w:rsid w:val="00BE61FE"/>
    <w:rsid w:val="00BE69F1"/>
    <w:rsid w:val="00BE6BC6"/>
    <w:rsid w:val="00BE6E77"/>
    <w:rsid w:val="00BE73C6"/>
    <w:rsid w:val="00BE746E"/>
    <w:rsid w:val="00BE766B"/>
    <w:rsid w:val="00BE7865"/>
    <w:rsid w:val="00BE78BA"/>
    <w:rsid w:val="00BE7927"/>
    <w:rsid w:val="00BE7B8B"/>
    <w:rsid w:val="00BE7C1E"/>
    <w:rsid w:val="00BE7D50"/>
    <w:rsid w:val="00BF0957"/>
    <w:rsid w:val="00BF0A40"/>
    <w:rsid w:val="00BF0B08"/>
    <w:rsid w:val="00BF0F5A"/>
    <w:rsid w:val="00BF1114"/>
    <w:rsid w:val="00BF128C"/>
    <w:rsid w:val="00BF16D5"/>
    <w:rsid w:val="00BF1788"/>
    <w:rsid w:val="00BF1C31"/>
    <w:rsid w:val="00BF1D71"/>
    <w:rsid w:val="00BF1EF4"/>
    <w:rsid w:val="00BF1FAD"/>
    <w:rsid w:val="00BF21DC"/>
    <w:rsid w:val="00BF21FE"/>
    <w:rsid w:val="00BF2344"/>
    <w:rsid w:val="00BF24A1"/>
    <w:rsid w:val="00BF29FF"/>
    <w:rsid w:val="00BF2A74"/>
    <w:rsid w:val="00BF32B8"/>
    <w:rsid w:val="00BF3354"/>
    <w:rsid w:val="00BF3367"/>
    <w:rsid w:val="00BF3377"/>
    <w:rsid w:val="00BF3441"/>
    <w:rsid w:val="00BF36ED"/>
    <w:rsid w:val="00BF3856"/>
    <w:rsid w:val="00BF38E3"/>
    <w:rsid w:val="00BF3A14"/>
    <w:rsid w:val="00BF3BEC"/>
    <w:rsid w:val="00BF3ED1"/>
    <w:rsid w:val="00BF3ED3"/>
    <w:rsid w:val="00BF40C3"/>
    <w:rsid w:val="00BF42D2"/>
    <w:rsid w:val="00BF43B6"/>
    <w:rsid w:val="00BF443E"/>
    <w:rsid w:val="00BF483C"/>
    <w:rsid w:val="00BF4867"/>
    <w:rsid w:val="00BF4FDE"/>
    <w:rsid w:val="00BF51FF"/>
    <w:rsid w:val="00BF52E2"/>
    <w:rsid w:val="00BF56C0"/>
    <w:rsid w:val="00BF5852"/>
    <w:rsid w:val="00BF5BAD"/>
    <w:rsid w:val="00BF5BDF"/>
    <w:rsid w:val="00BF5F44"/>
    <w:rsid w:val="00BF61D4"/>
    <w:rsid w:val="00BF65E3"/>
    <w:rsid w:val="00BF6748"/>
    <w:rsid w:val="00BF69D5"/>
    <w:rsid w:val="00BF6AF8"/>
    <w:rsid w:val="00BF6B7B"/>
    <w:rsid w:val="00BF6E00"/>
    <w:rsid w:val="00BF7450"/>
    <w:rsid w:val="00BF764F"/>
    <w:rsid w:val="00BF778E"/>
    <w:rsid w:val="00BF779E"/>
    <w:rsid w:val="00BF77D3"/>
    <w:rsid w:val="00BF78AD"/>
    <w:rsid w:val="00BF79C5"/>
    <w:rsid w:val="00BF7A0C"/>
    <w:rsid w:val="00BF7B54"/>
    <w:rsid w:val="00BF7CC4"/>
    <w:rsid w:val="00BF7E20"/>
    <w:rsid w:val="00BF7E56"/>
    <w:rsid w:val="00BF7F13"/>
    <w:rsid w:val="00C0002A"/>
    <w:rsid w:val="00C000B7"/>
    <w:rsid w:val="00C00153"/>
    <w:rsid w:val="00C001CA"/>
    <w:rsid w:val="00C00344"/>
    <w:rsid w:val="00C005A4"/>
    <w:rsid w:val="00C012CC"/>
    <w:rsid w:val="00C01903"/>
    <w:rsid w:val="00C019C8"/>
    <w:rsid w:val="00C01B3F"/>
    <w:rsid w:val="00C01BD6"/>
    <w:rsid w:val="00C01E7D"/>
    <w:rsid w:val="00C022CF"/>
    <w:rsid w:val="00C023B9"/>
    <w:rsid w:val="00C025A3"/>
    <w:rsid w:val="00C02728"/>
    <w:rsid w:val="00C028B9"/>
    <w:rsid w:val="00C02AA6"/>
    <w:rsid w:val="00C02DBA"/>
    <w:rsid w:val="00C02EC5"/>
    <w:rsid w:val="00C0306F"/>
    <w:rsid w:val="00C03195"/>
    <w:rsid w:val="00C0331C"/>
    <w:rsid w:val="00C0334E"/>
    <w:rsid w:val="00C0340E"/>
    <w:rsid w:val="00C0359A"/>
    <w:rsid w:val="00C03662"/>
    <w:rsid w:val="00C039B4"/>
    <w:rsid w:val="00C03D86"/>
    <w:rsid w:val="00C040C8"/>
    <w:rsid w:val="00C0423E"/>
    <w:rsid w:val="00C042BA"/>
    <w:rsid w:val="00C042EC"/>
    <w:rsid w:val="00C0431A"/>
    <w:rsid w:val="00C04841"/>
    <w:rsid w:val="00C04928"/>
    <w:rsid w:val="00C049E2"/>
    <w:rsid w:val="00C04AA7"/>
    <w:rsid w:val="00C04D70"/>
    <w:rsid w:val="00C04EE8"/>
    <w:rsid w:val="00C050CA"/>
    <w:rsid w:val="00C05224"/>
    <w:rsid w:val="00C052DA"/>
    <w:rsid w:val="00C053CD"/>
    <w:rsid w:val="00C0564E"/>
    <w:rsid w:val="00C05796"/>
    <w:rsid w:val="00C05876"/>
    <w:rsid w:val="00C05DFD"/>
    <w:rsid w:val="00C05EF0"/>
    <w:rsid w:val="00C05F6A"/>
    <w:rsid w:val="00C05F76"/>
    <w:rsid w:val="00C0610E"/>
    <w:rsid w:val="00C06196"/>
    <w:rsid w:val="00C06254"/>
    <w:rsid w:val="00C0687B"/>
    <w:rsid w:val="00C06ACB"/>
    <w:rsid w:val="00C06C17"/>
    <w:rsid w:val="00C06EA5"/>
    <w:rsid w:val="00C06EB0"/>
    <w:rsid w:val="00C06EB1"/>
    <w:rsid w:val="00C06FED"/>
    <w:rsid w:val="00C07116"/>
    <w:rsid w:val="00C0713F"/>
    <w:rsid w:val="00C071C9"/>
    <w:rsid w:val="00C074AE"/>
    <w:rsid w:val="00C076AC"/>
    <w:rsid w:val="00C07C35"/>
    <w:rsid w:val="00C07F81"/>
    <w:rsid w:val="00C10104"/>
    <w:rsid w:val="00C104EC"/>
    <w:rsid w:val="00C105BE"/>
    <w:rsid w:val="00C10691"/>
    <w:rsid w:val="00C10985"/>
    <w:rsid w:val="00C10C50"/>
    <w:rsid w:val="00C10D00"/>
    <w:rsid w:val="00C10D0D"/>
    <w:rsid w:val="00C10FE9"/>
    <w:rsid w:val="00C1105A"/>
    <w:rsid w:val="00C110A5"/>
    <w:rsid w:val="00C111DD"/>
    <w:rsid w:val="00C112AB"/>
    <w:rsid w:val="00C11466"/>
    <w:rsid w:val="00C1151B"/>
    <w:rsid w:val="00C11600"/>
    <w:rsid w:val="00C11699"/>
    <w:rsid w:val="00C11BDB"/>
    <w:rsid w:val="00C11C83"/>
    <w:rsid w:val="00C11CBB"/>
    <w:rsid w:val="00C11E03"/>
    <w:rsid w:val="00C11E90"/>
    <w:rsid w:val="00C11F33"/>
    <w:rsid w:val="00C12075"/>
    <w:rsid w:val="00C120B8"/>
    <w:rsid w:val="00C120C6"/>
    <w:rsid w:val="00C12170"/>
    <w:rsid w:val="00C1228E"/>
    <w:rsid w:val="00C1270D"/>
    <w:rsid w:val="00C12742"/>
    <w:rsid w:val="00C127A1"/>
    <w:rsid w:val="00C128FC"/>
    <w:rsid w:val="00C12B5A"/>
    <w:rsid w:val="00C12D75"/>
    <w:rsid w:val="00C130E9"/>
    <w:rsid w:val="00C13341"/>
    <w:rsid w:val="00C134A7"/>
    <w:rsid w:val="00C1362C"/>
    <w:rsid w:val="00C13AB5"/>
    <w:rsid w:val="00C13B17"/>
    <w:rsid w:val="00C13B26"/>
    <w:rsid w:val="00C13C54"/>
    <w:rsid w:val="00C13D5A"/>
    <w:rsid w:val="00C14139"/>
    <w:rsid w:val="00C1460D"/>
    <w:rsid w:val="00C1499D"/>
    <w:rsid w:val="00C149A8"/>
    <w:rsid w:val="00C149D9"/>
    <w:rsid w:val="00C14B76"/>
    <w:rsid w:val="00C14ECC"/>
    <w:rsid w:val="00C1505D"/>
    <w:rsid w:val="00C150B2"/>
    <w:rsid w:val="00C151B1"/>
    <w:rsid w:val="00C15227"/>
    <w:rsid w:val="00C1536A"/>
    <w:rsid w:val="00C15546"/>
    <w:rsid w:val="00C155E6"/>
    <w:rsid w:val="00C15701"/>
    <w:rsid w:val="00C1587D"/>
    <w:rsid w:val="00C15AAF"/>
    <w:rsid w:val="00C15B88"/>
    <w:rsid w:val="00C166B6"/>
    <w:rsid w:val="00C1693B"/>
    <w:rsid w:val="00C169BA"/>
    <w:rsid w:val="00C1725B"/>
    <w:rsid w:val="00C17397"/>
    <w:rsid w:val="00C1743E"/>
    <w:rsid w:val="00C174F8"/>
    <w:rsid w:val="00C17569"/>
    <w:rsid w:val="00C17AC5"/>
    <w:rsid w:val="00C17C56"/>
    <w:rsid w:val="00C17CA8"/>
    <w:rsid w:val="00C17F9C"/>
    <w:rsid w:val="00C17FC1"/>
    <w:rsid w:val="00C1A2EB"/>
    <w:rsid w:val="00C20172"/>
    <w:rsid w:val="00C20890"/>
    <w:rsid w:val="00C2097E"/>
    <w:rsid w:val="00C209FF"/>
    <w:rsid w:val="00C20A16"/>
    <w:rsid w:val="00C20DDB"/>
    <w:rsid w:val="00C20FCC"/>
    <w:rsid w:val="00C21252"/>
    <w:rsid w:val="00C21371"/>
    <w:rsid w:val="00C2139A"/>
    <w:rsid w:val="00C21438"/>
    <w:rsid w:val="00C214C2"/>
    <w:rsid w:val="00C2153F"/>
    <w:rsid w:val="00C21659"/>
    <w:rsid w:val="00C2170A"/>
    <w:rsid w:val="00C217E4"/>
    <w:rsid w:val="00C2181E"/>
    <w:rsid w:val="00C2191F"/>
    <w:rsid w:val="00C219B0"/>
    <w:rsid w:val="00C21FFF"/>
    <w:rsid w:val="00C22252"/>
    <w:rsid w:val="00C2238D"/>
    <w:rsid w:val="00C22443"/>
    <w:rsid w:val="00C22481"/>
    <w:rsid w:val="00C225F7"/>
    <w:rsid w:val="00C22800"/>
    <w:rsid w:val="00C22809"/>
    <w:rsid w:val="00C22992"/>
    <w:rsid w:val="00C22AB3"/>
    <w:rsid w:val="00C22B80"/>
    <w:rsid w:val="00C22BC4"/>
    <w:rsid w:val="00C22E40"/>
    <w:rsid w:val="00C23243"/>
    <w:rsid w:val="00C233DB"/>
    <w:rsid w:val="00C234A1"/>
    <w:rsid w:val="00C2361D"/>
    <w:rsid w:val="00C23A03"/>
    <w:rsid w:val="00C23AF7"/>
    <w:rsid w:val="00C23C67"/>
    <w:rsid w:val="00C23F99"/>
    <w:rsid w:val="00C23FDF"/>
    <w:rsid w:val="00C24151"/>
    <w:rsid w:val="00C2434E"/>
    <w:rsid w:val="00C2481B"/>
    <w:rsid w:val="00C249B6"/>
    <w:rsid w:val="00C249F5"/>
    <w:rsid w:val="00C24A77"/>
    <w:rsid w:val="00C24B7B"/>
    <w:rsid w:val="00C24C91"/>
    <w:rsid w:val="00C24E7A"/>
    <w:rsid w:val="00C25252"/>
    <w:rsid w:val="00C253F0"/>
    <w:rsid w:val="00C25407"/>
    <w:rsid w:val="00C25430"/>
    <w:rsid w:val="00C25806"/>
    <w:rsid w:val="00C2582D"/>
    <w:rsid w:val="00C25988"/>
    <w:rsid w:val="00C25A98"/>
    <w:rsid w:val="00C25C1D"/>
    <w:rsid w:val="00C25C9B"/>
    <w:rsid w:val="00C25CD6"/>
    <w:rsid w:val="00C25D47"/>
    <w:rsid w:val="00C25D51"/>
    <w:rsid w:val="00C26020"/>
    <w:rsid w:val="00C261AF"/>
    <w:rsid w:val="00C26347"/>
    <w:rsid w:val="00C2677F"/>
    <w:rsid w:val="00C26BBA"/>
    <w:rsid w:val="00C26E34"/>
    <w:rsid w:val="00C27177"/>
    <w:rsid w:val="00C2723E"/>
    <w:rsid w:val="00C27605"/>
    <w:rsid w:val="00C27915"/>
    <w:rsid w:val="00C27DAB"/>
    <w:rsid w:val="00C27E48"/>
    <w:rsid w:val="00C27F6C"/>
    <w:rsid w:val="00C302FB"/>
    <w:rsid w:val="00C30419"/>
    <w:rsid w:val="00C31130"/>
    <w:rsid w:val="00C31309"/>
    <w:rsid w:val="00C319AF"/>
    <w:rsid w:val="00C31A72"/>
    <w:rsid w:val="00C31B47"/>
    <w:rsid w:val="00C31CFA"/>
    <w:rsid w:val="00C321DB"/>
    <w:rsid w:val="00C326FA"/>
    <w:rsid w:val="00C3284C"/>
    <w:rsid w:val="00C3287D"/>
    <w:rsid w:val="00C32C00"/>
    <w:rsid w:val="00C32C8D"/>
    <w:rsid w:val="00C32DB9"/>
    <w:rsid w:val="00C32FFD"/>
    <w:rsid w:val="00C333AD"/>
    <w:rsid w:val="00C3371C"/>
    <w:rsid w:val="00C3379A"/>
    <w:rsid w:val="00C338FF"/>
    <w:rsid w:val="00C33CBD"/>
    <w:rsid w:val="00C33F21"/>
    <w:rsid w:val="00C33FB6"/>
    <w:rsid w:val="00C342E1"/>
    <w:rsid w:val="00C34322"/>
    <w:rsid w:val="00C34701"/>
    <w:rsid w:val="00C3473D"/>
    <w:rsid w:val="00C348C2"/>
    <w:rsid w:val="00C34B5E"/>
    <w:rsid w:val="00C34C36"/>
    <w:rsid w:val="00C34E03"/>
    <w:rsid w:val="00C350E8"/>
    <w:rsid w:val="00C35278"/>
    <w:rsid w:val="00C354BC"/>
    <w:rsid w:val="00C354CA"/>
    <w:rsid w:val="00C354F2"/>
    <w:rsid w:val="00C35A0F"/>
    <w:rsid w:val="00C35ADC"/>
    <w:rsid w:val="00C35BC5"/>
    <w:rsid w:val="00C35E41"/>
    <w:rsid w:val="00C360FC"/>
    <w:rsid w:val="00C3614E"/>
    <w:rsid w:val="00C36547"/>
    <w:rsid w:val="00C3723E"/>
    <w:rsid w:val="00C37252"/>
    <w:rsid w:val="00C3732B"/>
    <w:rsid w:val="00C3746E"/>
    <w:rsid w:val="00C374A0"/>
    <w:rsid w:val="00C374DA"/>
    <w:rsid w:val="00C37990"/>
    <w:rsid w:val="00C37EDF"/>
    <w:rsid w:val="00C37F18"/>
    <w:rsid w:val="00C40339"/>
    <w:rsid w:val="00C4062D"/>
    <w:rsid w:val="00C40677"/>
    <w:rsid w:val="00C4072E"/>
    <w:rsid w:val="00C40D5E"/>
    <w:rsid w:val="00C410E5"/>
    <w:rsid w:val="00C4132D"/>
    <w:rsid w:val="00C413B0"/>
    <w:rsid w:val="00C414B0"/>
    <w:rsid w:val="00C4169F"/>
    <w:rsid w:val="00C419D6"/>
    <w:rsid w:val="00C41C91"/>
    <w:rsid w:val="00C41EB6"/>
    <w:rsid w:val="00C41EE0"/>
    <w:rsid w:val="00C420F1"/>
    <w:rsid w:val="00C42209"/>
    <w:rsid w:val="00C4249E"/>
    <w:rsid w:val="00C42A49"/>
    <w:rsid w:val="00C42A96"/>
    <w:rsid w:val="00C42D5F"/>
    <w:rsid w:val="00C42FEE"/>
    <w:rsid w:val="00C430AC"/>
    <w:rsid w:val="00C434A6"/>
    <w:rsid w:val="00C435BD"/>
    <w:rsid w:val="00C435E2"/>
    <w:rsid w:val="00C4367D"/>
    <w:rsid w:val="00C43C0B"/>
    <w:rsid w:val="00C43CCE"/>
    <w:rsid w:val="00C440CD"/>
    <w:rsid w:val="00C44774"/>
    <w:rsid w:val="00C44AB3"/>
    <w:rsid w:val="00C44BD7"/>
    <w:rsid w:val="00C44C11"/>
    <w:rsid w:val="00C44D5D"/>
    <w:rsid w:val="00C44ED7"/>
    <w:rsid w:val="00C44FF5"/>
    <w:rsid w:val="00C45186"/>
    <w:rsid w:val="00C45265"/>
    <w:rsid w:val="00C453FE"/>
    <w:rsid w:val="00C45415"/>
    <w:rsid w:val="00C4554F"/>
    <w:rsid w:val="00C457BD"/>
    <w:rsid w:val="00C457F6"/>
    <w:rsid w:val="00C45AE7"/>
    <w:rsid w:val="00C45CA8"/>
    <w:rsid w:val="00C46006"/>
    <w:rsid w:val="00C46187"/>
    <w:rsid w:val="00C461E4"/>
    <w:rsid w:val="00C462C8"/>
    <w:rsid w:val="00C4641B"/>
    <w:rsid w:val="00C46454"/>
    <w:rsid w:val="00C4694A"/>
    <w:rsid w:val="00C476AE"/>
    <w:rsid w:val="00C47A1A"/>
    <w:rsid w:val="00C47A25"/>
    <w:rsid w:val="00C47B58"/>
    <w:rsid w:val="00C47F27"/>
    <w:rsid w:val="00C47F77"/>
    <w:rsid w:val="00C4D2AD"/>
    <w:rsid w:val="00C503C1"/>
    <w:rsid w:val="00C504CA"/>
    <w:rsid w:val="00C506BE"/>
    <w:rsid w:val="00C50833"/>
    <w:rsid w:val="00C50A3A"/>
    <w:rsid w:val="00C50FBB"/>
    <w:rsid w:val="00C512C1"/>
    <w:rsid w:val="00C51954"/>
    <w:rsid w:val="00C51976"/>
    <w:rsid w:val="00C51E34"/>
    <w:rsid w:val="00C51E6D"/>
    <w:rsid w:val="00C525DA"/>
    <w:rsid w:val="00C52890"/>
    <w:rsid w:val="00C5295A"/>
    <w:rsid w:val="00C52992"/>
    <w:rsid w:val="00C52E09"/>
    <w:rsid w:val="00C52F39"/>
    <w:rsid w:val="00C53128"/>
    <w:rsid w:val="00C5312A"/>
    <w:rsid w:val="00C53150"/>
    <w:rsid w:val="00C53593"/>
    <w:rsid w:val="00C536CE"/>
    <w:rsid w:val="00C53AD5"/>
    <w:rsid w:val="00C53B09"/>
    <w:rsid w:val="00C53BD3"/>
    <w:rsid w:val="00C53E71"/>
    <w:rsid w:val="00C5424E"/>
    <w:rsid w:val="00C54388"/>
    <w:rsid w:val="00C545CE"/>
    <w:rsid w:val="00C549CC"/>
    <w:rsid w:val="00C54A78"/>
    <w:rsid w:val="00C54C30"/>
    <w:rsid w:val="00C54C60"/>
    <w:rsid w:val="00C54DDA"/>
    <w:rsid w:val="00C54DE9"/>
    <w:rsid w:val="00C550DC"/>
    <w:rsid w:val="00C5536C"/>
    <w:rsid w:val="00C554B5"/>
    <w:rsid w:val="00C5552F"/>
    <w:rsid w:val="00C55666"/>
    <w:rsid w:val="00C55B47"/>
    <w:rsid w:val="00C55C79"/>
    <w:rsid w:val="00C55C88"/>
    <w:rsid w:val="00C567A1"/>
    <w:rsid w:val="00C56A45"/>
    <w:rsid w:val="00C56A4D"/>
    <w:rsid w:val="00C57294"/>
    <w:rsid w:val="00C572AC"/>
    <w:rsid w:val="00C572FD"/>
    <w:rsid w:val="00C573C0"/>
    <w:rsid w:val="00C574FA"/>
    <w:rsid w:val="00C578A0"/>
    <w:rsid w:val="00C57BF1"/>
    <w:rsid w:val="00C57D55"/>
    <w:rsid w:val="00C600E6"/>
    <w:rsid w:val="00C6013F"/>
    <w:rsid w:val="00C604A1"/>
    <w:rsid w:val="00C604DF"/>
    <w:rsid w:val="00C60674"/>
    <w:rsid w:val="00C6085A"/>
    <w:rsid w:val="00C60AEC"/>
    <w:rsid w:val="00C60B49"/>
    <w:rsid w:val="00C60BD6"/>
    <w:rsid w:val="00C60C40"/>
    <w:rsid w:val="00C61117"/>
    <w:rsid w:val="00C611DC"/>
    <w:rsid w:val="00C612A8"/>
    <w:rsid w:val="00C612AB"/>
    <w:rsid w:val="00C612C5"/>
    <w:rsid w:val="00C612C8"/>
    <w:rsid w:val="00C612E1"/>
    <w:rsid w:val="00C6137C"/>
    <w:rsid w:val="00C61473"/>
    <w:rsid w:val="00C6157F"/>
    <w:rsid w:val="00C617F2"/>
    <w:rsid w:val="00C6196F"/>
    <w:rsid w:val="00C619C6"/>
    <w:rsid w:val="00C619EA"/>
    <w:rsid w:val="00C61B0A"/>
    <w:rsid w:val="00C61F29"/>
    <w:rsid w:val="00C61F4D"/>
    <w:rsid w:val="00C6220A"/>
    <w:rsid w:val="00C623C4"/>
    <w:rsid w:val="00C6269B"/>
    <w:rsid w:val="00C62B33"/>
    <w:rsid w:val="00C62D8E"/>
    <w:rsid w:val="00C630C8"/>
    <w:rsid w:val="00C638C9"/>
    <w:rsid w:val="00C63A69"/>
    <w:rsid w:val="00C63B91"/>
    <w:rsid w:val="00C63C4B"/>
    <w:rsid w:val="00C63CE1"/>
    <w:rsid w:val="00C63CEA"/>
    <w:rsid w:val="00C6401E"/>
    <w:rsid w:val="00C64463"/>
    <w:rsid w:val="00C64514"/>
    <w:rsid w:val="00C646EB"/>
    <w:rsid w:val="00C64D01"/>
    <w:rsid w:val="00C64D8A"/>
    <w:rsid w:val="00C64E25"/>
    <w:rsid w:val="00C64EB0"/>
    <w:rsid w:val="00C64EEE"/>
    <w:rsid w:val="00C6505F"/>
    <w:rsid w:val="00C650AD"/>
    <w:rsid w:val="00C652D3"/>
    <w:rsid w:val="00C657F9"/>
    <w:rsid w:val="00C658F8"/>
    <w:rsid w:val="00C65963"/>
    <w:rsid w:val="00C65A04"/>
    <w:rsid w:val="00C65BB5"/>
    <w:rsid w:val="00C65C8B"/>
    <w:rsid w:val="00C66001"/>
    <w:rsid w:val="00C6619D"/>
    <w:rsid w:val="00C663E1"/>
    <w:rsid w:val="00C6647B"/>
    <w:rsid w:val="00C66491"/>
    <w:rsid w:val="00C66779"/>
    <w:rsid w:val="00C66840"/>
    <w:rsid w:val="00C6694C"/>
    <w:rsid w:val="00C66957"/>
    <w:rsid w:val="00C66982"/>
    <w:rsid w:val="00C669B0"/>
    <w:rsid w:val="00C66AF3"/>
    <w:rsid w:val="00C66E8E"/>
    <w:rsid w:val="00C66EE8"/>
    <w:rsid w:val="00C67302"/>
    <w:rsid w:val="00C67341"/>
    <w:rsid w:val="00C6743C"/>
    <w:rsid w:val="00C67641"/>
    <w:rsid w:val="00C6794A"/>
    <w:rsid w:val="00C6795F"/>
    <w:rsid w:val="00C679F2"/>
    <w:rsid w:val="00C67C4B"/>
    <w:rsid w:val="00C67D43"/>
    <w:rsid w:val="00C67DDA"/>
    <w:rsid w:val="00C67F13"/>
    <w:rsid w:val="00C7012E"/>
    <w:rsid w:val="00C702F8"/>
    <w:rsid w:val="00C70481"/>
    <w:rsid w:val="00C704AB"/>
    <w:rsid w:val="00C7051B"/>
    <w:rsid w:val="00C70BD5"/>
    <w:rsid w:val="00C70C2A"/>
    <w:rsid w:val="00C70CE6"/>
    <w:rsid w:val="00C70D12"/>
    <w:rsid w:val="00C70EB3"/>
    <w:rsid w:val="00C715E7"/>
    <w:rsid w:val="00C719B1"/>
    <w:rsid w:val="00C71B35"/>
    <w:rsid w:val="00C71C02"/>
    <w:rsid w:val="00C71C9F"/>
    <w:rsid w:val="00C71F5A"/>
    <w:rsid w:val="00C725BB"/>
    <w:rsid w:val="00C726A4"/>
    <w:rsid w:val="00C7277C"/>
    <w:rsid w:val="00C727A8"/>
    <w:rsid w:val="00C729B1"/>
    <w:rsid w:val="00C729EE"/>
    <w:rsid w:val="00C72B14"/>
    <w:rsid w:val="00C72D72"/>
    <w:rsid w:val="00C72F54"/>
    <w:rsid w:val="00C73415"/>
    <w:rsid w:val="00C734D0"/>
    <w:rsid w:val="00C735A0"/>
    <w:rsid w:val="00C735AE"/>
    <w:rsid w:val="00C738D2"/>
    <w:rsid w:val="00C738ED"/>
    <w:rsid w:val="00C73A14"/>
    <w:rsid w:val="00C73C3A"/>
    <w:rsid w:val="00C73F79"/>
    <w:rsid w:val="00C74126"/>
    <w:rsid w:val="00C745FB"/>
    <w:rsid w:val="00C746AF"/>
    <w:rsid w:val="00C74D4B"/>
    <w:rsid w:val="00C75419"/>
    <w:rsid w:val="00C75650"/>
    <w:rsid w:val="00C75822"/>
    <w:rsid w:val="00C75947"/>
    <w:rsid w:val="00C75C0E"/>
    <w:rsid w:val="00C76077"/>
    <w:rsid w:val="00C762BE"/>
    <w:rsid w:val="00C763BB"/>
    <w:rsid w:val="00C76455"/>
    <w:rsid w:val="00C76ACC"/>
    <w:rsid w:val="00C76E0B"/>
    <w:rsid w:val="00C76F5D"/>
    <w:rsid w:val="00C76FAD"/>
    <w:rsid w:val="00C770A2"/>
    <w:rsid w:val="00C7713D"/>
    <w:rsid w:val="00C7720E"/>
    <w:rsid w:val="00C7734C"/>
    <w:rsid w:val="00C7775B"/>
    <w:rsid w:val="00C7776A"/>
    <w:rsid w:val="00C77966"/>
    <w:rsid w:val="00C77BC7"/>
    <w:rsid w:val="00C77C57"/>
    <w:rsid w:val="00C77D52"/>
    <w:rsid w:val="00C77E0B"/>
    <w:rsid w:val="00C8024C"/>
    <w:rsid w:val="00C80272"/>
    <w:rsid w:val="00C80306"/>
    <w:rsid w:val="00C805A3"/>
    <w:rsid w:val="00C807B2"/>
    <w:rsid w:val="00C80A6D"/>
    <w:rsid w:val="00C80B42"/>
    <w:rsid w:val="00C80E4F"/>
    <w:rsid w:val="00C810FA"/>
    <w:rsid w:val="00C81446"/>
    <w:rsid w:val="00C816C7"/>
    <w:rsid w:val="00C81928"/>
    <w:rsid w:val="00C8194D"/>
    <w:rsid w:val="00C81B56"/>
    <w:rsid w:val="00C81C09"/>
    <w:rsid w:val="00C81D80"/>
    <w:rsid w:val="00C81DFA"/>
    <w:rsid w:val="00C8212F"/>
    <w:rsid w:val="00C8259C"/>
    <w:rsid w:val="00C82D22"/>
    <w:rsid w:val="00C82D82"/>
    <w:rsid w:val="00C82DA0"/>
    <w:rsid w:val="00C82EB5"/>
    <w:rsid w:val="00C8330A"/>
    <w:rsid w:val="00C83418"/>
    <w:rsid w:val="00C834C1"/>
    <w:rsid w:val="00C8362C"/>
    <w:rsid w:val="00C83709"/>
    <w:rsid w:val="00C839D6"/>
    <w:rsid w:val="00C83B4E"/>
    <w:rsid w:val="00C83E1A"/>
    <w:rsid w:val="00C83EC9"/>
    <w:rsid w:val="00C83F85"/>
    <w:rsid w:val="00C841F0"/>
    <w:rsid w:val="00C844DB"/>
    <w:rsid w:val="00C84523"/>
    <w:rsid w:val="00C84F9E"/>
    <w:rsid w:val="00C85265"/>
    <w:rsid w:val="00C85469"/>
    <w:rsid w:val="00C8574D"/>
    <w:rsid w:val="00C8587F"/>
    <w:rsid w:val="00C85A4D"/>
    <w:rsid w:val="00C85BA8"/>
    <w:rsid w:val="00C85D1E"/>
    <w:rsid w:val="00C85D58"/>
    <w:rsid w:val="00C85D6D"/>
    <w:rsid w:val="00C85E38"/>
    <w:rsid w:val="00C86711"/>
    <w:rsid w:val="00C86B76"/>
    <w:rsid w:val="00C86BFA"/>
    <w:rsid w:val="00C86C17"/>
    <w:rsid w:val="00C86C64"/>
    <w:rsid w:val="00C86E61"/>
    <w:rsid w:val="00C86FB1"/>
    <w:rsid w:val="00C8701F"/>
    <w:rsid w:val="00C87148"/>
    <w:rsid w:val="00C871AE"/>
    <w:rsid w:val="00C873A4"/>
    <w:rsid w:val="00C876FC"/>
    <w:rsid w:val="00C87880"/>
    <w:rsid w:val="00C87895"/>
    <w:rsid w:val="00C87CAD"/>
    <w:rsid w:val="00C9073F"/>
    <w:rsid w:val="00C90770"/>
    <w:rsid w:val="00C90982"/>
    <w:rsid w:val="00C909E1"/>
    <w:rsid w:val="00C90B11"/>
    <w:rsid w:val="00C90CD6"/>
    <w:rsid w:val="00C90FA2"/>
    <w:rsid w:val="00C9105E"/>
    <w:rsid w:val="00C915CA"/>
    <w:rsid w:val="00C91B60"/>
    <w:rsid w:val="00C91EA4"/>
    <w:rsid w:val="00C92092"/>
    <w:rsid w:val="00C9240D"/>
    <w:rsid w:val="00C924A1"/>
    <w:rsid w:val="00C925E8"/>
    <w:rsid w:val="00C926FF"/>
    <w:rsid w:val="00C927C5"/>
    <w:rsid w:val="00C92876"/>
    <w:rsid w:val="00C928BB"/>
    <w:rsid w:val="00C92A35"/>
    <w:rsid w:val="00C92B7E"/>
    <w:rsid w:val="00C92C10"/>
    <w:rsid w:val="00C92C83"/>
    <w:rsid w:val="00C92CD8"/>
    <w:rsid w:val="00C92D7D"/>
    <w:rsid w:val="00C92E75"/>
    <w:rsid w:val="00C92E9E"/>
    <w:rsid w:val="00C92F42"/>
    <w:rsid w:val="00C932BC"/>
    <w:rsid w:val="00C93494"/>
    <w:rsid w:val="00C9367A"/>
    <w:rsid w:val="00C937CC"/>
    <w:rsid w:val="00C93909"/>
    <w:rsid w:val="00C9394D"/>
    <w:rsid w:val="00C93A6C"/>
    <w:rsid w:val="00C93E22"/>
    <w:rsid w:val="00C93F2C"/>
    <w:rsid w:val="00C93F57"/>
    <w:rsid w:val="00C94025"/>
    <w:rsid w:val="00C940BE"/>
    <w:rsid w:val="00C941D4"/>
    <w:rsid w:val="00C94287"/>
    <w:rsid w:val="00C94429"/>
    <w:rsid w:val="00C944E0"/>
    <w:rsid w:val="00C945CF"/>
    <w:rsid w:val="00C94938"/>
    <w:rsid w:val="00C94B43"/>
    <w:rsid w:val="00C94B6E"/>
    <w:rsid w:val="00C94C56"/>
    <w:rsid w:val="00C95091"/>
    <w:rsid w:val="00C953A2"/>
    <w:rsid w:val="00C953FE"/>
    <w:rsid w:val="00C955E7"/>
    <w:rsid w:val="00C956F9"/>
    <w:rsid w:val="00C958B6"/>
    <w:rsid w:val="00C958F2"/>
    <w:rsid w:val="00C95CF1"/>
    <w:rsid w:val="00C95D51"/>
    <w:rsid w:val="00C96191"/>
    <w:rsid w:val="00C96220"/>
    <w:rsid w:val="00C965E5"/>
    <w:rsid w:val="00C96B40"/>
    <w:rsid w:val="00C96C16"/>
    <w:rsid w:val="00C96DBD"/>
    <w:rsid w:val="00C96EE8"/>
    <w:rsid w:val="00C97027"/>
    <w:rsid w:val="00C975E4"/>
    <w:rsid w:val="00C97723"/>
    <w:rsid w:val="00C97C11"/>
    <w:rsid w:val="00CA0427"/>
    <w:rsid w:val="00CA0570"/>
    <w:rsid w:val="00CA06F6"/>
    <w:rsid w:val="00CA08D0"/>
    <w:rsid w:val="00CA0B17"/>
    <w:rsid w:val="00CA0D20"/>
    <w:rsid w:val="00CA11D6"/>
    <w:rsid w:val="00CA128D"/>
    <w:rsid w:val="00CA130A"/>
    <w:rsid w:val="00CA13B6"/>
    <w:rsid w:val="00CA173B"/>
    <w:rsid w:val="00CA187A"/>
    <w:rsid w:val="00CA1D24"/>
    <w:rsid w:val="00CA1DDC"/>
    <w:rsid w:val="00CA23F2"/>
    <w:rsid w:val="00CA2649"/>
    <w:rsid w:val="00CA2667"/>
    <w:rsid w:val="00CA2670"/>
    <w:rsid w:val="00CA27E8"/>
    <w:rsid w:val="00CA28B0"/>
    <w:rsid w:val="00CA296E"/>
    <w:rsid w:val="00CA2974"/>
    <w:rsid w:val="00CA2A12"/>
    <w:rsid w:val="00CA2D15"/>
    <w:rsid w:val="00CA2E1B"/>
    <w:rsid w:val="00CA351D"/>
    <w:rsid w:val="00CA390C"/>
    <w:rsid w:val="00CA39C5"/>
    <w:rsid w:val="00CA3A6A"/>
    <w:rsid w:val="00CA3B34"/>
    <w:rsid w:val="00CA3DCD"/>
    <w:rsid w:val="00CA3DDB"/>
    <w:rsid w:val="00CA4092"/>
    <w:rsid w:val="00CA427B"/>
    <w:rsid w:val="00CA4406"/>
    <w:rsid w:val="00CA447C"/>
    <w:rsid w:val="00CA45BF"/>
    <w:rsid w:val="00CA45E5"/>
    <w:rsid w:val="00CA45EE"/>
    <w:rsid w:val="00CA4631"/>
    <w:rsid w:val="00CA466E"/>
    <w:rsid w:val="00CA46DC"/>
    <w:rsid w:val="00CA4965"/>
    <w:rsid w:val="00CA4999"/>
    <w:rsid w:val="00CA4A63"/>
    <w:rsid w:val="00CA4D11"/>
    <w:rsid w:val="00CA5083"/>
    <w:rsid w:val="00CA5388"/>
    <w:rsid w:val="00CA540B"/>
    <w:rsid w:val="00CA5542"/>
    <w:rsid w:val="00CA562E"/>
    <w:rsid w:val="00CA590F"/>
    <w:rsid w:val="00CA5BF3"/>
    <w:rsid w:val="00CA64ED"/>
    <w:rsid w:val="00CA670A"/>
    <w:rsid w:val="00CA682D"/>
    <w:rsid w:val="00CA68E8"/>
    <w:rsid w:val="00CA6945"/>
    <w:rsid w:val="00CA7231"/>
    <w:rsid w:val="00CA72FA"/>
    <w:rsid w:val="00CA759C"/>
    <w:rsid w:val="00CA7613"/>
    <w:rsid w:val="00CA7756"/>
    <w:rsid w:val="00CA783D"/>
    <w:rsid w:val="00CA79D6"/>
    <w:rsid w:val="00CA7A23"/>
    <w:rsid w:val="00CA7A91"/>
    <w:rsid w:val="00CA7C05"/>
    <w:rsid w:val="00CA7D6E"/>
    <w:rsid w:val="00CA7ECE"/>
    <w:rsid w:val="00CB09FA"/>
    <w:rsid w:val="00CB0B2C"/>
    <w:rsid w:val="00CB0BEA"/>
    <w:rsid w:val="00CB0D11"/>
    <w:rsid w:val="00CB0DB1"/>
    <w:rsid w:val="00CB10EE"/>
    <w:rsid w:val="00CB1206"/>
    <w:rsid w:val="00CB12ED"/>
    <w:rsid w:val="00CB1300"/>
    <w:rsid w:val="00CB1389"/>
    <w:rsid w:val="00CB15B5"/>
    <w:rsid w:val="00CB1C4F"/>
    <w:rsid w:val="00CB1C55"/>
    <w:rsid w:val="00CB1D0A"/>
    <w:rsid w:val="00CB1DC3"/>
    <w:rsid w:val="00CB1E6A"/>
    <w:rsid w:val="00CB1EB1"/>
    <w:rsid w:val="00CB1FEB"/>
    <w:rsid w:val="00CB2169"/>
    <w:rsid w:val="00CB227F"/>
    <w:rsid w:val="00CB2710"/>
    <w:rsid w:val="00CB31AF"/>
    <w:rsid w:val="00CB33CF"/>
    <w:rsid w:val="00CB350F"/>
    <w:rsid w:val="00CB42C7"/>
    <w:rsid w:val="00CB4358"/>
    <w:rsid w:val="00CB43EA"/>
    <w:rsid w:val="00CB4647"/>
    <w:rsid w:val="00CB4693"/>
    <w:rsid w:val="00CB4898"/>
    <w:rsid w:val="00CB4ACD"/>
    <w:rsid w:val="00CB4B62"/>
    <w:rsid w:val="00CB4FD6"/>
    <w:rsid w:val="00CB50DF"/>
    <w:rsid w:val="00CB51D6"/>
    <w:rsid w:val="00CB51DC"/>
    <w:rsid w:val="00CB5313"/>
    <w:rsid w:val="00CB53B8"/>
    <w:rsid w:val="00CB546F"/>
    <w:rsid w:val="00CB5509"/>
    <w:rsid w:val="00CB553E"/>
    <w:rsid w:val="00CB5541"/>
    <w:rsid w:val="00CB5582"/>
    <w:rsid w:val="00CB5CA9"/>
    <w:rsid w:val="00CB5FF6"/>
    <w:rsid w:val="00CB6079"/>
    <w:rsid w:val="00CB6269"/>
    <w:rsid w:val="00CB6360"/>
    <w:rsid w:val="00CB64ED"/>
    <w:rsid w:val="00CB682A"/>
    <w:rsid w:val="00CB6A52"/>
    <w:rsid w:val="00CB6C46"/>
    <w:rsid w:val="00CB6C73"/>
    <w:rsid w:val="00CB6DDF"/>
    <w:rsid w:val="00CB71DE"/>
    <w:rsid w:val="00CB73F5"/>
    <w:rsid w:val="00CB75CC"/>
    <w:rsid w:val="00CB773E"/>
    <w:rsid w:val="00CB7796"/>
    <w:rsid w:val="00CB7910"/>
    <w:rsid w:val="00CB7B36"/>
    <w:rsid w:val="00CB7D69"/>
    <w:rsid w:val="00CB7E68"/>
    <w:rsid w:val="00CB7F0F"/>
    <w:rsid w:val="00CC0675"/>
    <w:rsid w:val="00CC0A11"/>
    <w:rsid w:val="00CC10D7"/>
    <w:rsid w:val="00CC18F5"/>
    <w:rsid w:val="00CC1ABB"/>
    <w:rsid w:val="00CC2602"/>
    <w:rsid w:val="00CC26B9"/>
    <w:rsid w:val="00CC29B8"/>
    <w:rsid w:val="00CC2A43"/>
    <w:rsid w:val="00CC2E5A"/>
    <w:rsid w:val="00CC30B6"/>
    <w:rsid w:val="00CC33ED"/>
    <w:rsid w:val="00CC34AA"/>
    <w:rsid w:val="00CC353F"/>
    <w:rsid w:val="00CC36C2"/>
    <w:rsid w:val="00CC3895"/>
    <w:rsid w:val="00CC399C"/>
    <w:rsid w:val="00CC3D0A"/>
    <w:rsid w:val="00CC3D58"/>
    <w:rsid w:val="00CC404B"/>
    <w:rsid w:val="00CC45C5"/>
    <w:rsid w:val="00CC4711"/>
    <w:rsid w:val="00CC47D0"/>
    <w:rsid w:val="00CC4867"/>
    <w:rsid w:val="00CC48DC"/>
    <w:rsid w:val="00CC4ADA"/>
    <w:rsid w:val="00CC4B22"/>
    <w:rsid w:val="00CC4B36"/>
    <w:rsid w:val="00CC4CFD"/>
    <w:rsid w:val="00CC4DBB"/>
    <w:rsid w:val="00CC4ECA"/>
    <w:rsid w:val="00CC4F5D"/>
    <w:rsid w:val="00CC4FB6"/>
    <w:rsid w:val="00CC5421"/>
    <w:rsid w:val="00CC5D60"/>
    <w:rsid w:val="00CC5E02"/>
    <w:rsid w:val="00CC5F25"/>
    <w:rsid w:val="00CC610D"/>
    <w:rsid w:val="00CC6410"/>
    <w:rsid w:val="00CC6492"/>
    <w:rsid w:val="00CC64F9"/>
    <w:rsid w:val="00CC6500"/>
    <w:rsid w:val="00CC66AE"/>
    <w:rsid w:val="00CC675A"/>
    <w:rsid w:val="00CC67D3"/>
    <w:rsid w:val="00CC68D6"/>
    <w:rsid w:val="00CC6A95"/>
    <w:rsid w:val="00CC6EFA"/>
    <w:rsid w:val="00CC717B"/>
    <w:rsid w:val="00CC72B4"/>
    <w:rsid w:val="00CC7425"/>
    <w:rsid w:val="00CC7816"/>
    <w:rsid w:val="00CC7866"/>
    <w:rsid w:val="00CC7A62"/>
    <w:rsid w:val="00CC7A86"/>
    <w:rsid w:val="00CC7B4E"/>
    <w:rsid w:val="00CC7C1A"/>
    <w:rsid w:val="00CC7D02"/>
    <w:rsid w:val="00CC7F8C"/>
    <w:rsid w:val="00CC8526"/>
    <w:rsid w:val="00CD00D1"/>
    <w:rsid w:val="00CD0646"/>
    <w:rsid w:val="00CD0899"/>
    <w:rsid w:val="00CD0A2D"/>
    <w:rsid w:val="00CD0B62"/>
    <w:rsid w:val="00CD0D3D"/>
    <w:rsid w:val="00CD0F4D"/>
    <w:rsid w:val="00CD1171"/>
    <w:rsid w:val="00CD145D"/>
    <w:rsid w:val="00CD15FB"/>
    <w:rsid w:val="00CD16AB"/>
    <w:rsid w:val="00CD17B6"/>
    <w:rsid w:val="00CD1898"/>
    <w:rsid w:val="00CD1908"/>
    <w:rsid w:val="00CD1A8A"/>
    <w:rsid w:val="00CD1BB2"/>
    <w:rsid w:val="00CD1DC1"/>
    <w:rsid w:val="00CD2099"/>
    <w:rsid w:val="00CD2381"/>
    <w:rsid w:val="00CD2767"/>
    <w:rsid w:val="00CD2893"/>
    <w:rsid w:val="00CD2D5E"/>
    <w:rsid w:val="00CD2F4C"/>
    <w:rsid w:val="00CD31B3"/>
    <w:rsid w:val="00CD32F5"/>
    <w:rsid w:val="00CD3427"/>
    <w:rsid w:val="00CD35F4"/>
    <w:rsid w:val="00CD38E5"/>
    <w:rsid w:val="00CD39FA"/>
    <w:rsid w:val="00CD3E35"/>
    <w:rsid w:val="00CD3EAC"/>
    <w:rsid w:val="00CD4007"/>
    <w:rsid w:val="00CD4165"/>
    <w:rsid w:val="00CD4480"/>
    <w:rsid w:val="00CD48CB"/>
    <w:rsid w:val="00CD4A3B"/>
    <w:rsid w:val="00CD4C93"/>
    <w:rsid w:val="00CD4CEB"/>
    <w:rsid w:val="00CD4D62"/>
    <w:rsid w:val="00CD4D8B"/>
    <w:rsid w:val="00CD52A1"/>
    <w:rsid w:val="00CD532B"/>
    <w:rsid w:val="00CD5484"/>
    <w:rsid w:val="00CD5843"/>
    <w:rsid w:val="00CD5A02"/>
    <w:rsid w:val="00CD5C6E"/>
    <w:rsid w:val="00CD5DF3"/>
    <w:rsid w:val="00CD5EC7"/>
    <w:rsid w:val="00CD5F68"/>
    <w:rsid w:val="00CD6197"/>
    <w:rsid w:val="00CD6327"/>
    <w:rsid w:val="00CD645F"/>
    <w:rsid w:val="00CD653F"/>
    <w:rsid w:val="00CD65B2"/>
    <w:rsid w:val="00CD66A9"/>
    <w:rsid w:val="00CD67E3"/>
    <w:rsid w:val="00CD70A5"/>
    <w:rsid w:val="00CD71BC"/>
    <w:rsid w:val="00CD7288"/>
    <w:rsid w:val="00CD72C8"/>
    <w:rsid w:val="00CD7555"/>
    <w:rsid w:val="00CD7767"/>
    <w:rsid w:val="00CD7D1D"/>
    <w:rsid w:val="00CD7E1C"/>
    <w:rsid w:val="00CD7EF3"/>
    <w:rsid w:val="00CE02DF"/>
    <w:rsid w:val="00CE0333"/>
    <w:rsid w:val="00CE0623"/>
    <w:rsid w:val="00CE09EF"/>
    <w:rsid w:val="00CE0A60"/>
    <w:rsid w:val="00CE0BB2"/>
    <w:rsid w:val="00CE0C6E"/>
    <w:rsid w:val="00CE12A7"/>
    <w:rsid w:val="00CE141A"/>
    <w:rsid w:val="00CE15EE"/>
    <w:rsid w:val="00CE169E"/>
    <w:rsid w:val="00CE169F"/>
    <w:rsid w:val="00CE16E3"/>
    <w:rsid w:val="00CE193D"/>
    <w:rsid w:val="00CE1A29"/>
    <w:rsid w:val="00CE1B61"/>
    <w:rsid w:val="00CE1D67"/>
    <w:rsid w:val="00CE2308"/>
    <w:rsid w:val="00CE24EF"/>
    <w:rsid w:val="00CE26D5"/>
    <w:rsid w:val="00CE288C"/>
    <w:rsid w:val="00CE295B"/>
    <w:rsid w:val="00CE2E24"/>
    <w:rsid w:val="00CE2F87"/>
    <w:rsid w:val="00CE3008"/>
    <w:rsid w:val="00CE317E"/>
    <w:rsid w:val="00CE3452"/>
    <w:rsid w:val="00CE35FF"/>
    <w:rsid w:val="00CE3927"/>
    <w:rsid w:val="00CE39D2"/>
    <w:rsid w:val="00CE3AE2"/>
    <w:rsid w:val="00CE3BCF"/>
    <w:rsid w:val="00CE3F4C"/>
    <w:rsid w:val="00CE4205"/>
    <w:rsid w:val="00CE4ABA"/>
    <w:rsid w:val="00CE4BB8"/>
    <w:rsid w:val="00CE4F68"/>
    <w:rsid w:val="00CE515D"/>
    <w:rsid w:val="00CE569F"/>
    <w:rsid w:val="00CE5AD7"/>
    <w:rsid w:val="00CE5B53"/>
    <w:rsid w:val="00CE5BF2"/>
    <w:rsid w:val="00CE5C16"/>
    <w:rsid w:val="00CE5D81"/>
    <w:rsid w:val="00CE5EE6"/>
    <w:rsid w:val="00CE5FCE"/>
    <w:rsid w:val="00CE6153"/>
    <w:rsid w:val="00CE6ADD"/>
    <w:rsid w:val="00CE6B9F"/>
    <w:rsid w:val="00CE6D2A"/>
    <w:rsid w:val="00CE6DEE"/>
    <w:rsid w:val="00CE6F41"/>
    <w:rsid w:val="00CE70E2"/>
    <w:rsid w:val="00CE71B2"/>
    <w:rsid w:val="00CE72E7"/>
    <w:rsid w:val="00CE7305"/>
    <w:rsid w:val="00CE7385"/>
    <w:rsid w:val="00CE7913"/>
    <w:rsid w:val="00CE7980"/>
    <w:rsid w:val="00CE7B47"/>
    <w:rsid w:val="00CE7B9B"/>
    <w:rsid w:val="00CE7F27"/>
    <w:rsid w:val="00CF00F0"/>
    <w:rsid w:val="00CF0155"/>
    <w:rsid w:val="00CF0193"/>
    <w:rsid w:val="00CF07C6"/>
    <w:rsid w:val="00CF120C"/>
    <w:rsid w:val="00CF1398"/>
    <w:rsid w:val="00CF1469"/>
    <w:rsid w:val="00CF16E9"/>
    <w:rsid w:val="00CF1757"/>
    <w:rsid w:val="00CF176D"/>
    <w:rsid w:val="00CF1D67"/>
    <w:rsid w:val="00CF1EB0"/>
    <w:rsid w:val="00CF22B7"/>
    <w:rsid w:val="00CF23BA"/>
    <w:rsid w:val="00CF29D1"/>
    <w:rsid w:val="00CF2D57"/>
    <w:rsid w:val="00CF328F"/>
    <w:rsid w:val="00CF3481"/>
    <w:rsid w:val="00CF36B7"/>
    <w:rsid w:val="00CF3A9E"/>
    <w:rsid w:val="00CF3B41"/>
    <w:rsid w:val="00CF3D5B"/>
    <w:rsid w:val="00CF3E83"/>
    <w:rsid w:val="00CF3E90"/>
    <w:rsid w:val="00CF3EED"/>
    <w:rsid w:val="00CF40B2"/>
    <w:rsid w:val="00CF4164"/>
    <w:rsid w:val="00CF434C"/>
    <w:rsid w:val="00CF4531"/>
    <w:rsid w:val="00CF4611"/>
    <w:rsid w:val="00CF4706"/>
    <w:rsid w:val="00CF4B80"/>
    <w:rsid w:val="00CF4C31"/>
    <w:rsid w:val="00CF4EBA"/>
    <w:rsid w:val="00CF5058"/>
    <w:rsid w:val="00CF5987"/>
    <w:rsid w:val="00CF5CD7"/>
    <w:rsid w:val="00CF5E36"/>
    <w:rsid w:val="00CF5E9E"/>
    <w:rsid w:val="00CF5F24"/>
    <w:rsid w:val="00CF6870"/>
    <w:rsid w:val="00CF6C58"/>
    <w:rsid w:val="00CF6C76"/>
    <w:rsid w:val="00CF6D0C"/>
    <w:rsid w:val="00CF72B2"/>
    <w:rsid w:val="00CF7628"/>
    <w:rsid w:val="00CF77B2"/>
    <w:rsid w:val="00CF7FD8"/>
    <w:rsid w:val="00CFBDAF"/>
    <w:rsid w:val="00D0043F"/>
    <w:rsid w:val="00D00502"/>
    <w:rsid w:val="00D0052B"/>
    <w:rsid w:val="00D00543"/>
    <w:rsid w:val="00D00581"/>
    <w:rsid w:val="00D006CC"/>
    <w:rsid w:val="00D00B30"/>
    <w:rsid w:val="00D00C6A"/>
    <w:rsid w:val="00D00E34"/>
    <w:rsid w:val="00D00EAE"/>
    <w:rsid w:val="00D0124F"/>
    <w:rsid w:val="00D01524"/>
    <w:rsid w:val="00D01549"/>
    <w:rsid w:val="00D01743"/>
    <w:rsid w:val="00D01A60"/>
    <w:rsid w:val="00D01C79"/>
    <w:rsid w:val="00D01E78"/>
    <w:rsid w:val="00D01E7F"/>
    <w:rsid w:val="00D02431"/>
    <w:rsid w:val="00D02572"/>
    <w:rsid w:val="00D02590"/>
    <w:rsid w:val="00D0274B"/>
    <w:rsid w:val="00D02AB0"/>
    <w:rsid w:val="00D02D9B"/>
    <w:rsid w:val="00D0324A"/>
    <w:rsid w:val="00D0326C"/>
    <w:rsid w:val="00D0334B"/>
    <w:rsid w:val="00D034C7"/>
    <w:rsid w:val="00D03529"/>
    <w:rsid w:val="00D03536"/>
    <w:rsid w:val="00D03B54"/>
    <w:rsid w:val="00D03D4F"/>
    <w:rsid w:val="00D03E07"/>
    <w:rsid w:val="00D04024"/>
    <w:rsid w:val="00D04186"/>
    <w:rsid w:val="00D04187"/>
    <w:rsid w:val="00D044C8"/>
    <w:rsid w:val="00D04678"/>
    <w:rsid w:val="00D04AFF"/>
    <w:rsid w:val="00D04FB0"/>
    <w:rsid w:val="00D05079"/>
    <w:rsid w:val="00D0543C"/>
    <w:rsid w:val="00D05455"/>
    <w:rsid w:val="00D0569C"/>
    <w:rsid w:val="00D05768"/>
    <w:rsid w:val="00D0576E"/>
    <w:rsid w:val="00D059A8"/>
    <w:rsid w:val="00D05B4D"/>
    <w:rsid w:val="00D05E86"/>
    <w:rsid w:val="00D05EE1"/>
    <w:rsid w:val="00D06191"/>
    <w:rsid w:val="00D06259"/>
    <w:rsid w:val="00D0673E"/>
    <w:rsid w:val="00D06F52"/>
    <w:rsid w:val="00D06FF0"/>
    <w:rsid w:val="00D07353"/>
    <w:rsid w:val="00D076B1"/>
    <w:rsid w:val="00D07940"/>
    <w:rsid w:val="00D07DA1"/>
    <w:rsid w:val="00D07E57"/>
    <w:rsid w:val="00D07E60"/>
    <w:rsid w:val="00D0D34B"/>
    <w:rsid w:val="00D10066"/>
    <w:rsid w:val="00D10156"/>
    <w:rsid w:val="00D1024B"/>
    <w:rsid w:val="00D102F5"/>
    <w:rsid w:val="00D1039B"/>
    <w:rsid w:val="00D10407"/>
    <w:rsid w:val="00D108D8"/>
    <w:rsid w:val="00D109F7"/>
    <w:rsid w:val="00D10ADC"/>
    <w:rsid w:val="00D10BB2"/>
    <w:rsid w:val="00D10D7F"/>
    <w:rsid w:val="00D10F1A"/>
    <w:rsid w:val="00D11312"/>
    <w:rsid w:val="00D11352"/>
    <w:rsid w:val="00D11713"/>
    <w:rsid w:val="00D11728"/>
    <w:rsid w:val="00D117FA"/>
    <w:rsid w:val="00D1209A"/>
    <w:rsid w:val="00D126D0"/>
    <w:rsid w:val="00D126FA"/>
    <w:rsid w:val="00D12724"/>
    <w:rsid w:val="00D128C7"/>
    <w:rsid w:val="00D128C8"/>
    <w:rsid w:val="00D12961"/>
    <w:rsid w:val="00D12D36"/>
    <w:rsid w:val="00D12DB4"/>
    <w:rsid w:val="00D12E5E"/>
    <w:rsid w:val="00D1332B"/>
    <w:rsid w:val="00D1380E"/>
    <w:rsid w:val="00D13ADE"/>
    <w:rsid w:val="00D13C84"/>
    <w:rsid w:val="00D14023"/>
    <w:rsid w:val="00D140AA"/>
    <w:rsid w:val="00D140C2"/>
    <w:rsid w:val="00D14485"/>
    <w:rsid w:val="00D145CA"/>
    <w:rsid w:val="00D147D7"/>
    <w:rsid w:val="00D1492F"/>
    <w:rsid w:val="00D149B0"/>
    <w:rsid w:val="00D14AE6"/>
    <w:rsid w:val="00D14C09"/>
    <w:rsid w:val="00D14E42"/>
    <w:rsid w:val="00D14E43"/>
    <w:rsid w:val="00D14F3F"/>
    <w:rsid w:val="00D152F4"/>
    <w:rsid w:val="00D1535A"/>
    <w:rsid w:val="00D1576F"/>
    <w:rsid w:val="00D15B34"/>
    <w:rsid w:val="00D15B81"/>
    <w:rsid w:val="00D15D42"/>
    <w:rsid w:val="00D15D73"/>
    <w:rsid w:val="00D15E64"/>
    <w:rsid w:val="00D169B0"/>
    <w:rsid w:val="00D16B74"/>
    <w:rsid w:val="00D16B8B"/>
    <w:rsid w:val="00D16BFF"/>
    <w:rsid w:val="00D16CA6"/>
    <w:rsid w:val="00D16D7B"/>
    <w:rsid w:val="00D16E24"/>
    <w:rsid w:val="00D16E6F"/>
    <w:rsid w:val="00D16FD1"/>
    <w:rsid w:val="00D1707D"/>
    <w:rsid w:val="00D17325"/>
    <w:rsid w:val="00D175A7"/>
    <w:rsid w:val="00D17B1D"/>
    <w:rsid w:val="00D20014"/>
    <w:rsid w:val="00D200C6"/>
    <w:rsid w:val="00D20274"/>
    <w:rsid w:val="00D20824"/>
    <w:rsid w:val="00D20A82"/>
    <w:rsid w:val="00D20B09"/>
    <w:rsid w:val="00D20D12"/>
    <w:rsid w:val="00D20DEF"/>
    <w:rsid w:val="00D20E99"/>
    <w:rsid w:val="00D21327"/>
    <w:rsid w:val="00D213EA"/>
    <w:rsid w:val="00D21485"/>
    <w:rsid w:val="00D215C8"/>
    <w:rsid w:val="00D215D1"/>
    <w:rsid w:val="00D21619"/>
    <w:rsid w:val="00D216AC"/>
    <w:rsid w:val="00D219B6"/>
    <w:rsid w:val="00D219F9"/>
    <w:rsid w:val="00D21A2D"/>
    <w:rsid w:val="00D21A79"/>
    <w:rsid w:val="00D21AF2"/>
    <w:rsid w:val="00D21B3F"/>
    <w:rsid w:val="00D21B59"/>
    <w:rsid w:val="00D21D2F"/>
    <w:rsid w:val="00D2230D"/>
    <w:rsid w:val="00D2266F"/>
    <w:rsid w:val="00D22903"/>
    <w:rsid w:val="00D22D96"/>
    <w:rsid w:val="00D22EF4"/>
    <w:rsid w:val="00D231AF"/>
    <w:rsid w:val="00D2381C"/>
    <w:rsid w:val="00D238A7"/>
    <w:rsid w:val="00D23959"/>
    <w:rsid w:val="00D23B6F"/>
    <w:rsid w:val="00D23F6C"/>
    <w:rsid w:val="00D24182"/>
    <w:rsid w:val="00D24561"/>
    <w:rsid w:val="00D24815"/>
    <w:rsid w:val="00D2491C"/>
    <w:rsid w:val="00D24DC8"/>
    <w:rsid w:val="00D24E67"/>
    <w:rsid w:val="00D251BC"/>
    <w:rsid w:val="00D25658"/>
    <w:rsid w:val="00D25A68"/>
    <w:rsid w:val="00D25E42"/>
    <w:rsid w:val="00D26207"/>
    <w:rsid w:val="00D263D4"/>
    <w:rsid w:val="00D2653E"/>
    <w:rsid w:val="00D2678D"/>
    <w:rsid w:val="00D26792"/>
    <w:rsid w:val="00D26B6B"/>
    <w:rsid w:val="00D26CE5"/>
    <w:rsid w:val="00D26CFB"/>
    <w:rsid w:val="00D26D77"/>
    <w:rsid w:val="00D26EE0"/>
    <w:rsid w:val="00D26F0C"/>
    <w:rsid w:val="00D274FA"/>
    <w:rsid w:val="00D2769B"/>
    <w:rsid w:val="00D30073"/>
    <w:rsid w:val="00D300FB"/>
    <w:rsid w:val="00D305CE"/>
    <w:rsid w:val="00D30A4E"/>
    <w:rsid w:val="00D30C63"/>
    <w:rsid w:val="00D30DF3"/>
    <w:rsid w:val="00D310D8"/>
    <w:rsid w:val="00D3129F"/>
    <w:rsid w:val="00D313BC"/>
    <w:rsid w:val="00D314E8"/>
    <w:rsid w:val="00D31AF7"/>
    <w:rsid w:val="00D31B06"/>
    <w:rsid w:val="00D31B6B"/>
    <w:rsid w:val="00D31C28"/>
    <w:rsid w:val="00D31D3E"/>
    <w:rsid w:val="00D31DCA"/>
    <w:rsid w:val="00D31E96"/>
    <w:rsid w:val="00D31FFA"/>
    <w:rsid w:val="00D32041"/>
    <w:rsid w:val="00D32146"/>
    <w:rsid w:val="00D326A6"/>
    <w:rsid w:val="00D32977"/>
    <w:rsid w:val="00D32D89"/>
    <w:rsid w:val="00D32E39"/>
    <w:rsid w:val="00D330F6"/>
    <w:rsid w:val="00D33153"/>
    <w:rsid w:val="00D331C0"/>
    <w:rsid w:val="00D332C3"/>
    <w:rsid w:val="00D33613"/>
    <w:rsid w:val="00D33B82"/>
    <w:rsid w:val="00D33DB2"/>
    <w:rsid w:val="00D33DF2"/>
    <w:rsid w:val="00D33F73"/>
    <w:rsid w:val="00D343DE"/>
    <w:rsid w:val="00D344AD"/>
    <w:rsid w:val="00D345E8"/>
    <w:rsid w:val="00D34B72"/>
    <w:rsid w:val="00D34C69"/>
    <w:rsid w:val="00D34CA5"/>
    <w:rsid w:val="00D352DD"/>
    <w:rsid w:val="00D355E7"/>
    <w:rsid w:val="00D35601"/>
    <w:rsid w:val="00D3583E"/>
    <w:rsid w:val="00D3599E"/>
    <w:rsid w:val="00D35B13"/>
    <w:rsid w:val="00D35D9E"/>
    <w:rsid w:val="00D35EB4"/>
    <w:rsid w:val="00D36146"/>
    <w:rsid w:val="00D3626A"/>
    <w:rsid w:val="00D36410"/>
    <w:rsid w:val="00D365A4"/>
    <w:rsid w:val="00D36682"/>
    <w:rsid w:val="00D3670E"/>
    <w:rsid w:val="00D36831"/>
    <w:rsid w:val="00D369B2"/>
    <w:rsid w:val="00D36BDD"/>
    <w:rsid w:val="00D36F64"/>
    <w:rsid w:val="00D3742B"/>
    <w:rsid w:val="00D37483"/>
    <w:rsid w:val="00D3750D"/>
    <w:rsid w:val="00D37BF7"/>
    <w:rsid w:val="00D37EBF"/>
    <w:rsid w:val="00D4010E"/>
    <w:rsid w:val="00D4013D"/>
    <w:rsid w:val="00D404ED"/>
    <w:rsid w:val="00D4070A"/>
    <w:rsid w:val="00D407C7"/>
    <w:rsid w:val="00D40814"/>
    <w:rsid w:val="00D40832"/>
    <w:rsid w:val="00D408C3"/>
    <w:rsid w:val="00D4097F"/>
    <w:rsid w:val="00D409DE"/>
    <w:rsid w:val="00D409FA"/>
    <w:rsid w:val="00D40E83"/>
    <w:rsid w:val="00D4106D"/>
    <w:rsid w:val="00D41832"/>
    <w:rsid w:val="00D41AE3"/>
    <w:rsid w:val="00D42373"/>
    <w:rsid w:val="00D425C9"/>
    <w:rsid w:val="00D42726"/>
    <w:rsid w:val="00D42790"/>
    <w:rsid w:val="00D42C39"/>
    <w:rsid w:val="00D42C64"/>
    <w:rsid w:val="00D42E95"/>
    <w:rsid w:val="00D42FEC"/>
    <w:rsid w:val="00D4316A"/>
    <w:rsid w:val="00D432A6"/>
    <w:rsid w:val="00D435CE"/>
    <w:rsid w:val="00D439CE"/>
    <w:rsid w:val="00D439DE"/>
    <w:rsid w:val="00D43B52"/>
    <w:rsid w:val="00D43CB7"/>
    <w:rsid w:val="00D43CBF"/>
    <w:rsid w:val="00D43CFB"/>
    <w:rsid w:val="00D440F7"/>
    <w:rsid w:val="00D44425"/>
    <w:rsid w:val="00D4463C"/>
    <w:rsid w:val="00D44747"/>
    <w:rsid w:val="00D44A72"/>
    <w:rsid w:val="00D44D49"/>
    <w:rsid w:val="00D44E48"/>
    <w:rsid w:val="00D44ECC"/>
    <w:rsid w:val="00D44FC2"/>
    <w:rsid w:val="00D45140"/>
    <w:rsid w:val="00D4518C"/>
    <w:rsid w:val="00D452EB"/>
    <w:rsid w:val="00D454C0"/>
    <w:rsid w:val="00D456CC"/>
    <w:rsid w:val="00D456E8"/>
    <w:rsid w:val="00D45A0E"/>
    <w:rsid w:val="00D45B62"/>
    <w:rsid w:val="00D46353"/>
    <w:rsid w:val="00D464BF"/>
    <w:rsid w:val="00D466E6"/>
    <w:rsid w:val="00D46C35"/>
    <w:rsid w:val="00D46F2C"/>
    <w:rsid w:val="00D47245"/>
    <w:rsid w:val="00D4727A"/>
    <w:rsid w:val="00D47425"/>
    <w:rsid w:val="00D476C9"/>
    <w:rsid w:val="00D47794"/>
    <w:rsid w:val="00D47A45"/>
    <w:rsid w:val="00D47D13"/>
    <w:rsid w:val="00D47DE0"/>
    <w:rsid w:val="00D5044B"/>
    <w:rsid w:val="00D50896"/>
    <w:rsid w:val="00D50A39"/>
    <w:rsid w:val="00D50A4A"/>
    <w:rsid w:val="00D50B18"/>
    <w:rsid w:val="00D50C71"/>
    <w:rsid w:val="00D50D7E"/>
    <w:rsid w:val="00D510F7"/>
    <w:rsid w:val="00D512C9"/>
    <w:rsid w:val="00D512F9"/>
    <w:rsid w:val="00D51336"/>
    <w:rsid w:val="00D515E4"/>
    <w:rsid w:val="00D516EF"/>
    <w:rsid w:val="00D51A4B"/>
    <w:rsid w:val="00D51DCC"/>
    <w:rsid w:val="00D51F42"/>
    <w:rsid w:val="00D522CE"/>
    <w:rsid w:val="00D526CC"/>
    <w:rsid w:val="00D528B1"/>
    <w:rsid w:val="00D529FD"/>
    <w:rsid w:val="00D52AA7"/>
    <w:rsid w:val="00D52B8D"/>
    <w:rsid w:val="00D52C1D"/>
    <w:rsid w:val="00D530AD"/>
    <w:rsid w:val="00D530DD"/>
    <w:rsid w:val="00D5318D"/>
    <w:rsid w:val="00D532F0"/>
    <w:rsid w:val="00D537CA"/>
    <w:rsid w:val="00D5382B"/>
    <w:rsid w:val="00D53971"/>
    <w:rsid w:val="00D539DE"/>
    <w:rsid w:val="00D53A6C"/>
    <w:rsid w:val="00D53C59"/>
    <w:rsid w:val="00D53F88"/>
    <w:rsid w:val="00D53FEE"/>
    <w:rsid w:val="00D54048"/>
    <w:rsid w:val="00D542DC"/>
    <w:rsid w:val="00D54324"/>
    <w:rsid w:val="00D54645"/>
    <w:rsid w:val="00D54785"/>
    <w:rsid w:val="00D5485A"/>
    <w:rsid w:val="00D549C6"/>
    <w:rsid w:val="00D54DE3"/>
    <w:rsid w:val="00D550A5"/>
    <w:rsid w:val="00D550D5"/>
    <w:rsid w:val="00D5511D"/>
    <w:rsid w:val="00D557E7"/>
    <w:rsid w:val="00D559FB"/>
    <w:rsid w:val="00D55F93"/>
    <w:rsid w:val="00D56145"/>
    <w:rsid w:val="00D56309"/>
    <w:rsid w:val="00D56884"/>
    <w:rsid w:val="00D569D1"/>
    <w:rsid w:val="00D56A27"/>
    <w:rsid w:val="00D5723F"/>
    <w:rsid w:val="00D57255"/>
    <w:rsid w:val="00D57370"/>
    <w:rsid w:val="00D574C1"/>
    <w:rsid w:val="00D576FC"/>
    <w:rsid w:val="00D577B1"/>
    <w:rsid w:val="00D578F1"/>
    <w:rsid w:val="00D579C4"/>
    <w:rsid w:val="00D57C08"/>
    <w:rsid w:val="00D57E86"/>
    <w:rsid w:val="00D57F86"/>
    <w:rsid w:val="00D60125"/>
    <w:rsid w:val="00D6034D"/>
    <w:rsid w:val="00D603AC"/>
    <w:rsid w:val="00D603AD"/>
    <w:rsid w:val="00D604B4"/>
    <w:rsid w:val="00D60518"/>
    <w:rsid w:val="00D60567"/>
    <w:rsid w:val="00D606DA"/>
    <w:rsid w:val="00D60B96"/>
    <w:rsid w:val="00D60C3F"/>
    <w:rsid w:val="00D60DD6"/>
    <w:rsid w:val="00D61088"/>
    <w:rsid w:val="00D61276"/>
    <w:rsid w:val="00D613B1"/>
    <w:rsid w:val="00D6144E"/>
    <w:rsid w:val="00D616B3"/>
    <w:rsid w:val="00D61C07"/>
    <w:rsid w:val="00D61C9D"/>
    <w:rsid w:val="00D61DF9"/>
    <w:rsid w:val="00D61ED5"/>
    <w:rsid w:val="00D6247D"/>
    <w:rsid w:val="00D62A42"/>
    <w:rsid w:val="00D62AFB"/>
    <w:rsid w:val="00D62BDF"/>
    <w:rsid w:val="00D62CE0"/>
    <w:rsid w:val="00D62F2D"/>
    <w:rsid w:val="00D6300A"/>
    <w:rsid w:val="00D63A91"/>
    <w:rsid w:val="00D63EFE"/>
    <w:rsid w:val="00D63F78"/>
    <w:rsid w:val="00D640A0"/>
    <w:rsid w:val="00D641A7"/>
    <w:rsid w:val="00D64820"/>
    <w:rsid w:val="00D6484B"/>
    <w:rsid w:val="00D64D4B"/>
    <w:rsid w:val="00D64DAB"/>
    <w:rsid w:val="00D64E46"/>
    <w:rsid w:val="00D64FD3"/>
    <w:rsid w:val="00D65188"/>
    <w:rsid w:val="00D6522B"/>
    <w:rsid w:val="00D6596A"/>
    <w:rsid w:val="00D65A73"/>
    <w:rsid w:val="00D65AAF"/>
    <w:rsid w:val="00D65B91"/>
    <w:rsid w:val="00D662DC"/>
    <w:rsid w:val="00D66579"/>
    <w:rsid w:val="00D66869"/>
    <w:rsid w:val="00D66B27"/>
    <w:rsid w:val="00D66BD9"/>
    <w:rsid w:val="00D66D7F"/>
    <w:rsid w:val="00D66F54"/>
    <w:rsid w:val="00D66FC6"/>
    <w:rsid w:val="00D67359"/>
    <w:rsid w:val="00D6742E"/>
    <w:rsid w:val="00D674D7"/>
    <w:rsid w:val="00D67702"/>
    <w:rsid w:val="00D67729"/>
    <w:rsid w:val="00D6775A"/>
    <w:rsid w:val="00D677EA"/>
    <w:rsid w:val="00D67862"/>
    <w:rsid w:val="00D67A04"/>
    <w:rsid w:val="00D67B28"/>
    <w:rsid w:val="00D67BD9"/>
    <w:rsid w:val="00D67CE6"/>
    <w:rsid w:val="00D67EE4"/>
    <w:rsid w:val="00D67F65"/>
    <w:rsid w:val="00D67F66"/>
    <w:rsid w:val="00D70028"/>
    <w:rsid w:val="00D70A4A"/>
    <w:rsid w:val="00D71159"/>
    <w:rsid w:val="00D7173F"/>
    <w:rsid w:val="00D71916"/>
    <w:rsid w:val="00D71C45"/>
    <w:rsid w:val="00D71E1A"/>
    <w:rsid w:val="00D71EC1"/>
    <w:rsid w:val="00D7209A"/>
    <w:rsid w:val="00D726D1"/>
    <w:rsid w:val="00D72A7C"/>
    <w:rsid w:val="00D72B46"/>
    <w:rsid w:val="00D72C4E"/>
    <w:rsid w:val="00D72CC3"/>
    <w:rsid w:val="00D72CF3"/>
    <w:rsid w:val="00D7303E"/>
    <w:rsid w:val="00D73095"/>
    <w:rsid w:val="00D731F6"/>
    <w:rsid w:val="00D7343B"/>
    <w:rsid w:val="00D735C1"/>
    <w:rsid w:val="00D738CD"/>
    <w:rsid w:val="00D739E3"/>
    <w:rsid w:val="00D73ABC"/>
    <w:rsid w:val="00D73AD8"/>
    <w:rsid w:val="00D73B76"/>
    <w:rsid w:val="00D73CE7"/>
    <w:rsid w:val="00D73D05"/>
    <w:rsid w:val="00D73FD2"/>
    <w:rsid w:val="00D74610"/>
    <w:rsid w:val="00D7469B"/>
    <w:rsid w:val="00D74A49"/>
    <w:rsid w:val="00D74A9D"/>
    <w:rsid w:val="00D74AA2"/>
    <w:rsid w:val="00D74BAD"/>
    <w:rsid w:val="00D74BEF"/>
    <w:rsid w:val="00D74D98"/>
    <w:rsid w:val="00D74DEB"/>
    <w:rsid w:val="00D74F6E"/>
    <w:rsid w:val="00D750D5"/>
    <w:rsid w:val="00D75295"/>
    <w:rsid w:val="00D753A2"/>
    <w:rsid w:val="00D75DDF"/>
    <w:rsid w:val="00D75E03"/>
    <w:rsid w:val="00D766DC"/>
    <w:rsid w:val="00D76813"/>
    <w:rsid w:val="00D76A6A"/>
    <w:rsid w:val="00D76B5F"/>
    <w:rsid w:val="00D7711C"/>
    <w:rsid w:val="00D7719D"/>
    <w:rsid w:val="00D7746B"/>
    <w:rsid w:val="00D77A10"/>
    <w:rsid w:val="00D77A1D"/>
    <w:rsid w:val="00D77A75"/>
    <w:rsid w:val="00D77B4F"/>
    <w:rsid w:val="00D77C13"/>
    <w:rsid w:val="00D77D1B"/>
    <w:rsid w:val="00D77F6E"/>
    <w:rsid w:val="00D80085"/>
    <w:rsid w:val="00D805AD"/>
    <w:rsid w:val="00D805F2"/>
    <w:rsid w:val="00D80EA2"/>
    <w:rsid w:val="00D8141F"/>
    <w:rsid w:val="00D8142C"/>
    <w:rsid w:val="00D81851"/>
    <w:rsid w:val="00D8196A"/>
    <w:rsid w:val="00D81A20"/>
    <w:rsid w:val="00D81ADB"/>
    <w:rsid w:val="00D81BE2"/>
    <w:rsid w:val="00D81F1D"/>
    <w:rsid w:val="00D821E1"/>
    <w:rsid w:val="00D824A6"/>
    <w:rsid w:val="00D82530"/>
    <w:rsid w:val="00D826F3"/>
    <w:rsid w:val="00D82722"/>
    <w:rsid w:val="00D82731"/>
    <w:rsid w:val="00D82779"/>
    <w:rsid w:val="00D82823"/>
    <w:rsid w:val="00D82D11"/>
    <w:rsid w:val="00D83178"/>
    <w:rsid w:val="00D83585"/>
    <w:rsid w:val="00D83D4C"/>
    <w:rsid w:val="00D83EBA"/>
    <w:rsid w:val="00D8405C"/>
    <w:rsid w:val="00D841BE"/>
    <w:rsid w:val="00D841EB"/>
    <w:rsid w:val="00D8425C"/>
    <w:rsid w:val="00D84331"/>
    <w:rsid w:val="00D8435E"/>
    <w:rsid w:val="00D84588"/>
    <w:rsid w:val="00D84622"/>
    <w:rsid w:val="00D84C58"/>
    <w:rsid w:val="00D84CC6"/>
    <w:rsid w:val="00D856BE"/>
    <w:rsid w:val="00D8574B"/>
    <w:rsid w:val="00D85774"/>
    <w:rsid w:val="00D85D05"/>
    <w:rsid w:val="00D86055"/>
    <w:rsid w:val="00D862EB"/>
    <w:rsid w:val="00D86C0C"/>
    <w:rsid w:val="00D86EA3"/>
    <w:rsid w:val="00D86F47"/>
    <w:rsid w:val="00D8715D"/>
    <w:rsid w:val="00D8759A"/>
    <w:rsid w:val="00D875A1"/>
    <w:rsid w:val="00D875FD"/>
    <w:rsid w:val="00D87759"/>
    <w:rsid w:val="00D8781A"/>
    <w:rsid w:val="00D87CDD"/>
    <w:rsid w:val="00D87F6F"/>
    <w:rsid w:val="00D8E621"/>
    <w:rsid w:val="00D90150"/>
    <w:rsid w:val="00D90791"/>
    <w:rsid w:val="00D90AAB"/>
    <w:rsid w:val="00D90ACE"/>
    <w:rsid w:val="00D912CB"/>
    <w:rsid w:val="00D91559"/>
    <w:rsid w:val="00D916F2"/>
    <w:rsid w:val="00D92233"/>
    <w:rsid w:val="00D9224F"/>
    <w:rsid w:val="00D92443"/>
    <w:rsid w:val="00D925D5"/>
    <w:rsid w:val="00D9284F"/>
    <w:rsid w:val="00D929F8"/>
    <w:rsid w:val="00D92C12"/>
    <w:rsid w:val="00D92DF2"/>
    <w:rsid w:val="00D92EBB"/>
    <w:rsid w:val="00D92F46"/>
    <w:rsid w:val="00D93142"/>
    <w:rsid w:val="00D93147"/>
    <w:rsid w:val="00D933D2"/>
    <w:rsid w:val="00D933E4"/>
    <w:rsid w:val="00D93633"/>
    <w:rsid w:val="00D93D8A"/>
    <w:rsid w:val="00D9402B"/>
    <w:rsid w:val="00D941FF"/>
    <w:rsid w:val="00D94E89"/>
    <w:rsid w:val="00D95619"/>
    <w:rsid w:val="00D956FB"/>
    <w:rsid w:val="00D95894"/>
    <w:rsid w:val="00D95CF2"/>
    <w:rsid w:val="00D96083"/>
    <w:rsid w:val="00D963AC"/>
    <w:rsid w:val="00D96B6C"/>
    <w:rsid w:val="00D96CDF"/>
    <w:rsid w:val="00D96D76"/>
    <w:rsid w:val="00D9708B"/>
    <w:rsid w:val="00D971BA"/>
    <w:rsid w:val="00D974D4"/>
    <w:rsid w:val="00D97B20"/>
    <w:rsid w:val="00D97B73"/>
    <w:rsid w:val="00DA010F"/>
    <w:rsid w:val="00DA0143"/>
    <w:rsid w:val="00DA0199"/>
    <w:rsid w:val="00DA01D1"/>
    <w:rsid w:val="00DA0332"/>
    <w:rsid w:val="00DA0486"/>
    <w:rsid w:val="00DA06A8"/>
    <w:rsid w:val="00DA0B51"/>
    <w:rsid w:val="00DA0C1A"/>
    <w:rsid w:val="00DA10D5"/>
    <w:rsid w:val="00DA1158"/>
    <w:rsid w:val="00DA132E"/>
    <w:rsid w:val="00DA14E4"/>
    <w:rsid w:val="00DA163A"/>
    <w:rsid w:val="00DA18EE"/>
    <w:rsid w:val="00DA18F1"/>
    <w:rsid w:val="00DA1984"/>
    <w:rsid w:val="00DA1B63"/>
    <w:rsid w:val="00DA1F50"/>
    <w:rsid w:val="00DA2069"/>
    <w:rsid w:val="00DA21EF"/>
    <w:rsid w:val="00DA2657"/>
    <w:rsid w:val="00DA2956"/>
    <w:rsid w:val="00DA2F27"/>
    <w:rsid w:val="00DA2FF9"/>
    <w:rsid w:val="00DA30CC"/>
    <w:rsid w:val="00DA313D"/>
    <w:rsid w:val="00DA34D1"/>
    <w:rsid w:val="00DA371D"/>
    <w:rsid w:val="00DA3742"/>
    <w:rsid w:val="00DA3A36"/>
    <w:rsid w:val="00DA3A57"/>
    <w:rsid w:val="00DA3B98"/>
    <w:rsid w:val="00DA3CBE"/>
    <w:rsid w:val="00DA4376"/>
    <w:rsid w:val="00DA4380"/>
    <w:rsid w:val="00DA4BE4"/>
    <w:rsid w:val="00DA4C60"/>
    <w:rsid w:val="00DA4E77"/>
    <w:rsid w:val="00DA5109"/>
    <w:rsid w:val="00DA5562"/>
    <w:rsid w:val="00DA55A8"/>
    <w:rsid w:val="00DA56B7"/>
    <w:rsid w:val="00DA5786"/>
    <w:rsid w:val="00DA5E18"/>
    <w:rsid w:val="00DA6066"/>
    <w:rsid w:val="00DA60C3"/>
    <w:rsid w:val="00DA6196"/>
    <w:rsid w:val="00DA644A"/>
    <w:rsid w:val="00DA6689"/>
    <w:rsid w:val="00DA71DC"/>
    <w:rsid w:val="00DA73E0"/>
    <w:rsid w:val="00DA73F0"/>
    <w:rsid w:val="00DA76BB"/>
    <w:rsid w:val="00DA76CC"/>
    <w:rsid w:val="00DA76CD"/>
    <w:rsid w:val="00DA7777"/>
    <w:rsid w:val="00DA7AD0"/>
    <w:rsid w:val="00DA7CA2"/>
    <w:rsid w:val="00DA7DD7"/>
    <w:rsid w:val="00DA8161"/>
    <w:rsid w:val="00DB02DC"/>
    <w:rsid w:val="00DB0348"/>
    <w:rsid w:val="00DB051F"/>
    <w:rsid w:val="00DB0543"/>
    <w:rsid w:val="00DB0629"/>
    <w:rsid w:val="00DB064B"/>
    <w:rsid w:val="00DB0784"/>
    <w:rsid w:val="00DB07EF"/>
    <w:rsid w:val="00DB0A16"/>
    <w:rsid w:val="00DB0BED"/>
    <w:rsid w:val="00DB0CB3"/>
    <w:rsid w:val="00DB0EB1"/>
    <w:rsid w:val="00DB0EBA"/>
    <w:rsid w:val="00DB0F43"/>
    <w:rsid w:val="00DB137B"/>
    <w:rsid w:val="00DB15CD"/>
    <w:rsid w:val="00DB163F"/>
    <w:rsid w:val="00DB16EE"/>
    <w:rsid w:val="00DB1850"/>
    <w:rsid w:val="00DB19A5"/>
    <w:rsid w:val="00DB1B4B"/>
    <w:rsid w:val="00DB1CDE"/>
    <w:rsid w:val="00DB1DFA"/>
    <w:rsid w:val="00DB1F00"/>
    <w:rsid w:val="00DB1FCA"/>
    <w:rsid w:val="00DB2092"/>
    <w:rsid w:val="00DB21DD"/>
    <w:rsid w:val="00DB249A"/>
    <w:rsid w:val="00DB24B5"/>
    <w:rsid w:val="00DB2898"/>
    <w:rsid w:val="00DB2A12"/>
    <w:rsid w:val="00DB2AAD"/>
    <w:rsid w:val="00DB2AF3"/>
    <w:rsid w:val="00DB2BEC"/>
    <w:rsid w:val="00DB2F4A"/>
    <w:rsid w:val="00DB36DF"/>
    <w:rsid w:val="00DB3723"/>
    <w:rsid w:val="00DB3A96"/>
    <w:rsid w:val="00DB3BAA"/>
    <w:rsid w:val="00DB3C64"/>
    <w:rsid w:val="00DB3C8A"/>
    <w:rsid w:val="00DB3CFE"/>
    <w:rsid w:val="00DB4259"/>
    <w:rsid w:val="00DB4276"/>
    <w:rsid w:val="00DB4367"/>
    <w:rsid w:val="00DB44F9"/>
    <w:rsid w:val="00DB4758"/>
    <w:rsid w:val="00DB480D"/>
    <w:rsid w:val="00DB48FD"/>
    <w:rsid w:val="00DB4971"/>
    <w:rsid w:val="00DB4B3F"/>
    <w:rsid w:val="00DB5650"/>
    <w:rsid w:val="00DB5B23"/>
    <w:rsid w:val="00DB5ED8"/>
    <w:rsid w:val="00DB63F7"/>
    <w:rsid w:val="00DB6674"/>
    <w:rsid w:val="00DB67EB"/>
    <w:rsid w:val="00DB6AC7"/>
    <w:rsid w:val="00DB6CAA"/>
    <w:rsid w:val="00DB6CAB"/>
    <w:rsid w:val="00DB71B5"/>
    <w:rsid w:val="00DB7287"/>
    <w:rsid w:val="00DB73D0"/>
    <w:rsid w:val="00DB74A5"/>
    <w:rsid w:val="00DB74F5"/>
    <w:rsid w:val="00DB7775"/>
    <w:rsid w:val="00DB7831"/>
    <w:rsid w:val="00DB78D4"/>
    <w:rsid w:val="00DB79D9"/>
    <w:rsid w:val="00DB79E4"/>
    <w:rsid w:val="00DB7A15"/>
    <w:rsid w:val="00DB7B19"/>
    <w:rsid w:val="00DB7E11"/>
    <w:rsid w:val="00DB7FAF"/>
    <w:rsid w:val="00DC00A8"/>
    <w:rsid w:val="00DC0200"/>
    <w:rsid w:val="00DC03E0"/>
    <w:rsid w:val="00DC0883"/>
    <w:rsid w:val="00DC091E"/>
    <w:rsid w:val="00DC093F"/>
    <w:rsid w:val="00DC149F"/>
    <w:rsid w:val="00DC1905"/>
    <w:rsid w:val="00DC1BF6"/>
    <w:rsid w:val="00DC1DC9"/>
    <w:rsid w:val="00DC214E"/>
    <w:rsid w:val="00DC2180"/>
    <w:rsid w:val="00DC2249"/>
    <w:rsid w:val="00DC2377"/>
    <w:rsid w:val="00DC24FF"/>
    <w:rsid w:val="00DC2645"/>
    <w:rsid w:val="00DC2CB6"/>
    <w:rsid w:val="00DC315A"/>
    <w:rsid w:val="00DC32FC"/>
    <w:rsid w:val="00DC3542"/>
    <w:rsid w:val="00DC363E"/>
    <w:rsid w:val="00DC3964"/>
    <w:rsid w:val="00DC3E30"/>
    <w:rsid w:val="00DC3FE6"/>
    <w:rsid w:val="00DC406C"/>
    <w:rsid w:val="00DC4131"/>
    <w:rsid w:val="00DC4393"/>
    <w:rsid w:val="00DC44D8"/>
    <w:rsid w:val="00DC47B9"/>
    <w:rsid w:val="00DC4B4F"/>
    <w:rsid w:val="00DC507B"/>
    <w:rsid w:val="00DC5101"/>
    <w:rsid w:val="00DC53CD"/>
    <w:rsid w:val="00DC5578"/>
    <w:rsid w:val="00DC5858"/>
    <w:rsid w:val="00DC58C6"/>
    <w:rsid w:val="00DC5C50"/>
    <w:rsid w:val="00DC5EA7"/>
    <w:rsid w:val="00DC6076"/>
    <w:rsid w:val="00DC60E7"/>
    <w:rsid w:val="00DC60F3"/>
    <w:rsid w:val="00DC6178"/>
    <w:rsid w:val="00DC618F"/>
    <w:rsid w:val="00DC61EE"/>
    <w:rsid w:val="00DC6339"/>
    <w:rsid w:val="00DC66CE"/>
    <w:rsid w:val="00DC66F9"/>
    <w:rsid w:val="00DC679C"/>
    <w:rsid w:val="00DC6B5F"/>
    <w:rsid w:val="00DC6C99"/>
    <w:rsid w:val="00DC6D89"/>
    <w:rsid w:val="00DC716C"/>
    <w:rsid w:val="00DC7463"/>
    <w:rsid w:val="00DC753D"/>
    <w:rsid w:val="00DC75A5"/>
    <w:rsid w:val="00DC765F"/>
    <w:rsid w:val="00DC77EB"/>
    <w:rsid w:val="00DC784E"/>
    <w:rsid w:val="00DD002E"/>
    <w:rsid w:val="00DD009C"/>
    <w:rsid w:val="00DD04E4"/>
    <w:rsid w:val="00DD0550"/>
    <w:rsid w:val="00DD06C9"/>
    <w:rsid w:val="00DD0970"/>
    <w:rsid w:val="00DD0C09"/>
    <w:rsid w:val="00DD102C"/>
    <w:rsid w:val="00DD10D5"/>
    <w:rsid w:val="00DD10E5"/>
    <w:rsid w:val="00DD1125"/>
    <w:rsid w:val="00DD11A9"/>
    <w:rsid w:val="00DD11B7"/>
    <w:rsid w:val="00DD1329"/>
    <w:rsid w:val="00DD13DE"/>
    <w:rsid w:val="00DD1544"/>
    <w:rsid w:val="00DD1683"/>
    <w:rsid w:val="00DD1740"/>
    <w:rsid w:val="00DD19B8"/>
    <w:rsid w:val="00DD1B09"/>
    <w:rsid w:val="00DD1EB3"/>
    <w:rsid w:val="00DD1EED"/>
    <w:rsid w:val="00DD23E6"/>
    <w:rsid w:val="00DD24ED"/>
    <w:rsid w:val="00DD2597"/>
    <w:rsid w:val="00DD26EC"/>
    <w:rsid w:val="00DD283A"/>
    <w:rsid w:val="00DD2885"/>
    <w:rsid w:val="00DD29C1"/>
    <w:rsid w:val="00DD2FFB"/>
    <w:rsid w:val="00DD3023"/>
    <w:rsid w:val="00DD3164"/>
    <w:rsid w:val="00DD3316"/>
    <w:rsid w:val="00DD3365"/>
    <w:rsid w:val="00DD34CA"/>
    <w:rsid w:val="00DD36FC"/>
    <w:rsid w:val="00DD3EA8"/>
    <w:rsid w:val="00DD3EBF"/>
    <w:rsid w:val="00DD4151"/>
    <w:rsid w:val="00DD4826"/>
    <w:rsid w:val="00DD4C76"/>
    <w:rsid w:val="00DD531E"/>
    <w:rsid w:val="00DD53CF"/>
    <w:rsid w:val="00DD55F4"/>
    <w:rsid w:val="00DD56B1"/>
    <w:rsid w:val="00DD577A"/>
    <w:rsid w:val="00DD57B8"/>
    <w:rsid w:val="00DD5BAB"/>
    <w:rsid w:val="00DD5FAB"/>
    <w:rsid w:val="00DD6581"/>
    <w:rsid w:val="00DD668F"/>
    <w:rsid w:val="00DD6A8A"/>
    <w:rsid w:val="00DD6BE5"/>
    <w:rsid w:val="00DD6D43"/>
    <w:rsid w:val="00DD79DC"/>
    <w:rsid w:val="00DD7BCF"/>
    <w:rsid w:val="00DD7CB6"/>
    <w:rsid w:val="00DD7D94"/>
    <w:rsid w:val="00DD7DAC"/>
    <w:rsid w:val="00DD7FCF"/>
    <w:rsid w:val="00DDCBB1"/>
    <w:rsid w:val="00DDFC47"/>
    <w:rsid w:val="00DE0043"/>
    <w:rsid w:val="00DE007B"/>
    <w:rsid w:val="00DE01F8"/>
    <w:rsid w:val="00DE03B7"/>
    <w:rsid w:val="00DE03D2"/>
    <w:rsid w:val="00DE0469"/>
    <w:rsid w:val="00DE04FB"/>
    <w:rsid w:val="00DE08F9"/>
    <w:rsid w:val="00DE0923"/>
    <w:rsid w:val="00DE09F4"/>
    <w:rsid w:val="00DE0A09"/>
    <w:rsid w:val="00DE0AB9"/>
    <w:rsid w:val="00DE0CCB"/>
    <w:rsid w:val="00DE0F53"/>
    <w:rsid w:val="00DE10E3"/>
    <w:rsid w:val="00DE12CD"/>
    <w:rsid w:val="00DE15E7"/>
    <w:rsid w:val="00DE15FF"/>
    <w:rsid w:val="00DE1872"/>
    <w:rsid w:val="00DE187C"/>
    <w:rsid w:val="00DE19AA"/>
    <w:rsid w:val="00DE1DAF"/>
    <w:rsid w:val="00DE1E27"/>
    <w:rsid w:val="00DE1F56"/>
    <w:rsid w:val="00DE2112"/>
    <w:rsid w:val="00DE2159"/>
    <w:rsid w:val="00DE21EE"/>
    <w:rsid w:val="00DE23F9"/>
    <w:rsid w:val="00DE2562"/>
    <w:rsid w:val="00DE2882"/>
    <w:rsid w:val="00DE28CE"/>
    <w:rsid w:val="00DE2CB8"/>
    <w:rsid w:val="00DE2EAF"/>
    <w:rsid w:val="00DE33BA"/>
    <w:rsid w:val="00DE3488"/>
    <w:rsid w:val="00DE35A5"/>
    <w:rsid w:val="00DE389A"/>
    <w:rsid w:val="00DE3A18"/>
    <w:rsid w:val="00DE3C4B"/>
    <w:rsid w:val="00DE3EF5"/>
    <w:rsid w:val="00DE41CA"/>
    <w:rsid w:val="00DE4573"/>
    <w:rsid w:val="00DE4637"/>
    <w:rsid w:val="00DE46F4"/>
    <w:rsid w:val="00DE4767"/>
    <w:rsid w:val="00DE4A64"/>
    <w:rsid w:val="00DE4D09"/>
    <w:rsid w:val="00DE4D2D"/>
    <w:rsid w:val="00DE54BD"/>
    <w:rsid w:val="00DE54E8"/>
    <w:rsid w:val="00DE554D"/>
    <w:rsid w:val="00DE561E"/>
    <w:rsid w:val="00DE57C9"/>
    <w:rsid w:val="00DE5AE3"/>
    <w:rsid w:val="00DE5C91"/>
    <w:rsid w:val="00DE5CD9"/>
    <w:rsid w:val="00DE6101"/>
    <w:rsid w:val="00DE6609"/>
    <w:rsid w:val="00DE66EA"/>
    <w:rsid w:val="00DE766F"/>
    <w:rsid w:val="00DE781A"/>
    <w:rsid w:val="00DE79F8"/>
    <w:rsid w:val="00DE7A9A"/>
    <w:rsid w:val="00DF012A"/>
    <w:rsid w:val="00DF015B"/>
    <w:rsid w:val="00DF0289"/>
    <w:rsid w:val="00DF0DA7"/>
    <w:rsid w:val="00DF1075"/>
    <w:rsid w:val="00DF10BE"/>
    <w:rsid w:val="00DF1192"/>
    <w:rsid w:val="00DF1441"/>
    <w:rsid w:val="00DF15E2"/>
    <w:rsid w:val="00DF1881"/>
    <w:rsid w:val="00DF1B6A"/>
    <w:rsid w:val="00DF1BA0"/>
    <w:rsid w:val="00DF1D51"/>
    <w:rsid w:val="00DF217A"/>
    <w:rsid w:val="00DF22E8"/>
    <w:rsid w:val="00DF2352"/>
    <w:rsid w:val="00DF24DE"/>
    <w:rsid w:val="00DF25C4"/>
    <w:rsid w:val="00DF2C9A"/>
    <w:rsid w:val="00DF300D"/>
    <w:rsid w:val="00DF35E8"/>
    <w:rsid w:val="00DF37C6"/>
    <w:rsid w:val="00DF382A"/>
    <w:rsid w:val="00DF387A"/>
    <w:rsid w:val="00DF399F"/>
    <w:rsid w:val="00DF3A55"/>
    <w:rsid w:val="00DF3AD0"/>
    <w:rsid w:val="00DF3AFC"/>
    <w:rsid w:val="00DF3D38"/>
    <w:rsid w:val="00DF3D50"/>
    <w:rsid w:val="00DF40C5"/>
    <w:rsid w:val="00DF44E6"/>
    <w:rsid w:val="00DF47B2"/>
    <w:rsid w:val="00DF4925"/>
    <w:rsid w:val="00DF4C76"/>
    <w:rsid w:val="00DF4CDB"/>
    <w:rsid w:val="00DF4E75"/>
    <w:rsid w:val="00DF4FD3"/>
    <w:rsid w:val="00DF509E"/>
    <w:rsid w:val="00DF50CC"/>
    <w:rsid w:val="00DF5259"/>
    <w:rsid w:val="00DF526E"/>
    <w:rsid w:val="00DF574D"/>
    <w:rsid w:val="00DF57A1"/>
    <w:rsid w:val="00DF57BC"/>
    <w:rsid w:val="00DF5A3A"/>
    <w:rsid w:val="00DF5B60"/>
    <w:rsid w:val="00DF5C75"/>
    <w:rsid w:val="00DF5CF4"/>
    <w:rsid w:val="00DF5ECD"/>
    <w:rsid w:val="00DF6062"/>
    <w:rsid w:val="00DF626B"/>
    <w:rsid w:val="00DF6674"/>
    <w:rsid w:val="00DF692B"/>
    <w:rsid w:val="00DF6B4B"/>
    <w:rsid w:val="00DF6B96"/>
    <w:rsid w:val="00DF6CD5"/>
    <w:rsid w:val="00DF70FA"/>
    <w:rsid w:val="00DF72EE"/>
    <w:rsid w:val="00DF7470"/>
    <w:rsid w:val="00DF7567"/>
    <w:rsid w:val="00DF769F"/>
    <w:rsid w:val="00DF76BA"/>
    <w:rsid w:val="00DF7723"/>
    <w:rsid w:val="00DF7783"/>
    <w:rsid w:val="00DF77EE"/>
    <w:rsid w:val="00DF7947"/>
    <w:rsid w:val="00DF7D15"/>
    <w:rsid w:val="00DF7EBF"/>
    <w:rsid w:val="00DF7F36"/>
    <w:rsid w:val="00E00371"/>
    <w:rsid w:val="00E0044E"/>
    <w:rsid w:val="00E0049D"/>
    <w:rsid w:val="00E00550"/>
    <w:rsid w:val="00E00761"/>
    <w:rsid w:val="00E008E6"/>
    <w:rsid w:val="00E0097B"/>
    <w:rsid w:val="00E00CED"/>
    <w:rsid w:val="00E00E21"/>
    <w:rsid w:val="00E00E27"/>
    <w:rsid w:val="00E00EA0"/>
    <w:rsid w:val="00E00FD0"/>
    <w:rsid w:val="00E00FD4"/>
    <w:rsid w:val="00E00FEC"/>
    <w:rsid w:val="00E01038"/>
    <w:rsid w:val="00E010E6"/>
    <w:rsid w:val="00E01249"/>
    <w:rsid w:val="00E013FB"/>
    <w:rsid w:val="00E015C7"/>
    <w:rsid w:val="00E01639"/>
    <w:rsid w:val="00E01655"/>
    <w:rsid w:val="00E01677"/>
    <w:rsid w:val="00E01B74"/>
    <w:rsid w:val="00E02503"/>
    <w:rsid w:val="00E02A08"/>
    <w:rsid w:val="00E02D81"/>
    <w:rsid w:val="00E02E53"/>
    <w:rsid w:val="00E0346D"/>
    <w:rsid w:val="00E0352F"/>
    <w:rsid w:val="00E035DF"/>
    <w:rsid w:val="00E03DDD"/>
    <w:rsid w:val="00E03ED7"/>
    <w:rsid w:val="00E03FF9"/>
    <w:rsid w:val="00E04049"/>
    <w:rsid w:val="00E0405D"/>
    <w:rsid w:val="00E04069"/>
    <w:rsid w:val="00E0449B"/>
    <w:rsid w:val="00E0452B"/>
    <w:rsid w:val="00E047DB"/>
    <w:rsid w:val="00E047E1"/>
    <w:rsid w:val="00E04C5C"/>
    <w:rsid w:val="00E04CA2"/>
    <w:rsid w:val="00E0503D"/>
    <w:rsid w:val="00E050AA"/>
    <w:rsid w:val="00E051DD"/>
    <w:rsid w:val="00E052B4"/>
    <w:rsid w:val="00E052F0"/>
    <w:rsid w:val="00E05687"/>
    <w:rsid w:val="00E05732"/>
    <w:rsid w:val="00E05930"/>
    <w:rsid w:val="00E06193"/>
    <w:rsid w:val="00E06477"/>
    <w:rsid w:val="00E066D7"/>
    <w:rsid w:val="00E06A81"/>
    <w:rsid w:val="00E06B23"/>
    <w:rsid w:val="00E06C3F"/>
    <w:rsid w:val="00E06C60"/>
    <w:rsid w:val="00E06C79"/>
    <w:rsid w:val="00E06E53"/>
    <w:rsid w:val="00E06FBD"/>
    <w:rsid w:val="00E0715F"/>
    <w:rsid w:val="00E074A3"/>
    <w:rsid w:val="00E07965"/>
    <w:rsid w:val="00E07E38"/>
    <w:rsid w:val="00E07EF0"/>
    <w:rsid w:val="00E100EC"/>
    <w:rsid w:val="00E10414"/>
    <w:rsid w:val="00E104F9"/>
    <w:rsid w:val="00E104FA"/>
    <w:rsid w:val="00E1097F"/>
    <w:rsid w:val="00E10DAD"/>
    <w:rsid w:val="00E11267"/>
    <w:rsid w:val="00E11383"/>
    <w:rsid w:val="00E1154E"/>
    <w:rsid w:val="00E1173E"/>
    <w:rsid w:val="00E11855"/>
    <w:rsid w:val="00E118E1"/>
    <w:rsid w:val="00E11CF9"/>
    <w:rsid w:val="00E1211D"/>
    <w:rsid w:val="00E1219D"/>
    <w:rsid w:val="00E122A3"/>
    <w:rsid w:val="00E12528"/>
    <w:rsid w:val="00E12830"/>
    <w:rsid w:val="00E12B4F"/>
    <w:rsid w:val="00E12E88"/>
    <w:rsid w:val="00E132C4"/>
    <w:rsid w:val="00E13623"/>
    <w:rsid w:val="00E13640"/>
    <w:rsid w:val="00E13900"/>
    <w:rsid w:val="00E13995"/>
    <w:rsid w:val="00E139FE"/>
    <w:rsid w:val="00E13B0F"/>
    <w:rsid w:val="00E13B31"/>
    <w:rsid w:val="00E13BC7"/>
    <w:rsid w:val="00E13F68"/>
    <w:rsid w:val="00E1406E"/>
    <w:rsid w:val="00E140CC"/>
    <w:rsid w:val="00E1452C"/>
    <w:rsid w:val="00E148F7"/>
    <w:rsid w:val="00E14A2E"/>
    <w:rsid w:val="00E14D6E"/>
    <w:rsid w:val="00E14E79"/>
    <w:rsid w:val="00E1517B"/>
    <w:rsid w:val="00E151C5"/>
    <w:rsid w:val="00E1547C"/>
    <w:rsid w:val="00E15541"/>
    <w:rsid w:val="00E15A6B"/>
    <w:rsid w:val="00E15A8F"/>
    <w:rsid w:val="00E15AD1"/>
    <w:rsid w:val="00E15AE2"/>
    <w:rsid w:val="00E15BF7"/>
    <w:rsid w:val="00E15CF7"/>
    <w:rsid w:val="00E15D51"/>
    <w:rsid w:val="00E15F2A"/>
    <w:rsid w:val="00E1610A"/>
    <w:rsid w:val="00E1616B"/>
    <w:rsid w:val="00E162A8"/>
    <w:rsid w:val="00E162E7"/>
    <w:rsid w:val="00E1658F"/>
    <w:rsid w:val="00E1667F"/>
    <w:rsid w:val="00E16772"/>
    <w:rsid w:val="00E16C62"/>
    <w:rsid w:val="00E16D41"/>
    <w:rsid w:val="00E16D5C"/>
    <w:rsid w:val="00E16D6E"/>
    <w:rsid w:val="00E16D8C"/>
    <w:rsid w:val="00E16F23"/>
    <w:rsid w:val="00E16FA8"/>
    <w:rsid w:val="00E1706E"/>
    <w:rsid w:val="00E1711E"/>
    <w:rsid w:val="00E17201"/>
    <w:rsid w:val="00E1750F"/>
    <w:rsid w:val="00E17548"/>
    <w:rsid w:val="00E17626"/>
    <w:rsid w:val="00E17CF4"/>
    <w:rsid w:val="00E17FD0"/>
    <w:rsid w:val="00E20294"/>
    <w:rsid w:val="00E202C3"/>
    <w:rsid w:val="00E20374"/>
    <w:rsid w:val="00E203F7"/>
    <w:rsid w:val="00E20A22"/>
    <w:rsid w:val="00E20BE8"/>
    <w:rsid w:val="00E20ECC"/>
    <w:rsid w:val="00E210DB"/>
    <w:rsid w:val="00E21191"/>
    <w:rsid w:val="00E211FE"/>
    <w:rsid w:val="00E21233"/>
    <w:rsid w:val="00E21358"/>
    <w:rsid w:val="00E215B6"/>
    <w:rsid w:val="00E21E08"/>
    <w:rsid w:val="00E2243F"/>
    <w:rsid w:val="00E224C8"/>
    <w:rsid w:val="00E22597"/>
    <w:rsid w:val="00E22781"/>
    <w:rsid w:val="00E22865"/>
    <w:rsid w:val="00E228DB"/>
    <w:rsid w:val="00E22C8F"/>
    <w:rsid w:val="00E23108"/>
    <w:rsid w:val="00E231D7"/>
    <w:rsid w:val="00E23213"/>
    <w:rsid w:val="00E23562"/>
    <w:rsid w:val="00E235D0"/>
    <w:rsid w:val="00E2387F"/>
    <w:rsid w:val="00E23904"/>
    <w:rsid w:val="00E23D12"/>
    <w:rsid w:val="00E23E07"/>
    <w:rsid w:val="00E24569"/>
    <w:rsid w:val="00E24580"/>
    <w:rsid w:val="00E24630"/>
    <w:rsid w:val="00E2481C"/>
    <w:rsid w:val="00E248BC"/>
    <w:rsid w:val="00E248F7"/>
    <w:rsid w:val="00E2506C"/>
    <w:rsid w:val="00E252B3"/>
    <w:rsid w:val="00E25511"/>
    <w:rsid w:val="00E2552B"/>
    <w:rsid w:val="00E25548"/>
    <w:rsid w:val="00E25565"/>
    <w:rsid w:val="00E25BF9"/>
    <w:rsid w:val="00E25F1A"/>
    <w:rsid w:val="00E26141"/>
    <w:rsid w:val="00E263CB"/>
    <w:rsid w:val="00E26879"/>
    <w:rsid w:val="00E26903"/>
    <w:rsid w:val="00E26A6E"/>
    <w:rsid w:val="00E26AB9"/>
    <w:rsid w:val="00E26EAA"/>
    <w:rsid w:val="00E272BE"/>
    <w:rsid w:val="00E27404"/>
    <w:rsid w:val="00E2757B"/>
    <w:rsid w:val="00E275C1"/>
    <w:rsid w:val="00E2786E"/>
    <w:rsid w:val="00E278B8"/>
    <w:rsid w:val="00E2790D"/>
    <w:rsid w:val="00E27B17"/>
    <w:rsid w:val="00E27BFF"/>
    <w:rsid w:val="00E27D30"/>
    <w:rsid w:val="00E27D60"/>
    <w:rsid w:val="00E27F59"/>
    <w:rsid w:val="00E27FC2"/>
    <w:rsid w:val="00E3000A"/>
    <w:rsid w:val="00E300E2"/>
    <w:rsid w:val="00E30306"/>
    <w:rsid w:val="00E30375"/>
    <w:rsid w:val="00E304B3"/>
    <w:rsid w:val="00E306D9"/>
    <w:rsid w:val="00E30720"/>
    <w:rsid w:val="00E30C1D"/>
    <w:rsid w:val="00E30C8B"/>
    <w:rsid w:val="00E30D19"/>
    <w:rsid w:val="00E30F06"/>
    <w:rsid w:val="00E30F7B"/>
    <w:rsid w:val="00E31251"/>
    <w:rsid w:val="00E314C9"/>
    <w:rsid w:val="00E31614"/>
    <w:rsid w:val="00E31692"/>
    <w:rsid w:val="00E3185F"/>
    <w:rsid w:val="00E31903"/>
    <w:rsid w:val="00E3191B"/>
    <w:rsid w:val="00E3196D"/>
    <w:rsid w:val="00E31B43"/>
    <w:rsid w:val="00E31F49"/>
    <w:rsid w:val="00E31FB5"/>
    <w:rsid w:val="00E32157"/>
    <w:rsid w:val="00E3218C"/>
    <w:rsid w:val="00E321DC"/>
    <w:rsid w:val="00E32355"/>
    <w:rsid w:val="00E324A3"/>
    <w:rsid w:val="00E324C7"/>
    <w:rsid w:val="00E32AC3"/>
    <w:rsid w:val="00E32B45"/>
    <w:rsid w:val="00E330A1"/>
    <w:rsid w:val="00E33358"/>
    <w:rsid w:val="00E33560"/>
    <w:rsid w:val="00E33E1C"/>
    <w:rsid w:val="00E33E33"/>
    <w:rsid w:val="00E3401A"/>
    <w:rsid w:val="00E340D1"/>
    <w:rsid w:val="00E34104"/>
    <w:rsid w:val="00E341BD"/>
    <w:rsid w:val="00E34228"/>
    <w:rsid w:val="00E343B5"/>
    <w:rsid w:val="00E3440D"/>
    <w:rsid w:val="00E345C8"/>
    <w:rsid w:val="00E34707"/>
    <w:rsid w:val="00E34964"/>
    <w:rsid w:val="00E3496B"/>
    <w:rsid w:val="00E34975"/>
    <w:rsid w:val="00E34A22"/>
    <w:rsid w:val="00E34CBA"/>
    <w:rsid w:val="00E35002"/>
    <w:rsid w:val="00E35099"/>
    <w:rsid w:val="00E3513B"/>
    <w:rsid w:val="00E35224"/>
    <w:rsid w:val="00E35255"/>
    <w:rsid w:val="00E3528D"/>
    <w:rsid w:val="00E3592F"/>
    <w:rsid w:val="00E35BFA"/>
    <w:rsid w:val="00E362AE"/>
    <w:rsid w:val="00E3649F"/>
    <w:rsid w:val="00E366C4"/>
    <w:rsid w:val="00E370AD"/>
    <w:rsid w:val="00E37268"/>
    <w:rsid w:val="00E37336"/>
    <w:rsid w:val="00E374F7"/>
    <w:rsid w:val="00E3756E"/>
    <w:rsid w:val="00E37597"/>
    <w:rsid w:val="00E37817"/>
    <w:rsid w:val="00E37AB5"/>
    <w:rsid w:val="00E37D64"/>
    <w:rsid w:val="00E400A3"/>
    <w:rsid w:val="00E40369"/>
    <w:rsid w:val="00E40B69"/>
    <w:rsid w:val="00E40BC7"/>
    <w:rsid w:val="00E40E97"/>
    <w:rsid w:val="00E413E9"/>
    <w:rsid w:val="00E4173D"/>
    <w:rsid w:val="00E417AB"/>
    <w:rsid w:val="00E41EAA"/>
    <w:rsid w:val="00E41F30"/>
    <w:rsid w:val="00E42102"/>
    <w:rsid w:val="00E422C9"/>
    <w:rsid w:val="00E42545"/>
    <w:rsid w:val="00E429FA"/>
    <w:rsid w:val="00E42C92"/>
    <w:rsid w:val="00E42D7C"/>
    <w:rsid w:val="00E42DBD"/>
    <w:rsid w:val="00E42FFE"/>
    <w:rsid w:val="00E430FC"/>
    <w:rsid w:val="00E43764"/>
    <w:rsid w:val="00E4377A"/>
    <w:rsid w:val="00E439ED"/>
    <w:rsid w:val="00E43B29"/>
    <w:rsid w:val="00E43CB0"/>
    <w:rsid w:val="00E43E61"/>
    <w:rsid w:val="00E440AA"/>
    <w:rsid w:val="00E442BC"/>
    <w:rsid w:val="00E443DC"/>
    <w:rsid w:val="00E44508"/>
    <w:rsid w:val="00E44583"/>
    <w:rsid w:val="00E4477A"/>
    <w:rsid w:val="00E44B37"/>
    <w:rsid w:val="00E44B4C"/>
    <w:rsid w:val="00E44D4F"/>
    <w:rsid w:val="00E451DD"/>
    <w:rsid w:val="00E456C9"/>
    <w:rsid w:val="00E45858"/>
    <w:rsid w:val="00E45937"/>
    <w:rsid w:val="00E459D9"/>
    <w:rsid w:val="00E45AA6"/>
    <w:rsid w:val="00E45C59"/>
    <w:rsid w:val="00E45C5F"/>
    <w:rsid w:val="00E46482"/>
    <w:rsid w:val="00E46830"/>
    <w:rsid w:val="00E46AC5"/>
    <w:rsid w:val="00E46F95"/>
    <w:rsid w:val="00E4705B"/>
    <w:rsid w:val="00E472D9"/>
    <w:rsid w:val="00E4731F"/>
    <w:rsid w:val="00E47411"/>
    <w:rsid w:val="00E474FC"/>
    <w:rsid w:val="00E47648"/>
    <w:rsid w:val="00E47915"/>
    <w:rsid w:val="00E47925"/>
    <w:rsid w:val="00E47D68"/>
    <w:rsid w:val="00E47E20"/>
    <w:rsid w:val="00E4F87D"/>
    <w:rsid w:val="00E5004F"/>
    <w:rsid w:val="00E503A3"/>
    <w:rsid w:val="00E506D8"/>
    <w:rsid w:val="00E50981"/>
    <w:rsid w:val="00E509B9"/>
    <w:rsid w:val="00E50BD4"/>
    <w:rsid w:val="00E51125"/>
    <w:rsid w:val="00E51222"/>
    <w:rsid w:val="00E5145F"/>
    <w:rsid w:val="00E51644"/>
    <w:rsid w:val="00E516A7"/>
    <w:rsid w:val="00E51945"/>
    <w:rsid w:val="00E51B94"/>
    <w:rsid w:val="00E51DCE"/>
    <w:rsid w:val="00E52281"/>
    <w:rsid w:val="00E523DF"/>
    <w:rsid w:val="00E52425"/>
    <w:rsid w:val="00E524D7"/>
    <w:rsid w:val="00E52655"/>
    <w:rsid w:val="00E52737"/>
    <w:rsid w:val="00E52902"/>
    <w:rsid w:val="00E52B09"/>
    <w:rsid w:val="00E52F6B"/>
    <w:rsid w:val="00E530CC"/>
    <w:rsid w:val="00E530E5"/>
    <w:rsid w:val="00E532EC"/>
    <w:rsid w:val="00E538F1"/>
    <w:rsid w:val="00E539E0"/>
    <w:rsid w:val="00E53B29"/>
    <w:rsid w:val="00E53BFD"/>
    <w:rsid w:val="00E53E9C"/>
    <w:rsid w:val="00E54083"/>
    <w:rsid w:val="00E545F7"/>
    <w:rsid w:val="00E54AAF"/>
    <w:rsid w:val="00E54C66"/>
    <w:rsid w:val="00E54DD6"/>
    <w:rsid w:val="00E54E11"/>
    <w:rsid w:val="00E55187"/>
    <w:rsid w:val="00E555AF"/>
    <w:rsid w:val="00E557F9"/>
    <w:rsid w:val="00E55988"/>
    <w:rsid w:val="00E55DAD"/>
    <w:rsid w:val="00E55F67"/>
    <w:rsid w:val="00E56162"/>
    <w:rsid w:val="00E5620B"/>
    <w:rsid w:val="00E564E4"/>
    <w:rsid w:val="00E567FB"/>
    <w:rsid w:val="00E56A0A"/>
    <w:rsid w:val="00E56CD5"/>
    <w:rsid w:val="00E56E54"/>
    <w:rsid w:val="00E56EAC"/>
    <w:rsid w:val="00E56F3C"/>
    <w:rsid w:val="00E5703C"/>
    <w:rsid w:val="00E57086"/>
    <w:rsid w:val="00E57273"/>
    <w:rsid w:val="00E57651"/>
    <w:rsid w:val="00E57965"/>
    <w:rsid w:val="00E579FA"/>
    <w:rsid w:val="00E57D7D"/>
    <w:rsid w:val="00E57FE6"/>
    <w:rsid w:val="00E6004B"/>
    <w:rsid w:val="00E601A9"/>
    <w:rsid w:val="00E6042A"/>
    <w:rsid w:val="00E606A9"/>
    <w:rsid w:val="00E6078F"/>
    <w:rsid w:val="00E60885"/>
    <w:rsid w:val="00E608A8"/>
    <w:rsid w:val="00E60908"/>
    <w:rsid w:val="00E60B8A"/>
    <w:rsid w:val="00E610A0"/>
    <w:rsid w:val="00E61413"/>
    <w:rsid w:val="00E61668"/>
    <w:rsid w:val="00E61B7F"/>
    <w:rsid w:val="00E61BA4"/>
    <w:rsid w:val="00E61CBD"/>
    <w:rsid w:val="00E61D34"/>
    <w:rsid w:val="00E61D77"/>
    <w:rsid w:val="00E61EA8"/>
    <w:rsid w:val="00E61F67"/>
    <w:rsid w:val="00E6219C"/>
    <w:rsid w:val="00E62201"/>
    <w:rsid w:val="00E625BB"/>
    <w:rsid w:val="00E62A4A"/>
    <w:rsid w:val="00E62C8E"/>
    <w:rsid w:val="00E62E2F"/>
    <w:rsid w:val="00E62EA8"/>
    <w:rsid w:val="00E62F62"/>
    <w:rsid w:val="00E62F84"/>
    <w:rsid w:val="00E633B8"/>
    <w:rsid w:val="00E63447"/>
    <w:rsid w:val="00E637BA"/>
    <w:rsid w:val="00E63872"/>
    <w:rsid w:val="00E638BE"/>
    <w:rsid w:val="00E63A6B"/>
    <w:rsid w:val="00E63D1F"/>
    <w:rsid w:val="00E64312"/>
    <w:rsid w:val="00E643F1"/>
    <w:rsid w:val="00E64801"/>
    <w:rsid w:val="00E648BA"/>
    <w:rsid w:val="00E650AF"/>
    <w:rsid w:val="00E650B2"/>
    <w:rsid w:val="00E65135"/>
    <w:rsid w:val="00E65139"/>
    <w:rsid w:val="00E6513F"/>
    <w:rsid w:val="00E652AF"/>
    <w:rsid w:val="00E652BF"/>
    <w:rsid w:val="00E65A96"/>
    <w:rsid w:val="00E65B77"/>
    <w:rsid w:val="00E65F66"/>
    <w:rsid w:val="00E65F90"/>
    <w:rsid w:val="00E6601D"/>
    <w:rsid w:val="00E6601F"/>
    <w:rsid w:val="00E663C1"/>
    <w:rsid w:val="00E663F3"/>
    <w:rsid w:val="00E66402"/>
    <w:rsid w:val="00E6643F"/>
    <w:rsid w:val="00E66645"/>
    <w:rsid w:val="00E66866"/>
    <w:rsid w:val="00E66A74"/>
    <w:rsid w:val="00E66C20"/>
    <w:rsid w:val="00E66C56"/>
    <w:rsid w:val="00E66CC8"/>
    <w:rsid w:val="00E66D22"/>
    <w:rsid w:val="00E66DEE"/>
    <w:rsid w:val="00E671DF"/>
    <w:rsid w:val="00E67243"/>
    <w:rsid w:val="00E67370"/>
    <w:rsid w:val="00E6737F"/>
    <w:rsid w:val="00E673E2"/>
    <w:rsid w:val="00E67426"/>
    <w:rsid w:val="00E675D1"/>
    <w:rsid w:val="00E67855"/>
    <w:rsid w:val="00E678C2"/>
    <w:rsid w:val="00E67A71"/>
    <w:rsid w:val="00E67E56"/>
    <w:rsid w:val="00E67EF8"/>
    <w:rsid w:val="00E69B5B"/>
    <w:rsid w:val="00E701F7"/>
    <w:rsid w:val="00E7038A"/>
    <w:rsid w:val="00E704BE"/>
    <w:rsid w:val="00E7073E"/>
    <w:rsid w:val="00E708A8"/>
    <w:rsid w:val="00E70936"/>
    <w:rsid w:val="00E70C5F"/>
    <w:rsid w:val="00E70CC4"/>
    <w:rsid w:val="00E70D82"/>
    <w:rsid w:val="00E70F0F"/>
    <w:rsid w:val="00E70F26"/>
    <w:rsid w:val="00E70F39"/>
    <w:rsid w:val="00E71944"/>
    <w:rsid w:val="00E71B91"/>
    <w:rsid w:val="00E71C6D"/>
    <w:rsid w:val="00E71C91"/>
    <w:rsid w:val="00E71F1E"/>
    <w:rsid w:val="00E72087"/>
    <w:rsid w:val="00E72178"/>
    <w:rsid w:val="00E7221C"/>
    <w:rsid w:val="00E7225D"/>
    <w:rsid w:val="00E723B6"/>
    <w:rsid w:val="00E726C9"/>
    <w:rsid w:val="00E72C0C"/>
    <w:rsid w:val="00E72DA0"/>
    <w:rsid w:val="00E72E4B"/>
    <w:rsid w:val="00E73198"/>
    <w:rsid w:val="00E731E4"/>
    <w:rsid w:val="00E73232"/>
    <w:rsid w:val="00E73745"/>
    <w:rsid w:val="00E73EFE"/>
    <w:rsid w:val="00E742A4"/>
    <w:rsid w:val="00E74631"/>
    <w:rsid w:val="00E749BE"/>
    <w:rsid w:val="00E74A99"/>
    <w:rsid w:val="00E7512E"/>
    <w:rsid w:val="00E7579C"/>
    <w:rsid w:val="00E75A5B"/>
    <w:rsid w:val="00E75D33"/>
    <w:rsid w:val="00E75EFA"/>
    <w:rsid w:val="00E75F55"/>
    <w:rsid w:val="00E762F6"/>
    <w:rsid w:val="00E769EC"/>
    <w:rsid w:val="00E76C23"/>
    <w:rsid w:val="00E76ED5"/>
    <w:rsid w:val="00E76FA0"/>
    <w:rsid w:val="00E7702C"/>
    <w:rsid w:val="00E770CB"/>
    <w:rsid w:val="00E7714B"/>
    <w:rsid w:val="00E77186"/>
    <w:rsid w:val="00E772A9"/>
    <w:rsid w:val="00E77539"/>
    <w:rsid w:val="00E778B0"/>
    <w:rsid w:val="00E77AAC"/>
    <w:rsid w:val="00E77AD7"/>
    <w:rsid w:val="00E801E9"/>
    <w:rsid w:val="00E802F8"/>
    <w:rsid w:val="00E803F8"/>
    <w:rsid w:val="00E804E2"/>
    <w:rsid w:val="00E80A9F"/>
    <w:rsid w:val="00E80DF7"/>
    <w:rsid w:val="00E80E43"/>
    <w:rsid w:val="00E80F69"/>
    <w:rsid w:val="00E81175"/>
    <w:rsid w:val="00E813A2"/>
    <w:rsid w:val="00E8157F"/>
    <w:rsid w:val="00E8175D"/>
    <w:rsid w:val="00E81BDF"/>
    <w:rsid w:val="00E81CB6"/>
    <w:rsid w:val="00E81E3B"/>
    <w:rsid w:val="00E820B2"/>
    <w:rsid w:val="00E826DC"/>
    <w:rsid w:val="00E83058"/>
    <w:rsid w:val="00E8357C"/>
    <w:rsid w:val="00E83660"/>
    <w:rsid w:val="00E83C29"/>
    <w:rsid w:val="00E83E55"/>
    <w:rsid w:val="00E842A2"/>
    <w:rsid w:val="00E847AD"/>
    <w:rsid w:val="00E847ED"/>
    <w:rsid w:val="00E84851"/>
    <w:rsid w:val="00E84B2C"/>
    <w:rsid w:val="00E84B4B"/>
    <w:rsid w:val="00E84C00"/>
    <w:rsid w:val="00E84C63"/>
    <w:rsid w:val="00E84C70"/>
    <w:rsid w:val="00E84CA7"/>
    <w:rsid w:val="00E84DCD"/>
    <w:rsid w:val="00E8516E"/>
    <w:rsid w:val="00E85241"/>
    <w:rsid w:val="00E85282"/>
    <w:rsid w:val="00E8530F"/>
    <w:rsid w:val="00E853B8"/>
    <w:rsid w:val="00E857D8"/>
    <w:rsid w:val="00E85929"/>
    <w:rsid w:val="00E8599B"/>
    <w:rsid w:val="00E859A4"/>
    <w:rsid w:val="00E85F84"/>
    <w:rsid w:val="00E860AA"/>
    <w:rsid w:val="00E860B9"/>
    <w:rsid w:val="00E860F7"/>
    <w:rsid w:val="00E8610C"/>
    <w:rsid w:val="00E863A7"/>
    <w:rsid w:val="00E865FE"/>
    <w:rsid w:val="00E866A9"/>
    <w:rsid w:val="00E86976"/>
    <w:rsid w:val="00E86EE1"/>
    <w:rsid w:val="00E871E1"/>
    <w:rsid w:val="00E874D2"/>
    <w:rsid w:val="00E87566"/>
    <w:rsid w:val="00E87593"/>
    <w:rsid w:val="00E87631"/>
    <w:rsid w:val="00E876B5"/>
    <w:rsid w:val="00E87AE5"/>
    <w:rsid w:val="00E87C28"/>
    <w:rsid w:val="00E90096"/>
    <w:rsid w:val="00E9018B"/>
    <w:rsid w:val="00E901F6"/>
    <w:rsid w:val="00E90437"/>
    <w:rsid w:val="00E90676"/>
    <w:rsid w:val="00E9083E"/>
    <w:rsid w:val="00E90B0D"/>
    <w:rsid w:val="00E90B8F"/>
    <w:rsid w:val="00E90EA5"/>
    <w:rsid w:val="00E90FE1"/>
    <w:rsid w:val="00E91230"/>
    <w:rsid w:val="00E91242"/>
    <w:rsid w:val="00E9186A"/>
    <w:rsid w:val="00E91871"/>
    <w:rsid w:val="00E91D1C"/>
    <w:rsid w:val="00E91D80"/>
    <w:rsid w:val="00E91E14"/>
    <w:rsid w:val="00E9220C"/>
    <w:rsid w:val="00E92994"/>
    <w:rsid w:val="00E92C52"/>
    <w:rsid w:val="00E92FBE"/>
    <w:rsid w:val="00E93005"/>
    <w:rsid w:val="00E9368B"/>
    <w:rsid w:val="00E93A79"/>
    <w:rsid w:val="00E93E04"/>
    <w:rsid w:val="00E93EF1"/>
    <w:rsid w:val="00E93F26"/>
    <w:rsid w:val="00E94669"/>
    <w:rsid w:val="00E94910"/>
    <w:rsid w:val="00E94B5D"/>
    <w:rsid w:val="00E94EA1"/>
    <w:rsid w:val="00E950B7"/>
    <w:rsid w:val="00E950FB"/>
    <w:rsid w:val="00E953FC"/>
    <w:rsid w:val="00E95B01"/>
    <w:rsid w:val="00E95B1B"/>
    <w:rsid w:val="00E95C43"/>
    <w:rsid w:val="00E95DA7"/>
    <w:rsid w:val="00E95DEA"/>
    <w:rsid w:val="00E9618F"/>
    <w:rsid w:val="00E96AC0"/>
    <w:rsid w:val="00E96BCF"/>
    <w:rsid w:val="00E96C0F"/>
    <w:rsid w:val="00E96CCA"/>
    <w:rsid w:val="00E9723C"/>
    <w:rsid w:val="00E97591"/>
    <w:rsid w:val="00E97621"/>
    <w:rsid w:val="00E97A93"/>
    <w:rsid w:val="00E97B72"/>
    <w:rsid w:val="00EA02DF"/>
    <w:rsid w:val="00EA05CA"/>
    <w:rsid w:val="00EA069E"/>
    <w:rsid w:val="00EA06B4"/>
    <w:rsid w:val="00EA0A9A"/>
    <w:rsid w:val="00EA111C"/>
    <w:rsid w:val="00EA12B3"/>
    <w:rsid w:val="00EA1EFA"/>
    <w:rsid w:val="00EA2017"/>
    <w:rsid w:val="00EA20DB"/>
    <w:rsid w:val="00EA224B"/>
    <w:rsid w:val="00EA2576"/>
    <w:rsid w:val="00EA2601"/>
    <w:rsid w:val="00EA275A"/>
    <w:rsid w:val="00EA27AA"/>
    <w:rsid w:val="00EA28CA"/>
    <w:rsid w:val="00EA2961"/>
    <w:rsid w:val="00EA2962"/>
    <w:rsid w:val="00EA2AD9"/>
    <w:rsid w:val="00EA2BB7"/>
    <w:rsid w:val="00EA2C2E"/>
    <w:rsid w:val="00EA2CAD"/>
    <w:rsid w:val="00EA3290"/>
    <w:rsid w:val="00EA3727"/>
    <w:rsid w:val="00EA38B1"/>
    <w:rsid w:val="00EA3DB1"/>
    <w:rsid w:val="00EA45F1"/>
    <w:rsid w:val="00EA4A34"/>
    <w:rsid w:val="00EA4ADA"/>
    <w:rsid w:val="00EA4AF8"/>
    <w:rsid w:val="00EA4B18"/>
    <w:rsid w:val="00EA4C82"/>
    <w:rsid w:val="00EA4E8B"/>
    <w:rsid w:val="00EA4F8A"/>
    <w:rsid w:val="00EA4FAE"/>
    <w:rsid w:val="00EA5385"/>
    <w:rsid w:val="00EA53A5"/>
    <w:rsid w:val="00EA59A6"/>
    <w:rsid w:val="00EA5A22"/>
    <w:rsid w:val="00EA5AFD"/>
    <w:rsid w:val="00EA5B72"/>
    <w:rsid w:val="00EA5BB7"/>
    <w:rsid w:val="00EA5EC5"/>
    <w:rsid w:val="00EA60DD"/>
    <w:rsid w:val="00EA61CA"/>
    <w:rsid w:val="00EA61D9"/>
    <w:rsid w:val="00EA6455"/>
    <w:rsid w:val="00EA65A1"/>
    <w:rsid w:val="00EA6AA6"/>
    <w:rsid w:val="00EA6BA9"/>
    <w:rsid w:val="00EA77BA"/>
    <w:rsid w:val="00EA7AFA"/>
    <w:rsid w:val="00EA7B47"/>
    <w:rsid w:val="00EA7C0A"/>
    <w:rsid w:val="00EA7F9A"/>
    <w:rsid w:val="00EAC2CF"/>
    <w:rsid w:val="00EB038B"/>
    <w:rsid w:val="00EB03BF"/>
    <w:rsid w:val="00EB04FE"/>
    <w:rsid w:val="00EB08E7"/>
    <w:rsid w:val="00EB0E79"/>
    <w:rsid w:val="00EB1207"/>
    <w:rsid w:val="00EB184D"/>
    <w:rsid w:val="00EB1BC6"/>
    <w:rsid w:val="00EB1DD3"/>
    <w:rsid w:val="00EB1EB5"/>
    <w:rsid w:val="00EB1EE4"/>
    <w:rsid w:val="00EB1EF5"/>
    <w:rsid w:val="00EB1F7C"/>
    <w:rsid w:val="00EB2017"/>
    <w:rsid w:val="00EB20FC"/>
    <w:rsid w:val="00EB237E"/>
    <w:rsid w:val="00EB27A7"/>
    <w:rsid w:val="00EB3057"/>
    <w:rsid w:val="00EB34FD"/>
    <w:rsid w:val="00EB3565"/>
    <w:rsid w:val="00EB35A2"/>
    <w:rsid w:val="00EB3820"/>
    <w:rsid w:val="00EB3917"/>
    <w:rsid w:val="00EB39FB"/>
    <w:rsid w:val="00EB3A41"/>
    <w:rsid w:val="00EB3A74"/>
    <w:rsid w:val="00EB4006"/>
    <w:rsid w:val="00EB41BA"/>
    <w:rsid w:val="00EB45F9"/>
    <w:rsid w:val="00EB5205"/>
    <w:rsid w:val="00EB52DE"/>
    <w:rsid w:val="00EB5479"/>
    <w:rsid w:val="00EB5673"/>
    <w:rsid w:val="00EB5E4A"/>
    <w:rsid w:val="00EB5E59"/>
    <w:rsid w:val="00EB6065"/>
    <w:rsid w:val="00EB61D2"/>
    <w:rsid w:val="00EB62A6"/>
    <w:rsid w:val="00EB6455"/>
    <w:rsid w:val="00EB65FB"/>
    <w:rsid w:val="00EB6AB5"/>
    <w:rsid w:val="00EB6CB5"/>
    <w:rsid w:val="00EB6E56"/>
    <w:rsid w:val="00EB6F51"/>
    <w:rsid w:val="00EB6F67"/>
    <w:rsid w:val="00EB71DD"/>
    <w:rsid w:val="00EB724B"/>
    <w:rsid w:val="00EB72E2"/>
    <w:rsid w:val="00EB76BB"/>
    <w:rsid w:val="00EB77E4"/>
    <w:rsid w:val="00EB78FA"/>
    <w:rsid w:val="00EB7A8B"/>
    <w:rsid w:val="00EB7DB7"/>
    <w:rsid w:val="00EB7FD9"/>
    <w:rsid w:val="00EC02A5"/>
    <w:rsid w:val="00EC0626"/>
    <w:rsid w:val="00EC0627"/>
    <w:rsid w:val="00EC0C55"/>
    <w:rsid w:val="00EC1230"/>
    <w:rsid w:val="00EC1AA4"/>
    <w:rsid w:val="00EC1ACA"/>
    <w:rsid w:val="00EC1EB0"/>
    <w:rsid w:val="00EC224F"/>
    <w:rsid w:val="00EC267E"/>
    <w:rsid w:val="00EC278D"/>
    <w:rsid w:val="00EC27D4"/>
    <w:rsid w:val="00EC2B0F"/>
    <w:rsid w:val="00EC2B7C"/>
    <w:rsid w:val="00EC2BFB"/>
    <w:rsid w:val="00EC2E74"/>
    <w:rsid w:val="00EC2E84"/>
    <w:rsid w:val="00EC2F12"/>
    <w:rsid w:val="00EC2F39"/>
    <w:rsid w:val="00EC312A"/>
    <w:rsid w:val="00EC3227"/>
    <w:rsid w:val="00EC3465"/>
    <w:rsid w:val="00EC3572"/>
    <w:rsid w:val="00EC35A6"/>
    <w:rsid w:val="00EC3710"/>
    <w:rsid w:val="00EC3973"/>
    <w:rsid w:val="00EC3A7E"/>
    <w:rsid w:val="00EC3C71"/>
    <w:rsid w:val="00EC3D64"/>
    <w:rsid w:val="00EC3E31"/>
    <w:rsid w:val="00EC3F29"/>
    <w:rsid w:val="00EC4051"/>
    <w:rsid w:val="00EC429E"/>
    <w:rsid w:val="00EC4456"/>
    <w:rsid w:val="00EC4F5E"/>
    <w:rsid w:val="00EC533B"/>
    <w:rsid w:val="00EC55AF"/>
    <w:rsid w:val="00EC561F"/>
    <w:rsid w:val="00EC5BE6"/>
    <w:rsid w:val="00EC5CC3"/>
    <w:rsid w:val="00EC5CE7"/>
    <w:rsid w:val="00EC5DC4"/>
    <w:rsid w:val="00EC62CC"/>
    <w:rsid w:val="00EC6350"/>
    <w:rsid w:val="00EC6367"/>
    <w:rsid w:val="00EC65D1"/>
    <w:rsid w:val="00EC6653"/>
    <w:rsid w:val="00EC6722"/>
    <w:rsid w:val="00EC6A74"/>
    <w:rsid w:val="00EC6B8F"/>
    <w:rsid w:val="00EC6E25"/>
    <w:rsid w:val="00EC6ECE"/>
    <w:rsid w:val="00EC6FC1"/>
    <w:rsid w:val="00EC7317"/>
    <w:rsid w:val="00EC77BB"/>
    <w:rsid w:val="00EC78E7"/>
    <w:rsid w:val="00EC7B38"/>
    <w:rsid w:val="00EC7B86"/>
    <w:rsid w:val="00EC7BA9"/>
    <w:rsid w:val="00EC7BD1"/>
    <w:rsid w:val="00EC7C79"/>
    <w:rsid w:val="00EC7CA2"/>
    <w:rsid w:val="00EC7E5E"/>
    <w:rsid w:val="00EC7ECF"/>
    <w:rsid w:val="00EC7EE5"/>
    <w:rsid w:val="00ED0789"/>
    <w:rsid w:val="00ED07EE"/>
    <w:rsid w:val="00ED082F"/>
    <w:rsid w:val="00ED0884"/>
    <w:rsid w:val="00ED0B5D"/>
    <w:rsid w:val="00ED0DDC"/>
    <w:rsid w:val="00ED16F7"/>
    <w:rsid w:val="00ED17EC"/>
    <w:rsid w:val="00ED1813"/>
    <w:rsid w:val="00ED1A53"/>
    <w:rsid w:val="00ED2135"/>
    <w:rsid w:val="00ED21E1"/>
    <w:rsid w:val="00ED2286"/>
    <w:rsid w:val="00ED23F7"/>
    <w:rsid w:val="00ED24E0"/>
    <w:rsid w:val="00ED2965"/>
    <w:rsid w:val="00ED296B"/>
    <w:rsid w:val="00ED29D8"/>
    <w:rsid w:val="00ED2CA5"/>
    <w:rsid w:val="00ED2DBC"/>
    <w:rsid w:val="00ED3313"/>
    <w:rsid w:val="00ED3613"/>
    <w:rsid w:val="00ED378D"/>
    <w:rsid w:val="00ED3BB6"/>
    <w:rsid w:val="00ED3BDF"/>
    <w:rsid w:val="00ED3C37"/>
    <w:rsid w:val="00ED3E3E"/>
    <w:rsid w:val="00ED3EC5"/>
    <w:rsid w:val="00ED3ECF"/>
    <w:rsid w:val="00ED40BE"/>
    <w:rsid w:val="00ED4379"/>
    <w:rsid w:val="00ED48DF"/>
    <w:rsid w:val="00ED4B84"/>
    <w:rsid w:val="00ED4BA8"/>
    <w:rsid w:val="00ED4BF8"/>
    <w:rsid w:val="00ED4D94"/>
    <w:rsid w:val="00ED4F28"/>
    <w:rsid w:val="00ED4F61"/>
    <w:rsid w:val="00ED5004"/>
    <w:rsid w:val="00ED5160"/>
    <w:rsid w:val="00ED54D1"/>
    <w:rsid w:val="00ED554E"/>
    <w:rsid w:val="00ED559B"/>
    <w:rsid w:val="00ED5792"/>
    <w:rsid w:val="00ED5D4B"/>
    <w:rsid w:val="00ED5DCE"/>
    <w:rsid w:val="00ED5E1B"/>
    <w:rsid w:val="00ED5EC1"/>
    <w:rsid w:val="00ED6014"/>
    <w:rsid w:val="00ED6274"/>
    <w:rsid w:val="00ED652C"/>
    <w:rsid w:val="00ED6861"/>
    <w:rsid w:val="00ED6F15"/>
    <w:rsid w:val="00ED7012"/>
    <w:rsid w:val="00ED701A"/>
    <w:rsid w:val="00ED7234"/>
    <w:rsid w:val="00ED7258"/>
    <w:rsid w:val="00ED72CE"/>
    <w:rsid w:val="00ED7475"/>
    <w:rsid w:val="00ED74D5"/>
    <w:rsid w:val="00ED75E9"/>
    <w:rsid w:val="00ED76D1"/>
    <w:rsid w:val="00ED7FC5"/>
    <w:rsid w:val="00EDECCE"/>
    <w:rsid w:val="00EE041B"/>
    <w:rsid w:val="00EE0CE8"/>
    <w:rsid w:val="00EE0FF8"/>
    <w:rsid w:val="00EE1436"/>
    <w:rsid w:val="00EE17E3"/>
    <w:rsid w:val="00EE19AF"/>
    <w:rsid w:val="00EE1EDA"/>
    <w:rsid w:val="00EE2304"/>
    <w:rsid w:val="00EE23C7"/>
    <w:rsid w:val="00EE255A"/>
    <w:rsid w:val="00EE25BD"/>
    <w:rsid w:val="00EE26F2"/>
    <w:rsid w:val="00EE2820"/>
    <w:rsid w:val="00EE2AC4"/>
    <w:rsid w:val="00EE2BEB"/>
    <w:rsid w:val="00EE2D44"/>
    <w:rsid w:val="00EE39EA"/>
    <w:rsid w:val="00EE3C4F"/>
    <w:rsid w:val="00EE3CDE"/>
    <w:rsid w:val="00EE3DF4"/>
    <w:rsid w:val="00EE3E8E"/>
    <w:rsid w:val="00EE3F07"/>
    <w:rsid w:val="00EE4168"/>
    <w:rsid w:val="00EE488A"/>
    <w:rsid w:val="00EE517D"/>
    <w:rsid w:val="00EE520A"/>
    <w:rsid w:val="00EE5381"/>
    <w:rsid w:val="00EE53F9"/>
    <w:rsid w:val="00EE54EC"/>
    <w:rsid w:val="00EE564C"/>
    <w:rsid w:val="00EE5A14"/>
    <w:rsid w:val="00EE5BB7"/>
    <w:rsid w:val="00EE603C"/>
    <w:rsid w:val="00EE6061"/>
    <w:rsid w:val="00EE615A"/>
    <w:rsid w:val="00EE6168"/>
    <w:rsid w:val="00EE61C6"/>
    <w:rsid w:val="00EE6255"/>
    <w:rsid w:val="00EE628E"/>
    <w:rsid w:val="00EE65D7"/>
    <w:rsid w:val="00EE6D1A"/>
    <w:rsid w:val="00EE703B"/>
    <w:rsid w:val="00EE765C"/>
    <w:rsid w:val="00EE77AA"/>
    <w:rsid w:val="00EE77C3"/>
    <w:rsid w:val="00EE7997"/>
    <w:rsid w:val="00EE7A48"/>
    <w:rsid w:val="00EE7D13"/>
    <w:rsid w:val="00EF04D8"/>
    <w:rsid w:val="00EF06C3"/>
    <w:rsid w:val="00EF0A91"/>
    <w:rsid w:val="00EF0AA3"/>
    <w:rsid w:val="00EF0D6F"/>
    <w:rsid w:val="00EF0F8D"/>
    <w:rsid w:val="00EF1053"/>
    <w:rsid w:val="00EF1122"/>
    <w:rsid w:val="00EF115F"/>
    <w:rsid w:val="00EF12D0"/>
    <w:rsid w:val="00EF1448"/>
    <w:rsid w:val="00EF15F7"/>
    <w:rsid w:val="00EF1BBD"/>
    <w:rsid w:val="00EF1C78"/>
    <w:rsid w:val="00EF1E1B"/>
    <w:rsid w:val="00EF1EA0"/>
    <w:rsid w:val="00EF2300"/>
    <w:rsid w:val="00EF23E3"/>
    <w:rsid w:val="00EF26F0"/>
    <w:rsid w:val="00EF2871"/>
    <w:rsid w:val="00EF287A"/>
    <w:rsid w:val="00EF29A7"/>
    <w:rsid w:val="00EF2B43"/>
    <w:rsid w:val="00EF2BD0"/>
    <w:rsid w:val="00EF2DC4"/>
    <w:rsid w:val="00EF372B"/>
    <w:rsid w:val="00EF37B9"/>
    <w:rsid w:val="00EF3904"/>
    <w:rsid w:val="00EF3C1D"/>
    <w:rsid w:val="00EF3CB3"/>
    <w:rsid w:val="00EF3D05"/>
    <w:rsid w:val="00EF3FF6"/>
    <w:rsid w:val="00EF4152"/>
    <w:rsid w:val="00EF4180"/>
    <w:rsid w:val="00EF4191"/>
    <w:rsid w:val="00EF4238"/>
    <w:rsid w:val="00EF4240"/>
    <w:rsid w:val="00EF425C"/>
    <w:rsid w:val="00EF4661"/>
    <w:rsid w:val="00EF4764"/>
    <w:rsid w:val="00EF4CA0"/>
    <w:rsid w:val="00EF4EA5"/>
    <w:rsid w:val="00EF52DA"/>
    <w:rsid w:val="00EF53AA"/>
    <w:rsid w:val="00EF542B"/>
    <w:rsid w:val="00EF57E1"/>
    <w:rsid w:val="00EF58BE"/>
    <w:rsid w:val="00EF596A"/>
    <w:rsid w:val="00EF5B7A"/>
    <w:rsid w:val="00EF5F0F"/>
    <w:rsid w:val="00EF5F51"/>
    <w:rsid w:val="00EF668D"/>
    <w:rsid w:val="00EF6748"/>
    <w:rsid w:val="00EF6753"/>
    <w:rsid w:val="00EF6773"/>
    <w:rsid w:val="00EF6CD3"/>
    <w:rsid w:val="00EF6D23"/>
    <w:rsid w:val="00EF6E1F"/>
    <w:rsid w:val="00EF7712"/>
    <w:rsid w:val="00EF779B"/>
    <w:rsid w:val="00EF7AD7"/>
    <w:rsid w:val="00EF7CC9"/>
    <w:rsid w:val="00EF7D29"/>
    <w:rsid w:val="00F00132"/>
    <w:rsid w:val="00F0080B"/>
    <w:rsid w:val="00F008D6"/>
    <w:rsid w:val="00F0090D"/>
    <w:rsid w:val="00F00E6B"/>
    <w:rsid w:val="00F01064"/>
    <w:rsid w:val="00F010EE"/>
    <w:rsid w:val="00F01140"/>
    <w:rsid w:val="00F01E1E"/>
    <w:rsid w:val="00F01E2A"/>
    <w:rsid w:val="00F01F78"/>
    <w:rsid w:val="00F02393"/>
    <w:rsid w:val="00F02671"/>
    <w:rsid w:val="00F026B8"/>
    <w:rsid w:val="00F028E5"/>
    <w:rsid w:val="00F029C9"/>
    <w:rsid w:val="00F02C24"/>
    <w:rsid w:val="00F02DDB"/>
    <w:rsid w:val="00F03207"/>
    <w:rsid w:val="00F033F0"/>
    <w:rsid w:val="00F03401"/>
    <w:rsid w:val="00F0347E"/>
    <w:rsid w:val="00F0376D"/>
    <w:rsid w:val="00F03F29"/>
    <w:rsid w:val="00F03F86"/>
    <w:rsid w:val="00F03FC1"/>
    <w:rsid w:val="00F04397"/>
    <w:rsid w:val="00F043CD"/>
    <w:rsid w:val="00F043E5"/>
    <w:rsid w:val="00F0478D"/>
    <w:rsid w:val="00F04887"/>
    <w:rsid w:val="00F048C9"/>
    <w:rsid w:val="00F04ADD"/>
    <w:rsid w:val="00F04C1F"/>
    <w:rsid w:val="00F054B3"/>
    <w:rsid w:val="00F054FD"/>
    <w:rsid w:val="00F05527"/>
    <w:rsid w:val="00F05658"/>
    <w:rsid w:val="00F0587E"/>
    <w:rsid w:val="00F05AAA"/>
    <w:rsid w:val="00F0616C"/>
    <w:rsid w:val="00F061CF"/>
    <w:rsid w:val="00F062DA"/>
    <w:rsid w:val="00F062E0"/>
    <w:rsid w:val="00F0650B"/>
    <w:rsid w:val="00F06B40"/>
    <w:rsid w:val="00F07088"/>
    <w:rsid w:val="00F07279"/>
    <w:rsid w:val="00F0745C"/>
    <w:rsid w:val="00F074A7"/>
    <w:rsid w:val="00F07544"/>
    <w:rsid w:val="00F07565"/>
    <w:rsid w:val="00F075CF"/>
    <w:rsid w:val="00F07C17"/>
    <w:rsid w:val="00F07CEA"/>
    <w:rsid w:val="00F100F1"/>
    <w:rsid w:val="00F1020B"/>
    <w:rsid w:val="00F10264"/>
    <w:rsid w:val="00F103EF"/>
    <w:rsid w:val="00F104E1"/>
    <w:rsid w:val="00F105EE"/>
    <w:rsid w:val="00F10A84"/>
    <w:rsid w:val="00F10BA3"/>
    <w:rsid w:val="00F10C7B"/>
    <w:rsid w:val="00F1100A"/>
    <w:rsid w:val="00F1116A"/>
    <w:rsid w:val="00F1125C"/>
    <w:rsid w:val="00F11533"/>
    <w:rsid w:val="00F115E5"/>
    <w:rsid w:val="00F1169B"/>
    <w:rsid w:val="00F116D8"/>
    <w:rsid w:val="00F11932"/>
    <w:rsid w:val="00F11D48"/>
    <w:rsid w:val="00F11F03"/>
    <w:rsid w:val="00F1205A"/>
    <w:rsid w:val="00F120CD"/>
    <w:rsid w:val="00F1229C"/>
    <w:rsid w:val="00F122A3"/>
    <w:rsid w:val="00F1274C"/>
    <w:rsid w:val="00F12B7D"/>
    <w:rsid w:val="00F12BD5"/>
    <w:rsid w:val="00F12C0A"/>
    <w:rsid w:val="00F1314C"/>
    <w:rsid w:val="00F1320F"/>
    <w:rsid w:val="00F134F9"/>
    <w:rsid w:val="00F13576"/>
    <w:rsid w:val="00F13655"/>
    <w:rsid w:val="00F13794"/>
    <w:rsid w:val="00F139D7"/>
    <w:rsid w:val="00F13ACC"/>
    <w:rsid w:val="00F13DAD"/>
    <w:rsid w:val="00F13E9D"/>
    <w:rsid w:val="00F13F03"/>
    <w:rsid w:val="00F13F40"/>
    <w:rsid w:val="00F13FD5"/>
    <w:rsid w:val="00F14116"/>
    <w:rsid w:val="00F1470C"/>
    <w:rsid w:val="00F1480C"/>
    <w:rsid w:val="00F14C00"/>
    <w:rsid w:val="00F14CFE"/>
    <w:rsid w:val="00F14EAE"/>
    <w:rsid w:val="00F14EDD"/>
    <w:rsid w:val="00F151BD"/>
    <w:rsid w:val="00F15587"/>
    <w:rsid w:val="00F155BB"/>
    <w:rsid w:val="00F15875"/>
    <w:rsid w:val="00F1592E"/>
    <w:rsid w:val="00F1597A"/>
    <w:rsid w:val="00F15CB8"/>
    <w:rsid w:val="00F15F75"/>
    <w:rsid w:val="00F163DE"/>
    <w:rsid w:val="00F16415"/>
    <w:rsid w:val="00F16435"/>
    <w:rsid w:val="00F16F6A"/>
    <w:rsid w:val="00F176AE"/>
    <w:rsid w:val="00F17D59"/>
    <w:rsid w:val="00F17DB4"/>
    <w:rsid w:val="00F17DFE"/>
    <w:rsid w:val="00F17F4D"/>
    <w:rsid w:val="00F20135"/>
    <w:rsid w:val="00F2044B"/>
    <w:rsid w:val="00F20530"/>
    <w:rsid w:val="00F209EA"/>
    <w:rsid w:val="00F20FC1"/>
    <w:rsid w:val="00F212A1"/>
    <w:rsid w:val="00F21332"/>
    <w:rsid w:val="00F21A97"/>
    <w:rsid w:val="00F21AC9"/>
    <w:rsid w:val="00F21B94"/>
    <w:rsid w:val="00F22170"/>
    <w:rsid w:val="00F2231B"/>
    <w:rsid w:val="00F22477"/>
    <w:rsid w:val="00F228E2"/>
    <w:rsid w:val="00F228EC"/>
    <w:rsid w:val="00F22BEF"/>
    <w:rsid w:val="00F22DC9"/>
    <w:rsid w:val="00F22F89"/>
    <w:rsid w:val="00F22FC5"/>
    <w:rsid w:val="00F2303A"/>
    <w:rsid w:val="00F2352F"/>
    <w:rsid w:val="00F236F8"/>
    <w:rsid w:val="00F237CC"/>
    <w:rsid w:val="00F238BE"/>
    <w:rsid w:val="00F23A80"/>
    <w:rsid w:val="00F23CB6"/>
    <w:rsid w:val="00F23E09"/>
    <w:rsid w:val="00F24072"/>
    <w:rsid w:val="00F24266"/>
    <w:rsid w:val="00F24534"/>
    <w:rsid w:val="00F2459B"/>
    <w:rsid w:val="00F24868"/>
    <w:rsid w:val="00F24C83"/>
    <w:rsid w:val="00F24DAB"/>
    <w:rsid w:val="00F250F8"/>
    <w:rsid w:val="00F25258"/>
    <w:rsid w:val="00F2546A"/>
    <w:rsid w:val="00F25722"/>
    <w:rsid w:val="00F25E88"/>
    <w:rsid w:val="00F25FA5"/>
    <w:rsid w:val="00F26033"/>
    <w:rsid w:val="00F261DC"/>
    <w:rsid w:val="00F2621E"/>
    <w:rsid w:val="00F26402"/>
    <w:rsid w:val="00F264FF"/>
    <w:rsid w:val="00F2676F"/>
    <w:rsid w:val="00F267BF"/>
    <w:rsid w:val="00F26BC6"/>
    <w:rsid w:val="00F26D88"/>
    <w:rsid w:val="00F273CB"/>
    <w:rsid w:val="00F2741D"/>
    <w:rsid w:val="00F27423"/>
    <w:rsid w:val="00F27490"/>
    <w:rsid w:val="00F2769C"/>
    <w:rsid w:val="00F2786C"/>
    <w:rsid w:val="00F27B32"/>
    <w:rsid w:val="00F27CBC"/>
    <w:rsid w:val="00F27D07"/>
    <w:rsid w:val="00F30033"/>
    <w:rsid w:val="00F30188"/>
    <w:rsid w:val="00F30296"/>
    <w:rsid w:val="00F302EE"/>
    <w:rsid w:val="00F3039F"/>
    <w:rsid w:val="00F30420"/>
    <w:rsid w:val="00F304D9"/>
    <w:rsid w:val="00F30595"/>
    <w:rsid w:val="00F3064B"/>
    <w:rsid w:val="00F30B4C"/>
    <w:rsid w:val="00F30C8A"/>
    <w:rsid w:val="00F30D82"/>
    <w:rsid w:val="00F30F7A"/>
    <w:rsid w:val="00F31120"/>
    <w:rsid w:val="00F313A1"/>
    <w:rsid w:val="00F313C1"/>
    <w:rsid w:val="00F313D1"/>
    <w:rsid w:val="00F317E6"/>
    <w:rsid w:val="00F319BB"/>
    <w:rsid w:val="00F31E35"/>
    <w:rsid w:val="00F31E38"/>
    <w:rsid w:val="00F32002"/>
    <w:rsid w:val="00F32104"/>
    <w:rsid w:val="00F321F1"/>
    <w:rsid w:val="00F323B3"/>
    <w:rsid w:val="00F32490"/>
    <w:rsid w:val="00F327F6"/>
    <w:rsid w:val="00F32869"/>
    <w:rsid w:val="00F32882"/>
    <w:rsid w:val="00F3307A"/>
    <w:rsid w:val="00F33388"/>
    <w:rsid w:val="00F334A3"/>
    <w:rsid w:val="00F33865"/>
    <w:rsid w:val="00F338D0"/>
    <w:rsid w:val="00F33D39"/>
    <w:rsid w:val="00F33EE8"/>
    <w:rsid w:val="00F340B4"/>
    <w:rsid w:val="00F3432E"/>
    <w:rsid w:val="00F3455D"/>
    <w:rsid w:val="00F34A12"/>
    <w:rsid w:val="00F34BB5"/>
    <w:rsid w:val="00F350DE"/>
    <w:rsid w:val="00F35335"/>
    <w:rsid w:val="00F35438"/>
    <w:rsid w:val="00F3584A"/>
    <w:rsid w:val="00F359E4"/>
    <w:rsid w:val="00F35A34"/>
    <w:rsid w:val="00F35B8B"/>
    <w:rsid w:val="00F35FE0"/>
    <w:rsid w:val="00F36025"/>
    <w:rsid w:val="00F360D5"/>
    <w:rsid w:val="00F360F3"/>
    <w:rsid w:val="00F366CD"/>
    <w:rsid w:val="00F36AE1"/>
    <w:rsid w:val="00F36C57"/>
    <w:rsid w:val="00F36CAC"/>
    <w:rsid w:val="00F3708F"/>
    <w:rsid w:val="00F370F6"/>
    <w:rsid w:val="00F372CD"/>
    <w:rsid w:val="00F37356"/>
    <w:rsid w:val="00F375B6"/>
    <w:rsid w:val="00F37ED1"/>
    <w:rsid w:val="00F40099"/>
    <w:rsid w:val="00F40133"/>
    <w:rsid w:val="00F40188"/>
    <w:rsid w:val="00F40963"/>
    <w:rsid w:val="00F40C8E"/>
    <w:rsid w:val="00F40E41"/>
    <w:rsid w:val="00F40ECB"/>
    <w:rsid w:val="00F41342"/>
    <w:rsid w:val="00F414AD"/>
    <w:rsid w:val="00F415F2"/>
    <w:rsid w:val="00F41637"/>
    <w:rsid w:val="00F41641"/>
    <w:rsid w:val="00F41975"/>
    <w:rsid w:val="00F41BB2"/>
    <w:rsid w:val="00F41C49"/>
    <w:rsid w:val="00F41E93"/>
    <w:rsid w:val="00F41F10"/>
    <w:rsid w:val="00F42326"/>
    <w:rsid w:val="00F42355"/>
    <w:rsid w:val="00F42369"/>
    <w:rsid w:val="00F42847"/>
    <w:rsid w:val="00F429AF"/>
    <w:rsid w:val="00F42A57"/>
    <w:rsid w:val="00F42B11"/>
    <w:rsid w:val="00F42CEF"/>
    <w:rsid w:val="00F42D09"/>
    <w:rsid w:val="00F42E02"/>
    <w:rsid w:val="00F42E2E"/>
    <w:rsid w:val="00F43768"/>
    <w:rsid w:val="00F439BB"/>
    <w:rsid w:val="00F43C19"/>
    <w:rsid w:val="00F4400B"/>
    <w:rsid w:val="00F440D2"/>
    <w:rsid w:val="00F441B9"/>
    <w:rsid w:val="00F443AD"/>
    <w:rsid w:val="00F44710"/>
    <w:rsid w:val="00F449FA"/>
    <w:rsid w:val="00F449FD"/>
    <w:rsid w:val="00F44E37"/>
    <w:rsid w:val="00F44FED"/>
    <w:rsid w:val="00F45022"/>
    <w:rsid w:val="00F4523F"/>
    <w:rsid w:val="00F452B3"/>
    <w:rsid w:val="00F457A5"/>
    <w:rsid w:val="00F45CCE"/>
    <w:rsid w:val="00F4616D"/>
    <w:rsid w:val="00F4640E"/>
    <w:rsid w:val="00F464C8"/>
    <w:rsid w:val="00F464F8"/>
    <w:rsid w:val="00F46526"/>
    <w:rsid w:val="00F46782"/>
    <w:rsid w:val="00F467DB"/>
    <w:rsid w:val="00F46907"/>
    <w:rsid w:val="00F46AA2"/>
    <w:rsid w:val="00F46D15"/>
    <w:rsid w:val="00F46E74"/>
    <w:rsid w:val="00F46F22"/>
    <w:rsid w:val="00F4717C"/>
    <w:rsid w:val="00F47480"/>
    <w:rsid w:val="00F47505"/>
    <w:rsid w:val="00F47690"/>
    <w:rsid w:val="00F47706"/>
    <w:rsid w:val="00F47887"/>
    <w:rsid w:val="00F47A9A"/>
    <w:rsid w:val="00F47BA6"/>
    <w:rsid w:val="00F47F18"/>
    <w:rsid w:val="00F500F2"/>
    <w:rsid w:val="00F5012F"/>
    <w:rsid w:val="00F5019F"/>
    <w:rsid w:val="00F501B4"/>
    <w:rsid w:val="00F509A0"/>
    <w:rsid w:val="00F509ED"/>
    <w:rsid w:val="00F50A4C"/>
    <w:rsid w:val="00F51186"/>
    <w:rsid w:val="00F51251"/>
    <w:rsid w:val="00F512D9"/>
    <w:rsid w:val="00F5139B"/>
    <w:rsid w:val="00F513F4"/>
    <w:rsid w:val="00F51475"/>
    <w:rsid w:val="00F51A50"/>
    <w:rsid w:val="00F51BBF"/>
    <w:rsid w:val="00F51EE0"/>
    <w:rsid w:val="00F51FB6"/>
    <w:rsid w:val="00F52215"/>
    <w:rsid w:val="00F5243A"/>
    <w:rsid w:val="00F524A1"/>
    <w:rsid w:val="00F5254F"/>
    <w:rsid w:val="00F52864"/>
    <w:rsid w:val="00F528E7"/>
    <w:rsid w:val="00F52BC6"/>
    <w:rsid w:val="00F52BF9"/>
    <w:rsid w:val="00F531AD"/>
    <w:rsid w:val="00F5324F"/>
    <w:rsid w:val="00F53688"/>
    <w:rsid w:val="00F53A7C"/>
    <w:rsid w:val="00F53C0D"/>
    <w:rsid w:val="00F53C34"/>
    <w:rsid w:val="00F53E2D"/>
    <w:rsid w:val="00F53E44"/>
    <w:rsid w:val="00F5484D"/>
    <w:rsid w:val="00F54B4C"/>
    <w:rsid w:val="00F54BDB"/>
    <w:rsid w:val="00F55102"/>
    <w:rsid w:val="00F5514D"/>
    <w:rsid w:val="00F55242"/>
    <w:rsid w:val="00F553CB"/>
    <w:rsid w:val="00F55497"/>
    <w:rsid w:val="00F555EE"/>
    <w:rsid w:val="00F558D9"/>
    <w:rsid w:val="00F55FD8"/>
    <w:rsid w:val="00F56263"/>
    <w:rsid w:val="00F569FC"/>
    <w:rsid w:val="00F56F85"/>
    <w:rsid w:val="00F57040"/>
    <w:rsid w:val="00F570B9"/>
    <w:rsid w:val="00F5735B"/>
    <w:rsid w:val="00F57759"/>
    <w:rsid w:val="00F578F3"/>
    <w:rsid w:val="00F57C0A"/>
    <w:rsid w:val="00F57E2D"/>
    <w:rsid w:val="00F60289"/>
    <w:rsid w:val="00F60362"/>
    <w:rsid w:val="00F6055E"/>
    <w:rsid w:val="00F606D9"/>
    <w:rsid w:val="00F609F4"/>
    <w:rsid w:val="00F60CD3"/>
    <w:rsid w:val="00F60D9B"/>
    <w:rsid w:val="00F60E62"/>
    <w:rsid w:val="00F60F95"/>
    <w:rsid w:val="00F610A7"/>
    <w:rsid w:val="00F614A9"/>
    <w:rsid w:val="00F6176E"/>
    <w:rsid w:val="00F6180C"/>
    <w:rsid w:val="00F619A8"/>
    <w:rsid w:val="00F61B84"/>
    <w:rsid w:val="00F62168"/>
    <w:rsid w:val="00F621CB"/>
    <w:rsid w:val="00F6285C"/>
    <w:rsid w:val="00F6293A"/>
    <w:rsid w:val="00F62AA7"/>
    <w:rsid w:val="00F62C66"/>
    <w:rsid w:val="00F62FFB"/>
    <w:rsid w:val="00F631B2"/>
    <w:rsid w:val="00F63359"/>
    <w:rsid w:val="00F63B5D"/>
    <w:rsid w:val="00F63D25"/>
    <w:rsid w:val="00F63D66"/>
    <w:rsid w:val="00F6436B"/>
    <w:rsid w:val="00F643C9"/>
    <w:rsid w:val="00F64457"/>
    <w:rsid w:val="00F6455D"/>
    <w:rsid w:val="00F64566"/>
    <w:rsid w:val="00F64996"/>
    <w:rsid w:val="00F64A62"/>
    <w:rsid w:val="00F64B79"/>
    <w:rsid w:val="00F64CE4"/>
    <w:rsid w:val="00F651E6"/>
    <w:rsid w:val="00F6535D"/>
    <w:rsid w:val="00F655DE"/>
    <w:rsid w:val="00F6560A"/>
    <w:rsid w:val="00F656FB"/>
    <w:rsid w:val="00F658F7"/>
    <w:rsid w:val="00F65B93"/>
    <w:rsid w:val="00F65CDA"/>
    <w:rsid w:val="00F65E6C"/>
    <w:rsid w:val="00F65E81"/>
    <w:rsid w:val="00F65F14"/>
    <w:rsid w:val="00F66061"/>
    <w:rsid w:val="00F6614C"/>
    <w:rsid w:val="00F66150"/>
    <w:rsid w:val="00F6666E"/>
    <w:rsid w:val="00F6669D"/>
    <w:rsid w:val="00F66771"/>
    <w:rsid w:val="00F667CA"/>
    <w:rsid w:val="00F66911"/>
    <w:rsid w:val="00F66B8B"/>
    <w:rsid w:val="00F66B9A"/>
    <w:rsid w:val="00F66C28"/>
    <w:rsid w:val="00F670F2"/>
    <w:rsid w:val="00F672E0"/>
    <w:rsid w:val="00F67358"/>
    <w:rsid w:val="00F674F9"/>
    <w:rsid w:val="00F67546"/>
    <w:rsid w:val="00F676D8"/>
    <w:rsid w:val="00F6771C"/>
    <w:rsid w:val="00F6797C"/>
    <w:rsid w:val="00F67A3D"/>
    <w:rsid w:val="00F67B7D"/>
    <w:rsid w:val="00F67D03"/>
    <w:rsid w:val="00F67F2E"/>
    <w:rsid w:val="00F69F8B"/>
    <w:rsid w:val="00F700A5"/>
    <w:rsid w:val="00F7015C"/>
    <w:rsid w:val="00F70301"/>
    <w:rsid w:val="00F705AF"/>
    <w:rsid w:val="00F706E9"/>
    <w:rsid w:val="00F7077E"/>
    <w:rsid w:val="00F707CB"/>
    <w:rsid w:val="00F70BF8"/>
    <w:rsid w:val="00F70CB6"/>
    <w:rsid w:val="00F70D4A"/>
    <w:rsid w:val="00F70E3D"/>
    <w:rsid w:val="00F70E50"/>
    <w:rsid w:val="00F70E78"/>
    <w:rsid w:val="00F70FDC"/>
    <w:rsid w:val="00F7103A"/>
    <w:rsid w:val="00F71382"/>
    <w:rsid w:val="00F723ED"/>
    <w:rsid w:val="00F72447"/>
    <w:rsid w:val="00F72803"/>
    <w:rsid w:val="00F72866"/>
    <w:rsid w:val="00F72A6F"/>
    <w:rsid w:val="00F72B5E"/>
    <w:rsid w:val="00F72C20"/>
    <w:rsid w:val="00F72D5B"/>
    <w:rsid w:val="00F732BD"/>
    <w:rsid w:val="00F732EF"/>
    <w:rsid w:val="00F7332A"/>
    <w:rsid w:val="00F7337E"/>
    <w:rsid w:val="00F73592"/>
    <w:rsid w:val="00F736C7"/>
    <w:rsid w:val="00F738DF"/>
    <w:rsid w:val="00F73937"/>
    <w:rsid w:val="00F739FF"/>
    <w:rsid w:val="00F73CEE"/>
    <w:rsid w:val="00F73DD9"/>
    <w:rsid w:val="00F74091"/>
    <w:rsid w:val="00F74157"/>
    <w:rsid w:val="00F74579"/>
    <w:rsid w:val="00F74774"/>
    <w:rsid w:val="00F74819"/>
    <w:rsid w:val="00F74944"/>
    <w:rsid w:val="00F74971"/>
    <w:rsid w:val="00F74A42"/>
    <w:rsid w:val="00F74B80"/>
    <w:rsid w:val="00F74BF9"/>
    <w:rsid w:val="00F74FF4"/>
    <w:rsid w:val="00F751B7"/>
    <w:rsid w:val="00F753C6"/>
    <w:rsid w:val="00F7577E"/>
    <w:rsid w:val="00F758C7"/>
    <w:rsid w:val="00F75B4C"/>
    <w:rsid w:val="00F75C2F"/>
    <w:rsid w:val="00F75E07"/>
    <w:rsid w:val="00F75E48"/>
    <w:rsid w:val="00F75F16"/>
    <w:rsid w:val="00F7609A"/>
    <w:rsid w:val="00F76140"/>
    <w:rsid w:val="00F764BC"/>
    <w:rsid w:val="00F76848"/>
    <w:rsid w:val="00F769FC"/>
    <w:rsid w:val="00F76EA1"/>
    <w:rsid w:val="00F76FFD"/>
    <w:rsid w:val="00F77230"/>
    <w:rsid w:val="00F77267"/>
    <w:rsid w:val="00F773D1"/>
    <w:rsid w:val="00F77747"/>
    <w:rsid w:val="00F77864"/>
    <w:rsid w:val="00F77930"/>
    <w:rsid w:val="00F77ACF"/>
    <w:rsid w:val="00F77B69"/>
    <w:rsid w:val="00F8020B"/>
    <w:rsid w:val="00F806DA"/>
    <w:rsid w:val="00F80A90"/>
    <w:rsid w:val="00F80AB8"/>
    <w:rsid w:val="00F80ABF"/>
    <w:rsid w:val="00F80FB6"/>
    <w:rsid w:val="00F81334"/>
    <w:rsid w:val="00F816B5"/>
    <w:rsid w:val="00F81A8C"/>
    <w:rsid w:val="00F81D7F"/>
    <w:rsid w:val="00F81ED0"/>
    <w:rsid w:val="00F82079"/>
    <w:rsid w:val="00F8218C"/>
    <w:rsid w:val="00F8238A"/>
    <w:rsid w:val="00F82453"/>
    <w:rsid w:val="00F826D1"/>
    <w:rsid w:val="00F826D4"/>
    <w:rsid w:val="00F827C9"/>
    <w:rsid w:val="00F82951"/>
    <w:rsid w:val="00F82A54"/>
    <w:rsid w:val="00F82AB0"/>
    <w:rsid w:val="00F82CC0"/>
    <w:rsid w:val="00F83199"/>
    <w:rsid w:val="00F832D2"/>
    <w:rsid w:val="00F832E7"/>
    <w:rsid w:val="00F8355F"/>
    <w:rsid w:val="00F8359B"/>
    <w:rsid w:val="00F8360E"/>
    <w:rsid w:val="00F837E1"/>
    <w:rsid w:val="00F83907"/>
    <w:rsid w:val="00F8399E"/>
    <w:rsid w:val="00F83B8C"/>
    <w:rsid w:val="00F83BC4"/>
    <w:rsid w:val="00F83D99"/>
    <w:rsid w:val="00F83DB0"/>
    <w:rsid w:val="00F83E16"/>
    <w:rsid w:val="00F841EC"/>
    <w:rsid w:val="00F84238"/>
    <w:rsid w:val="00F84242"/>
    <w:rsid w:val="00F8431C"/>
    <w:rsid w:val="00F848EB"/>
    <w:rsid w:val="00F849BD"/>
    <w:rsid w:val="00F84B9B"/>
    <w:rsid w:val="00F84D9B"/>
    <w:rsid w:val="00F852CC"/>
    <w:rsid w:val="00F85351"/>
    <w:rsid w:val="00F85694"/>
    <w:rsid w:val="00F85777"/>
    <w:rsid w:val="00F85789"/>
    <w:rsid w:val="00F85D91"/>
    <w:rsid w:val="00F85E14"/>
    <w:rsid w:val="00F85E90"/>
    <w:rsid w:val="00F86526"/>
    <w:rsid w:val="00F865BE"/>
    <w:rsid w:val="00F868BF"/>
    <w:rsid w:val="00F86B1E"/>
    <w:rsid w:val="00F86CB0"/>
    <w:rsid w:val="00F86E12"/>
    <w:rsid w:val="00F870C7"/>
    <w:rsid w:val="00F873A3"/>
    <w:rsid w:val="00F874FB"/>
    <w:rsid w:val="00F875EA"/>
    <w:rsid w:val="00F8784E"/>
    <w:rsid w:val="00F87A84"/>
    <w:rsid w:val="00F87B10"/>
    <w:rsid w:val="00F87C77"/>
    <w:rsid w:val="00F87FA2"/>
    <w:rsid w:val="00F900D9"/>
    <w:rsid w:val="00F90305"/>
    <w:rsid w:val="00F90444"/>
    <w:rsid w:val="00F907DD"/>
    <w:rsid w:val="00F9088B"/>
    <w:rsid w:val="00F909AB"/>
    <w:rsid w:val="00F90CFB"/>
    <w:rsid w:val="00F910C1"/>
    <w:rsid w:val="00F9110C"/>
    <w:rsid w:val="00F9147C"/>
    <w:rsid w:val="00F914D4"/>
    <w:rsid w:val="00F920D3"/>
    <w:rsid w:val="00F92134"/>
    <w:rsid w:val="00F921A4"/>
    <w:rsid w:val="00F92207"/>
    <w:rsid w:val="00F92533"/>
    <w:rsid w:val="00F9294A"/>
    <w:rsid w:val="00F92AED"/>
    <w:rsid w:val="00F92D1B"/>
    <w:rsid w:val="00F93101"/>
    <w:rsid w:val="00F934E9"/>
    <w:rsid w:val="00F939E1"/>
    <w:rsid w:val="00F93B27"/>
    <w:rsid w:val="00F94162"/>
    <w:rsid w:val="00F942E7"/>
    <w:rsid w:val="00F94482"/>
    <w:rsid w:val="00F94485"/>
    <w:rsid w:val="00F9470B"/>
    <w:rsid w:val="00F94A55"/>
    <w:rsid w:val="00F94BBD"/>
    <w:rsid w:val="00F94EF0"/>
    <w:rsid w:val="00F95261"/>
    <w:rsid w:val="00F9562D"/>
    <w:rsid w:val="00F95821"/>
    <w:rsid w:val="00F95A71"/>
    <w:rsid w:val="00F96984"/>
    <w:rsid w:val="00F96BAE"/>
    <w:rsid w:val="00F96C88"/>
    <w:rsid w:val="00F96E72"/>
    <w:rsid w:val="00F96F21"/>
    <w:rsid w:val="00F96FCF"/>
    <w:rsid w:val="00F96FFC"/>
    <w:rsid w:val="00F9700F"/>
    <w:rsid w:val="00F9707F"/>
    <w:rsid w:val="00F972F5"/>
    <w:rsid w:val="00F97361"/>
    <w:rsid w:val="00F97576"/>
    <w:rsid w:val="00F97D04"/>
    <w:rsid w:val="00F97DF5"/>
    <w:rsid w:val="00FA03FF"/>
    <w:rsid w:val="00FA05BC"/>
    <w:rsid w:val="00FA09C6"/>
    <w:rsid w:val="00FA0A36"/>
    <w:rsid w:val="00FA0D39"/>
    <w:rsid w:val="00FA0E0F"/>
    <w:rsid w:val="00FA10D7"/>
    <w:rsid w:val="00FA12BF"/>
    <w:rsid w:val="00FA1405"/>
    <w:rsid w:val="00FA186C"/>
    <w:rsid w:val="00FA1B46"/>
    <w:rsid w:val="00FA1C32"/>
    <w:rsid w:val="00FA1D64"/>
    <w:rsid w:val="00FA1DE2"/>
    <w:rsid w:val="00FA2215"/>
    <w:rsid w:val="00FA2426"/>
    <w:rsid w:val="00FA2557"/>
    <w:rsid w:val="00FA261E"/>
    <w:rsid w:val="00FA262A"/>
    <w:rsid w:val="00FA2BD5"/>
    <w:rsid w:val="00FA2C5C"/>
    <w:rsid w:val="00FA2D9A"/>
    <w:rsid w:val="00FA2E7D"/>
    <w:rsid w:val="00FA2F4B"/>
    <w:rsid w:val="00FA31FB"/>
    <w:rsid w:val="00FA337F"/>
    <w:rsid w:val="00FA35B7"/>
    <w:rsid w:val="00FA3ADC"/>
    <w:rsid w:val="00FA40D1"/>
    <w:rsid w:val="00FA40DD"/>
    <w:rsid w:val="00FA44DC"/>
    <w:rsid w:val="00FA45DE"/>
    <w:rsid w:val="00FA46A8"/>
    <w:rsid w:val="00FA4826"/>
    <w:rsid w:val="00FA48D6"/>
    <w:rsid w:val="00FA4961"/>
    <w:rsid w:val="00FA4E67"/>
    <w:rsid w:val="00FA52C8"/>
    <w:rsid w:val="00FA5605"/>
    <w:rsid w:val="00FA57AB"/>
    <w:rsid w:val="00FA57D3"/>
    <w:rsid w:val="00FA586D"/>
    <w:rsid w:val="00FA58FE"/>
    <w:rsid w:val="00FA5CB6"/>
    <w:rsid w:val="00FA5FCE"/>
    <w:rsid w:val="00FA6A5D"/>
    <w:rsid w:val="00FA6B9A"/>
    <w:rsid w:val="00FA6EF4"/>
    <w:rsid w:val="00FA6F68"/>
    <w:rsid w:val="00FA6FED"/>
    <w:rsid w:val="00FA7124"/>
    <w:rsid w:val="00FA7281"/>
    <w:rsid w:val="00FA7646"/>
    <w:rsid w:val="00FA7B27"/>
    <w:rsid w:val="00FA7C8F"/>
    <w:rsid w:val="00FA7CD0"/>
    <w:rsid w:val="00FA7DC2"/>
    <w:rsid w:val="00FB005A"/>
    <w:rsid w:val="00FB0063"/>
    <w:rsid w:val="00FB02B2"/>
    <w:rsid w:val="00FB049C"/>
    <w:rsid w:val="00FB0636"/>
    <w:rsid w:val="00FB06C0"/>
    <w:rsid w:val="00FB09B6"/>
    <w:rsid w:val="00FB0EAB"/>
    <w:rsid w:val="00FB0F51"/>
    <w:rsid w:val="00FB1742"/>
    <w:rsid w:val="00FB18F3"/>
    <w:rsid w:val="00FB1945"/>
    <w:rsid w:val="00FB1BDC"/>
    <w:rsid w:val="00FB1CB1"/>
    <w:rsid w:val="00FB1CD8"/>
    <w:rsid w:val="00FB2789"/>
    <w:rsid w:val="00FB2894"/>
    <w:rsid w:val="00FB28A3"/>
    <w:rsid w:val="00FB2A68"/>
    <w:rsid w:val="00FB2AA1"/>
    <w:rsid w:val="00FB2DFE"/>
    <w:rsid w:val="00FB2F0F"/>
    <w:rsid w:val="00FB322B"/>
    <w:rsid w:val="00FB337B"/>
    <w:rsid w:val="00FB33AA"/>
    <w:rsid w:val="00FB3462"/>
    <w:rsid w:val="00FB35E9"/>
    <w:rsid w:val="00FB3894"/>
    <w:rsid w:val="00FB38CC"/>
    <w:rsid w:val="00FB38DC"/>
    <w:rsid w:val="00FB3B84"/>
    <w:rsid w:val="00FB3CA6"/>
    <w:rsid w:val="00FB3E63"/>
    <w:rsid w:val="00FB4146"/>
    <w:rsid w:val="00FB418E"/>
    <w:rsid w:val="00FB41AE"/>
    <w:rsid w:val="00FB4263"/>
    <w:rsid w:val="00FB47E6"/>
    <w:rsid w:val="00FB481A"/>
    <w:rsid w:val="00FB4FDC"/>
    <w:rsid w:val="00FB50C5"/>
    <w:rsid w:val="00FB51F3"/>
    <w:rsid w:val="00FB5A52"/>
    <w:rsid w:val="00FB5F61"/>
    <w:rsid w:val="00FB6030"/>
    <w:rsid w:val="00FB6285"/>
    <w:rsid w:val="00FB62D9"/>
    <w:rsid w:val="00FB64E6"/>
    <w:rsid w:val="00FB683F"/>
    <w:rsid w:val="00FB68B7"/>
    <w:rsid w:val="00FB6AE9"/>
    <w:rsid w:val="00FB6D97"/>
    <w:rsid w:val="00FB6EC2"/>
    <w:rsid w:val="00FB7030"/>
    <w:rsid w:val="00FB704A"/>
    <w:rsid w:val="00FB74E0"/>
    <w:rsid w:val="00FB7787"/>
    <w:rsid w:val="00FB7CD0"/>
    <w:rsid w:val="00FC020F"/>
    <w:rsid w:val="00FC0663"/>
    <w:rsid w:val="00FC0A23"/>
    <w:rsid w:val="00FC0A25"/>
    <w:rsid w:val="00FC0CAF"/>
    <w:rsid w:val="00FC0F02"/>
    <w:rsid w:val="00FC129E"/>
    <w:rsid w:val="00FC1345"/>
    <w:rsid w:val="00FC1510"/>
    <w:rsid w:val="00FC1541"/>
    <w:rsid w:val="00FC15B5"/>
    <w:rsid w:val="00FC1688"/>
    <w:rsid w:val="00FC1C1E"/>
    <w:rsid w:val="00FC21A8"/>
    <w:rsid w:val="00FC2280"/>
    <w:rsid w:val="00FC24C5"/>
    <w:rsid w:val="00FC26A7"/>
    <w:rsid w:val="00FC26C0"/>
    <w:rsid w:val="00FC28CA"/>
    <w:rsid w:val="00FC29E6"/>
    <w:rsid w:val="00FC2A55"/>
    <w:rsid w:val="00FC2A9F"/>
    <w:rsid w:val="00FC2CA8"/>
    <w:rsid w:val="00FC2D71"/>
    <w:rsid w:val="00FC2DE1"/>
    <w:rsid w:val="00FC32D0"/>
    <w:rsid w:val="00FC33BA"/>
    <w:rsid w:val="00FC36CC"/>
    <w:rsid w:val="00FC3A4E"/>
    <w:rsid w:val="00FC3A5D"/>
    <w:rsid w:val="00FC3ABD"/>
    <w:rsid w:val="00FC3B64"/>
    <w:rsid w:val="00FC3C2C"/>
    <w:rsid w:val="00FC3CD0"/>
    <w:rsid w:val="00FC3D93"/>
    <w:rsid w:val="00FC4335"/>
    <w:rsid w:val="00FC46EC"/>
    <w:rsid w:val="00FC4B61"/>
    <w:rsid w:val="00FC4DA4"/>
    <w:rsid w:val="00FC5232"/>
    <w:rsid w:val="00FC5508"/>
    <w:rsid w:val="00FC5866"/>
    <w:rsid w:val="00FC58A3"/>
    <w:rsid w:val="00FC5934"/>
    <w:rsid w:val="00FC5B08"/>
    <w:rsid w:val="00FC5B8A"/>
    <w:rsid w:val="00FC5C15"/>
    <w:rsid w:val="00FC5CCA"/>
    <w:rsid w:val="00FC5CD3"/>
    <w:rsid w:val="00FC5F9E"/>
    <w:rsid w:val="00FC6086"/>
    <w:rsid w:val="00FC622D"/>
    <w:rsid w:val="00FC6737"/>
    <w:rsid w:val="00FC686B"/>
    <w:rsid w:val="00FC6A24"/>
    <w:rsid w:val="00FC6CB3"/>
    <w:rsid w:val="00FC6D56"/>
    <w:rsid w:val="00FC797A"/>
    <w:rsid w:val="00FC79D4"/>
    <w:rsid w:val="00FC7AA5"/>
    <w:rsid w:val="00FC7B9D"/>
    <w:rsid w:val="00FC7BE4"/>
    <w:rsid w:val="00FD00B0"/>
    <w:rsid w:val="00FD0217"/>
    <w:rsid w:val="00FD03E9"/>
    <w:rsid w:val="00FD0536"/>
    <w:rsid w:val="00FD066C"/>
    <w:rsid w:val="00FD0A28"/>
    <w:rsid w:val="00FD10F7"/>
    <w:rsid w:val="00FD1289"/>
    <w:rsid w:val="00FD17D2"/>
    <w:rsid w:val="00FD18FF"/>
    <w:rsid w:val="00FD1D68"/>
    <w:rsid w:val="00FD1E7B"/>
    <w:rsid w:val="00FD271B"/>
    <w:rsid w:val="00FD2853"/>
    <w:rsid w:val="00FD2A66"/>
    <w:rsid w:val="00FD2B49"/>
    <w:rsid w:val="00FD3215"/>
    <w:rsid w:val="00FD32F7"/>
    <w:rsid w:val="00FD3445"/>
    <w:rsid w:val="00FD34BA"/>
    <w:rsid w:val="00FD350B"/>
    <w:rsid w:val="00FD359E"/>
    <w:rsid w:val="00FD3763"/>
    <w:rsid w:val="00FD3803"/>
    <w:rsid w:val="00FD3888"/>
    <w:rsid w:val="00FD3BF4"/>
    <w:rsid w:val="00FD3D77"/>
    <w:rsid w:val="00FD40B7"/>
    <w:rsid w:val="00FD40ED"/>
    <w:rsid w:val="00FD4129"/>
    <w:rsid w:val="00FD464D"/>
    <w:rsid w:val="00FD47FF"/>
    <w:rsid w:val="00FD4AD6"/>
    <w:rsid w:val="00FD4B82"/>
    <w:rsid w:val="00FD4E9D"/>
    <w:rsid w:val="00FD50B6"/>
    <w:rsid w:val="00FD539E"/>
    <w:rsid w:val="00FD541A"/>
    <w:rsid w:val="00FD5473"/>
    <w:rsid w:val="00FD54B8"/>
    <w:rsid w:val="00FD5556"/>
    <w:rsid w:val="00FD5569"/>
    <w:rsid w:val="00FD5649"/>
    <w:rsid w:val="00FD566D"/>
    <w:rsid w:val="00FD5BA5"/>
    <w:rsid w:val="00FD5C67"/>
    <w:rsid w:val="00FD5D36"/>
    <w:rsid w:val="00FD5EB4"/>
    <w:rsid w:val="00FD668C"/>
    <w:rsid w:val="00FD68E2"/>
    <w:rsid w:val="00FD69C3"/>
    <w:rsid w:val="00FD6A83"/>
    <w:rsid w:val="00FD6BC1"/>
    <w:rsid w:val="00FD6C20"/>
    <w:rsid w:val="00FD6CB7"/>
    <w:rsid w:val="00FD6CD8"/>
    <w:rsid w:val="00FD6E90"/>
    <w:rsid w:val="00FD6EA1"/>
    <w:rsid w:val="00FD6F9E"/>
    <w:rsid w:val="00FD7103"/>
    <w:rsid w:val="00FD71BE"/>
    <w:rsid w:val="00FD71F1"/>
    <w:rsid w:val="00FD72A5"/>
    <w:rsid w:val="00FD73C5"/>
    <w:rsid w:val="00FD73DA"/>
    <w:rsid w:val="00FD761E"/>
    <w:rsid w:val="00FD7A47"/>
    <w:rsid w:val="00FD7A64"/>
    <w:rsid w:val="00FD7B84"/>
    <w:rsid w:val="00FE0486"/>
    <w:rsid w:val="00FE0612"/>
    <w:rsid w:val="00FE0779"/>
    <w:rsid w:val="00FE0A8C"/>
    <w:rsid w:val="00FE0AF5"/>
    <w:rsid w:val="00FE0B2A"/>
    <w:rsid w:val="00FE0EF6"/>
    <w:rsid w:val="00FE0FF9"/>
    <w:rsid w:val="00FE1176"/>
    <w:rsid w:val="00FE135B"/>
    <w:rsid w:val="00FE13A3"/>
    <w:rsid w:val="00FE1509"/>
    <w:rsid w:val="00FE18AA"/>
    <w:rsid w:val="00FE192B"/>
    <w:rsid w:val="00FE1A48"/>
    <w:rsid w:val="00FE1B00"/>
    <w:rsid w:val="00FE1E27"/>
    <w:rsid w:val="00FE1E8D"/>
    <w:rsid w:val="00FE1FC5"/>
    <w:rsid w:val="00FE2133"/>
    <w:rsid w:val="00FE2447"/>
    <w:rsid w:val="00FE2799"/>
    <w:rsid w:val="00FE2AC9"/>
    <w:rsid w:val="00FE2B07"/>
    <w:rsid w:val="00FE2CC0"/>
    <w:rsid w:val="00FE2CFA"/>
    <w:rsid w:val="00FE2D43"/>
    <w:rsid w:val="00FE2F36"/>
    <w:rsid w:val="00FE3016"/>
    <w:rsid w:val="00FE32E6"/>
    <w:rsid w:val="00FE3536"/>
    <w:rsid w:val="00FE3610"/>
    <w:rsid w:val="00FE36C4"/>
    <w:rsid w:val="00FE3916"/>
    <w:rsid w:val="00FE39D6"/>
    <w:rsid w:val="00FE3B11"/>
    <w:rsid w:val="00FE3BB7"/>
    <w:rsid w:val="00FE3CF0"/>
    <w:rsid w:val="00FE3D35"/>
    <w:rsid w:val="00FE3F88"/>
    <w:rsid w:val="00FE3FB0"/>
    <w:rsid w:val="00FE4235"/>
    <w:rsid w:val="00FE45CC"/>
    <w:rsid w:val="00FE465A"/>
    <w:rsid w:val="00FE4779"/>
    <w:rsid w:val="00FE4F55"/>
    <w:rsid w:val="00FE532C"/>
    <w:rsid w:val="00FE537B"/>
    <w:rsid w:val="00FE53BC"/>
    <w:rsid w:val="00FE54D2"/>
    <w:rsid w:val="00FE55ED"/>
    <w:rsid w:val="00FE5677"/>
    <w:rsid w:val="00FE5CAD"/>
    <w:rsid w:val="00FE60F4"/>
    <w:rsid w:val="00FE6460"/>
    <w:rsid w:val="00FE6675"/>
    <w:rsid w:val="00FE6801"/>
    <w:rsid w:val="00FE6CB5"/>
    <w:rsid w:val="00FE6D73"/>
    <w:rsid w:val="00FE6E98"/>
    <w:rsid w:val="00FE7013"/>
    <w:rsid w:val="00FE70D3"/>
    <w:rsid w:val="00FE71F9"/>
    <w:rsid w:val="00FE72F6"/>
    <w:rsid w:val="00FE7774"/>
    <w:rsid w:val="00FE7C42"/>
    <w:rsid w:val="00FF021B"/>
    <w:rsid w:val="00FF02A2"/>
    <w:rsid w:val="00FF03CE"/>
    <w:rsid w:val="00FF0496"/>
    <w:rsid w:val="00FF07E1"/>
    <w:rsid w:val="00FF08AA"/>
    <w:rsid w:val="00FF09D8"/>
    <w:rsid w:val="00FF0E39"/>
    <w:rsid w:val="00FF1117"/>
    <w:rsid w:val="00FF1350"/>
    <w:rsid w:val="00FF16C4"/>
    <w:rsid w:val="00FF1792"/>
    <w:rsid w:val="00FF1898"/>
    <w:rsid w:val="00FF1BC9"/>
    <w:rsid w:val="00FF1E0A"/>
    <w:rsid w:val="00FF1E9D"/>
    <w:rsid w:val="00FF1F18"/>
    <w:rsid w:val="00FF210E"/>
    <w:rsid w:val="00FF23FE"/>
    <w:rsid w:val="00FF2456"/>
    <w:rsid w:val="00FF248C"/>
    <w:rsid w:val="00FF2814"/>
    <w:rsid w:val="00FF29B8"/>
    <w:rsid w:val="00FF2A5E"/>
    <w:rsid w:val="00FF2C84"/>
    <w:rsid w:val="00FF2D5F"/>
    <w:rsid w:val="00FF3112"/>
    <w:rsid w:val="00FF34D2"/>
    <w:rsid w:val="00FF3857"/>
    <w:rsid w:val="00FF3909"/>
    <w:rsid w:val="00FF3A6E"/>
    <w:rsid w:val="00FF3B75"/>
    <w:rsid w:val="00FF3C33"/>
    <w:rsid w:val="00FF3C57"/>
    <w:rsid w:val="00FF3CAB"/>
    <w:rsid w:val="00FF3E66"/>
    <w:rsid w:val="00FF3F87"/>
    <w:rsid w:val="00FF4281"/>
    <w:rsid w:val="00FF4347"/>
    <w:rsid w:val="00FF43EB"/>
    <w:rsid w:val="00FF4423"/>
    <w:rsid w:val="00FF4C5F"/>
    <w:rsid w:val="00FF4CA2"/>
    <w:rsid w:val="00FF4CEE"/>
    <w:rsid w:val="00FF4E03"/>
    <w:rsid w:val="00FF52B1"/>
    <w:rsid w:val="00FF53EE"/>
    <w:rsid w:val="00FF5674"/>
    <w:rsid w:val="00FF571A"/>
    <w:rsid w:val="00FF58AF"/>
    <w:rsid w:val="00FF5B10"/>
    <w:rsid w:val="00FF5D27"/>
    <w:rsid w:val="00FF64B5"/>
    <w:rsid w:val="00FF657D"/>
    <w:rsid w:val="00FF6612"/>
    <w:rsid w:val="00FF674C"/>
    <w:rsid w:val="00FF67B2"/>
    <w:rsid w:val="00FF7408"/>
    <w:rsid w:val="00FF78C9"/>
    <w:rsid w:val="00FF7ADF"/>
    <w:rsid w:val="00FF7DD3"/>
    <w:rsid w:val="00FF7DEE"/>
    <w:rsid w:val="01029B9D"/>
    <w:rsid w:val="01030C7C"/>
    <w:rsid w:val="01068F4E"/>
    <w:rsid w:val="01074A24"/>
    <w:rsid w:val="01089CAA"/>
    <w:rsid w:val="01096A6D"/>
    <w:rsid w:val="010AE424"/>
    <w:rsid w:val="010C3CCE"/>
    <w:rsid w:val="010D1C9B"/>
    <w:rsid w:val="010F9358"/>
    <w:rsid w:val="0112382E"/>
    <w:rsid w:val="01140D0A"/>
    <w:rsid w:val="0114AC8C"/>
    <w:rsid w:val="01157743"/>
    <w:rsid w:val="01163270"/>
    <w:rsid w:val="011780F2"/>
    <w:rsid w:val="0118A718"/>
    <w:rsid w:val="0118C730"/>
    <w:rsid w:val="0119AFC1"/>
    <w:rsid w:val="011A8BA7"/>
    <w:rsid w:val="011D3DC8"/>
    <w:rsid w:val="011DEE8F"/>
    <w:rsid w:val="011E2EF8"/>
    <w:rsid w:val="011E8AB3"/>
    <w:rsid w:val="011EA084"/>
    <w:rsid w:val="012152F0"/>
    <w:rsid w:val="0121F287"/>
    <w:rsid w:val="0126E849"/>
    <w:rsid w:val="012D79CB"/>
    <w:rsid w:val="012FF8DE"/>
    <w:rsid w:val="01307BF3"/>
    <w:rsid w:val="0131FDCA"/>
    <w:rsid w:val="0138DEB4"/>
    <w:rsid w:val="01395492"/>
    <w:rsid w:val="013E4F84"/>
    <w:rsid w:val="01407EF8"/>
    <w:rsid w:val="0140B657"/>
    <w:rsid w:val="01410FF5"/>
    <w:rsid w:val="01412620"/>
    <w:rsid w:val="01430421"/>
    <w:rsid w:val="014652C5"/>
    <w:rsid w:val="014661A2"/>
    <w:rsid w:val="0148578F"/>
    <w:rsid w:val="01494013"/>
    <w:rsid w:val="014A8A34"/>
    <w:rsid w:val="014AA9ED"/>
    <w:rsid w:val="014B9DC1"/>
    <w:rsid w:val="014F33C7"/>
    <w:rsid w:val="014F54E8"/>
    <w:rsid w:val="01508A65"/>
    <w:rsid w:val="0152C7AE"/>
    <w:rsid w:val="0152E8BB"/>
    <w:rsid w:val="0157F7E7"/>
    <w:rsid w:val="0158A1CF"/>
    <w:rsid w:val="015A2FB4"/>
    <w:rsid w:val="01616EBD"/>
    <w:rsid w:val="016196B0"/>
    <w:rsid w:val="0161F244"/>
    <w:rsid w:val="01626C0F"/>
    <w:rsid w:val="0162943A"/>
    <w:rsid w:val="0168A251"/>
    <w:rsid w:val="016D04B7"/>
    <w:rsid w:val="0171550B"/>
    <w:rsid w:val="01733F58"/>
    <w:rsid w:val="0173CAF7"/>
    <w:rsid w:val="0175ABE5"/>
    <w:rsid w:val="017ACCA5"/>
    <w:rsid w:val="017B26B2"/>
    <w:rsid w:val="017FA439"/>
    <w:rsid w:val="0183759F"/>
    <w:rsid w:val="0186C121"/>
    <w:rsid w:val="018734C8"/>
    <w:rsid w:val="018917C0"/>
    <w:rsid w:val="018A43CC"/>
    <w:rsid w:val="018FF21A"/>
    <w:rsid w:val="0190563B"/>
    <w:rsid w:val="0193ADC3"/>
    <w:rsid w:val="0194437C"/>
    <w:rsid w:val="01956438"/>
    <w:rsid w:val="01976AD1"/>
    <w:rsid w:val="0199828A"/>
    <w:rsid w:val="019A6E67"/>
    <w:rsid w:val="019AE7BA"/>
    <w:rsid w:val="019D0DB2"/>
    <w:rsid w:val="01A26F39"/>
    <w:rsid w:val="01A81967"/>
    <w:rsid w:val="01A91219"/>
    <w:rsid w:val="01A9F1BC"/>
    <w:rsid w:val="01AA906D"/>
    <w:rsid w:val="01AAF2CC"/>
    <w:rsid w:val="01AAFCCE"/>
    <w:rsid w:val="01ACECB8"/>
    <w:rsid w:val="01ADE73F"/>
    <w:rsid w:val="01B47779"/>
    <w:rsid w:val="01B7ABA1"/>
    <w:rsid w:val="01BAF485"/>
    <w:rsid w:val="01BC5E0E"/>
    <w:rsid w:val="01C2E1E2"/>
    <w:rsid w:val="01C2EC39"/>
    <w:rsid w:val="01C3F240"/>
    <w:rsid w:val="01C72FC3"/>
    <w:rsid w:val="01C83AC6"/>
    <w:rsid w:val="01C96880"/>
    <w:rsid w:val="01CF432C"/>
    <w:rsid w:val="01CF8B92"/>
    <w:rsid w:val="01D06DEC"/>
    <w:rsid w:val="01D3AE86"/>
    <w:rsid w:val="01D3AEDE"/>
    <w:rsid w:val="01D41CBE"/>
    <w:rsid w:val="01E13E32"/>
    <w:rsid w:val="01E15257"/>
    <w:rsid w:val="01E2AC56"/>
    <w:rsid w:val="01E35A10"/>
    <w:rsid w:val="01E5041B"/>
    <w:rsid w:val="01E513AE"/>
    <w:rsid w:val="01E555D1"/>
    <w:rsid w:val="01E85FD6"/>
    <w:rsid w:val="01E99B32"/>
    <w:rsid w:val="01EB842D"/>
    <w:rsid w:val="01EFFFED"/>
    <w:rsid w:val="01F03E43"/>
    <w:rsid w:val="01F0D1D8"/>
    <w:rsid w:val="01F12686"/>
    <w:rsid w:val="01F2019F"/>
    <w:rsid w:val="01F38F94"/>
    <w:rsid w:val="01F61393"/>
    <w:rsid w:val="01F6A62A"/>
    <w:rsid w:val="01F74B6E"/>
    <w:rsid w:val="01FDAB7E"/>
    <w:rsid w:val="02012E03"/>
    <w:rsid w:val="02020857"/>
    <w:rsid w:val="0203A837"/>
    <w:rsid w:val="0204604F"/>
    <w:rsid w:val="0204AA85"/>
    <w:rsid w:val="0205C287"/>
    <w:rsid w:val="02061DA4"/>
    <w:rsid w:val="0208F7FD"/>
    <w:rsid w:val="0208F8F7"/>
    <w:rsid w:val="020BD552"/>
    <w:rsid w:val="020BFADD"/>
    <w:rsid w:val="020C3B08"/>
    <w:rsid w:val="020F81E7"/>
    <w:rsid w:val="020FE426"/>
    <w:rsid w:val="0210D1DF"/>
    <w:rsid w:val="0212CAF7"/>
    <w:rsid w:val="0215ADE8"/>
    <w:rsid w:val="0219FB55"/>
    <w:rsid w:val="021BB816"/>
    <w:rsid w:val="02228273"/>
    <w:rsid w:val="022FB8D2"/>
    <w:rsid w:val="0232E7F6"/>
    <w:rsid w:val="02338C81"/>
    <w:rsid w:val="02341247"/>
    <w:rsid w:val="0234D8D4"/>
    <w:rsid w:val="0236969E"/>
    <w:rsid w:val="02389680"/>
    <w:rsid w:val="02389D44"/>
    <w:rsid w:val="023BB367"/>
    <w:rsid w:val="023BD3FA"/>
    <w:rsid w:val="023D1C2E"/>
    <w:rsid w:val="023E81F9"/>
    <w:rsid w:val="023EBE48"/>
    <w:rsid w:val="023F9BFF"/>
    <w:rsid w:val="023FF8AF"/>
    <w:rsid w:val="0240133A"/>
    <w:rsid w:val="024066D9"/>
    <w:rsid w:val="024590AB"/>
    <w:rsid w:val="0246CB13"/>
    <w:rsid w:val="02473972"/>
    <w:rsid w:val="024A4CFF"/>
    <w:rsid w:val="024A6472"/>
    <w:rsid w:val="024BF57B"/>
    <w:rsid w:val="02577E0F"/>
    <w:rsid w:val="025B8FDF"/>
    <w:rsid w:val="025CF2F7"/>
    <w:rsid w:val="025FAE1A"/>
    <w:rsid w:val="0260AD0D"/>
    <w:rsid w:val="02616D98"/>
    <w:rsid w:val="0262391D"/>
    <w:rsid w:val="02637F7E"/>
    <w:rsid w:val="0264652D"/>
    <w:rsid w:val="02680239"/>
    <w:rsid w:val="026864C5"/>
    <w:rsid w:val="0269216E"/>
    <w:rsid w:val="026AA03C"/>
    <w:rsid w:val="026CC46D"/>
    <w:rsid w:val="026D8DD6"/>
    <w:rsid w:val="0272601F"/>
    <w:rsid w:val="0272FD92"/>
    <w:rsid w:val="0273EF88"/>
    <w:rsid w:val="02765024"/>
    <w:rsid w:val="02791077"/>
    <w:rsid w:val="027B7920"/>
    <w:rsid w:val="027DE061"/>
    <w:rsid w:val="027F4CFA"/>
    <w:rsid w:val="02823D15"/>
    <w:rsid w:val="02828B84"/>
    <w:rsid w:val="0286A5AD"/>
    <w:rsid w:val="02874231"/>
    <w:rsid w:val="0288301F"/>
    <w:rsid w:val="028CFCC2"/>
    <w:rsid w:val="028D062E"/>
    <w:rsid w:val="028E8172"/>
    <w:rsid w:val="0292F527"/>
    <w:rsid w:val="02930347"/>
    <w:rsid w:val="0293B5E9"/>
    <w:rsid w:val="029559B1"/>
    <w:rsid w:val="02961396"/>
    <w:rsid w:val="0296932F"/>
    <w:rsid w:val="029B3DBA"/>
    <w:rsid w:val="029DB973"/>
    <w:rsid w:val="029F7865"/>
    <w:rsid w:val="02A36D73"/>
    <w:rsid w:val="02A36DB0"/>
    <w:rsid w:val="02A52BE3"/>
    <w:rsid w:val="02A7431E"/>
    <w:rsid w:val="02A8A631"/>
    <w:rsid w:val="02AB8FDA"/>
    <w:rsid w:val="02B0CC7E"/>
    <w:rsid w:val="02B62AD6"/>
    <w:rsid w:val="02B8C040"/>
    <w:rsid w:val="02BBC797"/>
    <w:rsid w:val="02BDE246"/>
    <w:rsid w:val="02C0825B"/>
    <w:rsid w:val="02C1DAA2"/>
    <w:rsid w:val="02C23779"/>
    <w:rsid w:val="02C3E741"/>
    <w:rsid w:val="02C72C91"/>
    <w:rsid w:val="02C7A9AD"/>
    <w:rsid w:val="02C87998"/>
    <w:rsid w:val="02CD2D32"/>
    <w:rsid w:val="02CD9ED3"/>
    <w:rsid w:val="02CEA248"/>
    <w:rsid w:val="02D078E4"/>
    <w:rsid w:val="02D417AD"/>
    <w:rsid w:val="02D43C98"/>
    <w:rsid w:val="02D8120A"/>
    <w:rsid w:val="02D879F1"/>
    <w:rsid w:val="02D9E41B"/>
    <w:rsid w:val="02DA9FEB"/>
    <w:rsid w:val="02DB480B"/>
    <w:rsid w:val="02DC8C55"/>
    <w:rsid w:val="02E3BF6B"/>
    <w:rsid w:val="02E52237"/>
    <w:rsid w:val="02E5F010"/>
    <w:rsid w:val="02E812B1"/>
    <w:rsid w:val="02E8B26A"/>
    <w:rsid w:val="02E94612"/>
    <w:rsid w:val="02ECA532"/>
    <w:rsid w:val="02EFC4E3"/>
    <w:rsid w:val="02F3777F"/>
    <w:rsid w:val="02F962C4"/>
    <w:rsid w:val="02FACB72"/>
    <w:rsid w:val="02FD1EC3"/>
    <w:rsid w:val="02FDBE31"/>
    <w:rsid w:val="03016E1E"/>
    <w:rsid w:val="0304C724"/>
    <w:rsid w:val="03051603"/>
    <w:rsid w:val="030861FF"/>
    <w:rsid w:val="030B12ED"/>
    <w:rsid w:val="030BA5BC"/>
    <w:rsid w:val="030F6B3C"/>
    <w:rsid w:val="031045F9"/>
    <w:rsid w:val="03128064"/>
    <w:rsid w:val="0312D035"/>
    <w:rsid w:val="03141DD8"/>
    <w:rsid w:val="0314F51E"/>
    <w:rsid w:val="03166CA7"/>
    <w:rsid w:val="03167866"/>
    <w:rsid w:val="0316EB80"/>
    <w:rsid w:val="03183607"/>
    <w:rsid w:val="031A1B52"/>
    <w:rsid w:val="031BFC52"/>
    <w:rsid w:val="031CB378"/>
    <w:rsid w:val="031FCFF6"/>
    <w:rsid w:val="032098BE"/>
    <w:rsid w:val="03241B99"/>
    <w:rsid w:val="0324B9E6"/>
    <w:rsid w:val="03252111"/>
    <w:rsid w:val="0325CB15"/>
    <w:rsid w:val="03282A8D"/>
    <w:rsid w:val="032A14A0"/>
    <w:rsid w:val="032A809C"/>
    <w:rsid w:val="032B6FD6"/>
    <w:rsid w:val="032C269C"/>
    <w:rsid w:val="032E86EB"/>
    <w:rsid w:val="032EED7D"/>
    <w:rsid w:val="032F2FBA"/>
    <w:rsid w:val="032F7115"/>
    <w:rsid w:val="033160E1"/>
    <w:rsid w:val="03323848"/>
    <w:rsid w:val="0332A629"/>
    <w:rsid w:val="0334FE76"/>
    <w:rsid w:val="0336722F"/>
    <w:rsid w:val="033AEA2A"/>
    <w:rsid w:val="033B678E"/>
    <w:rsid w:val="033D28F0"/>
    <w:rsid w:val="033D5C81"/>
    <w:rsid w:val="0341C518"/>
    <w:rsid w:val="03498C18"/>
    <w:rsid w:val="034C15F0"/>
    <w:rsid w:val="03525B9D"/>
    <w:rsid w:val="035360AE"/>
    <w:rsid w:val="0353EA6B"/>
    <w:rsid w:val="0354DB4A"/>
    <w:rsid w:val="0355A383"/>
    <w:rsid w:val="0355CC7D"/>
    <w:rsid w:val="0357849D"/>
    <w:rsid w:val="0357D96A"/>
    <w:rsid w:val="035835E9"/>
    <w:rsid w:val="035F1E51"/>
    <w:rsid w:val="0362A17E"/>
    <w:rsid w:val="0366547C"/>
    <w:rsid w:val="03665676"/>
    <w:rsid w:val="036718D3"/>
    <w:rsid w:val="03676FF9"/>
    <w:rsid w:val="0368006C"/>
    <w:rsid w:val="036BF933"/>
    <w:rsid w:val="036D5222"/>
    <w:rsid w:val="036EC3FD"/>
    <w:rsid w:val="036FA6DA"/>
    <w:rsid w:val="037821D7"/>
    <w:rsid w:val="037A3877"/>
    <w:rsid w:val="037D2D63"/>
    <w:rsid w:val="0380145E"/>
    <w:rsid w:val="03833E80"/>
    <w:rsid w:val="03876393"/>
    <w:rsid w:val="0387F947"/>
    <w:rsid w:val="038B29B8"/>
    <w:rsid w:val="038F3241"/>
    <w:rsid w:val="038FC096"/>
    <w:rsid w:val="039066D4"/>
    <w:rsid w:val="0390B92C"/>
    <w:rsid w:val="03956733"/>
    <w:rsid w:val="039CD2D6"/>
    <w:rsid w:val="03A03545"/>
    <w:rsid w:val="03A03F2E"/>
    <w:rsid w:val="03A1D346"/>
    <w:rsid w:val="03A20C4A"/>
    <w:rsid w:val="03A2822E"/>
    <w:rsid w:val="03A79CEA"/>
    <w:rsid w:val="03AAEB5A"/>
    <w:rsid w:val="03AEF19A"/>
    <w:rsid w:val="03B19318"/>
    <w:rsid w:val="03B1CA29"/>
    <w:rsid w:val="03B28BD7"/>
    <w:rsid w:val="03B2A55B"/>
    <w:rsid w:val="03B414A4"/>
    <w:rsid w:val="03B65998"/>
    <w:rsid w:val="03B7E89D"/>
    <w:rsid w:val="03B9F67C"/>
    <w:rsid w:val="03BA355A"/>
    <w:rsid w:val="03C26254"/>
    <w:rsid w:val="03C92360"/>
    <w:rsid w:val="03C94DFA"/>
    <w:rsid w:val="03CA4E3F"/>
    <w:rsid w:val="03CA9FEC"/>
    <w:rsid w:val="03CBF31C"/>
    <w:rsid w:val="03CCE9F2"/>
    <w:rsid w:val="03CE80C1"/>
    <w:rsid w:val="03D0B4CB"/>
    <w:rsid w:val="03D533B6"/>
    <w:rsid w:val="03D65BFF"/>
    <w:rsid w:val="03DED018"/>
    <w:rsid w:val="03DF0E79"/>
    <w:rsid w:val="03E1BD37"/>
    <w:rsid w:val="03E281E1"/>
    <w:rsid w:val="03E2ED73"/>
    <w:rsid w:val="03E38868"/>
    <w:rsid w:val="03E83770"/>
    <w:rsid w:val="03E8B89A"/>
    <w:rsid w:val="03EBEC2D"/>
    <w:rsid w:val="03F23C7F"/>
    <w:rsid w:val="03F29760"/>
    <w:rsid w:val="03F82360"/>
    <w:rsid w:val="03FC4D28"/>
    <w:rsid w:val="03FD2077"/>
    <w:rsid w:val="03FEAAF2"/>
    <w:rsid w:val="03FF37D4"/>
    <w:rsid w:val="03FF4614"/>
    <w:rsid w:val="04045592"/>
    <w:rsid w:val="0405AFA0"/>
    <w:rsid w:val="0405F531"/>
    <w:rsid w:val="0407B623"/>
    <w:rsid w:val="04080109"/>
    <w:rsid w:val="04084F9A"/>
    <w:rsid w:val="0408BF0B"/>
    <w:rsid w:val="0408DD1D"/>
    <w:rsid w:val="0409D162"/>
    <w:rsid w:val="040A8342"/>
    <w:rsid w:val="040BC241"/>
    <w:rsid w:val="040C1B0F"/>
    <w:rsid w:val="040E0D59"/>
    <w:rsid w:val="040F16F3"/>
    <w:rsid w:val="040F78FC"/>
    <w:rsid w:val="040F7D6E"/>
    <w:rsid w:val="04117AD0"/>
    <w:rsid w:val="04154E49"/>
    <w:rsid w:val="04164615"/>
    <w:rsid w:val="0419CD8C"/>
    <w:rsid w:val="041A6209"/>
    <w:rsid w:val="041ED1C8"/>
    <w:rsid w:val="0422EB05"/>
    <w:rsid w:val="0422F8D3"/>
    <w:rsid w:val="0424A0A1"/>
    <w:rsid w:val="042555F8"/>
    <w:rsid w:val="04266B30"/>
    <w:rsid w:val="0426FD4F"/>
    <w:rsid w:val="0427ECC0"/>
    <w:rsid w:val="0429390E"/>
    <w:rsid w:val="0429B733"/>
    <w:rsid w:val="0429FC12"/>
    <w:rsid w:val="042CF3C4"/>
    <w:rsid w:val="042E0BBD"/>
    <w:rsid w:val="042F1C7A"/>
    <w:rsid w:val="0430E4E2"/>
    <w:rsid w:val="043412E7"/>
    <w:rsid w:val="043652A7"/>
    <w:rsid w:val="0438F697"/>
    <w:rsid w:val="04399740"/>
    <w:rsid w:val="043BFD44"/>
    <w:rsid w:val="043CEA3A"/>
    <w:rsid w:val="043F902E"/>
    <w:rsid w:val="04426D4F"/>
    <w:rsid w:val="0443E72D"/>
    <w:rsid w:val="044412E3"/>
    <w:rsid w:val="044967D7"/>
    <w:rsid w:val="0449DF22"/>
    <w:rsid w:val="0449E5B3"/>
    <w:rsid w:val="044B2FA3"/>
    <w:rsid w:val="045475AB"/>
    <w:rsid w:val="0454C7DD"/>
    <w:rsid w:val="0456E10F"/>
    <w:rsid w:val="04589470"/>
    <w:rsid w:val="0461ADBD"/>
    <w:rsid w:val="0462ABB6"/>
    <w:rsid w:val="0464123F"/>
    <w:rsid w:val="04642BBE"/>
    <w:rsid w:val="04645963"/>
    <w:rsid w:val="0464656A"/>
    <w:rsid w:val="04652069"/>
    <w:rsid w:val="0467AB8B"/>
    <w:rsid w:val="04685C9B"/>
    <w:rsid w:val="0468771D"/>
    <w:rsid w:val="0469B90C"/>
    <w:rsid w:val="046B4ECE"/>
    <w:rsid w:val="046BE46E"/>
    <w:rsid w:val="046D4847"/>
    <w:rsid w:val="0471BA43"/>
    <w:rsid w:val="04766F0C"/>
    <w:rsid w:val="0478A00F"/>
    <w:rsid w:val="04798E27"/>
    <w:rsid w:val="047B95FD"/>
    <w:rsid w:val="047F724E"/>
    <w:rsid w:val="04816E86"/>
    <w:rsid w:val="0486EA25"/>
    <w:rsid w:val="04876955"/>
    <w:rsid w:val="04877BEB"/>
    <w:rsid w:val="04879F70"/>
    <w:rsid w:val="0487E5D7"/>
    <w:rsid w:val="0489A8E6"/>
    <w:rsid w:val="048A8F8F"/>
    <w:rsid w:val="048B3EDB"/>
    <w:rsid w:val="048E45C1"/>
    <w:rsid w:val="049130E5"/>
    <w:rsid w:val="04923DE1"/>
    <w:rsid w:val="04940602"/>
    <w:rsid w:val="049C2C8A"/>
    <w:rsid w:val="04A1AEF1"/>
    <w:rsid w:val="04AC3A17"/>
    <w:rsid w:val="04ACB9BD"/>
    <w:rsid w:val="04AE513D"/>
    <w:rsid w:val="04AE588A"/>
    <w:rsid w:val="04AF1525"/>
    <w:rsid w:val="04B11169"/>
    <w:rsid w:val="04B1AD83"/>
    <w:rsid w:val="04B2C774"/>
    <w:rsid w:val="04B2DFE4"/>
    <w:rsid w:val="04B3DB0A"/>
    <w:rsid w:val="04B6C149"/>
    <w:rsid w:val="04B899B6"/>
    <w:rsid w:val="04B93ABA"/>
    <w:rsid w:val="04BA0F91"/>
    <w:rsid w:val="04BA67B5"/>
    <w:rsid w:val="04BC3CA3"/>
    <w:rsid w:val="04BF60DF"/>
    <w:rsid w:val="04C1831F"/>
    <w:rsid w:val="04C1FA36"/>
    <w:rsid w:val="04C33013"/>
    <w:rsid w:val="04C81800"/>
    <w:rsid w:val="04C8A20F"/>
    <w:rsid w:val="04C8F15A"/>
    <w:rsid w:val="04C974D8"/>
    <w:rsid w:val="04CA9905"/>
    <w:rsid w:val="04CC32C7"/>
    <w:rsid w:val="04D1832B"/>
    <w:rsid w:val="04D264EB"/>
    <w:rsid w:val="04D28C68"/>
    <w:rsid w:val="04D35A82"/>
    <w:rsid w:val="04D430E3"/>
    <w:rsid w:val="04D53D22"/>
    <w:rsid w:val="04D74874"/>
    <w:rsid w:val="04D7C27B"/>
    <w:rsid w:val="04DBAA0D"/>
    <w:rsid w:val="04DD7EBD"/>
    <w:rsid w:val="04DF0219"/>
    <w:rsid w:val="04DFD553"/>
    <w:rsid w:val="04E34148"/>
    <w:rsid w:val="04E47623"/>
    <w:rsid w:val="04E5E365"/>
    <w:rsid w:val="04E6065A"/>
    <w:rsid w:val="04E658F2"/>
    <w:rsid w:val="04E721C8"/>
    <w:rsid w:val="04E8F0D6"/>
    <w:rsid w:val="04E93A25"/>
    <w:rsid w:val="04E9B762"/>
    <w:rsid w:val="04EB980D"/>
    <w:rsid w:val="04EBF773"/>
    <w:rsid w:val="04EEE141"/>
    <w:rsid w:val="04EFE2E8"/>
    <w:rsid w:val="04F0803E"/>
    <w:rsid w:val="04F3AE71"/>
    <w:rsid w:val="04F54D92"/>
    <w:rsid w:val="04F61A3A"/>
    <w:rsid w:val="04F8F9DA"/>
    <w:rsid w:val="04F9050A"/>
    <w:rsid w:val="04FB81A4"/>
    <w:rsid w:val="04FB888B"/>
    <w:rsid w:val="04FCA6DB"/>
    <w:rsid w:val="04FE8B0F"/>
    <w:rsid w:val="04FEFC95"/>
    <w:rsid w:val="050253F6"/>
    <w:rsid w:val="0503FA78"/>
    <w:rsid w:val="0505AD75"/>
    <w:rsid w:val="0509376A"/>
    <w:rsid w:val="05095CD0"/>
    <w:rsid w:val="0509CDA6"/>
    <w:rsid w:val="050B8F74"/>
    <w:rsid w:val="050EC50E"/>
    <w:rsid w:val="05112E92"/>
    <w:rsid w:val="0512ACE1"/>
    <w:rsid w:val="0512F792"/>
    <w:rsid w:val="0512FC68"/>
    <w:rsid w:val="0513867A"/>
    <w:rsid w:val="0514684A"/>
    <w:rsid w:val="0514898F"/>
    <w:rsid w:val="051B3F54"/>
    <w:rsid w:val="051D51E8"/>
    <w:rsid w:val="051E9599"/>
    <w:rsid w:val="051FB0B3"/>
    <w:rsid w:val="051FB2EB"/>
    <w:rsid w:val="051FCD59"/>
    <w:rsid w:val="05204111"/>
    <w:rsid w:val="05210892"/>
    <w:rsid w:val="05215248"/>
    <w:rsid w:val="052328EC"/>
    <w:rsid w:val="05239978"/>
    <w:rsid w:val="0523D2AB"/>
    <w:rsid w:val="0525F177"/>
    <w:rsid w:val="052616DD"/>
    <w:rsid w:val="05284531"/>
    <w:rsid w:val="052C17FF"/>
    <w:rsid w:val="052C537B"/>
    <w:rsid w:val="052D3D1F"/>
    <w:rsid w:val="05315148"/>
    <w:rsid w:val="0534D63C"/>
    <w:rsid w:val="0535FEBB"/>
    <w:rsid w:val="0536F2C2"/>
    <w:rsid w:val="05371AE2"/>
    <w:rsid w:val="053E8901"/>
    <w:rsid w:val="05426AE4"/>
    <w:rsid w:val="05452485"/>
    <w:rsid w:val="05477464"/>
    <w:rsid w:val="05483AC3"/>
    <w:rsid w:val="054C2709"/>
    <w:rsid w:val="054C2B3A"/>
    <w:rsid w:val="054F9B8E"/>
    <w:rsid w:val="05562729"/>
    <w:rsid w:val="05582174"/>
    <w:rsid w:val="05585C90"/>
    <w:rsid w:val="055A2210"/>
    <w:rsid w:val="055A48CB"/>
    <w:rsid w:val="055A6F2B"/>
    <w:rsid w:val="055B1DD9"/>
    <w:rsid w:val="055BB386"/>
    <w:rsid w:val="055D8BFE"/>
    <w:rsid w:val="055E2C73"/>
    <w:rsid w:val="055E2F8B"/>
    <w:rsid w:val="055F7381"/>
    <w:rsid w:val="0560A48F"/>
    <w:rsid w:val="05619E05"/>
    <w:rsid w:val="0561E2BD"/>
    <w:rsid w:val="0565A773"/>
    <w:rsid w:val="05666157"/>
    <w:rsid w:val="0569EF6A"/>
    <w:rsid w:val="056B6471"/>
    <w:rsid w:val="056BAD11"/>
    <w:rsid w:val="056C5B40"/>
    <w:rsid w:val="057002F2"/>
    <w:rsid w:val="05708F55"/>
    <w:rsid w:val="05717E13"/>
    <w:rsid w:val="057581CA"/>
    <w:rsid w:val="0576E930"/>
    <w:rsid w:val="05796F16"/>
    <w:rsid w:val="057B1071"/>
    <w:rsid w:val="057BC2EB"/>
    <w:rsid w:val="057E08B5"/>
    <w:rsid w:val="057EE65C"/>
    <w:rsid w:val="0580C9CB"/>
    <w:rsid w:val="05818F33"/>
    <w:rsid w:val="0582A5FF"/>
    <w:rsid w:val="0585139B"/>
    <w:rsid w:val="058528E4"/>
    <w:rsid w:val="058632E3"/>
    <w:rsid w:val="05884C13"/>
    <w:rsid w:val="05891C8F"/>
    <w:rsid w:val="058B020D"/>
    <w:rsid w:val="058BCB1F"/>
    <w:rsid w:val="058CF0DA"/>
    <w:rsid w:val="058EB8FC"/>
    <w:rsid w:val="0590669A"/>
    <w:rsid w:val="059381AD"/>
    <w:rsid w:val="05976F24"/>
    <w:rsid w:val="0597EFE3"/>
    <w:rsid w:val="059A1BA8"/>
    <w:rsid w:val="059ED5D1"/>
    <w:rsid w:val="059F03A9"/>
    <w:rsid w:val="05A0B3B0"/>
    <w:rsid w:val="05A14C12"/>
    <w:rsid w:val="05A32138"/>
    <w:rsid w:val="05A36565"/>
    <w:rsid w:val="05A5E965"/>
    <w:rsid w:val="05A9BDEC"/>
    <w:rsid w:val="05AB898E"/>
    <w:rsid w:val="05AC5B5C"/>
    <w:rsid w:val="05AEB404"/>
    <w:rsid w:val="05B1DA3F"/>
    <w:rsid w:val="05B1F63E"/>
    <w:rsid w:val="05B4EC5F"/>
    <w:rsid w:val="05B54174"/>
    <w:rsid w:val="05B5546E"/>
    <w:rsid w:val="05BC9779"/>
    <w:rsid w:val="05BEB465"/>
    <w:rsid w:val="05C02CC1"/>
    <w:rsid w:val="05C3F8BD"/>
    <w:rsid w:val="05C57376"/>
    <w:rsid w:val="05C70933"/>
    <w:rsid w:val="05C73F32"/>
    <w:rsid w:val="05C7829E"/>
    <w:rsid w:val="05CBCAC1"/>
    <w:rsid w:val="05CBE32D"/>
    <w:rsid w:val="05D172FF"/>
    <w:rsid w:val="05D1A16D"/>
    <w:rsid w:val="05D3BB76"/>
    <w:rsid w:val="05D5F422"/>
    <w:rsid w:val="05D67678"/>
    <w:rsid w:val="05D9E402"/>
    <w:rsid w:val="05E046F3"/>
    <w:rsid w:val="05E051F7"/>
    <w:rsid w:val="05E0C126"/>
    <w:rsid w:val="05E0D431"/>
    <w:rsid w:val="05E16837"/>
    <w:rsid w:val="05E1D103"/>
    <w:rsid w:val="05E6294E"/>
    <w:rsid w:val="05E77A9B"/>
    <w:rsid w:val="05E86EB3"/>
    <w:rsid w:val="05E89BD8"/>
    <w:rsid w:val="05E96CB7"/>
    <w:rsid w:val="05ED88E8"/>
    <w:rsid w:val="05ED9495"/>
    <w:rsid w:val="05F479EC"/>
    <w:rsid w:val="05F4E9E3"/>
    <w:rsid w:val="05F62D52"/>
    <w:rsid w:val="05F7FB88"/>
    <w:rsid w:val="05F84BEA"/>
    <w:rsid w:val="05F8871A"/>
    <w:rsid w:val="05FA2C35"/>
    <w:rsid w:val="05FBF43F"/>
    <w:rsid w:val="05FC57DC"/>
    <w:rsid w:val="06025D59"/>
    <w:rsid w:val="06042F6B"/>
    <w:rsid w:val="060642C7"/>
    <w:rsid w:val="0607258A"/>
    <w:rsid w:val="060827C9"/>
    <w:rsid w:val="0608A69C"/>
    <w:rsid w:val="0608EC12"/>
    <w:rsid w:val="060B7848"/>
    <w:rsid w:val="060C21E5"/>
    <w:rsid w:val="060C9E8F"/>
    <w:rsid w:val="060F7879"/>
    <w:rsid w:val="060F9004"/>
    <w:rsid w:val="06102D58"/>
    <w:rsid w:val="06141B50"/>
    <w:rsid w:val="0615B792"/>
    <w:rsid w:val="0617BFFE"/>
    <w:rsid w:val="061899C3"/>
    <w:rsid w:val="061C848E"/>
    <w:rsid w:val="0620AA6E"/>
    <w:rsid w:val="0623242E"/>
    <w:rsid w:val="0625116C"/>
    <w:rsid w:val="06285B15"/>
    <w:rsid w:val="062A8CF6"/>
    <w:rsid w:val="062AC145"/>
    <w:rsid w:val="062ADEE1"/>
    <w:rsid w:val="062C49A5"/>
    <w:rsid w:val="062D9C96"/>
    <w:rsid w:val="062DC617"/>
    <w:rsid w:val="0632DB7E"/>
    <w:rsid w:val="063493CB"/>
    <w:rsid w:val="0639F4D2"/>
    <w:rsid w:val="063A0E5C"/>
    <w:rsid w:val="063C012F"/>
    <w:rsid w:val="063CB9B0"/>
    <w:rsid w:val="06410CC6"/>
    <w:rsid w:val="0642DF29"/>
    <w:rsid w:val="0643122B"/>
    <w:rsid w:val="0643F655"/>
    <w:rsid w:val="064608DE"/>
    <w:rsid w:val="0646AA4F"/>
    <w:rsid w:val="064A6B2A"/>
    <w:rsid w:val="064AA0CC"/>
    <w:rsid w:val="064ACCCD"/>
    <w:rsid w:val="064E5C28"/>
    <w:rsid w:val="0650BBCA"/>
    <w:rsid w:val="0651AE78"/>
    <w:rsid w:val="0651C8C0"/>
    <w:rsid w:val="06521465"/>
    <w:rsid w:val="065896FC"/>
    <w:rsid w:val="06596771"/>
    <w:rsid w:val="06596AD1"/>
    <w:rsid w:val="065B8E97"/>
    <w:rsid w:val="06663D52"/>
    <w:rsid w:val="066B2AB6"/>
    <w:rsid w:val="066BE940"/>
    <w:rsid w:val="066EF839"/>
    <w:rsid w:val="067157F8"/>
    <w:rsid w:val="067384F7"/>
    <w:rsid w:val="0673E23F"/>
    <w:rsid w:val="067576BE"/>
    <w:rsid w:val="067621B5"/>
    <w:rsid w:val="067928A6"/>
    <w:rsid w:val="067A7C06"/>
    <w:rsid w:val="067C4A95"/>
    <w:rsid w:val="067C5552"/>
    <w:rsid w:val="067D9FE3"/>
    <w:rsid w:val="067FE4C0"/>
    <w:rsid w:val="06802D92"/>
    <w:rsid w:val="06854E0F"/>
    <w:rsid w:val="068B2CE5"/>
    <w:rsid w:val="068BCD91"/>
    <w:rsid w:val="068CE486"/>
    <w:rsid w:val="068E9E42"/>
    <w:rsid w:val="068F4976"/>
    <w:rsid w:val="069830A7"/>
    <w:rsid w:val="0699254F"/>
    <w:rsid w:val="069B2CE4"/>
    <w:rsid w:val="069B4EC2"/>
    <w:rsid w:val="069C2CF6"/>
    <w:rsid w:val="069C7175"/>
    <w:rsid w:val="069D298D"/>
    <w:rsid w:val="069DA68A"/>
    <w:rsid w:val="069DBDBA"/>
    <w:rsid w:val="069F309E"/>
    <w:rsid w:val="06A00A1D"/>
    <w:rsid w:val="06A1E83C"/>
    <w:rsid w:val="06A2759C"/>
    <w:rsid w:val="06A64E08"/>
    <w:rsid w:val="06A664C7"/>
    <w:rsid w:val="06AA4733"/>
    <w:rsid w:val="06AF0E3D"/>
    <w:rsid w:val="06AF60AA"/>
    <w:rsid w:val="06AFE04D"/>
    <w:rsid w:val="06B065E2"/>
    <w:rsid w:val="06B12D54"/>
    <w:rsid w:val="06B37903"/>
    <w:rsid w:val="06B445AA"/>
    <w:rsid w:val="06B47DBF"/>
    <w:rsid w:val="06B4C6F4"/>
    <w:rsid w:val="06B853AB"/>
    <w:rsid w:val="06B9CDC6"/>
    <w:rsid w:val="06BA1161"/>
    <w:rsid w:val="06BF4397"/>
    <w:rsid w:val="06C14DD7"/>
    <w:rsid w:val="06C37757"/>
    <w:rsid w:val="06C497A9"/>
    <w:rsid w:val="06C4FAFB"/>
    <w:rsid w:val="06C822DF"/>
    <w:rsid w:val="06C867CC"/>
    <w:rsid w:val="06C8D849"/>
    <w:rsid w:val="06C9BD9F"/>
    <w:rsid w:val="06CAD88D"/>
    <w:rsid w:val="06CC5064"/>
    <w:rsid w:val="06CC685D"/>
    <w:rsid w:val="06CF872B"/>
    <w:rsid w:val="06D39B9B"/>
    <w:rsid w:val="06D42DE4"/>
    <w:rsid w:val="06D43F92"/>
    <w:rsid w:val="06D8B3B9"/>
    <w:rsid w:val="06DE225D"/>
    <w:rsid w:val="06DE54F3"/>
    <w:rsid w:val="06E13732"/>
    <w:rsid w:val="06E179F4"/>
    <w:rsid w:val="06E44CF7"/>
    <w:rsid w:val="06E81AF2"/>
    <w:rsid w:val="06ED86A0"/>
    <w:rsid w:val="06EF8C7F"/>
    <w:rsid w:val="06F30D9A"/>
    <w:rsid w:val="06F4ED0C"/>
    <w:rsid w:val="06F628FA"/>
    <w:rsid w:val="06F7EB4E"/>
    <w:rsid w:val="06F8637D"/>
    <w:rsid w:val="06FA266E"/>
    <w:rsid w:val="06FEAB20"/>
    <w:rsid w:val="0701D74E"/>
    <w:rsid w:val="0701DAA1"/>
    <w:rsid w:val="070AA000"/>
    <w:rsid w:val="070BCD42"/>
    <w:rsid w:val="070F7DCA"/>
    <w:rsid w:val="07196E82"/>
    <w:rsid w:val="071D57FA"/>
    <w:rsid w:val="071F2BFD"/>
    <w:rsid w:val="0720B3AE"/>
    <w:rsid w:val="0721130F"/>
    <w:rsid w:val="07292250"/>
    <w:rsid w:val="07295A7A"/>
    <w:rsid w:val="072B42EF"/>
    <w:rsid w:val="072E9A07"/>
    <w:rsid w:val="073090FC"/>
    <w:rsid w:val="0732746E"/>
    <w:rsid w:val="0733F638"/>
    <w:rsid w:val="07341688"/>
    <w:rsid w:val="0735AF74"/>
    <w:rsid w:val="07372259"/>
    <w:rsid w:val="07383E40"/>
    <w:rsid w:val="0738B5EB"/>
    <w:rsid w:val="073CE3D2"/>
    <w:rsid w:val="073DA116"/>
    <w:rsid w:val="073EC721"/>
    <w:rsid w:val="073F7DE4"/>
    <w:rsid w:val="07403A6B"/>
    <w:rsid w:val="074401D4"/>
    <w:rsid w:val="0744D928"/>
    <w:rsid w:val="0747D6EF"/>
    <w:rsid w:val="07488C0F"/>
    <w:rsid w:val="074A512C"/>
    <w:rsid w:val="074AE4B6"/>
    <w:rsid w:val="074C3835"/>
    <w:rsid w:val="074C4F6B"/>
    <w:rsid w:val="07548DA3"/>
    <w:rsid w:val="075B2210"/>
    <w:rsid w:val="075BD89D"/>
    <w:rsid w:val="075E044B"/>
    <w:rsid w:val="075F5136"/>
    <w:rsid w:val="07618A07"/>
    <w:rsid w:val="0763EC3E"/>
    <w:rsid w:val="07641E17"/>
    <w:rsid w:val="0770015B"/>
    <w:rsid w:val="07733BB7"/>
    <w:rsid w:val="0774CDA1"/>
    <w:rsid w:val="0776BD37"/>
    <w:rsid w:val="077761B7"/>
    <w:rsid w:val="077A2444"/>
    <w:rsid w:val="077C2B64"/>
    <w:rsid w:val="077C6C3B"/>
    <w:rsid w:val="077C7BE5"/>
    <w:rsid w:val="077DC847"/>
    <w:rsid w:val="077DEBA6"/>
    <w:rsid w:val="077E4E85"/>
    <w:rsid w:val="077E99E8"/>
    <w:rsid w:val="0781799B"/>
    <w:rsid w:val="0782056C"/>
    <w:rsid w:val="07834622"/>
    <w:rsid w:val="0786C7D9"/>
    <w:rsid w:val="0786DD8A"/>
    <w:rsid w:val="0788411E"/>
    <w:rsid w:val="0788F8C8"/>
    <w:rsid w:val="078BFFBB"/>
    <w:rsid w:val="078C66BB"/>
    <w:rsid w:val="078D5A67"/>
    <w:rsid w:val="078E02DD"/>
    <w:rsid w:val="078E0ECF"/>
    <w:rsid w:val="078F2FBE"/>
    <w:rsid w:val="07912CC2"/>
    <w:rsid w:val="0792D620"/>
    <w:rsid w:val="07941DA1"/>
    <w:rsid w:val="0797B3E1"/>
    <w:rsid w:val="079BB301"/>
    <w:rsid w:val="079BFEE1"/>
    <w:rsid w:val="079DCE09"/>
    <w:rsid w:val="079F8E6F"/>
    <w:rsid w:val="07A0EFE8"/>
    <w:rsid w:val="07A6BA35"/>
    <w:rsid w:val="07A7C403"/>
    <w:rsid w:val="07AAC745"/>
    <w:rsid w:val="07ABAFD8"/>
    <w:rsid w:val="07AC8FC5"/>
    <w:rsid w:val="07B11F19"/>
    <w:rsid w:val="07B22BF1"/>
    <w:rsid w:val="07B26DE8"/>
    <w:rsid w:val="07B3FC82"/>
    <w:rsid w:val="07B9293A"/>
    <w:rsid w:val="07BAF7CB"/>
    <w:rsid w:val="07BF690E"/>
    <w:rsid w:val="07C00B3A"/>
    <w:rsid w:val="07C47307"/>
    <w:rsid w:val="07C9ACBE"/>
    <w:rsid w:val="07CAC418"/>
    <w:rsid w:val="07CAD83E"/>
    <w:rsid w:val="07CD2A9E"/>
    <w:rsid w:val="07D2AD60"/>
    <w:rsid w:val="07D2F733"/>
    <w:rsid w:val="07D3AD93"/>
    <w:rsid w:val="07D70B23"/>
    <w:rsid w:val="07D787BB"/>
    <w:rsid w:val="07D7C7A2"/>
    <w:rsid w:val="07DB0686"/>
    <w:rsid w:val="07DB18E6"/>
    <w:rsid w:val="07DB480B"/>
    <w:rsid w:val="07DBC2AE"/>
    <w:rsid w:val="07DC075B"/>
    <w:rsid w:val="07DC42DA"/>
    <w:rsid w:val="07DCF92D"/>
    <w:rsid w:val="07E04F5B"/>
    <w:rsid w:val="07E2F19F"/>
    <w:rsid w:val="07E3AC25"/>
    <w:rsid w:val="07E57224"/>
    <w:rsid w:val="07E8835C"/>
    <w:rsid w:val="07E960A6"/>
    <w:rsid w:val="07E9D307"/>
    <w:rsid w:val="07ECAFD2"/>
    <w:rsid w:val="07F04C5E"/>
    <w:rsid w:val="07F1DD74"/>
    <w:rsid w:val="07F2E661"/>
    <w:rsid w:val="07F6C10E"/>
    <w:rsid w:val="07F71B43"/>
    <w:rsid w:val="07F8A01D"/>
    <w:rsid w:val="07FA8CA7"/>
    <w:rsid w:val="07FC10DF"/>
    <w:rsid w:val="07FDF0B8"/>
    <w:rsid w:val="07FE37EC"/>
    <w:rsid w:val="07FFFBEA"/>
    <w:rsid w:val="08013B07"/>
    <w:rsid w:val="0801F66A"/>
    <w:rsid w:val="08020295"/>
    <w:rsid w:val="0805373F"/>
    <w:rsid w:val="0805ECAB"/>
    <w:rsid w:val="0805F810"/>
    <w:rsid w:val="08063E2E"/>
    <w:rsid w:val="080839D5"/>
    <w:rsid w:val="08092B41"/>
    <w:rsid w:val="080A3F25"/>
    <w:rsid w:val="080A6C23"/>
    <w:rsid w:val="080D13A3"/>
    <w:rsid w:val="081037F6"/>
    <w:rsid w:val="0814CCB5"/>
    <w:rsid w:val="08159179"/>
    <w:rsid w:val="0815DB71"/>
    <w:rsid w:val="08177929"/>
    <w:rsid w:val="081B805C"/>
    <w:rsid w:val="081DB678"/>
    <w:rsid w:val="081E5624"/>
    <w:rsid w:val="081ED267"/>
    <w:rsid w:val="081F5F36"/>
    <w:rsid w:val="08237045"/>
    <w:rsid w:val="082E48A5"/>
    <w:rsid w:val="082EBDA5"/>
    <w:rsid w:val="08328286"/>
    <w:rsid w:val="0832EE21"/>
    <w:rsid w:val="0833D504"/>
    <w:rsid w:val="083512F7"/>
    <w:rsid w:val="08357F6C"/>
    <w:rsid w:val="0835D3DD"/>
    <w:rsid w:val="0836B342"/>
    <w:rsid w:val="0837CA36"/>
    <w:rsid w:val="083A51BF"/>
    <w:rsid w:val="083AD1D3"/>
    <w:rsid w:val="083B7561"/>
    <w:rsid w:val="08417A92"/>
    <w:rsid w:val="084319B1"/>
    <w:rsid w:val="08441065"/>
    <w:rsid w:val="08470E2C"/>
    <w:rsid w:val="08493FCE"/>
    <w:rsid w:val="084BDC3F"/>
    <w:rsid w:val="084CC8D5"/>
    <w:rsid w:val="084D1473"/>
    <w:rsid w:val="084E77B3"/>
    <w:rsid w:val="084FFBB2"/>
    <w:rsid w:val="0851E530"/>
    <w:rsid w:val="085240DF"/>
    <w:rsid w:val="08543042"/>
    <w:rsid w:val="0858EE0F"/>
    <w:rsid w:val="085B32D8"/>
    <w:rsid w:val="085DAA26"/>
    <w:rsid w:val="085DF31D"/>
    <w:rsid w:val="08618517"/>
    <w:rsid w:val="0863196D"/>
    <w:rsid w:val="08632CA0"/>
    <w:rsid w:val="0865875A"/>
    <w:rsid w:val="08680C31"/>
    <w:rsid w:val="0869729D"/>
    <w:rsid w:val="086F0E40"/>
    <w:rsid w:val="087093BB"/>
    <w:rsid w:val="08715781"/>
    <w:rsid w:val="08769F7B"/>
    <w:rsid w:val="0878E3C9"/>
    <w:rsid w:val="087B3C0D"/>
    <w:rsid w:val="087B7FE7"/>
    <w:rsid w:val="087BCBA7"/>
    <w:rsid w:val="087CB7E9"/>
    <w:rsid w:val="087CC2E0"/>
    <w:rsid w:val="087FDFE3"/>
    <w:rsid w:val="08817EFF"/>
    <w:rsid w:val="0882826D"/>
    <w:rsid w:val="0882B7AD"/>
    <w:rsid w:val="088397A6"/>
    <w:rsid w:val="0884E106"/>
    <w:rsid w:val="088AC011"/>
    <w:rsid w:val="088AE2B3"/>
    <w:rsid w:val="088C94D3"/>
    <w:rsid w:val="089001C5"/>
    <w:rsid w:val="0890E0B4"/>
    <w:rsid w:val="0893B4C2"/>
    <w:rsid w:val="0894DF7C"/>
    <w:rsid w:val="089551D4"/>
    <w:rsid w:val="0896A843"/>
    <w:rsid w:val="0896B683"/>
    <w:rsid w:val="089F26B3"/>
    <w:rsid w:val="08A01096"/>
    <w:rsid w:val="08A2C93A"/>
    <w:rsid w:val="08A519C5"/>
    <w:rsid w:val="08A63636"/>
    <w:rsid w:val="08A67D9A"/>
    <w:rsid w:val="08A6A20A"/>
    <w:rsid w:val="08AC1BCC"/>
    <w:rsid w:val="08AC8BA7"/>
    <w:rsid w:val="08AD215F"/>
    <w:rsid w:val="08AE03FD"/>
    <w:rsid w:val="08AFDBED"/>
    <w:rsid w:val="08B2531C"/>
    <w:rsid w:val="08B558BB"/>
    <w:rsid w:val="08B6817E"/>
    <w:rsid w:val="08B6831F"/>
    <w:rsid w:val="08BC3C96"/>
    <w:rsid w:val="08BC4483"/>
    <w:rsid w:val="08BDF031"/>
    <w:rsid w:val="08BFD4FB"/>
    <w:rsid w:val="08C23C82"/>
    <w:rsid w:val="08C815EA"/>
    <w:rsid w:val="08C9E016"/>
    <w:rsid w:val="08CAFDAD"/>
    <w:rsid w:val="08CDBA90"/>
    <w:rsid w:val="08CFF705"/>
    <w:rsid w:val="08D66E04"/>
    <w:rsid w:val="08D721D4"/>
    <w:rsid w:val="08D98F8B"/>
    <w:rsid w:val="08DD975E"/>
    <w:rsid w:val="08E07E3C"/>
    <w:rsid w:val="08E241A7"/>
    <w:rsid w:val="08E9A9D7"/>
    <w:rsid w:val="08E9AB49"/>
    <w:rsid w:val="08EACDAB"/>
    <w:rsid w:val="08EF7A7A"/>
    <w:rsid w:val="08EFF23E"/>
    <w:rsid w:val="08F0B933"/>
    <w:rsid w:val="08F1CCF4"/>
    <w:rsid w:val="08F2C334"/>
    <w:rsid w:val="08F2E377"/>
    <w:rsid w:val="08F38EB6"/>
    <w:rsid w:val="08F85F4D"/>
    <w:rsid w:val="08FB496B"/>
    <w:rsid w:val="08FC31CE"/>
    <w:rsid w:val="08FC40B7"/>
    <w:rsid w:val="08FE7F90"/>
    <w:rsid w:val="0900C0A7"/>
    <w:rsid w:val="09057421"/>
    <w:rsid w:val="0906A019"/>
    <w:rsid w:val="0907C93D"/>
    <w:rsid w:val="090A6CE0"/>
    <w:rsid w:val="090EFD20"/>
    <w:rsid w:val="090F29CA"/>
    <w:rsid w:val="0910BB50"/>
    <w:rsid w:val="0911D2D0"/>
    <w:rsid w:val="09124F9E"/>
    <w:rsid w:val="09135084"/>
    <w:rsid w:val="0916BEA7"/>
    <w:rsid w:val="09175E88"/>
    <w:rsid w:val="0918391B"/>
    <w:rsid w:val="0919051A"/>
    <w:rsid w:val="091C593E"/>
    <w:rsid w:val="091D0A91"/>
    <w:rsid w:val="091E4ABE"/>
    <w:rsid w:val="091EC1C2"/>
    <w:rsid w:val="09210FC0"/>
    <w:rsid w:val="0921150C"/>
    <w:rsid w:val="0922A838"/>
    <w:rsid w:val="09240B52"/>
    <w:rsid w:val="092A0B0B"/>
    <w:rsid w:val="092AB8DC"/>
    <w:rsid w:val="092DCE1D"/>
    <w:rsid w:val="092DDA11"/>
    <w:rsid w:val="092EBA53"/>
    <w:rsid w:val="09309661"/>
    <w:rsid w:val="093113DF"/>
    <w:rsid w:val="093365F9"/>
    <w:rsid w:val="09363977"/>
    <w:rsid w:val="0937348A"/>
    <w:rsid w:val="093C58CF"/>
    <w:rsid w:val="093CFF8B"/>
    <w:rsid w:val="093F07AC"/>
    <w:rsid w:val="09427031"/>
    <w:rsid w:val="0944948D"/>
    <w:rsid w:val="0947A2F2"/>
    <w:rsid w:val="0947F472"/>
    <w:rsid w:val="0948756F"/>
    <w:rsid w:val="09490C61"/>
    <w:rsid w:val="094A5401"/>
    <w:rsid w:val="094C670C"/>
    <w:rsid w:val="094D4F4C"/>
    <w:rsid w:val="095717FD"/>
    <w:rsid w:val="0958952B"/>
    <w:rsid w:val="09592AF2"/>
    <w:rsid w:val="09598C75"/>
    <w:rsid w:val="095B18F5"/>
    <w:rsid w:val="095DB9D1"/>
    <w:rsid w:val="095E7615"/>
    <w:rsid w:val="09666B06"/>
    <w:rsid w:val="09670439"/>
    <w:rsid w:val="096A0394"/>
    <w:rsid w:val="096E5EB4"/>
    <w:rsid w:val="096F4EBA"/>
    <w:rsid w:val="0971FAFD"/>
    <w:rsid w:val="0973262C"/>
    <w:rsid w:val="09753FCC"/>
    <w:rsid w:val="097592C1"/>
    <w:rsid w:val="09778501"/>
    <w:rsid w:val="097937BA"/>
    <w:rsid w:val="0979FAB1"/>
    <w:rsid w:val="097D9323"/>
    <w:rsid w:val="097F8345"/>
    <w:rsid w:val="0982692A"/>
    <w:rsid w:val="09832ACF"/>
    <w:rsid w:val="09872128"/>
    <w:rsid w:val="098DC61A"/>
    <w:rsid w:val="098E81BE"/>
    <w:rsid w:val="09913FB8"/>
    <w:rsid w:val="09921487"/>
    <w:rsid w:val="09922C35"/>
    <w:rsid w:val="0995332C"/>
    <w:rsid w:val="099F2C26"/>
    <w:rsid w:val="099F5032"/>
    <w:rsid w:val="09A06567"/>
    <w:rsid w:val="09A2573C"/>
    <w:rsid w:val="09A26AED"/>
    <w:rsid w:val="09A3EDCE"/>
    <w:rsid w:val="09A41F24"/>
    <w:rsid w:val="09A95A0F"/>
    <w:rsid w:val="09A9FFD2"/>
    <w:rsid w:val="09AC3343"/>
    <w:rsid w:val="09AD39A9"/>
    <w:rsid w:val="09AF07D7"/>
    <w:rsid w:val="09B30234"/>
    <w:rsid w:val="09B66A20"/>
    <w:rsid w:val="09B88D20"/>
    <w:rsid w:val="09B9AE53"/>
    <w:rsid w:val="09BB4C9B"/>
    <w:rsid w:val="09C20FD9"/>
    <w:rsid w:val="09C2AD4E"/>
    <w:rsid w:val="09C3C108"/>
    <w:rsid w:val="09C3D042"/>
    <w:rsid w:val="09C71AEE"/>
    <w:rsid w:val="09C7C54E"/>
    <w:rsid w:val="09C80239"/>
    <w:rsid w:val="09C8D5F4"/>
    <w:rsid w:val="09C8D9D6"/>
    <w:rsid w:val="09CC2737"/>
    <w:rsid w:val="09CDCB7E"/>
    <w:rsid w:val="09CE4B3A"/>
    <w:rsid w:val="09CEBE44"/>
    <w:rsid w:val="09CF2B36"/>
    <w:rsid w:val="09D001C7"/>
    <w:rsid w:val="09D23D17"/>
    <w:rsid w:val="09D283A3"/>
    <w:rsid w:val="09D3F91D"/>
    <w:rsid w:val="09D8424B"/>
    <w:rsid w:val="09DCD11F"/>
    <w:rsid w:val="09DDEF82"/>
    <w:rsid w:val="09E00556"/>
    <w:rsid w:val="09E2A7EB"/>
    <w:rsid w:val="09E2B4C6"/>
    <w:rsid w:val="09E2FC84"/>
    <w:rsid w:val="09E483EB"/>
    <w:rsid w:val="09E52199"/>
    <w:rsid w:val="09E60169"/>
    <w:rsid w:val="09E797D5"/>
    <w:rsid w:val="09EBBC4A"/>
    <w:rsid w:val="09ECD90B"/>
    <w:rsid w:val="09ED7937"/>
    <w:rsid w:val="09EF2EF3"/>
    <w:rsid w:val="09F16ECB"/>
    <w:rsid w:val="09F3E6E1"/>
    <w:rsid w:val="09F486DD"/>
    <w:rsid w:val="09F78E37"/>
    <w:rsid w:val="09FA7467"/>
    <w:rsid w:val="09FB329C"/>
    <w:rsid w:val="09FC9C86"/>
    <w:rsid w:val="09FD84EC"/>
    <w:rsid w:val="0A017056"/>
    <w:rsid w:val="0A082D13"/>
    <w:rsid w:val="0A0BFC0E"/>
    <w:rsid w:val="0A0D58B0"/>
    <w:rsid w:val="0A1039E6"/>
    <w:rsid w:val="0A1250C3"/>
    <w:rsid w:val="0A14B84B"/>
    <w:rsid w:val="0A14DAEF"/>
    <w:rsid w:val="0A157270"/>
    <w:rsid w:val="0A157EF2"/>
    <w:rsid w:val="0A16CE67"/>
    <w:rsid w:val="0A1C8459"/>
    <w:rsid w:val="0A1D2C18"/>
    <w:rsid w:val="0A1E52CE"/>
    <w:rsid w:val="0A1F14AF"/>
    <w:rsid w:val="0A1F1AB4"/>
    <w:rsid w:val="0A227701"/>
    <w:rsid w:val="0A23F0D3"/>
    <w:rsid w:val="0A25641D"/>
    <w:rsid w:val="0A26587F"/>
    <w:rsid w:val="0A26B251"/>
    <w:rsid w:val="0A293815"/>
    <w:rsid w:val="0A2C4E74"/>
    <w:rsid w:val="0A2E0640"/>
    <w:rsid w:val="0A308F2A"/>
    <w:rsid w:val="0A3243EB"/>
    <w:rsid w:val="0A341D13"/>
    <w:rsid w:val="0A3B2198"/>
    <w:rsid w:val="0A3D1DC5"/>
    <w:rsid w:val="0A43A096"/>
    <w:rsid w:val="0A44A38D"/>
    <w:rsid w:val="0A4618BE"/>
    <w:rsid w:val="0A474BAF"/>
    <w:rsid w:val="0A483C98"/>
    <w:rsid w:val="0A4961A7"/>
    <w:rsid w:val="0A4A0DF2"/>
    <w:rsid w:val="0A4E0556"/>
    <w:rsid w:val="0A4FC6C5"/>
    <w:rsid w:val="0A51047D"/>
    <w:rsid w:val="0A516C51"/>
    <w:rsid w:val="0A539621"/>
    <w:rsid w:val="0A54C1A4"/>
    <w:rsid w:val="0A58E5A7"/>
    <w:rsid w:val="0A58E646"/>
    <w:rsid w:val="0A597D26"/>
    <w:rsid w:val="0A5A93DB"/>
    <w:rsid w:val="0A5C82DD"/>
    <w:rsid w:val="0A5E63DE"/>
    <w:rsid w:val="0A5E693B"/>
    <w:rsid w:val="0A63DAFD"/>
    <w:rsid w:val="0A648193"/>
    <w:rsid w:val="0A6764E4"/>
    <w:rsid w:val="0A6A8AC3"/>
    <w:rsid w:val="0A6B350F"/>
    <w:rsid w:val="0A6B66E5"/>
    <w:rsid w:val="0A6C78E5"/>
    <w:rsid w:val="0A6CEBAD"/>
    <w:rsid w:val="0A700F9F"/>
    <w:rsid w:val="0A714203"/>
    <w:rsid w:val="0A724D77"/>
    <w:rsid w:val="0A7632CE"/>
    <w:rsid w:val="0A765710"/>
    <w:rsid w:val="0A7EDA90"/>
    <w:rsid w:val="0A81AE27"/>
    <w:rsid w:val="0A87AE4D"/>
    <w:rsid w:val="0A87B992"/>
    <w:rsid w:val="0A87BA0A"/>
    <w:rsid w:val="0A8B263E"/>
    <w:rsid w:val="0A8CBDA0"/>
    <w:rsid w:val="0A8CBF04"/>
    <w:rsid w:val="0A8D943B"/>
    <w:rsid w:val="0A9165FC"/>
    <w:rsid w:val="0A99AABD"/>
    <w:rsid w:val="0A9A5E96"/>
    <w:rsid w:val="0A9AE783"/>
    <w:rsid w:val="0A9C7A94"/>
    <w:rsid w:val="0A9D80E1"/>
    <w:rsid w:val="0A9E5173"/>
    <w:rsid w:val="0A9F371A"/>
    <w:rsid w:val="0A9FE2BA"/>
    <w:rsid w:val="0AA38539"/>
    <w:rsid w:val="0AA3B932"/>
    <w:rsid w:val="0AA50716"/>
    <w:rsid w:val="0AA87FC4"/>
    <w:rsid w:val="0AADC068"/>
    <w:rsid w:val="0AADF822"/>
    <w:rsid w:val="0AAF8506"/>
    <w:rsid w:val="0AB12E5C"/>
    <w:rsid w:val="0AB3F6CC"/>
    <w:rsid w:val="0AB5A2F5"/>
    <w:rsid w:val="0AB67AB5"/>
    <w:rsid w:val="0AB6AAA1"/>
    <w:rsid w:val="0AB6C5E0"/>
    <w:rsid w:val="0AB80E81"/>
    <w:rsid w:val="0ABC4661"/>
    <w:rsid w:val="0ABC6CFF"/>
    <w:rsid w:val="0ABDA5A1"/>
    <w:rsid w:val="0AC26E21"/>
    <w:rsid w:val="0AC669B8"/>
    <w:rsid w:val="0ACACC3E"/>
    <w:rsid w:val="0AD08046"/>
    <w:rsid w:val="0AD0DD23"/>
    <w:rsid w:val="0AD27896"/>
    <w:rsid w:val="0AD4FA81"/>
    <w:rsid w:val="0AD53FAD"/>
    <w:rsid w:val="0AD6B531"/>
    <w:rsid w:val="0ADAF823"/>
    <w:rsid w:val="0ADBC997"/>
    <w:rsid w:val="0ADC3C68"/>
    <w:rsid w:val="0AE19534"/>
    <w:rsid w:val="0AE4C30B"/>
    <w:rsid w:val="0AE6CD11"/>
    <w:rsid w:val="0AE8118D"/>
    <w:rsid w:val="0AEB681A"/>
    <w:rsid w:val="0AEC7AC2"/>
    <w:rsid w:val="0AEDA54A"/>
    <w:rsid w:val="0AEDDFBE"/>
    <w:rsid w:val="0AEE9F89"/>
    <w:rsid w:val="0AF0697F"/>
    <w:rsid w:val="0AF0ADFB"/>
    <w:rsid w:val="0AF2AE9A"/>
    <w:rsid w:val="0AF4F1F4"/>
    <w:rsid w:val="0AF5DEC0"/>
    <w:rsid w:val="0AF696E3"/>
    <w:rsid w:val="0AF6C8D5"/>
    <w:rsid w:val="0AF981FB"/>
    <w:rsid w:val="0AFB457D"/>
    <w:rsid w:val="0AFB5222"/>
    <w:rsid w:val="0AFD3B16"/>
    <w:rsid w:val="0B0042FF"/>
    <w:rsid w:val="0B06C567"/>
    <w:rsid w:val="0B0962B9"/>
    <w:rsid w:val="0B098143"/>
    <w:rsid w:val="0B099B5E"/>
    <w:rsid w:val="0B0B9E84"/>
    <w:rsid w:val="0B0EDCDA"/>
    <w:rsid w:val="0B11B295"/>
    <w:rsid w:val="0B11C6FA"/>
    <w:rsid w:val="0B143C9A"/>
    <w:rsid w:val="0B15EDCF"/>
    <w:rsid w:val="0B16D5C6"/>
    <w:rsid w:val="0B16FBEE"/>
    <w:rsid w:val="0B197E41"/>
    <w:rsid w:val="0B1EB149"/>
    <w:rsid w:val="0B1ECB43"/>
    <w:rsid w:val="0B2481ED"/>
    <w:rsid w:val="0B26E143"/>
    <w:rsid w:val="0B291A88"/>
    <w:rsid w:val="0B291C22"/>
    <w:rsid w:val="0B2F91A2"/>
    <w:rsid w:val="0B300C88"/>
    <w:rsid w:val="0B312D3A"/>
    <w:rsid w:val="0B319D5F"/>
    <w:rsid w:val="0B3397B7"/>
    <w:rsid w:val="0B384C79"/>
    <w:rsid w:val="0B39B8A8"/>
    <w:rsid w:val="0B3AF68B"/>
    <w:rsid w:val="0B3BC247"/>
    <w:rsid w:val="0B3E059F"/>
    <w:rsid w:val="0B3E9765"/>
    <w:rsid w:val="0B40F2B1"/>
    <w:rsid w:val="0B42E445"/>
    <w:rsid w:val="0B45298C"/>
    <w:rsid w:val="0B466024"/>
    <w:rsid w:val="0B4970D8"/>
    <w:rsid w:val="0B4F56E2"/>
    <w:rsid w:val="0B514C6B"/>
    <w:rsid w:val="0B54A34B"/>
    <w:rsid w:val="0B59C916"/>
    <w:rsid w:val="0B59FA08"/>
    <w:rsid w:val="0B5EF755"/>
    <w:rsid w:val="0B6104D8"/>
    <w:rsid w:val="0B63B0D9"/>
    <w:rsid w:val="0B691551"/>
    <w:rsid w:val="0B6BB710"/>
    <w:rsid w:val="0B6C3977"/>
    <w:rsid w:val="0B6CC3D1"/>
    <w:rsid w:val="0B719C62"/>
    <w:rsid w:val="0B7236B6"/>
    <w:rsid w:val="0B762766"/>
    <w:rsid w:val="0B770BCE"/>
    <w:rsid w:val="0B7CB642"/>
    <w:rsid w:val="0B7DEA8B"/>
    <w:rsid w:val="0B7FB33B"/>
    <w:rsid w:val="0B800E7D"/>
    <w:rsid w:val="0B826973"/>
    <w:rsid w:val="0B8325F5"/>
    <w:rsid w:val="0B83D85A"/>
    <w:rsid w:val="0B8716E2"/>
    <w:rsid w:val="0B8795EE"/>
    <w:rsid w:val="0B890E66"/>
    <w:rsid w:val="0B8C166B"/>
    <w:rsid w:val="0B8D12FF"/>
    <w:rsid w:val="0B8DF57A"/>
    <w:rsid w:val="0B932F5B"/>
    <w:rsid w:val="0B938FD6"/>
    <w:rsid w:val="0B93EE7F"/>
    <w:rsid w:val="0B93F381"/>
    <w:rsid w:val="0B9496B9"/>
    <w:rsid w:val="0B96D20C"/>
    <w:rsid w:val="0B98E3A2"/>
    <w:rsid w:val="0B992D01"/>
    <w:rsid w:val="0B9A873A"/>
    <w:rsid w:val="0B9AB7B0"/>
    <w:rsid w:val="0B9B9BFE"/>
    <w:rsid w:val="0B9BE27D"/>
    <w:rsid w:val="0B9C67D6"/>
    <w:rsid w:val="0B9FFCD4"/>
    <w:rsid w:val="0BA55444"/>
    <w:rsid w:val="0BA5A658"/>
    <w:rsid w:val="0BA6E133"/>
    <w:rsid w:val="0BA81A35"/>
    <w:rsid w:val="0BB3A806"/>
    <w:rsid w:val="0BB5D90F"/>
    <w:rsid w:val="0BB894C3"/>
    <w:rsid w:val="0BB9E77A"/>
    <w:rsid w:val="0BBB8C2B"/>
    <w:rsid w:val="0BBBFEC7"/>
    <w:rsid w:val="0BBCF219"/>
    <w:rsid w:val="0BBDC532"/>
    <w:rsid w:val="0BBF338F"/>
    <w:rsid w:val="0BBF82E8"/>
    <w:rsid w:val="0BC1429F"/>
    <w:rsid w:val="0BC1FC5F"/>
    <w:rsid w:val="0BC3D8FB"/>
    <w:rsid w:val="0BC6C5DC"/>
    <w:rsid w:val="0BC7A863"/>
    <w:rsid w:val="0BC7B63F"/>
    <w:rsid w:val="0BC82E02"/>
    <w:rsid w:val="0BCCECDE"/>
    <w:rsid w:val="0BD1B060"/>
    <w:rsid w:val="0BD46B69"/>
    <w:rsid w:val="0BD5F647"/>
    <w:rsid w:val="0BD874E2"/>
    <w:rsid w:val="0BD9B4A6"/>
    <w:rsid w:val="0BDB6954"/>
    <w:rsid w:val="0BE2747A"/>
    <w:rsid w:val="0BE2B6D9"/>
    <w:rsid w:val="0BE7A201"/>
    <w:rsid w:val="0BE94668"/>
    <w:rsid w:val="0BEA31B7"/>
    <w:rsid w:val="0BEB0262"/>
    <w:rsid w:val="0BEBEEFC"/>
    <w:rsid w:val="0BED0C92"/>
    <w:rsid w:val="0BEECDA7"/>
    <w:rsid w:val="0BEF0213"/>
    <w:rsid w:val="0BF294B4"/>
    <w:rsid w:val="0BF4A54E"/>
    <w:rsid w:val="0BF4A5D2"/>
    <w:rsid w:val="0BF7EFD1"/>
    <w:rsid w:val="0BFAFF03"/>
    <w:rsid w:val="0BFD23C9"/>
    <w:rsid w:val="0BFE7335"/>
    <w:rsid w:val="0C02798D"/>
    <w:rsid w:val="0C02EAFB"/>
    <w:rsid w:val="0C03978E"/>
    <w:rsid w:val="0C0574D5"/>
    <w:rsid w:val="0C094E70"/>
    <w:rsid w:val="0C095C32"/>
    <w:rsid w:val="0C11610E"/>
    <w:rsid w:val="0C1223C1"/>
    <w:rsid w:val="0C13CDF3"/>
    <w:rsid w:val="0C1EA039"/>
    <w:rsid w:val="0C1EC10C"/>
    <w:rsid w:val="0C1F85E3"/>
    <w:rsid w:val="0C20C05E"/>
    <w:rsid w:val="0C2326FD"/>
    <w:rsid w:val="0C233691"/>
    <w:rsid w:val="0C2361D3"/>
    <w:rsid w:val="0C2716FD"/>
    <w:rsid w:val="0C27B9B7"/>
    <w:rsid w:val="0C2AA0B1"/>
    <w:rsid w:val="0C2B8B1F"/>
    <w:rsid w:val="0C2C0445"/>
    <w:rsid w:val="0C2D4D9D"/>
    <w:rsid w:val="0C2D4E47"/>
    <w:rsid w:val="0C2EA4CF"/>
    <w:rsid w:val="0C309FCC"/>
    <w:rsid w:val="0C3128B1"/>
    <w:rsid w:val="0C324E2E"/>
    <w:rsid w:val="0C34CA0F"/>
    <w:rsid w:val="0C355B52"/>
    <w:rsid w:val="0C36E93E"/>
    <w:rsid w:val="0C37BBC9"/>
    <w:rsid w:val="0C3844F5"/>
    <w:rsid w:val="0C3A2675"/>
    <w:rsid w:val="0C406193"/>
    <w:rsid w:val="0C42525C"/>
    <w:rsid w:val="0C4A4D88"/>
    <w:rsid w:val="0C4E1452"/>
    <w:rsid w:val="0C569FB4"/>
    <w:rsid w:val="0C598857"/>
    <w:rsid w:val="0C5AE678"/>
    <w:rsid w:val="0C5CA2D2"/>
    <w:rsid w:val="0C5CF4F1"/>
    <w:rsid w:val="0C5D2D7E"/>
    <w:rsid w:val="0C5FB42A"/>
    <w:rsid w:val="0C6201DB"/>
    <w:rsid w:val="0C64B4AF"/>
    <w:rsid w:val="0C64F80A"/>
    <w:rsid w:val="0C692288"/>
    <w:rsid w:val="0C698EB8"/>
    <w:rsid w:val="0C6A9F2C"/>
    <w:rsid w:val="0C6BB99B"/>
    <w:rsid w:val="0C6E30E1"/>
    <w:rsid w:val="0C77911E"/>
    <w:rsid w:val="0C7BFDBF"/>
    <w:rsid w:val="0C7FDFB7"/>
    <w:rsid w:val="0C80AD63"/>
    <w:rsid w:val="0C829429"/>
    <w:rsid w:val="0C874BE6"/>
    <w:rsid w:val="0C881D14"/>
    <w:rsid w:val="0C8A5F98"/>
    <w:rsid w:val="0C8E1950"/>
    <w:rsid w:val="0C924FB6"/>
    <w:rsid w:val="0C939104"/>
    <w:rsid w:val="0C953C54"/>
    <w:rsid w:val="0C95621F"/>
    <w:rsid w:val="0C98308C"/>
    <w:rsid w:val="0C9AC1F4"/>
    <w:rsid w:val="0C9D7EF6"/>
    <w:rsid w:val="0C9DE437"/>
    <w:rsid w:val="0C9E239F"/>
    <w:rsid w:val="0CA32036"/>
    <w:rsid w:val="0CA3FCB3"/>
    <w:rsid w:val="0CA762C1"/>
    <w:rsid w:val="0CA7FB64"/>
    <w:rsid w:val="0CAF6091"/>
    <w:rsid w:val="0CB085D6"/>
    <w:rsid w:val="0CB480E2"/>
    <w:rsid w:val="0CB64E74"/>
    <w:rsid w:val="0CB77476"/>
    <w:rsid w:val="0CBAA13F"/>
    <w:rsid w:val="0CBB89D1"/>
    <w:rsid w:val="0CBD4D42"/>
    <w:rsid w:val="0CC38B97"/>
    <w:rsid w:val="0CC46E61"/>
    <w:rsid w:val="0CC6BBC8"/>
    <w:rsid w:val="0CC9423A"/>
    <w:rsid w:val="0CCA3747"/>
    <w:rsid w:val="0CCAD72D"/>
    <w:rsid w:val="0CCC8185"/>
    <w:rsid w:val="0CCE9406"/>
    <w:rsid w:val="0CD2661E"/>
    <w:rsid w:val="0CD424F5"/>
    <w:rsid w:val="0CD5765C"/>
    <w:rsid w:val="0CD77247"/>
    <w:rsid w:val="0CDA0E80"/>
    <w:rsid w:val="0CDAA8B6"/>
    <w:rsid w:val="0CDB6E5F"/>
    <w:rsid w:val="0CE082C8"/>
    <w:rsid w:val="0CE24745"/>
    <w:rsid w:val="0CE32B7A"/>
    <w:rsid w:val="0CE3F022"/>
    <w:rsid w:val="0CE4177E"/>
    <w:rsid w:val="0CE7AAB0"/>
    <w:rsid w:val="0CE7E18D"/>
    <w:rsid w:val="0CEB8111"/>
    <w:rsid w:val="0CF235A8"/>
    <w:rsid w:val="0CF69E6E"/>
    <w:rsid w:val="0CFA3846"/>
    <w:rsid w:val="0CFAE899"/>
    <w:rsid w:val="0CFCD49E"/>
    <w:rsid w:val="0CFCD840"/>
    <w:rsid w:val="0CFF6B90"/>
    <w:rsid w:val="0D00FF80"/>
    <w:rsid w:val="0D01F452"/>
    <w:rsid w:val="0D057073"/>
    <w:rsid w:val="0D09CB4B"/>
    <w:rsid w:val="0D09DD9E"/>
    <w:rsid w:val="0D0AEEA9"/>
    <w:rsid w:val="0D0E97DC"/>
    <w:rsid w:val="0D0F35AC"/>
    <w:rsid w:val="0D0F5BBB"/>
    <w:rsid w:val="0D1B952B"/>
    <w:rsid w:val="0D1BEE3A"/>
    <w:rsid w:val="0D1DD39B"/>
    <w:rsid w:val="0D1E2C9B"/>
    <w:rsid w:val="0D1E4A7D"/>
    <w:rsid w:val="0D1EE83C"/>
    <w:rsid w:val="0D22D467"/>
    <w:rsid w:val="0D231B16"/>
    <w:rsid w:val="0D256DD0"/>
    <w:rsid w:val="0D2838DA"/>
    <w:rsid w:val="0D29D78C"/>
    <w:rsid w:val="0D2BB582"/>
    <w:rsid w:val="0D2D2258"/>
    <w:rsid w:val="0D2F6D11"/>
    <w:rsid w:val="0D32045A"/>
    <w:rsid w:val="0D3447B5"/>
    <w:rsid w:val="0D345AA8"/>
    <w:rsid w:val="0D347941"/>
    <w:rsid w:val="0D34D5D2"/>
    <w:rsid w:val="0D352F5B"/>
    <w:rsid w:val="0D370F61"/>
    <w:rsid w:val="0D373CC0"/>
    <w:rsid w:val="0D37DF3B"/>
    <w:rsid w:val="0D385401"/>
    <w:rsid w:val="0D3CB10D"/>
    <w:rsid w:val="0D3F4CD3"/>
    <w:rsid w:val="0D417B46"/>
    <w:rsid w:val="0D42103A"/>
    <w:rsid w:val="0D44C35C"/>
    <w:rsid w:val="0D467E5D"/>
    <w:rsid w:val="0D46CB12"/>
    <w:rsid w:val="0D46DABE"/>
    <w:rsid w:val="0D4B3816"/>
    <w:rsid w:val="0D4C6C3B"/>
    <w:rsid w:val="0D4D0DE1"/>
    <w:rsid w:val="0D5017A5"/>
    <w:rsid w:val="0D50569F"/>
    <w:rsid w:val="0D514FB9"/>
    <w:rsid w:val="0D51B38C"/>
    <w:rsid w:val="0D52EFD6"/>
    <w:rsid w:val="0D541C58"/>
    <w:rsid w:val="0D54E88A"/>
    <w:rsid w:val="0D56F38C"/>
    <w:rsid w:val="0D57B34B"/>
    <w:rsid w:val="0D5E3504"/>
    <w:rsid w:val="0D627DFA"/>
    <w:rsid w:val="0D660608"/>
    <w:rsid w:val="0D672ECC"/>
    <w:rsid w:val="0D6D37D2"/>
    <w:rsid w:val="0D6DD4B8"/>
    <w:rsid w:val="0D6F44ED"/>
    <w:rsid w:val="0D7147FD"/>
    <w:rsid w:val="0D7362CB"/>
    <w:rsid w:val="0D74E348"/>
    <w:rsid w:val="0D76B457"/>
    <w:rsid w:val="0D77CE9C"/>
    <w:rsid w:val="0D791BC7"/>
    <w:rsid w:val="0D7C5180"/>
    <w:rsid w:val="0D7E18B8"/>
    <w:rsid w:val="0D7F48CC"/>
    <w:rsid w:val="0D811449"/>
    <w:rsid w:val="0D827BB2"/>
    <w:rsid w:val="0D839BFE"/>
    <w:rsid w:val="0D8473DB"/>
    <w:rsid w:val="0D8608FB"/>
    <w:rsid w:val="0D86B0B5"/>
    <w:rsid w:val="0D86F683"/>
    <w:rsid w:val="0D8A656D"/>
    <w:rsid w:val="0D8C5E7D"/>
    <w:rsid w:val="0D8C9A8D"/>
    <w:rsid w:val="0D8DED94"/>
    <w:rsid w:val="0D8F7124"/>
    <w:rsid w:val="0D907246"/>
    <w:rsid w:val="0D908669"/>
    <w:rsid w:val="0D963012"/>
    <w:rsid w:val="0D971403"/>
    <w:rsid w:val="0D97B388"/>
    <w:rsid w:val="0D999BCA"/>
    <w:rsid w:val="0D99BB8F"/>
    <w:rsid w:val="0D9A50FD"/>
    <w:rsid w:val="0D9AC9A8"/>
    <w:rsid w:val="0D9D965C"/>
    <w:rsid w:val="0DA01CF6"/>
    <w:rsid w:val="0DA0D791"/>
    <w:rsid w:val="0DA2BF9F"/>
    <w:rsid w:val="0DA2F580"/>
    <w:rsid w:val="0DA39E07"/>
    <w:rsid w:val="0DA40980"/>
    <w:rsid w:val="0DA46A61"/>
    <w:rsid w:val="0DA5AC52"/>
    <w:rsid w:val="0DA85958"/>
    <w:rsid w:val="0DA990CD"/>
    <w:rsid w:val="0DAA333A"/>
    <w:rsid w:val="0DAF9A50"/>
    <w:rsid w:val="0DB0158B"/>
    <w:rsid w:val="0DB0FF06"/>
    <w:rsid w:val="0DB112B8"/>
    <w:rsid w:val="0DB3DA31"/>
    <w:rsid w:val="0DB42E67"/>
    <w:rsid w:val="0DB453E8"/>
    <w:rsid w:val="0DB5A77E"/>
    <w:rsid w:val="0DB60A40"/>
    <w:rsid w:val="0DB7D74D"/>
    <w:rsid w:val="0DB7D8C4"/>
    <w:rsid w:val="0DB8213A"/>
    <w:rsid w:val="0DBCE0AF"/>
    <w:rsid w:val="0DC311EB"/>
    <w:rsid w:val="0DC473DC"/>
    <w:rsid w:val="0DC6E7A8"/>
    <w:rsid w:val="0DC7453C"/>
    <w:rsid w:val="0DC7688F"/>
    <w:rsid w:val="0DC7EBEE"/>
    <w:rsid w:val="0DC906BE"/>
    <w:rsid w:val="0DCC63DA"/>
    <w:rsid w:val="0DCDDDED"/>
    <w:rsid w:val="0DCEA8DA"/>
    <w:rsid w:val="0DD0D941"/>
    <w:rsid w:val="0DD121B4"/>
    <w:rsid w:val="0DD34906"/>
    <w:rsid w:val="0DDC6E95"/>
    <w:rsid w:val="0DDC7158"/>
    <w:rsid w:val="0DDEEA1A"/>
    <w:rsid w:val="0DE17968"/>
    <w:rsid w:val="0DE5AF30"/>
    <w:rsid w:val="0DED4B97"/>
    <w:rsid w:val="0DEDC35C"/>
    <w:rsid w:val="0DEE72C3"/>
    <w:rsid w:val="0DEEBA98"/>
    <w:rsid w:val="0DF0256F"/>
    <w:rsid w:val="0DF069C8"/>
    <w:rsid w:val="0DF2134C"/>
    <w:rsid w:val="0DF234B8"/>
    <w:rsid w:val="0DF81A70"/>
    <w:rsid w:val="0DFB670A"/>
    <w:rsid w:val="0DFBCBF4"/>
    <w:rsid w:val="0DFDE7A0"/>
    <w:rsid w:val="0DFF6FD6"/>
    <w:rsid w:val="0E021428"/>
    <w:rsid w:val="0E023B6C"/>
    <w:rsid w:val="0E05F43D"/>
    <w:rsid w:val="0E06D1C3"/>
    <w:rsid w:val="0E076113"/>
    <w:rsid w:val="0E085D1A"/>
    <w:rsid w:val="0E0AFEEE"/>
    <w:rsid w:val="0E0C2597"/>
    <w:rsid w:val="0E0C624C"/>
    <w:rsid w:val="0E0DFCBF"/>
    <w:rsid w:val="0E0F96C2"/>
    <w:rsid w:val="0E109AD2"/>
    <w:rsid w:val="0E1177AA"/>
    <w:rsid w:val="0E127892"/>
    <w:rsid w:val="0E12B4BF"/>
    <w:rsid w:val="0E12B8C2"/>
    <w:rsid w:val="0E149642"/>
    <w:rsid w:val="0E15426C"/>
    <w:rsid w:val="0E18C729"/>
    <w:rsid w:val="0E18D25D"/>
    <w:rsid w:val="0E1ADD0B"/>
    <w:rsid w:val="0E1B944D"/>
    <w:rsid w:val="0E1C36BC"/>
    <w:rsid w:val="0E1EA71E"/>
    <w:rsid w:val="0E1EFA33"/>
    <w:rsid w:val="0E1F30BD"/>
    <w:rsid w:val="0E23FB06"/>
    <w:rsid w:val="0E254934"/>
    <w:rsid w:val="0E2A55DF"/>
    <w:rsid w:val="0E2B05F5"/>
    <w:rsid w:val="0E2CE7F7"/>
    <w:rsid w:val="0E2EA480"/>
    <w:rsid w:val="0E2EC4DD"/>
    <w:rsid w:val="0E305365"/>
    <w:rsid w:val="0E30AD8A"/>
    <w:rsid w:val="0E32249B"/>
    <w:rsid w:val="0E332F7D"/>
    <w:rsid w:val="0E34AB54"/>
    <w:rsid w:val="0E34C1D7"/>
    <w:rsid w:val="0E388025"/>
    <w:rsid w:val="0E3A6322"/>
    <w:rsid w:val="0E3B5516"/>
    <w:rsid w:val="0E3B822F"/>
    <w:rsid w:val="0E3C040C"/>
    <w:rsid w:val="0E3CB5F8"/>
    <w:rsid w:val="0E3DC2A9"/>
    <w:rsid w:val="0E3E287C"/>
    <w:rsid w:val="0E3F6191"/>
    <w:rsid w:val="0E42A26F"/>
    <w:rsid w:val="0E456532"/>
    <w:rsid w:val="0E46D483"/>
    <w:rsid w:val="0E48C65E"/>
    <w:rsid w:val="0E4A39C0"/>
    <w:rsid w:val="0E4DA39E"/>
    <w:rsid w:val="0E4E8017"/>
    <w:rsid w:val="0E4FCACC"/>
    <w:rsid w:val="0E50DCDA"/>
    <w:rsid w:val="0E53B76C"/>
    <w:rsid w:val="0E53F2D3"/>
    <w:rsid w:val="0E543021"/>
    <w:rsid w:val="0E5458B9"/>
    <w:rsid w:val="0E55C1B8"/>
    <w:rsid w:val="0E56EDD4"/>
    <w:rsid w:val="0E5803CF"/>
    <w:rsid w:val="0E59ADCA"/>
    <w:rsid w:val="0E5B5FD8"/>
    <w:rsid w:val="0E5C1137"/>
    <w:rsid w:val="0E5D8110"/>
    <w:rsid w:val="0E6026F7"/>
    <w:rsid w:val="0E602AB2"/>
    <w:rsid w:val="0E60558F"/>
    <w:rsid w:val="0E612D82"/>
    <w:rsid w:val="0E62B85A"/>
    <w:rsid w:val="0E62E4BC"/>
    <w:rsid w:val="0E64CCC7"/>
    <w:rsid w:val="0E679886"/>
    <w:rsid w:val="0E67B22F"/>
    <w:rsid w:val="0E690F56"/>
    <w:rsid w:val="0E6974FE"/>
    <w:rsid w:val="0E69EDEC"/>
    <w:rsid w:val="0E6D1EB1"/>
    <w:rsid w:val="0E7033EE"/>
    <w:rsid w:val="0E71B223"/>
    <w:rsid w:val="0E728E27"/>
    <w:rsid w:val="0E73A71F"/>
    <w:rsid w:val="0E761F71"/>
    <w:rsid w:val="0E76CCE8"/>
    <w:rsid w:val="0E79DDEE"/>
    <w:rsid w:val="0E7ACD4F"/>
    <w:rsid w:val="0E7BF9C2"/>
    <w:rsid w:val="0E810D2C"/>
    <w:rsid w:val="0E81AAAB"/>
    <w:rsid w:val="0E88DCE0"/>
    <w:rsid w:val="0E8A821A"/>
    <w:rsid w:val="0E8ABC7C"/>
    <w:rsid w:val="0E8AC36C"/>
    <w:rsid w:val="0E8B9179"/>
    <w:rsid w:val="0E8C3D1A"/>
    <w:rsid w:val="0E8E9D3F"/>
    <w:rsid w:val="0E8F20D7"/>
    <w:rsid w:val="0E920F9E"/>
    <w:rsid w:val="0E93E052"/>
    <w:rsid w:val="0E944013"/>
    <w:rsid w:val="0E94DD18"/>
    <w:rsid w:val="0E95B24E"/>
    <w:rsid w:val="0E9AA140"/>
    <w:rsid w:val="0E9B6D53"/>
    <w:rsid w:val="0E9DD987"/>
    <w:rsid w:val="0E9F11ED"/>
    <w:rsid w:val="0E9FB223"/>
    <w:rsid w:val="0EA05B57"/>
    <w:rsid w:val="0EA18A30"/>
    <w:rsid w:val="0EA4AD85"/>
    <w:rsid w:val="0EAA9944"/>
    <w:rsid w:val="0EAB60EE"/>
    <w:rsid w:val="0EACBE62"/>
    <w:rsid w:val="0EB10702"/>
    <w:rsid w:val="0EB5EECE"/>
    <w:rsid w:val="0EB605E7"/>
    <w:rsid w:val="0EB75A4B"/>
    <w:rsid w:val="0EB7816A"/>
    <w:rsid w:val="0EBA952A"/>
    <w:rsid w:val="0EBBF362"/>
    <w:rsid w:val="0EBC6157"/>
    <w:rsid w:val="0EBCAD35"/>
    <w:rsid w:val="0EC1D1FF"/>
    <w:rsid w:val="0EC64693"/>
    <w:rsid w:val="0ECAA30F"/>
    <w:rsid w:val="0ECBFFD5"/>
    <w:rsid w:val="0ECEB557"/>
    <w:rsid w:val="0ED1B671"/>
    <w:rsid w:val="0ED1F4BE"/>
    <w:rsid w:val="0ED30D42"/>
    <w:rsid w:val="0ED6D8F5"/>
    <w:rsid w:val="0EDC5B87"/>
    <w:rsid w:val="0EE9DE37"/>
    <w:rsid w:val="0EEA29EE"/>
    <w:rsid w:val="0EEBD15D"/>
    <w:rsid w:val="0EEBEBAE"/>
    <w:rsid w:val="0EECDBE4"/>
    <w:rsid w:val="0EEDA94F"/>
    <w:rsid w:val="0EEDB174"/>
    <w:rsid w:val="0EEEA4BD"/>
    <w:rsid w:val="0EF37B5C"/>
    <w:rsid w:val="0EF54888"/>
    <w:rsid w:val="0EF77FB8"/>
    <w:rsid w:val="0EF78C09"/>
    <w:rsid w:val="0EFD6138"/>
    <w:rsid w:val="0EFD8AB8"/>
    <w:rsid w:val="0EFF0C79"/>
    <w:rsid w:val="0EFF3617"/>
    <w:rsid w:val="0F06534B"/>
    <w:rsid w:val="0F067C42"/>
    <w:rsid w:val="0F0AB84D"/>
    <w:rsid w:val="0F10C81F"/>
    <w:rsid w:val="0F12F526"/>
    <w:rsid w:val="0F153623"/>
    <w:rsid w:val="0F188515"/>
    <w:rsid w:val="0F1DF0AF"/>
    <w:rsid w:val="0F1EC0B4"/>
    <w:rsid w:val="0F24AD54"/>
    <w:rsid w:val="0F25F33E"/>
    <w:rsid w:val="0F2681DD"/>
    <w:rsid w:val="0F26EDED"/>
    <w:rsid w:val="0F28506F"/>
    <w:rsid w:val="0F28544F"/>
    <w:rsid w:val="0F2C5ACF"/>
    <w:rsid w:val="0F2CBDAB"/>
    <w:rsid w:val="0F30C468"/>
    <w:rsid w:val="0F31329F"/>
    <w:rsid w:val="0F333600"/>
    <w:rsid w:val="0F341B61"/>
    <w:rsid w:val="0F358049"/>
    <w:rsid w:val="0F37BEA9"/>
    <w:rsid w:val="0F391C03"/>
    <w:rsid w:val="0F3BC183"/>
    <w:rsid w:val="0F3BF5DC"/>
    <w:rsid w:val="0F3BF937"/>
    <w:rsid w:val="0F3F8D62"/>
    <w:rsid w:val="0F3F953D"/>
    <w:rsid w:val="0F458617"/>
    <w:rsid w:val="0F46CB55"/>
    <w:rsid w:val="0F4944F2"/>
    <w:rsid w:val="0F494635"/>
    <w:rsid w:val="0F49B789"/>
    <w:rsid w:val="0F4C87B1"/>
    <w:rsid w:val="0F533787"/>
    <w:rsid w:val="0F53F19B"/>
    <w:rsid w:val="0F552FD2"/>
    <w:rsid w:val="0F593CE6"/>
    <w:rsid w:val="0F5A1923"/>
    <w:rsid w:val="0F5AA726"/>
    <w:rsid w:val="0F5DD02C"/>
    <w:rsid w:val="0F5E03AC"/>
    <w:rsid w:val="0F5F2E69"/>
    <w:rsid w:val="0F616681"/>
    <w:rsid w:val="0F616CF6"/>
    <w:rsid w:val="0F61BF50"/>
    <w:rsid w:val="0F6286E6"/>
    <w:rsid w:val="0F63095A"/>
    <w:rsid w:val="0F64CFF9"/>
    <w:rsid w:val="0F67337A"/>
    <w:rsid w:val="0F6768F0"/>
    <w:rsid w:val="0F6BE708"/>
    <w:rsid w:val="0F6CA2D5"/>
    <w:rsid w:val="0F6CFC14"/>
    <w:rsid w:val="0F6D74BA"/>
    <w:rsid w:val="0F6EC92F"/>
    <w:rsid w:val="0F6F8FF4"/>
    <w:rsid w:val="0F767336"/>
    <w:rsid w:val="0F7A732F"/>
    <w:rsid w:val="0F7AC424"/>
    <w:rsid w:val="0F7F54A7"/>
    <w:rsid w:val="0F7FA918"/>
    <w:rsid w:val="0F86C4FD"/>
    <w:rsid w:val="0F902E93"/>
    <w:rsid w:val="0F90E787"/>
    <w:rsid w:val="0F911672"/>
    <w:rsid w:val="0F922342"/>
    <w:rsid w:val="0F958780"/>
    <w:rsid w:val="0F96A252"/>
    <w:rsid w:val="0F96E094"/>
    <w:rsid w:val="0F97000A"/>
    <w:rsid w:val="0F979C55"/>
    <w:rsid w:val="0F9B90AD"/>
    <w:rsid w:val="0F9D2B05"/>
    <w:rsid w:val="0FA10CCC"/>
    <w:rsid w:val="0FA3F525"/>
    <w:rsid w:val="0FA46674"/>
    <w:rsid w:val="0FAB6AEB"/>
    <w:rsid w:val="0FAE8238"/>
    <w:rsid w:val="0FAF3ABA"/>
    <w:rsid w:val="0FAFF833"/>
    <w:rsid w:val="0FB05491"/>
    <w:rsid w:val="0FB2331E"/>
    <w:rsid w:val="0FB31E62"/>
    <w:rsid w:val="0FB45328"/>
    <w:rsid w:val="0FB7FDD7"/>
    <w:rsid w:val="0FB8875B"/>
    <w:rsid w:val="0FB8D40E"/>
    <w:rsid w:val="0FBC68A0"/>
    <w:rsid w:val="0FBFBCCB"/>
    <w:rsid w:val="0FC2159B"/>
    <w:rsid w:val="0FC38035"/>
    <w:rsid w:val="0FC5971B"/>
    <w:rsid w:val="0FC7AD7D"/>
    <w:rsid w:val="0FCC072C"/>
    <w:rsid w:val="0FCD8E57"/>
    <w:rsid w:val="0FD024C7"/>
    <w:rsid w:val="0FD224DB"/>
    <w:rsid w:val="0FD8087F"/>
    <w:rsid w:val="0FD91521"/>
    <w:rsid w:val="0FDED9CF"/>
    <w:rsid w:val="0FDFF613"/>
    <w:rsid w:val="0FE007B5"/>
    <w:rsid w:val="0FE0A377"/>
    <w:rsid w:val="0FE1650F"/>
    <w:rsid w:val="0FE1CFF5"/>
    <w:rsid w:val="0FE277FA"/>
    <w:rsid w:val="0FE4D4CB"/>
    <w:rsid w:val="0FE8EC28"/>
    <w:rsid w:val="0FF1A5D0"/>
    <w:rsid w:val="0FF326BD"/>
    <w:rsid w:val="0FF335A6"/>
    <w:rsid w:val="0FF379D2"/>
    <w:rsid w:val="0FF3D430"/>
    <w:rsid w:val="0FF720C7"/>
    <w:rsid w:val="0FF8A82D"/>
    <w:rsid w:val="0FFB0DC2"/>
    <w:rsid w:val="0FFCB192"/>
    <w:rsid w:val="0FFE6068"/>
    <w:rsid w:val="0FFEAD0D"/>
    <w:rsid w:val="10006BB0"/>
    <w:rsid w:val="10038274"/>
    <w:rsid w:val="1003EF99"/>
    <w:rsid w:val="10058B01"/>
    <w:rsid w:val="1005B455"/>
    <w:rsid w:val="100B9638"/>
    <w:rsid w:val="100D399A"/>
    <w:rsid w:val="100DF489"/>
    <w:rsid w:val="1015D6AE"/>
    <w:rsid w:val="1015EC4A"/>
    <w:rsid w:val="1018D552"/>
    <w:rsid w:val="101F772C"/>
    <w:rsid w:val="10223872"/>
    <w:rsid w:val="1022C067"/>
    <w:rsid w:val="1022D272"/>
    <w:rsid w:val="10272619"/>
    <w:rsid w:val="10299446"/>
    <w:rsid w:val="1029DA2C"/>
    <w:rsid w:val="102A0588"/>
    <w:rsid w:val="102F3C7B"/>
    <w:rsid w:val="102FD729"/>
    <w:rsid w:val="10318F5C"/>
    <w:rsid w:val="1032576F"/>
    <w:rsid w:val="10395A8A"/>
    <w:rsid w:val="103AF9D5"/>
    <w:rsid w:val="103C8C66"/>
    <w:rsid w:val="103D7C82"/>
    <w:rsid w:val="103EE9A7"/>
    <w:rsid w:val="103F5F18"/>
    <w:rsid w:val="10404C72"/>
    <w:rsid w:val="104053C8"/>
    <w:rsid w:val="1041D2E4"/>
    <w:rsid w:val="1041E73C"/>
    <w:rsid w:val="1042A169"/>
    <w:rsid w:val="1042C49D"/>
    <w:rsid w:val="1046232A"/>
    <w:rsid w:val="1046FC7D"/>
    <w:rsid w:val="10481A8E"/>
    <w:rsid w:val="104C33FD"/>
    <w:rsid w:val="104CB82A"/>
    <w:rsid w:val="104D0969"/>
    <w:rsid w:val="104E3C47"/>
    <w:rsid w:val="104FB753"/>
    <w:rsid w:val="105306B9"/>
    <w:rsid w:val="1054DFD3"/>
    <w:rsid w:val="1055EBF1"/>
    <w:rsid w:val="105B163B"/>
    <w:rsid w:val="105C69B2"/>
    <w:rsid w:val="105F687C"/>
    <w:rsid w:val="105FA04D"/>
    <w:rsid w:val="10633E2F"/>
    <w:rsid w:val="10664126"/>
    <w:rsid w:val="1066530D"/>
    <w:rsid w:val="10684CAF"/>
    <w:rsid w:val="10686471"/>
    <w:rsid w:val="10691DE7"/>
    <w:rsid w:val="106BDCAE"/>
    <w:rsid w:val="106C338D"/>
    <w:rsid w:val="106D8591"/>
    <w:rsid w:val="10715D93"/>
    <w:rsid w:val="10739DD2"/>
    <w:rsid w:val="10750D11"/>
    <w:rsid w:val="10770BFF"/>
    <w:rsid w:val="1077E5AE"/>
    <w:rsid w:val="107A4C6B"/>
    <w:rsid w:val="107D1DE6"/>
    <w:rsid w:val="107E5D4A"/>
    <w:rsid w:val="107ED7AB"/>
    <w:rsid w:val="108137BB"/>
    <w:rsid w:val="10827371"/>
    <w:rsid w:val="108374B0"/>
    <w:rsid w:val="10842963"/>
    <w:rsid w:val="108437A3"/>
    <w:rsid w:val="1089548C"/>
    <w:rsid w:val="108A0381"/>
    <w:rsid w:val="108D040E"/>
    <w:rsid w:val="10939D54"/>
    <w:rsid w:val="10943D32"/>
    <w:rsid w:val="1098DDAB"/>
    <w:rsid w:val="10999764"/>
    <w:rsid w:val="109A41DD"/>
    <w:rsid w:val="109BBBF2"/>
    <w:rsid w:val="109BCC98"/>
    <w:rsid w:val="109C9165"/>
    <w:rsid w:val="109E1137"/>
    <w:rsid w:val="109F5656"/>
    <w:rsid w:val="10A16183"/>
    <w:rsid w:val="10A4A09B"/>
    <w:rsid w:val="10A682F1"/>
    <w:rsid w:val="10A68A28"/>
    <w:rsid w:val="10A767C1"/>
    <w:rsid w:val="10AAEFCD"/>
    <w:rsid w:val="10AD4C36"/>
    <w:rsid w:val="10B48D54"/>
    <w:rsid w:val="10B69F12"/>
    <w:rsid w:val="10B7258D"/>
    <w:rsid w:val="10B848E9"/>
    <w:rsid w:val="10B90A37"/>
    <w:rsid w:val="10B91973"/>
    <w:rsid w:val="10B92915"/>
    <w:rsid w:val="10B98781"/>
    <w:rsid w:val="10BA7AC6"/>
    <w:rsid w:val="10BBE3CC"/>
    <w:rsid w:val="10BC29CE"/>
    <w:rsid w:val="10BE0C24"/>
    <w:rsid w:val="10BF7BFB"/>
    <w:rsid w:val="10C11A9A"/>
    <w:rsid w:val="10C453C2"/>
    <w:rsid w:val="10C5B50A"/>
    <w:rsid w:val="10C84550"/>
    <w:rsid w:val="10C8AF0C"/>
    <w:rsid w:val="10C96B90"/>
    <w:rsid w:val="10CC31FB"/>
    <w:rsid w:val="10CEABE6"/>
    <w:rsid w:val="10CF10B0"/>
    <w:rsid w:val="10CF1946"/>
    <w:rsid w:val="10CFBEA2"/>
    <w:rsid w:val="10CFFB90"/>
    <w:rsid w:val="10D0CE0E"/>
    <w:rsid w:val="10D32CCB"/>
    <w:rsid w:val="10D34FAB"/>
    <w:rsid w:val="10D53AF4"/>
    <w:rsid w:val="10D6365F"/>
    <w:rsid w:val="10D89302"/>
    <w:rsid w:val="10DA2ED3"/>
    <w:rsid w:val="10E0E0C2"/>
    <w:rsid w:val="10E3C754"/>
    <w:rsid w:val="10E3FB95"/>
    <w:rsid w:val="10E52DFB"/>
    <w:rsid w:val="10E7B44D"/>
    <w:rsid w:val="10E80EA1"/>
    <w:rsid w:val="10E8A267"/>
    <w:rsid w:val="10EAAFF6"/>
    <w:rsid w:val="10EACD8E"/>
    <w:rsid w:val="10EC5F50"/>
    <w:rsid w:val="10EC7468"/>
    <w:rsid w:val="10EF85DF"/>
    <w:rsid w:val="10F59962"/>
    <w:rsid w:val="10F5FE6A"/>
    <w:rsid w:val="10F6D639"/>
    <w:rsid w:val="10F87613"/>
    <w:rsid w:val="10F88D17"/>
    <w:rsid w:val="10F89B6B"/>
    <w:rsid w:val="10F8B5F6"/>
    <w:rsid w:val="10F9109E"/>
    <w:rsid w:val="10F931F6"/>
    <w:rsid w:val="10FB2066"/>
    <w:rsid w:val="10FC17D9"/>
    <w:rsid w:val="10FCB8E6"/>
    <w:rsid w:val="10FDBB44"/>
    <w:rsid w:val="11013A8C"/>
    <w:rsid w:val="11013D60"/>
    <w:rsid w:val="1107A368"/>
    <w:rsid w:val="110E162E"/>
    <w:rsid w:val="110F4C56"/>
    <w:rsid w:val="111020B0"/>
    <w:rsid w:val="11102306"/>
    <w:rsid w:val="111DA98F"/>
    <w:rsid w:val="111DBEAB"/>
    <w:rsid w:val="111EAB8F"/>
    <w:rsid w:val="1121A2DE"/>
    <w:rsid w:val="1124B7C6"/>
    <w:rsid w:val="1125FC54"/>
    <w:rsid w:val="112652B4"/>
    <w:rsid w:val="11265787"/>
    <w:rsid w:val="112756E6"/>
    <w:rsid w:val="11297B79"/>
    <w:rsid w:val="11298939"/>
    <w:rsid w:val="112E325C"/>
    <w:rsid w:val="11320ABB"/>
    <w:rsid w:val="11326EA2"/>
    <w:rsid w:val="1133B394"/>
    <w:rsid w:val="1133DD49"/>
    <w:rsid w:val="11343131"/>
    <w:rsid w:val="113435DD"/>
    <w:rsid w:val="113BBBBF"/>
    <w:rsid w:val="113CB8CE"/>
    <w:rsid w:val="113D665D"/>
    <w:rsid w:val="11408EF1"/>
    <w:rsid w:val="1140FF39"/>
    <w:rsid w:val="1144AA17"/>
    <w:rsid w:val="11469301"/>
    <w:rsid w:val="114A6A60"/>
    <w:rsid w:val="114B0B1B"/>
    <w:rsid w:val="114C4AC7"/>
    <w:rsid w:val="114D52CC"/>
    <w:rsid w:val="114D91F0"/>
    <w:rsid w:val="114E8E89"/>
    <w:rsid w:val="114EEDF1"/>
    <w:rsid w:val="114F4E9E"/>
    <w:rsid w:val="1151C099"/>
    <w:rsid w:val="1152017F"/>
    <w:rsid w:val="11542105"/>
    <w:rsid w:val="1155339D"/>
    <w:rsid w:val="1156982A"/>
    <w:rsid w:val="1158F7CC"/>
    <w:rsid w:val="115A27F5"/>
    <w:rsid w:val="115B2295"/>
    <w:rsid w:val="1161DBCC"/>
    <w:rsid w:val="116307E3"/>
    <w:rsid w:val="1163ACA6"/>
    <w:rsid w:val="11645DC7"/>
    <w:rsid w:val="11654888"/>
    <w:rsid w:val="116559EA"/>
    <w:rsid w:val="1165D2A5"/>
    <w:rsid w:val="116668DF"/>
    <w:rsid w:val="1169B574"/>
    <w:rsid w:val="116C90AF"/>
    <w:rsid w:val="1170D518"/>
    <w:rsid w:val="1170F550"/>
    <w:rsid w:val="1174E066"/>
    <w:rsid w:val="1174F631"/>
    <w:rsid w:val="1179CF27"/>
    <w:rsid w:val="117ACB91"/>
    <w:rsid w:val="117C0510"/>
    <w:rsid w:val="117EE754"/>
    <w:rsid w:val="118275B3"/>
    <w:rsid w:val="1186B01D"/>
    <w:rsid w:val="1187A358"/>
    <w:rsid w:val="1189A510"/>
    <w:rsid w:val="118CA241"/>
    <w:rsid w:val="11905D12"/>
    <w:rsid w:val="1191D2BD"/>
    <w:rsid w:val="119292B0"/>
    <w:rsid w:val="1197FDBF"/>
    <w:rsid w:val="119C2C76"/>
    <w:rsid w:val="119C46CD"/>
    <w:rsid w:val="119C6096"/>
    <w:rsid w:val="119C887F"/>
    <w:rsid w:val="119D6860"/>
    <w:rsid w:val="11A26B08"/>
    <w:rsid w:val="11A4DAC7"/>
    <w:rsid w:val="11A59005"/>
    <w:rsid w:val="11A6E543"/>
    <w:rsid w:val="11A6E8F9"/>
    <w:rsid w:val="11AD3E11"/>
    <w:rsid w:val="11AD92CC"/>
    <w:rsid w:val="11ADF669"/>
    <w:rsid w:val="11AEB119"/>
    <w:rsid w:val="11B0A059"/>
    <w:rsid w:val="11B2656C"/>
    <w:rsid w:val="11B37588"/>
    <w:rsid w:val="11B50DA9"/>
    <w:rsid w:val="11B74125"/>
    <w:rsid w:val="11B7B299"/>
    <w:rsid w:val="11BBB848"/>
    <w:rsid w:val="11BC2BF2"/>
    <w:rsid w:val="11BD3D58"/>
    <w:rsid w:val="11BE0869"/>
    <w:rsid w:val="11BE90C8"/>
    <w:rsid w:val="11C20010"/>
    <w:rsid w:val="11C3C678"/>
    <w:rsid w:val="11C6972B"/>
    <w:rsid w:val="11C76459"/>
    <w:rsid w:val="11CA4512"/>
    <w:rsid w:val="11CFB1FD"/>
    <w:rsid w:val="11D7D195"/>
    <w:rsid w:val="11D97658"/>
    <w:rsid w:val="11D9C080"/>
    <w:rsid w:val="11DB4D34"/>
    <w:rsid w:val="11DC5FC3"/>
    <w:rsid w:val="11DC627C"/>
    <w:rsid w:val="11DE0BC8"/>
    <w:rsid w:val="11DFC18D"/>
    <w:rsid w:val="11E25DDC"/>
    <w:rsid w:val="11E346A1"/>
    <w:rsid w:val="11E37EF3"/>
    <w:rsid w:val="11E3BCB6"/>
    <w:rsid w:val="11EA1552"/>
    <w:rsid w:val="11EC7D42"/>
    <w:rsid w:val="11F427E0"/>
    <w:rsid w:val="11F5A667"/>
    <w:rsid w:val="11F7DBDB"/>
    <w:rsid w:val="11F95878"/>
    <w:rsid w:val="11FA407C"/>
    <w:rsid w:val="11FAEA99"/>
    <w:rsid w:val="12004E94"/>
    <w:rsid w:val="1205AE8D"/>
    <w:rsid w:val="12097C1B"/>
    <w:rsid w:val="120A63E9"/>
    <w:rsid w:val="120B3589"/>
    <w:rsid w:val="120C6B35"/>
    <w:rsid w:val="120CB102"/>
    <w:rsid w:val="120CF48D"/>
    <w:rsid w:val="1211FE05"/>
    <w:rsid w:val="1214E1FF"/>
    <w:rsid w:val="1215FFC0"/>
    <w:rsid w:val="12180DB9"/>
    <w:rsid w:val="121C22D5"/>
    <w:rsid w:val="121C6E7B"/>
    <w:rsid w:val="121D3F4A"/>
    <w:rsid w:val="121F85F9"/>
    <w:rsid w:val="122037B3"/>
    <w:rsid w:val="12212E93"/>
    <w:rsid w:val="122218F6"/>
    <w:rsid w:val="122430BF"/>
    <w:rsid w:val="122675F6"/>
    <w:rsid w:val="122744B3"/>
    <w:rsid w:val="1228CFE1"/>
    <w:rsid w:val="1229627F"/>
    <w:rsid w:val="122A3F4E"/>
    <w:rsid w:val="122CBA45"/>
    <w:rsid w:val="122E6A5E"/>
    <w:rsid w:val="122FD06B"/>
    <w:rsid w:val="1230EC7E"/>
    <w:rsid w:val="1231F82F"/>
    <w:rsid w:val="1233D454"/>
    <w:rsid w:val="12344CF1"/>
    <w:rsid w:val="123852E1"/>
    <w:rsid w:val="12425990"/>
    <w:rsid w:val="124506DB"/>
    <w:rsid w:val="12452FB1"/>
    <w:rsid w:val="12463EAC"/>
    <w:rsid w:val="1246A22C"/>
    <w:rsid w:val="12483970"/>
    <w:rsid w:val="1253EAEF"/>
    <w:rsid w:val="1253F0CE"/>
    <w:rsid w:val="1255ECD5"/>
    <w:rsid w:val="125704A0"/>
    <w:rsid w:val="12579E75"/>
    <w:rsid w:val="125A7D07"/>
    <w:rsid w:val="125B9ED0"/>
    <w:rsid w:val="125BAB9C"/>
    <w:rsid w:val="125C2FA2"/>
    <w:rsid w:val="125F2C24"/>
    <w:rsid w:val="126173B5"/>
    <w:rsid w:val="1262D138"/>
    <w:rsid w:val="1263EEDF"/>
    <w:rsid w:val="126520F1"/>
    <w:rsid w:val="12660FAC"/>
    <w:rsid w:val="1268CFB1"/>
    <w:rsid w:val="12693C2E"/>
    <w:rsid w:val="126995B3"/>
    <w:rsid w:val="126B9CB5"/>
    <w:rsid w:val="126BAF8C"/>
    <w:rsid w:val="126D74FA"/>
    <w:rsid w:val="126EE83B"/>
    <w:rsid w:val="126EFD9C"/>
    <w:rsid w:val="1273E671"/>
    <w:rsid w:val="1274ED20"/>
    <w:rsid w:val="12789708"/>
    <w:rsid w:val="127D2636"/>
    <w:rsid w:val="127D27E0"/>
    <w:rsid w:val="127E6F23"/>
    <w:rsid w:val="127E8985"/>
    <w:rsid w:val="12821AF5"/>
    <w:rsid w:val="12834094"/>
    <w:rsid w:val="12853584"/>
    <w:rsid w:val="12889439"/>
    <w:rsid w:val="128D4413"/>
    <w:rsid w:val="128EEF6A"/>
    <w:rsid w:val="1290BC6A"/>
    <w:rsid w:val="12929381"/>
    <w:rsid w:val="12988FE2"/>
    <w:rsid w:val="129B13F1"/>
    <w:rsid w:val="129B82EF"/>
    <w:rsid w:val="12A20E45"/>
    <w:rsid w:val="12A2782B"/>
    <w:rsid w:val="12A310A5"/>
    <w:rsid w:val="12A45905"/>
    <w:rsid w:val="12A5A19E"/>
    <w:rsid w:val="12A5F304"/>
    <w:rsid w:val="12A61E5A"/>
    <w:rsid w:val="12B04CAC"/>
    <w:rsid w:val="12B08F6E"/>
    <w:rsid w:val="12B60C63"/>
    <w:rsid w:val="12B811CC"/>
    <w:rsid w:val="12B88D03"/>
    <w:rsid w:val="12B8CE64"/>
    <w:rsid w:val="12B95D4A"/>
    <w:rsid w:val="12B98F0C"/>
    <w:rsid w:val="12BAA66B"/>
    <w:rsid w:val="12BBC6D8"/>
    <w:rsid w:val="12BC26E8"/>
    <w:rsid w:val="12C3C585"/>
    <w:rsid w:val="12C576CE"/>
    <w:rsid w:val="12C69A26"/>
    <w:rsid w:val="12C8BCC7"/>
    <w:rsid w:val="12CCEA87"/>
    <w:rsid w:val="12D05638"/>
    <w:rsid w:val="12D1DFCB"/>
    <w:rsid w:val="12D414C2"/>
    <w:rsid w:val="12D42199"/>
    <w:rsid w:val="12D447EA"/>
    <w:rsid w:val="12D5621A"/>
    <w:rsid w:val="12DA8416"/>
    <w:rsid w:val="12DAFD7D"/>
    <w:rsid w:val="12DCD796"/>
    <w:rsid w:val="12DD3948"/>
    <w:rsid w:val="12DD4BE3"/>
    <w:rsid w:val="12DFC4BE"/>
    <w:rsid w:val="12E031C3"/>
    <w:rsid w:val="12E03B67"/>
    <w:rsid w:val="12E402B7"/>
    <w:rsid w:val="12E4D800"/>
    <w:rsid w:val="12EEF900"/>
    <w:rsid w:val="12F0DFA5"/>
    <w:rsid w:val="12F1FAEA"/>
    <w:rsid w:val="12F8B13B"/>
    <w:rsid w:val="12FA044F"/>
    <w:rsid w:val="12FC081A"/>
    <w:rsid w:val="12FCCA29"/>
    <w:rsid w:val="12FF86D2"/>
    <w:rsid w:val="12FF8D84"/>
    <w:rsid w:val="1300079D"/>
    <w:rsid w:val="13014A9D"/>
    <w:rsid w:val="13020052"/>
    <w:rsid w:val="13038FF6"/>
    <w:rsid w:val="130702A5"/>
    <w:rsid w:val="13097774"/>
    <w:rsid w:val="130C5637"/>
    <w:rsid w:val="130E5C3F"/>
    <w:rsid w:val="13105913"/>
    <w:rsid w:val="1310E045"/>
    <w:rsid w:val="13131A8A"/>
    <w:rsid w:val="1313502D"/>
    <w:rsid w:val="1314BCFB"/>
    <w:rsid w:val="13175066"/>
    <w:rsid w:val="131A0567"/>
    <w:rsid w:val="131AD18D"/>
    <w:rsid w:val="131BB335"/>
    <w:rsid w:val="131E9FFA"/>
    <w:rsid w:val="1320758A"/>
    <w:rsid w:val="132423F0"/>
    <w:rsid w:val="1326072B"/>
    <w:rsid w:val="132737F8"/>
    <w:rsid w:val="1328E0AF"/>
    <w:rsid w:val="13299325"/>
    <w:rsid w:val="1329A968"/>
    <w:rsid w:val="132C4F04"/>
    <w:rsid w:val="132C9983"/>
    <w:rsid w:val="1331F9E3"/>
    <w:rsid w:val="13331846"/>
    <w:rsid w:val="133A9D71"/>
    <w:rsid w:val="1342A661"/>
    <w:rsid w:val="1342EF04"/>
    <w:rsid w:val="13455B40"/>
    <w:rsid w:val="134724F0"/>
    <w:rsid w:val="1349A93E"/>
    <w:rsid w:val="1349EE0E"/>
    <w:rsid w:val="134B68CB"/>
    <w:rsid w:val="134D5DB9"/>
    <w:rsid w:val="13505463"/>
    <w:rsid w:val="13532A4B"/>
    <w:rsid w:val="1353BF57"/>
    <w:rsid w:val="13569174"/>
    <w:rsid w:val="1357EC9A"/>
    <w:rsid w:val="135D00D9"/>
    <w:rsid w:val="135F83D5"/>
    <w:rsid w:val="135F924A"/>
    <w:rsid w:val="13620E62"/>
    <w:rsid w:val="136A4509"/>
    <w:rsid w:val="136D63C7"/>
    <w:rsid w:val="136E288B"/>
    <w:rsid w:val="13723EA4"/>
    <w:rsid w:val="1375CF2F"/>
    <w:rsid w:val="13778F5C"/>
    <w:rsid w:val="1378059A"/>
    <w:rsid w:val="137F0067"/>
    <w:rsid w:val="137FD2A2"/>
    <w:rsid w:val="13820392"/>
    <w:rsid w:val="13832DDA"/>
    <w:rsid w:val="13839747"/>
    <w:rsid w:val="1384A310"/>
    <w:rsid w:val="13850249"/>
    <w:rsid w:val="13863595"/>
    <w:rsid w:val="13867A48"/>
    <w:rsid w:val="13869934"/>
    <w:rsid w:val="13882434"/>
    <w:rsid w:val="13884488"/>
    <w:rsid w:val="138A095F"/>
    <w:rsid w:val="138BCE7C"/>
    <w:rsid w:val="138C1B74"/>
    <w:rsid w:val="138D8BD4"/>
    <w:rsid w:val="138E1471"/>
    <w:rsid w:val="13912D6E"/>
    <w:rsid w:val="1392C098"/>
    <w:rsid w:val="1392E285"/>
    <w:rsid w:val="13971396"/>
    <w:rsid w:val="139AE02B"/>
    <w:rsid w:val="139B743D"/>
    <w:rsid w:val="139BF460"/>
    <w:rsid w:val="139E124C"/>
    <w:rsid w:val="139F5CFB"/>
    <w:rsid w:val="139FAF01"/>
    <w:rsid w:val="13A188F0"/>
    <w:rsid w:val="13A60B33"/>
    <w:rsid w:val="13A84838"/>
    <w:rsid w:val="13AB0321"/>
    <w:rsid w:val="13B078E7"/>
    <w:rsid w:val="13B079B8"/>
    <w:rsid w:val="13B25673"/>
    <w:rsid w:val="13B3856B"/>
    <w:rsid w:val="13B3F6C6"/>
    <w:rsid w:val="13B82511"/>
    <w:rsid w:val="13B95BF6"/>
    <w:rsid w:val="13BAFE36"/>
    <w:rsid w:val="13BB66A4"/>
    <w:rsid w:val="13BF2579"/>
    <w:rsid w:val="13C21DC7"/>
    <w:rsid w:val="13C4BBC0"/>
    <w:rsid w:val="13C4F12F"/>
    <w:rsid w:val="13C52C68"/>
    <w:rsid w:val="13C5B2C1"/>
    <w:rsid w:val="13C63A0B"/>
    <w:rsid w:val="13C64F07"/>
    <w:rsid w:val="13C75D00"/>
    <w:rsid w:val="13CA61AE"/>
    <w:rsid w:val="13CCFBF9"/>
    <w:rsid w:val="13CEA35A"/>
    <w:rsid w:val="13D048CD"/>
    <w:rsid w:val="13D29FFB"/>
    <w:rsid w:val="13D2FC12"/>
    <w:rsid w:val="13D39513"/>
    <w:rsid w:val="13D48B05"/>
    <w:rsid w:val="13D6144A"/>
    <w:rsid w:val="13D7CD29"/>
    <w:rsid w:val="13D97951"/>
    <w:rsid w:val="13DD80E1"/>
    <w:rsid w:val="13E10012"/>
    <w:rsid w:val="13E54BB1"/>
    <w:rsid w:val="13EFC391"/>
    <w:rsid w:val="13F476F5"/>
    <w:rsid w:val="13F716FA"/>
    <w:rsid w:val="13F848E3"/>
    <w:rsid w:val="13FA7A25"/>
    <w:rsid w:val="13FD9D7A"/>
    <w:rsid w:val="14035AF3"/>
    <w:rsid w:val="14050E5D"/>
    <w:rsid w:val="1405466B"/>
    <w:rsid w:val="1405FBB6"/>
    <w:rsid w:val="140FD6A4"/>
    <w:rsid w:val="141030CB"/>
    <w:rsid w:val="141C1A67"/>
    <w:rsid w:val="141C5603"/>
    <w:rsid w:val="141D6AFE"/>
    <w:rsid w:val="141DC34A"/>
    <w:rsid w:val="141EFD3E"/>
    <w:rsid w:val="141F2EDF"/>
    <w:rsid w:val="142248B1"/>
    <w:rsid w:val="14247D57"/>
    <w:rsid w:val="142515DE"/>
    <w:rsid w:val="14252231"/>
    <w:rsid w:val="14265818"/>
    <w:rsid w:val="142A6840"/>
    <w:rsid w:val="142D466A"/>
    <w:rsid w:val="14317ECE"/>
    <w:rsid w:val="14329EAD"/>
    <w:rsid w:val="1434477D"/>
    <w:rsid w:val="1434BF73"/>
    <w:rsid w:val="1435330F"/>
    <w:rsid w:val="1435DA8E"/>
    <w:rsid w:val="143CAE82"/>
    <w:rsid w:val="143E29DF"/>
    <w:rsid w:val="143E2FE8"/>
    <w:rsid w:val="14404C10"/>
    <w:rsid w:val="1441F6FF"/>
    <w:rsid w:val="14468D97"/>
    <w:rsid w:val="1449B1DE"/>
    <w:rsid w:val="144E1119"/>
    <w:rsid w:val="144F7339"/>
    <w:rsid w:val="14516064"/>
    <w:rsid w:val="14517FFC"/>
    <w:rsid w:val="14528159"/>
    <w:rsid w:val="14529B27"/>
    <w:rsid w:val="1455FC31"/>
    <w:rsid w:val="1456E55E"/>
    <w:rsid w:val="1459F407"/>
    <w:rsid w:val="145CCBA5"/>
    <w:rsid w:val="145D314B"/>
    <w:rsid w:val="145F3D26"/>
    <w:rsid w:val="1464819F"/>
    <w:rsid w:val="1467BD28"/>
    <w:rsid w:val="14691484"/>
    <w:rsid w:val="14694904"/>
    <w:rsid w:val="146DE937"/>
    <w:rsid w:val="146EC92A"/>
    <w:rsid w:val="1471476D"/>
    <w:rsid w:val="1473C5A7"/>
    <w:rsid w:val="1477645C"/>
    <w:rsid w:val="147779A9"/>
    <w:rsid w:val="1477FA51"/>
    <w:rsid w:val="147928E3"/>
    <w:rsid w:val="147A90ED"/>
    <w:rsid w:val="147CBA3A"/>
    <w:rsid w:val="147D521C"/>
    <w:rsid w:val="1480642B"/>
    <w:rsid w:val="1481340D"/>
    <w:rsid w:val="14815596"/>
    <w:rsid w:val="14818E7E"/>
    <w:rsid w:val="1484EB3F"/>
    <w:rsid w:val="148C626A"/>
    <w:rsid w:val="148C95A6"/>
    <w:rsid w:val="148D110F"/>
    <w:rsid w:val="1494F751"/>
    <w:rsid w:val="1495C106"/>
    <w:rsid w:val="149FD886"/>
    <w:rsid w:val="14A43B7E"/>
    <w:rsid w:val="14A472C7"/>
    <w:rsid w:val="14A4ACB1"/>
    <w:rsid w:val="14A4ED61"/>
    <w:rsid w:val="14A5218B"/>
    <w:rsid w:val="14A52D42"/>
    <w:rsid w:val="14A91A8C"/>
    <w:rsid w:val="14ACBF9D"/>
    <w:rsid w:val="14AD0A55"/>
    <w:rsid w:val="14ADA2F0"/>
    <w:rsid w:val="14AE8D4A"/>
    <w:rsid w:val="14AEE20E"/>
    <w:rsid w:val="14AF029A"/>
    <w:rsid w:val="14B466F2"/>
    <w:rsid w:val="14B59816"/>
    <w:rsid w:val="14B692A0"/>
    <w:rsid w:val="14B74922"/>
    <w:rsid w:val="14BAB80A"/>
    <w:rsid w:val="14BB46DA"/>
    <w:rsid w:val="14BE421E"/>
    <w:rsid w:val="14C09AE4"/>
    <w:rsid w:val="14C3F5FA"/>
    <w:rsid w:val="14C59511"/>
    <w:rsid w:val="14C75B65"/>
    <w:rsid w:val="14C80793"/>
    <w:rsid w:val="14CB92AE"/>
    <w:rsid w:val="14CCC294"/>
    <w:rsid w:val="14CF9A34"/>
    <w:rsid w:val="14D3EFCD"/>
    <w:rsid w:val="14D61C43"/>
    <w:rsid w:val="14D83D5E"/>
    <w:rsid w:val="14DA5ACF"/>
    <w:rsid w:val="14DD635B"/>
    <w:rsid w:val="14DE0320"/>
    <w:rsid w:val="14DE1757"/>
    <w:rsid w:val="14DE2469"/>
    <w:rsid w:val="14E1E727"/>
    <w:rsid w:val="14E7BC31"/>
    <w:rsid w:val="14E90715"/>
    <w:rsid w:val="14E97A07"/>
    <w:rsid w:val="14EA09F1"/>
    <w:rsid w:val="14F03047"/>
    <w:rsid w:val="14F22A01"/>
    <w:rsid w:val="14F399DA"/>
    <w:rsid w:val="14F85BEF"/>
    <w:rsid w:val="14FCA747"/>
    <w:rsid w:val="14FCC6AB"/>
    <w:rsid w:val="14FDC79F"/>
    <w:rsid w:val="14FE8B84"/>
    <w:rsid w:val="14FFFE3F"/>
    <w:rsid w:val="15006A42"/>
    <w:rsid w:val="1501C495"/>
    <w:rsid w:val="15076ED8"/>
    <w:rsid w:val="1507726C"/>
    <w:rsid w:val="1508EC7D"/>
    <w:rsid w:val="150C3A67"/>
    <w:rsid w:val="15113602"/>
    <w:rsid w:val="151149E6"/>
    <w:rsid w:val="151158B5"/>
    <w:rsid w:val="151407CF"/>
    <w:rsid w:val="151581C5"/>
    <w:rsid w:val="151729A2"/>
    <w:rsid w:val="15193074"/>
    <w:rsid w:val="151B3C8C"/>
    <w:rsid w:val="15202D33"/>
    <w:rsid w:val="1524C42E"/>
    <w:rsid w:val="1524C9A1"/>
    <w:rsid w:val="1525B4F8"/>
    <w:rsid w:val="15270F6F"/>
    <w:rsid w:val="1527DFF5"/>
    <w:rsid w:val="1528807B"/>
    <w:rsid w:val="1529BBF5"/>
    <w:rsid w:val="152CA115"/>
    <w:rsid w:val="152D58A4"/>
    <w:rsid w:val="1543DCEC"/>
    <w:rsid w:val="1544A358"/>
    <w:rsid w:val="1545EB44"/>
    <w:rsid w:val="1545F044"/>
    <w:rsid w:val="1546D9F7"/>
    <w:rsid w:val="154CB135"/>
    <w:rsid w:val="154CF731"/>
    <w:rsid w:val="154DC7DC"/>
    <w:rsid w:val="154FE9B0"/>
    <w:rsid w:val="15501B5E"/>
    <w:rsid w:val="1551066E"/>
    <w:rsid w:val="155110C3"/>
    <w:rsid w:val="15543F6D"/>
    <w:rsid w:val="155449E6"/>
    <w:rsid w:val="15596590"/>
    <w:rsid w:val="155A5BEF"/>
    <w:rsid w:val="155F8634"/>
    <w:rsid w:val="1560CBC3"/>
    <w:rsid w:val="156533F9"/>
    <w:rsid w:val="1567ED3C"/>
    <w:rsid w:val="1567F479"/>
    <w:rsid w:val="1568968E"/>
    <w:rsid w:val="156A83D4"/>
    <w:rsid w:val="156C5894"/>
    <w:rsid w:val="156CCF20"/>
    <w:rsid w:val="156DA8AB"/>
    <w:rsid w:val="156DD658"/>
    <w:rsid w:val="156FDABB"/>
    <w:rsid w:val="15703C94"/>
    <w:rsid w:val="15725410"/>
    <w:rsid w:val="15729B9A"/>
    <w:rsid w:val="157392BC"/>
    <w:rsid w:val="15741904"/>
    <w:rsid w:val="15780294"/>
    <w:rsid w:val="157FFB89"/>
    <w:rsid w:val="1582133E"/>
    <w:rsid w:val="158558FB"/>
    <w:rsid w:val="1585BD53"/>
    <w:rsid w:val="158BA206"/>
    <w:rsid w:val="158DDDEA"/>
    <w:rsid w:val="158FBC85"/>
    <w:rsid w:val="15959848"/>
    <w:rsid w:val="1598F53D"/>
    <w:rsid w:val="159A2D5D"/>
    <w:rsid w:val="159C87CD"/>
    <w:rsid w:val="159F03D2"/>
    <w:rsid w:val="15A2AD8F"/>
    <w:rsid w:val="15A2E381"/>
    <w:rsid w:val="15A4ED2E"/>
    <w:rsid w:val="15A53181"/>
    <w:rsid w:val="15A5AD12"/>
    <w:rsid w:val="15A71786"/>
    <w:rsid w:val="15A8F713"/>
    <w:rsid w:val="15A94723"/>
    <w:rsid w:val="15ADB4E5"/>
    <w:rsid w:val="15B07172"/>
    <w:rsid w:val="15B1E851"/>
    <w:rsid w:val="15B66396"/>
    <w:rsid w:val="15B94B01"/>
    <w:rsid w:val="15BD2F99"/>
    <w:rsid w:val="15BD75C3"/>
    <w:rsid w:val="15BED39F"/>
    <w:rsid w:val="15BF8641"/>
    <w:rsid w:val="15C1B799"/>
    <w:rsid w:val="15C34644"/>
    <w:rsid w:val="15C65003"/>
    <w:rsid w:val="15C9F034"/>
    <w:rsid w:val="15CBF34D"/>
    <w:rsid w:val="15CCA824"/>
    <w:rsid w:val="15CECBA3"/>
    <w:rsid w:val="15CEFBDA"/>
    <w:rsid w:val="15D32191"/>
    <w:rsid w:val="15D48B81"/>
    <w:rsid w:val="15D4CEAA"/>
    <w:rsid w:val="15D5D29D"/>
    <w:rsid w:val="15D6D76F"/>
    <w:rsid w:val="15D83C5A"/>
    <w:rsid w:val="15DA6428"/>
    <w:rsid w:val="15DDA756"/>
    <w:rsid w:val="15E0A148"/>
    <w:rsid w:val="15E33185"/>
    <w:rsid w:val="15E3B08F"/>
    <w:rsid w:val="15E3D053"/>
    <w:rsid w:val="15E53698"/>
    <w:rsid w:val="15E57BFC"/>
    <w:rsid w:val="15E7F57D"/>
    <w:rsid w:val="15E83CE3"/>
    <w:rsid w:val="15EA487E"/>
    <w:rsid w:val="15EDB506"/>
    <w:rsid w:val="15EFEBDB"/>
    <w:rsid w:val="15F07BC6"/>
    <w:rsid w:val="15F263E2"/>
    <w:rsid w:val="15F8E1C3"/>
    <w:rsid w:val="15FE4B25"/>
    <w:rsid w:val="16000AB2"/>
    <w:rsid w:val="1605A9EF"/>
    <w:rsid w:val="160613EC"/>
    <w:rsid w:val="1606B6F7"/>
    <w:rsid w:val="1607707E"/>
    <w:rsid w:val="1609C867"/>
    <w:rsid w:val="160BE6FB"/>
    <w:rsid w:val="160CA9AF"/>
    <w:rsid w:val="160DB917"/>
    <w:rsid w:val="160E74E7"/>
    <w:rsid w:val="160FBC57"/>
    <w:rsid w:val="161353F2"/>
    <w:rsid w:val="1615566E"/>
    <w:rsid w:val="161CDCF7"/>
    <w:rsid w:val="161D16DA"/>
    <w:rsid w:val="161DA936"/>
    <w:rsid w:val="161FA0A3"/>
    <w:rsid w:val="16215BC5"/>
    <w:rsid w:val="16239FA1"/>
    <w:rsid w:val="1625A83B"/>
    <w:rsid w:val="1625B08E"/>
    <w:rsid w:val="1626BFD6"/>
    <w:rsid w:val="16279E7E"/>
    <w:rsid w:val="162832CB"/>
    <w:rsid w:val="162ED822"/>
    <w:rsid w:val="162F0ADA"/>
    <w:rsid w:val="1630D038"/>
    <w:rsid w:val="1630FA06"/>
    <w:rsid w:val="16334539"/>
    <w:rsid w:val="1639E391"/>
    <w:rsid w:val="163C7EDA"/>
    <w:rsid w:val="163D0B92"/>
    <w:rsid w:val="163E5CD1"/>
    <w:rsid w:val="1640155A"/>
    <w:rsid w:val="1640CC26"/>
    <w:rsid w:val="1640F087"/>
    <w:rsid w:val="1641057E"/>
    <w:rsid w:val="16450C09"/>
    <w:rsid w:val="1647A766"/>
    <w:rsid w:val="1649030A"/>
    <w:rsid w:val="1649DB96"/>
    <w:rsid w:val="164A8898"/>
    <w:rsid w:val="164A8ED2"/>
    <w:rsid w:val="164BE4AD"/>
    <w:rsid w:val="164DD470"/>
    <w:rsid w:val="164E09D2"/>
    <w:rsid w:val="1650D6DB"/>
    <w:rsid w:val="1654B442"/>
    <w:rsid w:val="1655B5F1"/>
    <w:rsid w:val="1657AE30"/>
    <w:rsid w:val="16581107"/>
    <w:rsid w:val="165BCE07"/>
    <w:rsid w:val="165C3E81"/>
    <w:rsid w:val="165F2433"/>
    <w:rsid w:val="165FD7EB"/>
    <w:rsid w:val="16601160"/>
    <w:rsid w:val="1660F2FB"/>
    <w:rsid w:val="1661E70A"/>
    <w:rsid w:val="1661FAA1"/>
    <w:rsid w:val="166241C1"/>
    <w:rsid w:val="16632BC6"/>
    <w:rsid w:val="16636FAA"/>
    <w:rsid w:val="1664425F"/>
    <w:rsid w:val="166586CB"/>
    <w:rsid w:val="1667457B"/>
    <w:rsid w:val="166A6DDD"/>
    <w:rsid w:val="166BAF9F"/>
    <w:rsid w:val="166C9D92"/>
    <w:rsid w:val="166EB5E4"/>
    <w:rsid w:val="1670582A"/>
    <w:rsid w:val="1670ECBD"/>
    <w:rsid w:val="16764AB7"/>
    <w:rsid w:val="16786A15"/>
    <w:rsid w:val="1678EB3B"/>
    <w:rsid w:val="167A5BE8"/>
    <w:rsid w:val="167C0C4F"/>
    <w:rsid w:val="167D3710"/>
    <w:rsid w:val="16809D36"/>
    <w:rsid w:val="168245B1"/>
    <w:rsid w:val="1683F363"/>
    <w:rsid w:val="16844EB3"/>
    <w:rsid w:val="1684A001"/>
    <w:rsid w:val="16859507"/>
    <w:rsid w:val="16874B0C"/>
    <w:rsid w:val="16875C14"/>
    <w:rsid w:val="1687B1CB"/>
    <w:rsid w:val="1689344B"/>
    <w:rsid w:val="1689EE52"/>
    <w:rsid w:val="168BACF7"/>
    <w:rsid w:val="168E66AF"/>
    <w:rsid w:val="169021F5"/>
    <w:rsid w:val="169109DC"/>
    <w:rsid w:val="1692F082"/>
    <w:rsid w:val="16934E7B"/>
    <w:rsid w:val="1697DAB5"/>
    <w:rsid w:val="16983472"/>
    <w:rsid w:val="16A0075F"/>
    <w:rsid w:val="16A1706F"/>
    <w:rsid w:val="16A67ACE"/>
    <w:rsid w:val="16A6A6DE"/>
    <w:rsid w:val="16A94D6F"/>
    <w:rsid w:val="16AC62EB"/>
    <w:rsid w:val="16AE31A3"/>
    <w:rsid w:val="16AF07A6"/>
    <w:rsid w:val="16B6FC20"/>
    <w:rsid w:val="16B816F3"/>
    <w:rsid w:val="16B9963C"/>
    <w:rsid w:val="16BCB004"/>
    <w:rsid w:val="16BD6518"/>
    <w:rsid w:val="16C3A078"/>
    <w:rsid w:val="16C579AD"/>
    <w:rsid w:val="16C863C8"/>
    <w:rsid w:val="16C87525"/>
    <w:rsid w:val="16CBA09E"/>
    <w:rsid w:val="16CBAB36"/>
    <w:rsid w:val="16CF5BED"/>
    <w:rsid w:val="16D02669"/>
    <w:rsid w:val="16D25567"/>
    <w:rsid w:val="16D2CA0A"/>
    <w:rsid w:val="16DA4547"/>
    <w:rsid w:val="16DAD562"/>
    <w:rsid w:val="16DE853A"/>
    <w:rsid w:val="16E0206B"/>
    <w:rsid w:val="16E1095F"/>
    <w:rsid w:val="16E4D45C"/>
    <w:rsid w:val="16E5E2B9"/>
    <w:rsid w:val="16E7A271"/>
    <w:rsid w:val="16E97332"/>
    <w:rsid w:val="16EB5F71"/>
    <w:rsid w:val="16EBA752"/>
    <w:rsid w:val="16ECB044"/>
    <w:rsid w:val="16EDA91D"/>
    <w:rsid w:val="16EF7417"/>
    <w:rsid w:val="16F32A96"/>
    <w:rsid w:val="16F4BB04"/>
    <w:rsid w:val="16F785B7"/>
    <w:rsid w:val="16F836AB"/>
    <w:rsid w:val="16F8B58A"/>
    <w:rsid w:val="1700C5CF"/>
    <w:rsid w:val="17019BF1"/>
    <w:rsid w:val="1702C481"/>
    <w:rsid w:val="170471B1"/>
    <w:rsid w:val="1706252F"/>
    <w:rsid w:val="17065ED4"/>
    <w:rsid w:val="1706E4F7"/>
    <w:rsid w:val="17085F94"/>
    <w:rsid w:val="1709B0F9"/>
    <w:rsid w:val="1709B980"/>
    <w:rsid w:val="170E2312"/>
    <w:rsid w:val="170F3DE7"/>
    <w:rsid w:val="170FF7A8"/>
    <w:rsid w:val="1710BE40"/>
    <w:rsid w:val="1714E7C6"/>
    <w:rsid w:val="1715BFDC"/>
    <w:rsid w:val="171A142C"/>
    <w:rsid w:val="171B736A"/>
    <w:rsid w:val="171E40F1"/>
    <w:rsid w:val="17223640"/>
    <w:rsid w:val="17255037"/>
    <w:rsid w:val="17267788"/>
    <w:rsid w:val="1728352A"/>
    <w:rsid w:val="17296F9D"/>
    <w:rsid w:val="17299A2E"/>
    <w:rsid w:val="172D32B0"/>
    <w:rsid w:val="172DBE00"/>
    <w:rsid w:val="172E9E9A"/>
    <w:rsid w:val="172EC2A9"/>
    <w:rsid w:val="172FE850"/>
    <w:rsid w:val="17326863"/>
    <w:rsid w:val="1732726C"/>
    <w:rsid w:val="1737BC4C"/>
    <w:rsid w:val="1738AF16"/>
    <w:rsid w:val="1738C8D8"/>
    <w:rsid w:val="173A8D7C"/>
    <w:rsid w:val="173DBAEE"/>
    <w:rsid w:val="173DBBC7"/>
    <w:rsid w:val="173F6EDC"/>
    <w:rsid w:val="173FD6CC"/>
    <w:rsid w:val="1742708E"/>
    <w:rsid w:val="1745B5DB"/>
    <w:rsid w:val="17480B02"/>
    <w:rsid w:val="17493922"/>
    <w:rsid w:val="17504B19"/>
    <w:rsid w:val="1750DE94"/>
    <w:rsid w:val="17564996"/>
    <w:rsid w:val="175677E8"/>
    <w:rsid w:val="175D91B5"/>
    <w:rsid w:val="175E9EED"/>
    <w:rsid w:val="175EE912"/>
    <w:rsid w:val="175F0B6E"/>
    <w:rsid w:val="176509E2"/>
    <w:rsid w:val="17679292"/>
    <w:rsid w:val="176907F7"/>
    <w:rsid w:val="1769B20C"/>
    <w:rsid w:val="177030CD"/>
    <w:rsid w:val="177065F1"/>
    <w:rsid w:val="17713583"/>
    <w:rsid w:val="17714D8A"/>
    <w:rsid w:val="177306BA"/>
    <w:rsid w:val="1777A459"/>
    <w:rsid w:val="17780F11"/>
    <w:rsid w:val="177F9AFB"/>
    <w:rsid w:val="1780110B"/>
    <w:rsid w:val="1781FFEB"/>
    <w:rsid w:val="17828A4B"/>
    <w:rsid w:val="1783BC07"/>
    <w:rsid w:val="1784F5DE"/>
    <w:rsid w:val="1785BB42"/>
    <w:rsid w:val="178649A1"/>
    <w:rsid w:val="178C3824"/>
    <w:rsid w:val="178FC3F6"/>
    <w:rsid w:val="1790264F"/>
    <w:rsid w:val="1791EAA2"/>
    <w:rsid w:val="17948C39"/>
    <w:rsid w:val="1794DDB7"/>
    <w:rsid w:val="17950FE0"/>
    <w:rsid w:val="1795A8BE"/>
    <w:rsid w:val="17966743"/>
    <w:rsid w:val="1796C499"/>
    <w:rsid w:val="17973935"/>
    <w:rsid w:val="17973C56"/>
    <w:rsid w:val="1797CD0F"/>
    <w:rsid w:val="17981731"/>
    <w:rsid w:val="17998D55"/>
    <w:rsid w:val="179A8EF1"/>
    <w:rsid w:val="179CAB38"/>
    <w:rsid w:val="179D4759"/>
    <w:rsid w:val="179F74E5"/>
    <w:rsid w:val="17A0AB61"/>
    <w:rsid w:val="17A3D6C0"/>
    <w:rsid w:val="17A5E340"/>
    <w:rsid w:val="17ACB77E"/>
    <w:rsid w:val="17ACFF96"/>
    <w:rsid w:val="17B009C0"/>
    <w:rsid w:val="17B034C5"/>
    <w:rsid w:val="17B19704"/>
    <w:rsid w:val="17B1B1A4"/>
    <w:rsid w:val="17B2C520"/>
    <w:rsid w:val="17B350B4"/>
    <w:rsid w:val="17B57351"/>
    <w:rsid w:val="17B60579"/>
    <w:rsid w:val="17B820D3"/>
    <w:rsid w:val="17B8D4CF"/>
    <w:rsid w:val="17BEE095"/>
    <w:rsid w:val="17BF5353"/>
    <w:rsid w:val="17BFC842"/>
    <w:rsid w:val="17C16EAF"/>
    <w:rsid w:val="17C965C6"/>
    <w:rsid w:val="17CA6714"/>
    <w:rsid w:val="17CAA652"/>
    <w:rsid w:val="17CB82BA"/>
    <w:rsid w:val="17CE00A0"/>
    <w:rsid w:val="17CE5314"/>
    <w:rsid w:val="17D22F25"/>
    <w:rsid w:val="17D5AA63"/>
    <w:rsid w:val="17D61C83"/>
    <w:rsid w:val="17D7338C"/>
    <w:rsid w:val="17DA9251"/>
    <w:rsid w:val="17E32477"/>
    <w:rsid w:val="17E3C1EC"/>
    <w:rsid w:val="17E77E47"/>
    <w:rsid w:val="17E78F5A"/>
    <w:rsid w:val="17E8BAF0"/>
    <w:rsid w:val="17EAB80F"/>
    <w:rsid w:val="17EB607B"/>
    <w:rsid w:val="17EF4823"/>
    <w:rsid w:val="17F1B8D2"/>
    <w:rsid w:val="17F392A3"/>
    <w:rsid w:val="17F6C431"/>
    <w:rsid w:val="17F8876E"/>
    <w:rsid w:val="17FAA970"/>
    <w:rsid w:val="17FE3E44"/>
    <w:rsid w:val="17FEE864"/>
    <w:rsid w:val="17FF6738"/>
    <w:rsid w:val="17FFA631"/>
    <w:rsid w:val="18008C00"/>
    <w:rsid w:val="180322F3"/>
    <w:rsid w:val="18040636"/>
    <w:rsid w:val="1804C737"/>
    <w:rsid w:val="180573A1"/>
    <w:rsid w:val="180B206B"/>
    <w:rsid w:val="180E09D0"/>
    <w:rsid w:val="180E4510"/>
    <w:rsid w:val="18129276"/>
    <w:rsid w:val="181333B5"/>
    <w:rsid w:val="181454CB"/>
    <w:rsid w:val="181470FF"/>
    <w:rsid w:val="18155D84"/>
    <w:rsid w:val="1815C921"/>
    <w:rsid w:val="1815D498"/>
    <w:rsid w:val="18181937"/>
    <w:rsid w:val="181ADB38"/>
    <w:rsid w:val="181BECED"/>
    <w:rsid w:val="181CEC2F"/>
    <w:rsid w:val="181DB28F"/>
    <w:rsid w:val="181E585C"/>
    <w:rsid w:val="181EF356"/>
    <w:rsid w:val="18200ECA"/>
    <w:rsid w:val="1821F9FC"/>
    <w:rsid w:val="1822000E"/>
    <w:rsid w:val="18224779"/>
    <w:rsid w:val="18226FF7"/>
    <w:rsid w:val="182428D5"/>
    <w:rsid w:val="18249152"/>
    <w:rsid w:val="1824ACFF"/>
    <w:rsid w:val="18250D61"/>
    <w:rsid w:val="182AEDB0"/>
    <w:rsid w:val="182D4D41"/>
    <w:rsid w:val="182E607E"/>
    <w:rsid w:val="182EFBCD"/>
    <w:rsid w:val="182F4904"/>
    <w:rsid w:val="1830D32F"/>
    <w:rsid w:val="18321391"/>
    <w:rsid w:val="1832B9F7"/>
    <w:rsid w:val="183608C8"/>
    <w:rsid w:val="1838FD0F"/>
    <w:rsid w:val="18393909"/>
    <w:rsid w:val="183A79B2"/>
    <w:rsid w:val="183B20E1"/>
    <w:rsid w:val="18400020"/>
    <w:rsid w:val="1841E76A"/>
    <w:rsid w:val="1842C0A9"/>
    <w:rsid w:val="18452050"/>
    <w:rsid w:val="1847EF41"/>
    <w:rsid w:val="1848A992"/>
    <w:rsid w:val="1849AB70"/>
    <w:rsid w:val="184BB56E"/>
    <w:rsid w:val="184D32D6"/>
    <w:rsid w:val="184E4C75"/>
    <w:rsid w:val="184EE4A8"/>
    <w:rsid w:val="184F0E25"/>
    <w:rsid w:val="185088D0"/>
    <w:rsid w:val="18512B20"/>
    <w:rsid w:val="18530C2C"/>
    <w:rsid w:val="185A0630"/>
    <w:rsid w:val="185A07FC"/>
    <w:rsid w:val="185D1D45"/>
    <w:rsid w:val="185DAC4C"/>
    <w:rsid w:val="185DBF02"/>
    <w:rsid w:val="186070B3"/>
    <w:rsid w:val="1860BBDE"/>
    <w:rsid w:val="1862628C"/>
    <w:rsid w:val="1865E093"/>
    <w:rsid w:val="18671913"/>
    <w:rsid w:val="186770FF"/>
    <w:rsid w:val="1868277B"/>
    <w:rsid w:val="186936E1"/>
    <w:rsid w:val="1869714A"/>
    <w:rsid w:val="186BE79D"/>
    <w:rsid w:val="186C092E"/>
    <w:rsid w:val="1870D1FD"/>
    <w:rsid w:val="18714806"/>
    <w:rsid w:val="1873306F"/>
    <w:rsid w:val="18741C9C"/>
    <w:rsid w:val="18759087"/>
    <w:rsid w:val="1876A31F"/>
    <w:rsid w:val="18787665"/>
    <w:rsid w:val="187A743E"/>
    <w:rsid w:val="187AC392"/>
    <w:rsid w:val="187C4F81"/>
    <w:rsid w:val="187F63BC"/>
    <w:rsid w:val="18815F35"/>
    <w:rsid w:val="188372D2"/>
    <w:rsid w:val="1884D4E1"/>
    <w:rsid w:val="188528CA"/>
    <w:rsid w:val="188574E4"/>
    <w:rsid w:val="18871C56"/>
    <w:rsid w:val="18889519"/>
    <w:rsid w:val="1888B72C"/>
    <w:rsid w:val="188A90EA"/>
    <w:rsid w:val="188E2CB4"/>
    <w:rsid w:val="188F3B65"/>
    <w:rsid w:val="188FD3F9"/>
    <w:rsid w:val="1890F9B4"/>
    <w:rsid w:val="18932F01"/>
    <w:rsid w:val="1894FC77"/>
    <w:rsid w:val="1895438A"/>
    <w:rsid w:val="1897FFBD"/>
    <w:rsid w:val="18980520"/>
    <w:rsid w:val="189886B0"/>
    <w:rsid w:val="1899ECE8"/>
    <w:rsid w:val="189A3B70"/>
    <w:rsid w:val="189EA545"/>
    <w:rsid w:val="18A22EA9"/>
    <w:rsid w:val="18A446BD"/>
    <w:rsid w:val="18A4C57E"/>
    <w:rsid w:val="18A583E0"/>
    <w:rsid w:val="18A7ED34"/>
    <w:rsid w:val="18A9FC86"/>
    <w:rsid w:val="18AA18C5"/>
    <w:rsid w:val="18B075CF"/>
    <w:rsid w:val="18B4440D"/>
    <w:rsid w:val="18B7F310"/>
    <w:rsid w:val="18B81CEE"/>
    <w:rsid w:val="18B820DB"/>
    <w:rsid w:val="18BE5AAB"/>
    <w:rsid w:val="18C078BD"/>
    <w:rsid w:val="18C32F16"/>
    <w:rsid w:val="18C34EB5"/>
    <w:rsid w:val="18C62C74"/>
    <w:rsid w:val="18C95272"/>
    <w:rsid w:val="18CBC595"/>
    <w:rsid w:val="18CCC06B"/>
    <w:rsid w:val="18CD92A2"/>
    <w:rsid w:val="18CEF1EC"/>
    <w:rsid w:val="18CF6114"/>
    <w:rsid w:val="18CFE51C"/>
    <w:rsid w:val="18D51BED"/>
    <w:rsid w:val="18D65419"/>
    <w:rsid w:val="18D69D38"/>
    <w:rsid w:val="18D6B2A0"/>
    <w:rsid w:val="18D73F4F"/>
    <w:rsid w:val="18D93F37"/>
    <w:rsid w:val="18D99E60"/>
    <w:rsid w:val="18DA1551"/>
    <w:rsid w:val="18DA7A66"/>
    <w:rsid w:val="18DBABB8"/>
    <w:rsid w:val="18DC8C3C"/>
    <w:rsid w:val="18DFED4D"/>
    <w:rsid w:val="18E00930"/>
    <w:rsid w:val="18E4351B"/>
    <w:rsid w:val="18E45023"/>
    <w:rsid w:val="18E7FA54"/>
    <w:rsid w:val="18E9D6B6"/>
    <w:rsid w:val="18EF459C"/>
    <w:rsid w:val="18F12ABD"/>
    <w:rsid w:val="18F214FA"/>
    <w:rsid w:val="18F2B35A"/>
    <w:rsid w:val="18F54F3B"/>
    <w:rsid w:val="18F56D50"/>
    <w:rsid w:val="18F7E4AA"/>
    <w:rsid w:val="18F8BDD5"/>
    <w:rsid w:val="18FA149E"/>
    <w:rsid w:val="18FAB1CE"/>
    <w:rsid w:val="18FB2D9A"/>
    <w:rsid w:val="18FB794F"/>
    <w:rsid w:val="18FC4D18"/>
    <w:rsid w:val="18FD3F98"/>
    <w:rsid w:val="18FEAD52"/>
    <w:rsid w:val="18FEC044"/>
    <w:rsid w:val="18FED327"/>
    <w:rsid w:val="1905E73C"/>
    <w:rsid w:val="190671C4"/>
    <w:rsid w:val="19096DCE"/>
    <w:rsid w:val="19098145"/>
    <w:rsid w:val="190A4703"/>
    <w:rsid w:val="190AD252"/>
    <w:rsid w:val="190C40C8"/>
    <w:rsid w:val="190C66DE"/>
    <w:rsid w:val="190E8C79"/>
    <w:rsid w:val="190F875A"/>
    <w:rsid w:val="190F9304"/>
    <w:rsid w:val="191354A0"/>
    <w:rsid w:val="1914A8B9"/>
    <w:rsid w:val="1914DF59"/>
    <w:rsid w:val="191579FE"/>
    <w:rsid w:val="19166DB9"/>
    <w:rsid w:val="19186138"/>
    <w:rsid w:val="1919A8DB"/>
    <w:rsid w:val="1919B71A"/>
    <w:rsid w:val="191A501A"/>
    <w:rsid w:val="191AAD26"/>
    <w:rsid w:val="191C79D4"/>
    <w:rsid w:val="191EA5C5"/>
    <w:rsid w:val="19240BB2"/>
    <w:rsid w:val="19248FA7"/>
    <w:rsid w:val="1929A886"/>
    <w:rsid w:val="1929C9A1"/>
    <w:rsid w:val="192BF2BE"/>
    <w:rsid w:val="192D3A59"/>
    <w:rsid w:val="192EEBA1"/>
    <w:rsid w:val="192F4FE5"/>
    <w:rsid w:val="192FEC89"/>
    <w:rsid w:val="19338BE8"/>
    <w:rsid w:val="19341849"/>
    <w:rsid w:val="19350600"/>
    <w:rsid w:val="1935EFCA"/>
    <w:rsid w:val="19363936"/>
    <w:rsid w:val="193647DB"/>
    <w:rsid w:val="19368C65"/>
    <w:rsid w:val="1937B134"/>
    <w:rsid w:val="1937FE0D"/>
    <w:rsid w:val="19397A1B"/>
    <w:rsid w:val="19408F8E"/>
    <w:rsid w:val="19441016"/>
    <w:rsid w:val="19447CFE"/>
    <w:rsid w:val="19458CB6"/>
    <w:rsid w:val="194735EC"/>
    <w:rsid w:val="19476C70"/>
    <w:rsid w:val="1948D6BA"/>
    <w:rsid w:val="194A9D5F"/>
    <w:rsid w:val="194AD2C6"/>
    <w:rsid w:val="194B18F8"/>
    <w:rsid w:val="194BAC5E"/>
    <w:rsid w:val="194D3D77"/>
    <w:rsid w:val="194E6096"/>
    <w:rsid w:val="194E666B"/>
    <w:rsid w:val="195318CD"/>
    <w:rsid w:val="195966F5"/>
    <w:rsid w:val="195B5DFF"/>
    <w:rsid w:val="19600063"/>
    <w:rsid w:val="19627538"/>
    <w:rsid w:val="1962AE5E"/>
    <w:rsid w:val="19654F78"/>
    <w:rsid w:val="19672DF5"/>
    <w:rsid w:val="196DE3B7"/>
    <w:rsid w:val="196EF54A"/>
    <w:rsid w:val="196F1899"/>
    <w:rsid w:val="196F2537"/>
    <w:rsid w:val="19722F7C"/>
    <w:rsid w:val="197C49FA"/>
    <w:rsid w:val="197CEB7F"/>
    <w:rsid w:val="197E15E2"/>
    <w:rsid w:val="198288AE"/>
    <w:rsid w:val="198368A7"/>
    <w:rsid w:val="1983A88D"/>
    <w:rsid w:val="1985D0D3"/>
    <w:rsid w:val="19870F77"/>
    <w:rsid w:val="198FD5A2"/>
    <w:rsid w:val="1992E804"/>
    <w:rsid w:val="199515F6"/>
    <w:rsid w:val="199521A8"/>
    <w:rsid w:val="1995E177"/>
    <w:rsid w:val="199AB540"/>
    <w:rsid w:val="199CD9D9"/>
    <w:rsid w:val="199D5F09"/>
    <w:rsid w:val="199D9BF1"/>
    <w:rsid w:val="199FC75A"/>
    <w:rsid w:val="19A0E5DE"/>
    <w:rsid w:val="19A4103F"/>
    <w:rsid w:val="19A43E54"/>
    <w:rsid w:val="19A71C1E"/>
    <w:rsid w:val="19A9156B"/>
    <w:rsid w:val="19AEBC40"/>
    <w:rsid w:val="19AFDFDF"/>
    <w:rsid w:val="19B015BD"/>
    <w:rsid w:val="19B02277"/>
    <w:rsid w:val="19B048F0"/>
    <w:rsid w:val="19B2A96B"/>
    <w:rsid w:val="19B67CF2"/>
    <w:rsid w:val="19B745EC"/>
    <w:rsid w:val="19B9CD8D"/>
    <w:rsid w:val="19BACD0E"/>
    <w:rsid w:val="19BB1743"/>
    <w:rsid w:val="19BC64D8"/>
    <w:rsid w:val="19BC7137"/>
    <w:rsid w:val="19C0B076"/>
    <w:rsid w:val="19C0C222"/>
    <w:rsid w:val="19C186E8"/>
    <w:rsid w:val="19C30E3F"/>
    <w:rsid w:val="19C4D03E"/>
    <w:rsid w:val="19C513D9"/>
    <w:rsid w:val="19C62BDE"/>
    <w:rsid w:val="19C89E61"/>
    <w:rsid w:val="19CA617E"/>
    <w:rsid w:val="19CC3F46"/>
    <w:rsid w:val="19D154B0"/>
    <w:rsid w:val="19D85FCF"/>
    <w:rsid w:val="19DBFCC6"/>
    <w:rsid w:val="19DE47A0"/>
    <w:rsid w:val="19DECE16"/>
    <w:rsid w:val="19E0B09E"/>
    <w:rsid w:val="19E0D08D"/>
    <w:rsid w:val="19E277FC"/>
    <w:rsid w:val="19E2D932"/>
    <w:rsid w:val="19E32A08"/>
    <w:rsid w:val="19E8BE93"/>
    <w:rsid w:val="19EA2794"/>
    <w:rsid w:val="19EA5366"/>
    <w:rsid w:val="19F0964A"/>
    <w:rsid w:val="19F23B40"/>
    <w:rsid w:val="19F7834D"/>
    <w:rsid w:val="19F7A084"/>
    <w:rsid w:val="19F92351"/>
    <w:rsid w:val="19F9B42C"/>
    <w:rsid w:val="19FC3B30"/>
    <w:rsid w:val="1A03AD40"/>
    <w:rsid w:val="1A03F39F"/>
    <w:rsid w:val="1A0670F3"/>
    <w:rsid w:val="1A0BEDC3"/>
    <w:rsid w:val="1A0C3722"/>
    <w:rsid w:val="1A0F0B0D"/>
    <w:rsid w:val="1A169C28"/>
    <w:rsid w:val="1A19D741"/>
    <w:rsid w:val="1A1C1258"/>
    <w:rsid w:val="1A1CAB78"/>
    <w:rsid w:val="1A1CC97B"/>
    <w:rsid w:val="1A1ED8ED"/>
    <w:rsid w:val="1A1F63D5"/>
    <w:rsid w:val="1A1F8A64"/>
    <w:rsid w:val="1A24BF2F"/>
    <w:rsid w:val="1A2685AD"/>
    <w:rsid w:val="1A270E6E"/>
    <w:rsid w:val="1A274AB3"/>
    <w:rsid w:val="1A292F0F"/>
    <w:rsid w:val="1A2A2031"/>
    <w:rsid w:val="1A2B4DCE"/>
    <w:rsid w:val="1A2DD0E9"/>
    <w:rsid w:val="1A2F7B9C"/>
    <w:rsid w:val="1A32EAC7"/>
    <w:rsid w:val="1A353128"/>
    <w:rsid w:val="1A37FD47"/>
    <w:rsid w:val="1A38D29D"/>
    <w:rsid w:val="1A39E764"/>
    <w:rsid w:val="1A3A8C34"/>
    <w:rsid w:val="1A3AAF14"/>
    <w:rsid w:val="1A3CE14C"/>
    <w:rsid w:val="1A3D0CAE"/>
    <w:rsid w:val="1A3FBD93"/>
    <w:rsid w:val="1A412202"/>
    <w:rsid w:val="1A42ADD5"/>
    <w:rsid w:val="1A439CB2"/>
    <w:rsid w:val="1A4602D2"/>
    <w:rsid w:val="1A472B04"/>
    <w:rsid w:val="1A48ACA7"/>
    <w:rsid w:val="1A49CFA1"/>
    <w:rsid w:val="1A4A90D0"/>
    <w:rsid w:val="1A4F47C6"/>
    <w:rsid w:val="1A500957"/>
    <w:rsid w:val="1A52800B"/>
    <w:rsid w:val="1A56273F"/>
    <w:rsid w:val="1A583C18"/>
    <w:rsid w:val="1A62FFE2"/>
    <w:rsid w:val="1A66587E"/>
    <w:rsid w:val="1A68A9A6"/>
    <w:rsid w:val="1A69C50C"/>
    <w:rsid w:val="1A725180"/>
    <w:rsid w:val="1A750568"/>
    <w:rsid w:val="1A78708B"/>
    <w:rsid w:val="1A7A8E17"/>
    <w:rsid w:val="1A7AD9FA"/>
    <w:rsid w:val="1A7D0CE9"/>
    <w:rsid w:val="1A7D3FC8"/>
    <w:rsid w:val="1A812E5E"/>
    <w:rsid w:val="1A81E4A8"/>
    <w:rsid w:val="1A8282B1"/>
    <w:rsid w:val="1A84B577"/>
    <w:rsid w:val="1A84FBE1"/>
    <w:rsid w:val="1A85B2A2"/>
    <w:rsid w:val="1A85C522"/>
    <w:rsid w:val="1A861D0C"/>
    <w:rsid w:val="1A86E0F0"/>
    <w:rsid w:val="1A889ECB"/>
    <w:rsid w:val="1A89A74B"/>
    <w:rsid w:val="1A8A8627"/>
    <w:rsid w:val="1A8B2158"/>
    <w:rsid w:val="1A8BD871"/>
    <w:rsid w:val="1A902560"/>
    <w:rsid w:val="1A926457"/>
    <w:rsid w:val="1A9294A9"/>
    <w:rsid w:val="1A92BE02"/>
    <w:rsid w:val="1A92D005"/>
    <w:rsid w:val="1A93A01C"/>
    <w:rsid w:val="1A96253A"/>
    <w:rsid w:val="1A9690BF"/>
    <w:rsid w:val="1A9B1099"/>
    <w:rsid w:val="1A9C71D6"/>
    <w:rsid w:val="1A9CFD36"/>
    <w:rsid w:val="1AA213F5"/>
    <w:rsid w:val="1AA3FE5B"/>
    <w:rsid w:val="1AA42C3A"/>
    <w:rsid w:val="1AA61F13"/>
    <w:rsid w:val="1AA76839"/>
    <w:rsid w:val="1AAA7EDE"/>
    <w:rsid w:val="1AABBA62"/>
    <w:rsid w:val="1AAEAFBE"/>
    <w:rsid w:val="1AB1667F"/>
    <w:rsid w:val="1AB22A2D"/>
    <w:rsid w:val="1AB672D6"/>
    <w:rsid w:val="1AB79299"/>
    <w:rsid w:val="1AB8C80C"/>
    <w:rsid w:val="1AC1A46B"/>
    <w:rsid w:val="1AC1FA0C"/>
    <w:rsid w:val="1AC3C942"/>
    <w:rsid w:val="1AC4DC30"/>
    <w:rsid w:val="1AC596FD"/>
    <w:rsid w:val="1AC6031F"/>
    <w:rsid w:val="1AC6B568"/>
    <w:rsid w:val="1ACA278F"/>
    <w:rsid w:val="1ACD0ADE"/>
    <w:rsid w:val="1ACD5474"/>
    <w:rsid w:val="1ACE538C"/>
    <w:rsid w:val="1AD046CC"/>
    <w:rsid w:val="1AD0482E"/>
    <w:rsid w:val="1AD30E69"/>
    <w:rsid w:val="1AD59385"/>
    <w:rsid w:val="1AD7DBB9"/>
    <w:rsid w:val="1AD9EB48"/>
    <w:rsid w:val="1ADC43E3"/>
    <w:rsid w:val="1ADD62EF"/>
    <w:rsid w:val="1AE01AD2"/>
    <w:rsid w:val="1AE0B28A"/>
    <w:rsid w:val="1AE2E5D0"/>
    <w:rsid w:val="1AE6501F"/>
    <w:rsid w:val="1AE77B86"/>
    <w:rsid w:val="1AE8A627"/>
    <w:rsid w:val="1AEA7D73"/>
    <w:rsid w:val="1AEAD1F6"/>
    <w:rsid w:val="1AED8C51"/>
    <w:rsid w:val="1AEDA8CE"/>
    <w:rsid w:val="1AEDFA8A"/>
    <w:rsid w:val="1AEF026C"/>
    <w:rsid w:val="1AF05448"/>
    <w:rsid w:val="1AF0A87A"/>
    <w:rsid w:val="1AF1BA66"/>
    <w:rsid w:val="1AF1BE00"/>
    <w:rsid w:val="1AF4095D"/>
    <w:rsid w:val="1AF5BEC8"/>
    <w:rsid w:val="1AF648F8"/>
    <w:rsid w:val="1AF825D1"/>
    <w:rsid w:val="1AF88A65"/>
    <w:rsid w:val="1AFB1297"/>
    <w:rsid w:val="1AFC05EA"/>
    <w:rsid w:val="1AFCECCA"/>
    <w:rsid w:val="1B016961"/>
    <w:rsid w:val="1B02EE52"/>
    <w:rsid w:val="1B0534C9"/>
    <w:rsid w:val="1B083ECE"/>
    <w:rsid w:val="1B093B2C"/>
    <w:rsid w:val="1B0B4965"/>
    <w:rsid w:val="1B0F0A5B"/>
    <w:rsid w:val="1B0FE26C"/>
    <w:rsid w:val="1B117666"/>
    <w:rsid w:val="1B14FBDC"/>
    <w:rsid w:val="1B168C41"/>
    <w:rsid w:val="1B19CFC8"/>
    <w:rsid w:val="1B1B7CAD"/>
    <w:rsid w:val="1B1E635E"/>
    <w:rsid w:val="1B1F94BB"/>
    <w:rsid w:val="1B227654"/>
    <w:rsid w:val="1B23756E"/>
    <w:rsid w:val="1B23DC66"/>
    <w:rsid w:val="1B26583C"/>
    <w:rsid w:val="1B28A9F8"/>
    <w:rsid w:val="1B2B423B"/>
    <w:rsid w:val="1B2BC3DE"/>
    <w:rsid w:val="1B2DE99F"/>
    <w:rsid w:val="1B3204EB"/>
    <w:rsid w:val="1B32F487"/>
    <w:rsid w:val="1B330C5B"/>
    <w:rsid w:val="1B334DBA"/>
    <w:rsid w:val="1B3395CB"/>
    <w:rsid w:val="1B39C566"/>
    <w:rsid w:val="1B3BE194"/>
    <w:rsid w:val="1B3C395B"/>
    <w:rsid w:val="1B3D4166"/>
    <w:rsid w:val="1B43F9BF"/>
    <w:rsid w:val="1B441519"/>
    <w:rsid w:val="1B465563"/>
    <w:rsid w:val="1B49BDC6"/>
    <w:rsid w:val="1B49ECC0"/>
    <w:rsid w:val="1B4CA2D7"/>
    <w:rsid w:val="1B4D4142"/>
    <w:rsid w:val="1B4DF654"/>
    <w:rsid w:val="1B4E13BC"/>
    <w:rsid w:val="1B4E3294"/>
    <w:rsid w:val="1B502293"/>
    <w:rsid w:val="1B50C4A9"/>
    <w:rsid w:val="1B518E20"/>
    <w:rsid w:val="1B52E33F"/>
    <w:rsid w:val="1B544B5E"/>
    <w:rsid w:val="1B546649"/>
    <w:rsid w:val="1B548A9C"/>
    <w:rsid w:val="1B562F6B"/>
    <w:rsid w:val="1B568B71"/>
    <w:rsid w:val="1B586DDA"/>
    <w:rsid w:val="1B590F2A"/>
    <w:rsid w:val="1B59934F"/>
    <w:rsid w:val="1B5D2E8F"/>
    <w:rsid w:val="1B5ED22A"/>
    <w:rsid w:val="1B5FF708"/>
    <w:rsid w:val="1B609B5E"/>
    <w:rsid w:val="1B64E9C7"/>
    <w:rsid w:val="1B670DDB"/>
    <w:rsid w:val="1B67E2D6"/>
    <w:rsid w:val="1B6D961D"/>
    <w:rsid w:val="1B739414"/>
    <w:rsid w:val="1B7772C2"/>
    <w:rsid w:val="1B798171"/>
    <w:rsid w:val="1B79C6AB"/>
    <w:rsid w:val="1B79C803"/>
    <w:rsid w:val="1B7D9691"/>
    <w:rsid w:val="1B7F573D"/>
    <w:rsid w:val="1B804822"/>
    <w:rsid w:val="1B81901B"/>
    <w:rsid w:val="1B81A6FF"/>
    <w:rsid w:val="1B852F1B"/>
    <w:rsid w:val="1B89A279"/>
    <w:rsid w:val="1B8BD955"/>
    <w:rsid w:val="1B8C10C1"/>
    <w:rsid w:val="1B8DECD3"/>
    <w:rsid w:val="1B929DF2"/>
    <w:rsid w:val="1B93515E"/>
    <w:rsid w:val="1B937EBD"/>
    <w:rsid w:val="1B94EF87"/>
    <w:rsid w:val="1B95FDA8"/>
    <w:rsid w:val="1B96DF3A"/>
    <w:rsid w:val="1B985CA0"/>
    <w:rsid w:val="1B98CEF2"/>
    <w:rsid w:val="1B9A0E8C"/>
    <w:rsid w:val="1B9C3B6D"/>
    <w:rsid w:val="1B9F8060"/>
    <w:rsid w:val="1BA1806A"/>
    <w:rsid w:val="1BA371AE"/>
    <w:rsid w:val="1BA37551"/>
    <w:rsid w:val="1BA5A596"/>
    <w:rsid w:val="1BA84897"/>
    <w:rsid w:val="1BAA043F"/>
    <w:rsid w:val="1BAC0CE4"/>
    <w:rsid w:val="1BAD9FB6"/>
    <w:rsid w:val="1BAF1029"/>
    <w:rsid w:val="1BAF8E39"/>
    <w:rsid w:val="1BAF9670"/>
    <w:rsid w:val="1BB26E89"/>
    <w:rsid w:val="1BB3C3AE"/>
    <w:rsid w:val="1BB410C7"/>
    <w:rsid w:val="1BB920BE"/>
    <w:rsid w:val="1BB9A407"/>
    <w:rsid w:val="1BBD2B72"/>
    <w:rsid w:val="1BBFB6CE"/>
    <w:rsid w:val="1BC060A6"/>
    <w:rsid w:val="1BC0BA0A"/>
    <w:rsid w:val="1BC2FC65"/>
    <w:rsid w:val="1BC536B2"/>
    <w:rsid w:val="1BC75B7C"/>
    <w:rsid w:val="1BC8B60D"/>
    <w:rsid w:val="1BC98972"/>
    <w:rsid w:val="1BCC37BD"/>
    <w:rsid w:val="1BCC4AA3"/>
    <w:rsid w:val="1BCE819D"/>
    <w:rsid w:val="1BD14563"/>
    <w:rsid w:val="1BD179B5"/>
    <w:rsid w:val="1BD2FC31"/>
    <w:rsid w:val="1BD3EF52"/>
    <w:rsid w:val="1BD59B62"/>
    <w:rsid w:val="1BDC958A"/>
    <w:rsid w:val="1BDEE9C7"/>
    <w:rsid w:val="1BE5842E"/>
    <w:rsid w:val="1BE68DDC"/>
    <w:rsid w:val="1BEC39AE"/>
    <w:rsid w:val="1BED06BC"/>
    <w:rsid w:val="1BEDF976"/>
    <w:rsid w:val="1BF2F560"/>
    <w:rsid w:val="1BF7993A"/>
    <w:rsid w:val="1BFBA19B"/>
    <w:rsid w:val="1BFD8FC7"/>
    <w:rsid w:val="1BFF52E7"/>
    <w:rsid w:val="1BFF63C2"/>
    <w:rsid w:val="1C0A54EE"/>
    <w:rsid w:val="1C0A68C3"/>
    <w:rsid w:val="1C12EF1E"/>
    <w:rsid w:val="1C14D70D"/>
    <w:rsid w:val="1C14E379"/>
    <w:rsid w:val="1C156698"/>
    <w:rsid w:val="1C1861B5"/>
    <w:rsid w:val="1C1D39B1"/>
    <w:rsid w:val="1C1DC733"/>
    <w:rsid w:val="1C1E0A92"/>
    <w:rsid w:val="1C205BF5"/>
    <w:rsid w:val="1C21234F"/>
    <w:rsid w:val="1C219004"/>
    <w:rsid w:val="1C25E4A5"/>
    <w:rsid w:val="1C25E672"/>
    <w:rsid w:val="1C28C1E0"/>
    <w:rsid w:val="1C2CD566"/>
    <w:rsid w:val="1C2CDB98"/>
    <w:rsid w:val="1C2D04DE"/>
    <w:rsid w:val="1C3038BD"/>
    <w:rsid w:val="1C33E04C"/>
    <w:rsid w:val="1C3435F3"/>
    <w:rsid w:val="1C379829"/>
    <w:rsid w:val="1C3A0639"/>
    <w:rsid w:val="1C3A986B"/>
    <w:rsid w:val="1C3AA3BD"/>
    <w:rsid w:val="1C3B1A59"/>
    <w:rsid w:val="1C3FBC05"/>
    <w:rsid w:val="1C4081BB"/>
    <w:rsid w:val="1C470AEA"/>
    <w:rsid w:val="1C484C9E"/>
    <w:rsid w:val="1C4A83CA"/>
    <w:rsid w:val="1C4D2EF9"/>
    <w:rsid w:val="1C4E497E"/>
    <w:rsid w:val="1C4FA3A6"/>
    <w:rsid w:val="1C5199A7"/>
    <w:rsid w:val="1C53F0BD"/>
    <w:rsid w:val="1C54E2AE"/>
    <w:rsid w:val="1C551096"/>
    <w:rsid w:val="1C563A44"/>
    <w:rsid w:val="1C567393"/>
    <w:rsid w:val="1C582985"/>
    <w:rsid w:val="1C593601"/>
    <w:rsid w:val="1C5A6A41"/>
    <w:rsid w:val="1C5A8462"/>
    <w:rsid w:val="1C5DA77B"/>
    <w:rsid w:val="1C60DF87"/>
    <w:rsid w:val="1C643D1D"/>
    <w:rsid w:val="1C6506A6"/>
    <w:rsid w:val="1C654258"/>
    <w:rsid w:val="1C6551EF"/>
    <w:rsid w:val="1C65EE18"/>
    <w:rsid w:val="1C667652"/>
    <w:rsid w:val="1C67FEE6"/>
    <w:rsid w:val="1C6FBBF5"/>
    <w:rsid w:val="1C716F28"/>
    <w:rsid w:val="1C77838B"/>
    <w:rsid w:val="1C797C83"/>
    <w:rsid w:val="1C7AA3E9"/>
    <w:rsid w:val="1C7AF267"/>
    <w:rsid w:val="1C7B30CE"/>
    <w:rsid w:val="1C7BB0D8"/>
    <w:rsid w:val="1C7DDD4F"/>
    <w:rsid w:val="1C825C83"/>
    <w:rsid w:val="1C869881"/>
    <w:rsid w:val="1C88C72C"/>
    <w:rsid w:val="1C8AA2C1"/>
    <w:rsid w:val="1C8FF258"/>
    <w:rsid w:val="1C930200"/>
    <w:rsid w:val="1C94D796"/>
    <w:rsid w:val="1C94FA81"/>
    <w:rsid w:val="1C99E424"/>
    <w:rsid w:val="1C9B9BA2"/>
    <w:rsid w:val="1C9DF46A"/>
    <w:rsid w:val="1C9F6338"/>
    <w:rsid w:val="1CA47C86"/>
    <w:rsid w:val="1CA5118F"/>
    <w:rsid w:val="1CA649EF"/>
    <w:rsid w:val="1CA70ACF"/>
    <w:rsid w:val="1CA7D32D"/>
    <w:rsid w:val="1CA8CEE3"/>
    <w:rsid w:val="1CACF628"/>
    <w:rsid w:val="1CAE9B89"/>
    <w:rsid w:val="1CAEED56"/>
    <w:rsid w:val="1CB0AA7C"/>
    <w:rsid w:val="1CB10A75"/>
    <w:rsid w:val="1CB23934"/>
    <w:rsid w:val="1CB4556E"/>
    <w:rsid w:val="1CB7375D"/>
    <w:rsid w:val="1CB95C27"/>
    <w:rsid w:val="1CBB0588"/>
    <w:rsid w:val="1CBB8E4D"/>
    <w:rsid w:val="1CC1977E"/>
    <w:rsid w:val="1CC587BB"/>
    <w:rsid w:val="1CC85390"/>
    <w:rsid w:val="1CC9111C"/>
    <w:rsid w:val="1CC96A5A"/>
    <w:rsid w:val="1CD125A7"/>
    <w:rsid w:val="1CD2FC73"/>
    <w:rsid w:val="1CD43827"/>
    <w:rsid w:val="1CD50792"/>
    <w:rsid w:val="1CD64908"/>
    <w:rsid w:val="1CD664A0"/>
    <w:rsid w:val="1CD776C5"/>
    <w:rsid w:val="1CD91CF6"/>
    <w:rsid w:val="1CD9B166"/>
    <w:rsid w:val="1CDD4A74"/>
    <w:rsid w:val="1CDF7C14"/>
    <w:rsid w:val="1CE0CE0C"/>
    <w:rsid w:val="1CE109E3"/>
    <w:rsid w:val="1CE35299"/>
    <w:rsid w:val="1CE3CB5B"/>
    <w:rsid w:val="1CE4214D"/>
    <w:rsid w:val="1CE52A89"/>
    <w:rsid w:val="1CE6B8F7"/>
    <w:rsid w:val="1CEA67C8"/>
    <w:rsid w:val="1CEBC2AD"/>
    <w:rsid w:val="1CEE0EAF"/>
    <w:rsid w:val="1CEEF361"/>
    <w:rsid w:val="1CEFE50A"/>
    <w:rsid w:val="1CF2373E"/>
    <w:rsid w:val="1CF2B0E5"/>
    <w:rsid w:val="1CF40D3D"/>
    <w:rsid w:val="1CF77AC1"/>
    <w:rsid w:val="1CF7D4B9"/>
    <w:rsid w:val="1CF9732B"/>
    <w:rsid w:val="1CFA1D4E"/>
    <w:rsid w:val="1CFC169C"/>
    <w:rsid w:val="1CFD4A68"/>
    <w:rsid w:val="1CFEC313"/>
    <w:rsid w:val="1D062230"/>
    <w:rsid w:val="1D06C7DE"/>
    <w:rsid w:val="1D0DDD4F"/>
    <w:rsid w:val="1D0F93DD"/>
    <w:rsid w:val="1D103AE8"/>
    <w:rsid w:val="1D103F24"/>
    <w:rsid w:val="1D113AED"/>
    <w:rsid w:val="1D173A73"/>
    <w:rsid w:val="1D19BA8A"/>
    <w:rsid w:val="1D1CFA71"/>
    <w:rsid w:val="1D1D34B8"/>
    <w:rsid w:val="1D1D3F0A"/>
    <w:rsid w:val="1D1D738C"/>
    <w:rsid w:val="1D1E82B8"/>
    <w:rsid w:val="1D1FBF27"/>
    <w:rsid w:val="1D1FC0BE"/>
    <w:rsid w:val="1D1FD339"/>
    <w:rsid w:val="1D20ADEC"/>
    <w:rsid w:val="1D21CD3A"/>
    <w:rsid w:val="1D223C9B"/>
    <w:rsid w:val="1D223F00"/>
    <w:rsid w:val="1D268ED2"/>
    <w:rsid w:val="1D29169C"/>
    <w:rsid w:val="1D29A0CD"/>
    <w:rsid w:val="1D2CF0F4"/>
    <w:rsid w:val="1D2EB82F"/>
    <w:rsid w:val="1D30625E"/>
    <w:rsid w:val="1D3172E8"/>
    <w:rsid w:val="1D319CAC"/>
    <w:rsid w:val="1D334E27"/>
    <w:rsid w:val="1D3430F6"/>
    <w:rsid w:val="1D34E9EB"/>
    <w:rsid w:val="1D35D540"/>
    <w:rsid w:val="1D373F6C"/>
    <w:rsid w:val="1D376C75"/>
    <w:rsid w:val="1D3C62AA"/>
    <w:rsid w:val="1D3D4655"/>
    <w:rsid w:val="1D429FD2"/>
    <w:rsid w:val="1D42C763"/>
    <w:rsid w:val="1D43F86F"/>
    <w:rsid w:val="1D46D3A3"/>
    <w:rsid w:val="1D48EF0D"/>
    <w:rsid w:val="1D4B14DA"/>
    <w:rsid w:val="1D4C8CF0"/>
    <w:rsid w:val="1D4CBCC6"/>
    <w:rsid w:val="1D4D925F"/>
    <w:rsid w:val="1D4E6A8A"/>
    <w:rsid w:val="1D4FD807"/>
    <w:rsid w:val="1D50EF3B"/>
    <w:rsid w:val="1D51696B"/>
    <w:rsid w:val="1D53CB52"/>
    <w:rsid w:val="1D5632A7"/>
    <w:rsid w:val="1D56B0E4"/>
    <w:rsid w:val="1D56B270"/>
    <w:rsid w:val="1D59FF4A"/>
    <w:rsid w:val="1D5A5263"/>
    <w:rsid w:val="1D5B010A"/>
    <w:rsid w:val="1D5D79AF"/>
    <w:rsid w:val="1D601745"/>
    <w:rsid w:val="1D629D5A"/>
    <w:rsid w:val="1D637F27"/>
    <w:rsid w:val="1D64866E"/>
    <w:rsid w:val="1D64EE6E"/>
    <w:rsid w:val="1D665551"/>
    <w:rsid w:val="1D666D4D"/>
    <w:rsid w:val="1D66C23C"/>
    <w:rsid w:val="1D66FBA7"/>
    <w:rsid w:val="1D68922C"/>
    <w:rsid w:val="1D68EA96"/>
    <w:rsid w:val="1D6C7A12"/>
    <w:rsid w:val="1D6D36AB"/>
    <w:rsid w:val="1D6D67BD"/>
    <w:rsid w:val="1D6E66C9"/>
    <w:rsid w:val="1D6ECC92"/>
    <w:rsid w:val="1D75993E"/>
    <w:rsid w:val="1D75D408"/>
    <w:rsid w:val="1D78179E"/>
    <w:rsid w:val="1D78FFCE"/>
    <w:rsid w:val="1D7927BA"/>
    <w:rsid w:val="1D793462"/>
    <w:rsid w:val="1D7A43B9"/>
    <w:rsid w:val="1D7C0293"/>
    <w:rsid w:val="1D7EA089"/>
    <w:rsid w:val="1D81E9B8"/>
    <w:rsid w:val="1D853FC2"/>
    <w:rsid w:val="1D886A04"/>
    <w:rsid w:val="1D88A353"/>
    <w:rsid w:val="1D88D71D"/>
    <w:rsid w:val="1D89283A"/>
    <w:rsid w:val="1D8933BE"/>
    <w:rsid w:val="1D8A0641"/>
    <w:rsid w:val="1D8DE555"/>
    <w:rsid w:val="1D90089F"/>
    <w:rsid w:val="1D95AA3F"/>
    <w:rsid w:val="1D97C5B5"/>
    <w:rsid w:val="1D998142"/>
    <w:rsid w:val="1D9AEA18"/>
    <w:rsid w:val="1D9DB0A3"/>
    <w:rsid w:val="1D9F7684"/>
    <w:rsid w:val="1DA2B11E"/>
    <w:rsid w:val="1DA2E910"/>
    <w:rsid w:val="1DA3EE99"/>
    <w:rsid w:val="1DA46601"/>
    <w:rsid w:val="1DA51B7C"/>
    <w:rsid w:val="1DA57B9B"/>
    <w:rsid w:val="1DA5C2DA"/>
    <w:rsid w:val="1DA87540"/>
    <w:rsid w:val="1DA87A13"/>
    <w:rsid w:val="1DA9C13C"/>
    <w:rsid w:val="1DAA29FE"/>
    <w:rsid w:val="1DAA3CFE"/>
    <w:rsid w:val="1DAABB84"/>
    <w:rsid w:val="1DAB2888"/>
    <w:rsid w:val="1DAB5468"/>
    <w:rsid w:val="1DAF94AB"/>
    <w:rsid w:val="1DB0BE94"/>
    <w:rsid w:val="1DB3BE7F"/>
    <w:rsid w:val="1DB7057A"/>
    <w:rsid w:val="1DBCADF9"/>
    <w:rsid w:val="1DBEF211"/>
    <w:rsid w:val="1DC03B9D"/>
    <w:rsid w:val="1DC1DEED"/>
    <w:rsid w:val="1DC6ED5E"/>
    <w:rsid w:val="1DCA36E8"/>
    <w:rsid w:val="1DCB0AB0"/>
    <w:rsid w:val="1DCBA2D3"/>
    <w:rsid w:val="1DCBF972"/>
    <w:rsid w:val="1DD1028F"/>
    <w:rsid w:val="1DD2D6B3"/>
    <w:rsid w:val="1DD81F46"/>
    <w:rsid w:val="1DD8ED67"/>
    <w:rsid w:val="1DDD6881"/>
    <w:rsid w:val="1DDFCBFC"/>
    <w:rsid w:val="1DE20959"/>
    <w:rsid w:val="1DE43841"/>
    <w:rsid w:val="1DE7BC07"/>
    <w:rsid w:val="1DE92100"/>
    <w:rsid w:val="1DEB8DE1"/>
    <w:rsid w:val="1DED5822"/>
    <w:rsid w:val="1DED5D0A"/>
    <w:rsid w:val="1DEDB68C"/>
    <w:rsid w:val="1DEE7963"/>
    <w:rsid w:val="1DF0282A"/>
    <w:rsid w:val="1DF55569"/>
    <w:rsid w:val="1DF63481"/>
    <w:rsid w:val="1DF6BB98"/>
    <w:rsid w:val="1DF8E420"/>
    <w:rsid w:val="1DFB709B"/>
    <w:rsid w:val="1DFC0FF4"/>
    <w:rsid w:val="1DFD3E1E"/>
    <w:rsid w:val="1E030C18"/>
    <w:rsid w:val="1E09D924"/>
    <w:rsid w:val="1E0A73C9"/>
    <w:rsid w:val="1E0CD1FA"/>
    <w:rsid w:val="1E107630"/>
    <w:rsid w:val="1E18E20C"/>
    <w:rsid w:val="1E1B8976"/>
    <w:rsid w:val="1E1DF0E1"/>
    <w:rsid w:val="1E1ED2BF"/>
    <w:rsid w:val="1E1ED559"/>
    <w:rsid w:val="1E1F4878"/>
    <w:rsid w:val="1E241C29"/>
    <w:rsid w:val="1E24544D"/>
    <w:rsid w:val="1E2458E6"/>
    <w:rsid w:val="1E276CB3"/>
    <w:rsid w:val="1E293BF1"/>
    <w:rsid w:val="1E299005"/>
    <w:rsid w:val="1E2E0317"/>
    <w:rsid w:val="1E2ED703"/>
    <w:rsid w:val="1E315DFF"/>
    <w:rsid w:val="1E317212"/>
    <w:rsid w:val="1E33B2CA"/>
    <w:rsid w:val="1E34E55E"/>
    <w:rsid w:val="1E3829BD"/>
    <w:rsid w:val="1E3830CF"/>
    <w:rsid w:val="1E39C4CB"/>
    <w:rsid w:val="1E3BA641"/>
    <w:rsid w:val="1E3D456C"/>
    <w:rsid w:val="1E3D620F"/>
    <w:rsid w:val="1E3FCF86"/>
    <w:rsid w:val="1E40FEDE"/>
    <w:rsid w:val="1E41BB84"/>
    <w:rsid w:val="1E42878A"/>
    <w:rsid w:val="1E45D6CB"/>
    <w:rsid w:val="1E46777D"/>
    <w:rsid w:val="1E4B02B3"/>
    <w:rsid w:val="1E4C9CB4"/>
    <w:rsid w:val="1E4DC081"/>
    <w:rsid w:val="1E4E34AB"/>
    <w:rsid w:val="1E51961B"/>
    <w:rsid w:val="1E5275E5"/>
    <w:rsid w:val="1E52B8AC"/>
    <w:rsid w:val="1E52ED28"/>
    <w:rsid w:val="1E5300E1"/>
    <w:rsid w:val="1E53059B"/>
    <w:rsid w:val="1E573449"/>
    <w:rsid w:val="1E574BB0"/>
    <w:rsid w:val="1E622DD6"/>
    <w:rsid w:val="1E66D3BF"/>
    <w:rsid w:val="1E67AE08"/>
    <w:rsid w:val="1E69B672"/>
    <w:rsid w:val="1E69D6D6"/>
    <w:rsid w:val="1E6A7B96"/>
    <w:rsid w:val="1E6E1056"/>
    <w:rsid w:val="1E6E4EC3"/>
    <w:rsid w:val="1E6EB992"/>
    <w:rsid w:val="1E70BCAA"/>
    <w:rsid w:val="1E70FAA8"/>
    <w:rsid w:val="1E71119D"/>
    <w:rsid w:val="1E72C74A"/>
    <w:rsid w:val="1E733C4C"/>
    <w:rsid w:val="1E7361B5"/>
    <w:rsid w:val="1E7387B3"/>
    <w:rsid w:val="1E742B2E"/>
    <w:rsid w:val="1E74B465"/>
    <w:rsid w:val="1E75BCA2"/>
    <w:rsid w:val="1E7A4261"/>
    <w:rsid w:val="1E7BBB85"/>
    <w:rsid w:val="1E7C3EEF"/>
    <w:rsid w:val="1E7CB412"/>
    <w:rsid w:val="1E7D0003"/>
    <w:rsid w:val="1E7D672A"/>
    <w:rsid w:val="1E7D9997"/>
    <w:rsid w:val="1E8361BD"/>
    <w:rsid w:val="1E859A05"/>
    <w:rsid w:val="1E862AAB"/>
    <w:rsid w:val="1E89DF10"/>
    <w:rsid w:val="1E8B79EB"/>
    <w:rsid w:val="1E8E81F4"/>
    <w:rsid w:val="1E901F80"/>
    <w:rsid w:val="1E90289A"/>
    <w:rsid w:val="1E92BDA8"/>
    <w:rsid w:val="1E98B85A"/>
    <w:rsid w:val="1E99627C"/>
    <w:rsid w:val="1E9B49A3"/>
    <w:rsid w:val="1E9BBA12"/>
    <w:rsid w:val="1E9C0072"/>
    <w:rsid w:val="1E9E250B"/>
    <w:rsid w:val="1E9E25C5"/>
    <w:rsid w:val="1EA01170"/>
    <w:rsid w:val="1EA13BDA"/>
    <w:rsid w:val="1EA2ED4D"/>
    <w:rsid w:val="1EA9C2C6"/>
    <w:rsid w:val="1EADE688"/>
    <w:rsid w:val="1EAE93FA"/>
    <w:rsid w:val="1EAE967E"/>
    <w:rsid w:val="1EB15FDC"/>
    <w:rsid w:val="1EB61F4A"/>
    <w:rsid w:val="1EB69B16"/>
    <w:rsid w:val="1EB6DF89"/>
    <w:rsid w:val="1EB88639"/>
    <w:rsid w:val="1EBD1E97"/>
    <w:rsid w:val="1EBDB772"/>
    <w:rsid w:val="1EBED165"/>
    <w:rsid w:val="1EBF9822"/>
    <w:rsid w:val="1EC147F2"/>
    <w:rsid w:val="1EC91C6E"/>
    <w:rsid w:val="1ECD42E9"/>
    <w:rsid w:val="1ECE246B"/>
    <w:rsid w:val="1ED22513"/>
    <w:rsid w:val="1ED2EE6A"/>
    <w:rsid w:val="1ED32427"/>
    <w:rsid w:val="1ED6E18B"/>
    <w:rsid w:val="1ED8D8FB"/>
    <w:rsid w:val="1ED92901"/>
    <w:rsid w:val="1EDD1FE0"/>
    <w:rsid w:val="1EE25D2B"/>
    <w:rsid w:val="1EE4060E"/>
    <w:rsid w:val="1EE8C741"/>
    <w:rsid w:val="1EE8CE6D"/>
    <w:rsid w:val="1EEB6E2A"/>
    <w:rsid w:val="1EEC0FF4"/>
    <w:rsid w:val="1EEC54A1"/>
    <w:rsid w:val="1EEC63F8"/>
    <w:rsid w:val="1EEC95A4"/>
    <w:rsid w:val="1EEDD736"/>
    <w:rsid w:val="1EEF0D10"/>
    <w:rsid w:val="1EF2A3FC"/>
    <w:rsid w:val="1EF3F78F"/>
    <w:rsid w:val="1EF42729"/>
    <w:rsid w:val="1EF5EDBE"/>
    <w:rsid w:val="1EF6DDD2"/>
    <w:rsid w:val="1EF7C2E1"/>
    <w:rsid w:val="1EFBC71D"/>
    <w:rsid w:val="1EFDCC02"/>
    <w:rsid w:val="1EFF71C8"/>
    <w:rsid w:val="1F006E4C"/>
    <w:rsid w:val="1F01348E"/>
    <w:rsid w:val="1F03134C"/>
    <w:rsid w:val="1F04A991"/>
    <w:rsid w:val="1F06CA02"/>
    <w:rsid w:val="1F071F11"/>
    <w:rsid w:val="1F07486F"/>
    <w:rsid w:val="1F0A780C"/>
    <w:rsid w:val="1F0EF91E"/>
    <w:rsid w:val="1F0FB60E"/>
    <w:rsid w:val="1F100A81"/>
    <w:rsid w:val="1F101FB5"/>
    <w:rsid w:val="1F12D71A"/>
    <w:rsid w:val="1F1A952D"/>
    <w:rsid w:val="1F1B4780"/>
    <w:rsid w:val="1F2270CE"/>
    <w:rsid w:val="1F23589D"/>
    <w:rsid w:val="1F251783"/>
    <w:rsid w:val="1F25AA5B"/>
    <w:rsid w:val="1F29C4D0"/>
    <w:rsid w:val="1F2BD900"/>
    <w:rsid w:val="1F2CAA89"/>
    <w:rsid w:val="1F2E596D"/>
    <w:rsid w:val="1F309B08"/>
    <w:rsid w:val="1F30E557"/>
    <w:rsid w:val="1F3275E2"/>
    <w:rsid w:val="1F328CED"/>
    <w:rsid w:val="1F360D4D"/>
    <w:rsid w:val="1F3696DF"/>
    <w:rsid w:val="1F394841"/>
    <w:rsid w:val="1F3CA5A7"/>
    <w:rsid w:val="1F3EC492"/>
    <w:rsid w:val="1F3EFC12"/>
    <w:rsid w:val="1F41FBBE"/>
    <w:rsid w:val="1F447335"/>
    <w:rsid w:val="1F44A506"/>
    <w:rsid w:val="1F454088"/>
    <w:rsid w:val="1F45F930"/>
    <w:rsid w:val="1F4689DA"/>
    <w:rsid w:val="1F46A358"/>
    <w:rsid w:val="1F49A08B"/>
    <w:rsid w:val="1F4CEF73"/>
    <w:rsid w:val="1F4DA2B6"/>
    <w:rsid w:val="1F4ECB26"/>
    <w:rsid w:val="1F500B7B"/>
    <w:rsid w:val="1F52A0CC"/>
    <w:rsid w:val="1F555D7D"/>
    <w:rsid w:val="1F5689BD"/>
    <w:rsid w:val="1F597BEA"/>
    <w:rsid w:val="1F5AE765"/>
    <w:rsid w:val="1F5B9B94"/>
    <w:rsid w:val="1F5CCFC6"/>
    <w:rsid w:val="1F601463"/>
    <w:rsid w:val="1F643F82"/>
    <w:rsid w:val="1F645B21"/>
    <w:rsid w:val="1F6AAC3D"/>
    <w:rsid w:val="1F6EA328"/>
    <w:rsid w:val="1F70BAC2"/>
    <w:rsid w:val="1F71A516"/>
    <w:rsid w:val="1F732447"/>
    <w:rsid w:val="1F75B74D"/>
    <w:rsid w:val="1F764003"/>
    <w:rsid w:val="1F7D8BF2"/>
    <w:rsid w:val="1F7E5648"/>
    <w:rsid w:val="1F8A691D"/>
    <w:rsid w:val="1F8BBB23"/>
    <w:rsid w:val="1F8D0402"/>
    <w:rsid w:val="1F8D9D1A"/>
    <w:rsid w:val="1F90C243"/>
    <w:rsid w:val="1F93E8E8"/>
    <w:rsid w:val="1F9453E4"/>
    <w:rsid w:val="1F95B0B0"/>
    <w:rsid w:val="1F96E02F"/>
    <w:rsid w:val="1F9A3C2B"/>
    <w:rsid w:val="1FA0B6A8"/>
    <w:rsid w:val="1FA5E454"/>
    <w:rsid w:val="1FA62955"/>
    <w:rsid w:val="1FA65636"/>
    <w:rsid w:val="1FA8C386"/>
    <w:rsid w:val="1FA97FE9"/>
    <w:rsid w:val="1FAA4E84"/>
    <w:rsid w:val="1FAD72A2"/>
    <w:rsid w:val="1FB23413"/>
    <w:rsid w:val="1FB3992C"/>
    <w:rsid w:val="1FB504A8"/>
    <w:rsid w:val="1FB5ED46"/>
    <w:rsid w:val="1FB841BB"/>
    <w:rsid w:val="1FBBCD40"/>
    <w:rsid w:val="1FBC2F7F"/>
    <w:rsid w:val="1FC04335"/>
    <w:rsid w:val="1FC0DBF4"/>
    <w:rsid w:val="1FC0E32D"/>
    <w:rsid w:val="1FC16E92"/>
    <w:rsid w:val="1FC62417"/>
    <w:rsid w:val="1FC717FC"/>
    <w:rsid w:val="1FC73240"/>
    <w:rsid w:val="1FCA9C2F"/>
    <w:rsid w:val="1FCBF5BF"/>
    <w:rsid w:val="1FCC9981"/>
    <w:rsid w:val="1FCD678C"/>
    <w:rsid w:val="1FCDCB82"/>
    <w:rsid w:val="1FCDCD2A"/>
    <w:rsid w:val="1FCF3805"/>
    <w:rsid w:val="1FD21B19"/>
    <w:rsid w:val="1FD28471"/>
    <w:rsid w:val="1FD4E595"/>
    <w:rsid w:val="1FD71E5B"/>
    <w:rsid w:val="1FD9BDDA"/>
    <w:rsid w:val="1FDC9AA4"/>
    <w:rsid w:val="1FDE2331"/>
    <w:rsid w:val="1FDE74DD"/>
    <w:rsid w:val="1FDF43EC"/>
    <w:rsid w:val="1FE08E22"/>
    <w:rsid w:val="1FE5E5DF"/>
    <w:rsid w:val="1FE86CFF"/>
    <w:rsid w:val="1FE924E0"/>
    <w:rsid w:val="1FEA3EF1"/>
    <w:rsid w:val="1FEB1121"/>
    <w:rsid w:val="1FEDCB9D"/>
    <w:rsid w:val="1FF44DE5"/>
    <w:rsid w:val="1FFD24C9"/>
    <w:rsid w:val="1FFD71D3"/>
    <w:rsid w:val="1FFDB753"/>
    <w:rsid w:val="1FFF9BC7"/>
    <w:rsid w:val="2000B4E8"/>
    <w:rsid w:val="2007A600"/>
    <w:rsid w:val="200838B4"/>
    <w:rsid w:val="200B9DE5"/>
    <w:rsid w:val="200D04E8"/>
    <w:rsid w:val="200DB065"/>
    <w:rsid w:val="200DEC7A"/>
    <w:rsid w:val="200F065B"/>
    <w:rsid w:val="20105609"/>
    <w:rsid w:val="2012161B"/>
    <w:rsid w:val="20127975"/>
    <w:rsid w:val="2013AC3F"/>
    <w:rsid w:val="2015A12A"/>
    <w:rsid w:val="2017807C"/>
    <w:rsid w:val="20197B8B"/>
    <w:rsid w:val="201C638C"/>
    <w:rsid w:val="201E1631"/>
    <w:rsid w:val="201E1746"/>
    <w:rsid w:val="201E8FBC"/>
    <w:rsid w:val="201F8CA6"/>
    <w:rsid w:val="20227251"/>
    <w:rsid w:val="20258DDF"/>
    <w:rsid w:val="2027F968"/>
    <w:rsid w:val="20282F47"/>
    <w:rsid w:val="20293CB4"/>
    <w:rsid w:val="2029DF59"/>
    <w:rsid w:val="202AA48B"/>
    <w:rsid w:val="2033E91F"/>
    <w:rsid w:val="20374064"/>
    <w:rsid w:val="2038AAE3"/>
    <w:rsid w:val="203A8908"/>
    <w:rsid w:val="20412DDE"/>
    <w:rsid w:val="20429DE0"/>
    <w:rsid w:val="20458499"/>
    <w:rsid w:val="2046AA13"/>
    <w:rsid w:val="2047267E"/>
    <w:rsid w:val="2047FBC9"/>
    <w:rsid w:val="2049CCFF"/>
    <w:rsid w:val="204CF8BE"/>
    <w:rsid w:val="204DB6C1"/>
    <w:rsid w:val="204DE887"/>
    <w:rsid w:val="204E1377"/>
    <w:rsid w:val="2050268E"/>
    <w:rsid w:val="20502EC2"/>
    <w:rsid w:val="205134C9"/>
    <w:rsid w:val="2051BA23"/>
    <w:rsid w:val="205254F2"/>
    <w:rsid w:val="20535482"/>
    <w:rsid w:val="20538F8E"/>
    <w:rsid w:val="20558E6D"/>
    <w:rsid w:val="2056F275"/>
    <w:rsid w:val="20577FCF"/>
    <w:rsid w:val="2059D16A"/>
    <w:rsid w:val="205BE470"/>
    <w:rsid w:val="205C793D"/>
    <w:rsid w:val="205D4DC4"/>
    <w:rsid w:val="20600BBD"/>
    <w:rsid w:val="20632576"/>
    <w:rsid w:val="206455E9"/>
    <w:rsid w:val="206B2440"/>
    <w:rsid w:val="206F81E8"/>
    <w:rsid w:val="20722C0C"/>
    <w:rsid w:val="2078FE8C"/>
    <w:rsid w:val="207A0FEF"/>
    <w:rsid w:val="207FBB8A"/>
    <w:rsid w:val="20826EBA"/>
    <w:rsid w:val="2082AAA8"/>
    <w:rsid w:val="20881001"/>
    <w:rsid w:val="208D047E"/>
    <w:rsid w:val="208D80E1"/>
    <w:rsid w:val="2090CA1C"/>
    <w:rsid w:val="209198E7"/>
    <w:rsid w:val="20922E02"/>
    <w:rsid w:val="2092F236"/>
    <w:rsid w:val="2094D3D9"/>
    <w:rsid w:val="209A2DA3"/>
    <w:rsid w:val="209B58FC"/>
    <w:rsid w:val="209BE5D7"/>
    <w:rsid w:val="209CB812"/>
    <w:rsid w:val="20A2BFF3"/>
    <w:rsid w:val="20A4B616"/>
    <w:rsid w:val="20A69935"/>
    <w:rsid w:val="20A730AB"/>
    <w:rsid w:val="20A95188"/>
    <w:rsid w:val="20AA3086"/>
    <w:rsid w:val="20AE675E"/>
    <w:rsid w:val="20B1F6AF"/>
    <w:rsid w:val="20B29C30"/>
    <w:rsid w:val="20B4875C"/>
    <w:rsid w:val="20B6C4A4"/>
    <w:rsid w:val="20B83349"/>
    <w:rsid w:val="20B92177"/>
    <w:rsid w:val="20BD8863"/>
    <w:rsid w:val="20BF2DF1"/>
    <w:rsid w:val="20C30873"/>
    <w:rsid w:val="20C3311D"/>
    <w:rsid w:val="20C34DA7"/>
    <w:rsid w:val="20C4173B"/>
    <w:rsid w:val="20C46F8E"/>
    <w:rsid w:val="20C704AC"/>
    <w:rsid w:val="20C7D4D5"/>
    <w:rsid w:val="20CB2A31"/>
    <w:rsid w:val="20CE5E98"/>
    <w:rsid w:val="20CE751A"/>
    <w:rsid w:val="20D63A0C"/>
    <w:rsid w:val="20D67E47"/>
    <w:rsid w:val="20D74540"/>
    <w:rsid w:val="20D9DADE"/>
    <w:rsid w:val="20DA6BFE"/>
    <w:rsid w:val="20DB362E"/>
    <w:rsid w:val="20DBAFF1"/>
    <w:rsid w:val="20DD83C5"/>
    <w:rsid w:val="20DDA769"/>
    <w:rsid w:val="20E039EE"/>
    <w:rsid w:val="20E96A41"/>
    <w:rsid w:val="20EAB7AA"/>
    <w:rsid w:val="20EB1E81"/>
    <w:rsid w:val="20EF5B46"/>
    <w:rsid w:val="20F125C7"/>
    <w:rsid w:val="20F46B20"/>
    <w:rsid w:val="20F72587"/>
    <w:rsid w:val="20F8F2A9"/>
    <w:rsid w:val="20FBC668"/>
    <w:rsid w:val="20FF47B0"/>
    <w:rsid w:val="2100321D"/>
    <w:rsid w:val="2101A197"/>
    <w:rsid w:val="2106BBC7"/>
    <w:rsid w:val="210A13D9"/>
    <w:rsid w:val="210A96A2"/>
    <w:rsid w:val="210B95A9"/>
    <w:rsid w:val="210C1868"/>
    <w:rsid w:val="210CED66"/>
    <w:rsid w:val="210EC57C"/>
    <w:rsid w:val="2112746D"/>
    <w:rsid w:val="21148A3B"/>
    <w:rsid w:val="2115307D"/>
    <w:rsid w:val="21165C75"/>
    <w:rsid w:val="2117612A"/>
    <w:rsid w:val="211A10D1"/>
    <w:rsid w:val="211A5024"/>
    <w:rsid w:val="211A7074"/>
    <w:rsid w:val="211AF2AE"/>
    <w:rsid w:val="211B2CAB"/>
    <w:rsid w:val="211B65B6"/>
    <w:rsid w:val="211F00D8"/>
    <w:rsid w:val="2123B433"/>
    <w:rsid w:val="21248472"/>
    <w:rsid w:val="21290E1E"/>
    <w:rsid w:val="212A8C0D"/>
    <w:rsid w:val="212BA447"/>
    <w:rsid w:val="212C770A"/>
    <w:rsid w:val="212EEA1D"/>
    <w:rsid w:val="21305CAA"/>
    <w:rsid w:val="2132E6D9"/>
    <w:rsid w:val="213351EC"/>
    <w:rsid w:val="21357EFB"/>
    <w:rsid w:val="21363F95"/>
    <w:rsid w:val="2136B41C"/>
    <w:rsid w:val="21383B1E"/>
    <w:rsid w:val="2139BC90"/>
    <w:rsid w:val="213B04FC"/>
    <w:rsid w:val="213CD103"/>
    <w:rsid w:val="213CF17E"/>
    <w:rsid w:val="213DD43E"/>
    <w:rsid w:val="213E892E"/>
    <w:rsid w:val="213E9BA4"/>
    <w:rsid w:val="21406BA9"/>
    <w:rsid w:val="214644DB"/>
    <w:rsid w:val="2147DFBD"/>
    <w:rsid w:val="21491C34"/>
    <w:rsid w:val="21499AF2"/>
    <w:rsid w:val="2149C247"/>
    <w:rsid w:val="214A1D68"/>
    <w:rsid w:val="214A4C81"/>
    <w:rsid w:val="214B200C"/>
    <w:rsid w:val="214EA642"/>
    <w:rsid w:val="215C6CBE"/>
    <w:rsid w:val="21616999"/>
    <w:rsid w:val="21638C26"/>
    <w:rsid w:val="21671F2F"/>
    <w:rsid w:val="21674462"/>
    <w:rsid w:val="216C615A"/>
    <w:rsid w:val="216D501B"/>
    <w:rsid w:val="216D693B"/>
    <w:rsid w:val="2171465F"/>
    <w:rsid w:val="2172D9A1"/>
    <w:rsid w:val="2173CF74"/>
    <w:rsid w:val="2174F7F3"/>
    <w:rsid w:val="21751E2B"/>
    <w:rsid w:val="217551C2"/>
    <w:rsid w:val="2176423D"/>
    <w:rsid w:val="217766EC"/>
    <w:rsid w:val="217A2526"/>
    <w:rsid w:val="217ABBFC"/>
    <w:rsid w:val="217BB549"/>
    <w:rsid w:val="21842887"/>
    <w:rsid w:val="2184441C"/>
    <w:rsid w:val="2184FDEC"/>
    <w:rsid w:val="218514DE"/>
    <w:rsid w:val="2186D7F1"/>
    <w:rsid w:val="2188C368"/>
    <w:rsid w:val="218B2DCC"/>
    <w:rsid w:val="218B4164"/>
    <w:rsid w:val="218E8BE8"/>
    <w:rsid w:val="21927359"/>
    <w:rsid w:val="2192E110"/>
    <w:rsid w:val="21967509"/>
    <w:rsid w:val="2197ABC3"/>
    <w:rsid w:val="21986860"/>
    <w:rsid w:val="21989AEC"/>
    <w:rsid w:val="219C4D09"/>
    <w:rsid w:val="219CC526"/>
    <w:rsid w:val="219D7B8C"/>
    <w:rsid w:val="219DD182"/>
    <w:rsid w:val="219DE687"/>
    <w:rsid w:val="21A63A2D"/>
    <w:rsid w:val="21A73FA5"/>
    <w:rsid w:val="21A76E46"/>
    <w:rsid w:val="21A91280"/>
    <w:rsid w:val="21A97CA6"/>
    <w:rsid w:val="21AB8F2E"/>
    <w:rsid w:val="21AD367D"/>
    <w:rsid w:val="21B1C349"/>
    <w:rsid w:val="21B2486D"/>
    <w:rsid w:val="21B3483C"/>
    <w:rsid w:val="21B43AD2"/>
    <w:rsid w:val="21B4A3D6"/>
    <w:rsid w:val="21B6514B"/>
    <w:rsid w:val="21B7D046"/>
    <w:rsid w:val="21B9B70A"/>
    <w:rsid w:val="21BCC391"/>
    <w:rsid w:val="21BEDB59"/>
    <w:rsid w:val="21BF5DF0"/>
    <w:rsid w:val="21C68BCE"/>
    <w:rsid w:val="21C985FE"/>
    <w:rsid w:val="21C9F1EF"/>
    <w:rsid w:val="21CA0542"/>
    <w:rsid w:val="21CD0F22"/>
    <w:rsid w:val="21CFFFA8"/>
    <w:rsid w:val="21D18E0B"/>
    <w:rsid w:val="21D34162"/>
    <w:rsid w:val="21D59FC4"/>
    <w:rsid w:val="21D68DB8"/>
    <w:rsid w:val="21D7C026"/>
    <w:rsid w:val="21D9B36D"/>
    <w:rsid w:val="21DA3901"/>
    <w:rsid w:val="21DD75A4"/>
    <w:rsid w:val="21E04C46"/>
    <w:rsid w:val="21E0B668"/>
    <w:rsid w:val="21E26ACC"/>
    <w:rsid w:val="21E69031"/>
    <w:rsid w:val="21ED2726"/>
    <w:rsid w:val="21EE1088"/>
    <w:rsid w:val="21F001DD"/>
    <w:rsid w:val="21F6D7AC"/>
    <w:rsid w:val="21FAB039"/>
    <w:rsid w:val="21FD8AB0"/>
    <w:rsid w:val="21FDD58D"/>
    <w:rsid w:val="21FFB19C"/>
    <w:rsid w:val="21FFFE9C"/>
    <w:rsid w:val="22014DD9"/>
    <w:rsid w:val="2201B59B"/>
    <w:rsid w:val="22036EC4"/>
    <w:rsid w:val="22056A84"/>
    <w:rsid w:val="220990CA"/>
    <w:rsid w:val="220BAADC"/>
    <w:rsid w:val="220E854D"/>
    <w:rsid w:val="220EDD7D"/>
    <w:rsid w:val="2210C582"/>
    <w:rsid w:val="22126EBC"/>
    <w:rsid w:val="22191A41"/>
    <w:rsid w:val="221B3927"/>
    <w:rsid w:val="221C26B7"/>
    <w:rsid w:val="221C3B16"/>
    <w:rsid w:val="221D61B7"/>
    <w:rsid w:val="221E3158"/>
    <w:rsid w:val="221EB1E2"/>
    <w:rsid w:val="222096C1"/>
    <w:rsid w:val="2221A241"/>
    <w:rsid w:val="22251527"/>
    <w:rsid w:val="222BD1DA"/>
    <w:rsid w:val="222BF08F"/>
    <w:rsid w:val="222DE63B"/>
    <w:rsid w:val="222E24DE"/>
    <w:rsid w:val="22306CFE"/>
    <w:rsid w:val="22318EC3"/>
    <w:rsid w:val="2234790E"/>
    <w:rsid w:val="22347A1A"/>
    <w:rsid w:val="22381525"/>
    <w:rsid w:val="22396099"/>
    <w:rsid w:val="2239EE53"/>
    <w:rsid w:val="223AB0DE"/>
    <w:rsid w:val="223C8986"/>
    <w:rsid w:val="223EAE5B"/>
    <w:rsid w:val="223F6CF5"/>
    <w:rsid w:val="2241B490"/>
    <w:rsid w:val="22423DB5"/>
    <w:rsid w:val="22444701"/>
    <w:rsid w:val="2244491B"/>
    <w:rsid w:val="224A13DD"/>
    <w:rsid w:val="224B67FE"/>
    <w:rsid w:val="224C6137"/>
    <w:rsid w:val="224DBBA9"/>
    <w:rsid w:val="22502476"/>
    <w:rsid w:val="2252A6A7"/>
    <w:rsid w:val="2254102B"/>
    <w:rsid w:val="2256F4FF"/>
    <w:rsid w:val="2259C30B"/>
    <w:rsid w:val="2259EA98"/>
    <w:rsid w:val="225B232D"/>
    <w:rsid w:val="225C995D"/>
    <w:rsid w:val="22620B5C"/>
    <w:rsid w:val="226B51A8"/>
    <w:rsid w:val="226D8B16"/>
    <w:rsid w:val="226DCF22"/>
    <w:rsid w:val="2271429D"/>
    <w:rsid w:val="22746CFE"/>
    <w:rsid w:val="227637E6"/>
    <w:rsid w:val="2276993C"/>
    <w:rsid w:val="22777739"/>
    <w:rsid w:val="22779B24"/>
    <w:rsid w:val="227A5F66"/>
    <w:rsid w:val="227D13A4"/>
    <w:rsid w:val="227D1787"/>
    <w:rsid w:val="227ECD4E"/>
    <w:rsid w:val="2281B4F6"/>
    <w:rsid w:val="22820944"/>
    <w:rsid w:val="22838CAD"/>
    <w:rsid w:val="2284C8AC"/>
    <w:rsid w:val="2286DCD6"/>
    <w:rsid w:val="2288C544"/>
    <w:rsid w:val="22896D13"/>
    <w:rsid w:val="228B5210"/>
    <w:rsid w:val="228C4DB7"/>
    <w:rsid w:val="22910E8B"/>
    <w:rsid w:val="22939E48"/>
    <w:rsid w:val="2295E343"/>
    <w:rsid w:val="229653BE"/>
    <w:rsid w:val="22999B73"/>
    <w:rsid w:val="229AFC77"/>
    <w:rsid w:val="229C338D"/>
    <w:rsid w:val="229E6883"/>
    <w:rsid w:val="229FD667"/>
    <w:rsid w:val="22A0B8BE"/>
    <w:rsid w:val="22A1E43C"/>
    <w:rsid w:val="22A31182"/>
    <w:rsid w:val="22A45232"/>
    <w:rsid w:val="22A51EB1"/>
    <w:rsid w:val="22AAD21F"/>
    <w:rsid w:val="22B17ADC"/>
    <w:rsid w:val="22B28192"/>
    <w:rsid w:val="22B9A5C8"/>
    <w:rsid w:val="22C14E97"/>
    <w:rsid w:val="22C19528"/>
    <w:rsid w:val="22C1A550"/>
    <w:rsid w:val="22C4386D"/>
    <w:rsid w:val="22C7C62A"/>
    <w:rsid w:val="22C7E1C2"/>
    <w:rsid w:val="22C88C8B"/>
    <w:rsid w:val="22CA743C"/>
    <w:rsid w:val="22CB68CB"/>
    <w:rsid w:val="22CB9095"/>
    <w:rsid w:val="22CBBDA3"/>
    <w:rsid w:val="22CC7533"/>
    <w:rsid w:val="22CCBAAF"/>
    <w:rsid w:val="22CEB73A"/>
    <w:rsid w:val="22CEC433"/>
    <w:rsid w:val="22CEE112"/>
    <w:rsid w:val="22CFDD0F"/>
    <w:rsid w:val="22D11A50"/>
    <w:rsid w:val="22D1313F"/>
    <w:rsid w:val="22D14F5C"/>
    <w:rsid w:val="22D15575"/>
    <w:rsid w:val="22D3E56A"/>
    <w:rsid w:val="22D6512C"/>
    <w:rsid w:val="22D73769"/>
    <w:rsid w:val="22DAC333"/>
    <w:rsid w:val="22DB6BDB"/>
    <w:rsid w:val="22DE4C69"/>
    <w:rsid w:val="22DED346"/>
    <w:rsid w:val="22DFCFE4"/>
    <w:rsid w:val="22E016DD"/>
    <w:rsid w:val="22E0318F"/>
    <w:rsid w:val="22E0EFC5"/>
    <w:rsid w:val="22E120AB"/>
    <w:rsid w:val="22E55FAF"/>
    <w:rsid w:val="22E7EC1E"/>
    <w:rsid w:val="22E96D62"/>
    <w:rsid w:val="22EA6786"/>
    <w:rsid w:val="22ECA5F1"/>
    <w:rsid w:val="22F1C010"/>
    <w:rsid w:val="22F1C06C"/>
    <w:rsid w:val="22F2E055"/>
    <w:rsid w:val="22F3D455"/>
    <w:rsid w:val="22F66A22"/>
    <w:rsid w:val="22F8285F"/>
    <w:rsid w:val="22F9198C"/>
    <w:rsid w:val="22F96B9F"/>
    <w:rsid w:val="22FBE4CD"/>
    <w:rsid w:val="22FC5E8B"/>
    <w:rsid w:val="22FE9432"/>
    <w:rsid w:val="22FF732C"/>
    <w:rsid w:val="22FFAD0A"/>
    <w:rsid w:val="22FFFBD7"/>
    <w:rsid w:val="2300A274"/>
    <w:rsid w:val="23019BE5"/>
    <w:rsid w:val="23044D31"/>
    <w:rsid w:val="2304A27B"/>
    <w:rsid w:val="23053A52"/>
    <w:rsid w:val="23095DD3"/>
    <w:rsid w:val="230A0126"/>
    <w:rsid w:val="230A3B43"/>
    <w:rsid w:val="230E9618"/>
    <w:rsid w:val="230FC803"/>
    <w:rsid w:val="2310D95A"/>
    <w:rsid w:val="23199A82"/>
    <w:rsid w:val="231C12FE"/>
    <w:rsid w:val="231DCC69"/>
    <w:rsid w:val="232032A0"/>
    <w:rsid w:val="2323355D"/>
    <w:rsid w:val="23242EB9"/>
    <w:rsid w:val="232446C0"/>
    <w:rsid w:val="2327AFF2"/>
    <w:rsid w:val="2329CCB1"/>
    <w:rsid w:val="232C0195"/>
    <w:rsid w:val="232E56CD"/>
    <w:rsid w:val="232EF836"/>
    <w:rsid w:val="232EFA4C"/>
    <w:rsid w:val="23303505"/>
    <w:rsid w:val="2331F559"/>
    <w:rsid w:val="23320B8F"/>
    <w:rsid w:val="23338D20"/>
    <w:rsid w:val="23345601"/>
    <w:rsid w:val="2334FC5E"/>
    <w:rsid w:val="2335B8A2"/>
    <w:rsid w:val="2335FFD9"/>
    <w:rsid w:val="2336A222"/>
    <w:rsid w:val="23399B81"/>
    <w:rsid w:val="233C6661"/>
    <w:rsid w:val="233D959B"/>
    <w:rsid w:val="233F5271"/>
    <w:rsid w:val="23402F8D"/>
    <w:rsid w:val="2340E995"/>
    <w:rsid w:val="234654C6"/>
    <w:rsid w:val="2346555B"/>
    <w:rsid w:val="2347F4BF"/>
    <w:rsid w:val="234B209A"/>
    <w:rsid w:val="234DE563"/>
    <w:rsid w:val="2350D2AC"/>
    <w:rsid w:val="2351528D"/>
    <w:rsid w:val="2351C836"/>
    <w:rsid w:val="23525EE9"/>
    <w:rsid w:val="23573111"/>
    <w:rsid w:val="23585E1C"/>
    <w:rsid w:val="23633555"/>
    <w:rsid w:val="23634CA9"/>
    <w:rsid w:val="236568A1"/>
    <w:rsid w:val="2365799D"/>
    <w:rsid w:val="2367AE0F"/>
    <w:rsid w:val="2367D1B6"/>
    <w:rsid w:val="2369BF0E"/>
    <w:rsid w:val="236BC13B"/>
    <w:rsid w:val="236BFB94"/>
    <w:rsid w:val="236C2C25"/>
    <w:rsid w:val="236E94D0"/>
    <w:rsid w:val="237048C1"/>
    <w:rsid w:val="2370DC5C"/>
    <w:rsid w:val="237385D6"/>
    <w:rsid w:val="2373C748"/>
    <w:rsid w:val="23760962"/>
    <w:rsid w:val="23765F88"/>
    <w:rsid w:val="237A3C20"/>
    <w:rsid w:val="237A548C"/>
    <w:rsid w:val="237A8893"/>
    <w:rsid w:val="237B2E6D"/>
    <w:rsid w:val="237B5453"/>
    <w:rsid w:val="237C3559"/>
    <w:rsid w:val="237EB551"/>
    <w:rsid w:val="23801ECB"/>
    <w:rsid w:val="23810CB8"/>
    <w:rsid w:val="2382866D"/>
    <w:rsid w:val="23842972"/>
    <w:rsid w:val="23860F6D"/>
    <w:rsid w:val="238B54E4"/>
    <w:rsid w:val="238BC4A6"/>
    <w:rsid w:val="238BEDF3"/>
    <w:rsid w:val="238EF63C"/>
    <w:rsid w:val="239073B7"/>
    <w:rsid w:val="23916262"/>
    <w:rsid w:val="2393965B"/>
    <w:rsid w:val="2395492D"/>
    <w:rsid w:val="23957A12"/>
    <w:rsid w:val="23958A7A"/>
    <w:rsid w:val="23978F1E"/>
    <w:rsid w:val="239ADDA0"/>
    <w:rsid w:val="239EAF1D"/>
    <w:rsid w:val="239F7D68"/>
    <w:rsid w:val="23A90C03"/>
    <w:rsid w:val="23A97C54"/>
    <w:rsid w:val="23AB6121"/>
    <w:rsid w:val="23AE223D"/>
    <w:rsid w:val="23AE7B16"/>
    <w:rsid w:val="23B167A6"/>
    <w:rsid w:val="23B57673"/>
    <w:rsid w:val="23B670B5"/>
    <w:rsid w:val="23BC53B6"/>
    <w:rsid w:val="23BCB702"/>
    <w:rsid w:val="23BD7F7C"/>
    <w:rsid w:val="23BE673B"/>
    <w:rsid w:val="23C36741"/>
    <w:rsid w:val="23C375C9"/>
    <w:rsid w:val="23C4ED60"/>
    <w:rsid w:val="23C6B418"/>
    <w:rsid w:val="23C97EB4"/>
    <w:rsid w:val="23CC749B"/>
    <w:rsid w:val="23CF8E79"/>
    <w:rsid w:val="23D1644C"/>
    <w:rsid w:val="23D46DCD"/>
    <w:rsid w:val="23D4F420"/>
    <w:rsid w:val="23D6A99B"/>
    <w:rsid w:val="23D7B143"/>
    <w:rsid w:val="23D8AEC7"/>
    <w:rsid w:val="23DA28A3"/>
    <w:rsid w:val="23DB1392"/>
    <w:rsid w:val="23DBA00A"/>
    <w:rsid w:val="23DC7687"/>
    <w:rsid w:val="23DCCC09"/>
    <w:rsid w:val="23DD27B2"/>
    <w:rsid w:val="23E0AD47"/>
    <w:rsid w:val="23E2CDEE"/>
    <w:rsid w:val="23E3069C"/>
    <w:rsid w:val="23E42FA7"/>
    <w:rsid w:val="23E4AF99"/>
    <w:rsid w:val="23EBA6AA"/>
    <w:rsid w:val="23ECB752"/>
    <w:rsid w:val="23F32241"/>
    <w:rsid w:val="23F60ABE"/>
    <w:rsid w:val="23F87D45"/>
    <w:rsid w:val="23F8DEC0"/>
    <w:rsid w:val="23F95647"/>
    <w:rsid w:val="23FA913C"/>
    <w:rsid w:val="23FBCBF7"/>
    <w:rsid w:val="23FE1EB9"/>
    <w:rsid w:val="23FE3650"/>
    <w:rsid w:val="24026597"/>
    <w:rsid w:val="2404406C"/>
    <w:rsid w:val="2404B17F"/>
    <w:rsid w:val="24076FDC"/>
    <w:rsid w:val="240979DF"/>
    <w:rsid w:val="240ADD41"/>
    <w:rsid w:val="2410A752"/>
    <w:rsid w:val="2410E49D"/>
    <w:rsid w:val="24115212"/>
    <w:rsid w:val="2411C785"/>
    <w:rsid w:val="24130F06"/>
    <w:rsid w:val="24164245"/>
    <w:rsid w:val="241766A3"/>
    <w:rsid w:val="241996E9"/>
    <w:rsid w:val="241BDE9D"/>
    <w:rsid w:val="241C20ED"/>
    <w:rsid w:val="242310D6"/>
    <w:rsid w:val="24232717"/>
    <w:rsid w:val="2426D353"/>
    <w:rsid w:val="242C16E3"/>
    <w:rsid w:val="242E7EA0"/>
    <w:rsid w:val="242EE115"/>
    <w:rsid w:val="242EF412"/>
    <w:rsid w:val="24313727"/>
    <w:rsid w:val="2435C7EC"/>
    <w:rsid w:val="243784D0"/>
    <w:rsid w:val="2437A593"/>
    <w:rsid w:val="243ABD9B"/>
    <w:rsid w:val="243D1C61"/>
    <w:rsid w:val="243E575B"/>
    <w:rsid w:val="24449245"/>
    <w:rsid w:val="2447D68C"/>
    <w:rsid w:val="24498C75"/>
    <w:rsid w:val="2449FFF7"/>
    <w:rsid w:val="244A7469"/>
    <w:rsid w:val="244BD60B"/>
    <w:rsid w:val="244CAFBD"/>
    <w:rsid w:val="244DE96A"/>
    <w:rsid w:val="24509695"/>
    <w:rsid w:val="24533D68"/>
    <w:rsid w:val="2453AABF"/>
    <w:rsid w:val="24574079"/>
    <w:rsid w:val="24582418"/>
    <w:rsid w:val="245F834F"/>
    <w:rsid w:val="2461492E"/>
    <w:rsid w:val="2462D707"/>
    <w:rsid w:val="246594A4"/>
    <w:rsid w:val="2465C97A"/>
    <w:rsid w:val="2466241B"/>
    <w:rsid w:val="24692694"/>
    <w:rsid w:val="246ADE00"/>
    <w:rsid w:val="246AE1F3"/>
    <w:rsid w:val="246BBDBD"/>
    <w:rsid w:val="246DAC84"/>
    <w:rsid w:val="246F4FE2"/>
    <w:rsid w:val="247259DF"/>
    <w:rsid w:val="247383A6"/>
    <w:rsid w:val="24764DB8"/>
    <w:rsid w:val="24788723"/>
    <w:rsid w:val="247915A9"/>
    <w:rsid w:val="24791896"/>
    <w:rsid w:val="247AD303"/>
    <w:rsid w:val="247B01D3"/>
    <w:rsid w:val="247CA94E"/>
    <w:rsid w:val="247D7B5E"/>
    <w:rsid w:val="248495E9"/>
    <w:rsid w:val="248BD5DB"/>
    <w:rsid w:val="248C24FE"/>
    <w:rsid w:val="248D89D3"/>
    <w:rsid w:val="248F6EA0"/>
    <w:rsid w:val="24910C3F"/>
    <w:rsid w:val="2493142C"/>
    <w:rsid w:val="24935566"/>
    <w:rsid w:val="24938AA3"/>
    <w:rsid w:val="24952F3F"/>
    <w:rsid w:val="2495EE45"/>
    <w:rsid w:val="24964141"/>
    <w:rsid w:val="249862D3"/>
    <w:rsid w:val="24992D4D"/>
    <w:rsid w:val="249A07A2"/>
    <w:rsid w:val="249C4A0D"/>
    <w:rsid w:val="249D82FF"/>
    <w:rsid w:val="24A1CBB1"/>
    <w:rsid w:val="24A2864A"/>
    <w:rsid w:val="24A6D095"/>
    <w:rsid w:val="24A7DA8C"/>
    <w:rsid w:val="24B14CD2"/>
    <w:rsid w:val="24B34FB1"/>
    <w:rsid w:val="24B60F94"/>
    <w:rsid w:val="24B643AB"/>
    <w:rsid w:val="24B7410F"/>
    <w:rsid w:val="24B976CB"/>
    <w:rsid w:val="24BA76B7"/>
    <w:rsid w:val="24BF2F2E"/>
    <w:rsid w:val="24C17394"/>
    <w:rsid w:val="24C30DCC"/>
    <w:rsid w:val="24C37495"/>
    <w:rsid w:val="24C4D249"/>
    <w:rsid w:val="24C5CD24"/>
    <w:rsid w:val="24C5F640"/>
    <w:rsid w:val="24C764D3"/>
    <w:rsid w:val="24C8A41B"/>
    <w:rsid w:val="24CA91A9"/>
    <w:rsid w:val="24CBE31B"/>
    <w:rsid w:val="24D03357"/>
    <w:rsid w:val="24D1AB6E"/>
    <w:rsid w:val="24D4EC30"/>
    <w:rsid w:val="24D89BB3"/>
    <w:rsid w:val="24D9EEA1"/>
    <w:rsid w:val="24DB86F4"/>
    <w:rsid w:val="24DF2601"/>
    <w:rsid w:val="24E0A80B"/>
    <w:rsid w:val="24E0D8C5"/>
    <w:rsid w:val="24E46E17"/>
    <w:rsid w:val="24E5F8DA"/>
    <w:rsid w:val="24E6F0FB"/>
    <w:rsid w:val="24E7A87E"/>
    <w:rsid w:val="24E9640B"/>
    <w:rsid w:val="24EAA427"/>
    <w:rsid w:val="24EE561E"/>
    <w:rsid w:val="24F049B1"/>
    <w:rsid w:val="24F08A65"/>
    <w:rsid w:val="24F2DF87"/>
    <w:rsid w:val="24F38B7E"/>
    <w:rsid w:val="24F3901C"/>
    <w:rsid w:val="24F50E7D"/>
    <w:rsid w:val="24F786C5"/>
    <w:rsid w:val="24F78DBC"/>
    <w:rsid w:val="24F8AC37"/>
    <w:rsid w:val="24FB8F8C"/>
    <w:rsid w:val="24FBA6DF"/>
    <w:rsid w:val="24FBCF6B"/>
    <w:rsid w:val="24FC87E2"/>
    <w:rsid w:val="24FD19E1"/>
    <w:rsid w:val="24FF35B8"/>
    <w:rsid w:val="24FF5F50"/>
    <w:rsid w:val="25005398"/>
    <w:rsid w:val="2500FDB7"/>
    <w:rsid w:val="25026F90"/>
    <w:rsid w:val="25064734"/>
    <w:rsid w:val="2506CD76"/>
    <w:rsid w:val="2508BB03"/>
    <w:rsid w:val="250C48A8"/>
    <w:rsid w:val="250F619F"/>
    <w:rsid w:val="2513276F"/>
    <w:rsid w:val="25169F63"/>
    <w:rsid w:val="251B690F"/>
    <w:rsid w:val="2520ADC7"/>
    <w:rsid w:val="2521AE0A"/>
    <w:rsid w:val="25231152"/>
    <w:rsid w:val="2526D7B6"/>
    <w:rsid w:val="25274543"/>
    <w:rsid w:val="25292D2D"/>
    <w:rsid w:val="252FA609"/>
    <w:rsid w:val="25310B4A"/>
    <w:rsid w:val="25330EE8"/>
    <w:rsid w:val="25335F7F"/>
    <w:rsid w:val="2533BBD8"/>
    <w:rsid w:val="2534AABC"/>
    <w:rsid w:val="2538D20C"/>
    <w:rsid w:val="2538D2C2"/>
    <w:rsid w:val="2539709E"/>
    <w:rsid w:val="253F3EE6"/>
    <w:rsid w:val="253F412C"/>
    <w:rsid w:val="25463E5A"/>
    <w:rsid w:val="25481A14"/>
    <w:rsid w:val="254AA4B7"/>
    <w:rsid w:val="2550D73C"/>
    <w:rsid w:val="255452AD"/>
    <w:rsid w:val="2558FD10"/>
    <w:rsid w:val="2559A795"/>
    <w:rsid w:val="255A7011"/>
    <w:rsid w:val="255CA37A"/>
    <w:rsid w:val="255E94BD"/>
    <w:rsid w:val="255F641C"/>
    <w:rsid w:val="2564A367"/>
    <w:rsid w:val="25650AE7"/>
    <w:rsid w:val="2565C7C7"/>
    <w:rsid w:val="2567190C"/>
    <w:rsid w:val="2567341A"/>
    <w:rsid w:val="256AE3FB"/>
    <w:rsid w:val="256B6238"/>
    <w:rsid w:val="256E4BE7"/>
    <w:rsid w:val="25734294"/>
    <w:rsid w:val="2573834C"/>
    <w:rsid w:val="257B341F"/>
    <w:rsid w:val="257BBEDD"/>
    <w:rsid w:val="257CE1BB"/>
    <w:rsid w:val="257D60CC"/>
    <w:rsid w:val="2582CFD0"/>
    <w:rsid w:val="25840D5C"/>
    <w:rsid w:val="25868C48"/>
    <w:rsid w:val="2587153D"/>
    <w:rsid w:val="2588E12D"/>
    <w:rsid w:val="258CB45D"/>
    <w:rsid w:val="258DB7A8"/>
    <w:rsid w:val="2593B831"/>
    <w:rsid w:val="2593DD15"/>
    <w:rsid w:val="2593F9AB"/>
    <w:rsid w:val="2594BC8E"/>
    <w:rsid w:val="25954ACB"/>
    <w:rsid w:val="2596C78C"/>
    <w:rsid w:val="259BA644"/>
    <w:rsid w:val="259BD1AE"/>
    <w:rsid w:val="259F8CD9"/>
    <w:rsid w:val="25A1B32B"/>
    <w:rsid w:val="25A810FE"/>
    <w:rsid w:val="25ABE72B"/>
    <w:rsid w:val="25AD0F8C"/>
    <w:rsid w:val="25B129E5"/>
    <w:rsid w:val="25B2716F"/>
    <w:rsid w:val="25B8241F"/>
    <w:rsid w:val="25B96BAC"/>
    <w:rsid w:val="25B9DFE7"/>
    <w:rsid w:val="25BB3611"/>
    <w:rsid w:val="25BC7B0D"/>
    <w:rsid w:val="25BEED37"/>
    <w:rsid w:val="25BF65E6"/>
    <w:rsid w:val="25BF8964"/>
    <w:rsid w:val="25C06314"/>
    <w:rsid w:val="25C1E041"/>
    <w:rsid w:val="25C289F5"/>
    <w:rsid w:val="25C30584"/>
    <w:rsid w:val="25C35AA8"/>
    <w:rsid w:val="25C94EFD"/>
    <w:rsid w:val="25CECA45"/>
    <w:rsid w:val="25CEE857"/>
    <w:rsid w:val="25D0C8FB"/>
    <w:rsid w:val="25D15BCD"/>
    <w:rsid w:val="25D46ECE"/>
    <w:rsid w:val="25D6E010"/>
    <w:rsid w:val="25D6E664"/>
    <w:rsid w:val="25D73EC8"/>
    <w:rsid w:val="25D78E79"/>
    <w:rsid w:val="25D91B48"/>
    <w:rsid w:val="25DB03EF"/>
    <w:rsid w:val="25DB7D71"/>
    <w:rsid w:val="25DD31C0"/>
    <w:rsid w:val="25DEF7A9"/>
    <w:rsid w:val="25DF1FCF"/>
    <w:rsid w:val="25E47065"/>
    <w:rsid w:val="25E8C2E1"/>
    <w:rsid w:val="25EB47A7"/>
    <w:rsid w:val="25EDD329"/>
    <w:rsid w:val="25EF8E64"/>
    <w:rsid w:val="25F02A34"/>
    <w:rsid w:val="25F06058"/>
    <w:rsid w:val="25F1D576"/>
    <w:rsid w:val="25F35916"/>
    <w:rsid w:val="25F39972"/>
    <w:rsid w:val="25F5FD45"/>
    <w:rsid w:val="25F7E95E"/>
    <w:rsid w:val="25F85BEF"/>
    <w:rsid w:val="25FBF05D"/>
    <w:rsid w:val="2601DAA1"/>
    <w:rsid w:val="2602FD0D"/>
    <w:rsid w:val="260466F0"/>
    <w:rsid w:val="260590F5"/>
    <w:rsid w:val="2605D08A"/>
    <w:rsid w:val="2605E6FF"/>
    <w:rsid w:val="2606A7F6"/>
    <w:rsid w:val="260AFCC8"/>
    <w:rsid w:val="260C7CD8"/>
    <w:rsid w:val="260D1AE4"/>
    <w:rsid w:val="2612823B"/>
    <w:rsid w:val="2612D4C7"/>
    <w:rsid w:val="261360A5"/>
    <w:rsid w:val="26139FE3"/>
    <w:rsid w:val="26181532"/>
    <w:rsid w:val="2618ED96"/>
    <w:rsid w:val="261A95EA"/>
    <w:rsid w:val="261C14C4"/>
    <w:rsid w:val="261EDB76"/>
    <w:rsid w:val="262167B5"/>
    <w:rsid w:val="26218B3F"/>
    <w:rsid w:val="262913F7"/>
    <w:rsid w:val="262DE7CB"/>
    <w:rsid w:val="262E4161"/>
    <w:rsid w:val="262E71AA"/>
    <w:rsid w:val="262FAB8A"/>
    <w:rsid w:val="2631EA3F"/>
    <w:rsid w:val="263225C7"/>
    <w:rsid w:val="26338DDA"/>
    <w:rsid w:val="2635DCFA"/>
    <w:rsid w:val="2636D0DF"/>
    <w:rsid w:val="26375AC5"/>
    <w:rsid w:val="2639C192"/>
    <w:rsid w:val="26407D4D"/>
    <w:rsid w:val="26452EA7"/>
    <w:rsid w:val="2646378F"/>
    <w:rsid w:val="26467120"/>
    <w:rsid w:val="2647FD9E"/>
    <w:rsid w:val="26499FC0"/>
    <w:rsid w:val="264A6A7B"/>
    <w:rsid w:val="264CADDF"/>
    <w:rsid w:val="264D1368"/>
    <w:rsid w:val="264D97BE"/>
    <w:rsid w:val="264DB158"/>
    <w:rsid w:val="264EFD74"/>
    <w:rsid w:val="2652F955"/>
    <w:rsid w:val="2657EE7F"/>
    <w:rsid w:val="265A6B27"/>
    <w:rsid w:val="265B9664"/>
    <w:rsid w:val="265C0A0A"/>
    <w:rsid w:val="265C2A8D"/>
    <w:rsid w:val="265E3AB5"/>
    <w:rsid w:val="26607CCE"/>
    <w:rsid w:val="2661E668"/>
    <w:rsid w:val="26650D73"/>
    <w:rsid w:val="2667ECC2"/>
    <w:rsid w:val="26694761"/>
    <w:rsid w:val="266DBDAF"/>
    <w:rsid w:val="266F5643"/>
    <w:rsid w:val="266F9CBE"/>
    <w:rsid w:val="266FE02A"/>
    <w:rsid w:val="2671347D"/>
    <w:rsid w:val="267195A1"/>
    <w:rsid w:val="2672BA85"/>
    <w:rsid w:val="26741E52"/>
    <w:rsid w:val="2675D4F1"/>
    <w:rsid w:val="267643F0"/>
    <w:rsid w:val="267B2D5A"/>
    <w:rsid w:val="267EDFAE"/>
    <w:rsid w:val="268098F6"/>
    <w:rsid w:val="2684B136"/>
    <w:rsid w:val="26872F1E"/>
    <w:rsid w:val="2687DB99"/>
    <w:rsid w:val="268DB6D7"/>
    <w:rsid w:val="268E9BA4"/>
    <w:rsid w:val="2690305F"/>
    <w:rsid w:val="26940DF0"/>
    <w:rsid w:val="26985843"/>
    <w:rsid w:val="2698CCF1"/>
    <w:rsid w:val="26994679"/>
    <w:rsid w:val="26998E78"/>
    <w:rsid w:val="269998B6"/>
    <w:rsid w:val="269F72DB"/>
    <w:rsid w:val="269FE136"/>
    <w:rsid w:val="26A4E302"/>
    <w:rsid w:val="26A88C0C"/>
    <w:rsid w:val="26AD7AAF"/>
    <w:rsid w:val="26AE5061"/>
    <w:rsid w:val="26B2C2F8"/>
    <w:rsid w:val="26B47D21"/>
    <w:rsid w:val="26B89765"/>
    <w:rsid w:val="26B978F8"/>
    <w:rsid w:val="26BBB69C"/>
    <w:rsid w:val="26BE479B"/>
    <w:rsid w:val="26BE881E"/>
    <w:rsid w:val="26BFFD62"/>
    <w:rsid w:val="26C0AA84"/>
    <w:rsid w:val="26C3F30E"/>
    <w:rsid w:val="26C406F2"/>
    <w:rsid w:val="26CA6D7D"/>
    <w:rsid w:val="26CA7C9F"/>
    <w:rsid w:val="26CA9FC0"/>
    <w:rsid w:val="26D34A56"/>
    <w:rsid w:val="26D4369D"/>
    <w:rsid w:val="26D73E29"/>
    <w:rsid w:val="26D775EB"/>
    <w:rsid w:val="26D8539A"/>
    <w:rsid w:val="26DAEDAA"/>
    <w:rsid w:val="26DC2429"/>
    <w:rsid w:val="26DCD7F4"/>
    <w:rsid w:val="26E1715C"/>
    <w:rsid w:val="26E6B99E"/>
    <w:rsid w:val="26E8BC15"/>
    <w:rsid w:val="26E9CA33"/>
    <w:rsid w:val="26ED8402"/>
    <w:rsid w:val="26EE2767"/>
    <w:rsid w:val="26F3D949"/>
    <w:rsid w:val="26F9C077"/>
    <w:rsid w:val="26FB7A1C"/>
    <w:rsid w:val="26FD7062"/>
    <w:rsid w:val="26FF4B5C"/>
    <w:rsid w:val="270239F0"/>
    <w:rsid w:val="270395A7"/>
    <w:rsid w:val="2703E63C"/>
    <w:rsid w:val="2706AD26"/>
    <w:rsid w:val="27070131"/>
    <w:rsid w:val="27074D90"/>
    <w:rsid w:val="2708D187"/>
    <w:rsid w:val="270DDFFE"/>
    <w:rsid w:val="270F32D4"/>
    <w:rsid w:val="27160C54"/>
    <w:rsid w:val="2719F4EE"/>
    <w:rsid w:val="271B1D62"/>
    <w:rsid w:val="271C348E"/>
    <w:rsid w:val="271CD365"/>
    <w:rsid w:val="2721ECC5"/>
    <w:rsid w:val="2726EC82"/>
    <w:rsid w:val="272A0305"/>
    <w:rsid w:val="272AF6A5"/>
    <w:rsid w:val="272B04EA"/>
    <w:rsid w:val="272B898A"/>
    <w:rsid w:val="272CE120"/>
    <w:rsid w:val="272E49CF"/>
    <w:rsid w:val="27310414"/>
    <w:rsid w:val="2731C2FB"/>
    <w:rsid w:val="27325B6A"/>
    <w:rsid w:val="27342C6A"/>
    <w:rsid w:val="273C51A2"/>
    <w:rsid w:val="273CEF00"/>
    <w:rsid w:val="2740CDB5"/>
    <w:rsid w:val="274167C2"/>
    <w:rsid w:val="2745135E"/>
    <w:rsid w:val="27495E0C"/>
    <w:rsid w:val="274AD0DF"/>
    <w:rsid w:val="274AFD59"/>
    <w:rsid w:val="274D525B"/>
    <w:rsid w:val="274DFEE9"/>
    <w:rsid w:val="274F33C7"/>
    <w:rsid w:val="2751F247"/>
    <w:rsid w:val="275396D8"/>
    <w:rsid w:val="2754FE5E"/>
    <w:rsid w:val="2757B52B"/>
    <w:rsid w:val="2757ED68"/>
    <w:rsid w:val="2758697F"/>
    <w:rsid w:val="275A8C29"/>
    <w:rsid w:val="275B1C3D"/>
    <w:rsid w:val="275DEEDC"/>
    <w:rsid w:val="275E9EBF"/>
    <w:rsid w:val="27626F60"/>
    <w:rsid w:val="2762B826"/>
    <w:rsid w:val="2762C4AE"/>
    <w:rsid w:val="27641589"/>
    <w:rsid w:val="27665662"/>
    <w:rsid w:val="276795CC"/>
    <w:rsid w:val="276BDD4D"/>
    <w:rsid w:val="276E639E"/>
    <w:rsid w:val="276FC2E7"/>
    <w:rsid w:val="2773CB0D"/>
    <w:rsid w:val="27743FFB"/>
    <w:rsid w:val="2774F1EF"/>
    <w:rsid w:val="277737F9"/>
    <w:rsid w:val="277880A8"/>
    <w:rsid w:val="2778BB34"/>
    <w:rsid w:val="2778D818"/>
    <w:rsid w:val="277A8AB3"/>
    <w:rsid w:val="277B482B"/>
    <w:rsid w:val="277C6062"/>
    <w:rsid w:val="277C8E17"/>
    <w:rsid w:val="277D1603"/>
    <w:rsid w:val="2781CCF9"/>
    <w:rsid w:val="27837909"/>
    <w:rsid w:val="278D0AB3"/>
    <w:rsid w:val="278E2C18"/>
    <w:rsid w:val="278E6C6B"/>
    <w:rsid w:val="27988FEA"/>
    <w:rsid w:val="279AD3DA"/>
    <w:rsid w:val="27A35746"/>
    <w:rsid w:val="27A6BB91"/>
    <w:rsid w:val="27A7617A"/>
    <w:rsid w:val="27A7972D"/>
    <w:rsid w:val="27AA44AB"/>
    <w:rsid w:val="27AE06A5"/>
    <w:rsid w:val="27AF4195"/>
    <w:rsid w:val="27B730A9"/>
    <w:rsid w:val="27B980BA"/>
    <w:rsid w:val="27B9DB72"/>
    <w:rsid w:val="27BA7417"/>
    <w:rsid w:val="27BA8159"/>
    <w:rsid w:val="27C03082"/>
    <w:rsid w:val="27C051FC"/>
    <w:rsid w:val="27C10E0B"/>
    <w:rsid w:val="27C2A9E7"/>
    <w:rsid w:val="27C2E64F"/>
    <w:rsid w:val="27C4AAB0"/>
    <w:rsid w:val="27C71B11"/>
    <w:rsid w:val="27C7AF00"/>
    <w:rsid w:val="27CD2A0A"/>
    <w:rsid w:val="27CF7F9D"/>
    <w:rsid w:val="27D09DF8"/>
    <w:rsid w:val="27D94628"/>
    <w:rsid w:val="27DB7194"/>
    <w:rsid w:val="27DC9AFD"/>
    <w:rsid w:val="27DF41A8"/>
    <w:rsid w:val="27E0989C"/>
    <w:rsid w:val="27E222DC"/>
    <w:rsid w:val="27E2819D"/>
    <w:rsid w:val="27E28643"/>
    <w:rsid w:val="27E75C5F"/>
    <w:rsid w:val="27E903D6"/>
    <w:rsid w:val="27EAD90E"/>
    <w:rsid w:val="27F12286"/>
    <w:rsid w:val="27F48621"/>
    <w:rsid w:val="27F5E586"/>
    <w:rsid w:val="27FA8E51"/>
    <w:rsid w:val="27FD8D5C"/>
    <w:rsid w:val="27FE394A"/>
    <w:rsid w:val="27FF0B70"/>
    <w:rsid w:val="280244C1"/>
    <w:rsid w:val="280282A9"/>
    <w:rsid w:val="2802F1F8"/>
    <w:rsid w:val="28041E59"/>
    <w:rsid w:val="2804F737"/>
    <w:rsid w:val="2805743B"/>
    <w:rsid w:val="28084A41"/>
    <w:rsid w:val="28085FCA"/>
    <w:rsid w:val="280B2D96"/>
    <w:rsid w:val="280B3828"/>
    <w:rsid w:val="280BCA0D"/>
    <w:rsid w:val="28118F63"/>
    <w:rsid w:val="2816AFCA"/>
    <w:rsid w:val="28184722"/>
    <w:rsid w:val="2818F766"/>
    <w:rsid w:val="2819178A"/>
    <w:rsid w:val="2819C9F3"/>
    <w:rsid w:val="281A7F33"/>
    <w:rsid w:val="281BEA9F"/>
    <w:rsid w:val="281E91BD"/>
    <w:rsid w:val="281F7B8C"/>
    <w:rsid w:val="28217632"/>
    <w:rsid w:val="28220D85"/>
    <w:rsid w:val="2828711E"/>
    <w:rsid w:val="282A5DE3"/>
    <w:rsid w:val="282C549A"/>
    <w:rsid w:val="282FE9D3"/>
    <w:rsid w:val="283167C4"/>
    <w:rsid w:val="2833E4C0"/>
    <w:rsid w:val="28349D52"/>
    <w:rsid w:val="28373BCD"/>
    <w:rsid w:val="2837AB73"/>
    <w:rsid w:val="283C14A6"/>
    <w:rsid w:val="283CAC01"/>
    <w:rsid w:val="283F9472"/>
    <w:rsid w:val="2841E9B6"/>
    <w:rsid w:val="28427413"/>
    <w:rsid w:val="2842A9E9"/>
    <w:rsid w:val="284358DA"/>
    <w:rsid w:val="28436149"/>
    <w:rsid w:val="284575F6"/>
    <w:rsid w:val="2848A04B"/>
    <w:rsid w:val="284ABD82"/>
    <w:rsid w:val="284B848E"/>
    <w:rsid w:val="284BA89E"/>
    <w:rsid w:val="284BB5E7"/>
    <w:rsid w:val="28521683"/>
    <w:rsid w:val="285ADE55"/>
    <w:rsid w:val="285B8E73"/>
    <w:rsid w:val="2862F796"/>
    <w:rsid w:val="2867B40B"/>
    <w:rsid w:val="286800E2"/>
    <w:rsid w:val="2869FB06"/>
    <w:rsid w:val="286A4E3D"/>
    <w:rsid w:val="286AB3B4"/>
    <w:rsid w:val="286BC0B5"/>
    <w:rsid w:val="286D3620"/>
    <w:rsid w:val="28712719"/>
    <w:rsid w:val="28713E10"/>
    <w:rsid w:val="287423FB"/>
    <w:rsid w:val="28752493"/>
    <w:rsid w:val="2876D86C"/>
    <w:rsid w:val="2879409C"/>
    <w:rsid w:val="287C29E8"/>
    <w:rsid w:val="287FD3A5"/>
    <w:rsid w:val="28824732"/>
    <w:rsid w:val="288379F4"/>
    <w:rsid w:val="2885C939"/>
    <w:rsid w:val="2887D8B9"/>
    <w:rsid w:val="288ABF33"/>
    <w:rsid w:val="288E63DC"/>
    <w:rsid w:val="288F1618"/>
    <w:rsid w:val="2892F519"/>
    <w:rsid w:val="28937CA6"/>
    <w:rsid w:val="28982DD6"/>
    <w:rsid w:val="2899D028"/>
    <w:rsid w:val="289B25EC"/>
    <w:rsid w:val="289C2F3B"/>
    <w:rsid w:val="289CAE79"/>
    <w:rsid w:val="28A04A11"/>
    <w:rsid w:val="28A270B3"/>
    <w:rsid w:val="28A31DF1"/>
    <w:rsid w:val="28A3BA92"/>
    <w:rsid w:val="28A46AEA"/>
    <w:rsid w:val="28A4CEF4"/>
    <w:rsid w:val="28A5C4E6"/>
    <w:rsid w:val="28A61186"/>
    <w:rsid w:val="28AC825B"/>
    <w:rsid w:val="28ACA278"/>
    <w:rsid w:val="28AD0CF8"/>
    <w:rsid w:val="28AD79E3"/>
    <w:rsid w:val="28B089C9"/>
    <w:rsid w:val="28B0D0B4"/>
    <w:rsid w:val="28B23DC5"/>
    <w:rsid w:val="28B3526A"/>
    <w:rsid w:val="28B73EE1"/>
    <w:rsid w:val="28BA4EED"/>
    <w:rsid w:val="28BBC749"/>
    <w:rsid w:val="28BE3228"/>
    <w:rsid w:val="28BEF572"/>
    <w:rsid w:val="28C01A6E"/>
    <w:rsid w:val="28C06172"/>
    <w:rsid w:val="28C1C60E"/>
    <w:rsid w:val="28C22359"/>
    <w:rsid w:val="28C2596A"/>
    <w:rsid w:val="28C2CAF9"/>
    <w:rsid w:val="28C3F287"/>
    <w:rsid w:val="28CA8222"/>
    <w:rsid w:val="28CE6ECD"/>
    <w:rsid w:val="28CF2655"/>
    <w:rsid w:val="28CF86CE"/>
    <w:rsid w:val="28D0ECD1"/>
    <w:rsid w:val="28D1FCD0"/>
    <w:rsid w:val="28D3687D"/>
    <w:rsid w:val="28D5C134"/>
    <w:rsid w:val="28D88FFF"/>
    <w:rsid w:val="28D8F76D"/>
    <w:rsid w:val="28D94F35"/>
    <w:rsid w:val="28D96692"/>
    <w:rsid w:val="28DCDF8C"/>
    <w:rsid w:val="28DE1629"/>
    <w:rsid w:val="28E040C2"/>
    <w:rsid w:val="28E06562"/>
    <w:rsid w:val="28E24C4A"/>
    <w:rsid w:val="28E29571"/>
    <w:rsid w:val="28E41911"/>
    <w:rsid w:val="28E67F4E"/>
    <w:rsid w:val="28E6A140"/>
    <w:rsid w:val="28E70389"/>
    <w:rsid w:val="28E70FA5"/>
    <w:rsid w:val="28E7A2D3"/>
    <w:rsid w:val="28E7A896"/>
    <w:rsid w:val="28EBD441"/>
    <w:rsid w:val="28EC5E19"/>
    <w:rsid w:val="28ECF9E3"/>
    <w:rsid w:val="28EEA263"/>
    <w:rsid w:val="28EF56B9"/>
    <w:rsid w:val="28F072DE"/>
    <w:rsid w:val="28F0B66D"/>
    <w:rsid w:val="28F112B9"/>
    <w:rsid w:val="28F45688"/>
    <w:rsid w:val="28F4EBB7"/>
    <w:rsid w:val="28F84ADF"/>
    <w:rsid w:val="28F9DBDF"/>
    <w:rsid w:val="28FB4DD2"/>
    <w:rsid w:val="28FCACE9"/>
    <w:rsid w:val="28FDDEC2"/>
    <w:rsid w:val="28FE950F"/>
    <w:rsid w:val="28FFC116"/>
    <w:rsid w:val="29008195"/>
    <w:rsid w:val="29017171"/>
    <w:rsid w:val="29021F4D"/>
    <w:rsid w:val="2903F131"/>
    <w:rsid w:val="2909EE96"/>
    <w:rsid w:val="290BB515"/>
    <w:rsid w:val="290CF3A7"/>
    <w:rsid w:val="290CF5E9"/>
    <w:rsid w:val="290EBBC2"/>
    <w:rsid w:val="290F2758"/>
    <w:rsid w:val="291043A7"/>
    <w:rsid w:val="2911D020"/>
    <w:rsid w:val="291224ED"/>
    <w:rsid w:val="2914C24F"/>
    <w:rsid w:val="2915BA0A"/>
    <w:rsid w:val="2917279F"/>
    <w:rsid w:val="2917FEC8"/>
    <w:rsid w:val="291C1721"/>
    <w:rsid w:val="291D786A"/>
    <w:rsid w:val="292034D6"/>
    <w:rsid w:val="292470BF"/>
    <w:rsid w:val="2924F26B"/>
    <w:rsid w:val="29251C17"/>
    <w:rsid w:val="2925AF79"/>
    <w:rsid w:val="292A2A6A"/>
    <w:rsid w:val="292D282A"/>
    <w:rsid w:val="292D629B"/>
    <w:rsid w:val="292E35EA"/>
    <w:rsid w:val="292F5EA2"/>
    <w:rsid w:val="2932EE2F"/>
    <w:rsid w:val="2935F28D"/>
    <w:rsid w:val="293788EF"/>
    <w:rsid w:val="29385F53"/>
    <w:rsid w:val="293B3422"/>
    <w:rsid w:val="293C2883"/>
    <w:rsid w:val="293D33FD"/>
    <w:rsid w:val="293E731A"/>
    <w:rsid w:val="29403E88"/>
    <w:rsid w:val="2941775E"/>
    <w:rsid w:val="2941A04B"/>
    <w:rsid w:val="2941C165"/>
    <w:rsid w:val="2944A5A9"/>
    <w:rsid w:val="294795E5"/>
    <w:rsid w:val="29491BEF"/>
    <w:rsid w:val="2949F60A"/>
    <w:rsid w:val="294AF76B"/>
    <w:rsid w:val="294B0EBF"/>
    <w:rsid w:val="294B9475"/>
    <w:rsid w:val="294DDE1A"/>
    <w:rsid w:val="2950E1D6"/>
    <w:rsid w:val="2956EAF8"/>
    <w:rsid w:val="29587C30"/>
    <w:rsid w:val="29588FBF"/>
    <w:rsid w:val="2959228C"/>
    <w:rsid w:val="29595374"/>
    <w:rsid w:val="295C6BAD"/>
    <w:rsid w:val="29606327"/>
    <w:rsid w:val="2961FFD6"/>
    <w:rsid w:val="29634FF2"/>
    <w:rsid w:val="2963A70C"/>
    <w:rsid w:val="2966D83D"/>
    <w:rsid w:val="2967E74C"/>
    <w:rsid w:val="296C1081"/>
    <w:rsid w:val="2971539E"/>
    <w:rsid w:val="297337AF"/>
    <w:rsid w:val="2974C757"/>
    <w:rsid w:val="297622E0"/>
    <w:rsid w:val="29766A8E"/>
    <w:rsid w:val="29774B31"/>
    <w:rsid w:val="297AD8EA"/>
    <w:rsid w:val="297B29DE"/>
    <w:rsid w:val="2981565A"/>
    <w:rsid w:val="2981B0FC"/>
    <w:rsid w:val="29840B98"/>
    <w:rsid w:val="2984498E"/>
    <w:rsid w:val="29870931"/>
    <w:rsid w:val="29883567"/>
    <w:rsid w:val="298981F3"/>
    <w:rsid w:val="298A98FB"/>
    <w:rsid w:val="298EF19E"/>
    <w:rsid w:val="299923AC"/>
    <w:rsid w:val="299A31FD"/>
    <w:rsid w:val="299B350E"/>
    <w:rsid w:val="299D2CFE"/>
    <w:rsid w:val="29A122A7"/>
    <w:rsid w:val="29A13F2A"/>
    <w:rsid w:val="29A21015"/>
    <w:rsid w:val="29A306CE"/>
    <w:rsid w:val="29A383E7"/>
    <w:rsid w:val="29AD8DE7"/>
    <w:rsid w:val="29B08F3B"/>
    <w:rsid w:val="29B0E1BB"/>
    <w:rsid w:val="29B2089E"/>
    <w:rsid w:val="29B2D15E"/>
    <w:rsid w:val="29B455B8"/>
    <w:rsid w:val="29B50114"/>
    <w:rsid w:val="29BC0657"/>
    <w:rsid w:val="29BD7401"/>
    <w:rsid w:val="29BDDD52"/>
    <w:rsid w:val="29C2075D"/>
    <w:rsid w:val="29C28C7F"/>
    <w:rsid w:val="29C71A8F"/>
    <w:rsid w:val="29CA5751"/>
    <w:rsid w:val="29CD1CEC"/>
    <w:rsid w:val="29CDDADB"/>
    <w:rsid w:val="29CEA02F"/>
    <w:rsid w:val="29D426EA"/>
    <w:rsid w:val="29D4BAB1"/>
    <w:rsid w:val="29D6E670"/>
    <w:rsid w:val="29DC516C"/>
    <w:rsid w:val="29DDBF94"/>
    <w:rsid w:val="29DE2554"/>
    <w:rsid w:val="29E10759"/>
    <w:rsid w:val="29E1E22F"/>
    <w:rsid w:val="29E4813C"/>
    <w:rsid w:val="29EB8886"/>
    <w:rsid w:val="29EF3B28"/>
    <w:rsid w:val="29EF9BB8"/>
    <w:rsid w:val="29F0EA37"/>
    <w:rsid w:val="29F21BD9"/>
    <w:rsid w:val="29F2BBF9"/>
    <w:rsid w:val="29F449C2"/>
    <w:rsid w:val="29FCB3FB"/>
    <w:rsid w:val="29FCD3BC"/>
    <w:rsid w:val="29FDCAB5"/>
    <w:rsid w:val="2A0358DD"/>
    <w:rsid w:val="2A05C1D1"/>
    <w:rsid w:val="2A06F329"/>
    <w:rsid w:val="2A07DB59"/>
    <w:rsid w:val="2A0A06A2"/>
    <w:rsid w:val="2A0ABE3F"/>
    <w:rsid w:val="2A0AF461"/>
    <w:rsid w:val="2A0B57B6"/>
    <w:rsid w:val="2A0DA9AF"/>
    <w:rsid w:val="2A0FF45C"/>
    <w:rsid w:val="2A0FF945"/>
    <w:rsid w:val="2A103317"/>
    <w:rsid w:val="2A11FAFD"/>
    <w:rsid w:val="2A13D52C"/>
    <w:rsid w:val="2A142550"/>
    <w:rsid w:val="2A16F3FF"/>
    <w:rsid w:val="2A16F83F"/>
    <w:rsid w:val="2A173F84"/>
    <w:rsid w:val="2A18EE54"/>
    <w:rsid w:val="2A1D0279"/>
    <w:rsid w:val="2A1EF726"/>
    <w:rsid w:val="2A247BC0"/>
    <w:rsid w:val="2A268CF4"/>
    <w:rsid w:val="2A2822C7"/>
    <w:rsid w:val="2A2AE994"/>
    <w:rsid w:val="2A2AF231"/>
    <w:rsid w:val="2A2B1131"/>
    <w:rsid w:val="2A2E4108"/>
    <w:rsid w:val="2A324E5A"/>
    <w:rsid w:val="2A32F07D"/>
    <w:rsid w:val="2A365F8D"/>
    <w:rsid w:val="2A3674EF"/>
    <w:rsid w:val="2A370D63"/>
    <w:rsid w:val="2A38A871"/>
    <w:rsid w:val="2A3903EA"/>
    <w:rsid w:val="2A3ACB53"/>
    <w:rsid w:val="2A3B57EA"/>
    <w:rsid w:val="2A3C4514"/>
    <w:rsid w:val="2A3E45FC"/>
    <w:rsid w:val="2A3EC0F6"/>
    <w:rsid w:val="2A41B00F"/>
    <w:rsid w:val="2A421F70"/>
    <w:rsid w:val="2A4323B2"/>
    <w:rsid w:val="2A477C68"/>
    <w:rsid w:val="2A500113"/>
    <w:rsid w:val="2A51BC75"/>
    <w:rsid w:val="2A53FFFC"/>
    <w:rsid w:val="2A55128D"/>
    <w:rsid w:val="2A5EFE85"/>
    <w:rsid w:val="2A5F6465"/>
    <w:rsid w:val="2A65043D"/>
    <w:rsid w:val="2A67423C"/>
    <w:rsid w:val="2A68EC3D"/>
    <w:rsid w:val="2A6A91AD"/>
    <w:rsid w:val="2A6B2EB8"/>
    <w:rsid w:val="2A6B420B"/>
    <w:rsid w:val="2A73C142"/>
    <w:rsid w:val="2A73D318"/>
    <w:rsid w:val="2A787089"/>
    <w:rsid w:val="2A78F384"/>
    <w:rsid w:val="2A79FC7A"/>
    <w:rsid w:val="2A7AB30B"/>
    <w:rsid w:val="2A7B419B"/>
    <w:rsid w:val="2A7BD457"/>
    <w:rsid w:val="2A7E7C9C"/>
    <w:rsid w:val="2A7EEBBE"/>
    <w:rsid w:val="2A8246B6"/>
    <w:rsid w:val="2A83AF56"/>
    <w:rsid w:val="2A8AF2C7"/>
    <w:rsid w:val="2A8B7668"/>
    <w:rsid w:val="2A8C433F"/>
    <w:rsid w:val="2A8CE172"/>
    <w:rsid w:val="2A8D0F2E"/>
    <w:rsid w:val="2A8D4DA3"/>
    <w:rsid w:val="2A8E887D"/>
    <w:rsid w:val="2A8EA18A"/>
    <w:rsid w:val="2A941A33"/>
    <w:rsid w:val="2A9671B0"/>
    <w:rsid w:val="2A971497"/>
    <w:rsid w:val="2A97A8D7"/>
    <w:rsid w:val="2A9808DE"/>
    <w:rsid w:val="2A99BC5F"/>
    <w:rsid w:val="2A9C3007"/>
    <w:rsid w:val="2A9E1A4C"/>
    <w:rsid w:val="2A9F9247"/>
    <w:rsid w:val="2AA0CAE0"/>
    <w:rsid w:val="2AA19292"/>
    <w:rsid w:val="2AA1AB97"/>
    <w:rsid w:val="2AA2F682"/>
    <w:rsid w:val="2AA32661"/>
    <w:rsid w:val="2AA58916"/>
    <w:rsid w:val="2AAABD6F"/>
    <w:rsid w:val="2AAEA0CF"/>
    <w:rsid w:val="2AB26A65"/>
    <w:rsid w:val="2AB30FAA"/>
    <w:rsid w:val="2AB93DC0"/>
    <w:rsid w:val="2AB959FA"/>
    <w:rsid w:val="2AB9CFFF"/>
    <w:rsid w:val="2ABA6F84"/>
    <w:rsid w:val="2ABA84EA"/>
    <w:rsid w:val="2ABDB14F"/>
    <w:rsid w:val="2ABE4AFD"/>
    <w:rsid w:val="2AC36A72"/>
    <w:rsid w:val="2AC46A4B"/>
    <w:rsid w:val="2AC48FB1"/>
    <w:rsid w:val="2AC7B57D"/>
    <w:rsid w:val="2AC857F9"/>
    <w:rsid w:val="2ACEF62B"/>
    <w:rsid w:val="2AD0EE5A"/>
    <w:rsid w:val="2AD53EB7"/>
    <w:rsid w:val="2AD6139F"/>
    <w:rsid w:val="2ADB6E60"/>
    <w:rsid w:val="2ADDBB8F"/>
    <w:rsid w:val="2ADE0EC4"/>
    <w:rsid w:val="2AE42E7C"/>
    <w:rsid w:val="2AE4D25F"/>
    <w:rsid w:val="2AE5CF6D"/>
    <w:rsid w:val="2AE7323E"/>
    <w:rsid w:val="2AE84AF9"/>
    <w:rsid w:val="2AE8EDDB"/>
    <w:rsid w:val="2AE91368"/>
    <w:rsid w:val="2AE95DE4"/>
    <w:rsid w:val="2AEAECAE"/>
    <w:rsid w:val="2AEB72AE"/>
    <w:rsid w:val="2AEDAD1A"/>
    <w:rsid w:val="2AEE91AD"/>
    <w:rsid w:val="2AEF7920"/>
    <w:rsid w:val="2AEFA465"/>
    <w:rsid w:val="2AF15F6C"/>
    <w:rsid w:val="2AF27376"/>
    <w:rsid w:val="2AF55491"/>
    <w:rsid w:val="2AF5CE83"/>
    <w:rsid w:val="2AF6CD04"/>
    <w:rsid w:val="2AF7247D"/>
    <w:rsid w:val="2AF7643B"/>
    <w:rsid w:val="2AFA283C"/>
    <w:rsid w:val="2AFE810D"/>
    <w:rsid w:val="2AFFA5B5"/>
    <w:rsid w:val="2B0228E9"/>
    <w:rsid w:val="2B0395D4"/>
    <w:rsid w:val="2B0690CA"/>
    <w:rsid w:val="2B07138F"/>
    <w:rsid w:val="2B084EFD"/>
    <w:rsid w:val="2B0AEBC1"/>
    <w:rsid w:val="2B0C1699"/>
    <w:rsid w:val="2B0D90F6"/>
    <w:rsid w:val="2B0DB6FF"/>
    <w:rsid w:val="2B0DDF00"/>
    <w:rsid w:val="2B0E86E1"/>
    <w:rsid w:val="2B0FE033"/>
    <w:rsid w:val="2B10355D"/>
    <w:rsid w:val="2B11602F"/>
    <w:rsid w:val="2B15B099"/>
    <w:rsid w:val="2B16F0C6"/>
    <w:rsid w:val="2B19412F"/>
    <w:rsid w:val="2B19C40C"/>
    <w:rsid w:val="2B1ACAC5"/>
    <w:rsid w:val="2B1BC954"/>
    <w:rsid w:val="2B1D7DFE"/>
    <w:rsid w:val="2B210083"/>
    <w:rsid w:val="2B2152D3"/>
    <w:rsid w:val="2B238342"/>
    <w:rsid w:val="2B2434A3"/>
    <w:rsid w:val="2B266762"/>
    <w:rsid w:val="2B27E638"/>
    <w:rsid w:val="2B2834A6"/>
    <w:rsid w:val="2B29BDCE"/>
    <w:rsid w:val="2B2AAAE8"/>
    <w:rsid w:val="2B2ABE19"/>
    <w:rsid w:val="2B2EDFDC"/>
    <w:rsid w:val="2B321ADE"/>
    <w:rsid w:val="2B338BE7"/>
    <w:rsid w:val="2B356485"/>
    <w:rsid w:val="2B3BCA0A"/>
    <w:rsid w:val="2B3DB971"/>
    <w:rsid w:val="2B3F6B02"/>
    <w:rsid w:val="2B44BD69"/>
    <w:rsid w:val="2B454954"/>
    <w:rsid w:val="2B45AA68"/>
    <w:rsid w:val="2B47A2CC"/>
    <w:rsid w:val="2B47C774"/>
    <w:rsid w:val="2B4C4087"/>
    <w:rsid w:val="2B4EF451"/>
    <w:rsid w:val="2B51900E"/>
    <w:rsid w:val="2B51ED2E"/>
    <w:rsid w:val="2B5435AF"/>
    <w:rsid w:val="2B59047D"/>
    <w:rsid w:val="2B5978BF"/>
    <w:rsid w:val="2B5B1A87"/>
    <w:rsid w:val="2B5C1878"/>
    <w:rsid w:val="2B5C67C9"/>
    <w:rsid w:val="2B5CD629"/>
    <w:rsid w:val="2B5D010F"/>
    <w:rsid w:val="2B5FB73F"/>
    <w:rsid w:val="2B619382"/>
    <w:rsid w:val="2B629635"/>
    <w:rsid w:val="2B64B213"/>
    <w:rsid w:val="2B650187"/>
    <w:rsid w:val="2B652BD6"/>
    <w:rsid w:val="2B652CC6"/>
    <w:rsid w:val="2B66017C"/>
    <w:rsid w:val="2B6650DE"/>
    <w:rsid w:val="2B68409F"/>
    <w:rsid w:val="2B6BCDBB"/>
    <w:rsid w:val="2B6C2E69"/>
    <w:rsid w:val="2B6F9815"/>
    <w:rsid w:val="2B6FB0C6"/>
    <w:rsid w:val="2B719CCA"/>
    <w:rsid w:val="2B71EA79"/>
    <w:rsid w:val="2B72EF1F"/>
    <w:rsid w:val="2B75038C"/>
    <w:rsid w:val="2B76A0D8"/>
    <w:rsid w:val="2B77780F"/>
    <w:rsid w:val="2B77C7D3"/>
    <w:rsid w:val="2B7BE323"/>
    <w:rsid w:val="2B7F5F64"/>
    <w:rsid w:val="2B863314"/>
    <w:rsid w:val="2B86DE40"/>
    <w:rsid w:val="2B883006"/>
    <w:rsid w:val="2B8C87DE"/>
    <w:rsid w:val="2B8E0E9E"/>
    <w:rsid w:val="2B8EC88A"/>
    <w:rsid w:val="2B8F28E4"/>
    <w:rsid w:val="2B91E26A"/>
    <w:rsid w:val="2B92112E"/>
    <w:rsid w:val="2B9351DE"/>
    <w:rsid w:val="2B96258E"/>
    <w:rsid w:val="2B9A9F2F"/>
    <w:rsid w:val="2B9AE0A1"/>
    <w:rsid w:val="2B9C7B66"/>
    <w:rsid w:val="2B9E107F"/>
    <w:rsid w:val="2B9E5EB7"/>
    <w:rsid w:val="2B9FEF31"/>
    <w:rsid w:val="2BA0FDBD"/>
    <w:rsid w:val="2BA4D9C0"/>
    <w:rsid w:val="2BA582D8"/>
    <w:rsid w:val="2BAA2BDB"/>
    <w:rsid w:val="2BAA76B1"/>
    <w:rsid w:val="2BAB72EA"/>
    <w:rsid w:val="2BAD4391"/>
    <w:rsid w:val="2BAD89B6"/>
    <w:rsid w:val="2BAE892A"/>
    <w:rsid w:val="2BAEDACC"/>
    <w:rsid w:val="2BB1A560"/>
    <w:rsid w:val="2BB1FF80"/>
    <w:rsid w:val="2BB4963C"/>
    <w:rsid w:val="2BBB1448"/>
    <w:rsid w:val="2BBCB251"/>
    <w:rsid w:val="2BBFE1AC"/>
    <w:rsid w:val="2BC70C93"/>
    <w:rsid w:val="2BCAA0D0"/>
    <w:rsid w:val="2BCB2AA1"/>
    <w:rsid w:val="2BCC5F56"/>
    <w:rsid w:val="2BD372E4"/>
    <w:rsid w:val="2BD3BC99"/>
    <w:rsid w:val="2BD6FE0B"/>
    <w:rsid w:val="2BDDA6A0"/>
    <w:rsid w:val="2BDE1202"/>
    <w:rsid w:val="2BDEDDE4"/>
    <w:rsid w:val="2BDEEC53"/>
    <w:rsid w:val="2BE015EC"/>
    <w:rsid w:val="2BE035AC"/>
    <w:rsid w:val="2BE43E96"/>
    <w:rsid w:val="2BE44BCB"/>
    <w:rsid w:val="2BE54EDA"/>
    <w:rsid w:val="2BE7814A"/>
    <w:rsid w:val="2BE8D8C7"/>
    <w:rsid w:val="2BE8FC3D"/>
    <w:rsid w:val="2BEAD5F7"/>
    <w:rsid w:val="2BEC233F"/>
    <w:rsid w:val="2BF3B112"/>
    <w:rsid w:val="2BF9EFF0"/>
    <w:rsid w:val="2BFAE906"/>
    <w:rsid w:val="2BFDD912"/>
    <w:rsid w:val="2C00DB01"/>
    <w:rsid w:val="2C060C0D"/>
    <w:rsid w:val="2C0972DD"/>
    <w:rsid w:val="2C0A1C8B"/>
    <w:rsid w:val="2C0A86CA"/>
    <w:rsid w:val="2C0ABAD0"/>
    <w:rsid w:val="2C0B1AEC"/>
    <w:rsid w:val="2C0B9711"/>
    <w:rsid w:val="2C0C8D0C"/>
    <w:rsid w:val="2C0DD0F3"/>
    <w:rsid w:val="2C11B6CF"/>
    <w:rsid w:val="2C12EEB9"/>
    <w:rsid w:val="2C1574C0"/>
    <w:rsid w:val="2C1B30E6"/>
    <w:rsid w:val="2C1B4B31"/>
    <w:rsid w:val="2C1CA411"/>
    <w:rsid w:val="2C1D3C78"/>
    <w:rsid w:val="2C20CA27"/>
    <w:rsid w:val="2C2373E9"/>
    <w:rsid w:val="2C2AE3F2"/>
    <w:rsid w:val="2C2BB830"/>
    <w:rsid w:val="2C2C4D9E"/>
    <w:rsid w:val="2C2CD6A3"/>
    <w:rsid w:val="2C2D759E"/>
    <w:rsid w:val="2C2DAD84"/>
    <w:rsid w:val="2C2DD4A9"/>
    <w:rsid w:val="2C313EBC"/>
    <w:rsid w:val="2C316447"/>
    <w:rsid w:val="2C3566F8"/>
    <w:rsid w:val="2C3584F3"/>
    <w:rsid w:val="2C382088"/>
    <w:rsid w:val="2C3C23EB"/>
    <w:rsid w:val="2C3D2148"/>
    <w:rsid w:val="2C3DA5BF"/>
    <w:rsid w:val="2C40336C"/>
    <w:rsid w:val="2C42F897"/>
    <w:rsid w:val="2C4446DF"/>
    <w:rsid w:val="2C44C544"/>
    <w:rsid w:val="2C457490"/>
    <w:rsid w:val="2C470327"/>
    <w:rsid w:val="2C48EBA5"/>
    <w:rsid w:val="2C4941CF"/>
    <w:rsid w:val="2C4B055D"/>
    <w:rsid w:val="2C4B0BD1"/>
    <w:rsid w:val="2C4CB504"/>
    <w:rsid w:val="2C4D9DD7"/>
    <w:rsid w:val="2C4EE38C"/>
    <w:rsid w:val="2C515091"/>
    <w:rsid w:val="2C515C79"/>
    <w:rsid w:val="2C54F24A"/>
    <w:rsid w:val="2C54FFD2"/>
    <w:rsid w:val="2C5702E8"/>
    <w:rsid w:val="2C598EF5"/>
    <w:rsid w:val="2C66E300"/>
    <w:rsid w:val="2C677BB3"/>
    <w:rsid w:val="2C6854A5"/>
    <w:rsid w:val="2C6A653C"/>
    <w:rsid w:val="2C6D87BF"/>
    <w:rsid w:val="2C6F3CEC"/>
    <w:rsid w:val="2C70DBDA"/>
    <w:rsid w:val="2C714FA8"/>
    <w:rsid w:val="2C71705A"/>
    <w:rsid w:val="2C71A1B9"/>
    <w:rsid w:val="2C75789F"/>
    <w:rsid w:val="2C7A4CB1"/>
    <w:rsid w:val="2C7C3E6F"/>
    <w:rsid w:val="2C7F3BDB"/>
    <w:rsid w:val="2C802B3F"/>
    <w:rsid w:val="2C802C1C"/>
    <w:rsid w:val="2C82D6DC"/>
    <w:rsid w:val="2C852942"/>
    <w:rsid w:val="2C863F4D"/>
    <w:rsid w:val="2C86EE19"/>
    <w:rsid w:val="2C870556"/>
    <w:rsid w:val="2C93632A"/>
    <w:rsid w:val="2C9407AC"/>
    <w:rsid w:val="2C94607A"/>
    <w:rsid w:val="2C963571"/>
    <w:rsid w:val="2C971C57"/>
    <w:rsid w:val="2C9BB9E0"/>
    <w:rsid w:val="2C9D1AA2"/>
    <w:rsid w:val="2C9E184F"/>
    <w:rsid w:val="2C9F749F"/>
    <w:rsid w:val="2C9FF536"/>
    <w:rsid w:val="2CA0528E"/>
    <w:rsid w:val="2CA07AB0"/>
    <w:rsid w:val="2CA17940"/>
    <w:rsid w:val="2CA2250F"/>
    <w:rsid w:val="2CA377F8"/>
    <w:rsid w:val="2CA744ED"/>
    <w:rsid w:val="2CA7EBE2"/>
    <w:rsid w:val="2CA7FD28"/>
    <w:rsid w:val="2CA95A41"/>
    <w:rsid w:val="2CA96114"/>
    <w:rsid w:val="2CABBCDE"/>
    <w:rsid w:val="2CAC844D"/>
    <w:rsid w:val="2CB045EA"/>
    <w:rsid w:val="2CB09172"/>
    <w:rsid w:val="2CB0B0C0"/>
    <w:rsid w:val="2CB20565"/>
    <w:rsid w:val="2CB22BBF"/>
    <w:rsid w:val="2CB3A502"/>
    <w:rsid w:val="2CB4239E"/>
    <w:rsid w:val="2CB6E866"/>
    <w:rsid w:val="2CB7869A"/>
    <w:rsid w:val="2CB9B8AA"/>
    <w:rsid w:val="2CBD947F"/>
    <w:rsid w:val="2CBE29C6"/>
    <w:rsid w:val="2CC08CCC"/>
    <w:rsid w:val="2CC0C06B"/>
    <w:rsid w:val="2CC11DBF"/>
    <w:rsid w:val="2CC35C24"/>
    <w:rsid w:val="2CC63A9E"/>
    <w:rsid w:val="2CC70C0E"/>
    <w:rsid w:val="2CCD2527"/>
    <w:rsid w:val="2CCFB35E"/>
    <w:rsid w:val="2CD3EC05"/>
    <w:rsid w:val="2CD57CED"/>
    <w:rsid w:val="2CD6778C"/>
    <w:rsid w:val="2CDB2126"/>
    <w:rsid w:val="2CDD4BBE"/>
    <w:rsid w:val="2CDF92B5"/>
    <w:rsid w:val="2CE1BEF9"/>
    <w:rsid w:val="2CE23367"/>
    <w:rsid w:val="2CE29758"/>
    <w:rsid w:val="2CE3890A"/>
    <w:rsid w:val="2CE587B4"/>
    <w:rsid w:val="2CE82652"/>
    <w:rsid w:val="2CE89699"/>
    <w:rsid w:val="2CEA1990"/>
    <w:rsid w:val="2CEB2361"/>
    <w:rsid w:val="2CEC4026"/>
    <w:rsid w:val="2CEE2684"/>
    <w:rsid w:val="2CF07E9A"/>
    <w:rsid w:val="2CF26E07"/>
    <w:rsid w:val="2CF3ED34"/>
    <w:rsid w:val="2CF44378"/>
    <w:rsid w:val="2CF61EB7"/>
    <w:rsid w:val="2CF64252"/>
    <w:rsid w:val="2CF7F52F"/>
    <w:rsid w:val="2CFB835E"/>
    <w:rsid w:val="2CFBBF75"/>
    <w:rsid w:val="2CFCD6B4"/>
    <w:rsid w:val="2CFDA423"/>
    <w:rsid w:val="2CFEE9E2"/>
    <w:rsid w:val="2CFFBEBC"/>
    <w:rsid w:val="2D00A26E"/>
    <w:rsid w:val="2D00CD8C"/>
    <w:rsid w:val="2D04D432"/>
    <w:rsid w:val="2D05095C"/>
    <w:rsid w:val="2D0B1EAA"/>
    <w:rsid w:val="2D0B3888"/>
    <w:rsid w:val="2D0BCC1B"/>
    <w:rsid w:val="2D0CC262"/>
    <w:rsid w:val="2D0E26B9"/>
    <w:rsid w:val="2D0F9FF4"/>
    <w:rsid w:val="2D1131D7"/>
    <w:rsid w:val="2D1204F5"/>
    <w:rsid w:val="2D1216EA"/>
    <w:rsid w:val="2D164AEA"/>
    <w:rsid w:val="2D173FCA"/>
    <w:rsid w:val="2D19A873"/>
    <w:rsid w:val="2D1AB426"/>
    <w:rsid w:val="2D1D5A07"/>
    <w:rsid w:val="2D1D81FB"/>
    <w:rsid w:val="2D1E09AC"/>
    <w:rsid w:val="2D1E0D1C"/>
    <w:rsid w:val="2D25E11B"/>
    <w:rsid w:val="2D25FAA2"/>
    <w:rsid w:val="2D280A16"/>
    <w:rsid w:val="2D285741"/>
    <w:rsid w:val="2D2A6134"/>
    <w:rsid w:val="2D2C476C"/>
    <w:rsid w:val="2D2D4BA6"/>
    <w:rsid w:val="2D2DF59F"/>
    <w:rsid w:val="2D34EF60"/>
    <w:rsid w:val="2D351F4E"/>
    <w:rsid w:val="2D3A17D1"/>
    <w:rsid w:val="2D3C5C0D"/>
    <w:rsid w:val="2D3C5F47"/>
    <w:rsid w:val="2D3D36CD"/>
    <w:rsid w:val="2D40F0FE"/>
    <w:rsid w:val="2D430C48"/>
    <w:rsid w:val="2D45B4CA"/>
    <w:rsid w:val="2D46A852"/>
    <w:rsid w:val="2D4AC4B1"/>
    <w:rsid w:val="2D4AD231"/>
    <w:rsid w:val="2D4B4CAD"/>
    <w:rsid w:val="2D4B727E"/>
    <w:rsid w:val="2D4B7E4E"/>
    <w:rsid w:val="2D4D36BF"/>
    <w:rsid w:val="2D505E9A"/>
    <w:rsid w:val="2D583B5E"/>
    <w:rsid w:val="2D5A4E40"/>
    <w:rsid w:val="2D5AAAE5"/>
    <w:rsid w:val="2D5AF76A"/>
    <w:rsid w:val="2D5ECA80"/>
    <w:rsid w:val="2D5FD96D"/>
    <w:rsid w:val="2D62443D"/>
    <w:rsid w:val="2D6281C1"/>
    <w:rsid w:val="2D62E765"/>
    <w:rsid w:val="2D63A069"/>
    <w:rsid w:val="2D6457E9"/>
    <w:rsid w:val="2D6D2E40"/>
    <w:rsid w:val="2D6DC2D1"/>
    <w:rsid w:val="2D6E7920"/>
    <w:rsid w:val="2D70322A"/>
    <w:rsid w:val="2D71B8E2"/>
    <w:rsid w:val="2D71CA64"/>
    <w:rsid w:val="2D75FA43"/>
    <w:rsid w:val="2D764722"/>
    <w:rsid w:val="2D7A2451"/>
    <w:rsid w:val="2D7D0050"/>
    <w:rsid w:val="2D7E3AF8"/>
    <w:rsid w:val="2D822455"/>
    <w:rsid w:val="2D839C23"/>
    <w:rsid w:val="2D8719AA"/>
    <w:rsid w:val="2D8A7B2B"/>
    <w:rsid w:val="2D8B6AD8"/>
    <w:rsid w:val="2D8D3156"/>
    <w:rsid w:val="2D8E02B8"/>
    <w:rsid w:val="2D94897E"/>
    <w:rsid w:val="2D95D0C7"/>
    <w:rsid w:val="2D95D95E"/>
    <w:rsid w:val="2D976D57"/>
    <w:rsid w:val="2D9E03B9"/>
    <w:rsid w:val="2D9FA479"/>
    <w:rsid w:val="2DA18A54"/>
    <w:rsid w:val="2DA52F9A"/>
    <w:rsid w:val="2DA7DB27"/>
    <w:rsid w:val="2DA8561C"/>
    <w:rsid w:val="2DA91E1E"/>
    <w:rsid w:val="2DAA8393"/>
    <w:rsid w:val="2DABADCA"/>
    <w:rsid w:val="2DAD2AC9"/>
    <w:rsid w:val="2DAD9860"/>
    <w:rsid w:val="2DAEC081"/>
    <w:rsid w:val="2DAF2251"/>
    <w:rsid w:val="2DAF8E4C"/>
    <w:rsid w:val="2DB31829"/>
    <w:rsid w:val="2DBB73C2"/>
    <w:rsid w:val="2DBCC632"/>
    <w:rsid w:val="2DBCCC56"/>
    <w:rsid w:val="2DC1F148"/>
    <w:rsid w:val="2DC8418F"/>
    <w:rsid w:val="2DC85D80"/>
    <w:rsid w:val="2DCA2019"/>
    <w:rsid w:val="2DCD1556"/>
    <w:rsid w:val="2DCD733F"/>
    <w:rsid w:val="2DD04432"/>
    <w:rsid w:val="2DD1196A"/>
    <w:rsid w:val="2DD44AA9"/>
    <w:rsid w:val="2DD675E8"/>
    <w:rsid w:val="2DD6F885"/>
    <w:rsid w:val="2DD81593"/>
    <w:rsid w:val="2DD8E7E9"/>
    <w:rsid w:val="2DDE4AD4"/>
    <w:rsid w:val="2DDF20E6"/>
    <w:rsid w:val="2DE2BAAA"/>
    <w:rsid w:val="2DE3C4A3"/>
    <w:rsid w:val="2DE3E980"/>
    <w:rsid w:val="2DE470C2"/>
    <w:rsid w:val="2DE495C4"/>
    <w:rsid w:val="2DE6755F"/>
    <w:rsid w:val="2DE77543"/>
    <w:rsid w:val="2DEA27AE"/>
    <w:rsid w:val="2DEA44AB"/>
    <w:rsid w:val="2DEAEE31"/>
    <w:rsid w:val="2DEBF879"/>
    <w:rsid w:val="2DEC2563"/>
    <w:rsid w:val="2DECAD90"/>
    <w:rsid w:val="2DEDAB77"/>
    <w:rsid w:val="2DF1BDEB"/>
    <w:rsid w:val="2DF1D985"/>
    <w:rsid w:val="2DF2C6FC"/>
    <w:rsid w:val="2DF321AE"/>
    <w:rsid w:val="2DF3F8AA"/>
    <w:rsid w:val="2DF47472"/>
    <w:rsid w:val="2DF9D03B"/>
    <w:rsid w:val="2E00ED70"/>
    <w:rsid w:val="2E03AB21"/>
    <w:rsid w:val="2E04D321"/>
    <w:rsid w:val="2E04EFA0"/>
    <w:rsid w:val="2E07515D"/>
    <w:rsid w:val="2E0A1AF0"/>
    <w:rsid w:val="2E118BF9"/>
    <w:rsid w:val="2E1380EA"/>
    <w:rsid w:val="2E15D928"/>
    <w:rsid w:val="2E15DFB5"/>
    <w:rsid w:val="2E1BEFDE"/>
    <w:rsid w:val="2E1C048E"/>
    <w:rsid w:val="2E1D3C3F"/>
    <w:rsid w:val="2E203AF5"/>
    <w:rsid w:val="2E204928"/>
    <w:rsid w:val="2E22CDAA"/>
    <w:rsid w:val="2E24F3D0"/>
    <w:rsid w:val="2E25B878"/>
    <w:rsid w:val="2E268492"/>
    <w:rsid w:val="2E2F4A88"/>
    <w:rsid w:val="2E318A37"/>
    <w:rsid w:val="2E38082C"/>
    <w:rsid w:val="2E390FCA"/>
    <w:rsid w:val="2E3B6725"/>
    <w:rsid w:val="2E3CFF00"/>
    <w:rsid w:val="2E3E3E14"/>
    <w:rsid w:val="2E41DA55"/>
    <w:rsid w:val="2E45F623"/>
    <w:rsid w:val="2E4674CC"/>
    <w:rsid w:val="2E478C77"/>
    <w:rsid w:val="2E482022"/>
    <w:rsid w:val="2E491AFC"/>
    <w:rsid w:val="2E4C71EF"/>
    <w:rsid w:val="2E4DE398"/>
    <w:rsid w:val="2E50A6C5"/>
    <w:rsid w:val="2E529EDC"/>
    <w:rsid w:val="2E548CEC"/>
    <w:rsid w:val="2E54F2A8"/>
    <w:rsid w:val="2E586E6E"/>
    <w:rsid w:val="2E5A9E80"/>
    <w:rsid w:val="2E5ACECD"/>
    <w:rsid w:val="2E5F8B6A"/>
    <w:rsid w:val="2E5FDE5D"/>
    <w:rsid w:val="2E61A40C"/>
    <w:rsid w:val="2E63DC52"/>
    <w:rsid w:val="2E6655A4"/>
    <w:rsid w:val="2E6A825F"/>
    <w:rsid w:val="2E6A9901"/>
    <w:rsid w:val="2E6C46EE"/>
    <w:rsid w:val="2E6C55DA"/>
    <w:rsid w:val="2E6DF235"/>
    <w:rsid w:val="2E6FB49F"/>
    <w:rsid w:val="2E711636"/>
    <w:rsid w:val="2E73EBD2"/>
    <w:rsid w:val="2E747060"/>
    <w:rsid w:val="2E74D453"/>
    <w:rsid w:val="2E758A5D"/>
    <w:rsid w:val="2E7A6D9D"/>
    <w:rsid w:val="2E7B6B54"/>
    <w:rsid w:val="2E7E2F7C"/>
    <w:rsid w:val="2E7F63F1"/>
    <w:rsid w:val="2E7F7FFB"/>
    <w:rsid w:val="2E7F9E33"/>
    <w:rsid w:val="2E7FADAF"/>
    <w:rsid w:val="2E7FCA30"/>
    <w:rsid w:val="2E8258BF"/>
    <w:rsid w:val="2E82C9DA"/>
    <w:rsid w:val="2E860C79"/>
    <w:rsid w:val="2E886A7D"/>
    <w:rsid w:val="2E8C5140"/>
    <w:rsid w:val="2E8D9CD9"/>
    <w:rsid w:val="2E90980A"/>
    <w:rsid w:val="2E90B31E"/>
    <w:rsid w:val="2E948C64"/>
    <w:rsid w:val="2E9520A5"/>
    <w:rsid w:val="2E972C25"/>
    <w:rsid w:val="2E9770B9"/>
    <w:rsid w:val="2E9D629A"/>
    <w:rsid w:val="2EA3B619"/>
    <w:rsid w:val="2EA4C261"/>
    <w:rsid w:val="2EAA0075"/>
    <w:rsid w:val="2EAA09B7"/>
    <w:rsid w:val="2EABF7B7"/>
    <w:rsid w:val="2EAC57FB"/>
    <w:rsid w:val="2EAEBAF1"/>
    <w:rsid w:val="2EB0A126"/>
    <w:rsid w:val="2EB107FE"/>
    <w:rsid w:val="2EB2AE53"/>
    <w:rsid w:val="2EB30CE5"/>
    <w:rsid w:val="2EB34017"/>
    <w:rsid w:val="2EB63DDE"/>
    <w:rsid w:val="2EB89C1D"/>
    <w:rsid w:val="2EB8F470"/>
    <w:rsid w:val="2EB9E91E"/>
    <w:rsid w:val="2EBB0CBE"/>
    <w:rsid w:val="2EBB1DC2"/>
    <w:rsid w:val="2EC0515C"/>
    <w:rsid w:val="2EC31B7A"/>
    <w:rsid w:val="2EC420CE"/>
    <w:rsid w:val="2EC45245"/>
    <w:rsid w:val="2EC795DA"/>
    <w:rsid w:val="2ED065D5"/>
    <w:rsid w:val="2ED2359F"/>
    <w:rsid w:val="2ED24077"/>
    <w:rsid w:val="2ED5CB59"/>
    <w:rsid w:val="2ED75903"/>
    <w:rsid w:val="2ED84B2F"/>
    <w:rsid w:val="2EDAA164"/>
    <w:rsid w:val="2EDC6977"/>
    <w:rsid w:val="2EDE5F76"/>
    <w:rsid w:val="2EE53F07"/>
    <w:rsid w:val="2EE64AE1"/>
    <w:rsid w:val="2EE82915"/>
    <w:rsid w:val="2EE87A53"/>
    <w:rsid w:val="2EE8C452"/>
    <w:rsid w:val="2EEA1058"/>
    <w:rsid w:val="2EEAB1AC"/>
    <w:rsid w:val="2EEB22BC"/>
    <w:rsid w:val="2EEC3644"/>
    <w:rsid w:val="2EEC70DD"/>
    <w:rsid w:val="2EED318C"/>
    <w:rsid w:val="2EEF1529"/>
    <w:rsid w:val="2EEF15F2"/>
    <w:rsid w:val="2EF0602B"/>
    <w:rsid w:val="2EF17A18"/>
    <w:rsid w:val="2EF1D833"/>
    <w:rsid w:val="2EF34D24"/>
    <w:rsid w:val="2EF3D59D"/>
    <w:rsid w:val="2EF4CE6B"/>
    <w:rsid w:val="2EF54AB6"/>
    <w:rsid w:val="2EF5561F"/>
    <w:rsid w:val="2EF64F77"/>
    <w:rsid w:val="2EF762C3"/>
    <w:rsid w:val="2EF7A2D7"/>
    <w:rsid w:val="2EF94533"/>
    <w:rsid w:val="2EFA280C"/>
    <w:rsid w:val="2EFB9B26"/>
    <w:rsid w:val="2EFBD479"/>
    <w:rsid w:val="2EFC57A1"/>
    <w:rsid w:val="2EFE3E37"/>
    <w:rsid w:val="2F00C818"/>
    <w:rsid w:val="2F024A48"/>
    <w:rsid w:val="2F038C4A"/>
    <w:rsid w:val="2F0CE83F"/>
    <w:rsid w:val="2F0F2742"/>
    <w:rsid w:val="2F10792D"/>
    <w:rsid w:val="2F11FDF2"/>
    <w:rsid w:val="2F17F13B"/>
    <w:rsid w:val="2F187BCC"/>
    <w:rsid w:val="2F1A6052"/>
    <w:rsid w:val="2F1B87BC"/>
    <w:rsid w:val="2F1B9B5F"/>
    <w:rsid w:val="2F1CE450"/>
    <w:rsid w:val="2F20A56F"/>
    <w:rsid w:val="2F21FB3B"/>
    <w:rsid w:val="2F26D9E2"/>
    <w:rsid w:val="2F27B4A2"/>
    <w:rsid w:val="2F27CB1A"/>
    <w:rsid w:val="2F2802BC"/>
    <w:rsid w:val="2F288AF6"/>
    <w:rsid w:val="2F28F903"/>
    <w:rsid w:val="2F2A56BD"/>
    <w:rsid w:val="2F2BB800"/>
    <w:rsid w:val="2F2CC55B"/>
    <w:rsid w:val="2F2CE937"/>
    <w:rsid w:val="2F2D8A9D"/>
    <w:rsid w:val="2F2E5951"/>
    <w:rsid w:val="2F2FD00F"/>
    <w:rsid w:val="2F32DBBD"/>
    <w:rsid w:val="2F338C78"/>
    <w:rsid w:val="2F34FBAA"/>
    <w:rsid w:val="2F3D743A"/>
    <w:rsid w:val="2F3F0BD1"/>
    <w:rsid w:val="2F3F7DFD"/>
    <w:rsid w:val="2F464FC1"/>
    <w:rsid w:val="2F489DEE"/>
    <w:rsid w:val="2F498919"/>
    <w:rsid w:val="2F4D15FC"/>
    <w:rsid w:val="2F4E648D"/>
    <w:rsid w:val="2F4E66FB"/>
    <w:rsid w:val="2F4F082F"/>
    <w:rsid w:val="2F52FE92"/>
    <w:rsid w:val="2F571467"/>
    <w:rsid w:val="2F577655"/>
    <w:rsid w:val="2F5896EA"/>
    <w:rsid w:val="2F597F02"/>
    <w:rsid w:val="2F59F4CD"/>
    <w:rsid w:val="2F5AA4BF"/>
    <w:rsid w:val="2F5B380F"/>
    <w:rsid w:val="2F5C8A92"/>
    <w:rsid w:val="2F5FB429"/>
    <w:rsid w:val="2F6179DB"/>
    <w:rsid w:val="2F6347BE"/>
    <w:rsid w:val="2F638BFB"/>
    <w:rsid w:val="2F65630C"/>
    <w:rsid w:val="2F68AC33"/>
    <w:rsid w:val="2F69C3B0"/>
    <w:rsid w:val="2F69FFF9"/>
    <w:rsid w:val="2F6D8DB6"/>
    <w:rsid w:val="2F6EE048"/>
    <w:rsid w:val="2F707002"/>
    <w:rsid w:val="2F7B4D44"/>
    <w:rsid w:val="2F7BFCD0"/>
    <w:rsid w:val="2F7C570C"/>
    <w:rsid w:val="2F7ED8F1"/>
    <w:rsid w:val="2F7FAF33"/>
    <w:rsid w:val="2F80D1F6"/>
    <w:rsid w:val="2F81E30E"/>
    <w:rsid w:val="2F828C1C"/>
    <w:rsid w:val="2F836AF5"/>
    <w:rsid w:val="2F87C3FF"/>
    <w:rsid w:val="2F89F581"/>
    <w:rsid w:val="2F8A8933"/>
    <w:rsid w:val="2F8AC09F"/>
    <w:rsid w:val="2F909626"/>
    <w:rsid w:val="2F937FAD"/>
    <w:rsid w:val="2F958BFF"/>
    <w:rsid w:val="2F9ABFD8"/>
    <w:rsid w:val="2F9B5B16"/>
    <w:rsid w:val="2F9BB5B3"/>
    <w:rsid w:val="2F9D9DC3"/>
    <w:rsid w:val="2F9E0A00"/>
    <w:rsid w:val="2F9F118C"/>
    <w:rsid w:val="2FA278C8"/>
    <w:rsid w:val="2FA287C1"/>
    <w:rsid w:val="2FA3EE9F"/>
    <w:rsid w:val="2FA63B04"/>
    <w:rsid w:val="2FA673E7"/>
    <w:rsid w:val="2FAD64C6"/>
    <w:rsid w:val="2FAE361C"/>
    <w:rsid w:val="2FB1BCF3"/>
    <w:rsid w:val="2FB264EE"/>
    <w:rsid w:val="2FB36DCC"/>
    <w:rsid w:val="2FB558EF"/>
    <w:rsid w:val="2FB5BCA7"/>
    <w:rsid w:val="2FB6ED2B"/>
    <w:rsid w:val="2FBA3168"/>
    <w:rsid w:val="2FBFA888"/>
    <w:rsid w:val="2FC2BFD9"/>
    <w:rsid w:val="2FC428C8"/>
    <w:rsid w:val="2FC59D35"/>
    <w:rsid w:val="2FC76244"/>
    <w:rsid w:val="2FC7A8EA"/>
    <w:rsid w:val="2FC8EBDD"/>
    <w:rsid w:val="2FCCFF7D"/>
    <w:rsid w:val="2FCD52B5"/>
    <w:rsid w:val="2FCDCE93"/>
    <w:rsid w:val="2FCE5D58"/>
    <w:rsid w:val="2FD1A000"/>
    <w:rsid w:val="2FD2B010"/>
    <w:rsid w:val="2FD458EF"/>
    <w:rsid w:val="2FD4821A"/>
    <w:rsid w:val="2FD71A36"/>
    <w:rsid w:val="2FD7E845"/>
    <w:rsid w:val="2FD8B073"/>
    <w:rsid w:val="2FD92783"/>
    <w:rsid w:val="2FDBE94A"/>
    <w:rsid w:val="2FDC8E30"/>
    <w:rsid w:val="2FDD1417"/>
    <w:rsid w:val="2FDDED67"/>
    <w:rsid w:val="2FDF0D17"/>
    <w:rsid w:val="2FDFEE5D"/>
    <w:rsid w:val="2FE3DA73"/>
    <w:rsid w:val="2FE3F075"/>
    <w:rsid w:val="2FE497D7"/>
    <w:rsid w:val="2FE74E09"/>
    <w:rsid w:val="2FE999B2"/>
    <w:rsid w:val="2FEB0E0D"/>
    <w:rsid w:val="2FEBB1B2"/>
    <w:rsid w:val="2FED00BA"/>
    <w:rsid w:val="2FEF18C0"/>
    <w:rsid w:val="2FEF8A47"/>
    <w:rsid w:val="2FF094BC"/>
    <w:rsid w:val="2FF0BACC"/>
    <w:rsid w:val="2FF0C42B"/>
    <w:rsid w:val="2FFA5231"/>
    <w:rsid w:val="2FFB4B7B"/>
    <w:rsid w:val="2FFBD929"/>
    <w:rsid w:val="2FFC2327"/>
    <w:rsid w:val="2FFC5F98"/>
    <w:rsid w:val="2FFCDCB4"/>
    <w:rsid w:val="2FFD45A0"/>
    <w:rsid w:val="2FFE339D"/>
    <w:rsid w:val="2FFF406E"/>
    <w:rsid w:val="300090A5"/>
    <w:rsid w:val="3001BD59"/>
    <w:rsid w:val="300641EE"/>
    <w:rsid w:val="3008822B"/>
    <w:rsid w:val="3009AB15"/>
    <w:rsid w:val="300B100C"/>
    <w:rsid w:val="30115ABE"/>
    <w:rsid w:val="3011802B"/>
    <w:rsid w:val="3015EF24"/>
    <w:rsid w:val="30177AD8"/>
    <w:rsid w:val="30182051"/>
    <w:rsid w:val="3018B847"/>
    <w:rsid w:val="301F090A"/>
    <w:rsid w:val="3020E2CA"/>
    <w:rsid w:val="3021510D"/>
    <w:rsid w:val="30228B4B"/>
    <w:rsid w:val="3024DE4C"/>
    <w:rsid w:val="3026DAA0"/>
    <w:rsid w:val="302919BC"/>
    <w:rsid w:val="30292050"/>
    <w:rsid w:val="30294CCA"/>
    <w:rsid w:val="302951E0"/>
    <w:rsid w:val="302A310D"/>
    <w:rsid w:val="302AED87"/>
    <w:rsid w:val="302C16B2"/>
    <w:rsid w:val="302F291D"/>
    <w:rsid w:val="30303A77"/>
    <w:rsid w:val="30310C3F"/>
    <w:rsid w:val="3031B15A"/>
    <w:rsid w:val="3031DDCD"/>
    <w:rsid w:val="303295FF"/>
    <w:rsid w:val="3032E4AC"/>
    <w:rsid w:val="30361CDE"/>
    <w:rsid w:val="30365A46"/>
    <w:rsid w:val="3036BD4B"/>
    <w:rsid w:val="303776E6"/>
    <w:rsid w:val="303A221B"/>
    <w:rsid w:val="303AA0E2"/>
    <w:rsid w:val="303B5115"/>
    <w:rsid w:val="303EFF25"/>
    <w:rsid w:val="3040B95D"/>
    <w:rsid w:val="3042BAFB"/>
    <w:rsid w:val="304458A3"/>
    <w:rsid w:val="3048250A"/>
    <w:rsid w:val="30488DE8"/>
    <w:rsid w:val="304B9EA3"/>
    <w:rsid w:val="304C3D5E"/>
    <w:rsid w:val="304EE8AB"/>
    <w:rsid w:val="3050B7F3"/>
    <w:rsid w:val="30517EEC"/>
    <w:rsid w:val="30529BB7"/>
    <w:rsid w:val="3052E04D"/>
    <w:rsid w:val="3057FDA8"/>
    <w:rsid w:val="3058D070"/>
    <w:rsid w:val="3059821B"/>
    <w:rsid w:val="305CCB5D"/>
    <w:rsid w:val="30604493"/>
    <w:rsid w:val="306078E0"/>
    <w:rsid w:val="30677FDC"/>
    <w:rsid w:val="30679B95"/>
    <w:rsid w:val="306803FF"/>
    <w:rsid w:val="306A1688"/>
    <w:rsid w:val="306AE319"/>
    <w:rsid w:val="306CCA76"/>
    <w:rsid w:val="306D884F"/>
    <w:rsid w:val="3070B4FB"/>
    <w:rsid w:val="30725A7A"/>
    <w:rsid w:val="30760FFA"/>
    <w:rsid w:val="30768462"/>
    <w:rsid w:val="30774AD5"/>
    <w:rsid w:val="30794A53"/>
    <w:rsid w:val="307C40E4"/>
    <w:rsid w:val="307C976B"/>
    <w:rsid w:val="307F0F81"/>
    <w:rsid w:val="30819CE7"/>
    <w:rsid w:val="30825DAC"/>
    <w:rsid w:val="30833328"/>
    <w:rsid w:val="30851301"/>
    <w:rsid w:val="308CEF34"/>
    <w:rsid w:val="3091D6AB"/>
    <w:rsid w:val="3094674C"/>
    <w:rsid w:val="30950779"/>
    <w:rsid w:val="30956360"/>
    <w:rsid w:val="309A63CA"/>
    <w:rsid w:val="309B5856"/>
    <w:rsid w:val="309EA414"/>
    <w:rsid w:val="309F3D40"/>
    <w:rsid w:val="30A22D4D"/>
    <w:rsid w:val="30A6F7C7"/>
    <w:rsid w:val="30A83C4F"/>
    <w:rsid w:val="30A83EFE"/>
    <w:rsid w:val="30A87BC5"/>
    <w:rsid w:val="30AB6422"/>
    <w:rsid w:val="30AEB10A"/>
    <w:rsid w:val="30B06A04"/>
    <w:rsid w:val="30B10155"/>
    <w:rsid w:val="30B4935E"/>
    <w:rsid w:val="30B50C47"/>
    <w:rsid w:val="30B64695"/>
    <w:rsid w:val="30B80F57"/>
    <w:rsid w:val="30B99FA9"/>
    <w:rsid w:val="30BB428B"/>
    <w:rsid w:val="30BBE09F"/>
    <w:rsid w:val="30BC9CF6"/>
    <w:rsid w:val="30BD804D"/>
    <w:rsid w:val="30BE8526"/>
    <w:rsid w:val="30BE8893"/>
    <w:rsid w:val="30BEEEF8"/>
    <w:rsid w:val="30BFF11F"/>
    <w:rsid w:val="30BFF68E"/>
    <w:rsid w:val="30C2EADD"/>
    <w:rsid w:val="30C488F2"/>
    <w:rsid w:val="30C6C003"/>
    <w:rsid w:val="30C8B870"/>
    <w:rsid w:val="30D318FF"/>
    <w:rsid w:val="30D42198"/>
    <w:rsid w:val="30D5C5C7"/>
    <w:rsid w:val="30D68E86"/>
    <w:rsid w:val="30D72A31"/>
    <w:rsid w:val="30D77D8C"/>
    <w:rsid w:val="30D8A06A"/>
    <w:rsid w:val="30DAFAEC"/>
    <w:rsid w:val="30DF1CD4"/>
    <w:rsid w:val="30E263E9"/>
    <w:rsid w:val="30E41787"/>
    <w:rsid w:val="30E4C4D9"/>
    <w:rsid w:val="30E68E27"/>
    <w:rsid w:val="30E9959A"/>
    <w:rsid w:val="30EAA751"/>
    <w:rsid w:val="30ECE7C1"/>
    <w:rsid w:val="30EDBFE6"/>
    <w:rsid w:val="30EFAA2B"/>
    <w:rsid w:val="30F208D6"/>
    <w:rsid w:val="30F426EC"/>
    <w:rsid w:val="30F573E8"/>
    <w:rsid w:val="31050455"/>
    <w:rsid w:val="31053C9C"/>
    <w:rsid w:val="3106B148"/>
    <w:rsid w:val="31076E01"/>
    <w:rsid w:val="310777D2"/>
    <w:rsid w:val="310AC7D3"/>
    <w:rsid w:val="310B37DE"/>
    <w:rsid w:val="310DA1B4"/>
    <w:rsid w:val="310DAF6A"/>
    <w:rsid w:val="3114DA4D"/>
    <w:rsid w:val="311689AF"/>
    <w:rsid w:val="311BAE59"/>
    <w:rsid w:val="311BF99A"/>
    <w:rsid w:val="31207603"/>
    <w:rsid w:val="3120F2F0"/>
    <w:rsid w:val="3122E499"/>
    <w:rsid w:val="31245489"/>
    <w:rsid w:val="3129063A"/>
    <w:rsid w:val="3129625F"/>
    <w:rsid w:val="31299C6D"/>
    <w:rsid w:val="312D9E5F"/>
    <w:rsid w:val="312E1099"/>
    <w:rsid w:val="312F1137"/>
    <w:rsid w:val="312FDD6F"/>
    <w:rsid w:val="31303C9E"/>
    <w:rsid w:val="31308028"/>
    <w:rsid w:val="31324905"/>
    <w:rsid w:val="3133D438"/>
    <w:rsid w:val="31354137"/>
    <w:rsid w:val="31374692"/>
    <w:rsid w:val="313A116A"/>
    <w:rsid w:val="313DDB01"/>
    <w:rsid w:val="313F00E7"/>
    <w:rsid w:val="31437274"/>
    <w:rsid w:val="314437CA"/>
    <w:rsid w:val="314613D2"/>
    <w:rsid w:val="314741F9"/>
    <w:rsid w:val="3147BB48"/>
    <w:rsid w:val="314B83D5"/>
    <w:rsid w:val="314BBB1D"/>
    <w:rsid w:val="314D8038"/>
    <w:rsid w:val="314DDA8F"/>
    <w:rsid w:val="3150101D"/>
    <w:rsid w:val="3150A8E2"/>
    <w:rsid w:val="31518B91"/>
    <w:rsid w:val="31520C7E"/>
    <w:rsid w:val="3154F0CA"/>
    <w:rsid w:val="3155088D"/>
    <w:rsid w:val="3159C94C"/>
    <w:rsid w:val="315B422C"/>
    <w:rsid w:val="315BD064"/>
    <w:rsid w:val="315CAB2A"/>
    <w:rsid w:val="315CB718"/>
    <w:rsid w:val="3161BE65"/>
    <w:rsid w:val="31646450"/>
    <w:rsid w:val="3169262E"/>
    <w:rsid w:val="31699EC7"/>
    <w:rsid w:val="316C8EDC"/>
    <w:rsid w:val="316CBF22"/>
    <w:rsid w:val="316E67F9"/>
    <w:rsid w:val="316FE601"/>
    <w:rsid w:val="3172945D"/>
    <w:rsid w:val="31739517"/>
    <w:rsid w:val="31740FDE"/>
    <w:rsid w:val="31754F0B"/>
    <w:rsid w:val="31779B24"/>
    <w:rsid w:val="317A71F7"/>
    <w:rsid w:val="317B007B"/>
    <w:rsid w:val="317D4123"/>
    <w:rsid w:val="317F0540"/>
    <w:rsid w:val="3180E26B"/>
    <w:rsid w:val="3181C2DF"/>
    <w:rsid w:val="3182BDA9"/>
    <w:rsid w:val="31854DBE"/>
    <w:rsid w:val="31881C71"/>
    <w:rsid w:val="3188FD24"/>
    <w:rsid w:val="318BDFB3"/>
    <w:rsid w:val="318CFAA5"/>
    <w:rsid w:val="318F716E"/>
    <w:rsid w:val="318FF4DE"/>
    <w:rsid w:val="31906782"/>
    <w:rsid w:val="319086DD"/>
    <w:rsid w:val="3190FF0E"/>
    <w:rsid w:val="3195B2E3"/>
    <w:rsid w:val="319927B5"/>
    <w:rsid w:val="3199AD89"/>
    <w:rsid w:val="319C3316"/>
    <w:rsid w:val="319EB748"/>
    <w:rsid w:val="319FBC69"/>
    <w:rsid w:val="31A046AF"/>
    <w:rsid w:val="31A06EF8"/>
    <w:rsid w:val="31A1B5E3"/>
    <w:rsid w:val="31A46C8B"/>
    <w:rsid w:val="31A69C42"/>
    <w:rsid w:val="31A777B4"/>
    <w:rsid w:val="31A92047"/>
    <w:rsid w:val="31AA908B"/>
    <w:rsid w:val="31AB3252"/>
    <w:rsid w:val="31ABA467"/>
    <w:rsid w:val="31ABFD0E"/>
    <w:rsid w:val="31AE3767"/>
    <w:rsid w:val="31B23A9A"/>
    <w:rsid w:val="31B332C9"/>
    <w:rsid w:val="31B354E3"/>
    <w:rsid w:val="31B7062B"/>
    <w:rsid w:val="31B90AD7"/>
    <w:rsid w:val="31B9F075"/>
    <w:rsid w:val="31BA48A5"/>
    <w:rsid w:val="31BADAE4"/>
    <w:rsid w:val="31BC16E1"/>
    <w:rsid w:val="31BEAF90"/>
    <w:rsid w:val="31BEDB81"/>
    <w:rsid w:val="31BFFCF4"/>
    <w:rsid w:val="31C05F2F"/>
    <w:rsid w:val="31C106AB"/>
    <w:rsid w:val="31C15245"/>
    <w:rsid w:val="31C16F1B"/>
    <w:rsid w:val="31C19009"/>
    <w:rsid w:val="31C1ACF1"/>
    <w:rsid w:val="31C26754"/>
    <w:rsid w:val="31C371CF"/>
    <w:rsid w:val="31C38517"/>
    <w:rsid w:val="31C73E85"/>
    <w:rsid w:val="31C803A0"/>
    <w:rsid w:val="31CA00D6"/>
    <w:rsid w:val="31CB4774"/>
    <w:rsid w:val="31CC9618"/>
    <w:rsid w:val="31CDCE13"/>
    <w:rsid w:val="31CDE95D"/>
    <w:rsid w:val="31D1B3AF"/>
    <w:rsid w:val="31D229ED"/>
    <w:rsid w:val="31D7FF22"/>
    <w:rsid w:val="31D8062C"/>
    <w:rsid w:val="31D8231D"/>
    <w:rsid w:val="31D95F47"/>
    <w:rsid w:val="31D9C06A"/>
    <w:rsid w:val="31DECECA"/>
    <w:rsid w:val="31DF7962"/>
    <w:rsid w:val="31E065AB"/>
    <w:rsid w:val="31E0DB2A"/>
    <w:rsid w:val="31E54CF6"/>
    <w:rsid w:val="31E6C8FC"/>
    <w:rsid w:val="31E90281"/>
    <w:rsid w:val="31EAE5AB"/>
    <w:rsid w:val="31EBBE6D"/>
    <w:rsid w:val="31EC5F9D"/>
    <w:rsid w:val="31EC6263"/>
    <w:rsid w:val="31EDB0B9"/>
    <w:rsid w:val="31EF7611"/>
    <w:rsid w:val="31EF8144"/>
    <w:rsid w:val="31F1424F"/>
    <w:rsid w:val="31F1BD94"/>
    <w:rsid w:val="31F2A9C2"/>
    <w:rsid w:val="31F4100C"/>
    <w:rsid w:val="31F41380"/>
    <w:rsid w:val="31F4A502"/>
    <w:rsid w:val="31F663D9"/>
    <w:rsid w:val="31F85101"/>
    <w:rsid w:val="31FA89EA"/>
    <w:rsid w:val="31FA9E32"/>
    <w:rsid w:val="31FC4C0F"/>
    <w:rsid w:val="31FD1E7A"/>
    <w:rsid w:val="31FDAFA8"/>
    <w:rsid w:val="31FDD280"/>
    <w:rsid w:val="32028417"/>
    <w:rsid w:val="3203AC00"/>
    <w:rsid w:val="320446A7"/>
    <w:rsid w:val="3204E3DF"/>
    <w:rsid w:val="32051965"/>
    <w:rsid w:val="320703A7"/>
    <w:rsid w:val="32073D9A"/>
    <w:rsid w:val="32079B5C"/>
    <w:rsid w:val="320A779D"/>
    <w:rsid w:val="320B2B20"/>
    <w:rsid w:val="320D8554"/>
    <w:rsid w:val="320DDB49"/>
    <w:rsid w:val="320DF701"/>
    <w:rsid w:val="32124023"/>
    <w:rsid w:val="3212D7F0"/>
    <w:rsid w:val="32131C94"/>
    <w:rsid w:val="32136984"/>
    <w:rsid w:val="3215E5A3"/>
    <w:rsid w:val="3216909A"/>
    <w:rsid w:val="32192CB5"/>
    <w:rsid w:val="321A5656"/>
    <w:rsid w:val="321C9059"/>
    <w:rsid w:val="321CF5D9"/>
    <w:rsid w:val="321DFB7D"/>
    <w:rsid w:val="321E2624"/>
    <w:rsid w:val="321FBF59"/>
    <w:rsid w:val="3221099F"/>
    <w:rsid w:val="32225AA6"/>
    <w:rsid w:val="32247AE6"/>
    <w:rsid w:val="32283002"/>
    <w:rsid w:val="32289047"/>
    <w:rsid w:val="32294128"/>
    <w:rsid w:val="322953E3"/>
    <w:rsid w:val="3232A702"/>
    <w:rsid w:val="3236BAB4"/>
    <w:rsid w:val="3236DDAC"/>
    <w:rsid w:val="323E334A"/>
    <w:rsid w:val="323EDDC3"/>
    <w:rsid w:val="32403D92"/>
    <w:rsid w:val="3240E679"/>
    <w:rsid w:val="32442F28"/>
    <w:rsid w:val="3247C274"/>
    <w:rsid w:val="324B635B"/>
    <w:rsid w:val="324E8979"/>
    <w:rsid w:val="32511B05"/>
    <w:rsid w:val="32514E68"/>
    <w:rsid w:val="32531B9E"/>
    <w:rsid w:val="3255B538"/>
    <w:rsid w:val="3257FBCE"/>
    <w:rsid w:val="325FBBBB"/>
    <w:rsid w:val="3261A77B"/>
    <w:rsid w:val="326379EB"/>
    <w:rsid w:val="3265E7F0"/>
    <w:rsid w:val="32669782"/>
    <w:rsid w:val="3268F2CB"/>
    <w:rsid w:val="32692DF1"/>
    <w:rsid w:val="3269A899"/>
    <w:rsid w:val="3269BBF4"/>
    <w:rsid w:val="3269EFA1"/>
    <w:rsid w:val="326D1884"/>
    <w:rsid w:val="326EF750"/>
    <w:rsid w:val="327032FC"/>
    <w:rsid w:val="32711D3C"/>
    <w:rsid w:val="3272E626"/>
    <w:rsid w:val="32783A7E"/>
    <w:rsid w:val="3278FE3B"/>
    <w:rsid w:val="327A2405"/>
    <w:rsid w:val="327B9EFC"/>
    <w:rsid w:val="327DDB18"/>
    <w:rsid w:val="32800BDF"/>
    <w:rsid w:val="3282F2F3"/>
    <w:rsid w:val="3285E421"/>
    <w:rsid w:val="3286CA75"/>
    <w:rsid w:val="32890844"/>
    <w:rsid w:val="3289E3A3"/>
    <w:rsid w:val="328A0364"/>
    <w:rsid w:val="3292E841"/>
    <w:rsid w:val="3293428B"/>
    <w:rsid w:val="32944511"/>
    <w:rsid w:val="32968B28"/>
    <w:rsid w:val="3296C1B5"/>
    <w:rsid w:val="329C1A80"/>
    <w:rsid w:val="329C7E62"/>
    <w:rsid w:val="329DAC13"/>
    <w:rsid w:val="329DDEE4"/>
    <w:rsid w:val="329DE5CF"/>
    <w:rsid w:val="32A86DA7"/>
    <w:rsid w:val="32A977C1"/>
    <w:rsid w:val="32AB7BFE"/>
    <w:rsid w:val="32ADA66D"/>
    <w:rsid w:val="32AF5A36"/>
    <w:rsid w:val="32B18639"/>
    <w:rsid w:val="32B33C66"/>
    <w:rsid w:val="32B43854"/>
    <w:rsid w:val="32B91FD7"/>
    <w:rsid w:val="32BABDC1"/>
    <w:rsid w:val="32BB0D16"/>
    <w:rsid w:val="32BEE06C"/>
    <w:rsid w:val="32C83A4B"/>
    <w:rsid w:val="32CB5699"/>
    <w:rsid w:val="32CB66B7"/>
    <w:rsid w:val="32CE1EDB"/>
    <w:rsid w:val="32D0F8F4"/>
    <w:rsid w:val="32D3C7F2"/>
    <w:rsid w:val="32D95E18"/>
    <w:rsid w:val="32DC7FE4"/>
    <w:rsid w:val="32DCE1DD"/>
    <w:rsid w:val="32DDEC0F"/>
    <w:rsid w:val="32DF5C58"/>
    <w:rsid w:val="32E1165B"/>
    <w:rsid w:val="32E1F2D4"/>
    <w:rsid w:val="32E21ED8"/>
    <w:rsid w:val="32EAAF97"/>
    <w:rsid w:val="32EAB3AA"/>
    <w:rsid w:val="32EC2CBA"/>
    <w:rsid w:val="32ED0EF9"/>
    <w:rsid w:val="32EE0BE6"/>
    <w:rsid w:val="32EFC7F2"/>
    <w:rsid w:val="32F0094B"/>
    <w:rsid w:val="32F0AFF6"/>
    <w:rsid w:val="32F236F9"/>
    <w:rsid w:val="32F3AB7D"/>
    <w:rsid w:val="32F432B8"/>
    <w:rsid w:val="32F4947F"/>
    <w:rsid w:val="32FA6E7D"/>
    <w:rsid w:val="32FA9963"/>
    <w:rsid w:val="32FB3B71"/>
    <w:rsid w:val="32FC26A4"/>
    <w:rsid w:val="32FEC1C1"/>
    <w:rsid w:val="330267B1"/>
    <w:rsid w:val="330291A7"/>
    <w:rsid w:val="33034DA5"/>
    <w:rsid w:val="33066690"/>
    <w:rsid w:val="33090598"/>
    <w:rsid w:val="33092C37"/>
    <w:rsid w:val="33099B39"/>
    <w:rsid w:val="330F7127"/>
    <w:rsid w:val="33157F63"/>
    <w:rsid w:val="3317F420"/>
    <w:rsid w:val="33189A5F"/>
    <w:rsid w:val="33193ABA"/>
    <w:rsid w:val="33196C7A"/>
    <w:rsid w:val="331AB862"/>
    <w:rsid w:val="331B8170"/>
    <w:rsid w:val="331C2069"/>
    <w:rsid w:val="331E22E0"/>
    <w:rsid w:val="331E981F"/>
    <w:rsid w:val="33212463"/>
    <w:rsid w:val="3322C2F9"/>
    <w:rsid w:val="3324530F"/>
    <w:rsid w:val="332523E1"/>
    <w:rsid w:val="332657A3"/>
    <w:rsid w:val="3329BE7A"/>
    <w:rsid w:val="3329C0CA"/>
    <w:rsid w:val="332DDEE2"/>
    <w:rsid w:val="332F7E72"/>
    <w:rsid w:val="3330D729"/>
    <w:rsid w:val="33325F18"/>
    <w:rsid w:val="3332D693"/>
    <w:rsid w:val="33346789"/>
    <w:rsid w:val="333A0806"/>
    <w:rsid w:val="33409C9A"/>
    <w:rsid w:val="3346985B"/>
    <w:rsid w:val="3346CC27"/>
    <w:rsid w:val="33473093"/>
    <w:rsid w:val="3347A216"/>
    <w:rsid w:val="3347AC61"/>
    <w:rsid w:val="33488D2A"/>
    <w:rsid w:val="334B2B64"/>
    <w:rsid w:val="334F6D61"/>
    <w:rsid w:val="33510C9C"/>
    <w:rsid w:val="3354E6D4"/>
    <w:rsid w:val="33554CAA"/>
    <w:rsid w:val="335AF07D"/>
    <w:rsid w:val="335C0AC0"/>
    <w:rsid w:val="335D3F7C"/>
    <w:rsid w:val="335DD1DC"/>
    <w:rsid w:val="335EEFFC"/>
    <w:rsid w:val="335F2D65"/>
    <w:rsid w:val="33609EFB"/>
    <w:rsid w:val="3361D635"/>
    <w:rsid w:val="33628006"/>
    <w:rsid w:val="3364B58C"/>
    <w:rsid w:val="33668626"/>
    <w:rsid w:val="3367C1C5"/>
    <w:rsid w:val="33687153"/>
    <w:rsid w:val="3368EEBA"/>
    <w:rsid w:val="336A9D48"/>
    <w:rsid w:val="336C84A3"/>
    <w:rsid w:val="336EDA51"/>
    <w:rsid w:val="337019A7"/>
    <w:rsid w:val="3370910A"/>
    <w:rsid w:val="33710B7D"/>
    <w:rsid w:val="33732BF9"/>
    <w:rsid w:val="3374894F"/>
    <w:rsid w:val="337B9A7C"/>
    <w:rsid w:val="337BD547"/>
    <w:rsid w:val="337CC4B3"/>
    <w:rsid w:val="337CD870"/>
    <w:rsid w:val="337DC242"/>
    <w:rsid w:val="3380ED30"/>
    <w:rsid w:val="3381B0A5"/>
    <w:rsid w:val="3382ACC4"/>
    <w:rsid w:val="33849FFA"/>
    <w:rsid w:val="33887872"/>
    <w:rsid w:val="3389DDC0"/>
    <w:rsid w:val="338B4BB5"/>
    <w:rsid w:val="338CBDAA"/>
    <w:rsid w:val="338F2446"/>
    <w:rsid w:val="338FB56A"/>
    <w:rsid w:val="33920248"/>
    <w:rsid w:val="33926567"/>
    <w:rsid w:val="3398BC25"/>
    <w:rsid w:val="3399BA86"/>
    <w:rsid w:val="339A0CCD"/>
    <w:rsid w:val="339A5BA9"/>
    <w:rsid w:val="339B6818"/>
    <w:rsid w:val="339BF9BF"/>
    <w:rsid w:val="33A0E9C6"/>
    <w:rsid w:val="33A1B853"/>
    <w:rsid w:val="33A2A458"/>
    <w:rsid w:val="33A48CD5"/>
    <w:rsid w:val="33A4B7C0"/>
    <w:rsid w:val="33A56A1D"/>
    <w:rsid w:val="33A7214A"/>
    <w:rsid w:val="33AB9432"/>
    <w:rsid w:val="33ABD23A"/>
    <w:rsid w:val="33ABD2C2"/>
    <w:rsid w:val="33ADC3BA"/>
    <w:rsid w:val="33AE40CC"/>
    <w:rsid w:val="33AFD39F"/>
    <w:rsid w:val="33B07F11"/>
    <w:rsid w:val="33B07FB1"/>
    <w:rsid w:val="33B1EF53"/>
    <w:rsid w:val="33B203B0"/>
    <w:rsid w:val="33B396DB"/>
    <w:rsid w:val="33B3E1A6"/>
    <w:rsid w:val="33B63611"/>
    <w:rsid w:val="33BA7893"/>
    <w:rsid w:val="33BA83EA"/>
    <w:rsid w:val="33BC5574"/>
    <w:rsid w:val="33BC64FF"/>
    <w:rsid w:val="33BCB2EC"/>
    <w:rsid w:val="33BCF8A1"/>
    <w:rsid w:val="33BDAD6F"/>
    <w:rsid w:val="33C4425A"/>
    <w:rsid w:val="33C998F7"/>
    <w:rsid w:val="33CA7D6F"/>
    <w:rsid w:val="33CECDB4"/>
    <w:rsid w:val="33D150CA"/>
    <w:rsid w:val="33D3318A"/>
    <w:rsid w:val="33D37E8B"/>
    <w:rsid w:val="33D6D54D"/>
    <w:rsid w:val="33D6E83F"/>
    <w:rsid w:val="33D750BB"/>
    <w:rsid w:val="33DBC6BA"/>
    <w:rsid w:val="33DDD5BA"/>
    <w:rsid w:val="33DFADA8"/>
    <w:rsid w:val="33E05ACB"/>
    <w:rsid w:val="33E392FE"/>
    <w:rsid w:val="33E47055"/>
    <w:rsid w:val="33E4A053"/>
    <w:rsid w:val="33E67B3E"/>
    <w:rsid w:val="33E6EFD5"/>
    <w:rsid w:val="33E70EA3"/>
    <w:rsid w:val="33EEDE0C"/>
    <w:rsid w:val="33F1108E"/>
    <w:rsid w:val="33F27DE0"/>
    <w:rsid w:val="33F28495"/>
    <w:rsid w:val="33F4736F"/>
    <w:rsid w:val="33F4A473"/>
    <w:rsid w:val="33F4C1E2"/>
    <w:rsid w:val="33F4F9E8"/>
    <w:rsid w:val="33F4FA65"/>
    <w:rsid w:val="33F5D5BB"/>
    <w:rsid w:val="33F672A2"/>
    <w:rsid w:val="33F793AF"/>
    <w:rsid w:val="33FA1217"/>
    <w:rsid w:val="33FAF6D5"/>
    <w:rsid w:val="33FB4987"/>
    <w:rsid w:val="33FE4998"/>
    <w:rsid w:val="33FF0D97"/>
    <w:rsid w:val="33FFE275"/>
    <w:rsid w:val="340438E4"/>
    <w:rsid w:val="34056FBF"/>
    <w:rsid w:val="34066A28"/>
    <w:rsid w:val="340C9252"/>
    <w:rsid w:val="3410FA0E"/>
    <w:rsid w:val="34159045"/>
    <w:rsid w:val="34159D74"/>
    <w:rsid w:val="341741FA"/>
    <w:rsid w:val="341C9097"/>
    <w:rsid w:val="341C99D9"/>
    <w:rsid w:val="341D47B1"/>
    <w:rsid w:val="34280A1B"/>
    <w:rsid w:val="34299F98"/>
    <w:rsid w:val="3429D07E"/>
    <w:rsid w:val="342B95AA"/>
    <w:rsid w:val="342D02D0"/>
    <w:rsid w:val="342F8287"/>
    <w:rsid w:val="34301D2E"/>
    <w:rsid w:val="34308F21"/>
    <w:rsid w:val="343105D1"/>
    <w:rsid w:val="34313A8A"/>
    <w:rsid w:val="34333E96"/>
    <w:rsid w:val="3433CCAA"/>
    <w:rsid w:val="3435DF13"/>
    <w:rsid w:val="3437981D"/>
    <w:rsid w:val="3437E8B7"/>
    <w:rsid w:val="34383CFC"/>
    <w:rsid w:val="3438E7CA"/>
    <w:rsid w:val="3439A0AD"/>
    <w:rsid w:val="343ADE93"/>
    <w:rsid w:val="343BE439"/>
    <w:rsid w:val="343D3F59"/>
    <w:rsid w:val="3448B9AE"/>
    <w:rsid w:val="344AD496"/>
    <w:rsid w:val="344DCFA2"/>
    <w:rsid w:val="3450A5FF"/>
    <w:rsid w:val="34549EDD"/>
    <w:rsid w:val="3454BC0E"/>
    <w:rsid w:val="345A76C2"/>
    <w:rsid w:val="345AE3B4"/>
    <w:rsid w:val="345F5D4F"/>
    <w:rsid w:val="34616CF1"/>
    <w:rsid w:val="34621665"/>
    <w:rsid w:val="34625A0D"/>
    <w:rsid w:val="3462863A"/>
    <w:rsid w:val="3462E071"/>
    <w:rsid w:val="3465179B"/>
    <w:rsid w:val="346821F2"/>
    <w:rsid w:val="346956C5"/>
    <w:rsid w:val="3471DA0E"/>
    <w:rsid w:val="34742860"/>
    <w:rsid w:val="3477E244"/>
    <w:rsid w:val="3478B15E"/>
    <w:rsid w:val="3478E81C"/>
    <w:rsid w:val="347C27AB"/>
    <w:rsid w:val="347D2749"/>
    <w:rsid w:val="347D4F01"/>
    <w:rsid w:val="347D6228"/>
    <w:rsid w:val="34824C1C"/>
    <w:rsid w:val="348626ED"/>
    <w:rsid w:val="348AA13B"/>
    <w:rsid w:val="348C0AC7"/>
    <w:rsid w:val="348F3059"/>
    <w:rsid w:val="349419B7"/>
    <w:rsid w:val="3497E5B4"/>
    <w:rsid w:val="349C9D46"/>
    <w:rsid w:val="34A06B0D"/>
    <w:rsid w:val="34A56752"/>
    <w:rsid w:val="34A72486"/>
    <w:rsid w:val="34A8F433"/>
    <w:rsid w:val="34A98FDB"/>
    <w:rsid w:val="34A99E96"/>
    <w:rsid w:val="34B30053"/>
    <w:rsid w:val="34B414FB"/>
    <w:rsid w:val="34B4F0CB"/>
    <w:rsid w:val="34B807F9"/>
    <w:rsid w:val="34B8B2BD"/>
    <w:rsid w:val="34B9E2E5"/>
    <w:rsid w:val="34BA7911"/>
    <w:rsid w:val="34BA90E6"/>
    <w:rsid w:val="34BABA5E"/>
    <w:rsid w:val="34BEA72D"/>
    <w:rsid w:val="34BF64C2"/>
    <w:rsid w:val="34C26C02"/>
    <w:rsid w:val="34C5DE3C"/>
    <w:rsid w:val="34C7E460"/>
    <w:rsid w:val="34C87D8D"/>
    <w:rsid w:val="34C8B2A7"/>
    <w:rsid w:val="34CC21A2"/>
    <w:rsid w:val="34CC43B1"/>
    <w:rsid w:val="34CC5D67"/>
    <w:rsid w:val="34CCEC32"/>
    <w:rsid w:val="34CE5B00"/>
    <w:rsid w:val="34D00704"/>
    <w:rsid w:val="34D0A891"/>
    <w:rsid w:val="34D504C0"/>
    <w:rsid w:val="34DA3DA8"/>
    <w:rsid w:val="34DC6109"/>
    <w:rsid w:val="34DD647A"/>
    <w:rsid w:val="34DE617B"/>
    <w:rsid w:val="34E043EE"/>
    <w:rsid w:val="34E0E49C"/>
    <w:rsid w:val="34E32296"/>
    <w:rsid w:val="34E6AF75"/>
    <w:rsid w:val="34E90FBB"/>
    <w:rsid w:val="34EAEBFB"/>
    <w:rsid w:val="34EB38DE"/>
    <w:rsid w:val="34ED147A"/>
    <w:rsid w:val="34ED7E6D"/>
    <w:rsid w:val="34F12459"/>
    <w:rsid w:val="34F14A4D"/>
    <w:rsid w:val="34F1917F"/>
    <w:rsid w:val="34F1EB7A"/>
    <w:rsid w:val="34F53D6A"/>
    <w:rsid w:val="34F648AD"/>
    <w:rsid w:val="34F8F2AC"/>
    <w:rsid w:val="34FC5FF1"/>
    <w:rsid w:val="34FD08A7"/>
    <w:rsid w:val="34FD0A7E"/>
    <w:rsid w:val="34FD794A"/>
    <w:rsid w:val="34FDBC17"/>
    <w:rsid w:val="35000EC0"/>
    <w:rsid w:val="35007F4A"/>
    <w:rsid w:val="35021558"/>
    <w:rsid w:val="35034819"/>
    <w:rsid w:val="35040072"/>
    <w:rsid w:val="35042241"/>
    <w:rsid w:val="35062C65"/>
    <w:rsid w:val="350978BC"/>
    <w:rsid w:val="3509C21D"/>
    <w:rsid w:val="350A2578"/>
    <w:rsid w:val="350B2680"/>
    <w:rsid w:val="350B4C15"/>
    <w:rsid w:val="350E983C"/>
    <w:rsid w:val="350FBAFA"/>
    <w:rsid w:val="3510098E"/>
    <w:rsid w:val="351137A0"/>
    <w:rsid w:val="35129A8D"/>
    <w:rsid w:val="3512CD38"/>
    <w:rsid w:val="35164C07"/>
    <w:rsid w:val="35193626"/>
    <w:rsid w:val="351C1E12"/>
    <w:rsid w:val="351C2B51"/>
    <w:rsid w:val="351F2656"/>
    <w:rsid w:val="3520CDF6"/>
    <w:rsid w:val="35212D43"/>
    <w:rsid w:val="35234392"/>
    <w:rsid w:val="3526C8E5"/>
    <w:rsid w:val="3527F8EA"/>
    <w:rsid w:val="352A4A84"/>
    <w:rsid w:val="352D2221"/>
    <w:rsid w:val="3530A269"/>
    <w:rsid w:val="353234DE"/>
    <w:rsid w:val="3532FC84"/>
    <w:rsid w:val="3535FF9D"/>
    <w:rsid w:val="35386E0A"/>
    <w:rsid w:val="3539491D"/>
    <w:rsid w:val="353A1045"/>
    <w:rsid w:val="353BB0B3"/>
    <w:rsid w:val="353CB8A7"/>
    <w:rsid w:val="353DF9A1"/>
    <w:rsid w:val="353E03E3"/>
    <w:rsid w:val="3541F420"/>
    <w:rsid w:val="3542A047"/>
    <w:rsid w:val="3544530C"/>
    <w:rsid w:val="354642DF"/>
    <w:rsid w:val="3546795D"/>
    <w:rsid w:val="35471379"/>
    <w:rsid w:val="3548DF8C"/>
    <w:rsid w:val="354BE387"/>
    <w:rsid w:val="354DC0D8"/>
    <w:rsid w:val="354F63B5"/>
    <w:rsid w:val="354FECB1"/>
    <w:rsid w:val="3550CA62"/>
    <w:rsid w:val="3550F0CF"/>
    <w:rsid w:val="35570433"/>
    <w:rsid w:val="355712C1"/>
    <w:rsid w:val="355739BE"/>
    <w:rsid w:val="3559FFEE"/>
    <w:rsid w:val="355B1E96"/>
    <w:rsid w:val="355B8B76"/>
    <w:rsid w:val="355DC2DC"/>
    <w:rsid w:val="355E0035"/>
    <w:rsid w:val="355F5137"/>
    <w:rsid w:val="355F7796"/>
    <w:rsid w:val="3560001B"/>
    <w:rsid w:val="356000B8"/>
    <w:rsid w:val="3562AF03"/>
    <w:rsid w:val="35643054"/>
    <w:rsid w:val="3564F5FB"/>
    <w:rsid w:val="35676688"/>
    <w:rsid w:val="356CA01C"/>
    <w:rsid w:val="356D6DB0"/>
    <w:rsid w:val="356DC955"/>
    <w:rsid w:val="35714394"/>
    <w:rsid w:val="35733134"/>
    <w:rsid w:val="3574E0A9"/>
    <w:rsid w:val="3577E7B0"/>
    <w:rsid w:val="357A6AD9"/>
    <w:rsid w:val="357BA174"/>
    <w:rsid w:val="357D241A"/>
    <w:rsid w:val="35830F63"/>
    <w:rsid w:val="35859B30"/>
    <w:rsid w:val="358747C9"/>
    <w:rsid w:val="3588080E"/>
    <w:rsid w:val="358B2B2B"/>
    <w:rsid w:val="358B2BF1"/>
    <w:rsid w:val="358DD620"/>
    <w:rsid w:val="358E39D4"/>
    <w:rsid w:val="359033C1"/>
    <w:rsid w:val="3590B04E"/>
    <w:rsid w:val="3590C92E"/>
    <w:rsid w:val="35969806"/>
    <w:rsid w:val="35980C9B"/>
    <w:rsid w:val="3599AC15"/>
    <w:rsid w:val="359A023F"/>
    <w:rsid w:val="359C3D4A"/>
    <w:rsid w:val="359C4A56"/>
    <w:rsid w:val="35A894D1"/>
    <w:rsid w:val="35A8C9CC"/>
    <w:rsid w:val="35AA742C"/>
    <w:rsid w:val="35ADED0A"/>
    <w:rsid w:val="35AF695F"/>
    <w:rsid w:val="35B50912"/>
    <w:rsid w:val="35B689D4"/>
    <w:rsid w:val="35B73149"/>
    <w:rsid w:val="35B7B61C"/>
    <w:rsid w:val="35C0DA2D"/>
    <w:rsid w:val="35C25A63"/>
    <w:rsid w:val="35C514E9"/>
    <w:rsid w:val="35C7DFE2"/>
    <w:rsid w:val="35CD14DF"/>
    <w:rsid w:val="35D0E58B"/>
    <w:rsid w:val="35D1631A"/>
    <w:rsid w:val="35D33EEA"/>
    <w:rsid w:val="35D52C77"/>
    <w:rsid w:val="35D7AF5B"/>
    <w:rsid w:val="35D89A35"/>
    <w:rsid w:val="35D97AB3"/>
    <w:rsid w:val="35D9A4B3"/>
    <w:rsid w:val="35D9CBC3"/>
    <w:rsid w:val="35DAD15A"/>
    <w:rsid w:val="35DEE84B"/>
    <w:rsid w:val="35E4920B"/>
    <w:rsid w:val="35E55BBC"/>
    <w:rsid w:val="35E6FBD6"/>
    <w:rsid w:val="35E7932C"/>
    <w:rsid w:val="35E879D5"/>
    <w:rsid w:val="35E8EE68"/>
    <w:rsid w:val="35EA4FCA"/>
    <w:rsid w:val="35EC92A0"/>
    <w:rsid w:val="35EEB69F"/>
    <w:rsid w:val="35F3D171"/>
    <w:rsid w:val="35F40362"/>
    <w:rsid w:val="35F75BA9"/>
    <w:rsid w:val="35FDBDD1"/>
    <w:rsid w:val="35FDDAA9"/>
    <w:rsid w:val="35FE94BD"/>
    <w:rsid w:val="35FF3B1B"/>
    <w:rsid w:val="360203B3"/>
    <w:rsid w:val="36050525"/>
    <w:rsid w:val="3607C8EA"/>
    <w:rsid w:val="3608BD2E"/>
    <w:rsid w:val="36094D84"/>
    <w:rsid w:val="360BFB0F"/>
    <w:rsid w:val="36110A6D"/>
    <w:rsid w:val="3614F83D"/>
    <w:rsid w:val="361737AB"/>
    <w:rsid w:val="3617D408"/>
    <w:rsid w:val="361896C7"/>
    <w:rsid w:val="3618D8D1"/>
    <w:rsid w:val="361E5CF6"/>
    <w:rsid w:val="361F4622"/>
    <w:rsid w:val="3624CC7E"/>
    <w:rsid w:val="36282473"/>
    <w:rsid w:val="3628C3F7"/>
    <w:rsid w:val="36293C97"/>
    <w:rsid w:val="36302F2A"/>
    <w:rsid w:val="3633833F"/>
    <w:rsid w:val="36358762"/>
    <w:rsid w:val="363608C7"/>
    <w:rsid w:val="36366781"/>
    <w:rsid w:val="3636D2BD"/>
    <w:rsid w:val="363805D7"/>
    <w:rsid w:val="3638BAB1"/>
    <w:rsid w:val="363E044B"/>
    <w:rsid w:val="364925A3"/>
    <w:rsid w:val="364999E1"/>
    <w:rsid w:val="364F8013"/>
    <w:rsid w:val="365298DC"/>
    <w:rsid w:val="3652DFCF"/>
    <w:rsid w:val="3655FC26"/>
    <w:rsid w:val="3657B83B"/>
    <w:rsid w:val="3658743C"/>
    <w:rsid w:val="365A66ED"/>
    <w:rsid w:val="365C6E47"/>
    <w:rsid w:val="366576D4"/>
    <w:rsid w:val="36663305"/>
    <w:rsid w:val="366A25F8"/>
    <w:rsid w:val="366C286D"/>
    <w:rsid w:val="366DDB7A"/>
    <w:rsid w:val="366FB5F2"/>
    <w:rsid w:val="3673419D"/>
    <w:rsid w:val="3673E695"/>
    <w:rsid w:val="36751F3C"/>
    <w:rsid w:val="367526D2"/>
    <w:rsid w:val="36769E67"/>
    <w:rsid w:val="367934DB"/>
    <w:rsid w:val="3679F3A6"/>
    <w:rsid w:val="367D4322"/>
    <w:rsid w:val="367E552C"/>
    <w:rsid w:val="3680FCAE"/>
    <w:rsid w:val="3682058C"/>
    <w:rsid w:val="36836816"/>
    <w:rsid w:val="36850677"/>
    <w:rsid w:val="3686A3EC"/>
    <w:rsid w:val="3688F566"/>
    <w:rsid w:val="3689DABD"/>
    <w:rsid w:val="368A213C"/>
    <w:rsid w:val="368FD8A6"/>
    <w:rsid w:val="3691E0FE"/>
    <w:rsid w:val="3692B52F"/>
    <w:rsid w:val="3694B846"/>
    <w:rsid w:val="3696411A"/>
    <w:rsid w:val="3696E4C5"/>
    <w:rsid w:val="36976DA2"/>
    <w:rsid w:val="3698D698"/>
    <w:rsid w:val="369AEF28"/>
    <w:rsid w:val="369B5EA1"/>
    <w:rsid w:val="369D5A11"/>
    <w:rsid w:val="369E7996"/>
    <w:rsid w:val="369FE21C"/>
    <w:rsid w:val="36A1F594"/>
    <w:rsid w:val="36A23E0A"/>
    <w:rsid w:val="36A2DB2E"/>
    <w:rsid w:val="36A58C8C"/>
    <w:rsid w:val="36A6268F"/>
    <w:rsid w:val="36A81752"/>
    <w:rsid w:val="36A829C8"/>
    <w:rsid w:val="36A98F3F"/>
    <w:rsid w:val="36AB421F"/>
    <w:rsid w:val="36AE0968"/>
    <w:rsid w:val="36B03F8A"/>
    <w:rsid w:val="36B4D9F8"/>
    <w:rsid w:val="36BC95E4"/>
    <w:rsid w:val="36C07546"/>
    <w:rsid w:val="36C25530"/>
    <w:rsid w:val="36C28861"/>
    <w:rsid w:val="36C3905B"/>
    <w:rsid w:val="36C51AAC"/>
    <w:rsid w:val="36C53FB6"/>
    <w:rsid w:val="36C60EF6"/>
    <w:rsid w:val="36C65FD5"/>
    <w:rsid w:val="36C8BCD3"/>
    <w:rsid w:val="36C9B5E1"/>
    <w:rsid w:val="36CA53BB"/>
    <w:rsid w:val="36CFAACB"/>
    <w:rsid w:val="36D2908C"/>
    <w:rsid w:val="36D3A577"/>
    <w:rsid w:val="36D4E3CE"/>
    <w:rsid w:val="36D5F07F"/>
    <w:rsid w:val="36D7AD54"/>
    <w:rsid w:val="36D88C1A"/>
    <w:rsid w:val="36D906B9"/>
    <w:rsid w:val="36D96EBD"/>
    <w:rsid w:val="36DBE882"/>
    <w:rsid w:val="36DC0332"/>
    <w:rsid w:val="36DC400F"/>
    <w:rsid w:val="36DF71EE"/>
    <w:rsid w:val="36DFBC93"/>
    <w:rsid w:val="36E2E0B0"/>
    <w:rsid w:val="36E6E3E9"/>
    <w:rsid w:val="36EB09E3"/>
    <w:rsid w:val="36ED6C1C"/>
    <w:rsid w:val="36ED9C20"/>
    <w:rsid w:val="36EDE9B8"/>
    <w:rsid w:val="36EE0DDC"/>
    <w:rsid w:val="36F77E49"/>
    <w:rsid w:val="36FB16D5"/>
    <w:rsid w:val="36FE9E43"/>
    <w:rsid w:val="37049C84"/>
    <w:rsid w:val="37057B2D"/>
    <w:rsid w:val="3709ACC8"/>
    <w:rsid w:val="370A97B2"/>
    <w:rsid w:val="370B8DBA"/>
    <w:rsid w:val="370C08F5"/>
    <w:rsid w:val="3710D583"/>
    <w:rsid w:val="3712DA9C"/>
    <w:rsid w:val="37197BCC"/>
    <w:rsid w:val="371B149B"/>
    <w:rsid w:val="371B35A3"/>
    <w:rsid w:val="371D2AA2"/>
    <w:rsid w:val="371D86A0"/>
    <w:rsid w:val="371E7854"/>
    <w:rsid w:val="3721ED26"/>
    <w:rsid w:val="3723790B"/>
    <w:rsid w:val="3726F45F"/>
    <w:rsid w:val="3729E6DF"/>
    <w:rsid w:val="372C7ECC"/>
    <w:rsid w:val="372CE68F"/>
    <w:rsid w:val="3732E983"/>
    <w:rsid w:val="373424C5"/>
    <w:rsid w:val="3735F578"/>
    <w:rsid w:val="3737ABE7"/>
    <w:rsid w:val="3738B9B9"/>
    <w:rsid w:val="373B6DB7"/>
    <w:rsid w:val="373C177E"/>
    <w:rsid w:val="373CE1B4"/>
    <w:rsid w:val="373F2244"/>
    <w:rsid w:val="3740B6E7"/>
    <w:rsid w:val="37411416"/>
    <w:rsid w:val="37447220"/>
    <w:rsid w:val="374672E6"/>
    <w:rsid w:val="37469CE5"/>
    <w:rsid w:val="3748FC77"/>
    <w:rsid w:val="374A99F2"/>
    <w:rsid w:val="374CB18F"/>
    <w:rsid w:val="374F4118"/>
    <w:rsid w:val="375293AC"/>
    <w:rsid w:val="375A5E33"/>
    <w:rsid w:val="375F8C85"/>
    <w:rsid w:val="3763044E"/>
    <w:rsid w:val="376634A9"/>
    <w:rsid w:val="3767C0A5"/>
    <w:rsid w:val="376BEF52"/>
    <w:rsid w:val="37715B81"/>
    <w:rsid w:val="3772FF38"/>
    <w:rsid w:val="37777D3F"/>
    <w:rsid w:val="377922EC"/>
    <w:rsid w:val="377C1CCE"/>
    <w:rsid w:val="377E2040"/>
    <w:rsid w:val="377FCCD4"/>
    <w:rsid w:val="378161CB"/>
    <w:rsid w:val="37831175"/>
    <w:rsid w:val="3783E50E"/>
    <w:rsid w:val="37890084"/>
    <w:rsid w:val="3789FEAF"/>
    <w:rsid w:val="378AD07A"/>
    <w:rsid w:val="378C24D3"/>
    <w:rsid w:val="378C82B1"/>
    <w:rsid w:val="378D087F"/>
    <w:rsid w:val="378F3228"/>
    <w:rsid w:val="37936424"/>
    <w:rsid w:val="37939B4C"/>
    <w:rsid w:val="3796200F"/>
    <w:rsid w:val="3796EEDD"/>
    <w:rsid w:val="37971F54"/>
    <w:rsid w:val="379A6A9C"/>
    <w:rsid w:val="379AFFCD"/>
    <w:rsid w:val="379CE417"/>
    <w:rsid w:val="379F7E22"/>
    <w:rsid w:val="37A0D8F7"/>
    <w:rsid w:val="37A18F5D"/>
    <w:rsid w:val="37A2DBE4"/>
    <w:rsid w:val="37A38DFE"/>
    <w:rsid w:val="37A82D43"/>
    <w:rsid w:val="37AB1AC7"/>
    <w:rsid w:val="37AB55A3"/>
    <w:rsid w:val="37AE8E46"/>
    <w:rsid w:val="37AF6CEF"/>
    <w:rsid w:val="37AF741D"/>
    <w:rsid w:val="37B12A10"/>
    <w:rsid w:val="37B61319"/>
    <w:rsid w:val="37B696C6"/>
    <w:rsid w:val="37BB581B"/>
    <w:rsid w:val="37BB78D4"/>
    <w:rsid w:val="37BF4420"/>
    <w:rsid w:val="37C2EB38"/>
    <w:rsid w:val="37C40D78"/>
    <w:rsid w:val="37C538B2"/>
    <w:rsid w:val="37C560CD"/>
    <w:rsid w:val="37C6535E"/>
    <w:rsid w:val="37C7D4B5"/>
    <w:rsid w:val="37C927CB"/>
    <w:rsid w:val="37CDEDD6"/>
    <w:rsid w:val="37CFF55B"/>
    <w:rsid w:val="37D1CB6F"/>
    <w:rsid w:val="37D46795"/>
    <w:rsid w:val="37D56AD4"/>
    <w:rsid w:val="37D6198E"/>
    <w:rsid w:val="37D6455E"/>
    <w:rsid w:val="37D8374B"/>
    <w:rsid w:val="37DB22BF"/>
    <w:rsid w:val="37DC5010"/>
    <w:rsid w:val="37E08FB3"/>
    <w:rsid w:val="37E10482"/>
    <w:rsid w:val="37E4C6A9"/>
    <w:rsid w:val="37E64465"/>
    <w:rsid w:val="37E7964D"/>
    <w:rsid w:val="37E7C74A"/>
    <w:rsid w:val="37EB2870"/>
    <w:rsid w:val="37EC3A07"/>
    <w:rsid w:val="37ED3124"/>
    <w:rsid w:val="37EE3245"/>
    <w:rsid w:val="37EEE405"/>
    <w:rsid w:val="37EFC87A"/>
    <w:rsid w:val="37F0CC23"/>
    <w:rsid w:val="37F81A91"/>
    <w:rsid w:val="37F82FAE"/>
    <w:rsid w:val="380216E5"/>
    <w:rsid w:val="3802630D"/>
    <w:rsid w:val="3802EE99"/>
    <w:rsid w:val="3804162C"/>
    <w:rsid w:val="38048B40"/>
    <w:rsid w:val="3805B851"/>
    <w:rsid w:val="3807E684"/>
    <w:rsid w:val="38084EAE"/>
    <w:rsid w:val="380E8DCA"/>
    <w:rsid w:val="3812853D"/>
    <w:rsid w:val="3813C130"/>
    <w:rsid w:val="3813F890"/>
    <w:rsid w:val="3814F82B"/>
    <w:rsid w:val="3815053C"/>
    <w:rsid w:val="381CFEBE"/>
    <w:rsid w:val="382167F7"/>
    <w:rsid w:val="382392F6"/>
    <w:rsid w:val="38253F00"/>
    <w:rsid w:val="3828E36C"/>
    <w:rsid w:val="382AF660"/>
    <w:rsid w:val="382BE3FB"/>
    <w:rsid w:val="382ED4D2"/>
    <w:rsid w:val="383011DD"/>
    <w:rsid w:val="3831E334"/>
    <w:rsid w:val="38321508"/>
    <w:rsid w:val="3834A6F9"/>
    <w:rsid w:val="3834F99A"/>
    <w:rsid w:val="3834FBCC"/>
    <w:rsid w:val="38351797"/>
    <w:rsid w:val="38363589"/>
    <w:rsid w:val="383734EF"/>
    <w:rsid w:val="3837B948"/>
    <w:rsid w:val="38390484"/>
    <w:rsid w:val="38393085"/>
    <w:rsid w:val="383BF87C"/>
    <w:rsid w:val="383CDFE8"/>
    <w:rsid w:val="383CE1A2"/>
    <w:rsid w:val="383CED3C"/>
    <w:rsid w:val="383DA9C0"/>
    <w:rsid w:val="3840683C"/>
    <w:rsid w:val="3843E61B"/>
    <w:rsid w:val="3844D6FC"/>
    <w:rsid w:val="3845960C"/>
    <w:rsid w:val="3846D2CA"/>
    <w:rsid w:val="3848A678"/>
    <w:rsid w:val="384B9C64"/>
    <w:rsid w:val="384CD348"/>
    <w:rsid w:val="384E7BBE"/>
    <w:rsid w:val="384FB015"/>
    <w:rsid w:val="3850E5D9"/>
    <w:rsid w:val="3850E771"/>
    <w:rsid w:val="38529031"/>
    <w:rsid w:val="38539FCD"/>
    <w:rsid w:val="385687A6"/>
    <w:rsid w:val="38572D38"/>
    <w:rsid w:val="38586F2C"/>
    <w:rsid w:val="3862A066"/>
    <w:rsid w:val="3863097D"/>
    <w:rsid w:val="3865337E"/>
    <w:rsid w:val="38684113"/>
    <w:rsid w:val="386966FB"/>
    <w:rsid w:val="3869E4F4"/>
    <w:rsid w:val="386B3E10"/>
    <w:rsid w:val="386F2B3C"/>
    <w:rsid w:val="38726A67"/>
    <w:rsid w:val="38738D22"/>
    <w:rsid w:val="3874ACA5"/>
    <w:rsid w:val="387753A9"/>
    <w:rsid w:val="38779D6B"/>
    <w:rsid w:val="3878D5A9"/>
    <w:rsid w:val="387AE735"/>
    <w:rsid w:val="387B28FD"/>
    <w:rsid w:val="38810A5E"/>
    <w:rsid w:val="38828235"/>
    <w:rsid w:val="3882C41D"/>
    <w:rsid w:val="38846289"/>
    <w:rsid w:val="3885BEEF"/>
    <w:rsid w:val="3886574A"/>
    <w:rsid w:val="3886A414"/>
    <w:rsid w:val="388D7E44"/>
    <w:rsid w:val="3891A246"/>
    <w:rsid w:val="3891B40C"/>
    <w:rsid w:val="3894A18E"/>
    <w:rsid w:val="3896B7FD"/>
    <w:rsid w:val="38999635"/>
    <w:rsid w:val="389BC8C2"/>
    <w:rsid w:val="389D509F"/>
    <w:rsid w:val="389F0E2E"/>
    <w:rsid w:val="38A1457B"/>
    <w:rsid w:val="38A31A0A"/>
    <w:rsid w:val="38A38D62"/>
    <w:rsid w:val="38A3F695"/>
    <w:rsid w:val="38A409BE"/>
    <w:rsid w:val="38A4A275"/>
    <w:rsid w:val="38A77AD8"/>
    <w:rsid w:val="38A78690"/>
    <w:rsid w:val="38A967FD"/>
    <w:rsid w:val="38AC3BBF"/>
    <w:rsid w:val="38AE411C"/>
    <w:rsid w:val="38B3AA48"/>
    <w:rsid w:val="38B7D3C7"/>
    <w:rsid w:val="38B91D42"/>
    <w:rsid w:val="38BD421D"/>
    <w:rsid w:val="38C1C9B1"/>
    <w:rsid w:val="38C350D8"/>
    <w:rsid w:val="38C4F20A"/>
    <w:rsid w:val="38C5E5F9"/>
    <w:rsid w:val="38C65053"/>
    <w:rsid w:val="38C892B1"/>
    <w:rsid w:val="38C9AA11"/>
    <w:rsid w:val="38CAB41E"/>
    <w:rsid w:val="38CCBEF6"/>
    <w:rsid w:val="38CD4AC6"/>
    <w:rsid w:val="38CFFD5E"/>
    <w:rsid w:val="38D14E36"/>
    <w:rsid w:val="38D30488"/>
    <w:rsid w:val="38D30EEA"/>
    <w:rsid w:val="38D3CD5D"/>
    <w:rsid w:val="38D48F65"/>
    <w:rsid w:val="38D98F20"/>
    <w:rsid w:val="38DBE4A3"/>
    <w:rsid w:val="38DE13BF"/>
    <w:rsid w:val="38DF5D00"/>
    <w:rsid w:val="38E0FD5D"/>
    <w:rsid w:val="38E17201"/>
    <w:rsid w:val="38E374A4"/>
    <w:rsid w:val="38EB6CEE"/>
    <w:rsid w:val="38EC9EAC"/>
    <w:rsid w:val="38ED2DF2"/>
    <w:rsid w:val="38EE50B4"/>
    <w:rsid w:val="38EE7D41"/>
    <w:rsid w:val="38EF89ED"/>
    <w:rsid w:val="38F3264E"/>
    <w:rsid w:val="38F4874C"/>
    <w:rsid w:val="38F4EE2E"/>
    <w:rsid w:val="38F944EF"/>
    <w:rsid w:val="38FA1AE9"/>
    <w:rsid w:val="38FB5044"/>
    <w:rsid w:val="39027E82"/>
    <w:rsid w:val="3908BF29"/>
    <w:rsid w:val="390C4496"/>
    <w:rsid w:val="390D5874"/>
    <w:rsid w:val="39145E82"/>
    <w:rsid w:val="391717F2"/>
    <w:rsid w:val="391A1642"/>
    <w:rsid w:val="391DAA32"/>
    <w:rsid w:val="392823D7"/>
    <w:rsid w:val="39292DF4"/>
    <w:rsid w:val="3929F6C9"/>
    <w:rsid w:val="392A3373"/>
    <w:rsid w:val="392E37C3"/>
    <w:rsid w:val="392E5D14"/>
    <w:rsid w:val="392E88F4"/>
    <w:rsid w:val="392F4C30"/>
    <w:rsid w:val="3932FAAD"/>
    <w:rsid w:val="3935EF42"/>
    <w:rsid w:val="393B33EB"/>
    <w:rsid w:val="39403E8E"/>
    <w:rsid w:val="394209EC"/>
    <w:rsid w:val="39432A58"/>
    <w:rsid w:val="39447CC1"/>
    <w:rsid w:val="39486BEE"/>
    <w:rsid w:val="39487A49"/>
    <w:rsid w:val="394D1AC2"/>
    <w:rsid w:val="394E3D32"/>
    <w:rsid w:val="394EAA2D"/>
    <w:rsid w:val="395225F5"/>
    <w:rsid w:val="395427C5"/>
    <w:rsid w:val="3954470C"/>
    <w:rsid w:val="3958A00D"/>
    <w:rsid w:val="395F464D"/>
    <w:rsid w:val="396212DB"/>
    <w:rsid w:val="39626D14"/>
    <w:rsid w:val="39643B18"/>
    <w:rsid w:val="3966280D"/>
    <w:rsid w:val="396711E3"/>
    <w:rsid w:val="396B129F"/>
    <w:rsid w:val="396B2401"/>
    <w:rsid w:val="396D86DB"/>
    <w:rsid w:val="396FC928"/>
    <w:rsid w:val="39714124"/>
    <w:rsid w:val="39740AED"/>
    <w:rsid w:val="397784F0"/>
    <w:rsid w:val="39782A66"/>
    <w:rsid w:val="397A6A61"/>
    <w:rsid w:val="397A746E"/>
    <w:rsid w:val="397B3FE5"/>
    <w:rsid w:val="3980EEB6"/>
    <w:rsid w:val="39832073"/>
    <w:rsid w:val="398574DB"/>
    <w:rsid w:val="3986BD34"/>
    <w:rsid w:val="39875895"/>
    <w:rsid w:val="398A09EF"/>
    <w:rsid w:val="398E4E3F"/>
    <w:rsid w:val="398E645F"/>
    <w:rsid w:val="398F0480"/>
    <w:rsid w:val="39911F1C"/>
    <w:rsid w:val="39930715"/>
    <w:rsid w:val="39975C31"/>
    <w:rsid w:val="39983EDF"/>
    <w:rsid w:val="3999F481"/>
    <w:rsid w:val="399A0A1F"/>
    <w:rsid w:val="399BBE96"/>
    <w:rsid w:val="399C1787"/>
    <w:rsid w:val="399D6354"/>
    <w:rsid w:val="399D87AA"/>
    <w:rsid w:val="399E19E3"/>
    <w:rsid w:val="39A12693"/>
    <w:rsid w:val="39A2347C"/>
    <w:rsid w:val="39A241CE"/>
    <w:rsid w:val="39A2783A"/>
    <w:rsid w:val="39A33C68"/>
    <w:rsid w:val="39A3788B"/>
    <w:rsid w:val="39A40057"/>
    <w:rsid w:val="39A7FA92"/>
    <w:rsid w:val="39A965D2"/>
    <w:rsid w:val="39ABF208"/>
    <w:rsid w:val="39AD7E2B"/>
    <w:rsid w:val="39AECE4E"/>
    <w:rsid w:val="39AF3008"/>
    <w:rsid w:val="39B031D4"/>
    <w:rsid w:val="39B0E659"/>
    <w:rsid w:val="39B241E2"/>
    <w:rsid w:val="39B2AD3A"/>
    <w:rsid w:val="39B459FC"/>
    <w:rsid w:val="39B47A96"/>
    <w:rsid w:val="39B87344"/>
    <w:rsid w:val="39B9B0BA"/>
    <w:rsid w:val="39B9CAE9"/>
    <w:rsid w:val="39BE38EE"/>
    <w:rsid w:val="39BEECF5"/>
    <w:rsid w:val="39BF5C95"/>
    <w:rsid w:val="39BFB131"/>
    <w:rsid w:val="39C30FCF"/>
    <w:rsid w:val="39C3215B"/>
    <w:rsid w:val="39C7FC52"/>
    <w:rsid w:val="39C889D9"/>
    <w:rsid w:val="39CC7E5F"/>
    <w:rsid w:val="39CF5EEF"/>
    <w:rsid w:val="39D0BCBD"/>
    <w:rsid w:val="39D8D205"/>
    <w:rsid w:val="39D99656"/>
    <w:rsid w:val="39DC1AA4"/>
    <w:rsid w:val="39DD3781"/>
    <w:rsid w:val="39DE2860"/>
    <w:rsid w:val="39DF057C"/>
    <w:rsid w:val="39E057B6"/>
    <w:rsid w:val="39E0B891"/>
    <w:rsid w:val="39E1DDFF"/>
    <w:rsid w:val="39E25E58"/>
    <w:rsid w:val="39E8EEDB"/>
    <w:rsid w:val="39ED7C65"/>
    <w:rsid w:val="39EFA5A4"/>
    <w:rsid w:val="39F11B82"/>
    <w:rsid w:val="39F16709"/>
    <w:rsid w:val="39F5248A"/>
    <w:rsid w:val="39F64B2B"/>
    <w:rsid w:val="39F75DC5"/>
    <w:rsid w:val="39F863B4"/>
    <w:rsid w:val="39F9252D"/>
    <w:rsid w:val="39FD6CFC"/>
    <w:rsid w:val="39FD9B0B"/>
    <w:rsid w:val="3A004F81"/>
    <w:rsid w:val="3A01EE96"/>
    <w:rsid w:val="3A0353FF"/>
    <w:rsid w:val="3A043F1B"/>
    <w:rsid w:val="3A04819F"/>
    <w:rsid w:val="3A06CB80"/>
    <w:rsid w:val="3A07AE1B"/>
    <w:rsid w:val="3A0997BB"/>
    <w:rsid w:val="3A0C1D49"/>
    <w:rsid w:val="3A0CE22D"/>
    <w:rsid w:val="3A0DA8A0"/>
    <w:rsid w:val="3A0E4747"/>
    <w:rsid w:val="3A139F32"/>
    <w:rsid w:val="3A198520"/>
    <w:rsid w:val="3A1AAE7B"/>
    <w:rsid w:val="3A1BB0FD"/>
    <w:rsid w:val="3A1C42BC"/>
    <w:rsid w:val="3A21E821"/>
    <w:rsid w:val="3A227475"/>
    <w:rsid w:val="3A23F8A7"/>
    <w:rsid w:val="3A2437D2"/>
    <w:rsid w:val="3A250F4C"/>
    <w:rsid w:val="3A28B022"/>
    <w:rsid w:val="3A29444C"/>
    <w:rsid w:val="3A297364"/>
    <w:rsid w:val="3A29A98A"/>
    <w:rsid w:val="3A29EEB2"/>
    <w:rsid w:val="3A2B0163"/>
    <w:rsid w:val="3A2B8C29"/>
    <w:rsid w:val="3A2F30D2"/>
    <w:rsid w:val="3A321D07"/>
    <w:rsid w:val="3A32C89F"/>
    <w:rsid w:val="3A331E06"/>
    <w:rsid w:val="3A365D71"/>
    <w:rsid w:val="3A38F882"/>
    <w:rsid w:val="3A3926DE"/>
    <w:rsid w:val="3A3C4B73"/>
    <w:rsid w:val="3A40C2BD"/>
    <w:rsid w:val="3A418086"/>
    <w:rsid w:val="3A42EF30"/>
    <w:rsid w:val="3A48109C"/>
    <w:rsid w:val="3A48EB43"/>
    <w:rsid w:val="3A49112D"/>
    <w:rsid w:val="3A4D7AFF"/>
    <w:rsid w:val="3A50BA69"/>
    <w:rsid w:val="3A51512F"/>
    <w:rsid w:val="3A53720A"/>
    <w:rsid w:val="3A53ED78"/>
    <w:rsid w:val="3A5611EA"/>
    <w:rsid w:val="3A572D04"/>
    <w:rsid w:val="3A57D707"/>
    <w:rsid w:val="3A5853D8"/>
    <w:rsid w:val="3A5B4740"/>
    <w:rsid w:val="3A5D24A7"/>
    <w:rsid w:val="3A61220A"/>
    <w:rsid w:val="3A620DA1"/>
    <w:rsid w:val="3A649E07"/>
    <w:rsid w:val="3A665CEF"/>
    <w:rsid w:val="3A699917"/>
    <w:rsid w:val="3A72238E"/>
    <w:rsid w:val="3A74EE6F"/>
    <w:rsid w:val="3A7E78FC"/>
    <w:rsid w:val="3A7E9FFA"/>
    <w:rsid w:val="3A7FB768"/>
    <w:rsid w:val="3A802998"/>
    <w:rsid w:val="3A8325C2"/>
    <w:rsid w:val="3A84162D"/>
    <w:rsid w:val="3A870DA4"/>
    <w:rsid w:val="3A8A4D74"/>
    <w:rsid w:val="3A9A2A4E"/>
    <w:rsid w:val="3A9A647D"/>
    <w:rsid w:val="3A9DF28E"/>
    <w:rsid w:val="3A9E3E4F"/>
    <w:rsid w:val="3A9F8471"/>
    <w:rsid w:val="3A9F92CD"/>
    <w:rsid w:val="3AA09B40"/>
    <w:rsid w:val="3AA0FA6B"/>
    <w:rsid w:val="3AA169E2"/>
    <w:rsid w:val="3AA63294"/>
    <w:rsid w:val="3AA7999D"/>
    <w:rsid w:val="3AA7AC40"/>
    <w:rsid w:val="3AA7C6EE"/>
    <w:rsid w:val="3AACA5D7"/>
    <w:rsid w:val="3AACC3A3"/>
    <w:rsid w:val="3AAD3C4D"/>
    <w:rsid w:val="3AAD70F3"/>
    <w:rsid w:val="3AAE748B"/>
    <w:rsid w:val="3AB20D8C"/>
    <w:rsid w:val="3AB22011"/>
    <w:rsid w:val="3AB362B5"/>
    <w:rsid w:val="3AB5B71D"/>
    <w:rsid w:val="3AB5F377"/>
    <w:rsid w:val="3ABBB562"/>
    <w:rsid w:val="3ABE3072"/>
    <w:rsid w:val="3ABE8857"/>
    <w:rsid w:val="3ABFC711"/>
    <w:rsid w:val="3AC103B2"/>
    <w:rsid w:val="3AC1D167"/>
    <w:rsid w:val="3AC1DCC2"/>
    <w:rsid w:val="3AC292AE"/>
    <w:rsid w:val="3AC5C20E"/>
    <w:rsid w:val="3AC6128C"/>
    <w:rsid w:val="3AC752BC"/>
    <w:rsid w:val="3AC7AA17"/>
    <w:rsid w:val="3ACD65CB"/>
    <w:rsid w:val="3AD266A7"/>
    <w:rsid w:val="3AD322DF"/>
    <w:rsid w:val="3AD53F9C"/>
    <w:rsid w:val="3AD5E3D6"/>
    <w:rsid w:val="3AD947C1"/>
    <w:rsid w:val="3ADA60DD"/>
    <w:rsid w:val="3ADD4F7A"/>
    <w:rsid w:val="3ADE5E95"/>
    <w:rsid w:val="3AE01E15"/>
    <w:rsid w:val="3AE09335"/>
    <w:rsid w:val="3AE0D1C0"/>
    <w:rsid w:val="3AE260EE"/>
    <w:rsid w:val="3AE7B71B"/>
    <w:rsid w:val="3AEA8D8C"/>
    <w:rsid w:val="3AED8A6D"/>
    <w:rsid w:val="3AF556B2"/>
    <w:rsid w:val="3AF6E4E2"/>
    <w:rsid w:val="3AFA6CD6"/>
    <w:rsid w:val="3B0096B5"/>
    <w:rsid w:val="3B017499"/>
    <w:rsid w:val="3B0197EE"/>
    <w:rsid w:val="3B0BF4E6"/>
    <w:rsid w:val="3B121BA8"/>
    <w:rsid w:val="3B128B65"/>
    <w:rsid w:val="3B1A67C1"/>
    <w:rsid w:val="3B1CD80C"/>
    <w:rsid w:val="3B1D0946"/>
    <w:rsid w:val="3B1D7D38"/>
    <w:rsid w:val="3B1DE680"/>
    <w:rsid w:val="3B24E33B"/>
    <w:rsid w:val="3B26ACF9"/>
    <w:rsid w:val="3B281F40"/>
    <w:rsid w:val="3B285618"/>
    <w:rsid w:val="3B2F9BC6"/>
    <w:rsid w:val="3B312C12"/>
    <w:rsid w:val="3B328611"/>
    <w:rsid w:val="3B32AC86"/>
    <w:rsid w:val="3B3431A4"/>
    <w:rsid w:val="3B3973F2"/>
    <w:rsid w:val="3B39C29D"/>
    <w:rsid w:val="3B3AAD11"/>
    <w:rsid w:val="3B3D66A0"/>
    <w:rsid w:val="3B3E0FD6"/>
    <w:rsid w:val="3B3E6980"/>
    <w:rsid w:val="3B41C6EE"/>
    <w:rsid w:val="3B441FEE"/>
    <w:rsid w:val="3B44E517"/>
    <w:rsid w:val="3B4C46F4"/>
    <w:rsid w:val="3B4C88A5"/>
    <w:rsid w:val="3B4FB126"/>
    <w:rsid w:val="3B50600F"/>
    <w:rsid w:val="3B5236A6"/>
    <w:rsid w:val="3B52AE5E"/>
    <w:rsid w:val="3B578EC7"/>
    <w:rsid w:val="3B595EEC"/>
    <w:rsid w:val="3B5D0F2B"/>
    <w:rsid w:val="3B5F00F8"/>
    <w:rsid w:val="3B5F321A"/>
    <w:rsid w:val="3B5FB750"/>
    <w:rsid w:val="3B602F05"/>
    <w:rsid w:val="3B6117A7"/>
    <w:rsid w:val="3B665573"/>
    <w:rsid w:val="3B699DA0"/>
    <w:rsid w:val="3B6AC8CF"/>
    <w:rsid w:val="3B6C1FE1"/>
    <w:rsid w:val="3B6FE330"/>
    <w:rsid w:val="3B714BDC"/>
    <w:rsid w:val="3B7271D1"/>
    <w:rsid w:val="3B72F2DE"/>
    <w:rsid w:val="3B7354D0"/>
    <w:rsid w:val="3B73626E"/>
    <w:rsid w:val="3B75214F"/>
    <w:rsid w:val="3B76CBB7"/>
    <w:rsid w:val="3B76D82E"/>
    <w:rsid w:val="3B77B67F"/>
    <w:rsid w:val="3B795154"/>
    <w:rsid w:val="3B7B5122"/>
    <w:rsid w:val="3B7E1D01"/>
    <w:rsid w:val="3B849166"/>
    <w:rsid w:val="3B855497"/>
    <w:rsid w:val="3B87074B"/>
    <w:rsid w:val="3B87C06E"/>
    <w:rsid w:val="3B89DF8A"/>
    <w:rsid w:val="3B8B21EC"/>
    <w:rsid w:val="3B8C1170"/>
    <w:rsid w:val="3B8E0977"/>
    <w:rsid w:val="3B8F9A1A"/>
    <w:rsid w:val="3B90A9AA"/>
    <w:rsid w:val="3B92AD75"/>
    <w:rsid w:val="3B93B892"/>
    <w:rsid w:val="3B95528D"/>
    <w:rsid w:val="3B956C36"/>
    <w:rsid w:val="3B9995AF"/>
    <w:rsid w:val="3B99EA69"/>
    <w:rsid w:val="3B9A9DB0"/>
    <w:rsid w:val="3B9CA90B"/>
    <w:rsid w:val="3B9CF10C"/>
    <w:rsid w:val="3B9D984C"/>
    <w:rsid w:val="3BA55855"/>
    <w:rsid w:val="3BA85161"/>
    <w:rsid w:val="3BABF713"/>
    <w:rsid w:val="3BACF73D"/>
    <w:rsid w:val="3BADDCC8"/>
    <w:rsid w:val="3BB477A6"/>
    <w:rsid w:val="3BB49219"/>
    <w:rsid w:val="3BB60FCB"/>
    <w:rsid w:val="3BB6F800"/>
    <w:rsid w:val="3BB728BB"/>
    <w:rsid w:val="3BB7405D"/>
    <w:rsid w:val="3BB86AED"/>
    <w:rsid w:val="3BB873F0"/>
    <w:rsid w:val="3BBA0D88"/>
    <w:rsid w:val="3BBD33D3"/>
    <w:rsid w:val="3BC1C492"/>
    <w:rsid w:val="3BC21502"/>
    <w:rsid w:val="3BC4ADE2"/>
    <w:rsid w:val="3BC73EB6"/>
    <w:rsid w:val="3BCA5136"/>
    <w:rsid w:val="3BCBE65C"/>
    <w:rsid w:val="3BCC8694"/>
    <w:rsid w:val="3BD02CBC"/>
    <w:rsid w:val="3BD23AD0"/>
    <w:rsid w:val="3BD684CB"/>
    <w:rsid w:val="3BDD71E6"/>
    <w:rsid w:val="3BDFE358"/>
    <w:rsid w:val="3BE8598C"/>
    <w:rsid w:val="3BECCC00"/>
    <w:rsid w:val="3BF86A38"/>
    <w:rsid w:val="3BFAC5FE"/>
    <w:rsid w:val="3BFAE7DF"/>
    <w:rsid w:val="3BFD1814"/>
    <w:rsid w:val="3BFE5A59"/>
    <w:rsid w:val="3BFECE3E"/>
    <w:rsid w:val="3C042BAF"/>
    <w:rsid w:val="3C0584EE"/>
    <w:rsid w:val="3C06FE1E"/>
    <w:rsid w:val="3C0728F5"/>
    <w:rsid w:val="3C086E0E"/>
    <w:rsid w:val="3C0BA8ED"/>
    <w:rsid w:val="3C0CC727"/>
    <w:rsid w:val="3C110033"/>
    <w:rsid w:val="3C1175D8"/>
    <w:rsid w:val="3C1411F5"/>
    <w:rsid w:val="3C142ADA"/>
    <w:rsid w:val="3C143308"/>
    <w:rsid w:val="3C143B38"/>
    <w:rsid w:val="3C168160"/>
    <w:rsid w:val="3C1AEA77"/>
    <w:rsid w:val="3C1B37A5"/>
    <w:rsid w:val="3C249960"/>
    <w:rsid w:val="3C256A95"/>
    <w:rsid w:val="3C2A3AA8"/>
    <w:rsid w:val="3C2D92D2"/>
    <w:rsid w:val="3C2FA7EA"/>
    <w:rsid w:val="3C2FE5E5"/>
    <w:rsid w:val="3C309A2D"/>
    <w:rsid w:val="3C387C7F"/>
    <w:rsid w:val="3C3AAE06"/>
    <w:rsid w:val="3C3ACEA8"/>
    <w:rsid w:val="3C3BE775"/>
    <w:rsid w:val="3C4131E8"/>
    <w:rsid w:val="3C41C180"/>
    <w:rsid w:val="3C428D88"/>
    <w:rsid w:val="3C436B7E"/>
    <w:rsid w:val="3C447042"/>
    <w:rsid w:val="3C45EA7C"/>
    <w:rsid w:val="3C46DE95"/>
    <w:rsid w:val="3C4AC425"/>
    <w:rsid w:val="3C4C36D3"/>
    <w:rsid w:val="3C547D22"/>
    <w:rsid w:val="3C567B69"/>
    <w:rsid w:val="3C5DE5C1"/>
    <w:rsid w:val="3C5F987B"/>
    <w:rsid w:val="3C614D23"/>
    <w:rsid w:val="3C6307BC"/>
    <w:rsid w:val="3C64F356"/>
    <w:rsid w:val="3C669FAA"/>
    <w:rsid w:val="3C677BAA"/>
    <w:rsid w:val="3C678253"/>
    <w:rsid w:val="3C6846AF"/>
    <w:rsid w:val="3C6867CA"/>
    <w:rsid w:val="3C69173E"/>
    <w:rsid w:val="3C6B09D1"/>
    <w:rsid w:val="3C6BE074"/>
    <w:rsid w:val="3C6D4E2B"/>
    <w:rsid w:val="3C6E8EEB"/>
    <w:rsid w:val="3C6E9BA8"/>
    <w:rsid w:val="3C6EB26D"/>
    <w:rsid w:val="3C6EF6B1"/>
    <w:rsid w:val="3C6F18FB"/>
    <w:rsid w:val="3C75164A"/>
    <w:rsid w:val="3C76614B"/>
    <w:rsid w:val="3C7BA03A"/>
    <w:rsid w:val="3C7BAE7F"/>
    <w:rsid w:val="3C845C7A"/>
    <w:rsid w:val="3C853C23"/>
    <w:rsid w:val="3C8557C4"/>
    <w:rsid w:val="3C85647C"/>
    <w:rsid w:val="3C888CFD"/>
    <w:rsid w:val="3C88ECA4"/>
    <w:rsid w:val="3C8E31EF"/>
    <w:rsid w:val="3C8E9AEC"/>
    <w:rsid w:val="3C950E6F"/>
    <w:rsid w:val="3C953D1F"/>
    <w:rsid w:val="3C996F1A"/>
    <w:rsid w:val="3C9FB86C"/>
    <w:rsid w:val="3CA32A7C"/>
    <w:rsid w:val="3CA5392D"/>
    <w:rsid w:val="3CA5F19A"/>
    <w:rsid w:val="3CA8E600"/>
    <w:rsid w:val="3CAB82C8"/>
    <w:rsid w:val="3CABAA06"/>
    <w:rsid w:val="3CAC5910"/>
    <w:rsid w:val="3CAC838A"/>
    <w:rsid w:val="3CB22BCA"/>
    <w:rsid w:val="3CB3BABB"/>
    <w:rsid w:val="3CB8A86D"/>
    <w:rsid w:val="3CB9CA68"/>
    <w:rsid w:val="3CBACE0B"/>
    <w:rsid w:val="3CBC7CB1"/>
    <w:rsid w:val="3CBD7785"/>
    <w:rsid w:val="3CBE5DB7"/>
    <w:rsid w:val="3CC1B381"/>
    <w:rsid w:val="3CC312BA"/>
    <w:rsid w:val="3CC31732"/>
    <w:rsid w:val="3CC46F4E"/>
    <w:rsid w:val="3CC86DCF"/>
    <w:rsid w:val="3CC8DB63"/>
    <w:rsid w:val="3CCBEC1B"/>
    <w:rsid w:val="3CCC22EE"/>
    <w:rsid w:val="3CCC4E5D"/>
    <w:rsid w:val="3CCC76D4"/>
    <w:rsid w:val="3CCCA051"/>
    <w:rsid w:val="3CCDBC9F"/>
    <w:rsid w:val="3CCF4733"/>
    <w:rsid w:val="3CD1C733"/>
    <w:rsid w:val="3CD24142"/>
    <w:rsid w:val="3CD7091E"/>
    <w:rsid w:val="3CDB144B"/>
    <w:rsid w:val="3CDBEC69"/>
    <w:rsid w:val="3CE0443E"/>
    <w:rsid w:val="3CE07E87"/>
    <w:rsid w:val="3CE10694"/>
    <w:rsid w:val="3CE2A97D"/>
    <w:rsid w:val="3CE3B338"/>
    <w:rsid w:val="3CE61C48"/>
    <w:rsid w:val="3CE9D039"/>
    <w:rsid w:val="3CEB2A1B"/>
    <w:rsid w:val="3CEB2FE0"/>
    <w:rsid w:val="3CEDF2AA"/>
    <w:rsid w:val="3CEFC848"/>
    <w:rsid w:val="3CF16DCA"/>
    <w:rsid w:val="3CF627B8"/>
    <w:rsid w:val="3CF785D6"/>
    <w:rsid w:val="3CF8FFA5"/>
    <w:rsid w:val="3CFF2386"/>
    <w:rsid w:val="3D0035AA"/>
    <w:rsid w:val="3D00FE9B"/>
    <w:rsid w:val="3D06082D"/>
    <w:rsid w:val="3D084BC8"/>
    <w:rsid w:val="3D0FF04E"/>
    <w:rsid w:val="3D0FF04F"/>
    <w:rsid w:val="3D12D7B3"/>
    <w:rsid w:val="3D12ED60"/>
    <w:rsid w:val="3D16C691"/>
    <w:rsid w:val="3D194ABE"/>
    <w:rsid w:val="3D1999AE"/>
    <w:rsid w:val="3D1AAF59"/>
    <w:rsid w:val="3D1AD21C"/>
    <w:rsid w:val="3D1BA04D"/>
    <w:rsid w:val="3D1EC56F"/>
    <w:rsid w:val="3D219DC8"/>
    <w:rsid w:val="3D250410"/>
    <w:rsid w:val="3D2AFE2D"/>
    <w:rsid w:val="3D2B4EC5"/>
    <w:rsid w:val="3D2CCA62"/>
    <w:rsid w:val="3D2CD4D9"/>
    <w:rsid w:val="3D2E05D1"/>
    <w:rsid w:val="3D2E819E"/>
    <w:rsid w:val="3D2F8E8E"/>
    <w:rsid w:val="3D308064"/>
    <w:rsid w:val="3D3171B2"/>
    <w:rsid w:val="3D35395C"/>
    <w:rsid w:val="3D35794F"/>
    <w:rsid w:val="3D39108D"/>
    <w:rsid w:val="3D3CCF58"/>
    <w:rsid w:val="3D3E2257"/>
    <w:rsid w:val="3D3F2DAB"/>
    <w:rsid w:val="3D411423"/>
    <w:rsid w:val="3D45870E"/>
    <w:rsid w:val="3D4749B0"/>
    <w:rsid w:val="3D4A820D"/>
    <w:rsid w:val="3D4AD231"/>
    <w:rsid w:val="3D4CBE36"/>
    <w:rsid w:val="3D5148D9"/>
    <w:rsid w:val="3D53111B"/>
    <w:rsid w:val="3D54BD21"/>
    <w:rsid w:val="3D5629F7"/>
    <w:rsid w:val="3D56FA77"/>
    <w:rsid w:val="3D574FFE"/>
    <w:rsid w:val="3D5C71DE"/>
    <w:rsid w:val="3D5C82B4"/>
    <w:rsid w:val="3D60739E"/>
    <w:rsid w:val="3D611608"/>
    <w:rsid w:val="3D6347FA"/>
    <w:rsid w:val="3D63C4DC"/>
    <w:rsid w:val="3D6538B6"/>
    <w:rsid w:val="3D656146"/>
    <w:rsid w:val="3D67315D"/>
    <w:rsid w:val="3D67A6A3"/>
    <w:rsid w:val="3D693D96"/>
    <w:rsid w:val="3D6A1CA1"/>
    <w:rsid w:val="3D6ED461"/>
    <w:rsid w:val="3D6FA6FB"/>
    <w:rsid w:val="3D6FE1C5"/>
    <w:rsid w:val="3D7014FA"/>
    <w:rsid w:val="3D7155B9"/>
    <w:rsid w:val="3D71BE7F"/>
    <w:rsid w:val="3D751B1D"/>
    <w:rsid w:val="3D7793E9"/>
    <w:rsid w:val="3D7826F9"/>
    <w:rsid w:val="3D783FD4"/>
    <w:rsid w:val="3D7DD859"/>
    <w:rsid w:val="3D7F45A2"/>
    <w:rsid w:val="3D7FA497"/>
    <w:rsid w:val="3D81E69D"/>
    <w:rsid w:val="3D823103"/>
    <w:rsid w:val="3D836F59"/>
    <w:rsid w:val="3D842692"/>
    <w:rsid w:val="3D88E45E"/>
    <w:rsid w:val="3D892E1C"/>
    <w:rsid w:val="3D8CE053"/>
    <w:rsid w:val="3D901B3D"/>
    <w:rsid w:val="3D9056D1"/>
    <w:rsid w:val="3D90EE3B"/>
    <w:rsid w:val="3D91D65F"/>
    <w:rsid w:val="3D93D8FF"/>
    <w:rsid w:val="3D944472"/>
    <w:rsid w:val="3D9695A7"/>
    <w:rsid w:val="3D9D7E99"/>
    <w:rsid w:val="3D9E5D83"/>
    <w:rsid w:val="3D9EF941"/>
    <w:rsid w:val="3D9F58B9"/>
    <w:rsid w:val="3D9F6CF9"/>
    <w:rsid w:val="3DA064EF"/>
    <w:rsid w:val="3DA2D864"/>
    <w:rsid w:val="3DA51F33"/>
    <w:rsid w:val="3DA9CC26"/>
    <w:rsid w:val="3DABDFF4"/>
    <w:rsid w:val="3DAD2602"/>
    <w:rsid w:val="3DADE9C2"/>
    <w:rsid w:val="3DAFC6A3"/>
    <w:rsid w:val="3DB19AD0"/>
    <w:rsid w:val="3DB27761"/>
    <w:rsid w:val="3DB58D45"/>
    <w:rsid w:val="3DB79F25"/>
    <w:rsid w:val="3DB86FD7"/>
    <w:rsid w:val="3DB93264"/>
    <w:rsid w:val="3DB9A34D"/>
    <w:rsid w:val="3DBCF25C"/>
    <w:rsid w:val="3DC050FA"/>
    <w:rsid w:val="3DC0F9A1"/>
    <w:rsid w:val="3DC1A03C"/>
    <w:rsid w:val="3DC6E4A4"/>
    <w:rsid w:val="3DC9185F"/>
    <w:rsid w:val="3DC9BDD6"/>
    <w:rsid w:val="3DCA4AFF"/>
    <w:rsid w:val="3DCBCFDC"/>
    <w:rsid w:val="3DCC2FA5"/>
    <w:rsid w:val="3DCF60F3"/>
    <w:rsid w:val="3DCF6866"/>
    <w:rsid w:val="3DCF9BFD"/>
    <w:rsid w:val="3DD07FB2"/>
    <w:rsid w:val="3DD0908E"/>
    <w:rsid w:val="3DD0A978"/>
    <w:rsid w:val="3DD0F3AD"/>
    <w:rsid w:val="3DD122D6"/>
    <w:rsid w:val="3DD30CB5"/>
    <w:rsid w:val="3DD384D2"/>
    <w:rsid w:val="3DD4F2DF"/>
    <w:rsid w:val="3DD719D0"/>
    <w:rsid w:val="3DD902D3"/>
    <w:rsid w:val="3DDB85E3"/>
    <w:rsid w:val="3DDDE5F8"/>
    <w:rsid w:val="3DDF163F"/>
    <w:rsid w:val="3DE5D7EF"/>
    <w:rsid w:val="3DE77B59"/>
    <w:rsid w:val="3DEAE833"/>
    <w:rsid w:val="3DF136EF"/>
    <w:rsid w:val="3DF30101"/>
    <w:rsid w:val="3DF5FC57"/>
    <w:rsid w:val="3DF619DA"/>
    <w:rsid w:val="3DFA0F4F"/>
    <w:rsid w:val="3DFE0079"/>
    <w:rsid w:val="3E018D9B"/>
    <w:rsid w:val="3E04654A"/>
    <w:rsid w:val="3E069000"/>
    <w:rsid w:val="3E07CC58"/>
    <w:rsid w:val="3E097180"/>
    <w:rsid w:val="3E0A102B"/>
    <w:rsid w:val="3E12136A"/>
    <w:rsid w:val="3E138413"/>
    <w:rsid w:val="3E139247"/>
    <w:rsid w:val="3E13B546"/>
    <w:rsid w:val="3E13EA3E"/>
    <w:rsid w:val="3E198787"/>
    <w:rsid w:val="3E1B8229"/>
    <w:rsid w:val="3E1D3AAD"/>
    <w:rsid w:val="3E1DCBE5"/>
    <w:rsid w:val="3E1E5018"/>
    <w:rsid w:val="3E1F1D6B"/>
    <w:rsid w:val="3E214E1D"/>
    <w:rsid w:val="3E22972B"/>
    <w:rsid w:val="3E23AF2A"/>
    <w:rsid w:val="3E2553D4"/>
    <w:rsid w:val="3E266595"/>
    <w:rsid w:val="3E27A25D"/>
    <w:rsid w:val="3E285242"/>
    <w:rsid w:val="3E2CD043"/>
    <w:rsid w:val="3E2F644B"/>
    <w:rsid w:val="3E3041B9"/>
    <w:rsid w:val="3E305D2A"/>
    <w:rsid w:val="3E30F3B7"/>
    <w:rsid w:val="3E31AB6F"/>
    <w:rsid w:val="3E32372A"/>
    <w:rsid w:val="3E335D3B"/>
    <w:rsid w:val="3E34FEDD"/>
    <w:rsid w:val="3E3964B9"/>
    <w:rsid w:val="3E3A538D"/>
    <w:rsid w:val="3E3B48BA"/>
    <w:rsid w:val="3E3BEA06"/>
    <w:rsid w:val="3E409ADE"/>
    <w:rsid w:val="3E422AB3"/>
    <w:rsid w:val="3E440328"/>
    <w:rsid w:val="3E45DB7F"/>
    <w:rsid w:val="3E4A7C61"/>
    <w:rsid w:val="3E4C293F"/>
    <w:rsid w:val="3E4D597B"/>
    <w:rsid w:val="3E5156A6"/>
    <w:rsid w:val="3E519DC2"/>
    <w:rsid w:val="3E51B5E3"/>
    <w:rsid w:val="3E540467"/>
    <w:rsid w:val="3E5440FF"/>
    <w:rsid w:val="3E54AB40"/>
    <w:rsid w:val="3E54D501"/>
    <w:rsid w:val="3E5775C1"/>
    <w:rsid w:val="3E594EA1"/>
    <w:rsid w:val="3E5D9D14"/>
    <w:rsid w:val="3E5DC6E1"/>
    <w:rsid w:val="3E6079A4"/>
    <w:rsid w:val="3E674D75"/>
    <w:rsid w:val="3E68F47E"/>
    <w:rsid w:val="3E6ABDB4"/>
    <w:rsid w:val="3E6E1E47"/>
    <w:rsid w:val="3E707655"/>
    <w:rsid w:val="3E707EFB"/>
    <w:rsid w:val="3E7640A8"/>
    <w:rsid w:val="3E76700B"/>
    <w:rsid w:val="3E7A5A2D"/>
    <w:rsid w:val="3E7F2E58"/>
    <w:rsid w:val="3E8220A1"/>
    <w:rsid w:val="3E8463FC"/>
    <w:rsid w:val="3E86200C"/>
    <w:rsid w:val="3E86E3BC"/>
    <w:rsid w:val="3E88C8E6"/>
    <w:rsid w:val="3E8987D4"/>
    <w:rsid w:val="3E8B5160"/>
    <w:rsid w:val="3E90567D"/>
    <w:rsid w:val="3E92F845"/>
    <w:rsid w:val="3E967C99"/>
    <w:rsid w:val="3E96C8A1"/>
    <w:rsid w:val="3E9759EE"/>
    <w:rsid w:val="3E98562F"/>
    <w:rsid w:val="3E98AB55"/>
    <w:rsid w:val="3E9A7A3C"/>
    <w:rsid w:val="3E9BFAF7"/>
    <w:rsid w:val="3EA4755B"/>
    <w:rsid w:val="3EA9C549"/>
    <w:rsid w:val="3EAB7111"/>
    <w:rsid w:val="3EABEEFC"/>
    <w:rsid w:val="3EAD692E"/>
    <w:rsid w:val="3EB1A5BE"/>
    <w:rsid w:val="3EB2B031"/>
    <w:rsid w:val="3EB4DDBD"/>
    <w:rsid w:val="3EB691F2"/>
    <w:rsid w:val="3EB8F419"/>
    <w:rsid w:val="3EBA30D0"/>
    <w:rsid w:val="3EBB2D0F"/>
    <w:rsid w:val="3EBBD5FE"/>
    <w:rsid w:val="3EBC855D"/>
    <w:rsid w:val="3EBC8A90"/>
    <w:rsid w:val="3EBCA236"/>
    <w:rsid w:val="3EBDD8FC"/>
    <w:rsid w:val="3EC183E2"/>
    <w:rsid w:val="3EC27E0A"/>
    <w:rsid w:val="3EC5B10F"/>
    <w:rsid w:val="3EC62A21"/>
    <w:rsid w:val="3EC8ECCF"/>
    <w:rsid w:val="3EC9F05C"/>
    <w:rsid w:val="3ECA2AA2"/>
    <w:rsid w:val="3ECB9307"/>
    <w:rsid w:val="3ECD4FD3"/>
    <w:rsid w:val="3ECF789A"/>
    <w:rsid w:val="3ED22BD8"/>
    <w:rsid w:val="3ED31FB1"/>
    <w:rsid w:val="3ED321E2"/>
    <w:rsid w:val="3ED3818E"/>
    <w:rsid w:val="3ED39F38"/>
    <w:rsid w:val="3ED5F0D5"/>
    <w:rsid w:val="3ED6D70E"/>
    <w:rsid w:val="3ED8DDB5"/>
    <w:rsid w:val="3EDBA0E5"/>
    <w:rsid w:val="3EDC2D82"/>
    <w:rsid w:val="3EDFFD5E"/>
    <w:rsid w:val="3EE06EF6"/>
    <w:rsid w:val="3EE0867A"/>
    <w:rsid w:val="3EE1AA93"/>
    <w:rsid w:val="3EE617E4"/>
    <w:rsid w:val="3EE96C4A"/>
    <w:rsid w:val="3EEA055F"/>
    <w:rsid w:val="3EEB8467"/>
    <w:rsid w:val="3EED12ED"/>
    <w:rsid w:val="3EF2A4C4"/>
    <w:rsid w:val="3EF53589"/>
    <w:rsid w:val="3EF65816"/>
    <w:rsid w:val="3EF7BBEC"/>
    <w:rsid w:val="3EF85619"/>
    <w:rsid w:val="3EFB05E9"/>
    <w:rsid w:val="3EFC863C"/>
    <w:rsid w:val="3F009095"/>
    <w:rsid w:val="3F025FB8"/>
    <w:rsid w:val="3F039648"/>
    <w:rsid w:val="3F03A960"/>
    <w:rsid w:val="3F04B003"/>
    <w:rsid w:val="3F0C1835"/>
    <w:rsid w:val="3F0D1FF1"/>
    <w:rsid w:val="3F106ED4"/>
    <w:rsid w:val="3F11DF4A"/>
    <w:rsid w:val="3F14C96F"/>
    <w:rsid w:val="3F17F410"/>
    <w:rsid w:val="3F1828AC"/>
    <w:rsid w:val="3F19513D"/>
    <w:rsid w:val="3F1AC87D"/>
    <w:rsid w:val="3F1B1603"/>
    <w:rsid w:val="3F1D3DEE"/>
    <w:rsid w:val="3F1F6EC2"/>
    <w:rsid w:val="3F240528"/>
    <w:rsid w:val="3F259889"/>
    <w:rsid w:val="3F26404F"/>
    <w:rsid w:val="3F27B2BE"/>
    <w:rsid w:val="3F28E34F"/>
    <w:rsid w:val="3F28FC51"/>
    <w:rsid w:val="3F2A515F"/>
    <w:rsid w:val="3F2FC5D4"/>
    <w:rsid w:val="3F34376F"/>
    <w:rsid w:val="3F356A2D"/>
    <w:rsid w:val="3F36186E"/>
    <w:rsid w:val="3F3B081A"/>
    <w:rsid w:val="3F3B18B3"/>
    <w:rsid w:val="3F3BCC18"/>
    <w:rsid w:val="3F3CD2F4"/>
    <w:rsid w:val="3F3D881A"/>
    <w:rsid w:val="3F3DA97C"/>
    <w:rsid w:val="3F3DA97F"/>
    <w:rsid w:val="3F3DEAA1"/>
    <w:rsid w:val="3F4016F4"/>
    <w:rsid w:val="3F405C04"/>
    <w:rsid w:val="3F446A0F"/>
    <w:rsid w:val="3F4494A9"/>
    <w:rsid w:val="3F44F8D5"/>
    <w:rsid w:val="3F4543FA"/>
    <w:rsid w:val="3F45C8DB"/>
    <w:rsid w:val="3F4C1FB4"/>
    <w:rsid w:val="3F4C2F29"/>
    <w:rsid w:val="3F4D3879"/>
    <w:rsid w:val="3F4EA542"/>
    <w:rsid w:val="3F5244AD"/>
    <w:rsid w:val="3F53985D"/>
    <w:rsid w:val="3F53AE72"/>
    <w:rsid w:val="3F564BDF"/>
    <w:rsid w:val="3F59C045"/>
    <w:rsid w:val="3F658E37"/>
    <w:rsid w:val="3F6A678B"/>
    <w:rsid w:val="3F6B7074"/>
    <w:rsid w:val="3F6C068E"/>
    <w:rsid w:val="3F6E9251"/>
    <w:rsid w:val="3F6F80F7"/>
    <w:rsid w:val="3F6FAA7E"/>
    <w:rsid w:val="3F748A0B"/>
    <w:rsid w:val="3F751F4E"/>
    <w:rsid w:val="3F78B68D"/>
    <w:rsid w:val="3F7A397E"/>
    <w:rsid w:val="3F7A5651"/>
    <w:rsid w:val="3F7AC574"/>
    <w:rsid w:val="3F7B5D93"/>
    <w:rsid w:val="3F7D4F58"/>
    <w:rsid w:val="3F7EFCD5"/>
    <w:rsid w:val="3F7FF072"/>
    <w:rsid w:val="3F80A5F7"/>
    <w:rsid w:val="3F868B72"/>
    <w:rsid w:val="3F891C16"/>
    <w:rsid w:val="3F8A8219"/>
    <w:rsid w:val="3F8BE7E3"/>
    <w:rsid w:val="3F8E81E9"/>
    <w:rsid w:val="3F8F203C"/>
    <w:rsid w:val="3F90554E"/>
    <w:rsid w:val="3F927D74"/>
    <w:rsid w:val="3F934142"/>
    <w:rsid w:val="3F953ABC"/>
    <w:rsid w:val="3F9B3DBF"/>
    <w:rsid w:val="3F9B933D"/>
    <w:rsid w:val="3F9ECB28"/>
    <w:rsid w:val="3FA63B94"/>
    <w:rsid w:val="3FA9AB60"/>
    <w:rsid w:val="3FACD041"/>
    <w:rsid w:val="3FAD78A9"/>
    <w:rsid w:val="3FB13AE8"/>
    <w:rsid w:val="3FB44DDD"/>
    <w:rsid w:val="3FB6F81C"/>
    <w:rsid w:val="3FB7034F"/>
    <w:rsid w:val="3FB722CB"/>
    <w:rsid w:val="3FB9096F"/>
    <w:rsid w:val="3FB99904"/>
    <w:rsid w:val="3FBDF62B"/>
    <w:rsid w:val="3FBEB2B9"/>
    <w:rsid w:val="3FC06778"/>
    <w:rsid w:val="3FC49CE5"/>
    <w:rsid w:val="3FCBB46F"/>
    <w:rsid w:val="3FCDE8D3"/>
    <w:rsid w:val="3FD013D9"/>
    <w:rsid w:val="3FD06F15"/>
    <w:rsid w:val="3FD64D15"/>
    <w:rsid w:val="3FD6CCA1"/>
    <w:rsid w:val="3FD75538"/>
    <w:rsid w:val="3FD8F212"/>
    <w:rsid w:val="3FDAB2B6"/>
    <w:rsid w:val="3FE05227"/>
    <w:rsid w:val="3FE0578D"/>
    <w:rsid w:val="3FE26FC0"/>
    <w:rsid w:val="3FE2CB96"/>
    <w:rsid w:val="3FE32437"/>
    <w:rsid w:val="3FE6F4AB"/>
    <w:rsid w:val="3FE738EB"/>
    <w:rsid w:val="3FE89F12"/>
    <w:rsid w:val="3FE90C5A"/>
    <w:rsid w:val="3FEA93A3"/>
    <w:rsid w:val="3FEBDFCF"/>
    <w:rsid w:val="3FEDF60A"/>
    <w:rsid w:val="3FEE79EF"/>
    <w:rsid w:val="3FEF7626"/>
    <w:rsid w:val="3FF06B0E"/>
    <w:rsid w:val="3FF6BD0A"/>
    <w:rsid w:val="3FFA6B67"/>
    <w:rsid w:val="3FFB17C8"/>
    <w:rsid w:val="3FFE16B8"/>
    <w:rsid w:val="3FFE86F7"/>
    <w:rsid w:val="4002712A"/>
    <w:rsid w:val="40059CBD"/>
    <w:rsid w:val="4007D10D"/>
    <w:rsid w:val="40083B98"/>
    <w:rsid w:val="400E54C2"/>
    <w:rsid w:val="4013F7EE"/>
    <w:rsid w:val="401603DF"/>
    <w:rsid w:val="4016CAE7"/>
    <w:rsid w:val="4019F888"/>
    <w:rsid w:val="401FA767"/>
    <w:rsid w:val="40223C5E"/>
    <w:rsid w:val="4023228E"/>
    <w:rsid w:val="4024AEC0"/>
    <w:rsid w:val="4028D535"/>
    <w:rsid w:val="402BADB1"/>
    <w:rsid w:val="402D36A1"/>
    <w:rsid w:val="402EBBE3"/>
    <w:rsid w:val="402F23B4"/>
    <w:rsid w:val="40309563"/>
    <w:rsid w:val="4033E078"/>
    <w:rsid w:val="40359667"/>
    <w:rsid w:val="4036F95B"/>
    <w:rsid w:val="4036FAD6"/>
    <w:rsid w:val="40384E1D"/>
    <w:rsid w:val="403929D0"/>
    <w:rsid w:val="403DB8D0"/>
    <w:rsid w:val="4040A46E"/>
    <w:rsid w:val="4042E2ED"/>
    <w:rsid w:val="4045044E"/>
    <w:rsid w:val="404532FE"/>
    <w:rsid w:val="4046D921"/>
    <w:rsid w:val="404BA007"/>
    <w:rsid w:val="404D0E9E"/>
    <w:rsid w:val="404D8B5B"/>
    <w:rsid w:val="404E73F3"/>
    <w:rsid w:val="404F1632"/>
    <w:rsid w:val="40542D98"/>
    <w:rsid w:val="40560CA6"/>
    <w:rsid w:val="40598DA3"/>
    <w:rsid w:val="405CB865"/>
    <w:rsid w:val="40615575"/>
    <w:rsid w:val="40638A9C"/>
    <w:rsid w:val="4063D489"/>
    <w:rsid w:val="406AE769"/>
    <w:rsid w:val="406C158C"/>
    <w:rsid w:val="406D7636"/>
    <w:rsid w:val="406DECD7"/>
    <w:rsid w:val="406EF6FE"/>
    <w:rsid w:val="407001AA"/>
    <w:rsid w:val="40700BDB"/>
    <w:rsid w:val="4070172A"/>
    <w:rsid w:val="4070BB9B"/>
    <w:rsid w:val="4071EF2D"/>
    <w:rsid w:val="40736DF2"/>
    <w:rsid w:val="4074FB02"/>
    <w:rsid w:val="407AA556"/>
    <w:rsid w:val="407C1705"/>
    <w:rsid w:val="407CAA79"/>
    <w:rsid w:val="407F2060"/>
    <w:rsid w:val="40816BA5"/>
    <w:rsid w:val="40853B74"/>
    <w:rsid w:val="40874CE9"/>
    <w:rsid w:val="40877B9A"/>
    <w:rsid w:val="4088463A"/>
    <w:rsid w:val="40896335"/>
    <w:rsid w:val="408A768E"/>
    <w:rsid w:val="408DDF0C"/>
    <w:rsid w:val="408F75ED"/>
    <w:rsid w:val="4090E824"/>
    <w:rsid w:val="4091A394"/>
    <w:rsid w:val="40924E4D"/>
    <w:rsid w:val="4092BDDB"/>
    <w:rsid w:val="409788D3"/>
    <w:rsid w:val="4097CB76"/>
    <w:rsid w:val="409BEDC8"/>
    <w:rsid w:val="409CF436"/>
    <w:rsid w:val="40A2F5FB"/>
    <w:rsid w:val="40A868D0"/>
    <w:rsid w:val="40A885D2"/>
    <w:rsid w:val="40A9B64F"/>
    <w:rsid w:val="40A9B885"/>
    <w:rsid w:val="40AF7386"/>
    <w:rsid w:val="40B5192F"/>
    <w:rsid w:val="40B87449"/>
    <w:rsid w:val="40BA8B23"/>
    <w:rsid w:val="40BDB0FA"/>
    <w:rsid w:val="40BF5916"/>
    <w:rsid w:val="40C1217E"/>
    <w:rsid w:val="40C35149"/>
    <w:rsid w:val="40C3831F"/>
    <w:rsid w:val="40C3B3B7"/>
    <w:rsid w:val="40C8E7C1"/>
    <w:rsid w:val="40C9ED12"/>
    <w:rsid w:val="40CB8592"/>
    <w:rsid w:val="40CB9314"/>
    <w:rsid w:val="40CC15E9"/>
    <w:rsid w:val="40CCEAD1"/>
    <w:rsid w:val="40CD035E"/>
    <w:rsid w:val="40CD3988"/>
    <w:rsid w:val="40CDA524"/>
    <w:rsid w:val="40CE5DF4"/>
    <w:rsid w:val="40D20D9F"/>
    <w:rsid w:val="40D340CA"/>
    <w:rsid w:val="40D49916"/>
    <w:rsid w:val="40D5B073"/>
    <w:rsid w:val="40D6B6EC"/>
    <w:rsid w:val="40D72003"/>
    <w:rsid w:val="40D9741D"/>
    <w:rsid w:val="40DE3282"/>
    <w:rsid w:val="40DF2887"/>
    <w:rsid w:val="40DFCAEB"/>
    <w:rsid w:val="40E3D35C"/>
    <w:rsid w:val="40E423D9"/>
    <w:rsid w:val="40E47316"/>
    <w:rsid w:val="40E5CE40"/>
    <w:rsid w:val="40E69326"/>
    <w:rsid w:val="40E806EF"/>
    <w:rsid w:val="40E9B735"/>
    <w:rsid w:val="40F27EC8"/>
    <w:rsid w:val="40F2C426"/>
    <w:rsid w:val="40F31C97"/>
    <w:rsid w:val="40F623D1"/>
    <w:rsid w:val="40F7A9BC"/>
    <w:rsid w:val="40F93C33"/>
    <w:rsid w:val="40FB4D43"/>
    <w:rsid w:val="40FB97AF"/>
    <w:rsid w:val="40FFAE18"/>
    <w:rsid w:val="41007DA9"/>
    <w:rsid w:val="4104A76E"/>
    <w:rsid w:val="4104F191"/>
    <w:rsid w:val="41067CD1"/>
    <w:rsid w:val="4107E101"/>
    <w:rsid w:val="410ADBE0"/>
    <w:rsid w:val="410B55CC"/>
    <w:rsid w:val="410C8703"/>
    <w:rsid w:val="411083DC"/>
    <w:rsid w:val="4113EE3D"/>
    <w:rsid w:val="411499B5"/>
    <w:rsid w:val="4114C980"/>
    <w:rsid w:val="41176EE2"/>
    <w:rsid w:val="41187E3E"/>
    <w:rsid w:val="411C261C"/>
    <w:rsid w:val="411E9B6E"/>
    <w:rsid w:val="411EA55C"/>
    <w:rsid w:val="411FBE3A"/>
    <w:rsid w:val="41250271"/>
    <w:rsid w:val="41264EE2"/>
    <w:rsid w:val="412985DA"/>
    <w:rsid w:val="412A5A4A"/>
    <w:rsid w:val="412C29E4"/>
    <w:rsid w:val="412CF0F9"/>
    <w:rsid w:val="412E4728"/>
    <w:rsid w:val="41314DB0"/>
    <w:rsid w:val="41357023"/>
    <w:rsid w:val="4137C709"/>
    <w:rsid w:val="413B5671"/>
    <w:rsid w:val="413BB4C0"/>
    <w:rsid w:val="413BDB91"/>
    <w:rsid w:val="413D3FE0"/>
    <w:rsid w:val="413E49F0"/>
    <w:rsid w:val="4142FD6F"/>
    <w:rsid w:val="41447977"/>
    <w:rsid w:val="4144E071"/>
    <w:rsid w:val="414B16F5"/>
    <w:rsid w:val="414B7C71"/>
    <w:rsid w:val="414DC8ED"/>
    <w:rsid w:val="4150AC87"/>
    <w:rsid w:val="4151AB8F"/>
    <w:rsid w:val="4154EF53"/>
    <w:rsid w:val="41589209"/>
    <w:rsid w:val="415D4527"/>
    <w:rsid w:val="415E606B"/>
    <w:rsid w:val="415F2900"/>
    <w:rsid w:val="415F3FBC"/>
    <w:rsid w:val="4160F036"/>
    <w:rsid w:val="4161B62F"/>
    <w:rsid w:val="4162043E"/>
    <w:rsid w:val="4164447F"/>
    <w:rsid w:val="4164891D"/>
    <w:rsid w:val="41652BDC"/>
    <w:rsid w:val="416737A0"/>
    <w:rsid w:val="4169C39F"/>
    <w:rsid w:val="4169E486"/>
    <w:rsid w:val="416F686B"/>
    <w:rsid w:val="41719C6D"/>
    <w:rsid w:val="41732599"/>
    <w:rsid w:val="4175631C"/>
    <w:rsid w:val="4175C391"/>
    <w:rsid w:val="417655ED"/>
    <w:rsid w:val="4178A6C6"/>
    <w:rsid w:val="4179582E"/>
    <w:rsid w:val="417C3201"/>
    <w:rsid w:val="417D6734"/>
    <w:rsid w:val="41863E20"/>
    <w:rsid w:val="41882070"/>
    <w:rsid w:val="418BC588"/>
    <w:rsid w:val="418E623B"/>
    <w:rsid w:val="419017D0"/>
    <w:rsid w:val="419333F0"/>
    <w:rsid w:val="4196979A"/>
    <w:rsid w:val="419863DA"/>
    <w:rsid w:val="41993AE1"/>
    <w:rsid w:val="41998991"/>
    <w:rsid w:val="419B71FF"/>
    <w:rsid w:val="419DE763"/>
    <w:rsid w:val="419E398E"/>
    <w:rsid w:val="419EECA1"/>
    <w:rsid w:val="41A0778D"/>
    <w:rsid w:val="41A4D2E9"/>
    <w:rsid w:val="41A68F5F"/>
    <w:rsid w:val="41A8B414"/>
    <w:rsid w:val="41AD67EE"/>
    <w:rsid w:val="41AEC5E6"/>
    <w:rsid w:val="41B0CE57"/>
    <w:rsid w:val="41B236E4"/>
    <w:rsid w:val="41B59F0E"/>
    <w:rsid w:val="41B8093E"/>
    <w:rsid w:val="41B882C5"/>
    <w:rsid w:val="41BA4392"/>
    <w:rsid w:val="41BEC9B4"/>
    <w:rsid w:val="41BF0A23"/>
    <w:rsid w:val="41C1EEEC"/>
    <w:rsid w:val="41C4001B"/>
    <w:rsid w:val="41C62FD5"/>
    <w:rsid w:val="41C6DE7B"/>
    <w:rsid w:val="41C77D7B"/>
    <w:rsid w:val="41C7DCD7"/>
    <w:rsid w:val="41CA5F56"/>
    <w:rsid w:val="41D53343"/>
    <w:rsid w:val="41D5B64F"/>
    <w:rsid w:val="41D63CC9"/>
    <w:rsid w:val="41D668D8"/>
    <w:rsid w:val="41D68786"/>
    <w:rsid w:val="41D809D8"/>
    <w:rsid w:val="41D8DC8A"/>
    <w:rsid w:val="41D9110F"/>
    <w:rsid w:val="41DC47F3"/>
    <w:rsid w:val="41DE0565"/>
    <w:rsid w:val="41DF18EC"/>
    <w:rsid w:val="41DF7495"/>
    <w:rsid w:val="41E0AA8F"/>
    <w:rsid w:val="41E51A6F"/>
    <w:rsid w:val="41E6B32D"/>
    <w:rsid w:val="41EB0770"/>
    <w:rsid w:val="41EB82BE"/>
    <w:rsid w:val="41EC60DD"/>
    <w:rsid w:val="41EE7ACE"/>
    <w:rsid w:val="41F320A4"/>
    <w:rsid w:val="41F4CFE8"/>
    <w:rsid w:val="41F55C41"/>
    <w:rsid w:val="41F56899"/>
    <w:rsid w:val="41F5F8C6"/>
    <w:rsid w:val="41FACF9E"/>
    <w:rsid w:val="41FB607D"/>
    <w:rsid w:val="41FE3B31"/>
    <w:rsid w:val="42007402"/>
    <w:rsid w:val="4201DF4C"/>
    <w:rsid w:val="4202DCC8"/>
    <w:rsid w:val="42054BC9"/>
    <w:rsid w:val="42056B80"/>
    <w:rsid w:val="420779E9"/>
    <w:rsid w:val="420848FF"/>
    <w:rsid w:val="42088A9E"/>
    <w:rsid w:val="420B4EA5"/>
    <w:rsid w:val="420C00B9"/>
    <w:rsid w:val="420C0E0F"/>
    <w:rsid w:val="420CB496"/>
    <w:rsid w:val="420F4D35"/>
    <w:rsid w:val="4212A825"/>
    <w:rsid w:val="4213845A"/>
    <w:rsid w:val="42181B43"/>
    <w:rsid w:val="421E0EF6"/>
    <w:rsid w:val="4220C766"/>
    <w:rsid w:val="4222FF6B"/>
    <w:rsid w:val="4224FF8F"/>
    <w:rsid w:val="42256580"/>
    <w:rsid w:val="4225EDF6"/>
    <w:rsid w:val="4227BBEF"/>
    <w:rsid w:val="422C31F1"/>
    <w:rsid w:val="422E5916"/>
    <w:rsid w:val="422ED745"/>
    <w:rsid w:val="422F5186"/>
    <w:rsid w:val="4232EE10"/>
    <w:rsid w:val="423579B6"/>
    <w:rsid w:val="4236AED4"/>
    <w:rsid w:val="42380059"/>
    <w:rsid w:val="4238F286"/>
    <w:rsid w:val="423B7285"/>
    <w:rsid w:val="423F5BDB"/>
    <w:rsid w:val="424007E1"/>
    <w:rsid w:val="4240C9CD"/>
    <w:rsid w:val="4241279B"/>
    <w:rsid w:val="42477D10"/>
    <w:rsid w:val="4248C07F"/>
    <w:rsid w:val="424B0049"/>
    <w:rsid w:val="424E795E"/>
    <w:rsid w:val="424FBC97"/>
    <w:rsid w:val="425238BC"/>
    <w:rsid w:val="4253FFA4"/>
    <w:rsid w:val="425EC6D2"/>
    <w:rsid w:val="425FA741"/>
    <w:rsid w:val="426051E6"/>
    <w:rsid w:val="4262382F"/>
    <w:rsid w:val="426392ED"/>
    <w:rsid w:val="4263EC27"/>
    <w:rsid w:val="426A45D9"/>
    <w:rsid w:val="426D969A"/>
    <w:rsid w:val="426E59A6"/>
    <w:rsid w:val="42702A4C"/>
    <w:rsid w:val="427182BF"/>
    <w:rsid w:val="4271C7B2"/>
    <w:rsid w:val="4271F23D"/>
    <w:rsid w:val="4272B89D"/>
    <w:rsid w:val="4275570C"/>
    <w:rsid w:val="4277383A"/>
    <w:rsid w:val="42773F18"/>
    <w:rsid w:val="4277B48E"/>
    <w:rsid w:val="427870E9"/>
    <w:rsid w:val="4279234F"/>
    <w:rsid w:val="427C3780"/>
    <w:rsid w:val="427CB8E4"/>
    <w:rsid w:val="428000F0"/>
    <w:rsid w:val="428186F5"/>
    <w:rsid w:val="4282CC7D"/>
    <w:rsid w:val="4288B47E"/>
    <w:rsid w:val="4288D6DF"/>
    <w:rsid w:val="4289B822"/>
    <w:rsid w:val="428A7EF3"/>
    <w:rsid w:val="428C6CB9"/>
    <w:rsid w:val="428F49C3"/>
    <w:rsid w:val="4290AF30"/>
    <w:rsid w:val="42934C2B"/>
    <w:rsid w:val="429442EE"/>
    <w:rsid w:val="4295D9D4"/>
    <w:rsid w:val="4299FA92"/>
    <w:rsid w:val="429A3FA8"/>
    <w:rsid w:val="429C1AD2"/>
    <w:rsid w:val="429C4E0A"/>
    <w:rsid w:val="429D0A06"/>
    <w:rsid w:val="429D2452"/>
    <w:rsid w:val="429D9DF2"/>
    <w:rsid w:val="429E3DB2"/>
    <w:rsid w:val="429EC89B"/>
    <w:rsid w:val="42A01702"/>
    <w:rsid w:val="42A0A967"/>
    <w:rsid w:val="42A0F06B"/>
    <w:rsid w:val="42A29233"/>
    <w:rsid w:val="42A76004"/>
    <w:rsid w:val="42A9138A"/>
    <w:rsid w:val="42AA019A"/>
    <w:rsid w:val="42AC271C"/>
    <w:rsid w:val="42AC777B"/>
    <w:rsid w:val="42AF05F3"/>
    <w:rsid w:val="42B25C05"/>
    <w:rsid w:val="42B3B8BC"/>
    <w:rsid w:val="42B46674"/>
    <w:rsid w:val="42B52BFD"/>
    <w:rsid w:val="42B5A909"/>
    <w:rsid w:val="42B657A2"/>
    <w:rsid w:val="42B8AC74"/>
    <w:rsid w:val="42B9B0B9"/>
    <w:rsid w:val="42C13F91"/>
    <w:rsid w:val="42C1EE90"/>
    <w:rsid w:val="42C289DA"/>
    <w:rsid w:val="42C2E0DF"/>
    <w:rsid w:val="42C49F79"/>
    <w:rsid w:val="42C4F9A1"/>
    <w:rsid w:val="42C8917E"/>
    <w:rsid w:val="42C8A537"/>
    <w:rsid w:val="42C9972D"/>
    <w:rsid w:val="42CB979E"/>
    <w:rsid w:val="42CE9127"/>
    <w:rsid w:val="42D0185D"/>
    <w:rsid w:val="42D55DCE"/>
    <w:rsid w:val="42D6550E"/>
    <w:rsid w:val="42D6D5F7"/>
    <w:rsid w:val="42D73358"/>
    <w:rsid w:val="42DB487C"/>
    <w:rsid w:val="42DC0F01"/>
    <w:rsid w:val="42DE0ABA"/>
    <w:rsid w:val="42E1167A"/>
    <w:rsid w:val="42E2AA69"/>
    <w:rsid w:val="42E4E930"/>
    <w:rsid w:val="42EB2BF1"/>
    <w:rsid w:val="42EC1331"/>
    <w:rsid w:val="42EFD621"/>
    <w:rsid w:val="42F0EBDF"/>
    <w:rsid w:val="42F22F93"/>
    <w:rsid w:val="42F529F8"/>
    <w:rsid w:val="42F5BF7D"/>
    <w:rsid w:val="42F7108F"/>
    <w:rsid w:val="42FA2B05"/>
    <w:rsid w:val="42FA77E0"/>
    <w:rsid w:val="42FCE9E9"/>
    <w:rsid w:val="42FF0ABD"/>
    <w:rsid w:val="42FFCF4E"/>
    <w:rsid w:val="4300CB70"/>
    <w:rsid w:val="430259AF"/>
    <w:rsid w:val="4303B355"/>
    <w:rsid w:val="43071C6D"/>
    <w:rsid w:val="4308AA3F"/>
    <w:rsid w:val="4309643E"/>
    <w:rsid w:val="430B48B9"/>
    <w:rsid w:val="430CA06A"/>
    <w:rsid w:val="430D557A"/>
    <w:rsid w:val="430EF5FA"/>
    <w:rsid w:val="4314195D"/>
    <w:rsid w:val="431440ED"/>
    <w:rsid w:val="43177460"/>
    <w:rsid w:val="43177C86"/>
    <w:rsid w:val="43185E75"/>
    <w:rsid w:val="43187A1A"/>
    <w:rsid w:val="43188092"/>
    <w:rsid w:val="43189A2A"/>
    <w:rsid w:val="431B9E6C"/>
    <w:rsid w:val="431ED004"/>
    <w:rsid w:val="4320DE9B"/>
    <w:rsid w:val="432301DD"/>
    <w:rsid w:val="4328A62A"/>
    <w:rsid w:val="432A5FB6"/>
    <w:rsid w:val="432BEFCF"/>
    <w:rsid w:val="432C8525"/>
    <w:rsid w:val="432EAEE0"/>
    <w:rsid w:val="4333E698"/>
    <w:rsid w:val="4335023E"/>
    <w:rsid w:val="43399C00"/>
    <w:rsid w:val="433AE84C"/>
    <w:rsid w:val="433B9A9B"/>
    <w:rsid w:val="433D6E53"/>
    <w:rsid w:val="433F7D5A"/>
    <w:rsid w:val="43428618"/>
    <w:rsid w:val="43452B2D"/>
    <w:rsid w:val="43453AF1"/>
    <w:rsid w:val="43486A02"/>
    <w:rsid w:val="43488E72"/>
    <w:rsid w:val="434AE0BF"/>
    <w:rsid w:val="43530E81"/>
    <w:rsid w:val="4354CD0B"/>
    <w:rsid w:val="43580FDA"/>
    <w:rsid w:val="4358A4DD"/>
    <w:rsid w:val="435CFBBF"/>
    <w:rsid w:val="4363B124"/>
    <w:rsid w:val="4365D547"/>
    <w:rsid w:val="43662EE7"/>
    <w:rsid w:val="436798B5"/>
    <w:rsid w:val="436AAC2F"/>
    <w:rsid w:val="436AFB01"/>
    <w:rsid w:val="436B1B0F"/>
    <w:rsid w:val="436B966C"/>
    <w:rsid w:val="436BF259"/>
    <w:rsid w:val="436FDECF"/>
    <w:rsid w:val="4373C237"/>
    <w:rsid w:val="43772C81"/>
    <w:rsid w:val="4377E733"/>
    <w:rsid w:val="4377F02B"/>
    <w:rsid w:val="437849A6"/>
    <w:rsid w:val="437BB4E0"/>
    <w:rsid w:val="437C9217"/>
    <w:rsid w:val="43840AC2"/>
    <w:rsid w:val="43846B8F"/>
    <w:rsid w:val="4385067A"/>
    <w:rsid w:val="43857E24"/>
    <w:rsid w:val="438590C4"/>
    <w:rsid w:val="43861675"/>
    <w:rsid w:val="43877CE9"/>
    <w:rsid w:val="4387A002"/>
    <w:rsid w:val="4388CDAA"/>
    <w:rsid w:val="438A0BB1"/>
    <w:rsid w:val="438A91E4"/>
    <w:rsid w:val="438A9A61"/>
    <w:rsid w:val="438B122C"/>
    <w:rsid w:val="438B43B7"/>
    <w:rsid w:val="43907EA3"/>
    <w:rsid w:val="43911DC3"/>
    <w:rsid w:val="43940C11"/>
    <w:rsid w:val="43949519"/>
    <w:rsid w:val="4394D5BD"/>
    <w:rsid w:val="4396186C"/>
    <w:rsid w:val="43979E07"/>
    <w:rsid w:val="439894EC"/>
    <w:rsid w:val="439898E2"/>
    <w:rsid w:val="439D6FAE"/>
    <w:rsid w:val="43A253BD"/>
    <w:rsid w:val="43A3C97F"/>
    <w:rsid w:val="43A65F4C"/>
    <w:rsid w:val="43A8BFEB"/>
    <w:rsid w:val="43A9941C"/>
    <w:rsid w:val="43AB5834"/>
    <w:rsid w:val="43ADF2DE"/>
    <w:rsid w:val="43AE5190"/>
    <w:rsid w:val="43AFBD44"/>
    <w:rsid w:val="43B1F483"/>
    <w:rsid w:val="43B2226C"/>
    <w:rsid w:val="43B2DACC"/>
    <w:rsid w:val="43B34062"/>
    <w:rsid w:val="43B36898"/>
    <w:rsid w:val="43B3D298"/>
    <w:rsid w:val="43B4217D"/>
    <w:rsid w:val="43B4455A"/>
    <w:rsid w:val="43B4EDBD"/>
    <w:rsid w:val="43B6435D"/>
    <w:rsid w:val="43BCF62C"/>
    <w:rsid w:val="43C05F46"/>
    <w:rsid w:val="43C45A41"/>
    <w:rsid w:val="43C55A29"/>
    <w:rsid w:val="43C65DC2"/>
    <w:rsid w:val="43CA1638"/>
    <w:rsid w:val="43CF75E3"/>
    <w:rsid w:val="43D0C320"/>
    <w:rsid w:val="43D1CE35"/>
    <w:rsid w:val="43D417C0"/>
    <w:rsid w:val="43D4C8F6"/>
    <w:rsid w:val="43D563C9"/>
    <w:rsid w:val="43D9B025"/>
    <w:rsid w:val="43D9CF9C"/>
    <w:rsid w:val="43DCD3E3"/>
    <w:rsid w:val="43DD5EC3"/>
    <w:rsid w:val="43DF31A4"/>
    <w:rsid w:val="43E27129"/>
    <w:rsid w:val="43E3D72A"/>
    <w:rsid w:val="43E4F903"/>
    <w:rsid w:val="43E4FF6F"/>
    <w:rsid w:val="43E6F80A"/>
    <w:rsid w:val="43ED68F0"/>
    <w:rsid w:val="43EED943"/>
    <w:rsid w:val="43EFA6C2"/>
    <w:rsid w:val="43F4B2B8"/>
    <w:rsid w:val="43F539BF"/>
    <w:rsid w:val="43F68F98"/>
    <w:rsid w:val="43F769C4"/>
    <w:rsid w:val="43F89A79"/>
    <w:rsid w:val="43FED7BC"/>
    <w:rsid w:val="43FEE0EF"/>
    <w:rsid w:val="4400EF58"/>
    <w:rsid w:val="44010966"/>
    <w:rsid w:val="440197FC"/>
    <w:rsid w:val="4402226A"/>
    <w:rsid w:val="44030673"/>
    <w:rsid w:val="440458B2"/>
    <w:rsid w:val="4409FFE1"/>
    <w:rsid w:val="4411B379"/>
    <w:rsid w:val="4412C94D"/>
    <w:rsid w:val="44150646"/>
    <w:rsid w:val="44154188"/>
    <w:rsid w:val="44156007"/>
    <w:rsid w:val="4416117E"/>
    <w:rsid w:val="4418A61D"/>
    <w:rsid w:val="441967CD"/>
    <w:rsid w:val="441F8540"/>
    <w:rsid w:val="44218BC1"/>
    <w:rsid w:val="4421B40E"/>
    <w:rsid w:val="44221E1E"/>
    <w:rsid w:val="4423C6B2"/>
    <w:rsid w:val="4427E47E"/>
    <w:rsid w:val="442B9685"/>
    <w:rsid w:val="442E01D5"/>
    <w:rsid w:val="44302628"/>
    <w:rsid w:val="44303DC1"/>
    <w:rsid w:val="4436AEA2"/>
    <w:rsid w:val="4436F072"/>
    <w:rsid w:val="4437121B"/>
    <w:rsid w:val="44376ADA"/>
    <w:rsid w:val="443A5348"/>
    <w:rsid w:val="443AA50C"/>
    <w:rsid w:val="443CCA69"/>
    <w:rsid w:val="443E1417"/>
    <w:rsid w:val="444152D8"/>
    <w:rsid w:val="44452243"/>
    <w:rsid w:val="44455BB4"/>
    <w:rsid w:val="4445DC01"/>
    <w:rsid w:val="4448DF3D"/>
    <w:rsid w:val="444A1974"/>
    <w:rsid w:val="444ACB99"/>
    <w:rsid w:val="444B3F99"/>
    <w:rsid w:val="444D724B"/>
    <w:rsid w:val="444DD4E9"/>
    <w:rsid w:val="444F14CB"/>
    <w:rsid w:val="444FB51A"/>
    <w:rsid w:val="444FD772"/>
    <w:rsid w:val="44502905"/>
    <w:rsid w:val="445124B5"/>
    <w:rsid w:val="4456BC77"/>
    <w:rsid w:val="445E17B8"/>
    <w:rsid w:val="445E9D74"/>
    <w:rsid w:val="446149B0"/>
    <w:rsid w:val="446200BF"/>
    <w:rsid w:val="446301E5"/>
    <w:rsid w:val="44647414"/>
    <w:rsid w:val="4465F34E"/>
    <w:rsid w:val="44671A63"/>
    <w:rsid w:val="4467D4D4"/>
    <w:rsid w:val="4468C316"/>
    <w:rsid w:val="4469504A"/>
    <w:rsid w:val="446BEEC3"/>
    <w:rsid w:val="446C6A9F"/>
    <w:rsid w:val="446C8946"/>
    <w:rsid w:val="44713263"/>
    <w:rsid w:val="4471A0FB"/>
    <w:rsid w:val="447216CE"/>
    <w:rsid w:val="44731746"/>
    <w:rsid w:val="4473B304"/>
    <w:rsid w:val="4476016E"/>
    <w:rsid w:val="447744AF"/>
    <w:rsid w:val="44784279"/>
    <w:rsid w:val="447E37BE"/>
    <w:rsid w:val="447E8BB4"/>
    <w:rsid w:val="44841782"/>
    <w:rsid w:val="44858577"/>
    <w:rsid w:val="44875D0B"/>
    <w:rsid w:val="448D0A84"/>
    <w:rsid w:val="448D2E4A"/>
    <w:rsid w:val="448DB9E4"/>
    <w:rsid w:val="448E8B22"/>
    <w:rsid w:val="44913441"/>
    <w:rsid w:val="4491E90F"/>
    <w:rsid w:val="44929D01"/>
    <w:rsid w:val="44937D49"/>
    <w:rsid w:val="4494EDE5"/>
    <w:rsid w:val="4495A194"/>
    <w:rsid w:val="449A9031"/>
    <w:rsid w:val="449D93A0"/>
    <w:rsid w:val="449EFA08"/>
    <w:rsid w:val="449F5186"/>
    <w:rsid w:val="449FEBD5"/>
    <w:rsid w:val="44A0B5D7"/>
    <w:rsid w:val="44A1AFC6"/>
    <w:rsid w:val="44A1E870"/>
    <w:rsid w:val="44A2BC46"/>
    <w:rsid w:val="44A350D6"/>
    <w:rsid w:val="44A4023A"/>
    <w:rsid w:val="44A52B7E"/>
    <w:rsid w:val="44A5CEDA"/>
    <w:rsid w:val="44A82C3B"/>
    <w:rsid w:val="44AD7056"/>
    <w:rsid w:val="44AF5AB3"/>
    <w:rsid w:val="44B130FE"/>
    <w:rsid w:val="44B4C972"/>
    <w:rsid w:val="44BA2492"/>
    <w:rsid w:val="44BA4E4E"/>
    <w:rsid w:val="44BA82AC"/>
    <w:rsid w:val="44BACAAE"/>
    <w:rsid w:val="44BB2877"/>
    <w:rsid w:val="44BDC282"/>
    <w:rsid w:val="44BDE7B1"/>
    <w:rsid w:val="44BF872B"/>
    <w:rsid w:val="44C07651"/>
    <w:rsid w:val="44C18128"/>
    <w:rsid w:val="44CA4177"/>
    <w:rsid w:val="44CB254A"/>
    <w:rsid w:val="44CD412F"/>
    <w:rsid w:val="44D00CEE"/>
    <w:rsid w:val="44D18C04"/>
    <w:rsid w:val="44D22659"/>
    <w:rsid w:val="44D273EC"/>
    <w:rsid w:val="44D2856D"/>
    <w:rsid w:val="44D38FEA"/>
    <w:rsid w:val="44DA3773"/>
    <w:rsid w:val="44DB910A"/>
    <w:rsid w:val="44E1214A"/>
    <w:rsid w:val="44E180F5"/>
    <w:rsid w:val="44E18247"/>
    <w:rsid w:val="44E3894E"/>
    <w:rsid w:val="44E64F60"/>
    <w:rsid w:val="44E6B4C3"/>
    <w:rsid w:val="44E91DD0"/>
    <w:rsid w:val="44ED21C2"/>
    <w:rsid w:val="44EDBE05"/>
    <w:rsid w:val="44EE4D9D"/>
    <w:rsid w:val="44EF59AB"/>
    <w:rsid w:val="44F2ADCD"/>
    <w:rsid w:val="44F42FEE"/>
    <w:rsid w:val="44F9D259"/>
    <w:rsid w:val="44FAD59E"/>
    <w:rsid w:val="44FC8BAB"/>
    <w:rsid w:val="44FD796A"/>
    <w:rsid w:val="45021307"/>
    <w:rsid w:val="45049A43"/>
    <w:rsid w:val="4504F68B"/>
    <w:rsid w:val="450574A9"/>
    <w:rsid w:val="450617F1"/>
    <w:rsid w:val="45069001"/>
    <w:rsid w:val="4506DD76"/>
    <w:rsid w:val="45073FAA"/>
    <w:rsid w:val="4509FB25"/>
    <w:rsid w:val="450A0D8B"/>
    <w:rsid w:val="450AE2FE"/>
    <w:rsid w:val="450CA590"/>
    <w:rsid w:val="4515B977"/>
    <w:rsid w:val="45160B73"/>
    <w:rsid w:val="4518094D"/>
    <w:rsid w:val="451B8AA8"/>
    <w:rsid w:val="451C9DA0"/>
    <w:rsid w:val="451DB5B2"/>
    <w:rsid w:val="4522E5A8"/>
    <w:rsid w:val="45250ADE"/>
    <w:rsid w:val="4525BDBB"/>
    <w:rsid w:val="4525DD87"/>
    <w:rsid w:val="4526FAB0"/>
    <w:rsid w:val="4529B265"/>
    <w:rsid w:val="452C8B39"/>
    <w:rsid w:val="452DB13B"/>
    <w:rsid w:val="452F2648"/>
    <w:rsid w:val="45346947"/>
    <w:rsid w:val="453621F5"/>
    <w:rsid w:val="453BD2AE"/>
    <w:rsid w:val="453CE33F"/>
    <w:rsid w:val="453D467E"/>
    <w:rsid w:val="453E6838"/>
    <w:rsid w:val="45417FF6"/>
    <w:rsid w:val="45429BE8"/>
    <w:rsid w:val="4546D28A"/>
    <w:rsid w:val="4546D95D"/>
    <w:rsid w:val="4547C672"/>
    <w:rsid w:val="454838C7"/>
    <w:rsid w:val="45495CEA"/>
    <w:rsid w:val="454FC2ED"/>
    <w:rsid w:val="4550D097"/>
    <w:rsid w:val="4553A29C"/>
    <w:rsid w:val="45561285"/>
    <w:rsid w:val="455C39BE"/>
    <w:rsid w:val="455CA051"/>
    <w:rsid w:val="455CE60E"/>
    <w:rsid w:val="455D00DB"/>
    <w:rsid w:val="455ED2A3"/>
    <w:rsid w:val="455FC62D"/>
    <w:rsid w:val="45615F78"/>
    <w:rsid w:val="45623269"/>
    <w:rsid w:val="45644AB5"/>
    <w:rsid w:val="4564C185"/>
    <w:rsid w:val="45689887"/>
    <w:rsid w:val="456B5F96"/>
    <w:rsid w:val="456DB8D7"/>
    <w:rsid w:val="456F3F8E"/>
    <w:rsid w:val="456F9C3D"/>
    <w:rsid w:val="456FEF43"/>
    <w:rsid w:val="456FFC39"/>
    <w:rsid w:val="4570E5CE"/>
    <w:rsid w:val="45719109"/>
    <w:rsid w:val="4573E9B0"/>
    <w:rsid w:val="4579D0DF"/>
    <w:rsid w:val="457A26E2"/>
    <w:rsid w:val="457B579B"/>
    <w:rsid w:val="457E6FED"/>
    <w:rsid w:val="458116A6"/>
    <w:rsid w:val="45836408"/>
    <w:rsid w:val="45844588"/>
    <w:rsid w:val="4585E47A"/>
    <w:rsid w:val="4585EC2A"/>
    <w:rsid w:val="458634AF"/>
    <w:rsid w:val="45864AC1"/>
    <w:rsid w:val="45877E85"/>
    <w:rsid w:val="45882A16"/>
    <w:rsid w:val="458A0BAF"/>
    <w:rsid w:val="458A9DE1"/>
    <w:rsid w:val="458B40DD"/>
    <w:rsid w:val="458B8222"/>
    <w:rsid w:val="458E8086"/>
    <w:rsid w:val="45948E65"/>
    <w:rsid w:val="45970F10"/>
    <w:rsid w:val="4597BB4B"/>
    <w:rsid w:val="4597C865"/>
    <w:rsid w:val="459C3838"/>
    <w:rsid w:val="45A09C57"/>
    <w:rsid w:val="45A0BBB1"/>
    <w:rsid w:val="45A15C96"/>
    <w:rsid w:val="45A1E011"/>
    <w:rsid w:val="45A221D6"/>
    <w:rsid w:val="45A3B084"/>
    <w:rsid w:val="45A61DE5"/>
    <w:rsid w:val="45A6D484"/>
    <w:rsid w:val="45A6FDD4"/>
    <w:rsid w:val="45A7199E"/>
    <w:rsid w:val="45A79F57"/>
    <w:rsid w:val="45AA9F0F"/>
    <w:rsid w:val="45ABF06E"/>
    <w:rsid w:val="45AE332F"/>
    <w:rsid w:val="45AEA393"/>
    <w:rsid w:val="45B08B2C"/>
    <w:rsid w:val="45B32C3F"/>
    <w:rsid w:val="45B3E7CB"/>
    <w:rsid w:val="45B52AFA"/>
    <w:rsid w:val="45B5E08E"/>
    <w:rsid w:val="45B5EFE0"/>
    <w:rsid w:val="45BCFD7E"/>
    <w:rsid w:val="45BD0439"/>
    <w:rsid w:val="45BD966F"/>
    <w:rsid w:val="45BD9AD8"/>
    <w:rsid w:val="45BF47FF"/>
    <w:rsid w:val="45C17ED6"/>
    <w:rsid w:val="45CB3168"/>
    <w:rsid w:val="45CF05AC"/>
    <w:rsid w:val="45CFB885"/>
    <w:rsid w:val="45D02C6D"/>
    <w:rsid w:val="45D03F72"/>
    <w:rsid w:val="45D08992"/>
    <w:rsid w:val="45D1BCC4"/>
    <w:rsid w:val="45D3BB53"/>
    <w:rsid w:val="45D61DF8"/>
    <w:rsid w:val="45D69918"/>
    <w:rsid w:val="45D8809D"/>
    <w:rsid w:val="45E162BB"/>
    <w:rsid w:val="45E1E380"/>
    <w:rsid w:val="45E2CC03"/>
    <w:rsid w:val="45E72A7F"/>
    <w:rsid w:val="45E7761A"/>
    <w:rsid w:val="45E9067F"/>
    <w:rsid w:val="45E9505B"/>
    <w:rsid w:val="45EAB0AF"/>
    <w:rsid w:val="45ED49B7"/>
    <w:rsid w:val="45EF299A"/>
    <w:rsid w:val="45F04635"/>
    <w:rsid w:val="45F626CB"/>
    <w:rsid w:val="45F72C09"/>
    <w:rsid w:val="45FA278B"/>
    <w:rsid w:val="45FABF41"/>
    <w:rsid w:val="45FE8B73"/>
    <w:rsid w:val="45FF5AB9"/>
    <w:rsid w:val="46012756"/>
    <w:rsid w:val="46052F68"/>
    <w:rsid w:val="4607AA87"/>
    <w:rsid w:val="4608B6CD"/>
    <w:rsid w:val="460B9B19"/>
    <w:rsid w:val="460DD84B"/>
    <w:rsid w:val="460F97C5"/>
    <w:rsid w:val="461088FA"/>
    <w:rsid w:val="4610C1BB"/>
    <w:rsid w:val="46135BFB"/>
    <w:rsid w:val="46151811"/>
    <w:rsid w:val="4615955B"/>
    <w:rsid w:val="4619FFDD"/>
    <w:rsid w:val="461A52DC"/>
    <w:rsid w:val="461D6362"/>
    <w:rsid w:val="461DDFBC"/>
    <w:rsid w:val="4620E4F2"/>
    <w:rsid w:val="462108AB"/>
    <w:rsid w:val="46218DA5"/>
    <w:rsid w:val="46260497"/>
    <w:rsid w:val="462C21E9"/>
    <w:rsid w:val="463065B9"/>
    <w:rsid w:val="4632BBE0"/>
    <w:rsid w:val="4632D3D1"/>
    <w:rsid w:val="463636D6"/>
    <w:rsid w:val="46365C2D"/>
    <w:rsid w:val="4638093E"/>
    <w:rsid w:val="46387753"/>
    <w:rsid w:val="4639E822"/>
    <w:rsid w:val="463A3988"/>
    <w:rsid w:val="463CBA70"/>
    <w:rsid w:val="463E6AD4"/>
    <w:rsid w:val="463FF234"/>
    <w:rsid w:val="4642D862"/>
    <w:rsid w:val="46449ED0"/>
    <w:rsid w:val="464696BC"/>
    <w:rsid w:val="464855DA"/>
    <w:rsid w:val="4648EB97"/>
    <w:rsid w:val="464A97C8"/>
    <w:rsid w:val="464C46B2"/>
    <w:rsid w:val="464C5BA0"/>
    <w:rsid w:val="464F0D56"/>
    <w:rsid w:val="46501532"/>
    <w:rsid w:val="46536EF1"/>
    <w:rsid w:val="46548F6D"/>
    <w:rsid w:val="465A79D2"/>
    <w:rsid w:val="465AC798"/>
    <w:rsid w:val="46630880"/>
    <w:rsid w:val="4664DC11"/>
    <w:rsid w:val="466529D4"/>
    <w:rsid w:val="46684E0C"/>
    <w:rsid w:val="46695DED"/>
    <w:rsid w:val="466AEC08"/>
    <w:rsid w:val="466BABCC"/>
    <w:rsid w:val="466C806D"/>
    <w:rsid w:val="466F6481"/>
    <w:rsid w:val="46710562"/>
    <w:rsid w:val="46747830"/>
    <w:rsid w:val="46757D49"/>
    <w:rsid w:val="4677D264"/>
    <w:rsid w:val="4679F9B6"/>
    <w:rsid w:val="467B2F49"/>
    <w:rsid w:val="467D4357"/>
    <w:rsid w:val="467D5156"/>
    <w:rsid w:val="467D6A52"/>
    <w:rsid w:val="467E1262"/>
    <w:rsid w:val="467FA16C"/>
    <w:rsid w:val="46802B4F"/>
    <w:rsid w:val="46825FF8"/>
    <w:rsid w:val="468360EC"/>
    <w:rsid w:val="4684CF2A"/>
    <w:rsid w:val="468D1162"/>
    <w:rsid w:val="468EC515"/>
    <w:rsid w:val="468F624C"/>
    <w:rsid w:val="468FB09C"/>
    <w:rsid w:val="4690CBBF"/>
    <w:rsid w:val="4696EF68"/>
    <w:rsid w:val="46997BD5"/>
    <w:rsid w:val="4699D059"/>
    <w:rsid w:val="469A6D43"/>
    <w:rsid w:val="469BC538"/>
    <w:rsid w:val="469C7563"/>
    <w:rsid w:val="469C9977"/>
    <w:rsid w:val="469D1E23"/>
    <w:rsid w:val="469DA42B"/>
    <w:rsid w:val="469DE293"/>
    <w:rsid w:val="469EDF96"/>
    <w:rsid w:val="46A24104"/>
    <w:rsid w:val="46A2EC77"/>
    <w:rsid w:val="46A6E479"/>
    <w:rsid w:val="46AAEB24"/>
    <w:rsid w:val="46ABBB74"/>
    <w:rsid w:val="46ABCDD9"/>
    <w:rsid w:val="46ACC5F7"/>
    <w:rsid w:val="46AD6F85"/>
    <w:rsid w:val="46B046E7"/>
    <w:rsid w:val="46B0CC95"/>
    <w:rsid w:val="46B1A248"/>
    <w:rsid w:val="46B53228"/>
    <w:rsid w:val="46B54865"/>
    <w:rsid w:val="46BC3E7D"/>
    <w:rsid w:val="46BD6A7B"/>
    <w:rsid w:val="46BF6EC9"/>
    <w:rsid w:val="46C04CC7"/>
    <w:rsid w:val="46C2CB11"/>
    <w:rsid w:val="46C37DA0"/>
    <w:rsid w:val="46C3E80C"/>
    <w:rsid w:val="46C43412"/>
    <w:rsid w:val="46C6BBE6"/>
    <w:rsid w:val="46C770E6"/>
    <w:rsid w:val="46C90600"/>
    <w:rsid w:val="46CB3942"/>
    <w:rsid w:val="46CBDE38"/>
    <w:rsid w:val="46CEEEA5"/>
    <w:rsid w:val="46D21301"/>
    <w:rsid w:val="46D3F42D"/>
    <w:rsid w:val="46D5E936"/>
    <w:rsid w:val="46D65C50"/>
    <w:rsid w:val="46D888E8"/>
    <w:rsid w:val="46D92584"/>
    <w:rsid w:val="46D9F522"/>
    <w:rsid w:val="46DC49A0"/>
    <w:rsid w:val="46DC58B4"/>
    <w:rsid w:val="46DC6C23"/>
    <w:rsid w:val="46DD3D27"/>
    <w:rsid w:val="46DEF90F"/>
    <w:rsid w:val="46E152EA"/>
    <w:rsid w:val="46E39554"/>
    <w:rsid w:val="46E4DFFA"/>
    <w:rsid w:val="46E4F2A6"/>
    <w:rsid w:val="46E6447A"/>
    <w:rsid w:val="46E6DA56"/>
    <w:rsid w:val="46E6DD1B"/>
    <w:rsid w:val="46EA973F"/>
    <w:rsid w:val="46EB934E"/>
    <w:rsid w:val="46EF4671"/>
    <w:rsid w:val="46F467DB"/>
    <w:rsid w:val="46F48CD4"/>
    <w:rsid w:val="46F4A728"/>
    <w:rsid w:val="46F74F61"/>
    <w:rsid w:val="46F87959"/>
    <w:rsid w:val="46F9B6E8"/>
    <w:rsid w:val="46FA9241"/>
    <w:rsid w:val="46FC29D3"/>
    <w:rsid w:val="46FC37D6"/>
    <w:rsid w:val="46FE8A5E"/>
    <w:rsid w:val="470091E6"/>
    <w:rsid w:val="47014007"/>
    <w:rsid w:val="47036D77"/>
    <w:rsid w:val="47039816"/>
    <w:rsid w:val="4707CF80"/>
    <w:rsid w:val="470A9683"/>
    <w:rsid w:val="470DCB68"/>
    <w:rsid w:val="470FED4A"/>
    <w:rsid w:val="471711E8"/>
    <w:rsid w:val="4717F3A9"/>
    <w:rsid w:val="4718615F"/>
    <w:rsid w:val="47191EA9"/>
    <w:rsid w:val="472147A7"/>
    <w:rsid w:val="4721D104"/>
    <w:rsid w:val="4724DC28"/>
    <w:rsid w:val="4724E19D"/>
    <w:rsid w:val="4726B308"/>
    <w:rsid w:val="4727EE11"/>
    <w:rsid w:val="47283E86"/>
    <w:rsid w:val="472AD30C"/>
    <w:rsid w:val="472AE2DE"/>
    <w:rsid w:val="472CA816"/>
    <w:rsid w:val="472DA5D2"/>
    <w:rsid w:val="472F0F59"/>
    <w:rsid w:val="472F3C22"/>
    <w:rsid w:val="472FB20B"/>
    <w:rsid w:val="473091DD"/>
    <w:rsid w:val="4732E6DA"/>
    <w:rsid w:val="4733E510"/>
    <w:rsid w:val="473537E2"/>
    <w:rsid w:val="47371E21"/>
    <w:rsid w:val="4737503D"/>
    <w:rsid w:val="4737BB62"/>
    <w:rsid w:val="473A6380"/>
    <w:rsid w:val="473B8232"/>
    <w:rsid w:val="473BA019"/>
    <w:rsid w:val="473DEE47"/>
    <w:rsid w:val="473E9270"/>
    <w:rsid w:val="473EC946"/>
    <w:rsid w:val="474143EA"/>
    <w:rsid w:val="47426FB0"/>
    <w:rsid w:val="4745ECDA"/>
    <w:rsid w:val="4745FAB5"/>
    <w:rsid w:val="47473892"/>
    <w:rsid w:val="474C69D1"/>
    <w:rsid w:val="474D2645"/>
    <w:rsid w:val="47504075"/>
    <w:rsid w:val="47507127"/>
    <w:rsid w:val="475279D6"/>
    <w:rsid w:val="4752EF3D"/>
    <w:rsid w:val="4753A94D"/>
    <w:rsid w:val="4757206D"/>
    <w:rsid w:val="475955F3"/>
    <w:rsid w:val="475A5D52"/>
    <w:rsid w:val="475B2FDC"/>
    <w:rsid w:val="475D2996"/>
    <w:rsid w:val="475DAC9E"/>
    <w:rsid w:val="4760AA95"/>
    <w:rsid w:val="476225E1"/>
    <w:rsid w:val="47627925"/>
    <w:rsid w:val="4762FE3D"/>
    <w:rsid w:val="4764ECF3"/>
    <w:rsid w:val="476524D8"/>
    <w:rsid w:val="4766BA17"/>
    <w:rsid w:val="47693402"/>
    <w:rsid w:val="476AE88B"/>
    <w:rsid w:val="476B5FB3"/>
    <w:rsid w:val="476D5AD4"/>
    <w:rsid w:val="476FC848"/>
    <w:rsid w:val="47702B97"/>
    <w:rsid w:val="4772731D"/>
    <w:rsid w:val="477274A3"/>
    <w:rsid w:val="4773BCD6"/>
    <w:rsid w:val="47756A4E"/>
    <w:rsid w:val="47769640"/>
    <w:rsid w:val="4777B668"/>
    <w:rsid w:val="477920A9"/>
    <w:rsid w:val="47852E21"/>
    <w:rsid w:val="4786DC2C"/>
    <w:rsid w:val="4787BFD9"/>
    <w:rsid w:val="47881F40"/>
    <w:rsid w:val="478892E0"/>
    <w:rsid w:val="478AD015"/>
    <w:rsid w:val="478C3323"/>
    <w:rsid w:val="478D91F4"/>
    <w:rsid w:val="478F2901"/>
    <w:rsid w:val="478FD711"/>
    <w:rsid w:val="47907960"/>
    <w:rsid w:val="47908AA9"/>
    <w:rsid w:val="4790D8C4"/>
    <w:rsid w:val="4793AC92"/>
    <w:rsid w:val="47961B1F"/>
    <w:rsid w:val="47974205"/>
    <w:rsid w:val="479B666D"/>
    <w:rsid w:val="479E7991"/>
    <w:rsid w:val="479F7002"/>
    <w:rsid w:val="479FD80E"/>
    <w:rsid w:val="47A1CC1F"/>
    <w:rsid w:val="47A54F40"/>
    <w:rsid w:val="47A6583E"/>
    <w:rsid w:val="47A6BE7A"/>
    <w:rsid w:val="47A83AD9"/>
    <w:rsid w:val="47A86053"/>
    <w:rsid w:val="47A8D97D"/>
    <w:rsid w:val="47AB9388"/>
    <w:rsid w:val="47AD9D24"/>
    <w:rsid w:val="47ADA230"/>
    <w:rsid w:val="47ADD418"/>
    <w:rsid w:val="47B035E6"/>
    <w:rsid w:val="47B287E5"/>
    <w:rsid w:val="47B4672B"/>
    <w:rsid w:val="47B7EA40"/>
    <w:rsid w:val="47BA3660"/>
    <w:rsid w:val="47BB36AA"/>
    <w:rsid w:val="47BC4E95"/>
    <w:rsid w:val="47BCCB0F"/>
    <w:rsid w:val="47C1B2E5"/>
    <w:rsid w:val="47C34800"/>
    <w:rsid w:val="47C6127C"/>
    <w:rsid w:val="47C6A7C0"/>
    <w:rsid w:val="47C77EB1"/>
    <w:rsid w:val="47C85E46"/>
    <w:rsid w:val="47C93266"/>
    <w:rsid w:val="47CC5A87"/>
    <w:rsid w:val="47CDE62A"/>
    <w:rsid w:val="47CEBE6B"/>
    <w:rsid w:val="47CF9E8B"/>
    <w:rsid w:val="47D4EFBC"/>
    <w:rsid w:val="47D55747"/>
    <w:rsid w:val="47D7A4E4"/>
    <w:rsid w:val="47D8E566"/>
    <w:rsid w:val="47DACA25"/>
    <w:rsid w:val="47DE5EA2"/>
    <w:rsid w:val="47DE6691"/>
    <w:rsid w:val="47E13FB4"/>
    <w:rsid w:val="47E32D79"/>
    <w:rsid w:val="47E3AFF9"/>
    <w:rsid w:val="47EAAD23"/>
    <w:rsid w:val="47EE7C78"/>
    <w:rsid w:val="47EEE1A7"/>
    <w:rsid w:val="47F85B17"/>
    <w:rsid w:val="47FF9784"/>
    <w:rsid w:val="4800BE5A"/>
    <w:rsid w:val="4800D887"/>
    <w:rsid w:val="4803EFD8"/>
    <w:rsid w:val="4804EAFD"/>
    <w:rsid w:val="4806A62B"/>
    <w:rsid w:val="480B2137"/>
    <w:rsid w:val="480C4822"/>
    <w:rsid w:val="480C95EB"/>
    <w:rsid w:val="480D248A"/>
    <w:rsid w:val="480D9022"/>
    <w:rsid w:val="480E5510"/>
    <w:rsid w:val="481097D6"/>
    <w:rsid w:val="4810E267"/>
    <w:rsid w:val="4811699D"/>
    <w:rsid w:val="4812C170"/>
    <w:rsid w:val="48131769"/>
    <w:rsid w:val="48176F1C"/>
    <w:rsid w:val="481AEFB4"/>
    <w:rsid w:val="481D6064"/>
    <w:rsid w:val="481E4D52"/>
    <w:rsid w:val="48211737"/>
    <w:rsid w:val="4821CD62"/>
    <w:rsid w:val="48262035"/>
    <w:rsid w:val="482D234E"/>
    <w:rsid w:val="48331A44"/>
    <w:rsid w:val="48352915"/>
    <w:rsid w:val="4837C42C"/>
    <w:rsid w:val="483F2A0D"/>
    <w:rsid w:val="484218A4"/>
    <w:rsid w:val="484350E4"/>
    <w:rsid w:val="48438667"/>
    <w:rsid w:val="4843B070"/>
    <w:rsid w:val="48476C21"/>
    <w:rsid w:val="4848E428"/>
    <w:rsid w:val="484AF48C"/>
    <w:rsid w:val="484CB8A7"/>
    <w:rsid w:val="484DDAF0"/>
    <w:rsid w:val="485253B6"/>
    <w:rsid w:val="4853CB88"/>
    <w:rsid w:val="4854B802"/>
    <w:rsid w:val="4854E7CF"/>
    <w:rsid w:val="4856DCCD"/>
    <w:rsid w:val="485708BE"/>
    <w:rsid w:val="485A2D27"/>
    <w:rsid w:val="485BDA87"/>
    <w:rsid w:val="485CAABE"/>
    <w:rsid w:val="485E7BBE"/>
    <w:rsid w:val="485EF373"/>
    <w:rsid w:val="485FB5EC"/>
    <w:rsid w:val="48610CDC"/>
    <w:rsid w:val="4861C2B6"/>
    <w:rsid w:val="48654B0D"/>
    <w:rsid w:val="4868F774"/>
    <w:rsid w:val="486A44A1"/>
    <w:rsid w:val="486B3DAF"/>
    <w:rsid w:val="486C053D"/>
    <w:rsid w:val="486D7CB5"/>
    <w:rsid w:val="4871893D"/>
    <w:rsid w:val="487361F4"/>
    <w:rsid w:val="487742D9"/>
    <w:rsid w:val="48777DDD"/>
    <w:rsid w:val="4878F6F1"/>
    <w:rsid w:val="487B3AFD"/>
    <w:rsid w:val="487BCC21"/>
    <w:rsid w:val="487E0CF8"/>
    <w:rsid w:val="48818174"/>
    <w:rsid w:val="4882CA3C"/>
    <w:rsid w:val="48848370"/>
    <w:rsid w:val="48851ED2"/>
    <w:rsid w:val="48878C68"/>
    <w:rsid w:val="48881B36"/>
    <w:rsid w:val="488A06CA"/>
    <w:rsid w:val="488A9D99"/>
    <w:rsid w:val="4890F7C0"/>
    <w:rsid w:val="489443BC"/>
    <w:rsid w:val="4894E9D4"/>
    <w:rsid w:val="489A2986"/>
    <w:rsid w:val="489AB83F"/>
    <w:rsid w:val="489D0E98"/>
    <w:rsid w:val="489EB5A9"/>
    <w:rsid w:val="48A29C03"/>
    <w:rsid w:val="48A53982"/>
    <w:rsid w:val="48A805C1"/>
    <w:rsid w:val="48A8476C"/>
    <w:rsid w:val="48AAF59F"/>
    <w:rsid w:val="48AF4EB1"/>
    <w:rsid w:val="48B1942B"/>
    <w:rsid w:val="48B24C93"/>
    <w:rsid w:val="48B2BF07"/>
    <w:rsid w:val="48B71478"/>
    <w:rsid w:val="48B82187"/>
    <w:rsid w:val="48BCC495"/>
    <w:rsid w:val="48BD1808"/>
    <w:rsid w:val="48BD9B81"/>
    <w:rsid w:val="48BE2DC3"/>
    <w:rsid w:val="48BEC6AC"/>
    <w:rsid w:val="48C3F205"/>
    <w:rsid w:val="48C520FF"/>
    <w:rsid w:val="48C5EFE1"/>
    <w:rsid w:val="48C828C6"/>
    <w:rsid w:val="48CA15D0"/>
    <w:rsid w:val="48CD0E20"/>
    <w:rsid w:val="48CD53E0"/>
    <w:rsid w:val="48CF24BC"/>
    <w:rsid w:val="48D02071"/>
    <w:rsid w:val="48D06DE5"/>
    <w:rsid w:val="48D0767A"/>
    <w:rsid w:val="48D0B14A"/>
    <w:rsid w:val="48D176CF"/>
    <w:rsid w:val="48D48F6F"/>
    <w:rsid w:val="48D4D38A"/>
    <w:rsid w:val="48D626CD"/>
    <w:rsid w:val="48D6CCC0"/>
    <w:rsid w:val="48D900C0"/>
    <w:rsid w:val="48DAD636"/>
    <w:rsid w:val="48DECEA6"/>
    <w:rsid w:val="48E286E9"/>
    <w:rsid w:val="48E37AC1"/>
    <w:rsid w:val="48E45342"/>
    <w:rsid w:val="48E88E45"/>
    <w:rsid w:val="48ED4F3A"/>
    <w:rsid w:val="48EE5E18"/>
    <w:rsid w:val="48F0FF3E"/>
    <w:rsid w:val="48F2991D"/>
    <w:rsid w:val="48F3F9B2"/>
    <w:rsid w:val="48F45E17"/>
    <w:rsid w:val="48F66668"/>
    <w:rsid w:val="48F690F6"/>
    <w:rsid w:val="48F8137A"/>
    <w:rsid w:val="48F81863"/>
    <w:rsid w:val="48F87949"/>
    <w:rsid w:val="48FA6934"/>
    <w:rsid w:val="48FE1145"/>
    <w:rsid w:val="49001ECA"/>
    <w:rsid w:val="4903C21D"/>
    <w:rsid w:val="49041444"/>
    <w:rsid w:val="49048BFF"/>
    <w:rsid w:val="4904C42C"/>
    <w:rsid w:val="4904F843"/>
    <w:rsid w:val="4907F1EB"/>
    <w:rsid w:val="491085E4"/>
    <w:rsid w:val="49114553"/>
    <w:rsid w:val="491388B4"/>
    <w:rsid w:val="491566FD"/>
    <w:rsid w:val="4915CAC2"/>
    <w:rsid w:val="49177C5E"/>
    <w:rsid w:val="491A1A63"/>
    <w:rsid w:val="491EAD76"/>
    <w:rsid w:val="4920A8BC"/>
    <w:rsid w:val="4922552C"/>
    <w:rsid w:val="4928C97E"/>
    <w:rsid w:val="492A5534"/>
    <w:rsid w:val="492BAF41"/>
    <w:rsid w:val="492DDC26"/>
    <w:rsid w:val="492ECCCB"/>
    <w:rsid w:val="49316801"/>
    <w:rsid w:val="493318FE"/>
    <w:rsid w:val="493347AA"/>
    <w:rsid w:val="4934B492"/>
    <w:rsid w:val="4936B76B"/>
    <w:rsid w:val="49389A8C"/>
    <w:rsid w:val="493ED319"/>
    <w:rsid w:val="493F9D2E"/>
    <w:rsid w:val="49414AA2"/>
    <w:rsid w:val="4941CC67"/>
    <w:rsid w:val="4941DFD4"/>
    <w:rsid w:val="494265B9"/>
    <w:rsid w:val="4944F108"/>
    <w:rsid w:val="4945C626"/>
    <w:rsid w:val="4948E5F4"/>
    <w:rsid w:val="494C4BB3"/>
    <w:rsid w:val="494D1E76"/>
    <w:rsid w:val="494D46FE"/>
    <w:rsid w:val="494F00D2"/>
    <w:rsid w:val="494F3EC7"/>
    <w:rsid w:val="49510BFA"/>
    <w:rsid w:val="4956063C"/>
    <w:rsid w:val="49564193"/>
    <w:rsid w:val="4958010F"/>
    <w:rsid w:val="495AB0CD"/>
    <w:rsid w:val="495B1B8A"/>
    <w:rsid w:val="495BBDE8"/>
    <w:rsid w:val="495DDC58"/>
    <w:rsid w:val="495EADE0"/>
    <w:rsid w:val="495FFD74"/>
    <w:rsid w:val="496059E1"/>
    <w:rsid w:val="49628AD2"/>
    <w:rsid w:val="49632A4C"/>
    <w:rsid w:val="49662907"/>
    <w:rsid w:val="496DE4F6"/>
    <w:rsid w:val="496E4649"/>
    <w:rsid w:val="496EB1A9"/>
    <w:rsid w:val="4973D5EF"/>
    <w:rsid w:val="497414D9"/>
    <w:rsid w:val="49744762"/>
    <w:rsid w:val="497B5E59"/>
    <w:rsid w:val="497D8EE0"/>
    <w:rsid w:val="497FF69C"/>
    <w:rsid w:val="4980C8D3"/>
    <w:rsid w:val="4985D6D9"/>
    <w:rsid w:val="49861D66"/>
    <w:rsid w:val="49887E41"/>
    <w:rsid w:val="498AB982"/>
    <w:rsid w:val="498B2301"/>
    <w:rsid w:val="498B73E8"/>
    <w:rsid w:val="498C6F11"/>
    <w:rsid w:val="498C738A"/>
    <w:rsid w:val="49939E15"/>
    <w:rsid w:val="499522E8"/>
    <w:rsid w:val="49983B0F"/>
    <w:rsid w:val="4998B8BA"/>
    <w:rsid w:val="4999E520"/>
    <w:rsid w:val="499C9CCF"/>
    <w:rsid w:val="49A54FAB"/>
    <w:rsid w:val="49A8178B"/>
    <w:rsid w:val="49AA3EDF"/>
    <w:rsid w:val="49AB592A"/>
    <w:rsid w:val="49AB794B"/>
    <w:rsid w:val="49AD411E"/>
    <w:rsid w:val="49ADBDC8"/>
    <w:rsid w:val="49AE1968"/>
    <w:rsid w:val="49B136DF"/>
    <w:rsid w:val="49B3D88A"/>
    <w:rsid w:val="49BF486D"/>
    <w:rsid w:val="49BFD2AC"/>
    <w:rsid w:val="49C023CC"/>
    <w:rsid w:val="49C08C10"/>
    <w:rsid w:val="49C6B65D"/>
    <w:rsid w:val="49C6BED4"/>
    <w:rsid w:val="49CA4E89"/>
    <w:rsid w:val="49CB2FE6"/>
    <w:rsid w:val="49CDA57F"/>
    <w:rsid w:val="49CDB82A"/>
    <w:rsid w:val="49CF9F29"/>
    <w:rsid w:val="49D5EEC0"/>
    <w:rsid w:val="49D614F7"/>
    <w:rsid w:val="49D7ED1F"/>
    <w:rsid w:val="49DA58F4"/>
    <w:rsid w:val="49DDE058"/>
    <w:rsid w:val="49E36D85"/>
    <w:rsid w:val="49E6CF18"/>
    <w:rsid w:val="49E87457"/>
    <w:rsid w:val="49ED25EB"/>
    <w:rsid w:val="49F51BB1"/>
    <w:rsid w:val="49F92C5A"/>
    <w:rsid w:val="4A003280"/>
    <w:rsid w:val="4A04446E"/>
    <w:rsid w:val="4A0689C3"/>
    <w:rsid w:val="4A08DE1C"/>
    <w:rsid w:val="4A094D16"/>
    <w:rsid w:val="4A09708E"/>
    <w:rsid w:val="4A09988A"/>
    <w:rsid w:val="4A09EBDF"/>
    <w:rsid w:val="4A0CBBAE"/>
    <w:rsid w:val="4A10404A"/>
    <w:rsid w:val="4A136D8C"/>
    <w:rsid w:val="4A14075F"/>
    <w:rsid w:val="4A142C82"/>
    <w:rsid w:val="4A149109"/>
    <w:rsid w:val="4A14D5AF"/>
    <w:rsid w:val="4A15FD12"/>
    <w:rsid w:val="4A186FB5"/>
    <w:rsid w:val="4A190565"/>
    <w:rsid w:val="4A1B434E"/>
    <w:rsid w:val="4A1C6034"/>
    <w:rsid w:val="4A1EC423"/>
    <w:rsid w:val="4A1EEABE"/>
    <w:rsid w:val="4A20366D"/>
    <w:rsid w:val="4A219A79"/>
    <w:rsid w:val="4A26C153"/>
    <w:rsid w:val="4A2779B9"/>
    <w:rsid w:val="4A286A8C"/>
    <w:rsid w:val="4A2A9EF5"/>
    <w:rsid w:val="4A2AB903"/>
    <w:rsid w:val="4A2C004D"/>
    <w:rsid w:val="4A2C901B"/>
    <w:rsid w:val="4A2F426F"/>
    <w:rsid w:val="4A2FC594"/>
    <w:rsid w:val="4A339DE5"/>
    <w:rsid w:val="4A358C3D"/>
    <w:rsid w:val="4A35CE67"/>
    <w:rsid w:val="4A399B75"/>
    <w:rsid w:val="4A40699C"/>
    <w:rsid w:val="4A43F2CF"/>
    <w:rsid w:val="4A44069B"/>
    <w:rsid w:val="4A4D50B1"/>
    <w:rsid w:val="4A5077BD"/>
    <w:rsid w:val="4A54CB94"/>
    <w:rsid w:val="4A5607C0"/>
    <w:rsid w:val="4A56C7FA"/>
    <w:rsid w:val="4A584D02"/>
    <w:rsid w:val="4A5B5BBB"/>
    <w:rsid w:val="4A5BF8AA"/>
    <w:rsid w:val="4A5C4566"/>
    <w:rsid w:val="4A601772"/>
    <w:rsid w:val="4A641335"/>
    <w:rsid w:val="4A6458D4"/>
    <w:rsid w:val="4A66C097"/>
    <w:rsid w:val="4A673A39"/>
    <w:rsid w:val="4A6CDA9B"/>
    <w:rsid w:val="4A6D8023"/>
    <w:rsid w:val="4A6DAB6A"/>
    <w:rsid w:val="4A6F7338"/>
    <w:rsid w:val="4A7089AC"/>
    <w:rsid w:val="4A7114B8"/>
    <w:rsid w:val="4A754421"/>
    <w:rsid w:val="4A784FFE"/>
    <w:rsid w:val="4A799BD3"/>
    <w:rsid w:val="4A7B15A3"/>
    <w:rsid w:val="4A7B2AB4"/>
    <w:rsid w:val="4A7BF3CC"/>
    <w:rsid w:val="4A7D534B"/>
    <w:rsid w:val="4A7D5AE7"/>
    <w:rsid w:val="4A822A81"/>
    <w:rsid w:val="4A824A33"/>
    <w:rsid w:val="4A877D72"/>
    <w:rsid w:val="4A87FB49"/>
    <w:rsid w:val="4A881FB8"/>
    <w:rsid w:val="4A8C4AB3"/>
    <w:rsid w:val="4A8D1C43"/>
    <w:rsid w:val="4A8D6D10"/>
    <w:rsid w:val="4A8F7F50"/>
    <w:rsid w:val="4A901E7A"/>
    <w:rsid w:val="4A911ACB"/>
    <w:rsid w:val="4A92C283"/>
    <w:rsid w:val="4A92FBF9"/>
    <w:rsid w:val="4A93809A"/>
    <w:rsid w:val="4A951513"/>
    <w:rsid w:val="4A98617A"/>
    <w:rsid w:val="4A9AB009"/>
    <w:rsid w:val="4A9BBC99"/>
    <w:rsid w:val="4AA2F63C"/>
    <w:rsid w:val="4AA35E97"/>
    <w:rsid w:val="4AA45333"/>
    <w:rsid w:val="4AA558C5"/>
    <w:rsid w:val="4AA75EAF"/>
    <w:rsid w:val="4AA797E6"/>
    <w:rsid w:val="4AA8DA1D"/>
    <w:rsid w:val="4AA9062F"/>
    <w:rsid w:val="4AAD3426"/>
    <w:rsid w:val="4AAEC347"/>
    <w:rsid w:val="4AB0BB5B"/>
    <w:rsid w:val="4AB1921C"/>
    <w:rsid w:val="4AB2EEA8"/>
    <w:rsid w:val="4AB3B355"/>
    <w:rsid w:val="4AB424A4"/>
    <w:rsid w:val="4AB7628D"/>
    <w:rsid w:val="4ABCDAD4"/>
    <w:rsid w:val="4ABCE8B0"/>
    <w:rsid w:val="4ABD0AD1"/>
    <w:rsid w:val="4ABD3BF0"/>
    <w:rsid w:val="4ABF23FF"/>
    <w:rsid w:val="4AC17E6A"/>
    <w:rsid w:val="4AC2BAC2"/>
    <w:rsid w:val="4AC35BC9"/>
    <w:rsid w:val="4AC48536"/>
    <w:rsid w:val="4AC5A658"/>
    <w:rsid w:val="4ACA6257"/>
    <w:rsid w:val="4ACCA1C6"/>
    <w:rsid w:val="4ACD7662"/>
    <w:rsid w:val="4AD224CD"/>
    <w:rsid w:val="4AD255E0"/>
    <w:rsid w:val="4AD380C1"/>
    <w:rsid w:val="4AD539A9"/>
    <w:rsid w:val="4AD57934"/>
    <w:rsid w:val="4AD69AC7"/>
    <w:rsid w:val="4AD7BDF4"/>
    <w:rsid w:val="4AD96491"/>
    <w:rsid w:val="4ADBCE6F"/>
    <w:rsid w:val="4ADDFEA9"/>
    <w:rsid w:val="4ADE2D0A"/>
    <w:rsid w:val="4ADFE671"/>
    <w:rsid w:val="4AE1A4AA"/>
    <w:rsid w:val="4AE1E784"/>
    <w:rsid w:val="4AE2205E"/>
    <w:rsid w:val="4AE29706"/>
    <w:rsid w:val="4AE2E9A0"/>
    <w:rsid w:val="4AED8404"/>
    <w:rsid w:val="4AF0938E"/>
    <w:rsid w:val="4AF4FBCE"/>
    <w:rsid w:val="4AF51459"/>
    <w:rsid w:val="4AF69AD5"/>
    <w:rsid w:val="4AF84426"/>
    <w:rsid w:val="4AF9BA69"/>
    <w:rsid w:val="4AFC9712"/>
    <w:rsid w:val="4AFD6F51"/>
    <w:rsid w:val="4AFEAA43"/>
    <w:rsid w:val="4AFFAF38"/>
    <w:rsid w:val="4B00C971"/>
    <w:rsid w:val="4B01DA22"/>
    <w:rsid w:val="4B044058"/>
    <w:rsid w:val="4B05D4C2"/>
    <w:rsid w:val="4B0645CF"/>
    <w:rsid w:val="4B06C7A2"/>
    <w:rsid w:val="4B071AB0"/>
    <w:rsid w:val="4B07E8FD"/>
    <w:rsid w:val="4B095311"/>
    <w:rsid w:val="4B09A4B4"/>
    <w:rsid w:val="4B0A3782"/>
    <w:rsid w:val="4B0A7ACD"/>
    <w:rsid w:val="4B0A94AE"/>
    <w:rsid w:val="4B0C2ECE"/>
    <w:rsid w:val="4B0C85DC"/>
    <w:rsid w:val="4B0CD17E"/>
    <w:rsid w:val="4B1242FF"/>
    <w:rsid w:val="4B12A40F"/>
    <w:rsid w:val="4B14F632"/>
    <w:rsid w:val="4B15AD47"/>
    <w:rsid w:val="4B16EA49"/>
    <w:rsid w:val="4B17498C"/>
    <w:rsid w:val="4B17DD99"/>
    <w:rsid w:val="4B1B7B6D"/>
    <w:rsid w:val="4B1EEFED"/>
    <w:rsid w:val="4B1EFD23"/>
    <w:rsid w:val="4B2078A0"/>
    <w:rsid w:val="4B274449"/>
    <w:rsid w:val="4B2829AA"/>
    <w:rsid w:val="4B283F72"/>
    <w:rsid w:val="4B28CD4C"/>
    <w:rsid w:val="4B2A9EFD"/>
    <w:rsid w:val="4B2E0B24"/>
    <w:rsid w:val="4B2FD5DE"/>
    <w:rsid w:val="4B308113"/>
    <w:rsid w:val="4B34F855"/>
    <w:rsid w:val="4B34F970"/>
    <w:rsid w:val="4B36023D"/>
    <w:rsid w:val="4B372C06"/>
    <w:rsid w:val="4B37B318"/>
    <w:rsid w:val="4B37C3CE"/>
    <w:rsid w:val="4B385FC5"/>
    <w:rsid w:val="4B39D70B"/>
    <w:rsid w:val="4B3A8499"/>
    <w:rsid w:val="4B3B9044"/>
    <w:rsid w:val="4B404E9B"/>
    <w:rsid w:val="4B41C6F1"/>
    <w:rsid w:val="4B43315D"/>
    <w:rsid w:val="4B434D38"/>
    <w:rsid w:val="4B4436AD"/>
    <w:rsid w:val="4B44EDAC"/>
    <w:rsid w:val="4B49D296"/>
    <w:rsid w:val="4B4A5793"/>
    <w:rsid w:val="4B4C39A3"/>
    <w:rsid w:val="4B4C78BA"/>
    <w:rsid w:val="4B4E82E0"/>
    <w:rsid w:val="4B4FFD8E"/>
    <w:rsid w:val="4B50AD9C"/>
    <w:rsid w:val="4B512460"/>
    <w:rsid w:val="4B5421F5"/>
    <w:rsid w:val="4B54E9FB"/>
    <w:rsid w:val="4B557924"/>
    <w:rsid w:val="4B594374"/>
    <w:rsid w:val="4B5A8E11"/>
    <w:rsid w:val="4B5C5B91"/>
    <w:rsid w:val="4B5EB429"/>
    <w:rsid w:val="4B5FB897"/>
    <w:rsid w:val="4B64917E"/>
    <w:rsid w:val="4B656BD0"/>
    <w:rsid w:val="4B65AA1A"/>
    <w:rsid w:val="4B673BDA"/>
    <w:rsid w:val="4B687802"/>
    <w:rsid w:val="4B687AD3"/>
    <w:rsid w:val="4B68D0A9"/>
    <w:rsid w:val="4B6A38CF"/>
    <w:rsid w:val="4B6F7902"/>
    <w:rsid w:val="4B703AB0"/>
    <w:rsid w:val="4B70C24C"/>
    <w:rsid w:val="4B716C08"/>
    <w:rsid w:val="4B721755"/>
    <w:rsid w:val="4B74FFA1"/>
    <w:rsid w:val="4B75B53C"/>
    <w:rsid w:val="4B7765F2"/>
    <w:rsid w:val="4B77D32A"/>
    <w:rsid w:val="4B78A565"/>
    <w:rsid w:val="4B78A7D9"/>
    <w:rsid w:val="4B7981D7"/>
    <w:rsid w:val="4B7A9820"/>
    <w:rsid w:val="4B7AC4F7"/>
    <w:rsid w:val="4B7C27C4"/>
    <w:rsid w:val="4B7CC27D"/>
    <w:rsid w:val="4B7EE453"/>
    <w:rsid w:val="4B84FDF3"/>
    <w:rsid w:val="4B891EF5"/>
    <w:rsid w:val="4B8DDBD8"/>
    <w:rsid w:val="4B907F2E"/>
    <w:rsid w:val="4B94265E"/>
    <w:rsid w:val="4B9657F2"/>
    <w:rsid w:val="4B978820"/>
    <w:rsid w:val="4B9ACF67"/>
    <w:rsid w:val="4B9BE611"/>
    <w:rsid w:val="4BA02A23"/>
    <w:rsid w:val="4BA13FCF"/>
    <w:rsid w:val="4BA22DD3"/>
    <w:rsid w:val="4BA27B89"/>
    <w:rsid w:val="4BA43674"/>
    <w:rsid w:val="4BA5D17F"/>
    <w:rsid w:val="4BA617B6"/>
    <w:rsid w:val="4BAD0E50"/>
    <w:rsid w:val="4BB554E3"/>
    <w:rsid w:val="4BB73227"/>
    <w:rsid w:val="4BBBF70E"/>
    <w:rsid w:val="4BBD77A9"/>
    <w:rsid w:val="4BC22FD7"/>
    <w:rsid w:val="4BC31880"/>
    <w:rsid w:val="4BC4EA89"/>
    <w:rsid w:val="4BC9CC8E"/>
    <w:rsid w:val="4BCEAC96"/>
    <w:rsid w:val="4BCF6316"/>
    <w:rsid w:val="4BCFB09C"/>
    <w:rsid w:val="4BD14BB2"/>
    <w:rsid w:val="4BD58640"/>
    <w:rsid w:val="4BD68C76"/>
    <w:rsid w:val="4BDAA0C3"/>
    <w:rsid w:val="4BDB3974"/>
    <w:rsid w:val="4BDCCCC8"/>
    <w:rsid w:val="4BDEB3EE"/>
    <w:rsid w:val="4BDF51F8"/>
    <w:rsid w:val="4BE3108C"/>
    <w:rsid w:val="4BE698A6"/>
    <w:rsid w:val="4BE69CE0"/>
    <w:rsid w:val="4BE6B5BF"/>
    <w:rsid w:val="4BE839CF"/>
    <w:rsid w:val="4BEBFF5D"/>
    <w:rsid w:val="4BEC6DD0"/>
    <w:rsid w:val="4BEECC2D"/>
    <w:rsid w:val="4BF01D71"/>
    <w:rsid w:val="4BF13922"/>
    <w:rsid w:val="4BF78996"/>
    <w:rsid w:val="4BF7BA9C"/>
    <w:rsid w:val="4BF7F650"/>
    <w:rsid w:val="4BF84ECB"/>
    <w:rsid w:val="4BFB8796"/>
    <w:rsid w:val="4BFBE0ED"/>
    <w:rsid w:val="4C020EC7"/>
    <w:rsid w:val="4C044C56"/>
    <w:rsid w:val="4C0601C7"/>
    <w:rsid w:val="4C06F3E8"/>
    <w:rsid w:val="4C07F28C"/>
    <w:rsid w:val="4C0D934E"/>
    <w:rsid w:val="4C11347F"/>
    <w:rsid w:val="4C13E33C"/>
    <w:rsid w:val="4C1582B4"/>
    <w:rsid w:val="4C18C9AC"/>
    <w:rsid w:val="4C1A416C"/>
    <w:rsid w:val="4C1E96AC"/>
    <w:rsid w:val="4C1EB8A6"/>
    <w:rsid w:val="4C2070CA"/>
    <w:rsid w:val="4C21ACD5"/>
    <w:rsid w:val="4C24E30B"/>
    <w:rsid w:val="4C2596E5"/>
    <w:rsid w:val="4C261665"/>
    <w:rsid w:val="4C26BEC9"/>
    <w:rsid w:val="4C280C8A"/>
    <w:rsid w:val="4C29BFEF"/>
    <w:rsid w:val="4C29F0AA"/>
    <w:rsid w:val="4C2A28CC"/>
    <w:rsid w:val="4C2AC52A"/>
    <w:rsid w:val="4C2B760B"/>
    <w:rsid w:val="4C2C2FAB"/>
    <w:rsid w:val="4C2C4C60"/>
    <w:rsid w:val="4C2C7923"/>
    <w:rsid w:val="4C2E6E15"/>
    <w:rsid w:val="4C3134AD"/>
    <w:rsid w:val="4C3BD2FB"/>
    <w:rsid w:val="4C40A375"/>
    <w:rsid w:val="4C4171A3"/>
    <w:rsid w:val="4C42B7AA"/>
    <w:rsid w:val="4C430A75"/>
    <w:rsid w:val="4C450691"/>
    <w:rsid w:val="4C457AB5"/>
    <w:rsid w:val="4C4A4CE0"/>
    <w:rsid w:val="4C4BBDC4"/>
    <w:rsid w:val="4C502FEE"/>
    <w:rsid w:val="4C55186B"/>
    <w:rsid w:val="4C55200E"/>
    <w:rsid w:val="4C5AAC9E"/>
    <w:rsid w:val="4C5AED97"/>
    <w:rsid w:val="4C5BD520"/>
    <w:rsid w:val="4C5DFD38"/>
    <w:rsid w:val="4C605FBE"/>
    <w:rsid w:val="4C615282"/>
    <w:rsid w:val="4C62F1FC"/>
    <w:rsid w:val="4C63841A"/>
    <w:rsid w:val="4C6C0C87"/>
    <w:rsid w:val="4C6C639B"/>
    <w:rsid w:val="4C6D00AC"/>
    <w:rsid w:val="4C71A8D6"/>
    <w:rsid w:val="4C730DA1"/>
    <w:rsid w:val="4C74990F"/>
    <w:rsid w:val="4C774797"/>
    <w:rsid w:val="4C78A664"/>
    <w:rsid w:val="4C7925E9"/>
    <w:rsid w:val="4C79EFCF"/>
    <w:rsid w:val="4C8207E0"/>
    <w:rsid w:val="4C866FFE"/>
    <w:rsid w:val="4C86C31D"/>
    <w:rsid w:val="4C8BD960"/>
    <w:rsid w:val="4C8C79BA"/>
    <w:rsid w:val="4C8DFA97"/>
    <w:rsid w:val="4C8EE07A"/>
    <w:rsid w:val="4C90097C"/>
    <w:rsid w:val="4C91992A"/>
    <w:rsid w:val="4C939683"/>
    <w:rsid w:val="4C93CE29"/>
    <w:rsid w:val="4C94F9D9"/>
    <w:rsid w:val="4C967B89"/>
    <w:rsid w:val="4C976EDA"/>
    <w:rsid w:val="4C99475E"/>
    <w:rsid w:val="4C9CDA14"/>
    <w:rsid w:val="4C9D5DCC"/>
    <w:rsid w:val="4C9DE185"/>
    <w:rsid w:val="4C9E5176"/>
    <w:rsid w:val="4CA22620"/>
    <w:rsid w:val="4CA3BC68"/>
    <w:rsid w:val="4CA4846D"/>
    <w:rsid w:val="4CA57515"/>
    <w:rsid w:val="4CA8676F"/>
    <w:rsid w:val="4CA8F492"/>
    <w:rsid w:val="4CAA942F"/>
    <w:rsid w:val="4CABCFB4"/>
    <w:rsid w:val="4CAFE21A"/>
    <w:rsid w:val="4CB21F23"/>
    <w:rsid w:val="4CB264A3"/>
    <w:rsid w:val="4CB7DF5C"/>
    <w:rsid w:val="4CBB1E7A"/>
    <w:rsid w:val="4CBB9195"/>
    <w:rsid w:val="4CC07E60"/>
    <w:rsid w:val="4CC4E47C"/>
    <w:rsid w:val="4CC5653A"/>
    <w:rsid w:val="4CC6C19E"/>
    <w:rsid w:val="4CC9D43B"/>
    <w:rsid w:val="4CC9DBAA"/>
    <w:rsid w:val="4CCBEFC1"/>
    <w:rsid w:val="4CD0B128"/>
    <w:rsid w:val="4CD38379"/>
    <w:rsid w:val="4CD74CA0"/>
    <w:rsid w:val="4CD86BB0"/>
    <w:rsid w:val="4CDD74C6"/>
    <w:rsid w:val="4CDD88BC"/>
    <w:rsid w:val="4CDD9004"/>
    <w:rsid w:val="4CDD99F0"/>
    <w:rsid w:val="4CDE2CAC"/>
    <w:rsid w:val="4CE020C6"/>
    <w:rsid w:val="4CE02E1F"/>
    <w:rsid w:val="4CE2F58F"/>
    <w:rsid w:val="4CE48956"/>
    <w:rsid w:val="4CE4C3AB"/>
    <w:rsid w:val="4CE53CCF"/>
    <w:rsid w:val="4CE616E3"/>
    <w:rsid w:val="4CE63643"/>
    <w:rsid w:val="4CE790FD"/>
    <w:rsid w:val="4CE92BF7"/>
    <w:rsid w:val="4CE9517D"/>
    <w:rsid w:val="4CECBE70"/>
    <w:rsid w:val="4CED5458"/>
    <w:rsid w:val="4CF22F4D"/>
    <w:rsid w:val="4CF83105"/>
    <w:rsid w:val="4CF889FF"/>
    <w:rsid w:val="4CFA78F4"/>
    <w:rsid w:val="4CFAEEE9"/>
    <w:rsid w:val="4CFEBA89"/>
    <w:rsid w:val="4D02B51B"/>
    <w:rsid w:val="4D03606B"/>
    <w:rsid w:val="4D04F6E6"/>
    <w:rsid w:val="4D06F8DC"/>
    <w:rsid w:val="4D07D08C"/>
    <w:rsid w:val="4D08EC7E"/>
    <w:rsid w:val="4D0B6EAF"/>
    <w:rsid w:val="4D0BC730"/>
    <w:rsid w:val="4D0E275F"/>
    <w:rsid w:val="4D132B37"/>
    <w:rsid w:val="4D14172A"/>
    <w:rsid w:val="4D1612E7"/>
    <w:rsid w:val="4D1852F3"/>
    <w:rsid w:val="4D1D4CE1"/>
    <w:rsid w:val="4D1D5738"/>
    <w:rsid w:val="4D1E2588"/>
    <w:rsid w:val="4D1F368A"/>
    <w:rsid w:val="4D208E3F"/>
    <w:rsid w:val="4D20CE54"/>
    <w:rsid w:val="4D2340E0"/>
    <w:rsid w:val="4D24E484"/>
    <w:rsid w:val="4D254009"/>
    <w:rsid w:val="4D2645CD"/>
    <w:rsid w:val="4D27347B"/>
    <w:rsid w:val="4D2A330E"/>
    <w:rsid w:val="4D2F622B"/>
    <w:rsid w:val="4D35B451"/>
    <w:rsid w:val="4D37D342"/>
    <w:rsid w:val="4D3A224F"/>
    <w:rsid w:val="4D3C45A4"/>
    <w:rsid w:val="4D3D588E"/>
    <w:rsid w:val="4D3E3AE2"/>
    <w:rsid w:val="4D3F37E2"/>
    <w:rsid w:val="4D410FD5"/>
    <w:rsid w:val="4D422569"/>
    <w:rsid w:val="4D43D9BB"/>
    <w:rsid w:val="4D4489D0"/>
    <w:rsid w:val="4D46708B"/>
    <w:rsid w:val="4D46D317"/>
    <w:rsid w:val="4D46F3D7"/>
    <w:rsid w:val="4D47198C"/>
    <w:rsid w:val="4D474970"/>
    <w:rsid w:val="4D4ACF26"/>
    <w:rsid w:val="4D4B87B8"/>
    <w:rsid w:val="4D4CAD13"/>
    <w:rsid w:val="4D4F0057"/>
    <w:rsid w:val="4D528AA4"/>
    <w:rsid w:val="4D55AAC8"/>
    <w:rsid w:val="4D5747AB"/>
    <w:rsid w:val="4D5AAE05"/>
    <w:rsid w:val="4D5B0C8B"/>
    <w:rsid w:val="4D601FE8"/>
    <w:rsid w:val="4D63D4CC"/>
    <w:rsid w:val="4D64C033"/>
    <w:rsid w:val="4D67C8CE"/>
    <w:rsid w:val="4D6A0528"/>
    <w:rsid w:val="4D6A6DE6"/>
    <w:rsid w:val="4D6BF233"/>
    <w:rsid w:val="4D6EE56C"/>
    <w:rsid w:val="4D6FBEBB"/>
    <w:rsid w:val="4D70F611"/>
    <w:rsid w:val="4D73F1B3"/>
    <w:rsid w:val="4D792D27"/>
    <w:rsid w:val="4D7C0F0F"/>
    <w:rsid w:val="4D7F5D60"/>
    <w:rsid w:val="4D7F8B43"/>
    <w:rsid w:val="4D7F97EA"/>
    <w:rsid w:val="4D827262"/>
    <w:rsid w:val="4D834C42"/>
    <w:rsid w:val="4D837B41"/>
    <w:rsid w:val="4D8547C8"/>
    <w:rsid w:val="4D8B7E9D"/>
    <w:rsid w:val="4D8E076F"/>
    <w:rsid w:val="4D8ECCCD"/>
    <w:rsid w:val="4D9312A9"/>
    <w:rsid w:val="4D94A1B1"/>
    <w:rsid w:val="4D95B295"/>
    <w:rsid w:val="4D98F127"/>
    <w:rsid w:val="4D99A046"/>
    <w:rsid w:val="4D9BB1D9"/>
    <w:rsid w:val="4DA3199B"/>
    <w:rsid w:val="4DA88953"/>
    <w:rsid w:val="4DAB42C1"/>
    <w:rsid w:val="4DAD33BB"/>
    <w:rsid w:val="4DAD5508"/>
    <w:rsid w:val="4DAFFB84"/>
    <w:rsid w:val="4DB0D244"/>
    <w:rsid w:val="4DB2EC54"/>
    <w:rsid w:val="4DB50E7D"/>
    <w:rsid w:val="4DBB4A22"/>
    <w:rsid w:val="4DBF8863"/>
    <w:rsid w:val="4DC2EDC5"/>
    <w:rsid w:val="4DC608C4"/>
    <w:rsid w:val="4DC672BC"/>
    <w:rsid w:val="4DC9BB7B"/>
    <w:rsid w:val="4DCA5AFB"/>
    <w:rsid w:val="4DCB73CA"/>
    <w:rsid w:val="4DCBCFE3"/>
    <w:rsid w:val="4DCD9F6C"/>
    <w:rsid w:val="4DCF5EAF"/>
    <w:rsid w:val="4DD0D0EC"/>
    <w:rsid w:val="4DD17081"/>
    <w:rsid w:val="4DD31F6C"/>
    <w:rsid w:val="4DD35333"/>
    <w:rsid w:val="4DD7AD84"/>
    <w:rsid w:val="4DD7F641"/>
    <w:rsid w:val="4DDCD91C"/>
    <w:rsid w:val="4DDDA8A8"/>
    <w:rsid w:val="4DDE8CDE"/>
    <w:rsid w:val="4DDF29AE"/>
    <w:rsid w:val="4DE4B1C7"/>
    <w:rsid w:val="4DE6A3D0"/>
    <w:rsid w:val="4DE82FE0"/>
    <w:rsid w:val="4DECCDDC"/>
    <w:rsid w:val="4DEE7FE6"/>
    <w:rsid w:val="4DEEDA23"/>
    <w:rsid w:val="4DEFD70B"/>
    <w:rsid w:val="4DF053A4"/>
    <w:rsid w:val="4DF45965"/>
    <w:rsid w:val="4DF49455"/>
    <w:rsid w:val="4DF4C3FF"/>
    <w:rsid w:val="4DF5CCB1"/>
    <w:rsid w:val="4DF718F0"/>
    <w:rsid w:val="4DF76F86"/>
    <w:rsid w:val="4DF7951C"/>
    <w:rsid w:val="4DF8AEA2"/>
    <w:rsid w:val="4E08384C"/>
    <w:rsid w:val="4E08E921"/>
    <w:rsid w:val="4E09287E"/>
    <w:rsid w:val="4E09FC64"/>
    <w:rsid w:val="4E0BAB0F"/>
    <w:rsid w:val="4E0C2BE9"/>
    <w:rsid w:val="4E0CB454"/>
    <w:rsid w:val="4E0D3CEF"/>
    <w:rsid w:val="4E13C13B"/>
    <w:rsid w:val="4E1584BE"/>
    <w:rsid w:val="4E16D99E"/>
    <w:rsid w:val="4E180138"/>
    <w:rsid w:val="4E18DAD5"/>
    <w:rsid w:val="4E19AB1A"/>
    <w:rsid w:val="4E1AD33E"/>
    <w:rsid w:val="4E1F1A19"/>
    <w:rsid w:val="4E1FA5C8"/>
    <w:rsid w:val="4E20606F"/>
    <w:rsid w:val="4E22FEEE"/>
    <w:rsid w:val="4E23848F"/>
    <w:rsid w:val="4E254EFA"/>
    <w:rsid w:val="4E26008B"/>
    <w:rsid w:val="4E27CE8B"/>
    <w:rsid w:val="4E27DACA"/>
    <w:rsid w:val="4E29CAF8"/>
    <w:rsid w:val="4E2A1635"/>
    <w:rsid w:val="4E2A676C"/>
    <w:rsid w:val="4E2C7AED"/>
    <w:rsid w:val="4E2EF59B"/>
    <w:rsid w:val="4E2F733B"/>
    <w:rsid w:val="4E32EF90"/>
    <w:rsid w:val="4E34407D"/>
    <w:rsid w:val="4E354AED"/>
    <w:rsid w:val="4E37912E"/>
    <w:rsid w:val="4E3BBE15"/>
    <w:rsid w:val="4E3BF4A1"/>
    <w:rsid w:val="4E3CF642"/>
    <w:rsid w:val="4E3E883A"/>
    <w:rsid w:val="4E409985"/>
    <w:rsid w:val="4E440FC6"/>
    <w:rsid w:val="4E49798D"/>
    <w:rsid w:val="4E4AA46F"/>
    <w:rsid w:val="4E4E303A"/>
    <w:rsid w:val="4E53751C"/>
    <w:rsid w:val="4E553277"/>
    <w:rsid w:val="4E5536A4"/>
    <w:rsid w:val="4E569026"/>
    <w:rsid w:val="4E56F22D"/>
    <w:rsid w:val="4E5E3851"/>
    <w:rsid w:val="4E5F5D9A"/>
    <w:rsid w:val="4E633A29"/>
    <w:rsid w:val="4E643588"/>
    <w:rsid w:val="4E64BA1A"/>
    <w:rsid w:val="4E67710E"/>
    <w:rsid w:val="4E6A4641"/>
    <w:rsid w:val="4E6C718B"/>
    <w:rsid w:val="4E6DB2A4"/>
    <w:rsid w:val="4E707D31"/>
    <w:rsid w:val="4E71470A"/>
    <w:rsid w:val="4E7628C2"/>
    <w:rsid w:val="4E78185C"/>
    <w:rsid w:val="4E78A49A"/>
    <w:rsid w:val="4E7A77A8"/>
    <w:rsid w:val="4E7C0F1B"/>
    <w:rsid w:val="4E7F249F"/>
    <w:rsid w:val="4E836C3D"/>
    <w:rsid w:val="4E83E007"/>
    <w:rsid w:val="4E843DA9"/>
    <w:rsid w:val="4E844D9A"/>
    <w:rsid w:val="4E855682"/>
    <w:rsid w:val="4E874997"/>
    <w:rsid w:val="4E8B70AA"/>
    <w:rsid w:val="4E8BC4F1"/>
    <w:rsid w:val="4E8CA855"/>
    <w:rsid w:val="4E8D6339"/>
    <w:rsid w:val="4E8EE60E"/>
    <w:rsid w:val="4E8F174C"/>
    <w:rsid w:val="4E8F26FC"/>
    <w:rsid w:val="4E8FBEEC"/>
    <w:rsid w:val="4E9138E7"/>
    <w:rsid w:val="4E9272D1"/>
    <w:rsid w:val="4E95751E"/>
    <w:rsid w:val="4E97340B"/>
    <w:rsid w:val="4E989581"/>
    <w:rsid w:val="4E99F8A0"/>
    <w:rsid w:val="4E9D4B75"/>
    <w:rsid w:val="4E9E2D50"/>
    <w:rsid w:val="4E9EE144"/>
    <w:rsid w:val="4EA0B131"/>
    <w:rsid w:val="4EA0CD6C"/>
    <w:rsid w:val="4EA3C8E2"/>
    <w:rsid w:val="4EA40F35"/>
    <w:rsid w:val="4EA59448"/>
    <w:rsid w:val="4EA78DA5"/>
    <w:rsid w:val="4EA7EAB9"/>
    <w:rsid w:val="4EA92C35"/>
    <w:rsid w:val="4EAACB2D"/>
    <w:rsid w:val="4EAB2D49"/>
    <w:rsid w:val="4EAEDCFE"/>
    <w:rsid w:val="4EB02ABC"/>
    <w:rsid w:val="4EB0489B"/>
    <w:rsid w:val="4EB31AE4"/>
    <w:rsid w:val="4EB3648F"/>
    <w:rsid w:val="4EB43120"/>
    <w:rsid w:val="4EB54CD5"/>
    <w:rsid w:val="4EB596A2"/>
    <w:rsid w:val="4EB7174E"/>
    <w:rsid w:val="4EB79A2D"/>
    <w:rsid w:val="4EBA62D6"/>
    <w:rsid w:val="4EBC54AC"/>
    <w:rsid w:val="4EBCA4A0"/>
    <w:rsid w:val="4EBD92BC"/>
    <w:rsid w:val="4EBF0811"/>
    <w:rsid w:val="4EBFBC3E"/>
    <w:rsid w:val="4EC0C0EE"/>
    <w:rsid w:val="4EC7B27A"/>
    <w:rsid w:val="4EC923C7"/>
    <w:rsid w:val="4EC9D985"/>
    <w:rsid w:val="4ECAE39C"/>
    <w:rsid w:val="4ECCD1C9"/>
    <w:rsid w:val="4ECDB21B"/>
    <w:rsid w:val="4ECE6473"/>
    <w:rsid w:val="4ED046D2"/>
    <w:rsid w:val="4ED1AED3"/>
    <w:rsid w:val="4ED1C4AF"/>
    <w:rsid w:val="4ED3E6AD"/>
    <w:rsid w:val="4ED45F19"/>
    <w:rsid w:val="4ED4B34C"/>
    <w:rsid w:val="4ED6D8F6"/>
    <w:rsid w:val="4ED89E8A"/>
    <w:rsid w:val="4EDA7E20"/>
    <w:rsid w:val="4EDC1692"/>
    <w:rsid w:val="4EDDEA44"/>
    <w:rsid w:val="4EDF2859"/>
    <w:rsid w:val="4EE20866"/>
    <w:rsid w:val="4EE28A86"/>
    <w:rsid w:val="4EEA3EB6"/>
    <w:rsid w:val="4EEBB8FE"/>
    <w:rsid w:val="4EED4827"/>
    <w:rsid w:val="4EED6A01"/>
    <w:rsid w:val="4EF10870"/>
    <w:rsid w:val="4EF1265D"/>
    <w:rsid w:val="4EF1FA1C"/>
    <w:rsid w:val="4EF28550"/>
    <w:rsid w:val="4EF3BF37"/>
    <w:rsid w:val="4EFACA20"/>
    <w:rsid w:val="4EFB452D"/>
    <w:rsid w:val="4EFD389C"/>
    <w:rsid w:val="4F02F440"/>
    <w:rsid w:val="4F07F678"/>
    <w:rsid w:val="4F0940EC"/>
    <w:rsid w:val="4F09EDD9"/>
    <w:rsid w:val="4F0D4E0E"/>
    <w:rsid w:val="4F101AB4"/>
    <w:rsid w:val="4F1105DC"/>
    <w:rsid w:val="4F11F40A"/>
    <w:rsid w:val="4F17A61D"/>
    <w:rsid w:val="4F1815C2"/>
    <w:rsid w:val="4F18236A"/>
    <w:rsid w:val="4F1F6FDC"/>
    <w:rsid w:val="4F1FCE50"/>
    <w:rsid w:val="4F1FE67D"/>
    <w:rsid w:val="4F21B396"/>
    <w:rsid w:val="4F27D033"/>
    <w:rsid w:val="4F28F6E1"/>
    <w:rsid w:val="4F2B880B"/>
    <w:rsid w:val="4F2DB7CC"/>
    <w:rsid w:val="4F2DFC63"/>
    <w:rsid w:val="4F304D68"/>
    <w:rsid w:val="4F3278E2"/>
    <w:rsid w:val="4F35D484"/>
    <w:rsid w:val="4F38A5D5"/>
    <w:rsid w:val="4F38A5EA"/>
    <w:rsid w:val="4F3B4F3E"/>
    <w:rsid w:val="4F4BB0C8"/>
    <w:rsid w:val="4F4FD6F6"/>
    <w:rsid w:val="4F5069AD"/>
    <w:rsid w:val="4F511583"/>
    <w:rsid w:val="4F5373E6"/>
    <w:rsid w:val="4F541033"/>
    <w:rsid w:val="4F54F387"/>
    <w:rsid w:val="4F576922"/>
    <w:rsid w:val="4F59D041"/>
    <w:rsid w:val="4F5AFD34"/>
    <w:rsid w:val="4F5C110F"/>
    <w:rsid w:val="4F5CDBF8"/>
    <w:rsid w:val="4F5E393E"/>
    <w:rsid w:val="4F63985D"/>
    <w:rsid w:val="4F66AACC"/>
    <w:rsid w:val="4F66C9C5"/>
    <w:rsid w:val="4F67B707"/>
    <w:rsid w:val="4F6BE6A3"/>
    <w:rsid w:val="4F6E552B"/>
    <w:rsid w:val="4F739D3F"/>
    <w:rsid w:val="4F749520"/>
    <w:rsid w:val="4F750B44"/>
    <w:rsid w:val="4F7A07F4"/>
    <w:rsid w:val="4F7B8F38"/>
    <w:rsid w:val="4F7BD612"/>
    <w:rsid w:val="4F7EE5FB"/>
    <w:rsid w:val="4F8100F1"/>
    <w:rsid w:val="4F82D8D3"/>
    <w:rsid w:val="4F845CFC"/>
    <w:rsid w:val="4F89AA9A"/>
    <w:rsid w:val="4F89BA09"/>
    <w:rsid w:val="4F901B81"/>
    <w:rsid w:val="4F908181"/>
    <w:rsid w:val="4F922B1E"/>
    <w:rsid w:val="4F937752"/>
    <w:rsid w:val="4F999D7C"/>
    <w:rsid w:val="4F9BD5F9"/>
    <w:rsid w:val="4F9EE5B7"/>
    <w:rsid w:val="4F9FB9A0"/>
    <w:rsid w:val="4FA12EA0"/>
    <w:rsid w:val="4FA1D1B1"/>
    <w:rsid w:val="4FA433B1"/>
    <w:rsid w:val="4FA54E9D"/>
    <w:rsid w:val="4FA626D4"/>
    <w:rsid w:val="4FA87852"/>
    <w:rsid w:val="4FAC35D9"/>
    <w:rsid w:val="4FAD38BB"/>
    <w:rsid w:val="4FAF805C"/>
    <w:rsid w:val="4FAFA624"/>
    <w:rsid w:val="4FAFC3B5"/>
    <w:rsid w:val="4FB0537B"/>
    <w:rsid w:val="4FB1767A"/>
    <w:rsid w:val="4FB409E3"/>
    <w:rsid w:val="4FB8A85F"/>
    <w:rsid w:val="4FB908CC"/>
    <w:rsid w:val="4FBA619B"/>
    <w:rsid w:val="4FBA7FB6"/>
    <w:rsid w:val="4FBBC465"/>
    <w:rsid w:val="4FBC77C9"/>
    <w:rsid w:val="4FBCAAF7"/>
    <w:rsid w:val="4FBF6CF8"/>
    <w:rsid w:val="4FC6DE72"/>
    <w:rsid w:val="4FC958F3"/>
    <w:rsid w:val="4FC9D9A6"/>
    <w:rsid w:val="4FCA5E08"/>
    <w:rsid w:val="4FCACEEE"/>
    <w:rsid w:val="4FCBE92F"/>
    <w:rsid w:val="4FCCD804"/>
    <w:rsid w:val="4FCE315A"/>
    <w:rsid w:val="4FD043EE"/>
    <w:rsid w:val="4FD1AE8A"/>
    <w:rsid w:val="4FD487FE"/>
    <w:rsid w:val="4FD6C86D"/>
    <w:rsid w:val="4FD6F924"/>
    <w:rsid w:val="4FD94041"/>
    <w:rsid w:val="4FD9544A"/>
    <w:rsid w:val="4FDB05C4"/>
    <w:rsid w:val="4FDCA4C0"/>
    <w:rsid w:val="4FDCEDA7"/>
    <w:rsid w:val="4FE06C59"/>
    <w:rsid w:val="4FE09AEA"/>
    <w:rsid w:val="4FE14E43"/>
    <w:rsid w:val="4FE78DE6"/>
    <w:rsid w:val="4FE7F79E"/>
    <w:rsid w:val="4FE9FC01"/>
    <w:rsid w:val="4FEA3E47"/>
    <w:rsid w:val="4FEA5CC5"/>
    <w:rsid w:val="4FEF1A2B"/>
    <w:rsid w:val="4FF04B48"/>
    <w:rsid w:val="4FF6B7E1"/>
    <w:rsid w:val="4FF88498"/>
    <w:rsid w:val="4FF89DB1"/>
    <w:rsid w:val="5000475C"/>
    <w:rsid w:val="50010AB2"/>
    <w:rsid w:val="5008AA87"/>
    <w:rsid w:val="500ABBB5"/>
    <w:rsid w:val="50116E34"/>
    <w:rsid w:val="5011836D"/>
    <w:rsid w:val="50118C85"/>
    <w:rsid w:val="5015D5C4"/>
    <w:rsid w:val="5016E057"/>
    <w:rsid w:val="501AFC5D"/>
    <w:rsid w:val="501E22BE"/>
    <w:rsid w:val="50202355"/>
    <w:rsid w:val="502322A4"/>
    <w:rsid w:val="5027C35E"/>
    <w:rsid w:val="50291C33"/>
    <w:rsid w:val="502BFBBA"/>
    <w:rsid w:val="502C37D1"/>
    <w:rsid w:val="502CD973"/>
    <w:rsid w:val="502ED91C"/>
    <w:rsid w:val="50330F02"/>
    <w:rsid w:val="5035AA23"/>
    <w:rsid w:val="5036ABD6"/>
    <w:rsid w:val="5037C866"/>
    <w:rsid w:val="5039F7D1"/>
    <w:rsid w:val="503ACC64"/>
    <w:rsid w:val="503C1649"/>
    <w:rsid w:val="503DD695"/>
    <w:rsid w:val="503E5A64"/>
    <w:rsid w:val="50406496"/>
    <w:rsid w:val="5040F286"/>
    <w:rsid w:val="50411EA4"/>
    <w:rsid w:val="50419E81"/>
    <w:rsid w:val="504238CC"/>
    <w:rsid w:val="504443DF"/>
    <w:rsid w:val="504529AF"/>
    <w:rsid w:val="5045700C"/>
    <w:rsid w:val="50472692"/>
    <w:rsid w:val="5047548F"/>
    <w:rsid w:val="50488D5C"/>
    <w:rsid w:val="50494ED3"/>
    <w:rsid w:val="504CDAC0"/>
    <w:rsid w:val="50563337"/>
    <w:rsid w:val="505777C6"/>
    <w:rsid w:val="505C700D"/>
    <w:rsid w:val="505C96B4"/>
    <w:rsid w:val="505D1689"/>
    <w:rsid w:val="505D7B54"/>
    <w:rsid w:val="505DB5EC"/>
    <w:rsid w:val="505DB6FE"/>
    <w:rsid w:val="505DBA65"/>
    <w:rsid w:val="506118CB"/>
    <w:rsid w:val="50636A39"/>
    <w:rsid w:val="5064EB18"/>
    <w:rsid w:val="50666B86"/>
    <w:rsid w:val="50690EA3"/>
    <w:rsid w:val="5069EC6E"/>
    <w:rsid w:val="506CB925"/>
    <w:rsid w:val="506E4FA9"/>
    <w:rsid w:val="507175E1"/>
    <w:rsid w:val="5071B19A"/>
    <w:rsid w:val="5076242C"/>
    <w:rsid w:val="5076ABAF"/>
    <w:rsid w:val="5078914B"/>
    <w:rsid w:val="50789D8D"/>
    <w:rsid w:val="5079D485"/>
    <w:rsid w:val="5079F230"/>
    <w:rsid w:val="507DFF3C"/>
    <w:rsid w:val="50819F92"/>
    <w:rsid w:val="50838136"/>
    <w:rsid w:val="5083A795"/>
    <w:rsid w:val="5083C567"/>
    <w:rsid w:val="50893A62"/>
    <w:rsid w:val="50899B05"/>
    <w:rsid w:val="508AABEA"/>
    <w:rsid w:val="508C1287"/>
    <w:rsid w:val="508D318E"/>
    <w:rsid w:val="5090F58A"/>
    <w:rsid w:val="50998804"/>
    <w:rsid w:val="509B805A"/>
    <w:rsid w:val="509E4F00"/>
    <w:rsid w:val="50A03631"/>
    <w:rsid w:val="50A221C6"/>
    <w:rsid w:val="50A3A548"/>
    <w:rsid w:val="50A3CFCA"/>
    <w:rsid w:val="50A45A61"/>
    <w:rsid w:val="50A5F1A8"/>
    <w:rsid w:val="50A6AFFF"/>
    <w:rsid w:val="50AA3AD1"/>
    <w:rsid w:val="50AA4681"/>
    <w:rsid w:val="50AAA681"/>
    <w:rsid w:val="50AC6CF4"/>
    <w:rsid w:val="50B61A08"/>
    <w:rsid w:val="50B964E0"/>
    <w:rsid w:val="50B9A881"/>
    <w:rsid w:val="50BA2315"/>
    <w:rsid w:val="50BC1C02"/>
    <w:rsid w:val="50BEAD91"/>
    <w:rsid w:val="50BF040D"/>
    <w:rsid w:val="50C1829E"/>
    <w:rsid w:val="50C5E70D"/>
    <w:rsid w:val="50C80143"/>
    <w:rsid w:val="50C83FB9"/>
    <w:rsid w:val="50C94D79"/>
    <w:rsid w:val="50CA9FB7"/>
    <w:rsid w:val="50CB3869"/>
    <w:rsid w:val="50CB83D3"/>
    <w:rsid w:val="50D1C01D"/>
    <w:rsid w:val="50D4F7B4"/>
    <w:rsid w:val="50D814FE"/>
    <w:rsid w:val="50DB2038"/>
    <w:rsid w:val="50E135C9"/>
    <w:rsid w:val="50E259C3"/>
    <w:rsid w:val="50E44E56"/>
    <w:rsid w:val="50E778C9"/>
    <w:rsid w:val="50E7E6AC"/>
    <w:rsid w:val="50E88769"/>
    <w:rsid w:val="50E9DCDE"/>
    <w:rsid w:val="50EAA5CA"/>
    <w:rsid w:val="50EB0B07"/>
    <w:rsid w:val="50EF019B"/>
    <w:rsid w:val="50F2F853"/>
    <w:rsid w:val="50F64E15"/>
    <w:rsid w:val="50F700D5"/>
    <w:rsid w:val="50F91E3E"/>
    <w:rsid w:val="50FC217C"/>
    <w:rsid w:val="50FC7EF9"/>
    <w:rsid w:val="50FD20E0"/>
    <w:rsid w:val="50FD2822"/>
    <w:rsid w:val="50FF9357"/>
    <w:rsid w:val="50FF9B80"/>
    <w:rsid w:val="51010C0A"/>
    <w:rsid w:val="5101D453"/>
    <w:rsid w:val="51062754"/>
    <w:rsid w:val="51081418"/>
    <w:rsid w:val="510A212A"/>
    <w:rsid w:val="510A453F"/>
    <w:rsid w:val="510BAD0F"/>
    <w:rsid w:val="510BFF46"/>
    <w:rsid w:val="510F1C9F"/>
    <w:rsid w:val="5110AD0D"/>
    <w:rsid w:val="51113748"/>
    <w:rsid w:val="5111B59C"/>
    <w:rsid w:val="51186B56"/>
    <w:rsid w:val="51190BED"/>
    <w:rsid w:val="511C88EB"/>
    <w:rsid w:val="511E16B6"/>
    <w:rsid w:val="511E4121"/>
    <w:rsid w:val="511FEC0F"/>
    <w:rsid w:val="5124D070"/>
    <w:rsid w:val="5128B611"/>
    <w:rsid w:val="5128F8D7"/>
    <w:rsid w:val="51290CD2"/>
    <w:rsid w:val="512AC8EB"/>
    <w:rsid w:val="512CC04F"/>
    <w:rsid w:val="512CEF5A"/>
    <w:rsid w:val="512D9CBE"/>
    <w:rsid w:val="512E1AA0"/>
    <w:rsid w:val="5131EB64"/>
    <w:rsid w:val="5135F4AF"/>
    <w:rsid w:val="5136C3EF"/>
    <w:rsid w:val="5136FC05"/>
    <w:rsid w:val="513D63CF"/>
    <w:rsid w:val="513F539B"/>
    <w:rsid w:val="51406A62"/>
    <w:rsid w:val="51445C65"/>
    <w:rsid w:val="5144CCEA"/>
    <w:rsid w:val="514A40E9"/>
    <w:rsid w:val="514E3E14"/>
    <w:rsid w:val="514EE82B"/>
    <w:rsid w:val="51504F07"/>
    <w:rsid w:val="51541819"/>
    <w:rsid w:val="51543E1E"/>
    <w:rsid w:val="51562F87"/>
    <w:rsid w:val="5156D7DC"/>
    <w:rsid w:val="5159E32B"/>
    <w:rsid w:val="515B17C2"/>
    <w:rsid w:val="515E8251"/>
    <w:rsid w:val="515EDF30"/>
    <w:rsid w:val="515EE480"/>
    <w:rsid w:val="515FE5B2"/>
    <w:rsid w:val="5160F802"/>
    <w:rsid w:val="516132D5"/>
    <w:rsid w:val="51624F0F"/>
    <w:rsid w:val="516384A7"/>
    <w:rsid w:val="5168B16E"/>
    <w:rsid w:val="516FCB40"/>
    <w:rsid w:val="51707ED2"/>
    <w:rsid w:val="51716F33"/>
    <w:rsid w:val="5175751D"/>
    <w:rsid w:val="5176A67C"/>
    <w:rsid w:val="5176CFD5"/>
    <w:rsid w:val="5177367E"/>
    <w:rsid w:val="51791AB8"/>
    <w:rsid w:val="51791DB7"/>
    <w:rsid w:val="517B26AD"/>
    <w:rsid w:val="517E2CF0"/>
    <w:rsid w:val="51817D34"/>
    <w:rsid w:val="5183230E"/>
    <w:rsid w:val="5183624C"/>
    <w:rsid w:val="5185F331"/>
    <w:rsid w:val="5186C0DB"/>
    <w:rsid w:val="5188C38B"/>
    <w:rsid w:val="518E78EC"/>
    <w:rsid w:val="518E8115"/>
    <w:rsid w:val="5192958C"/>
    <w:rsid w:val="5194D79D"/>
    <w:rsid w:val="5198EB8E"/>
    <w:rsid w:val="519C23CA"/>
    <w:rsid w:val="519CDB13"/>
    <w:rsid w:val="519F963D"/>
    <w:rsid w:val="51A2F369"/>
    <w:rsid w:val="51A3BDA1"/>
    <w:rsid w:val="51A3EFDC"/>
    <w:rsid w:val="51A57CC2"/>
    <w:rsid w:val="51AB10E8"/>
    <w:rsid w:val="51ADAA17"/>
    <w:rsid w:val="51AF7814"/>
    <w:rsid w:val="51AF7E7E"/>
    <w:rsid w:val="51B336BB"/>
    <w:rsid w:val="51B90E90"/>
    <w:rsid w:val="51BB9B27"/>
    <w:rsid w:val="51C0EFAA"/>
    <w:rsid w:val="51C25B06"/>
    <w:rsid w:val="51C31F44"/>
    <w:rsid w:val="51C37FA8"/>
    <w:rsid w:val="51C423FC"/>
    <w:rsid w:val="51C447D1"/>
    <w:rsid w:val="51C5225E"/>
    <w:rsid w:val="51C5C07D"/>
    <w:rsid w:val="51C77998"/>
    <w:rsid w:val="51C7CC1B"/>
    <w:rsid w:val="51D0DCFB"/>
    <w:rsid w:val="51D307C0"/>
    <w:rsid w:val="51D3B2B0"/>
    <w:rsid w:val="51D4D2BA"/>
    <w:rsid w:val="51D54E81"/>
    <w:rsid w:val="51D66570"/>
    <w:rsid w:val="51D71479"/>
    <w:rsid w:val="51D8B5E4"/>
    <w:rsid w:val="51D997D5"/>
    <w:rsid w:val="51DC27BF"/>
    <w:rsid w:val="51DD6BC1"/>
    <w:rsid w:val="51DF3DAF"/>
    <w:rsid w:val="51DF94CE"/>
    <w:rsid w:val="51E003D0"/>
    <w:rsid w:val="51E0A2EB"/>
    <w:rsid w:val="51E0D4F3"/>
    <w:rsid w:val="51E1651F"/>
    <w:rsid w:val="51E2E787"/>
    <w:rsid w:val="51E32D45"/>
    <w:rsid w:val="51E6F69A"/>
    <w:rsid w:val="51E74E96"/>
    <w:rsid w:val="51E8C42A"/>
    <w:rsid w:val="51EB264C"/>
    <w:rsid w:val="51EBC547"/>
    <w:rsid w:val="51ED2E18"/>
    <w:rsid w:val="51ED3764"/>
    <w:rsid w:val="51ED3BDA"/>
    <w:rsid w:val="51EE3891"/>
    <w:rsid w:val="51EEA50C"/>
    <w:rsid w:val="51EF6AC1"/>
    <w:rsid w:val="51EFD2C0"/>
    <w:rsid w:val="51F051CC"/>
    <w:rsid w:val="51F430A6"/>
    <w:rsid w:val="51F44B34"/>
    <w:rsid w:val="51F51B1E"/>
    <w:rsid w:val="51FC1D1D"/>
    <w:rsid w:val="51FD6BF5"/>
    <w:rsid w:val="52000B3A"/>
    <w:rsid w:val="52025799"/>
    <w:rsid w:val="5204DDFC"/>
    <w:rsid w:val="52079F78"/>
    <w:rsid w:val="52082950"/>
    <w:rsid w:val="520891BC"/>
    <w:rsid w:val="52092F4F"/>
    <w:rsid w:val="5209BE6E"/>
    <w:rsid w:val="520A3362"/>
    <w:rsid w:val="520EE0C7"/>
    <w:rsid w:val="5215F772"/>
    <w:rsid w:val="5216602C"/>
    <w:rsid w:val="52193428"/>
    <w:rsid w:val="521AAA5F"/>
    <w:rsid w:val="521B5E27"/>
    <w:rsid w:val="52272A80"/>
    <w:rsid w:val="52287A27"/>
    <w:rsid w:val="522AFF99"/>
    <w:rsid w:val="522DEB2C"/>
    <w:rsid w:val="522F093A"/>
    <w:rsid w:val="522F8300"/>
    <w:rsid w:val="5233A745"/>
    <w:rsid w:val="5234996E"/>
    <w:rsid w:val="5234DCCA"/>
    <w:rsid w:val="5234F1E9"/>
    <w:rsid w:val="5236CA9A"/>
    <w:rsid w:val="52389012"/>
    <w:rsid w:val="5239897F"/>
    <w:rsid w:val="523D1113"/>
    <w:rsid w:val="523D58FB"/>
    <w:rsid w:val="523E2542"/>
    <w:rsid w:val="523F1FE0"/>
    <w:rsid w:val="524179EF"/>
    <w:rsid w:val="5241901A"/>
    <w:rsid w:val="5241F68E"/>
    <w:rsid w:val="5242E03E"/>
    <w:rsid w:val="5243F595"/>
    <w:rsid w:val="52447E98"/>
    <w:rsid w:val="5247DC85"/>
    <w:rsid w:val="524D8ECC"/>
    <w:rsid w:val="525A4C1D"/>
    <w:rsid w:val="525B9D0A"/>
    <w:rsid w:val="525DA9AD"/>
    <w:rsid w:val="52635B77"/>
    <w:rsid w:val="5265FA11"/>
    <w:rsid w:val="52675E65"/>
    <w:rsid w:val="526A305C"/>
    <w:rsid w:val="526FB24B"/>
    <w:rsid w:val="52705112"/>
    <w:rsid w:val="5270B743"/>
    <w:rsid w:val="52721B8C"/>
    <w:rsid w:val="5272CCDC"/>
    <w:rsid w:val="5272E70B"/>
    <w:rsid w:val="5274E7C7"/>
    <w:rsid w:val="52773583"/>
    <w:rsid w:val="52778FF7"/>
    <w:rsid w:val="5277FFDF"/>
    <w:rsid w:val="527CAC38"/>
    <w:rsid w:val="527D0D62"/>
    <w:rsid w:val="527D3294"/>
    <w:rsid w:val="5283075E"/>
    <w:rsid w:val="52840247"/>
    <w:rsid w:val="528657E5"/>
    <w:rsid w:val="528812D3"/>
    <w:rsid w:val="528982F0"/>
    <w:rsid w:val="528B09B7"/>
    <w:rsid w:val="528CFFF2"/>
    <w:rsid w:val="528DA4ED"/>
    <w:rsid w:val="528EC378"/>
    <w:rsid w:val="528ED659"/>
    <w:rsid w:val="52900893"/>
    <w:rsid w:val="5297FB14"/>
    <w:rsid w:val="52996E59"/>
    <w:rsid w:val="52999C1A"/>
    <w:rsid w:val="529B166D"/>
    <w:rsid w:val="529C7A32"/>
    <w:rsid w:val="529F041D"/>
    <w:rsid w:val="52A0C353"/>
    <w:rsid w:val="52A0C6FE"/>
    <w:rsid w:val="52A1FCF4"/>
    <w:rsid w:val="52A45E21"/>
    <w:rsid w:val="52A57C59"/>
    <w:rsid w:val="52A60CF1"/>
    <w:rsid w:val="52A8BCEA"/>
    <w:rsid w:val="52AB1035"/>
    <w:rsid w:val="52AF5F63"/>
    <w:rsid w:val="52B021BF"/>
    <w:rsid w:val="52B026B1"/>
    <w:rsid w:val="52B0C8FE"/>
    <w:rsid w:val="52B18483"/>
    <w:rsid w:val="52B2C4E6"/>
    <w:rsid w:val="52B3A805"/>
    <w:rsid w:val="52B45186"/>
    <w:rsid w:val="52B5339D"/>
    <w:rsid w:val="52B6CFB6"/>
    <w:rsid w:val="52B84414"/>
    <w:rsid w:val="52BBA9D9"/>
    <w:rsid w:val="52BE3685"/>
    <w:rsid w:val="52BFA78B"/>
    <w:rsid w:val="52C22FD5"/>
    <w:rsid w:val="52C4FD27"/>
    <w:rsid w:val="52C6DF73"/>
    <w:rsid w:val="52C73E2A"/>
    <w:rsid w:val="52C887C0"/>
    <w:rsid w:val="52C964CC"/>
    <w:rsid w:val="52CA3F2E"/>
    <w:rsid w:val="52CBD69F"/>
    <w:rsid w:val="52CD07C1"/>
    <w:rsid w:val="52CDCC0C"/>
    <w:rsid w:val="52CE1E00"/>
    <w:rsid w:val="52D1530F"/>
    <w:rsid w:val="52D6CDAF"/>
    <w:rsid w:val="52DCA37D"/>
    <w:rsid w:val="52E04800"/>
    <w:rsid w:val="52E2FF9E"/>
    <w:rsid w:val="52E473EE"/>
    <w:rsid w:val="52E9484A"/>
    <w:rsid w:val="52E94DDC"/>
    <w:rsid w:val="52E9CFBD"/>
    <w:rsid w:val="52EAECCE"/>
    <w:rsid w:val="52EBE27D"/>
    <w:rsid w:val="52EF6E71"/>
    <w:rsid w:val="52F045DE"/>
    <w:rsid w:val="52F08A13"/>
    <w:rsid w:val="52F60392"/>
    <w:rsid w:val="52F699BC"/>
    <w:rsid w:val="52F9442F"/>
    <w:rsid w:val="52FBD969"/>
    <w:rsid w:val="52FDCC1F"/>
    <w:rsid w:val="52FE5251"/>
    <w:rsid w:val="52FE849F"/>
    <w:rsid w:val="53005E23"/>
    <w:rsid w:val="53024702"/>
    <w:rsid w:val="5302AEA7"/>
    <w:rsid w:val="5304DB8F"/>
    <w:rsid w:val="530649E7"/>
    <w:rsid w:val="5306E932"/>
    <w:rsid w:val="5308D0E3"/>
    <w:rsid w:val="530B7933"/>
    <w:rsid w:val="530BF832"/>
    <w:rsid w:val="531009DA"/>
    <w:rsid w:val="5310D8EC"/>
    <w:rsid w:val="531138DC"/>
    <w:rsid w:val="53125D45"/>
    <w:rsid w:val="531E68E1"/>
    <w:rsid w:val="531FA8A8"/>
    <w:rsid w:val="532175B3"/>
    <w:rsid w:val="532381ED"/>
    <w:rsid w:val="532C7A53"/>
    <w:rsid w:val="532D907A"/>
    <w:rsid w:val="532E75AD"/>
    <w:rsid w:val="53316B4E"/>
    <w:rsid w:val="5333C8BC"/>
    <w:rsid w:val="53341CD6"/>
    <w:rsid w:val="53352B30"/>
    <w:rsid w:val="5335DECC"/>
    <w:rsid w:val="533637C5"/>
    <w:rsid w:val="5337055A"/>
    <w:rsid w:val="53370F69"/>
    <w:rsid w:val="53376576"/>
    <w:rsid w:val="5339D026"/>
    <w:rsid w:val="533D0F15"/>
    <w:rsid w:val="53430ECC"/>
    <w:rsid w:val="53462009"/>
    <w:rsid w:val="5347A0CE"/>
    <w:rsid w:val="534952DD"/>
    <w:rsid w:val="534B1C93"/>
    <w:rsid w:val="534CC76D"/>
    <w:rsid w:val="534EB00B"/>
    <w:rsid w:val="534ECFBF"/>
    <w:rsid w:val="534FD731"/>
    <w:rsid w:val="5350D29C"/>
    <w:rsid w:val="5351DC54"/>
    <w:rsid w:val="53522BDC"/>
    <w:rsid w:val="53533B38"/>
    <w:rsid w:val="5353AD67"/>
    <w:rsid w:val="5357E7A3"/>
    <w:rsid w:val="53583EB5"/>
    <w:rsid w:val="535CE2EB"/>
    <w:rsid w:val="535D0DA2"/>
    <w:rsid w:val="5360025C"/>
    <w:rsid w:val="5366B426"/>
    <w:rsid w:val="5367D868"/>
    <w:rsid w:val="5368967F"/>
    <w:rsid w:val="536C66D4"/>
    <w:rsid w:val="536CD837"/>
    <w:rsid w:val="536DA0EC"/>
    <w:rsid w:val="536DEFC0"/>
    <w:rsid w:val="536F522E"/>
    <w:rsid w:val="53708667"/>
    <w:rsid w:val="5371914D"/>
    <w:rsid w:val="53738B9C"/>
    <w:rsid w:val="537571C9"/>
    <w:rsid w:val="53771956"/>
    <w:rsid w:val="537825D2"/>
    <w:rsid w:val="537D8A0C"/>
    <w:rsid w:val="53809A88"/>
    <w:rsid w:val="5382AE8E"/>
    <w:rsid w:val="5384AECD"/>
    <w:rsid w:val="53861E10"/>
    <w:rsid w:val="5388DBE8"/>
    <w:rsid w:val="538A3997"/>
    <w:rsid w:val="538CBE03"/>
    <w:rsid w:val="53947D3C"/>
    <w:rsid w:val="5396A6D2"/>
    <w:rsid w:val="53979F56"/>
    <w:rsid w:val="5398A417"/>
    <w:rsid w:val="53A2005F"/>
    <w:rsid w:val="53A3BC5C"/>
    <w:rsid w:val="53A5D923"/>
    <w:rsid w:val="53A73D14"/>
    <w:rsid w:val="53A8FEBC"/>
    <w:rsid w:val="53AA49B0"/>
    <w:rsid w:val="53AAA705"/>
    <w:rsid w:val="53ABF90B"/>
    <w:rsid w:val="53AE62EE"/>
    <w:rsid w:val="53B08A30"/>
    <w:rsid w:val="53B17EEB"/>
    <w:rsid w:val="53B504AF"/>
    <w:rsid w:val="53B7AB90"/>
    <w:rsid w:val="53B7AFEF"/>
    <w:rsid w:val="53BAAC82"/>
    <w:rsid w:val="53BB98C6"/>
    <w:rsid w:val="53BE9348"/>
    <w:rsid w:val="53C0B966"/>
    <w:rsid w:val="53C19338"/>
    <w:rsid w:val="53C2CDE0"/>
    <w:rsid w:val="53C3A57B"/>
    <w:rsid w:val="53C44DDB"/>
    <w:rsid w:val="53C5B2C8"/>
    <w:rsid w:val="53C78282"/>
    <w:rsid w:val="53CAF4BC"/>
    <w:rsid w:val="53CBB01E"/>
    <w:rsid w:val="53CD1C11"/>
    <w:rsid w:val="53CD4F71"/>
    <w:rsid w:val="53CD6F03"/>
    <w:rsid w:val="53CD9FD7"/>
    <w:rsid w:val="53D1A7AB"/>
    <w:rsid w:val="53D256BB"/>
    <w:rsid w:val="53D280CE"/>
    <w:rsid w:val="53D69451"/>
    <w:rsid w:val="53D6A3E0"/>
    <w:rsid w:val="53D6A7DA"/>
    <w:rsid w:val="53D80EF1"/>
    <w:rsid w:val="53D83D19"/>
    <w:rsid w:val="53D8C9E9"/>
    <w:rsid w:val="53D9143D"/>
    <w:rsid w:val="53D959BD"/>
    <w:rsid w:val="53DF8311"/>
    <w:rsid w:val="53DF9407"/>
    <w:rsid w:val="53E1EB8E"/>
    <w:rsid w:val="53E3C2D9"/>
    <w:rsid w:val="53E3DA76"/>
    <w:rsid w:val="53E417CA"/>
    <w:rsid w:val="53E69BDC"/>
    <w:rsid w:val="53E74968"/>
    <w:rsid w:val="53E810DF"/>
    <w:rsid w:val="53E90E23"/>
    <w:rsid w:val="53E946F3"/>
    <w:rsid w:val="53EE7662"/>
    <w:rsid w:val="53F03256"/>
    <w:rsid w:val="53F28083"/>
    <w:rsid w:val="53F54BC1"/>
    <w:rsid w:val="53F87775"/>
    <w:rsid w:val="53F9B00F"/>
    <w:rsid w:val="53FD94DE"/>
    <w:rsid w:val="53FE3BA6"/>
    <w:rsid w:val="53FFC14F"/>
    <w:rsid w:val="5400CFBD"/>
    <w:rsid w:val="540199FD"/>
    <w:rsid w:val="5401CE98"/>
    <w:rsid w:val="54070001"/>
    <w:rsid w:val="54084215"/>
    <w:rsid w:val="540A0213"/>
    <w:rsid w:val="540A5032"/>
    <w:rsid w:val="540A855A"/>
    <w:rsid w:val="540C846E"/>
    <w:rsid w:val="540C9CDD"/>
    <w:rsid w:val="540D37CF"/>
    <w:rsid w:val="5414836A"/>
    <w:rsid w:val="5415DF7B"/>
    <w:rsid w:val="5417398C"/>
    <w:rsid w:val="541B32A7"/>
    <w:rsid w:val="541BA9CD"/>
    <w:rsid w:val="541CB9A9"/>
    <w:rsid w:val="541EA864"/>
    <w:rsid w:val="541F4E5E"/>
    <w:rsid w:val="54201749"/>
    <w:rsid w:val="5424F050"/>
    <w:rsid w:val="5429EFCC"/>
    <w:rsid w:val="542A4740"/>
    <w:rsid w:val="542A47A2"/>
    <w:rsid w:val="542B4011"/>
    <w:rsid w:val="542C3C1A"/>
    <w:rsid w:val="542C96A7"/>
    <w:rsid w:val="542D1CF6"/>
    <w:rsid w:val="5432FEE9"/>
    <w:rsid w:val="5434FE8D"/>
    <w:rsid w:val="543510BC"/>
    <w:rsid w:val="54354663"/>
    <w:rsid w:val="5435A7E1"/>
    <w:rsid w:val="54370E3C"/>
    <w:rsid w:val="54379A4F"/>
    <w:rsid w:val="543AAB42"/>
    <w:rsid w:val="543C6676"/>
    <w:rsid w:val="543D49BD"/>
    <w:rsid w:val="543D96ED"/>
    <w:rsid w:val="543E3165"/>
    <w:rsid w:val="54409505"/>
    <w:rsid w:val="544286F5"/>
    <w:rsid w:val="5445855F"/>
    <w:rsid w:val="54460896"/>
    <w:rsid w:val="54467152"/>
    <w:rsid w:val="54497F74"/>
    <w:rsid w:val="544A657E"/>
    <w:rsid w:val="544D9A5A"/>
    <w:rsid w:val="544EC7C9"/>
    <w:rsid w:val="5455FF99"/>
    <w:rsid w:val="5456EA47"/>
    <w:rsid w:val="5457F278"/>
    <w:rsid w:val="5459E05A"/>
    <w:rsid w:val="545A3417"/>
    <w:rsid w:val="545B1904"/>
    <w:rsid w:val="545D9353"/>
    <w:rsid w:val="545F7C27"/>
    <w:rsid w:val="5460AD75"/>
    <w:rsid w:val="54657E7F"/>
    <w:rsid w:val="5468F628"/>
    <w:rsid w:val="54695212"/>
    <w:rsid w:val="546B52D4"/>
    <w:rsid w:val="546B93E6"/>
    <w:rsid w:val="546BCE53"/>
    <w:rsid w:val="546D3282"/>
    <w:rsid w:val="5471CAA2"/>
    <w:rsid w:val="54727394"/>
    <w:rsid w:val="54731105"/>
    <w:rsid w:val="5475BC7B"/>
    <w:rsid w:val="5476BB55"/>
    <w:rsid w:val="54799E8B"/>
    <w:rsid w:val="547C45DE"/>
    <w:rsid w:val="547DAA04"/>
    <w:rsid w:val="547EA4C4"/>
    <w:rsid w:val="5480B3D3"/>
    <w:rsid w:val="54810163"/>
    <w:rsid w:val="5481133E"/>
    <w:rsid w:val="54848D76"/>
    <w:rsid w:val="548872D8"/>
    <w:rsid w:val="54893EA0"/>
    <w:rsid w:val="548D08F9"/>
    <w:rsid w:val="548D7EBF"/>
    <w:rsid w:val="548F91F9"/>
    <w:rsid w:val="54907AA5"/>
    <w:rsid w:val="54916B9A"/>
    <w:rsid w:val="54929916"/>
    <w:rsid w:val="5494E178"/>
    <w:rsid w:val="54953361"/>
    <w:rsid w:val="54963F53"/>
    <w:rsid w:val="549A3DA5"/>
    <w:rsid w:val="549C127A"/>
    <w:rsid w:val="549C65F5"/>
    <w:rsid w:val="54A068F3"/>
    <w:rsid w:val="54A1221F"/>
    <w:rsid w:val="54A24F01"/>
    <w:rsid w:val="54A41A34"/>
    <w:rsid w:val="54A50FFC"/>
    <w:rsid w:val="54A608A0"/>
    <w:rsid w:val="54A769A9"/>
    <w:rsid w:val="54A95927"/>
    <w:rsid w:val="54A9BC0D"/>
    <w:rsid w:val="54A9E911"/>
    <w:rsid w:val="54AAAC58"/>
    <w:rsid w:val="54AADD08"/>
    <w:rsid w:val="54AB04D5"/>
    <w:rsid w:val="54AE10B6"/>
    <w:rsid w:val="54AF0946"/>
    <w:rsid w:val="54AF7AE8"/>
    <w:rsid w:val="54B11DA9"/>
    <w:rsid w:val="54B2BF9B"/>
    <w:rsid w:val="54B4FCCF"/>
    <w:rsid w:val="54B65FCC"/>
    <w:rsid w:val="54BC8290"/>
    <w:rsid w:val="54C0B4CF"/>
    <w:rsid w:val="54C1DD81"/>
    <w:rsid w:val="54C32D14"/>
    <w:rsid w:val="54C35CEF"/>
    <w:rsid w:val="54C434C2"/>
    <w:rsid w:val="54C55BE1"/>
    <w:rsid w:val="54C59C7E"/>
    <w:rsid w:val="54C5D50A"/>
    <w:rsid w:val="54C6A426"/>
    <w:rsid w:val="54C7209B"/>
    <w:rsid w:val="54CCE66C"/>
    <w:rsid w:val="54CE07BA"/>
    <w:rsid w:val="54D2FFB7"/>
    <w:rsid w:val="54D44FB9"/>
    <w:rsid w:val="54D5A7CD"/>
    <w:rsid w:val="54D661ED"/>
    <w:rsid w:val="54DA0FC5"/>
    <w:rsid w:val="54DB9DEB"/>
    <w:rsid w:val="54DE2F51"/>
    <w:rsid w:val="54E0480F"/>
    <w:rsid w:val="54E47008"/>
    <w:rsid w:val="54EB9369"/>
    <w:rsid w:val="54EBC6CE"/>
    <w:rsid w:val="54EDD35A"/>
    <w:rsid w:val="54EE66AC"/>
    <w:rsid w:val="54EEBAA7"/>
    <w:rsid w:val="54F341D5"/>
    <w:rsid w:val="54F523A6"/>
    <w:rsid w:val="54F8A21A"/>
    <w:rsid w:val="54FA1D7D"/>
    <w:rsid w:val="54FA7831"/>
    <w:rsid w:val="54FCE9F9"/>
    <w:rsid w:val="54FEC2BD"/>
    <w:rsid w:val="5503B141"/>
    <w:rsid w:val="5503DB81"/>
    <w:rsid w:val="550661C2"/>
    <w:rsid w:val="55075F1C"/>
    <w:rsid w:val="55085209"/>
    <w:rsid w:val="55085E10"/>
    <w:rsid w:val="5508BD2B"/>
    <w:rsid w:val="5509E1AD"/>
    <w:rsid w:val="550BF0F6"/>
    <w:rsid w:val="550CBE4F"/>
    <w:rsid w:val="550D3E8D"/>
    <w:rsid w:val="550E3B24"/>
    <w:rsid w:val="550F1C77"/>
    <w:rsid w:val="55130CAE"/>
    <w:rsid w:val="55142D6A"/>
    <w:rsid w:val="55145C05"/>
    <w:rsid w:val="5514C086"/>
    <w:rsid w:val="55167F3A"/>
    <w:rsid w:val="55171BEB"/>
    <w:rsid w:val="5517A492"/>
    <w:rsid w:val="551AB11F"/>
    <w:rsid w:val="551D7508"/>
    <w:rsid w:val="551E5831"/>
    <w:rsid w:val="5520023F"/>
    <w:rsid w:val="55223CD2"/>
    <w:rsid w:val="5525B772"/>
    <w:rsid w:val="55267270"/>
    <w:rsid w:val="5528EE7A"/>
    <w:rsid w:val="5529C576"/>
    <w:rsid w:val="5529E1D6"/>
    <w:rsid w:val="552EF8AF"/>
    <w:rsid w:val="552F1E65"/>
    <w:rsid w:val="5533D97C"/>
    <w:rsid w:val="55344E8E"/>
    <w:rsid w:val="5536203E"/>
    <w:rsid w:val="55374AC3"/>
    <w:rsid w:val="55392B5B"/>
    <w:rsid w:val="55393810"/>
    <w:rsid w:val="553AB090"/>
    <w:rsid w:val="553BD9D4"/>
    <w:rsid w:val="55410705"/>
    <w:rsid w:val="55414AB1"/>
    <w:rsid w:val="5542DE7A"/>
    <w:rsid w:val="554900B9"/>
    <w:rsid w:val="554A042E"/>
    <w:rsid w:val="554D120A"/>
    <w:rsid w:val="554DD552"/>
    <w:rsid w:val="554F05CD"/>
    <w:rsid w:val="555057F9"/>
    <w:rsid w:val="55550E94"/>
    <w:rsid w:val="5557490B"/>
    <w:rsid w:val="555B543C"/>
    <w:rsid w:val="555C53AB"/>
    <w:rsid w:val="555C9ED2"/>
    <w:rsid w:val="555F4976"/>
    <w:rsid w:val="55605A94"/>
    <w:rsid w:val="5564A7A5"/>
    <w:rsid w:val="55662868"/>
    <w:rsid w:val="556952DB"/>
    <w:rsid w:val="55696260"/>
    <w:rsid w:val="556F904E"/>
    <w:rsid w:val="55733EEB"/>
    <w:rsid w:val="5575AFB8"/>
    <w:rsid w:val="55784DB0"/>
    <w:rsid w:val="557D50F9"/>
    <w:rsid w:val="557E1160"/>
    <w:rsid w:val="557F8332"/>
    <w:rsid w:val="55818BE8"/>
    <w:rsid w:val="55862152"/>
    <w:rsid w:val="5588E74F"/>
    <w:rsid w:val="558B05B0"/>
    <w:rsid w:val="558BD4C6"/>
    <w:rsid w:val="558C0C8C"/>
    <w:rsid w:val="5592C0F1"/>
    <w:rsid w:val="559339E7"/>
    <w:rsid w:val="5594435C"/>
    <w:rsid w:val="559570F7"/>
    <w:rsid w:val="559898F4"/>
    <w:rsid w:val="5598A42B"/>
    <w:rsid w:val="5598E004"/>
    <w:rsid w:val="559A64F4"/>
    <w:rsid w:val="559B0F0F"/>
    <w:rsid w:val="559FFEF5"/>
    <w:rsid w:val="55A1F5C1"/>
    <w:rsid w:val="55A57119"/>
    <w:rsid w:val="55A6E45E"/>
    <w:rsid w:val="55A868D7"/>
    <w:rsid w:val="55A89584"/>
    <w:rsid w:val="55AD44B9"/>
    <w:rsid w:val="55AD9C27"/>
    <w:rsid w:val="55AEE2E8"/>
    <w:rsid w:val="55B0C6EE"/>
    <w:rsid w:val="55B3D3BE"/>
    <w:rsid w:val="55B4F619"/>
    <w:rsid w:val="55B73361"/>
    <w:rsid w:val="55B951FC"/>
    <w:rsid w:val="55BAE2A5"/>
    <w:rsid w:val="55BE5C63"/>
    <w:rsid w:val="55C0DAD1"/>
    <w:rsid w:val="55C83C97"/>
    <w:rsid w:val="55CA253E"/>
    <w:rsid w:val="55D09E2C"/>
    <w:rsid w:val="55D30DD1"/>
    <w:rsid w:val="55D3C6C9"/>
    <w:rsid w:val="55D46863"/>
    <w:rsid w:val="55D51675"/>
    <w:rsid w:val="55D7CB9A"/>
    <w:rsid w:val="55D97BEA"/>
    <w:rsid w:val="55DB0113"/>
    <w:rsid w:val="55DB2548"/>
    <w:rsid w:val="55DBC545"/>
    <w:rsid w:val="55DC7EDC"/>
    <w:rsid w:val="55DEBE47"/>
    <w:rsid w:val="55E05A31"/>
    <w:rsid w:val="55E70579"/>
    <w:rsid w:val="55EB765B"/>
    <w:rsid w:val="55EB8D8A"/>
    <w:rsid w:val="55F27675"/>
    <w:rsid w:val="55F2EF99"/>
    <w:rsid w:val="55F30BC3"/>
    <w:rsid w:val="55F5937E"/>
    <w:rsid w:val="55F9472F"/>
    <w:rsid w:val="55FC7E89"/>
    <w:rsid w:val="55FD9639"/>
    <w:rsid w:val="55FDC092"/>
    <w:rsid w:val="55FDC6F8"/>
    <w:rsid w:val="55FE6A5F"/>
    <w:rsid w:val="56022E34"/>
    <w:rsid w:val="56034967"/>
    <w:rsid w:val="56037761"/>
    <w:rsid w:val="56079016"/>
    <w:rsid w:val="56083BD7"/>
    <w:rsid w:val="560886AD"/>
    <w:rsid w:val="560ADE12"/>
    <w:rsid w:val="560FCF22"/>
    <w:rsid w:val="5611C996"/>
    <w:rsid w:val="561356D8"/>
    <w:rsid w:val="56146482"/>
    <w:rsid w:val="5614EE62"/>
    <w:rsid w:val="561540BA"/>
    <w:rsid w:val="5616BF25"/>
    <w:rsid w:val="5617CA76"/>
    <w:rsid w:val="56184B94"/>
    <w:rsid w:val="561A998C"/>
    <w:rsid w:val="561CFB80"/>
    <w:rsid w:val="5626C459"/>
    <w:rsid w:val="5627E7F8"/>
    <w:rsid w:val="562851CD"/>
    <w:rsid w:val="5629C739"/>
    <w:rsid w:val="562A0F59"/>
    <w:rsid w:val="562CA6CD"/>
    <w:rsid w:val="562EA88B"/>
    <w:rsid w:val="56306C0D"/>
    <w:rsid w:val="56341B78"/>
    <w:rsid w:val="563575C8"/>
    <w:rsid w:val="5635D4F8"/>
    <w:rsid w:val="5636BE1B"/>
    <w:rsid w:val="563AD5A3"/>
    <w:rsid w:val="563C7D05"/>
    <w:rsid w:val="5643B175"/>
    <w:rsid w:val="5644CCF9"/>
    <w:rsid w:val="56459B7F"/>
    <w:rsid w:val="5645D86E"/>
    <w:rsid w:val="5646CDFF"/>
    <w:rsid w:val="564940F4"/>
    <w:rsid w:val="564BD74D"/>
    <w:rsid w:val="564D5179"/>
    <w:rsid w:val="564FD212"/>
    <w:rsid w:val="5650BDA0"/>
    <w:rsid w:val="56539080"/>
    <w:rsid w:val="5653BEDA"/>
    <w:rsid w:val="5656707D"/>
    <w:rsid w:val="56567F48"/>
    <w:rsid w:val="5658D06C"/>
    <w:rsid w:val="5659623B"/>
    <w:rsid w:val="56597A24"/>
    <w:rsid w:val="565E94F8"/>
    <w:rsid w:val="565EF952"/>
    <w:rsid w:val="56617CB0"/>
    <w:rsid w:val="5661CD69"/>
    <w:rsid w:val="566252A9"/>
    <w:rsid w:val="5662C655"/>
    <w:rsid w:val="5662E34A"/>
    <w:rsid w:val="5662F470"/>
    <w:rsid w:val="56663B2E"/>
    <w:rsid w:val="566860FB"/>
    <w:rsid w:val="5668BFA9"/>
    <w:rsid w:val="5669E95B"/>
    <w:rsid w:val="566C77C9"/>
    <w:rsid w:val="566CB1C0"/>
    <w:rsid w:val="5671DF2E"/>
    <w:rsid w:val="56722460"/>
    <w:rsid w:val="5674398D"/>
    <w:rsid w:val="5675C73B"/>
    <w:rsid w:val="567621AC"/>
    <w:rsid w:val="56765464"/>
    <w:rsid w:val="56771408"/>
    <w:rsid w:val="5679B472"/>
    <w:rsid w:val="567AF2F9"/>
    <w:rsid w:val="567BB762"/>
    <w:rsid w:val="567CC4BF"/>
    <w:rsid w:val="567DE09E"/>
    <w:rsid w:val="56802045"/>
    <w:rsid w:val="5685DE96"/>
    <w:rsid w:val="568BC1E7"/>
    <w:rsid w:val="568C7D5A"/>
    <w:rsid w:val="568C7F00"/>
    <w:rsid w:val="568E92D7"/>
    <w:rsid w:val="5691C7B8"/>
    <w:rsid w:val="5693B8F1"/>
    <w:rsid w:val="56943042"/>
    <w:rsid w:val="56955F70"/>
    <w:rsid w:val="5696173F"/>
    <w:rsid w:val="5697B1DB"/>
    <w:rsid w:val="56985A31"/>
    <w:rsid w:val="569ABD65"/>
    <w:rsid w:val="56A340D6"/>
    <w:rsid w:val="56A6D5C3"/>
    <w:rsid w:val="56A7C751"/>
    <w:rsid w:val="56AC1B5C"/>
    <w:rsid w:val="56ADF11D"/>
    <w:rsid w:val="56B00E44"/>
    <w:rsid w:val="56B3284A"/>
    <w:rsid w:val="56B5D572"/>
    <w:rsid w:val="56B70F6B"/>
    <w:rsid w:val="56B8727B"/>
    <w:rsid w:val="56BBB6EB"/>
    <w:rsid w:val="56BC2199"/>
    <w:rsid w:val="56BCE937"/>
    <w:rsid w:val="56BCEDDA"/>
    <w:rsid w:val="56C11A53"/>
    <w:rsid w:val="56C32DDC"/>
    <w:rsid w:val="56C76311"/>
    <w:rsid w:val="56C81E2D"/>
    <w:rsid w:val="56C9F634"/>
    <w:rsid w:val="56CC34FD"/>
    <w:rsid w:val="56CC5CAA"/>
    <w:rsid w:val="56D15676"/>
    <w:rsid w:val="56D700C5"/>
    <w:rsid w:val="56DB483C"/>
    <w:rsid w:val="56DB5500"/>
    <w:rsid w:val="56DD1A38"/>
    <w:rsid w:val="56DEF437"/>
    <w:rsid w:val="56DF0930"/>
    <w:rsid w:val="56E01AAC"/>
    <w:rsid w:val="56E0D10E"/>
    <w:rsid w:val="56E554E2"/>
    <w:rsid w:val="56E78910"/>
    <w:rsid w:val="56EB69A4"/>
    <w:rsid w:val="56EE71CF"/>
    <w:rsid w:val="56EEEBED"/>
    <w:rsid w:val="56F0C37D"/>
    <w:rsid w:val="56F44C09"/>
    <w:rsid w:val="56F717D6"/>
    <w:rsid w:val="56FB3D4B"/>
    <w:rsid w:val="56FFB351"/>
    <w:rsid w:val="5704D235"/>
    <w:rsid w:val="57073C7E"/>
    <w:rsid w:val="570B7B29"/>
    <w:rsid w:val="570FC1EB"/>
    <w:rsid w:val="57103A6C"/>
    <w:rsid w:val="57163622"/>
    <w:rsid w:val="57163DF6"/>
    <w:rsid w:val="5718A2E7"/>
    <w:rsid w:val="571BA2D7"/>
    <w:rsid w:val="571E4A8A"/>
    <w:rsid w:val="57204943"/>
    <w:rsid w:val="5720E0F0"/>
    <w:rsid w:val="5726F760"/>
    <w:rsid w:val="5728A664"/>
    <w:rsid w:val="57295917"/>
    <w:rsid w:val="572BAB0E"/>
    <w:rsid w:val="572D4CD3"/>
    <w:rsid w:val="572ED25D"/>
    <w:rsid w:val="573087E4"/>
    <w:rsid w:val="5732261D"/>
    <w:rsid w:val="57336F89"/>
    <w:rsid w:val="573680A4"/>
    <w:rsid w:val="57386B99"/>
    <w:rsid w:val="573A2271"/>
    <w:rsid w:val="573FE254"/>
    <w:rsid w:val="57414139"/>
    <w:rsid w:val="5742BB73"/>
    <w:rsid w:val="5743CC0C"/>
    <w:rsid w:val="5743CE86"/>
    <w:rsid w:val="5745AF63"/>
    <w:rsid w:val="5746892A"/>
    <w:rsid w:val="574791CF"/>
    <w:rsid w:val="57494303"/>
    <w:rsid w:val="574959D1"/>
    <w:rsid w:val="574B6BCC"/>
    <w:rsid w:val="574BB3FB"/>
    <w:rsid w:val="574D4AC9"/>
    <w:rsid w:val="574D7C28"/>
    <w:rsid w:val="575095B4"/>
    <w:rsid w:val="575222A7"/>
    <w:rsid w:val="57527313"/>
    <w:rsid w:val="57538DC6"/>
    <w:rsid w:val="5758FB1D"/>
    <w:rsid w:val="575C3B61"/>
    <w:rsid w:val="575D3B98"/>
    <w:rsid w:val="575E02F0"/>
    <w:rsid w:val="575EC771"/>
    <w:rsid w:val="57612B8F"/>
    <w:rsid w:val="57653528"/>
    <w:rsid w:val="57689E67"/>
    <w:rsid w:val="576B065D"/>
    <w:rsid w:val="576C049E"/>
    <w:rsid w:val="576FDF62"/>
    <w:rsid w:val="57717F01"/>
    <w:rsid w:val="57720535"/>
    <w:rsid w:val="5772A4D2"/>
    <w:rsid w:val="5775455B"/>
    <w:rsid w:val="577828E5"/>
    <w:rsid w:val="57783326"/>
    <w:rsid w:val="577A35C2"/>
    <w:rsid w:val="577B5CF8"/>
    <w:rsid w:val="577CFB72"/>
    <w:rsid w:val="577D51A2"/>
    <w:rsid w:val="577EBD00"/>
    <w:rsid w:val="577ECC9A"/>
    <w:rsid w:val="577FC218"/>
    <w:rsid w:val="577FED46"/>
    <w:rsid w:val="5781639A"/>
    <w:rsid w:val="578384D1"/>
    <w:rsid w:val="57846E08"/>
    <w:rsid w:val="57861E6F"/>
    <w:rsid w:val="5786AA86"/>
    <w:rsid w:val="5787989D"/>
    <w:rsid w:val="57884D88"/>
    <w:rsid w:val="5789F075"/>
    <w:rsid w:val="578BC094"/>
    <w:rsid w:val="578D8616"/>
    <w:rsid w:val="578F2D93"/>
    <w:rsid w:val="57952E4D"/>
    <w:rsid w:val="579736FA"/>
    <w:rsid w:val="5799EB9A"/>
    <w:rsid w:val="579A3E7B"/>
    <w:rsid w:val="579CC807"/>
    <w:rsid w:val="57A02CF5"/>
    <w:rsid w:val="57A12E08"/>
    <w:rsid w:val="57A33F71"/>
    <w:rsid w:val="57A4FAAC"/>
    <w:rsid w:val="57A72868"/>
    <w:rsid w:val="57A84E9A"/>
    <w:rsid w:val="57AAD2C4"/>
    <w:rsid w:val="57AE9859"/>
    <w:rsid w:val="57B0B7AD"/>
    <w:rsid w:val="57B0EED0"/>
    <w:rsid w:val="57B2BD24"/>
    <w:rsid w:val="57B32784"/>
    <w:rsid w:val="57B4DF42"/>
    <w:rsid w:val="57B730BF"/>
    <w:rsid w:val="57B97541"/>
    <w:rsid w:val="57BBE47D"/>
    <w:rsid w:val="57BE0CA4"/>
    <w:rsid w:val="57BEC8F9"/>
    <w:rsid w:val="57C05A06"/>
    <w:rsid w:val="57C2F6A8"/>
    <w:rsid w:val="57C342DE"/>
    <w:rsid w:val="57C3AB99"/>
    <w:rsid w:val="57C8EBB0"/>
    <w:rsid w:val="57CA8620"/>
    <w:rsid w:val="57CB4EFB"/>
    <w:rsid w:val="57CEA883"/>
    <w:rsid w:val="57D0035E"/>
    <w:rsid w:val="57D16D5F"/>
    <w:rsid w:val="57D25614"/>
    <w:rsid w:val="57D33DD3"/>
    <w:rsid w:val="57D781D7"/>
    <w:rsid w:val="57D882F0"/>
    <w:rsid w:val="57DC5F46"/>
    <w:rsid w:val="57DC6E90"/>
    <w:rsid w:val="57DD6058"/>
    <w:rsid w:val="57DD79E9"/>
    <w:rsid w:val="57DD9D46"/>
    <w:rsid w:val="57E168FC"/>
    <w:rsid w:val="57E16BE0"/>
    <w:rsid w:val="57E2576D"/>
    <w:rsid w:val="57E3F8B2"/>
    <w:rsid w:val="57E4270C"/>
    <w:rsid w:val="57E533E5"/>
    <w:rsid w:val="57E6A7D7"/>
    <w:rsid w:val="57E74CCD"/>
    <w:rsid w:val="57E781E6"/>
    <w:rsid w:val="57E8D4BE"/>
    <w:rsid w:val="57EA3376"/>
    <w:rsid w:val="57F045F3"/>
    <w:rsid w:val="57F15E07"/>
    <w:rsid w:val="57F350A7"/>
    <w:rsid w:val="57F3793A"/>
    <w:rsid w:val="57F587A3"/>
    <w:rsid w:val="57F7E8E5"/>
    <w:rsid w:val="57F8F0B5"/>
    <w:rsid w:val="57FB8E63"/>
    <w:rsid w:val="57FEDC0A"/>
    <w:rsid w:val="57FFE1F2"/>
    <w:rsid w:val="58009A58"/>
    <w:rsid w:val="5800D890"/>
    <w:rsid w:val="5801550A"/>
    <w:rsid w:val="58028A24"/>
    <w:rsid w:val="580359CF"/>
    <w:rsid w:val="58075E92"/>
    <w:rsid w:val="5810E4DE"/>
    <w:rsid w:val="58117EDE"/>
    <w:rsid w:val="581540D6"/>
    <w:rsid w:val="5815A645"/>
    <w:rsid w:val="58168CB1"/>
    <w:rsid w:val="5817C13A"/>
    <w:rsid w:val="5819FD8B"/>
    <w:rsid w:val="581BC5C6"/>
    <w:rsid w:val="581CC195"/>
    <w:rsid w:val="58210B66"/>
    <w:rsid w:val="58219BD8"/>
    <w:rsid w:val="5822518B"/>
    <w:rsid w:val="582379B7"/>
    <w:rsid w:val="582B70B3"/>
    <w:rsid w:val="582BB252"/>
    <w:rsid w:val="582E9B0F"/>
    <w:rsid w:val="582EA094"/>
    <w:rsid w:val="582F1289"/>
    <w:rsid w:val="5831FAE9"/>
    <w:rsid w:val="5832DCF7"/>
    <w:rsid w:val="5835B771"/>
    <w:rsid w:val="58370446"/>
    <w:rsid w:val="58396FF8"/>
    <w:rsid w:val="583AACFB"/>
    <w:rsid w:val="583AC063"/>
    <w:rsid w:val="58403CB7"/>
    <w:rsid w:val="58425ABF"/>
    <w:rsid w:val="58454452"/>
    <w:rsid w:val="5845CB3B"/>
    <w:rsid w:val="5845FC4C"/>
    <w:rsid w:val="584603D7"/>
    <w:rsid w:val="5849848B"/>
    <w:rsid w:val="58499C53"/>
    <w:rsid w:val="5849EE9E"/>
    <w:rsid w:val="584AE005"/>
    <w:rsid w:val="584D0662"/>
    <w:rsid w:val="584D32DF"/>
    <w:rsid w:val="584E4508"/>
    <w:rsid w:val="58514FF8"/>
    <w:rsid w:val="5851E944"/>
    <w:rsid w:val="5857081F"/>
    <w:rsid w:val="585739D3"/>
    <w:rsid w:val="58589A35"/>
    <w:rsid w:val="5858D2B2"/>
    <w:rsid w:val="5858F1AC"/>
    <w:rsid w:val="585941FD"/>
    <w:rsid w:val="585ABB16"/>
    <w:rsid w:val="585D5834"/>
    <w:rsid w:val="585D97F3"/>
    <w:rsid w:val="58640B34"/>
    <w:rsid w:val="5864784F"/>
    <w:rsid w:val="5864E0A1"/>
    <w:rsid w:val="5865826E"/>
    <w:rsid w:val="58672DF3"/>
    <w:rsid w:val="5867600A"/>
    <w:rsid w:val="5867C974"/>
    <w:rsid w:val="5869DE68"/>
    <w:rsid w:val="586A6AEA"/>
    <w:rsid w:val="586A719D"/>
    <w:rsid w:val="587034C0"/>
    <w:rsid w:val="587237F8"/>
    <w:rsid w:val="587418F6"/>
    <w:rsid w:val="5879F816"/>
    <w:rsid w:val="587B9824"/>
    <w:rsid w:val="587BB27D"/>
    <w:rsid w:val="587C138B"/>
    <w:rsid w:val="587CA252"/>
    <w:rsid w:val="587FA6A4"/>
    <w:rsid w:val="588152C1"/>
    <w:rsid w:val="5881678D"/>
    <w:rsid w:val="5884A397"/>
    <w:rsid w:val="5884B2CC"/>
    <w:rsid w:val="58860F70"/>
    <w:rsid w:val="5886B23A"/>
    <w:rsid w:val="58892924"/>
    <w:rsid w:val="588A5EF5"/>
    <w:rsid w:val="588A931F"/>
    <w:rsid w:val="588F2E73"/>
    <w:rsid w:val="58922CF8"/>
    <w:rsid w:val="589292CE"/>
    <w:rsid w:val="5897D19A"/>
    <w:rsid w:val="5899B211"/>
    <w:rsid w:val="5899C40E"/>
    <w:rsid w:val="5899CBA9"/>
    <w:rsid w:val="589C4F80"/>
    <w:rsid w:val="589C9ED6"/>
    <w:rsid w:val="589CDE3D"/>
    <w:rsid w:val="589EEB98"/>
    <w:rsid w:val="589F0844"/>
    <w:rsid w:val="58A5F540"/>
    <w:rsid w:val="58AA1B18"/>
    <w:rsid w:val="58AB0399"/>
    <w:rsid w:val="58AD4E6F"/>
    <w:rsid w:val="58AE1DC6"/>
    <w:rsid w:val="58AFB285"/>
    <w:rsid w:val="58AFB8EF"/>
    <w:rsid w:val="58B0C7F5"/>
    <w:rsid w:val="58B2393B"/>
    <w:rsid w:val="58B27489"/>
    <w:rsid w:val="58B4A547"/>
    <w:rsid w:val="58B4D2E9"/>
    <w:rsid w:val="58B75903"/>
    <w:rsid w:val="58B8348D"/>
    <w:rsid w:val="58BA7314"/>
    <w:rsid w:val="58BECDE0"/>
    <w:rsid w:val="58BF6E56"/>
    <w:rsid w:val="58C08914"/>
    <w:rsid w:val="58C1BA30"/>
    <w:rsid w:val="58C2AE2D"/>
    <w:rsid w:val="58C64480"/>
    <w:rsid w:val="58C8705B"/>
    <w:rsid w:val="58C9C5C2"/>
    <w:rsid w:val="58CA6A3F"/>
    <w:rsid w:val="58CBB586"/>
    <w:rsid w:val="58D25717"/>
    <w:rsid w:val="58D396B1"/>
    <w:rsid w:val="58D4DEA9"/>
    <w:rsid w:val="58DE5A95"/>
    <w:rsid w:val="58E51513"/>
    <w:rsid w:val="58E53702"/>
    <w:rsid w:val="58E6761A"/>
    <w:rsid w:val="58E6C0B9"/>
    <w:rsid w:val="58E7324B"/>
    <w:rsid w:val="58E74467"/>
    <w:rsid w:val="58EA6B92"/>
    <w:rsid w:val="58EB1A0F"/>
    <w:rsid w:val="58EB4C10"/>
    <w:rsid w:val="58EC3992"/>
    <w:rsid w:val="58ECE9DF"/>
    <w:rsid w:val="58EE5182"/>
    <w:rsid w:val="58EF47DA"/>
    <w:rsid w:val="58F00F72"/>
    <w:rsid w:val="58F01F64"/>
    <w:rsid w:val="58F18530"/>
    <w:rsid w:val="58F343CB"/>
    <w:rsid w:val="58F3E94D"/>
    <w:rsid w:val="58F468E7"/>
    <w:rsid w:val="58F825EB"/>
    <w:rsid w:val="58F9544C"/>
    <w:rsid w:val="58F97C7A"/>
    <w:rsid w:val="58F9E4AF"/>
    <w:rsid w:val="58FAD799"/>
    <w:rsid w:val="58FDB8A8"/>
    <w:rsid w:val="58FDD275"/>
    <w:rsid w:val="59003F40"/>
    <w:rsid w:val="5900D7EA"/>
    <w:rsid w:val="59010501"/>
    <w:rsid w:val="5901EA70"/>
    <w:rsid w:val="590301DD"/>
    <w:rsid w:val="5903D009"/>
    <w:rsid w:val="5905CC21"/>
    <w:rsid w:val="59115A0A"/>
    <w:rsid w:val="5913EE6F"/>
    <w:rsid w:val="59163865"/>
    <w:rsid w:val="5916536A"/>
    <w:rsid w:val="59172D59"/>
    <w:rsid w:val="59183B63"/>
    <w:rsid w:val="591C507E"/>
    <w:rsid w:val="591D472C"/>
    <w:rsid w:val="591D967B"/>
    <w:rsid w:val="591FAC49"/>
    <w:rsid w:val="592738EF"/>
    <w:rsid w:val="59276C6F"/>
    <w:rsid w:val="59290B64"/>
    <w:rsid w:val="592937A6"/>
    <w:rsid w:val="592AABAF"/>
    <w:rsid w:val="592AFDF4"/>
    <w:rsid w:val="592BC633"/>
    <w:rsid w:val="592CCFEA"/>
    <w:rsid w:val="592D1E23"/>
    <w:rsid w:val="592EFC2A"/>
    <w:rsid w:val="592F4773"/>
    <w:rsid w:val="592F97C4"/>
    <w:rsid w:val="59310476"/>
    <w:rsid w:val="59352394"/>
    <w:rsid w:val="59365373"/>
    <w:rsid w:val="5937D032"/>
    <w:rsid w:val="59391AAF"/>
    <w:rsid w:val="59396F99"/>
    <w:rsid w:val="5939CA50"/>
    <w:rsid w:val="593CE69A"/>
    <w:rsid w:val="593E1C73"/>
    <w:rsid w:val="594289FC"/>
    <w:rsid w:val="5945E15D"/>
    <w:rsid w:val="59494720"/>
    <w:rsid w:val="594A97B2"/>
    <w:rsid w:val="594B6E87"/>
    <w:rsid w:val="594C18AA"/>
    <w:rsid w:val="594CFF29"/>
    <w:rsid w:val="594E8407"/>
    <w:rsid w:val="595279A8"/>
    <w:rsid w:val="5952C216"/>
    <w:rsid w:val="5952ED70"/>
    <w:rsid w:val="5954037D"/>
    <w:rsid w:val="5957CCEC"/>
    <w:rsid w:val="5957F171"/>
    <w:rsid w:val="59583198"/>
    <w:rsid w:val="59598988"/>
    <w:rsid w:val="595A8B7B"/>
    <w:rsid w:val="595C1937"/>
    <w:rsid w:val="595CE3BA"/>
    <w:rsid w:val="595E0225"/>
    <w:rsid w:val="595E03C0"/>
    <w:rsid w:val="595EDB82"/>
    <w:rsid w:val="5960D105"/>
    <w:rsid w:val="5962DA19"/>
    <w:rsid w:val="59656B64"/>
    <w:rsid w:val="596B233C"/>
    <w:rsid w:val="596C009E"/>
    <w:rsid w:val="5970E9A2"/>
    <w:rsid w:val="59711292"/>
    <w:rsid w:val="5979EEC1"/>
    <w:rsid w:val="597AFE44"/>
    <w:rsid w:val="597BAB05"/>
    <w:rsid w:val="5980538D"/>
    <w:rsid w:val="59812466"/>
    <w:rsid w:val="598129E5"/>
    <w:rsid w:val="59815AC4"/>
    <w:rsid w:val="5982A16D"/>
    <w:rsid w:val="59842461"/>
    <w:rsid w:val="59878C12"/>
    <w:rsid w:val="5987EF9F"/>
    <w:rsid w:val="598BE10E"/>
    <w:rsid w:val="598E118E"/>
    <w:rsid w:val="598ED892"/>
    <w:rsid w:val="59982727"/>
    <w:rsid w:val="599AAE50"/>
    <w:rsid w:val="599D8611"/>
    <w:rsid w:val="599D9A27"/>
    <w:rsid w:val="599E688D"/>
    <w:rsid w:val="599FEDC3"/>
    <w:rsid w:val="59A026DC"/>
    <w:rsid w:val="59A06A09"/>
    <w:rsid w:val="59A2CE92"/>
    <w:rsid w:val="59A41413"/>
    <w:rsid w:val="59A542A1"/>
    <w:rsid w:val="59A712AC"/>
    <w:rsid w:val="59A9BB52"/>
    <w:rsid w:val="59AA1E56"/>
    <w:rsid w:val="59AC6956"/>
    <w:rsid w:val="59AD4A07"/>
    <w:rsid w:val="59AD7842"/>
    <w:rsid w:val="59AE9A0C"/>
    <w:rsid w:val="59AF500F"/>
    <w:rsid w:val="59AFF66F"/>
    <w:rsid w:val="59B0EECA"/>
    <w:rsid w:val="59B250C9"/>
    <w:rsid w:val="59B4EA67"/>
    <w:rsid w:val="59BC58CF"/>
    <w:rsid w:val="59BD233F"/>
    <w:rsid w:val="59C1A4BF"/>
    <w:rsid w:val="59C35309"/>
    <w:rsid w:val="59C44505"/>
    <w:rsid w:val="59C53AB8"/>
    <w:rsid w:val="59C61A0A"/>
    <w:rsid w:val="59C7A22C"/>
    <w:rsid w:val="59C7F06A"/>
    <w:rsid w:val="59D0F1F8"/>
    <w:rsid w:val="59D10CFD"/>
    <w:rsid w:val="59D1F6A4"/>
    <w:rsid w:val="59DCCC03"/>
    <w:rsid w:val="59DD5AF9"/>
    <w:rsid w:val="59DE0F0F"/>
    <w:rsid w:val="59E1B85B"/>
    <w:rsid w:val="59E5990F"/>
    <w:rsid w:val="59E77299"/>
    <w:rsid w:val="59EB4EA7"/>
    <w:rsid w:val="59ECF655"/>
    <w:rsid w:val="59EE13CD"/>
    <w:rsid w:val="59EF84A6"/>
    <w:rsid w:val="59F0E7D5"/>
    <w:rsid w:val="59F1548E"/>
    <w:rsid w:val="59F1D560"/>
    <w:rsid w:val="59F2E098"/>
    <w:rsid w:val="59F4EB89"/>
    <w:rsid w:val="59F4ED63"/>
    <w:rsid w:val="59F8274A"/>
    <w:rsid w:val="59F892DC"/>
    <w:rsid w:val="59F977E9"/>
    <w:rsid w:val="59FCD78B"/>
    <w:rsid w:val="59FDACBD"/>
    <w:rsid w:val="59FE5471"/>
    <w:rsid w:val="59FFBEEF"/>
    <w:rsid w:val="5A046C7C"/>
    <w:rsid w:val="5A054096"/>
    <w:rsid w:val="5A07330F"/>
    <w:rsid w:val="5A09F6D3"/>
    <w:rsid w:val="5A0B336A"/>
    <w:rsid w:val="5A0BACE7"/>
    <w:rsid w:val="5A0BD5DA"/>
    <w:rsid w:val="5A0C2ACC"/>
    <w:rsid w:val="5A0D2B06"/>
    <w:rsid w:val="5A0EDB82"/>
    <w:rsid w:val="5A11F227"/>
    <w:rsid w:val="5A127E72"/>
    <w:rsid w:val="5A16DA1C"/>
    <w:rsid w:val="5A18B3E5"/>
    <w:rsid w:val="5A19ABCD"/>
    <w:rsid w:val="5A1C85A1"/>
    <w:rsid w:val="5A1CF11D"/>
    <w:rsid w:val="5A21BB43"/>
    <w:rsid w:val="5A255842"/>
    <w:rsid w:val="5A2930E2"/>
    <w:rsid w:val="5A2B35FD"/>
    <w:rsid w:val="5A2CDA41"/>
    <w:rsid w:val="5A2FC5F6"/>
    <w:rsid w:val="5A331B09"/>
    <w:rsid w:val="5A3352ED"/>
    <w:rsid w:val="5A35D07E"/>
    <w:rsid w:val="5A37FC87"/>
    <w:rsid w:val="5A3A6703"/>
    <w:rsid w:val="5A3D2F19"/>
    <w:rsid w:val="5A3F0EF0"/>
    <w:rsid w:val="5A436536"/>
    <w:rsid w:val="5A44B627"/>
    <w:rsid w:val="5A4961D1"/>
    <w:rsid w:val="5A4D0696"/>
    <w:rsid w:val="5A4F907D"/>
    <w:rsid w:val="5A4FC1E3"/>
    <w:rsid w:val="5A517927"/>
    <w:rsid w:val="5A554BC5"/>
    <w:rsid w:val="5A55A839"/>
    <w:rsid w:val="5A5662E5"/>
    <w:rsid w:val="5A566979"/>
    <w:rsid w:val="5A57649E"/>
    <w:rsid w:val="5A61719A"/>
    <w:rsid w:val="5A61AF01"/>
    <w:rsid w:val="5A62DC55"/>
    <w:rsid w:val="5A65CAAF"/>
    <w:rsid w:val="5A66C48A"/>
    <w:rsid w:val="5A6BFA20"/>
    <w:rsid w:val="5A6C5D1E"/>
    <w:rsid w:val="5A6D8E40"/>
    <w:rsid w:val="5A6E6FFB"/>
    <w:rsid w:val="5A6E868E"/>
    <w:rsid w:val="5A6FCFED"/>
    <w:rsid w:val="5A72D340"/>
    <w:rsid w:val="5A74D780"/>
    <w:rsid w:val="5A74E038"/>
    <w:rsid w:val="5A75F5C6"/>
    <w:rsid w:val="5A819852"/>
    <w:rsid w:val="5A83B6AE"/>
    <w:rsid w:val="5A849793"/>
    <w:rsid w:val="5A85173B"/>
    <w:rsid w:val="5A8562BC"/>
    <w:rsid w:val="5A86DF64"/>
    <w:rsid w:val="5A877C8F"/>
    <w:rsid w:val="5A888F68"/>
    <w:rsid w:val="5A8C1203"/>
    <w:rsid w:val="5A8C4A05"/>
    <w:rsid w:val="5A8F782D"/>
    <w:rsid w:val="5A904AF2"/>
    <w:rsid w:val="5A90CA70"/>
    <w:rsid w:val="5A91D8DC"/>
    <w:rsid w:val="5A9369B2"/>
    <w:rsid w:val="5A955CCC"/>
    <w:rsid w:val="5A962462"/>
    <w:rsid w:val="5A963A1E"/>
    <w:rsid w:val="5A9784C0"/>
    <w:rsid w:val="5A99F8BB"/>
    <w:rsid w:val="5A9D2AFA"/>
    <w:rsid w:val="5A9FD7D0"/>
    <w:rsid w:val="5AA8DA1D"/>
    <w:rsid w:val="5AA983BF"/>
    <w:rsid w:val="5AAB32DF"/>
    <w:rsid w:val="5AAB71A0"/>
    <w:rsid w:val="5AAC4D5B"/>
    <w:rsid w:val="5AB1AB0A"/>
    <w:rsid w:val="5AB4A05F"/>
    <w:rsid w:val="5AB5870F"/>
    <w:rsid w:val="5AB5DA6A"/>
    <w:rsid w:val="5AB79C5A"/>
    <w:rsid w:val="5ABA62ED"/>
    <w:rsid w:val="5ABE7B65"/>
    <w:rsid w:val="5AC15CD1"/>
    <w:rsid w:val="5AC39823"/>
    <w:rsid w:val="5AC44F77"/>
    <w:rsid w:val="5AC479C3"/>
    <w:rsid w:val="5AC526D8"/>
    <w:rsid w:val="5AC5CF02"/>
    <w:rsid w:val="5AC97771"/>
    <w:rsid w:val="5ACAC9D6"/>
    <w:rsid w:val="5ACC7705"/>
    <w:rsid w:val="5ACDCFD4"/>
    <w:rsid w:val="5AD18184"/>
    <w:rsid w:val="5AD277AE"/>
    <w:rsid w:val="5AD42507"/>
    <w:rsid w:val="5AD8FE8D"/>
    <w:rsid w:val="5AD9116D"/>
    <w:rsid w:val="5AD97023"/>
    <w:rsid w:val="5ADA4738"/>
    <w:rsid w:val="5ADCD6E9"/>
    <w:rsid w:val="5AE17C8C"/>
    <w:rsid w:val="5AE2C181"/>
    <w:rsid w:val="5AE52909"/>
    <w:rsid w:val="5AE733EF"/>
    <w:rsid w:val="5AEE863E"/>
    <w:rsid w:val="5AEE9277"/>
    <w:rsid w:val="5AEF7657"/>
    <w:rsid w:val="5AF40FFB"/>
    <w:rsid w:val="5AF82F6A"/>
    <w:rsid w:val="5AFA4A31"/>
    <w:rsid w:val="5AFCB587"/>
    <w:rsid w:val="5B00F42D"/>
    <w:rsid w:val="5B03B8DC"/>
    <w:rsid w:val="5B0C392A"/>
    <w:rsid w:val="5B0EE7DD"/>
    <w:rsid w:val="5B1006CA"/>
    <w:rsid w:val="5B116CFE"/>
    <w:rsid w:val="5B129A9E"/>
    <w:rsid w:val="5B12D7D1"/>
    <w:rsid w:val="5B13FA7C"/>
    <w:rsid w:val="5B157C21"/>
    <w:rsid w:val="5B163FAD"/>
    <w:rsid w:val="5B17E255"/>
    <w:rsid w:val="5B17F0B2"/>
    <w:rsid w:val="5B207406"/>
    <w:rsid w:val="5B22A850"/>
    <w:rsid w:val="5B22E58D"/>
    <w:rsid w:val="5B237CB6"/>
    <w:rsid w:val="5B24EBDA"/>
    <w:rsid w:val="5B2615CB"/>
    <w:rsid w:val="5B2734E6"/>
    <w:rsid w:val="5B276F23"/>
    <w:rsid w:val="5B2ABC4D"/>
    <w:rsid w:val="5B2D940A"/>
    <w:rsid w:val="5B2DEDAF"/>
    <w:rsid w:val="5B300B3E"/>
    <w:rsid w:val="5B30881B"/>
    <w:rsid w:val="5B31A495"/>
    <w:rsid w:val="5B31B907"/>
    <w:rsid w:val="5B36896F"/>
    <w:rsid w:val="5B378061"/>
    <w:rsid w:val="5B3786B0"/>
    <w:rsid w:val="5B381D04"/>
    <w:rsid w:val="5B39C758"/>
    <w:rsid w:val="5B3B258E"/>
    <w:rsid w:val="5B3E1437"/>
    <w:rsid w:val="5B424DB8"/>
    <w:rsid w:val="5B42538E"/>
    <w:rsid w:val="5B435450"/>
    <w:rsid w:val="5B4435B7"/>
    <w:rsid w:val="5B444E9A"/>
    <w:rsid w:val="5B44B8BD"/>
    <w:rsid w:val="5B44E103"/>
    <w:rsid w:val="5B460F07"/>
    <w:rsid w:val="5B47AA2B"/>
    <w:rsid w:val="5B489D71"/>
    <w:rsid w:val="5B497817"/>
    <w:rsid w:val="5B4A7A1E"/>
    <w:rsid w:val="5B4A7A21"/>
    <w:rsid w:val="5B4B3F23"/>
    <w:rsid w:val="5B4D7F4D"/>
    <w:rsid w:val="5B4FB4C3"/>
    <w:rsid w:val="5B51F39E"/>
    <w:rsid w:val="5B525757"/>
    <w:rsid w:val="5B52A901"/>
    <w:rsid w:val="5B52AB53"/>
    <w:rsid w:val="5B563130"/>
    <w:rsid w:val="5B5720D9"/>
    <w:rsid w:val="5B581364"/>
    <w:rsid w:val="5B58F535"/>
    <w:rsid w:val="5B5B8646"/>
    <w:rsid w:val="5B5C1B36"/>
    <w:rsid w:val="5B5F9CC1"/>
    <w:rsid w:val="5B62F43F"/>
    <w:rsid w:val="5B680185"/>
    <w:rsid w:val="5B69582B"/>
    <w:rsid w:val="5B6AF425"/>
    <w:rsid w:val="5B6AF9DD"/>
    <w:rsid w:val="5B6CD511"/>
    <w:rsid w:val="5B6D6EE4"/>
    <w:rsid w:val="5B71F361"/>
    <w:rsid w:val="5B73A73E"/>
    <w:rsid w:val="5B73BCFA"/>
    <w:rsid w:val="5B741AC8"/>
    <w:rsid w:val="5B74DA20"/>
    <w:rsid w:val="5B76764E"/>
    <w:rsid w:val="5B776822"/>
    <w:rsid w:val="5B77F73E"/>
    <w:rsid w:val="5B7967B1"/>
    <w:rsid w:val="5B7EB6D2"/>
    <w:rsid w:val="5B7EF375"/>
    <w:rsid w:val="5B822DC2"/>
    <w:rsid w:val="5B82B5CD"/>
    <w:rsid w:val="5B849284"/>
    <w:rsid w:val="5B85D1AA"/>
    <w:rsid w:val="5B87B78A"/>
    <w:rsid w:val="5B8857C8"/>
    <w:rsid w:val="5B88A25D"/>
    <w:rsid w:val="5B89D753"/>
    <w:rsid w:val="5B8EAB23"/>
    <w:rsid w:val="5B8EB4AF"/>
    <w:rsid w:val="5B919353"/>
    <w:rsid w:val="5B9300E5"/>
    <w:rsid w:val="5B933592"/>
    <w:rsid w:val="5B95FB62"/>
    <w:rsid w:val="5B9815B9"/>
    <w:rsid w:val="5B983F6C"/>
    <w:rsid w:val="5B98A7EC"/>
    <w:rsid w:val="5B99E6CB"/>
    <w:rsid w:val="5B9C983B"/>
    <w:rsid w:val="5B9D6757"/>
    <w:rsid w:val="5BA100C0"/>
    <w:rsid w:val="5BA453FF"/>
    <w:rsid w:val="5BA886C9"/>
    <w:rsid w:val="5BADED15"/>
    <w:rsid w:val="5BAEBB45"/>
    <w:rsid w:val="5BAF1A11"/>
    <w:rsid w:val="5BAF4C0E"/>
    <w:rsid w:val="5BB13E6A"/>
    <w:rsid w:val="5BB36E35"/>
    <w:rsid w:val="5BB5E454"/>
    <w:rsid w:val="5BB6C42E"/>
    <w:rsid w:val="5BB83075"/>
    <w:rsid w:val="5BBCC5CC"/>
    <w:rsid w:val="5BBE1700"/>
    <w:rsid w:val="5BBF0A4D"/>
    <w:rsid w:val="5BC0322B"/>
    <w:rsid w:val="5BC12680"/>
    <w:rsid w:val="5BC18F09"/>
    <w:rsid w:val="5BC3B557"/>
    <w:rsid w:val="5BC3D54A"/>
    <w:rsid w:val="5BC4F017"/>
    <w:rsid w:val="5BC80798"/>
    <w:rsid w:val="5BC845A5"/>
    <w:rsid w:val="5BC89DC7"/>
    <w:rsid w:val="5BCB7AAA"/>
    <w:rsid w:val="5BCD3DB5"/>
    <w:rsid w:val="5BD07EE8"/>
    <w:rsid w:val="5BD0B080"/>
    <w:rsid w:val="5BD3E1F4"/>
    <w:rsid w:val="5BD64361"/>
    <w:rsid w:val="5BD67F5C"/>
    <w:rsid w:val="5BD720D9"/>
    <w:rsid w:val="5BD8E6E1"/>
    <w:rsid w:val="5BD9727F"/>
    <w:rsid w:val="5BD9AC9B"/>
    <w:rsid w:val="5BDD1DD1"/>
    <w:rsid w:val="5BDD9FFF"/>
    <w:rsid w:val="5BE08533"/>
    <w:rsid w:val="5BE27D71"/>
    <w:rsid w:val="5BE40B16"/>
    <w:rsid w:val="5BE62BB2"/>
    <w:rsid w:val="5BE63E7C"/>
    <w:rsid w:val="5BE9D270"/>
    <w:rsid w:val="5BEA8F4D"/>
    <w:rsid w:val="5BEA93F4"/>
    <w:rsid w:val="5BEAEAE0"/>
    <w:rsid w:val="5BEAF0D0"/>
    <w:rsid w:val="5BEB5605"/>
    <w:rsid w:val="5BEB8DCE"/>
    <w:rsid w:val="5BEC69F3"/>
    <w:rsid w:val="5BED3FC6"/>
    <w:rsid w:val="5BEEF3E0"/>
    <w:rsid w:val="5BF0EFDD"/>
    <w:rsid w:val="5BF190EC"/>
    <w:rsid w:val="5BF4C454"/>
    <w:rsid w:val="5BF57F58"/>
    <w:rsid w:val="5BF6A9DD"/>
    <w:rsid w:val="5BF6B043"/>
    <w:rsid w:val="5BF75172"/>
    <w:rsid w:val="5BF9DAB4"/>
    <w:rsid w:val="5BFBB168"/>
    <w:rsid w:val="5BFCF312"/>
    <w:rsid w:val="5BFDA6BF"/>
    <w:rsid w:val="5BFEE063"/>
    <w:rsid w:val="5C029606"/>
    <w:rsid w:val="5C089674"/>
    <w:rsid w:val="5C0C31EA"/>
    <w:rsid w:val="5C0D988D"/>
    <w:rsid w:val="5C13D3AB"/>
    <w:rsid w:val="5C16CE48"/>
    <w:rsid w:val="5C184B02"/>
    <w:rsid w:val="5C18FDD2"/>
    <w:rsid w:val="5C1C2E81"/>
    <w:rsid w:val="5C21BA6B"/>
    <w:rsid w:val="5C228B0E"/>
    <w:rsid w:val="5C23098D"/>
    <w:rsid w:val="5C289743"/>
    <w:rsid w:val="5C2B26C0"/>
    <w:rsid w:val="5C2E2012"/>
    <w:rsid w:val="5C2F1D0D"/>
    <w:rsid w:val="5C34CE0B"/>
    <w:rsid w:val="5C3524B7"/>
    <w:rsid w:val="5C35BA9A"/>
    <w:rsid w:val="5C381E78"/>
    <w:rsid w:val="5C39851A"/>
    <w:rsid w:val="5C39C3DF"/>
    <w:rsid w:val="5C3A3E3E"/>
    <w:rsid w:val="5C3BC0D9"/>
    <w:rsid w:val="5C3C4CF0"/>
    <w:rsid w:val="5C404F5E"/>
    <w:rsid w:val="5C406F97"/>
    <w:rsid w:val="5C411D93"/>
    <w:rsid w:val="5C42F5E1"/>
    <w:rsid w:val="5C4743A4"/>
    <w:rsid w:val="5C48214A"/>
    <w:rsid w:val="5C4B1DBA"/>
    <w:rsid w:val="5C4E4D81"/>
    <w:rsid w:val="5C4E8B84"/>
    <w:rsid w:val="5C4E8E3E"/>
    <w:rsid w:val="5C4F0F2F"/>
    <w:rsid w:val="5C504C92"/>
    <w:rsid w:val="5C50DDC4"/>
    <w:rsid w:val="5C522E23"/>
    <w:rsid w:val="5C541CE7"/>
    <w:rsid w:val="5C54DF45"/>
    <w:rsid w:val="5C57E196"/>
    <w:rsid w:val="5C5A1BA9"/>
    <w:rsid w:val="5C5AE418"/>
    <w:rsid w:val="5C5E1DBE"/>
    <w:rsid w:val="5C5F25BD"/>
    <w:rsid w:val="5C61CACE"/>
    <w:rsid w:val="5C6390DC"/>
    <w:rsid w:val="5C677972"/>
    <w:rsid w:val="5C678022"/>
    <w:rsid w:val="5C68AA88"/>
    <w:rsid w:val="5C6AC5C3"/>
    <w:rsid w:val="5C6D6ECA"/>
    <w:rsid w:val="5C6F9B8A"/>
    <w:rsid w:val="5C71FA9C"/>
    <w:rsid w:val="5C73C2EB"/>
    <w:rsid w:val="5C74868C"/>
    <w:rsid w:val="5C74E6EB"/>
    <w:rsid w:val="5C755805"/>
    <w:rsid w:val="5C7680D2"/>
    <w:rsid w:val="5C790EBB"/>
    <w:rsid w:val="5C7BEDB3"/>
    <w:rsid w:val="5C7DD003"/>
    <w:rsid w:val="5C812430"/>
    <w:rsid w:val="5C834E03"/>
    <w:rsid w:val="5C8C7C0B"/>
    <w:rsid w:val="5C8E65B9"/>
    <w:rsid w:val="5C8F63CE"/>
    <w:rsid w:val="5C9644C8"/>
    <w:rsid w:val="5C9B597A"/>
    <w:rsid w:val="5C9BB485"/>
    <w:rsid w:val="5C9BC116"/>
    <w:rsid w:val="5C9C64E7"/>
    <w:rsid w:val="5C9C937B"/>
    <w:rsid w:val="5C9F3E10"/>
    <w:rsid w:val="5CA32A9C"/>
    <w:rsid w:val="5CA4DF5B"/>
    <w:rsid w:val="5CA7F927"/>
    <w:rsid w:val="5CA87073"/>
    <w:rsid w:val="5CAA1C92"/>
    <w:rsid w:val="5CAA59B7"/>
    <w:rsid w:val="5CACB637"/>
    <w:rsid w:val="5CAD5E87"/>
    <w:rsid w:val="5CB01F01"/>
    <w:rsid w:val="5CB11BBC"/>
    <w:rsid w:val="5CB27012"/>
    <w:rsid w:val="5CB2C6B4"/>
    <w:rsid w:val="5CB45601"/>
    <w:rsid w:val="5CB5DCE8"/>
    <w:rsid w:val="5CBA8CCD"/>
    <w:rsid w:val="5CBAA1C4"/>
    <w:rsid w:val="5CBB564D"/>
    <w:rsid w:val="5CBC14C8"/>
    <w:rsid w:val="5CBDD92D"/>
    <w:rsid w:val="5CBE2677"/>
    <w:rsid w:val="5CC36EF3"/>
    <w:rsid w:val="5CC5BB87"/>
    <w:rsid w:val="5CC8DFA6"/>
    <w:rsid w:val="5CCD63A7"/>
    <w:rsid w:val="5CCED6A5"/>
    <w:rsid w:val="5CCF53EC"/>
    <w:rsid w:val="5CD40E1F"/>
    <w:rsid w:val="5CD465DB"/>
    <w:rsid w:val="5CD4902A"/>
    <w:rsid w:val="5CD6036C"/>
    <w:rsid w:val="5CD72EC4"/>
    <w:rsid w:val="5CD75126"/>
    <w:rsid w:val="5CDA1120"/>
    <w:rsid w:val="5CDA8C3D"/>
    <w:rsid w:val="5CE125FA"/>
    <w:rsid w:val="5CE40EDF"/>
    <w:rsid w:val="5CE4A2A1"/>
    <w:rsid w:val="5CE5649B"/>
    <w:rsid w:val="5CE69610"/>
    <w:rsid w:val="5CE93FAA"/>
    <w:rsid w:val="5CEDCFA8"/>
    <w:rsid w:val="5CEEEC19"/>
    <w:rsid w:val="5CEF7CE9"/>
    <w:rsid w:val="5CF29ACB"/>
    <w:rsid w:val="5CF45C22"/>
    <w:rsid w:val="5CF491F8"/>
    <w:rsid w:val="5CF85615"/>
    <w:rsid w:val="5CFD88DE"/>
    <w:rsid w:val="5CFEE8CC"/>
    <w:rsid w:val="5CFF8963"/>
    <w:rsid w:val="5D00AE37"/>
    <w:rsid w:val="5D011410"/>
    <w:rsid w:val="5D03748C"/>
    <w:rsid w:val="5D038260"/>
    <w:rsid w:val="5D03B068"/>
    <w:rsid w:val="5D0AB4E4"/>
    <w:rsid w:val="5D0D9A06"/>
    <w:rsid w:val="5D13A7DE"/>
    <w:rsid w:val="5D14954C"/>
    <w:rsid w:val="5D168AA1"/>
    <w:rsid w:val="5D1A7A1C"/>
    <w:rsid w:val="5D1CABBA"/>
    <w:rsid w:val="5D224083"/>
    <w:rsid w:val="5D269605"/>
    <w:rsid w:val="5D26D691"/>
    <w:rsid w:val="5D2EE01B"/>
    <w:rsid w:val="5D37038F"/>
    <w:rsid w:val="5D3836DA"/>
    <w:rsid w:val="5D39F1EA"/>
    <w:rsid w:val="5D3AE7F8"/>
    <w:rsid w:val="5D3B43D9"/>
    <w:rsid w:val="5D3CF026"/>
    <w:rsid w:val="5D3FF2D9"/>
    <w:rsid w:val="5D3FF4D0"/>
    <w:rsid w:val="5D4892F3"/>
    <w:rsid w:val="5D48E964"/>
    <w:rsid w:val="5D4A6B03"/>
    <w:rsid w:val="5D4AF5CD"/>
    <w:rsid w:val="5D4BF95A"/>
    <w:rsid w:val="5D4E6C29"/>
    <w:rsid w:val="5D4E97B8"/>
    <w:rsid w:val="5D517ACE"/>
    <w:rsid w:val="5D531837"/>
    <w:rsid w:val="5D548532"/>
    <w:rsid w:val="5D558D78"/>
    <w:rsid w:val="5D56F12B"/>
    <w:rsid w:val="5D57A7AE"/>
    <w:rsid w:val="5D5AD5FA"/>
    <w:rsid w:val="5D5C646A"/>
    <w:rsid w:val="5D5EDBBE"/>
    <w:rsid w:val="5D67CFA5"/>
    <w:rsid w:val="5D68911C"/>
    <w:rsid w:val="5D6AEDFD"/>
    <w:rsid w:val="5D6C8C4D"/>
    <w:rsid w:val="5D6D3989"/>
    <w:rsid w:val="5D6E24D6"/>
    <w:rsid w:val="5D6EA2C6"/>
    <w:rsid w:val="5D72F767"/>
    <w:rsid w:val="5D75C9C9"/>
    <w:rsid w:val="5D7781FF"/>
    <w:rsid w:val="5D77D3A6"/>
    <w:rsid w:val="5D77E523"/>
    <w:rsid w:val="5D78E6A3"/>
    <w:rsid w:val="5D7CE790"/>
    <w:rsid w:val="5D7DCCEA"/>
    <w:rsid w:val="5D824756"/>
    <w:rsid w:val="5D83ADAE"/>
    <w:rsid w:val="5D8658FA"/>
    <w:rsid w:val="5D86DA3E"/>
    <w:rsid w:val="5D8907BB"/>
    <w:rsid w:val="5D8BFCD4"/>
    <w:rsid w:val="5D8D1112"/>
    <w:rsid w:val="5D8E4908"/>
    <w:rsid w:val="5D8EE314"/>
    <w:rsid w:val="5D8F6695"/>
    <w:rsid w:val="5D8FC178"/>
    <w:rsid w:val="5D8FE079"/>
    <w:rsid w:val="5D8FF069"/>
    <w:rsid w:val="5D921339"/>
    <w:rsid w:val="5D93E9C7"/>
    <w:rsid w:val="5D93FD8D"/>
    <w:rsid w:val="5D9413B9"/>
    <w:rsid w:val="5D95718A"/>
    <w:rsid w:val="5D99888E"/>
    <w:rsid w:val="5D9C56C1"/>
    <w:rsid w:val="5D9F0621"/>
    <w:rsid w:val="5DA40F67"/>
    <w:rsid w:val="5DA511ED"/>
    <w:rsid w:val="5DA5CCC9"/>
    <w:rsid w:val="5DA73D94"/>
    <w:rsid w:val="5DA76F55"/>
    <w:rsid w:val="5DA85B5A"/>
    <w:rsid w:val="5DAF8CF8"/>
    <w:rsid w:val="5DB3D001"/>
    <w:rsid w:val="5DB633F5"/>
    <w:rsid w:val="5DB67336"/>
    <w:rsid w:val="5DB691A7"/>
    <w:rsid w:val="5DB6F0AC"/>
    <w:rsid w:val="5DBA04D9"/>
    <w:rsid w:val="5DBB9920"/>
    <w:rsid w:val="5DC661B7"/>
    <w:rsid w:val="5DC79BEE"/>
    <w:rsid w:val="5DCCE25E"/>
    <w:rsid w:val="5DCE4B97"/>
    <w:rsid w:val="5DD074F4"/>
    <w:rsid w:val="5DD59B41"/>
    <w:rsid w:val="5DD70F97"/>
    <w:rsid w:val="5DDCE240"/>
    <w:rsid w:val="5DDE5DB6"/>
    <w:rsid w:val="5DDF1B9B"/>
    <w:rsid w:val="5DDFC52D"/>
    <w:rsid w:val="5DE17286"/>
    <w:rsid w:val="5DE17C6D"/>
    <w:rsid w:val="5DE6D628"/>
    <w:rsid w:val="5DE8B2C4"/>
    <w:rsid w:val="5DE9231E"/>
    <w:rsid w:val="5DEC7414"/>
    <w:rsid w:val="5DEE6B8F"/>
    <w:rsid w:val="5DF04C82"/>
    <w:rsid w:val="5DF1D662"/>
    <w:rsid w:val="5DF50C9B"/>
    <w:rsid w:val="5DF93A5D"/>
    <w:rsid w:val="5DF9E0C5"/>
    <w:rsid w:val="5DFC2CB1"/>
    <w:rsid w:val="5E000189"/>
    <w:rsid w:val="5E0210F3"/>
    <w:rsid w:val="5E049670"/>
    <w:rsid w:val="5E06EA3E"/>
    <w:rsid w:val="5E0725F5"/>
    <w:rsid w:val="5E073F05"/>
    <w:rsid w:val="5E07B562"/>
    <w:rsid w:val="5E0976EF"/>
    <w:rsid w:val="5E09BAF1"/>
    <w:rsid w:val="5E0AFB0B"/>
    <w:rsid w:val="5E0BAB3E"/>
    <w:rsid w:val="5E0C272F"/>
    <w:rsid w:val="5E0D9290"/>
    <w:rsid w:val="5E154A7A"/>
    <w:rsid w:val="5E1622D9"/>
    <w:rsid w:val="5E19BA2C"/>
    <w:rsid w:val="5E1CAE8C"/>
    <w:rsid w:val="5E208BAC"/>
    <w:rsid w:val="5E21B4EA"/>
    <w:rsid w:val="5E22215E"/>
    <w:rsid w:val="5E257B8D"/>
    <w:rsid w:val="5E263339"/>
    <w:rsid w:val="5E29A629"/>
    <w:rsid w:val="5E2B460E"/>
    <w:rsid w:val="5E2CAC2C"/>
    <w:rsid w:val="5E389383"/>
    <w:rsid w:val="5E38DC87"/>
    <w:rsid w:val="5E3A59F3"/>
    <w:rsid w:val="5E40D06F"/>
    <w:rsid w:val="5E41BB21"/>
    <w:rsid w:val="5E41F06D"/>
    <w:rsid w:val="5E42B6B8"/>
    <w:rsid w:val="5E43126D"/>
    <w:rsid w:val="5E44A4AB"/>
    <w:rsid w:val="5E46CD8C"/>
    <w:rsid w:val="5E4985AE"/>
    <w:rsid w:val="5E4C1AAB"/>
    <w:rsid w:val="5E4DC57F"/>
    <w:rsid w:val="5E4E5B92"/>
    <w:rsid w:val="5E4E9715"/>
    <w:rsid w:val="5E4F5035"/>
    <w:rsid w:val="5E4F6928"/>
    <w:rsid w:val="5E57A18C"/>
    <w:rsid w:val="5E59986A"/>
    <w:rsid w:val="5E5A1055"/>
    <w:rsid w:val="5E5C9081"/>
    <w:rsid w:val="5E5DC169"/>
    <w:rsid w:val="5E5ED04C"/>
    <w:rsid w:val="5E61F610"/>
    <w:rsid w:val="5E631CC7"/>
    <w:rsid w:val="5E6421BE"/>
    <w:rsid w:val="5E647EDE"/>
    <w:rsid w:val="5E648FF4"/>
    <w:rsid w:val="5E66DE35"/>
    <w:rsid w:val="5E673044"/>
    <w:rsid w:val="5E6822F4"/>
    <w:rsid w:val="5E68F4C4"/>
    <w:rsid w:val="5E6A325C"/>
    <w:rsid w:val="5E705D5C"/>
    <w:rsid w:val="5E714A9B"/>
    <w:rsid w:val="5E733C40"/>
    <w:rsid w:val="5E736E73"/>
    <w:rsid w:val="5E77A876"/>
    <w:rsid w:val="5E77CE53"/>
    <w:rsid w:val="5E7AC9F9"/>
    <w:rsid w:val="5E7CC734"/>
    <w:rsid w:val="5E7F4AED"/>
    <w:rsid w:val="5E800EBD"/>
    <w:rsid w:val="5E81C6A1"/>
    <w:rsid w:val="5E83A782"/>
    <w:rsid w:val="5E8419A5"/>
    <w:rsid w:val="5E856112"/>
    <w:rsid w:val="5E85CE80"/>
    <w:rsid w:val="5E85CFC3"/>
    <w:rsid w:val="5E85E8CE"/>
    <w:rsid w:val="5E86A0B5"/>
    <w:rsid w:val="5E8D3E2F"/>
    <w:rsid w:val="5E8E5BDA"/>
    <w:rsid w:val="5E8FC9F2"/>
    <w:rsid w:val="5E975105"/>
    <w:rsid w:val="5E9961FE"/>
    <w:rsid w:val="5E99621A"/>
    <w:rsid w:val="5E9C54DF"/>
    <w:rsid w:val="5E9D650C"/>
    <w:rsid w:val="5E9E0410"/>
    <w:rsid w:val="5EA21C0F"/>
    <w:rsid w:val="5EA30BE9"/>
    <w:rsid w:val="5EA40446"/>
    <w:rsid w:val="5EA6D808"/>
    <w:rsid w:val="5EA8C7B3"/>
    <w:rsid w:val="5EAAA5C1"/>
    <w:rsid w:val="5EAC203D"/>
    <w:rsid w:val="5EAC3A50"/>
    <w:rsid w:val="5EB1D5F8"/>
    <w:rsid w:val="5EB27C71"/>
    <w:rsid w:val="5EB2B326"/>
    <w:rsid w:val="5EB2C27A"/>
    <w:rsid w:val="5EB62478"/>
    <w:rsid w:val="5EB8FC10"/>
    <w:rsid w:val="5EB98B5C"/>
    <w:rsid w:val="5EBED48F"/>
    <w:rsid w:val="5EBF7275"/>
    <w:rsid w:val="5EC2F02A"/>
    <w:rsid w:val="5EC54DD5"/>
    <w:rsid w:val="5EC8DD2A"/>
    <w:rsid w:val="5ECA3A4E"/>
    <w:rsid w:val="5ECB6AB2"/>
    <w:rsid w:val="5ECDC42F"/>
    <w:rsid w:val="5ED334B8"/>
    <w:rsid w:val="5ED47CEB"/>
    <w:rsid w:val="5ED4AB7C"/>
    <w:rsid w:val="5ED7A13E"/>
    <w:rsid w:val="5ED9D8AB"/>
    <w:rsid w:val="5EDA85ED"/>
    <w:rsid w:val="5EDABB71"/>
    <w:rsid w:val="5EDB48B6"/>
    <w:rsid w:val="5EDC83E9"/>
    <w:rsid w:val="5EDFF8C4"/>
    <w:rsid w:val="5EE344C1"/>
    <w:rsid w:val="5EE94597"/>
    <w:rsid w:val="5EE96B1F"/>
    <w:rsid w:val="5EEDD1BF"/>
    <w:rsid w:val="5EEE335A"/>
    <w:rsid w:val="5EEE9884"/>
    <w:rsid w:val="5EEF6B4F"/>
    <w:rsid w:val="5EF25332"/>
    <w:rsid w:val="5EF3981C"/>
    <w:rsid w:val="5EF79775"/>
    <w:rsid w:val="5EF79A94"/>
    <w:rsid w:val="5EF86AA8"/>
    <w:rsid w:val="5EF9BE0A"/>
    <w:rsid w:val="5EFEFEED"/>
    <w:rsid w:val="5F02A313"/>
    <w:rsid w:val="5F0396DA"/>
    <w:rsid w:val="5F06983C"/>
    <w:rsid w:val="5F06A723"/>
    <w:rsid w:val="5F0CC5ED"/>
    <w:rsid w:val="5F0F2788"/>
    <w:rsid w:val="5F1049A5"/>
    <w:rsid w:val="5F15E4BC"/>
    <w:rsid w:val="5F1C942A"/>
    <w:rsid w:val="5F1F4F43"/>
    <w:rsid w:val="5F206B33"/>
    <w:rsid w:val="5F2301A0"/>
    <w:rsid w:val="5F233DBD"/>
    <w:rsid w:val="5F258976"/>
    <w:rsid w:val="5F29936E"/>
    <w:rsid w:val="5F29EF44"/>
    <w:rsid w:val="5F2AB8BD"/>
    <w:rsid w:val="5F2B0BA7"/>
    <w:rsid w:val="5F2BA513"/>
    <w:rsid w:val="5F301CEE"/>
    <w:rsid w:val="5F30B2CB"/>
    <w:rsid w:val="5F30EC52"/>
    <w:rsid w:val="5F31340A"/>
    <w:rsid w:val="5F31D3E9"/>
    <w:rsid w:val="5F32897B"/>
    <w:rsid w:val="5F34F0D2"/>
    <w:rsid w:val="5F35A24A"/>
    <w:rsid w:val="5F36B7B3"/>
    <w:rsid w:val="5F39C0BF"/>
    <w:rsid w:val="5F3EF0BF"/>
    <w:rsid w:val="5F40117F"/>
    <w:rsid w:val="5F403736"/>
    <w:rsid w:val="5F423CF2"/>
    <w:rsid w:val="5F427A5E"/>
    <w:rsid w:val="5F431571"/>
    <w:rsid w:val="5F444A7C"/>
    <w:rsid w:val="5F44F3E6"/>
    <w:rsid w:val="5F4526FA"/>
    <w:rsid w:val="5F457E8C"/>
    <w:rsid w:val="5F4B5D80"/>
    <w:rsid w:val="5F4FCA85"/>
    <w:rsid w:val="5F51B5DA"/>
    <w:rsid w:val="5F51EFC6"/>
    <w:rsid w:val="5F55FDE0"/>
    <w:rsid w:val="5F576547"/>
    <w:rsid w:val="5F5833C9"/>
    <w:rsid w:val="5F585F01"/>
    <w:rsid w:val="5F587127"/>
    <w:rsid w:val="5F5B0095"/>
    <w:rsid w:val="5F5CF57F"/>
    <w:rsid w:val="5F5D1149"/>
    <w:rsid w:val="5F5D6B8A"/>
    <w:rsid w:val="5F5F3304"/>
    <w:rsid w:val="5F65258F"/>
    <w:rsid w:val="5F659872"/>
    <w:rsid w:val="5F6702A8"/>
    <w:rsid w:val="5F676096"/>
    <w:rsid w:val="5F68B168"/>
    <w:rsid w:val="5F6C4D02"/>
    <w:rsid w:val="5F6FD038"/>
    <w:rsid w:val="5F70F714"/>
    <w:rsid w:val="5F70FB3B"/>
    <w:rsid w:val="5F747709"/>
    <w:rsid w:val="5F750DA5"/>
    <w:rsid w:val="5F76C050"/>
    <w:rsid w:val="5F790DD0"/>
    <w:rsid w:val="5F797A0C"/>
    <w:rsid w:val="5F7BB47B"/>
    <w:rsid w:val="5F7D84D6"/>
    <w:rsid w:val="5F84A6BB"/>
    <w:rsid w:val="5F891313"/>
    <w:rsid w:val="5F8BCB85"/>
    <w:rsid w:val="5F8D8B0F"/>
    <w:rsid w:val="5F93185E"/>
    <w:rsid w:val="5F94AE83"/>
    <w:rsid w:val="5F97B6F0"/>
    <w:rsid w:val="5F980406"/>
    <w:rsid w:val="5F9A5D36"/>
    <w:rsid w:val="5F9AC896"/>
    <w:rsid w:val="5FA09DF1"/>
    <w:rsid w:val="5FA0A89E"/>
    <w:rsid w:val="5FA379A0"/>
    <w:rsid w:val="5FA58267"/>
    <w:rsid w:val="5FA5E5E1"/>
    <w:rsid w:val="5FA629BC"/>
    <w:rsid w:val="5FA86C50"/>
    <w:rsid w:val="5FAFFDCA"/>
    <w:rsid w:val="5FB01C1E"/>
    <w:rsid w:val="5FB05EB0"/>
    <w:rsid w:val="5FB61AC5"/>
    <w:rsid w:val="5FB6C70A"/>
    <w:rsid w:val="5FB70771"/>
    <w:rsid w:val="5FB7DC96"/>
    <w:rsid w:val="5FBA2193"/>
    <w:rsid w:val="5FBC5C0D"/>
    <w:rsid w:val="5FBCBFFE"/>
    <w:rsid w:val="5FC0714A"/>
    <w:rsid w:val="5FC28050"/>
    <w:rsid w:val="5FC3C129"/>
    <w:rsid w:val="5FC3D4A1"/>
    <w:rsid w:val="5FC5E70C"/>
    <w:rsid w:val="5FC7B6D0"/>
    <w:rsid w:val="5FC7C3C9"/>
    <w:rsid w:val="5FC8223E"/>
    <w:rsid w:val="5FC8369F"/>
    <w:rsid w:val="5FC9D6DB"/>
    <w:rsid w:val="5FC9F4FD"/>
    <w:rsid w:val="5FCEF8A5"/>
    <w:rsid w:val="5FCFEF0E"/>
    <w:rsid w:val="5FD120B4"/>
    <w:rsid w:val="5FD368C8"/>
    <w:rsid w:val="5FD87E7B"/>
    <w:rsid w:val="5FD99BF7"/>
    <w:rsid w:val="5FDC2984"/>
    <w:rsid w:val="5FDE4CC2"/>
    <w:rsid w:val="5FE134B4"/>
    <w:rsid w:val="5FE39649"/>
    <w:rsid w:val="5FE4A9D0"/>
    <w:rsid w:val="5FE4FBA5"/>
    <w:rsid w:val="5FE8E379"/>
    <w:rsid w:val="5FE9208B"/>
    <w:rsid w:val="5FE9DDA9"/>
    <w:rsid w:val="5FF2817C"/>
    <w:rsid w:val="5FF2A21D"/>
    <w:rsid w:val="5FF3E550"/>
    <w:rsid w:val="5FF481B4"/>
    <w:rsid w:val="5FF70941"/>
    <w:rsid w:val="5FF9A750"/>
    <w:rsid w:val="5FF9BC31"/>
    <w:rsid w:val="5FF9DC14"/>
    <w:rsid w:val="5FFBC238"/>
    <w:rsid w:val="5FFD8072"/>
    <w:rsid w:val="5FFDF7C7"/>
    <w:rsid w:val="5FFF845D"/>
    <w:rsid w:val="5FFFD00F"/>
    <w:rsid w:val="6001305E"/>
    <w:rsid w:val="60048C67"/>
    <w:rsid w:val="6005C437"/>
    <w:rsid w:val="600B4CE3"/>
    <w:rsid w:val="600BEE92"/>
    <w:rsid w:val="600C069D"/>
    <w:rsid w:val="600CC145"/>
    <w:rsid w:val="600FB61C"/>
    <w:rsid w:val="601052A4"/>
    <w:rsid w:val="601271F6"/>
    <w:rsid w:val="601738C6"/>
    <w:rsid w:val="6018BFBB"/>
    <w:rsid w:val="601CB0ED"/>
    <w:rsid w:val="601D79ED"/>
    <w:rsid w:val="601F5678"/>
    <w:rsid w:val="60229D3D"/>
    <w:rsid w:val="6022FE70"/>
    <w:rsid w:val="6024087F"/>
    <w:rsid w:val="60283B75"/>
    <w:rsid w:val="60290DAE"/>
    <w:rsid w:val="60290E90"/>
    <w:rsid w:val="602A6B26"/>
    <w:rsid w:val="602A902F"/>
    <w:rsid w:val="602B392A"/>
    <w:rsid w:val="602B6B32"/>
    <w:rsid w:val="602BDC5C"/>
    <w:rsid w:val="60302342"/>
    <w:rsid w:val="60326EF8"/>
    <w:rsid w:val="60330C4B"/>
    <w:rsid w:val="6038478C"/>
    <w:rsid w:val="603B68C7"/>
    <w:rsid w:val="603D1B6C"/>
    <w:rsid w:val="603E2D03"/>
    <w:rsid w:val="6040F27F"/>
    <w:rsid w:val="6040F2DC"/>
    <w:rsid w:val="604521A6"/>
    <w:rsid w:val="6046C8C1"/>
    <w:rsid w:val="604EB750"/>
    <w:rsid w:val="604F5B3B"/>
    <w:rsid w:val="60521ADE"/>
    <w:rsid w:val="6052A0F5"/>
    <w:rsid w:val="6058A3FB"/>
    <w:rsid w:val="6059D1C8"/>
    <w:rsid w:val="605F5F44"/>
    <w:rsid w:val="60605F20"/>
    <w:rsid w:val="60627171"/>
    <w:rsid w:val="60628372"/>
    <w:rsid w:val="606334F2"/>
    <w:rsid w:val="606345DB"/>
    <w:rsid w:val="6068A134"/>
    <w:rsid w:val="606D2F1A"/>
    <w:rsid w:val="606E38A0"/>
    <w:rsid w:val="606E4D6F"/>
    <w:rsid w:val="60706A90"/>
    <w:rsid w:val="6070E381"/>
    <w:rsid w:val="6071131C"/>
    <w:rsid w:val="60718F3D"/>
    <w:rsid w:val="60747D4D"/>
    <w:rsid w:val="6075458C"/>
    <w:rsid w:val="6075CCBB"/>
    <w:rsid w:val="607861AA"/>
    <w:rsid w:val="607D0CB7"/>
    <w:rsid w:val="607D5330"/>
    <w:rsid w:val="607D8A7B"/>
    <w:rsid w:val="60847A47"/>
    <w:rsid w:val="60881498"/>
    <w:rsid w:val="6088DA2A"/>
    <w:rsid w:val="608A00D7"/>
    <w:rsid w:val="608A64ED"/>
    <w:rsid w:val="608BA1EC"/>
    <w:rsid w:val="608DA288"/>
    <w:rsid w:val="608DD9EF"/>
    <w:rsid w:val="608E253A"/>
    <w:rsid w:val="608F94DD"/>
    <w:rsid w:val="60915E42"/>
    <w:rsid w:val="609318E2"/>
    <w:rsid w:val="60969FEA"/>
    <w:rsid w:val="6096BA35"/>
    <w:rsid w:val="609734CC"/>
    <w:rsid w:val="6098AB80"/>
    <w:rsid w:val="609A16E0"/>
    <w:rsid w:val="609ACF4E"/>
    <w:rsid w:val="609AE82C"/>
    <w:rsid w:val="609B4DE6"/>
    <w:rsid w:val="609D31D1"/>
    <w:rsid w:val="609DCB9B"/>
    <w:rsid w:val="60A25C8D"/>
    <w:rsid w:val="60A4D431"/>
    <w:rsid w:val="60A983FD"/>
    <w:rsid w:val="60ABC4D9"/>
    <w:rsid w:val="60B31575"/>
    <w:rsid w:val="60B51810"/>
    <w:rsid w:val="60BCD1A7"/>
    <w:rsid w:val="60BF014A"/>
    <w:rsid w:val="60C30541"/>
    <w:rsid w:val="60C526BF"/>
    <w:rsid w:val="60C62582"/>
    <w:rsid w:val="60C750F8"/>
    <w:rsid w:val="60C77324"/>
    <w:rsid w:val="60C778D1"/>
    <w:rsid w:val="60C87A63"/>
    <w:rsid w:val="60C92E1E"/>
    <w:rsid w:val="60CBB5FF"/>
    <w:rsid w:val="60CBD671"/>
    <w:rsid w:val="60D17C2E"/>
    <w:rsid w:val="60D2DAF4"/>
    <w:rsid w:val="60D30A42"/>
    <w:rsid w:val="60D3177B"/>
    <w:rsid w:val="60D3F384"/>
    <w:rsid w:val="60D484D2"/>
    <w:rsid w:val="60D57773"/>
    <w:rsid w:val="60D62000"/>
    <w:rsid w:val="60D7D427"/>
    <w:rsid w:val="60DD7B1E"/>
    <w:rsid w:val="60DF49EC"/>
    <w:rsid w:val="60E131BC"/>
    <w:rsid w:val="60E3ACC0"/>
    <w:rsid w:val="60E4F0EE"/>
    <w:rsid w:val="60E505B9"/>
    <w:rsid w:val="60E8BC14"/>
    <w:rsid w:val="60EAE26C"/>
    <w:rsid w:val="60EC91EC"/>
    <w:rsid w:val="60ED68F9"/>
    <w:rsid w:val="60ED9602"/>
    <w:rsid w:val="60F10695"/>
    <w:rsid w:val="60F4CC3D"/>
    <w:rsid w:val="60F5BC63"/>
    <w:rsid w:val="60F764E5"/>
    <w:rsid w:val="60F7E53F"/>
    <w:rsid w:val="60F80F08"/>
    <w:rsid w:val="60F89BE8"/>
    <w:rsid w:val="60FA8F12"/>
    <w:rsid w:val="6102BA34"/>
    <w:rsid w:val="610322C1"/>
    <w:rsid w:val="61048E78"/>
    <w:rsid w:val="6105AF3C"/>
    <w:rsid w:val="610683D7"/>
    <w:rsid w:val="6108DBEF"/>
    <w:rsid w:val="6109BB4F"/>
    <w:rsid w:val="610C41A1"/>
    <w:rsid w:val="610E72D8"/>
    <w:rsid w:val="610F28FC"/>
    <w:rsid w:val="610F5223"/>
    <w:rsid w:val="610F98A9"/>
    <w:rsid w:val="6114646F"/>
    <w:rsid w:val="611512A3"/>
    <w:rsid w:val="6115D4E6"/>
    <w:rsid w:val="6117BEEB"/>
    <w:rsid w:val="611AAED5"/>
    <w:rsid w:val="611BFD68"/>
    <w:rsid w:val="611DA491"/>
    <w:rsid w:val="611EC083"/>
    <w:rsid w:val="611ECB10"/>
    <w:rsid w:val="612181E2"/>
    <w:rsid w:val="6122EDFE"/>
    <w:rsid w:val="6126FC0A"/>
    <w:rsid w:val="6127349A"/>
    <w:rsid w:val="61273CD2"/>
    <w:rsid w:val="612836B9"/>
    <w:rsid w:val="612A5DE4"/>
    <w:rsid w:val="612A93B8"/>
    <w:rsid w:val="612C3E68"/>
    <w:rsid w:val="612C5D9D"/>
    <w:rsid w:val="61368F7B"/>
    <w:rsid w:val="6136EF40"/>
    <w:rsid w:val="6136F58A"/>
    <w:rsid w:val="6138ECFA"/>
    <w:rsid w:val="61391332"/>
    <w:rsid w:val="61391684"/>
    <w:rsid w:val="61397CB9"/>
    <w:rsid w:val="6139F3B9"/>
    <w:rsid w:val="613B1D77"/>
    <w:rsid w:val="613CCEA6"/>
    <w:rsid w:val="613D6FED"/>
    <w:rsid w:val="613EC7A3"/>
    <w:rsid w:val="61400F43"/>
    <w:rsid w:val="61425069"/>
    <w:rsid w:val="61492A7E"/>
    <w:rsid w:val="614BFE2C"/>
    <w:rsid w:val="6150A441"/>
    <w:rsid w:val="615109D0"/>
    <w:rsid w:val="6151DC74"/>
    <w:rsid w:val="61533F24"/>
    <w:rsid w:val="61548E69"/>
    <w:rsid w:val="615582C9"/>
    <w:rsid w:val="615BBC0F"/>
    <w:rsid w:val="615CC04E"/>
    <w:rsid w:val="615D25DD"/>
    <w:rsid w:val="615E086D"/>
    <w:rsid w:val="616216B0"/>
    <w:rsid w:val="61628723"/>
    <w:rsid w:val="61630E58"/>
    <w:rsid w:val="61634EA2"/>
    <w:rsid w:val="616836A8"/>
    <w:rsid w:val="616C159D"/>
    <w:rsid w:val="616F1880"/>
    <w:rsid w:val="616F5DC2"/>
    <w:rsid w:val="6171F21F"/>
    <w:rsid w:val="6172577E"/>
    <w:rsid w:val="617396E7"/>
    <w:rsid w:val="617643DA"/>
    <w:rsid w:val="6176EC7E"/>
    <w:rsid w:val="6178D2DD"/>
    <w:rsid w:val="6178ED4D"/>
    <w:rsid w:val="617AF352"/>
    <w:rsid w:val="617BB704"/>
    <w:rsid w:val="617C7F70"/>
    <w:rsid w:val="617DB133"/>
    <w:rsid w:val="617DE662"/>
    <w:rsid w:val="617F81C8"/>
    <w:rsid w:val="618082A1"/>
    <w:rsid w:val="6180D720"/>
    <w:rsid w:val="61896798"/>
    <w:rsid w:val="6190624B"/>
    <w:rsid w:val="619319DB"/>
    <w:rsid w:val="61962590"/>
    <w:rsid w:val="61992CC3"/>
    <w:rsid w:val="619C9A05"/>
    <w:rsid w:val="61A01EAB"/>
    <w:rsid w:val="61A08714"/>
    <w:rsid w:val="61A0FC4B"/>
    <w:rsid w:val="61A36140"/>
    <w:rsid w:val="61A41CFB"/>
    <w:rsid w:val="61A7366E"/>
    <w:rsid w:val="61A9504D"/>
    <w:rsid w:val="61AA065E"/>
    <w:rsid w:val="61AADB3D"/>
    <w:rsid w:val="61AC9494"/>
    <w:rsid w:val="61AD259F"/>
    <w:rsid w:val="61ADBDCF"/>
    <w:rsid w:val="61B0588D"/>
    <w:rsid w:val="61B362AD"/>
    <w:rsid w:val="61B39E09"/>
    <w:rsid w:val="61B42241"/>
    <w:rsid w:val="61B9FCFE"/>
    <w:rsid w:val="61BA7E18"/>
    <w:rsid w:val="61BE3E16"/>
    <w:rsid w:val="61BE4D1C"/>
    <w:rsid w:val="61BF8C39"/>
    <w:rsid w:val="61BFB3C5"/>
    <w:rsid w:val="61C07E3E"/>
    <w:rsid w:val="61C244DF"/>
    <w:rsid w:val="61C2B19A"/>
    <w:rsid w:val="61C6BE9E"/>
    <w:rsid w:val="61CCD2B1"/>
    <w:rsid w:val="61CE98CB"/>
    <w:rsid w:val="61CEE060"/>
    <w:rsid w:val="61D003CD"/>
    <w:rsid w:val="61D19285"/>
    <w:rsid w:val="61D2D76F"/>
    <w:rsid w:val="61D32B7A"/>
    <w:rsid w:val="61D4BA1F"/>
    <w:rsid w:val="61D53683"/>
    <w:rsid w:val="61D5F5C6"/>
    <w:rsid w:val="61DAA18F"/>
    <w:rsid w:val="61DFA065"/>
    <w:rsid w:val="61E5D25E"/>
    <w:rsid w:val="61E62881"/>
    <w:rsid w:val="61E7EEDD"/>
    <w:rsid w:val="61E84369"/>
    <w:rsid w:val="61EBD4C8"/>
    <w:rsid w:val="61F061B6"/>
    <w:rsid w:val="61F49D8F"/>
    <w:rsid w:val="61F70809"/>
    <w:rsid w:val="61FBBF31"/>
    <w:rsid w:val="61FBCA78"/>
    <w:rsid w:val="62001FD7"/>
    <w:rsid w:val="6203632C"/>
    <w:rsid w:val="6203C9D3"/>
    <w:rsid w:val="6206445D"/>
    <w:rsid w:val="620DC5EF"/>
    <w:rsid w:val="620E8792"/>
    <w:rsid w:val="620F0F7A"/>
    <w:rsid w:val="62101350"/>
    <w:rsid w:val="6213C331"/>
    <w:rsid w:val="62149DA5"/>
    <w:rsid w:val="62186B83"/>
    <w:rsid w:val="6219591A"/>
    <w:rsid w:val="62196239"/>
    <w:rsid w:val="621B66A1"/>
    <w:rsid w:val="621C2C9F"/>
    <w:rsid w:val="622154F1"/>
    <w:rsid w:val="62219063"/>
    <w:rsid w:val="6224CE1F"/>
    <w:rsid w:val="62270C03"/>
    <w:rsid w:val="62271CB2"/>
    <w:rsid w:val="6227AEEB"/>
    <w:rsid w:val="62280B20"/>
    <w:rsid w:val="622BC7CA"/>
    <w:rsid w:val="622C9CDE"/>
    <w:rsid w:val="622DBCEB"/>
    <w:rsid w:val="622E88D5"/>
    <w:rsid w:val="622FCE5D"/>
    <w:rsid w:val="622FD97B"/>
    <w:rsid w:val="623010A5"/>
    <w:rsid w:val="6231095B"/>
    <w:rsid w:val="62329B10"/>
    <w:rsid w:val="62335A88"/>
    <w:rsid w:val="623558F4"/>
    <w:rsid w:val="6237995E"/>
    <w:rsid w:val="6239488A"/>
    <w:rsid w:val="6239EE88"/>
    <w:rsid w:val="623AB9AB"/>
    <w:rsid w:val="624253DA"/>
    <w:rsid w:val="624450E4"/>
    <w:rsid w:val="6245D1D9"/>
    <w:rsid w:val="62463C9A"/>
    <w:rsid w:val="62463DF8"/>
    <w:rsid w:val="62466A96"/>
    <w:rsid w:val="624B3947"/>
    <w:rsid w:val="624CC3FF"/>
    <w:rsid w:val="624D5469"/>
    <w:rsid w:val="624D7046"/>
    <w:rsid w:val="62569DCA"/>
    <w:rsid w:val="62578BE8"/>
    <w:rsid w:val="6259E929"/>
    <w:rsid w:val="625AA262"/>
    <w:rsid w:val="625BCD4F"/>
    <w:rsid w:val="625D16A9"/>
    <w:rsid w:val="625DBEE2"/>
    <w:rsid w:val="625DFED6"/>
    <w:rsid w:val="6260228B"/>
    <w:rsid w:val="626469EA"/>
    <w:rsid w:val="62658DE0"/>
    <w:rsid w:val="62661DD2"/>
    <w:rsid w:val="626D6149"/>
    <w:rsid w:val="626E1E30"/>
    <w:rsid w:val="6270EA40"/>
    <w:rsid w:val="62731D32"/>
    <w:rsid w:val="627415CB"/>
    <w:rsid w:val="62751C88"/>
    <w:rsid w:val="6276F5D8"/>
    <w:rsid w:val="627A5596"/>
    <w:rsid w:val="627BCDCC"/>
    <w:rsid w:val="62801FED"/>
    <w:rsid w:val="6281D3CF"/>
    <w:rsid w:val="628410E7"/>
    <w:rsid w:val="6284AA62"/>
    <w:rsid w:val="6286E0FD"/>
    <w:rsid w:val="62873B83"/>
    <w:rsid w:val="628995DD"/>
    <w:rsid w:val="628DC042"/>
    <w:rsid w:val="62909E96"/>
    <w:rsid w:val="62915FF3"/>
    <w:rsid w:val="6292FBBA"/>
    <w:rsid w:val="62930188"/>
    <w:rsid w:val="6293D6B1"/>
    <w:rsid w:val="6294CEA8"/>
    <w:rsid w:val="6295845A"/>
    <w:rsid w:val="6296196E"/>
    <w:rsid w:val="62969F4F"/>
    <w:rsid w:val="629766DE"/>
    <w:rsid w:val="6297F23D"/>
    <w:rsid w:val="629C416D"/>
    <w:rsid w:val="629C946E"/>
    <w:rsid w:val="629F8433"/>
    <w:rsid w:val="629FD1BE"/>
    <w:rsid w:val="62A1B274"/>
    <w:rsid w:val="62A1D8E8"/>
    <w:rsid w:val="62A24F7E"/>
    <w:rsid w:val="62A287A0"/>
    <w:rsid w:val="62A346DF"/>
    <w:rsid w:val="62A6340C"/>
    <w:rsid w:val="62A6AD51"/>
    <w:rsid w:val="62A89192"/>
    <w:rsid w:val="62ACA062"/>
    <w:rsid w:val="62AD9F0C"/>
    <w:rsid w:val="62AF4DFA"/>
    <w:rsid w:val="62B09C71"/>
    <w:rsid w:val="62B25AC8"/>
    <w:rsid w:val="62B54504"/>
    <w:rsid w:val="62B5568C"/>
    <w:rsid w:val="62B8F63C"/>
    <w:rsid w:val="62BF32AA"/>
    <w:rsid w:val="62BF4378"/>
    <w:rsid w:val="62C207CF"/>
    <w:rsid w:val="62C326E5"/>
    <w:rsid w:val="62C703DC"/>
    <w:rsid w:val="62C7D2D9"/>
    <w:rsid w:val="62C99ABA"/>
    <w:rsid w:val="62CA4C4D"/>
    <w:rsid w:val="62CA5F81"/>
    <w:rsid w:val="62CE63FC"/>
    <w:rsid w:val="62CFDD79"/>
    <w:rsid w:val="62CFE1D5"/>
    <w:rsid w:val="62D23A9A"/>
    <w:rsid w:val="62D4CB4E"/>
    <w:rsid w:val="62D8539F"/>
    <w:rsid w:val="62DD7C3E"/>
    <w:rsid w:val="62DDA4E3"/>
    <w:rsid w:val="62E2CA2F"/>
    <w:rsid w:val="62E52F54"/>
    <w:rsid w:val="62E55E4E"/>
    <w:rsid w:val="62E5C629"/>
    <w:rsid w:val="62E7FF72"/>
    <w:rsid w:val="62E9EFA8"/>
    <w:rsid w:val="62EA8FBB"/>
    <w:rsid w:val="62EF6CF0"/>
    <w:rsid w:val="62EFE741"/>
    <w:rsid w:val="62EFF61C"/>
    <w:rsid w:val="62F07517"/>
    <w:rsid w:val="62F0A5A0"/>
    <w:rsid w:val="62F27C8B"/>
    <w:rsid w:val="62F5A1D2"/>
    <w:rsid w:val="62F76288"/>
    <w:rsid w:val="62F936B2"/>
    <w:rsid w:val="62F95644"/>
    <w:rsid w:val="62F9A45C"/>
    <w:rsid w:val="62FCD29D"/>
    <w:rsid w:val="62FFCB9F"/>
    <w:rsid w:val="63080293"/>
    <w:rsid w:val="630B1873"/>
    <w:rsid w:val="630EECA0"/>
    <w:rsid w:val="630FD6A4"/>
    <w:rsid w:val="63129386"/>
    <w:rsid w:val="63178807"/>
    <w:rsid w:val="631A25CB"/>
    <w:rsid w:val="631D214C"/>
    <w:rsid w:val="631D4927"/>
    <w:rsid w:val="631DF309"/>
    <w:rsid w:val="63213466"/>
    <w:rsid w:val="6324F944"/>
    <w:rsid w:val="6325E9B9"/>
    <w:rsid w:val="632A6B4B"/>
    <w:rsid w:val="632D6B3E"/>
    <w:rsid w:val="632DAF72"/>
    <w:rsid w:val="632E1463"/>
    <w:rsid w:val="632F9ADA"/>
    <w:rsid w:val="6330B033"/>
    <w:rsid w:val="6331C2E8"/>
    <w:rsid w:val="633244DC"/>
    <w:rsid w:val="63357066"/>
    <w:rsid w:val="6338445C"/>
    <w:rsid w:val="633C427E"/>
    <w:rsid w:val="633C449E"/>
    <w:rsid w:val="633F4E9D"/>
    <w:rsid w:val="6340D16A"/>
    <w:rsid w:val="6340D302"/>
    <w:rsid w:val="6344079E"/>
    <w:rsid w:val="6344D88F"/>
    <w:rsid w:val="63462999"/>
    <w:rsid w:val="634E7A08"/>
    <w:rsid w:val="634EA8F9"/>
    <w:rsid w:val="635149D7"/>
    <w:rsid w:val="63517935"/>
    <w:rsid w:val="6351DDAE"/>
    <w:rsid w:val="635250D6"/>
    <w:rsid w:val="6352A7BD"/>
    <w:rsid w:val="635655D2"/>
    <w:rsid w:val="63574891"/>
    <w:rsid w:val="635C69E4"/>
    <w:rsid w:val="635F40E1"/>
    <w:rsid w:val="63600E4F"/>
    <w:rsid w:val="6360FA51"/>
    <w:rsid w:val="6361B4E6"/>
    <w:rsid w:val="6361CF23"/>
    <w:rsid w:val="6362067E"/>
    <w:rsid w:val="6362535D"/>
    <w:rsid w:val="636B5271"/>
    <w:rsid w:val="636C306C"/>
    <w:rsid w:val="636DCE04"/>
    <w:rsid w:val="636E9449"/>
    <w:rsid w:val="636EBC13"/>
    <w:rsid w:val="636F08F7"/>
    <w:rsid w:val="637056D5"/>
    <w:rsid w:val="6370BFB2"/>
    <w:rsid w:val="63713A97"/>
    <w:rsid w:val="637394F4"/>
    <w:rsid w:val="637437BA"/>
    <w:rsid w:val="63750CF4"/>
    <w:rsid w:val="63757030"/>
    <w:rsid w:val="63764FDB"/>
    <w:rsid w:val="637740E9"/>
    <w:rsid w:val="6378773E"/>
    <w:rsid w:val="6378CD00"/>
    <w:rsid w:val="637B569E"/>
    <w:rsid w:val="637D576A"/>
    <w:rsid w:val="637E2656"/>
    <w:rsid w:val="6381E9E3"/>
    <w:rsid w:val="63830388"/>
    <w:rsid w:val="63853E35"/>
    <w:rsid w:val="638670DA"/>
    <w:rsid w:val="63883B68"/>
    <w:rsid w:val="63885323"/>
    <w:rsid w:val="638DA36B"/>
    <w:rsid w:val="638F5EA3"/>
    <w:rsid w:val="638F86EF"/>
    <w:rsid w:val="6390A49B"/>
    <w:rsid w:val="63920E03"/>
    <w:rsid w:val="639339FB"/>
    <w:rsid w:val="6395EDFC"/>
    <w:rsid w:val="639657F1"/>
    <w:rsid w:val="63969A2E"/>
    <w:rsid w:val="63976B32"/>
    <w:rsid w:val="6397F984"/>
    <w:rsid w:val="63991B18"/>
    <w:rsid w:val="6399B890"/>
    <w:rsid w:val="639A6738"/>
    <w:rsid w:val="639C9327"/>
    <w:rsid w:val="639CE78C"/>
    <w:rsid w:val="639D0C8C"/>
    <w:rsid w:val="639E3EE7"/>
    <w:rsid w:val="639EABBE"/>
    <w:rsid w:val="639EF0EA"/>
    <w:rsid w:val="63A09B12"/>
    <w:rsid w:val="63A33C2B"/>
    <w:rsid w:val="63A52498"/>
    <w:rsid w:val="63A557EC"/>
    <w:rsid w:val="63A58307"/>
    <w:rsid w:val="63A68EC8"/>
    <w:rsid w:val="63A710E1"/>
    <w:rsid w:val="63A75294"/>
    <w:rsid w:val="63AB95EF"/>
    <w:rsid w:val="63ADF76A"/>
    <w:rsid w:val="63AF8C5B"/>
    <w:rsid w:val="63B1E663"/>
    <w:rsid w:val="63B21E36"/>
    <w:rsid w:val="63B38B7C"/>
    <w:rsid w:val="63B446D0"/>
    <w:rsid w:val="63B45712"/>
    <w:rsid w:val="63B63D0A"/>
    <w:rsid w:val="63B7BAEF"/>
    <w:rsid w:val="63B86387"/>
    <w:rsid w:val="63BA7285"/>
    <w:rsid w:val="63BEA493"/>
    <w:rsid w:val="63BEA9E3"/>
    <w:rsid w:val="63BF33E1"/>
    <w:rsid w:val="63C02B44"/>
    <w:rsid w:val="63C1D844"/>
    <w:rsid w:val="63C1F486"/>
    <w:rsid w:val="63C34818"/>
    <w:rsid w:val="63C44C44"/>
    <w:rsid w:val="63C4E997"/>
    <w:rsid w:val="63C813C6"/>
    <w:rsid w:val="63C89B7A"/>
    <w:rsid w:val="63C9FFE3"/>
    <w:rsid w:val="63CA1E7D"/>
    <w:rsid w:val="63CB9EBE"/>
    <w:rsid w:val="63CD1FD6"/>
    <w:rsid w:val="63CFE5DF"/>
    <w:rsid w:val="63D84765"/>
    <w:rsid w:val="63DB8988"/>
    <w:rsid w:val="63E029BD"/>
    <w:rsid w:val="63E27530"/>
    <w:rsid w:val="63E2BCB9"/>
    <w:rsid w:val="63E2C28C"/>
    <w:rsid w:val="63E32616"/>
    <w:rsid w:val="63EB9ABC"/>
    <w:rsid w:val="63F00CAB"/>
    <w:rsid w:val="63F1A996"/>
    <w:rsid w:val="63F2565E"/>
    <w:rsid w:val="63F33D56"/>
    <w:rsid w:val="63F75A19"/>
    <w:rsid w:val="63FB18B1"/>
    <w:rsid w:val="63FB97BC"/>
    <w:rsid w:val="63FD47F4"/>
    <w:rsid w:val="63FD5C83"/>
    <w:rsid w:val="63FE0D57"/>
    <w:rsid w:val="63FEFF1C"/>
    <w:rsid w:val="63FF1220"/>
    <w:rsid w:val="63FF6DD9"/>
    <w:rsid w:val="640302F5"/>
    <w:rsid w:val="640314E5"/>
    <w:rsid w:val="640317C8"/>
    <w:rsid w:val="64039135"/>
    <w:rsid w:val="640644DB"/>
    <w:rsid w:val="64071E05"/>
    <w:rsid w:val="64072BCC"/>
    <w:rsid w:val="64096EC3"/>
    <w:rsid w:val="640B94D6"/>
    <w:rsid w:val="640C0A6B"/>
    <w:rsid w:val="6415DB00"/>
    <w:rsid w:val="6415DC1C"/>
    <w:rsid w:val="641747BE"/>
    <w:rsid w:val="6418FB8C"/>
    <w:rsid w:val="641ABC24"/>
    <w:rsid w:val="641B0483"/>
    <w:rsid w:val="641CCF7D"/>
    <w:rsid w:val="641EAFFF"/>
    <w:rsid w:val="64212ECB"/>
    <w:rsid w:val="6421E6D0"/>
    <w:rsid w:val="6422880B"/>
    <w:rsid w:val="642536C4"/>
    <w:rsid w:val="64253FA8"/>
    <w:rsid w:val="6425A9A3"/>
    <w:rsid w:val="6427710F"/>
    <w:rsid w:val="642934D2"/>
    <w:rsid w:val="642B743A"/>
    <w:rsid w:val="642C537F"/>
    <w:rsid w:val="643197F7"/>
    <w:rsid w:val="64336626"/>
    <w:rsid w:val="64342320"/>
    <w:rsid w:val="6434C52C"/>
    <w:rsid w:val="6439309B"/>
    <w:rsid w:val="6439AC13"/>
    <w:rsid w:val="643A909E"/>
    <w:rsid w:val="643B9CD5"/>
    <w:rsid w:val="643CCE91"/>
    <w:rsid w:val="643D4470"/>
    <w:rsid w:val="64407A7D"/>
    <w:rsid w:val="6441319A"/>
    <w:rsid w:val="644164C1"/>
    <w:rsid w:val="6441A61D"/>
    <w:rsid w:val="644218BF"/>
    <w:rsid w:val="6446E12D"/>
    <w:rsid w:val="64481671"/>
    <w:rsid w:val="644D5C38"/>
    <w:rsid w:val="644F2CCB"/>
    <w:rsid w:val="6450635D"/>
    <w:rsid w:val="64517B55"/>
    <w:rsid w:val="6452E17C"/>
    <w:rsid w:val="6453B235"/>
    <w:rsid w:val="6453BD52"/>
    <w:rsid w:val="64540645"/>
    <w:rsid w:val="6454C69D"/>
    <w:rsid w:val="6454DC22"/>
    <w:rsid w:val="645534BC"/>
    <w:rsid w:val="6456E92C"/>
    <w:rsid w:val="645D94A8"/>
    <w:rsid w:val="645DE47F"/>
    <w:rsid w:val="64611532"/>
    <w:rsid w:val="64630AFC"/>
    <w:rsid w:val="646B5ECE"/>
    <w:rsid w:val="646CAE0D"/>
    <w:rsid w:val="646D435D"/>
    <w:rsid w:val="6479715A"/>
    <w:rsid w:val="647B57E4"/>
    <w:rsid w:val="647BFA93"/>
    <w:rsid w:val="647E9BE6"/>
    <w:rsid w:val="6480E21D"/>
    <w:rsid w:val="64823AEA"/>
    <w:rsid w:val="6483A26E"/>
    <w:rsid w:val="648CB25A"/>
    <w:rsid w:val="648E8910"/>
    <w:rsid w:val="648FCD30"/>
    <w:rsid w:val="6490CDF5"/>
    <w:rsid w:val="64964300"/>
    <w:rsid w:val="64965696"/>
    <w:rsid w:val="6496A810"/>
    <w:rsid w:val="649A9522"/>
    <w:rsid w:val="64A1656E"/>
    <w:rsid w:val="64A2AE63"/>
    <w:rsid w:val="64A37EE6"/>
    <w:rsid w:val="64A3ACFF"/>
    <w:rsid w:val="64A44708"/>
    <w:rsid w:val="64A5AFE1"/>
    <w:rsid w:val="64AACCA7"/>
    <w:rsid w:val="64AB47AD"/>
    <w:rsid w:val="64AEBEF5"/>
    <w:rsid w:val="64B3B411"/>
    <w:rsid w:val="64B41326"/>
    <w:rsid w:val="64B4CEFD"/>
    <w:rsid w:val="64B5A52A"/>
    <w:rsid w:val="64B5E0B7"/>
    <w:rsid w:val="64B81082"/>
    <w:rsid w:val="64B89E46"/>
    <w:rsid w:val="64B9B50D"/>
    <w:rsid w:val="64B9BB84"/>
    <w:rsid w:val="64BC87D2"/>
    <w:rsid w:val="64C008D4"/>
    <w:rsid w:val="64C091A8"/>
    <w:rsid w:val="64C0C16B"/>
    <w:rsid w:val="64C20C4C"/>
    <w:rsid w:val="64C228FB"/>
    <w:rsid w:val="64C56D76"/>
    <w:rsid w:val="64C7796B"/>
    <w:rsid w:val="64C89954"/>
    <w:rsid w:val="64CE8D3A"/>
    <w:rsid w:val="64CF3C7B"/>
    <w:rsid w:val="64CF48E2"/>
    <w:rsid w:val="64D1483D"/>
    <w:rsid w:val="64D1E447"/>
    <w:rsid w:val="64D1EC25"/>
    <w:rsid w:val="64D33A51"/>
    <w:rsid w:val="64D3535F"/>
    <w:rsid w:val="64D4F270"/>
    <w:rsid w:val="64D6C14C"/>
    <w:rsid w:val="64D8E4D7"/>
    <w:rsid w:val="64DA0D0B"/>
    <w:rsid w:val="64DAE3DD"/>
    <w:rsid w:val="64E3C5F8"/>
    <w:rsid w:val="64E454B4"/>
    <w:rsid w:val="64EA35B6"/>
    <w:rsid w:val="64ECAA95"/>
    <w:rsid w:val="64ED7167"/>
    <w:rsid w:val="64ED8FA4"/>
    <w:rsid w:val="64ED9F83"/>
    <w:rsid w:val="64EE2549"/>
    <w:rsid w:val="64EE9333"/>
    <w:rsid w:val="64EF70E9"/>
    <w:rsid w:val="64F01DA9"/>
    <w:rsid w:val="64F03A8F"/>
    <w:rsid w:val="64F0A53F"/>
    <w:rsid w:val="64F3DE75"/>
    <w:rsid w:val="64F4F577"/>
    <w:rsid w:val="64F67E36"/>
    <w:rsid w:val="64F8F57B"/>
    <w:rsid w:val="64FAE5CB"/>
    <w:rsid w:val="64FE02FB"/>
    <w:rsid w:val="6501FF95"/>
    <w:rsid w:val="65066561"/>
    <w:rsid w:val="6506A975"/>
    <w:rsid w:val="6507653C"/>
    <w:rsid w:val="6507CE1D"/>
    <w:rsid w:val="650A14D8"/>
    <w:rsid w:val="65118841"/>
    <w:rsid w:val="6512A520"/>
    <w:rsid w:val="65149C6B"/>
    <w:rsid w:val="6514E687"/>
    <w:rsid w:val="6515FAEC"/>
    <w:rsid w:val="65173D95"/>
    <w:rsid w:val="651788D2"/>
    <w:rsid w:val="6517B77B"/>
    <w:rsid w:val="651B9514"/>
    <w:rsid w:val="65222413"/>
    <w:rsid w:val="6523543F"/>
    <w:rsid w:val="652829CD"/>
    <w:rsid w:val="6529AC3A"/>
    <w:rsid w:val="652CB5B9"/>
    <w:rsid w:val="652DA5EA"/>
    <w:rsid w:val="652DEAE6"/>
    <w:rsid w:val="652F7528"/>
    <w:rsid w:val="6537324C"/>
    <w:rsid w:val="65377BDA"/>
    <w:rsid w:val="653B2006"/>
    <w:rsid w:val="6540799A"/>
    <w:rsid w:val="6541C869"/>
    <w:rsid w:val="6547DA41"/>
    <w:rsid w:val="654A4AC0"/>
    <w:rsid w:val="654AE26C"/>
    <w:rsid w:val="654DC073"/>
    <w:rsid w:val="65520F3A"/>
    <w:rsid w:val="6553673D"/>
    <w:rsid w:val="6553A807"/>
    <w:rsid w:val="6553E186"/>
    <w:rsid w:val="6555F043"/>
    <w:rsid w:val="6557025A"/>
    <w:rsid w:val="6559AA28"/>
    <w:rsid w:val="655A870E"/>
    <w:rsid w:val="655C6962"/>
    <w:rsid w:val="655CEE09"/>
    <w:rsid w:val="655EF0CD"/>
    <w:rsid w:val="65602FAC"/>
    <w:rsid w:val="656B20A0"/>
    <w:rsid w:val="656B332B"/>
    <w:rsid w:val="656C9CD0"/>
    <w:rsid w:val="656DBA90"/>
    <w:rsid w:val="656E7977"/>
    <w:rsid w:val="656EB083"/>
    <w:rsid w:val="6570E0FA"/>
    <w:rsid w:val="6571CC64"/>
    <w:rsid w:val="65735ECF"/>
    <w:rsid w:val="657383CC"/>
    <w:rsid w:val="65755A4C"/>
    <w:rsid w:val="65762CBC"/>
    <w:rsid w:val="657C8A7F"/>
    <w:rsid w:val="657D1771"/>
    <w:rsid w:val="657D2E79"/>
    <w:rsid w:val="6580449B"/>
    <w:rsid w:val="65850241"/>
    <w:rsid w:val="6586A6B4"/>
    <w:rsid w:val="65885AF7"/>
    <w:rsid w:val="658937B0"/>
    <w:rsid w:val="6589EC7E"/>
    <w:rsid w:val="658B957A"/>
    <w:rsid w:val="658DFFFC"/>
    <w:rsid w:val="658E5B1E"/>
    <w:rsid w:val="658F39FC"/>
    <w:rsid w:val="658FDA96"/>
    <w:rsid w:val="65900C1E"/>
    <w:rsid w:val="65901A30"/>
    <w:rsid w:val="65929054"/>
    <w:rsid w:val="6595338D"/>
    <w:rsid w:val="659539A2"/>
    <w:rsid w:val="65963735"/>
    <w:rsid w:val="65970D78"/>
    <w:rsid w:val="659AB8DF"/>
    <w:rsid w:val="659B2634"/>
    <w:rsid w:val="65A074D6"/>
    <w:rsid w:val="65A6607F"/>
    <w:rsid w:val="65AA7B7B"/>
    <w:rsid w:val="65AE6DCA"/>
    <w:rsid w:val="65B17382"/>
    <w:rsid w:val="65B1C677"/>
    <w:rsid w:val="65B27CE9"/>
    <w:rsid w:val="65B3058A"/>
    <w:rsid w:val="65B5E643"/>
    <w:rsid w:val="65B69798"/>
    <w:rsid w:val="65B6DFDB"/>
    <w:rsid w:val="65B7BA9A"/>
    <w:rsid w:val="65B94D6B"/>
    <w:rsid w:val="65BA2490"/>
    <w:rsid w:val="65BE0919"/>
    <w:rsid w:val="65BE4A98"/>
    <w:rsid w:val="65BF4F74"/>
    <w:rsid w:val="65C10725"/>
    <w:rsid w:val="65C5D961"/>
    <w:rsid w:val="65C91241"/>
    <w:rsid w:val="65C935A5"/>
    <w:rsid w:val="65C99B5B"/>
    <w:rsid w:val="65CB2916"/>
    <w:rsid w:val="65D25906"/>
    <w:rsid w:val="65D30CF7"/>
    <w:rsid w:val="65D65CC9"/>
    <w:rsid w:val="65D923CE"/>
    <w:rsid w:val="65D99AB1"/>
    <w:rsid w:val="65DCEEDC"/>
    <w:rsid w:val="65E029AE"/>
    <w:rsid w:val="65E03B9B"/>
    <w:rsid w:val="65E13AFF"/>
    <w:rsid w:val="65E21631"/>
    <w:rsid w:val="65E3D4A1"/>
    <w:rsid w:val="65E6CCAB"/>
    <w:rsid w:val="65E990D7"/>
    <w:rsid w:val="65EB15C4"/>
    <w:rsid w:val="65EB6941"/>
    <w:rsid w:val="65EB7173"/>
    <w:rsid w:val="65EBA38A"/>
    <w:rsid w:val="65EC0F5B"/>
    <w:rsid w:val="65EF529B"/>
    <w:rsid w:val="65F1FA94"/>
    <w:rsid w:val="65F2A055"/>
    <w:rsid w:val="65F55DC0"/>
    <w:rsid w:val="65F7CA8A"/>
    <w:rsid w:val="65F7D88C"/>
    <w:rsid w:val="65FF5107"/>
    <w:rsid w:val="66039FEC"/>
    <w:rsid w:val="6604A8C9"/>
    <w:rsid w:val="6604DAFA"/>
    <w:rsid w:val="6605A449"/>
    <w:rsid w:val="66066016"/>
    <w:rsid w:val="660862F2"/>
    <w:rsid w:val="6608A97A"/>
    <w:rsid w:val="660C16A7"/>
    <w:rsid w:val="660CCE53"/>
    <w:rsid w:val="660CE646"/>
    <w:rsid w:val="660FE14A"/>
    <w:rsid w:val="660FEF5A"/>
    <w:rsid w:val="66137CCC"/>
    <w:rsid w:val="6614B9F2"/>
    <w:rsid w:val="6616F557"/>
    <w:rsid w:val="661725E7"/>
    <w:rsid w:val="661BA97C"/>
    <w:rsid w:val="661DC3E4"/>
    <w:rsid w:val="662129BF"/>
    <w:rsid w:val="66222D53"/>
    <w:rsid w:val="66246D34"/>
    <w:rsid w:val="662497DC"/>
    <w:rsid w:val="662770F8"/>
    <w:rsid w:val="662C2BF2"/>
    <w:rsid w:val="662CC5C4"/>
    <w:rsid w:val="662D5DDB"/>
    <w:rsid w:val="662E7F8B"/>
    <w:rsid w:val="6631D377"/>
    <w:rsid w:val="66320A22"/>
    <w:rsid w:val="6633517A"/>
    <w:rsid w:val="6633732D"/>
    <w:rsid w:val="6634450A"/>
    <w:rsid w:val="6637B063"/>
    <w:rsid w:val="663BB288"/>
    <w:rsid w:val="663C9CFE"/>
    <w:rsid w:val="663D2B18"/>
    <w:rsid w:val="663E033D"/>
    <w:rsid w:val="663FD1F0"/>
    <w:rsid w:val="664109A7"/>
    <w:rsid w:val="664246C2"/>
    <w:rsid w:val="6643778A"/>
    <w:rsid w:val="664A5684"/>
    <w:rsid w:val="664B8FB1"/>
    <w:rsid w:val="664D69E5"/>
    <w:rsid w:val="664F9E1F"/>
    <w:rsid w:val="664FB1C1"/>
    <w:rsid w:val="66535DFA"/>
    <w:rsid w:val="66548E88"/>
    <w:rsid w:val="66554B5C"/>
    <w:rsid w:val="6655DEF6"/>
    <w:rsid w:val="6656D563"/>
    <w:rsid w:val="665BE77A"/>
    <w:rsid w:val="665E9EBE"/>
    <w:rsid w:val="6662E9D2"/>
    <w:rsid w:val="6664AACC"/>
    <w:rsid w:val="6664CEFB"/>
    <w:rsid w:val="66666059"/>
    <w:rsid w:val="6666B132"/>
    <w:rsid w:val="6666E7E9"/>
    <w:rsid w:val="6667DBDF"/>
    <w:rsid w:val="66689507"/>
    <w:rsid w:val="666C3D12"/>
    <w:rsid w:val="667226C3"/>
    <w:rsid w:val="6672B174"/>
    <w:rsid w:val="66750827"/>
    <w:rsid w:val="6675B591"/>
    <w:rsid w:val="667A20B5"/>
    <w:rsid w:val="667A4A6D"/>
    <w:rsid w:val="667DE4CD"/>
    <w:rsid w:val="667E8291"/>
    <w:rsid w:val="667ED3E0"/>
    <w:rsid w:val="667EF23C"/>
    <w:rsid w:val="667F0699"/>
    <w:rsid w:val="667FBA32"/>
    <w:rsid w:val="6680088B"/>
    <w:rsid w:val="66804855"/>
    <w:rsid w:val="66822854"/>
    <w:rsid w:val="66827EA2"/>
    <w:rsid w:val="6684919F"/>
    <w:rsid w:val="66897B25"/>
    <w:rsid w:val="668A16BB"/>
    <w:rsid w:val="668BEF17"/>
    <w:rsid w:val="66905491"/>
    <w:rsid w:val="6693EFCA"/>
    <w:rsid w:val="669457BE"/>
    <w:rsid w:val="66951CBB"/>
    <w:rsid w:val="669CAEF2"/>
    <w:rsid w:val="669D4DFF"/>
    <w:rsid w:val="66A30CB0"/>
    <w:rsid w:val="66A658AB"/>
    <w:rsid w:val="66A822AC"/>
    <w:rsid w:val="66AC6803"/>
    <w:rsid w:val="66B5E516"/>
    <w:rsid w:val="66B64311"/>
    <w:rsid w:val="66B677C7"/>
    <w:rsid w:val="66B98613"/>
    <w:rsid w:val="66B9B2EF"/>
    <w:rsid w:val="66BA8EFE"/>
    <w:rsid w:val="66BAAA45"/>
    <w:rsid w:val="66BCA263"/>
    <w:rsid w:val="66BD230A"/>
    <w:rsid w:val="66BDAB53"/>
    <w:rsid w:val="66C2ED41"/>
    <w:rsid w:val="66C8EA81"/>
    <w:rsid w:val="66C98817"/>
    <w:rsid w:val="66CED8A0"/>
    <w:rsid w:val="66D11C35"/>
    <w:rsid w:val="66D13739"/>
    <w:rsid w:val="66D433E9"/>
    <w:rsid w:val="66D68A85"/>
    <w:rsid w:val="66D709C8"/>
    <w:rsid w:val="66D7E2B8"/>
    <w:rsid w:val="66D8EBBA"/>
    <w:rsid w:val="66D93F34"/>
    <w:rsid w:val="66DB0C6E"/>
    <w:rsid w:val="66DB6127"/>
    <w:rsid w:val="66DCEF2E"/>
    <w:rsid w:val="66DE53F9"/>
    <w:rsid w:val="66DF1187"/>
    <w:rsid w:val="66DF8901"/>
    <w:rsid w:val="66E315A4"/>
    <w:rsid w:val="66E33919"/>
    <w:rsid w:val="66E37A78"/>
    <w:rsid w:val="66E5069B"/>
    <w:rsid w:val="66E7BAD6"/>
    <w:rsid w:val="66EA5562"/>
    <w:rsid w:val="66EB549B"/>
    <w:rsid w:val="66ECB911"/>
    <w:rsid w:val="66EDD60F"/>
    <w:rsid w:val="66EE7477"/>
    <w:rsid w:val="66EEF222"/>
    <w:rsid w:val="66F51FA2"/>
    <w:rsid w:val="66F6523A"/>
    <w:rsid w:val="66F889DD"/>
    <w:rsid w:val="66F908D2"/>
    <w:rsid w:val="66F90FEB"/>
    <w:rsid w:val="66FA42F0"/>
    <w:rsid w:val="66FB287B"/>
    <w:rsid w:val="66FBF52F"/>
    <w:rsid w:val="66FC48E5"/>
    <w:rsid w:val="66FD169D"/>
    <w:rsid w:val="6705AFAE"/>
    <w:rsid w:val="67070DE7"/>
    <w:rsid w:val="67094616"/>
    <w:rsid w:val="670A8CF7"/>
    <w:rsid w:val="670ADDA0"/>
    <w:rsid w:val="670E945D"/>
    <w:rsid w:val="6710846C"/>
    <w:rsid w:val="6713B733"/>
    <w:rsid w:val="67187827"/>
    <w:rsid w:val="671A31AD"/>
    <w:rsid w:val="671AA432"/>
    <w:rsid w:val="671CA4EA"/>
    <w:rsid w:val="6722A4DE"/>
    <w:rsid w:val="6722EF5A"/>
    <w:rsid w:val="672579D1"/>
    <w:rsid w:val="67272144"/>
    <w:rsid w:val="672765DE"/>
    <w:rsid w:val="67279916"/>
    <w:rsid w:val="6727B011"/>
    <w:rsid w:val="6729063E"/>
    <w:rsid w:val="672B472F"/>
    <w:rsid w:val="672B8D5B"/>
    <w:rsid w:val="672E5D48"/>
    <w:rsid w:val="6732B74E"/>
    <w:rsid w:val="673327D6"/>
    <w:rsid w:val="67340473"/>
    <w:rsid w:val="673505C6"/>
    <w:rsid w:val="67360AFE"/>
    <w:rsid w:val="673943A1"/>
    <w:rsid w:val="67398CF7"/>
    <w:rsid w:val="673BEBDA"/>
    <w:rsid w:val="673ED951"/>
    <w:rsid w:val="673F45E0"/>
    <w:rsid w:val="673F9A92"/>
    <w:rsid w:val="6740ED4D"/>
    <w:rsid w:val="6740F639"/>
    <w:rsid w:val="6742C703"/>
    <w:rsid w:val="67431037"/>
    <w:rsid w:val="67469CED"/>
    <w:rsid w:val="6746E918"/>
    <w:rsid w:val="67475291"/>
    <w:rsid w:val="674859FE"/>
    <w:rsid w:val="67490F7F"/>
    <w:rsid w:val="674A8648"/>
    <w:rsid w:val="674AC2D0"/>
    <w:rsid w:val="674C3C8C"/>
    <w:rsid w:val="674FB2D9"/>
    <w:rsid w:val="6751FA8B"/>
    <w:rsid w:val="6752D3BA"/>
    <w:rsid w:val="6754FEDB"/>
    <w:rsid w:val="675516B3"/>
    <w:rsid w:val="6755C490"/>
    <w:rsid w:val="67560297"/>
    <w:rsid w:val="675727D3"/>
    <w:rsid w:val="67576E22"/>
    <w:rsid w:val="6758EC30"/>
    <w:rsid w:val="675AAA8B"/>
    <w:rsid w:val="675ABC27"/>
    <w:rsid w:val="675CD786"/>
    <w:rsid w:val="675DE663"/>
    <w:rsid w:val="675E772C"/>
    <w:rsid w:val="675EE714"/>
    <w:rsid w:val="676292FF"/>
    <w:rsid w:val="676451CD"/>
    <w:rsid w:val="67665CBD"/>
    <w:rsid w:val="676B2D5D"/>
    <w:rsid w:val="676D762B"/>
    <w:rsid w:val="6772829D"/>
    <w:rsid w:val="67784230"/>
    <w:rsid w:val="6779AB81"/>
    <w:rsid w:val="677A19EF"/>
    <w:rsid w:val="677C939D"/>
    <w:rsid w:val="677FEBE2"/>
    <w:rsid w:val="677FECCF"/>
    <w:rsid w:val="67816929"/>
    <w:rsid w:val="6782DC5F"/>
    <w:rsid w:val="67834027"/>
    <w:rsid w:val="67837181"/>
    <w:rsid w:val="6789ACD4"/>
    <w:rsid w:val="678CBF34"/>
    <w:rsid w:val="678DD504"/>
    <w:rsid w:val="678DD85B"/>
    <w:rsid w:val="678FC0F0"/>
    <w:rsid w:val="67922F42"/>
    <w:rsid w:val="67947BB5"/>
    <w:rsid w:val="6794E0CA"/>
    <w:rsid w:val="6795AE1F"/>
    <w:rsid w:val="679CAFD1"/>
    <w:rsid w:val="679F84B6"/>
    <w:rsid w:val="679FD902"/>
    <w:rsid w:val="67A67465"/>
    <w:rsid w:val="67A72353"/>
    <w:rsid w:val="67A81EA6"/>
    <w:rsid w:val="67AA101C"/>
    <w:rsid w:val="67AAFFA2"/>
    <w:rsid w:val="67AB9BF0"/>
    <w:rsid w:val="67AC9393"/>
    <w:rsid w:val="67ACA497"/>
    <w:rsid w:val="67ADB23F"/>
    <w:rsid w:val="67B02609"/>
    <w:rsid w:val="67B0F14D"/>
    <w:rsid w:val="67B2AE02"/>
    <w:rsid w:val="67B5A9B0"/>
    <w:rsid w:val="67B60145"/>
    <w:rsid w:val="67B6D661"/>
    <w:rsid w:val="67B6E390"/>
    <w:rsid w:val="67BFDCBE"/>
    <w:rsid w:val="67C17744"/>
    <w:rsid w:val="67C1A046"/>
    <w:rsid w:val="67C1AB75"/>
    <w:rsid w:val="67C4B578"/>
    <w:rsid w:val="67C963B5"/>
    <w:rsid w:val="67CAD3AB"/>
    <w:rsid w:val="67CAF452"/>
    <w:rsid w:val="67CB2DE7"/>
    <w:rsid w:val="67D023AE"/>
    <w:rsid w:val="67D80259"/>
    <w:rsid w:val="67D91DD3"/>
    <w:rsid w:val="67D99551"/>
    <w:rsid w:val="67D9DE1D"/>
    <w:rsid w:val="67DB3784"/>
    <w:rsid w:val="67DCEC23"/>
    <w:rsid w:val="67DE6469"/>
    <w:rsid w:val="67E12908"/>
    <w:rsid w:val="67E1432C"/>
    <w:rsid w:val="67E85A30"/>
    <w:rsid w:val="67EA1E96"/>
    <w:rsid w:val="67EAF8BA"/>
    <w:rsid w:val="67F019E6"/>
    <w:rsid w:val="67F0FF6B"/>
    <w:rsid w:val="67F179B6"/>
    <w:rsid w:val="67F4657F"/>
    <w:rsid w:val="67F6ADD3"/>
    <w:rsid w:val="67F90514"/>
    <w:rsid w:val="67F9AB55"/>
    <w:rsid w:val="67FB3FA9"/>
    <w:rsid w:val="67FFC651"/>
    <w:rsid w:val="68054235"/>
    <w:rsid w:val="6807FBD5"/>
    <w:rsid w:val="68087A11"/>
    <w:rsid w:val="680BA089"/>
    <w:rsid w:val="680EB20F"/>
    <w:rsid w:val="680F0F06"/>
    <w:rsid w:val="680F2E23"/>
    <w:rsid w:val="6811A4B6"/>
    <w:rsid w:val="6813881E"/>
    <w:rsid w:val="68146B40"/>
    <w:rsid w:val="681762E4"/>
    <w:rsid w:val="6817A45C"/>
    <w:rsid w:val="68185237"/>
    <w:rsid w:val="6818A3AD"/>
    <w:rsid w:val="6818F0B2"/>
    <w:rsid w:val="681C384B"/>
    <w:rsid w:val="681D50BC"/>
    <w:rsid w:val="681EDC8C"/>
    <w:rsid w:val="681EF24F"/>
    <w:rsid w:val="68209E50"/>
    <w:rsid w:val="68262E98"/>
    <w:rsid w:val="6828258B"/>
    <w:rsid w:val="68299758"/>
    <w:rsid w:val="682997DA"/>
    <w:rsid w:val="682AE72C"/>
    <w:rsid w:val="682B90F6"/>
    <w:rsid w:val="682DC531"/>
    <w:rsid w:val="683303A1"/>
    <w:rsid w:val="6835058C"/>
    <w:rsid w:val="6835B040"/>
    <w:rsid w:val="6836038A"/>
    <w:rsid w:val="68395E9F"/>
    <w:rsid w:val="683B0D92"/>
    <w:rsid w:val="683EE04D"/>
    <w:rsid w:val="68422ED6"/>
    <w:rsid w:val="6842FF44"/>
    <w:rsid w:val="6845BD8D"/>
    <w:rsid w:val="6845D68B"/>
    <w:rsid w:val="6847B39F"/>
    <w:rsid w:val="6847F789"/>
    <w:rsid w:val="68493C02"/>
    <w:rsid w:val="684966F6"/>
    <w:rsid w:val="684A208E"/>
    <w:rsid w:val="684AA73F"/>
    <w:rsid w:val="684D96C1"/>
    <w:rsid w:val="684F7B99"/>
    <w:rsid w:val="68558E90"/>
    <w:rsid w:val="68590D0F"/>
    <w:rsid w:val="685A0A2B"/>
    <w:rsid w:val="685C7191"/>
    <w:rsid w:val="685D582A"/>
    <w:rsid w:val="685E30F2"/>
    <w:rsid w:val="68626F50"/>
    <w:rsid w:val="686270BA"/>
    <w:rsid w:val="68641462"/>
    <w:rsid w:val="686680E2"/>
    <w:rsid w:val="68684987"/>
    <w:rsid w:val="686A0BAF"/>
    <w:rsid w:val="686A4572"/>
    <w:rsid w:val="686B3B86"/>
    <w:rsid w:val="686CCB53"/>
    <w:rsid w:val="686E44BC"/>
    <w:rsid w:val="687269E1"/>
    <w:rsid w:val="68737706"/>
    <w:rsid w:val="68799FE2"/>
    <w:rsid w:val="687B5418"/>
    <w:rsid w:val="687C526D"/>
    <w:rsid w:val="687E9D33"/>
    <w:rsid w:val="688059F9"/>
    <w:rsid w:val="6880DF0F"/>
    <w:rsid w:val="6885B1E8"/>
    <w:rsid w:val="6889B47C"/>
    <w:rsid w:val="688FAA6D"/>
    <w:rsid w:val="689316FD"/>
    <w:rsid w:val="6893C4F1"/>
    <w:rsid w:val="6895A5E5"/>
    <w:rsid w:val="6896AA23"/>
    <w:rsid w:val="6899AF21"/>
    <w:rsid w:val="689CDA39"/>
    <w:rsid w:val="68A1BAB3"/>
    <w:rsid w:val="68A5E133"/>
    <w:rsid w:val="68A61092"/>
    <w:rsid w:val="68A9C649"/>
    <w:rsid w:val="68A9D155"/>
    <w:rsid w:val="68AA0D0E"/>
    <w:rsid w:val="68AB3CFB"/>
    <w:rsid w:val="68AC7C6D"/>
    <w:rsid w:val="68AD889B"/>
    <w:rsid w:val="68B09D67"/>
    <w:rsid w:val="68B778E6"/>
    <w:rsid w:val="68C56E4E"/>
    <w:rsid w:val="68C5CBC3"/>
    <w:rsid w:val="68C86271"/>
    <w:rsid w:val="68C91B56"/>
    <w:rsid w:val="68CE0654"/>
    <w:rsid w:val="68CE1B25"/>
    <w:rsid w:val="68D07F42"/>
    <w:rsid w:val="68D1F4A5"/>
    <w:rsid w:val="68D23B95"/>
    <w:rsid w:val="68D70B07"/>
    <w:rsid w:val="68DB46E8"/>
    <w:rsid w:val="68E1984B"/>
    <w:rsid w:val="68E322F2"/>
    <w:rsid w:val="68E3B79F"/>
    <w:rsid w:val="68E489C6"/>
    <w:rsid w:val="68EC7DEF"/>
    <w:rsid w:val="68EEC6DF"/>
    <w:rsid w:val="68F0AB8D"/>
    <w:rsid w:val="68F2D44C"/>
    <w:rsid w:val="68F3211A"/>
    <w:rsid w:val="68F5B60F"/>
    <w:rsid w:val="68F5C6E0"/>
    <w:rsid w:val="68F64EB2"/>
    <w:rsid w:val="68F692D9"/>
    <w:rsid w:val="68F6A1A6"/>
    <w:rsid w:val="68F6F833"/>
    <w:rsid w:val="68F7C64B"/>
    <w:rsid w:val="68FAC3EA"/>
    <w:rsid w:val="69012979"/>
    <w:rsid w:val="69037714"/>
    <w:rsid w:val="69038698"/>
    <w:rsid w:val="69041972"/>
    <w:rsid w:val="69045791"/>
    <w:rsid w:val="690567A9"/>
    <w:rsid w:val="690B1AF6"/>
    <w:rsid w:val="690B683B"/>
    <w:rsid w:val="690BEBFB"/>
    <w:rsid w:val="690DE446"/>
    <w:rsid w:val="690DFDCE"/>
    <w:rsid w:val="69107D21"/>
    <w:rsid w:val="691110C9"/>
    <w:rsid w:val="69139CB5"/>
    <w:rsid w:val="6915831A"/>
    <w:rsid w:val="69180349"/>
    <w:rsid w:val="69196C35"/>
    <w:rsid w:val="6919C737"/>
    <w:rsid w:val="6919E71D"/>
    <w:rsid w:val="691A040C"/>
    <w:rsid w:val="691B2B27"/>
    <w:rsid w:val="691C5E37"/>
    <w:rsid w:val="691CEB2A"/>
    <w:rsid w:val="6920ABBB"/>
    <w:rsid w:val="69225D1E"/>
    <w:rsid w:val="6925673C"/>
    <w:rsid w:val="6925BEB2"/>
    <w:rsid w:val="6928717E"/>
    <w:rsid w:val="69299FE1"/>
    <w:rsid w:val="6929F28C"/>
    <w:rsid w:val="692B25BB"/>
    <w:rsid w:val="692C07EB"/>
    <w:rsid w:val="692D4AF1"/>
    <w:rsid w:val="692EF2D2"/>
    <w:rsid w:val="692F2A8D"/>
    <w:rsid w:val="6930D4D2"/>
    <w:rsid w:val="6930F354"/>
    <w:rsid w:val="6931C6B6"/>
    <w:rsid w:val="69326C9D"/>
    <w:rsid w:val="69331A22"/>
    <w:rsid w:val="69362517"/>
    <w:rsid w:val="6938852F"/>
    <w:rsid w:val="6939AE4C"/>
    <w:rsid w:val="693AAAEF"/>
    <w:rsid w:val="693CF27D"/>
    <w:rsid w:val="693D0423"/>
    <w:rsid w:val="693D230E"/>
    <w:rsid w:val="693D376D"/>
    <w:rsid w:val="693F1E76"/>
    <w:rsid w:val="69427580"/>
    <w:rsid w:val="69435F15"/>
    <w:rsid w:val="69453773"/>
    <w:rsid w:val="69475CF0"/>
    <w:rsid w:val="6947B23E"/>
    <w:rsid w:val="69491184"/>
    <w:rsid w:val="694F12A4"/>
    <w:rsid w:val="695023C3"/>
    <w:rsid w:val="6951AE19"/>
    <w:rsid w:val="69562B4D"/>
    <w:rsid w:val="69596B59"/>
    <w:rsid w:val="695B9111"/>
    <w:rsid w:val="695E494F"/>
    <w:rsid w:val="695F0C51"/>
    <w:rsid w:val="696321D8"/>
    <w:rsid w:val="696790F1"/>
    <w:rsid w:val="6967DFF2"/>
    <w:rsid w:val="696F2AF4"/>
    <w:rsid w:val="696F8373"/>
    <w:rsid w:val="69722A54"/>
    <w:rsid w:val="6973929F"/>
    <w:rsid w:val="6973DA3C"/>
    <w:rsid w:val="6976480C"/>
    <w:rsid w:val="69766DA4"/>
    <w:rsid w:val="6976CAA3"/>
    <w:rsid w:val="6977611F"/>
    <w:rsid w:val="6977DEE6"/>
    <w:rsid w:val="6978F359"/>
    <w:rsid w:val="697C6207"/>
    <w:rsid w:val="6980A3B7"/>
    <w:rsid w:val="6982F8C3"/>
    <w:rsid w:val="69850EE6"/>
    <w:rsid w:val="69897015"/>
    <w:rsid w:val="698A46EB"/>
    <w:rsid w:val="698AE910"/>
    <w:rsid w:val="698C4508"/>
    <w:rsid w:val="698C624D"/>
    <w:rsid w:val="698CC599"/>
    <w:rsid w:val="698CE84B"/>
    <w:rsid w:val="69934B64"/>
    <w:rsid w:val="6998A5E9"/>
    <w:rsid w:val="6998CC07"/>
    <w:rsid w:val="69997E67"/>
    <w:rsid w:val="6999E508"/>
    <w:rsid w:val="699D1DB7"/>
    <w:rsid w:val="69A06CE1"/>
    <w:rsid w:val="69A1F91B"/>
    <w:rsid w:val="69A44A72"/>
    <w:rsid w:val="69A5DEE7"/>
    <w:rsid w:val="69A81763"/>
    <w:rsid w:val="69B00649"/>
    <w:rsid w:val="69B05C6B"/>
    <w:rsid w:val="69B0C422"/>
    <w:rsid w:val="69B4B4ED"/>
    <w:rsid w:val="69B66062"/>
    <w:rsid w:val="69B8546D"/>
    <w:rsid w:val="69BB9CAF"/>
    <w:rsid w:val="69C083B5"/>
    <w:rsid w:val="69C1357C"/>
    <w:rsid w:val="69C25D86"/>
    <w:rsid w:val="69C2E636"/>
    <w:rsid w:val="69C2F976"/>
    <w:rsid w:val="69C37309"/>
    <w:rsid w:val="69C47121"/>
    <w:rsid w:val="69C69A24"/>
    <w:rsid w:val="69C71998"/>
    <w:rsid w:val="69C7BF85"/>
    <w:rsid w:val="69C9260F"/>
    <w:rsid w:val="69CA2821"/>
    <w:rsid w:val="69CC323F"/>
    <w:rsid w:val="69CEF02A"/>
    <w:rsid w:val="69CF4D1D"/>
    <w:rsid w:val="69CFC662"/>
    <w:rsid w:val="69CFDE04"/>
    <w:rsid w:val="69D08DBC"/>
    <w:rsid w:val="69D365EB"/>
    <w:rsid w:val="69D400D1"/>
    <w:rsid w:val="69D46738"/>
    <w:rsid w:val="69D91070"/>
    <w:rsid w:val="69DA5543"/>
    <w:rsid w:val="69DCD7D4"/>
    <w:rsid w:val="69DD1843"/>
    <w:rsid w:val="69DD8E0F"/>
    <w:rsid w:val="69DE270F"/>
    <w:rsid w:val="69DE67D1"/>
    <w:rsid w:val="69DE89DF"/>
    <w:rsid w:val="69E12658"/>
    <w:rsid w:val="69E1A53F"/>
    <w:rsid w:val="69E1A99F"/>
    <w:rsid w:val="69E477DD"/>
    <w:rsid w:val="69E9248B"/>
    <w:rsid w:val="69E9CE1F"/>
    <w:rsid w:val="69EC942D"/>
    <w:rsid w:val="69ECD16C"/>
    <w:rsid w:val="69F12B91"/>
    <w:rsid w:val="69F20C57"/>
    <w:rsid w:val="69F21306"/>
    <w:rsid w:val="69F25F8A"/>
    <w:rsid w:val="69F6812F"/>
    <w:rsid w:val="69F68932"/>
    <w:rsid w:val="69F8AE9B"/>
    <w:rsid w:val="69F9D1F6"/>
    <w:rsid w:val="69FA8C07"/>
    <w:rsid w:val="69FB6BED"/>
    <w:rsid w:val="69FB9DF0"/>
    <w:rsid w:val="69FCA694"/>
    <w:rsid w:val="69FEEEE7"/>
    <w:rsid w:val="69FF69B4"/>
    <w:rsid w:val="6A01D1AA"/>
    <w:rsid w:val="6A059FBA"/>
    <w:rsid w:val="6A0D0CF4"/>
    <w:rsid w:val="6A0EC145"/>
    <w:rsid w:val="6A100DFA"/>
    <w:rsid w:val="6A119226"/>
    <w:rsid w:val="6A142159"/>
    <w:rsid w:val="6A1498D8"/>
    <w:rsid w:val="6A14B1B3"/>
    <w:rsid w:val="6A1705A7"/>
    <w:rsid w:val="6A190BD3"/>
    <w:rsid w:val="6A19FBDB"/>
    <w:rsid w:val="6A2765AD"/>
    <w:rsid w:val="6A289682"/>
    <w:rsid w:val="6A2938F4"/>
    <w:rsid w:val="6A29769F"/>
    <w:rsid w:val="6A2AEC7B"/>
    <w:rsid w:val="6A2B6E5C"/>
    <w:rsid w:val="6A2BC45E"/>
    <w:rsid w:val="6A2D252B"/>
    <w:rsid w:val="6A2DF6DD"/>
    <w:rsid w:val="6A3153E8"/>
    <w:rsid w:val="6A335A0F"/>
    <w:rsid w:val="6A338CD8"/>
    <w:rsid w:val="6A37DEC0"/>
    <w:rsid w:val="6A38287A"/>
    <w:rsid w:val="6A3A54DE"/>
    <w:rsid w:val="6A3CB311"/>
    <w:rsid w:val="6A3D16AF"/>
    <w:rsid w:val="6A3D6CD1"/>
    <w:rsid w:val="6A40348E"/>
    <w:rsid w:val="6A40953A"/>
    <w:rsid w:val="6A43C4F6"/>
    <w:rsid w:val="6A4564CA"/>
    <w:rsid w:val="6A475187"/>
    <w:rsid w:val="6A47AF16"/>
    <w:rsid w:val="6A483704"/>
    <w:rsid w:val="6A49FF31"/>
    <w:rsid w:val="6A4CC68B"/>
    <w:rsid w:val="6A4D5835"/>
    <w:rsid w:val="6A4ECBD5"/>
    <w:rsid w:val="6A5050A1"/>
    <w:rsid w:val="6A50F840"/>
    <w:rsid w:val="6A523995"/>
    <w:rsid w:val="6A5364B2"/>
    <w:rsid w:val="6A53CD23"/>
    <w:rsid w:val="6A5539F1"/>
    <w:rsid w:val="6A55A356"/>
    <w:rsid w:val="6A564A65"/>
    <w:rsid w:val="6A5684AB"/>
    <w:rsid w:val="6A58838B"/>
    <w:rsid w:val="6A608A39"/>
    <w:rsid w:val="6A644F4E"/>
    <w:rsid w:val="6A67030E"/>
    <w:rsid w:val="6A68AD26"/>
    <w:rsid w:val="6A69AAD7"/>
    <w:rsid w:val="6A6B1FEA"/>
    <w:rsid w:val="6A6B33AF"/>
    <w:rsid w:val="6A6B9F8B"/>
    <w:rsid w:val="6A6C672A"/>
    <w:rsid w:val="6A6CB793"/>
    <w:rsid w:val="6A72012F"/>
    <w:rsid w:val="6A75FCD1"/>
    <w:rsid w:val="6A762B52"/>
    <w:rsid w:val="6A7B1F62"/>
    <w:rsid w:val="6A7B945C"/>
    <w:rsid w:val="6A7CFE39"/>
    <w:rsid w:val="6A7D4937"/>
    <w:rsid w:val="6A7F0687"/>
    <w:rsid w:val="6A826E53"/>
    <w:rsid w:val="6A838B7A"/>
    <w:rsid w:val="6A877322"/>
    <w:rsid w:val="6A8B7D09"/>
    <w:rsid w:val="6A8C259C"/>
    <w:rsid w:val="6A8DBB8C"/>
    <w:rsid w:val="6A8ED39B"/>
    <w:rsid w:val="6A91EC66"/>
    <w:rsid w:val="6A93D8D0"/>
    <w:rsid w:val="6A94824B"/>
    <w:rsid w:val="6A963211"/>
    <w:rsid w:val="6A98D83E"/>
    <w:rsid w:val="6A9A83F4"/>
    <w:rsid w:val="6A9B7D7A"/>
    <w:rsid w:val="6A9BEB39"/>
    <w:rsid w:val="6AA2E04A"/>
    <w:rsid w:val="6AA4DB7D"/>
    <w:rsid w:val="6AA8009F"/>
    <w:rsid w:val="6AA8F818"/>
    <w:rsid w:val="6AAE9751"/>
    <w:rsid w:val="6AB11B30"/>
    <w:rsid w:val="6AB2B7F1"/>
    <w:rsid w:val="6AB7541E"/>
    <w:rsid w:val="6AB7E306"/>
    <w:rsid w:val="6AB87936"/>
    <w:rsid w:val="6AB8A0BD"/>
    <w:rsid w:val="6AB95137"/>
    <w:rsid w:val="6ABBE50B"/>
    <w:rsid w:val="6AC2BD2A"/>
    <w:rsid w:val="6AC3E133"/>
    <w:rsid w:val="6AC4ABD6"/>
    <w:rsid w:val="6AC4E662"/>
    <w:rsid w:val="6AC59BB8"/>
    <w:rsid w:val="6AC8DBBC"/>
    <w:rsid w:val="6ACA42DC"/>
    <w:rsid w:val="6ACBAD60"/>
    <w:rsid w:val="6ACE85C6"/>
    <w:rsid w:val="6ACFE04A"/>
    <w:rsid w:val="6AD3A154"/>
    <w:rsid w:val="6AD6E467"/>
    <w:rsid w:val="6AD74559"/>
    <w:rsid w:val="6AD7A97A"/>
    <w:rsid w:val="6AD8CBFC"/>
    <w:rsid w:val="6AD9B0CB"/>
    <w:rsid w:val="6ADD2AD0"/>
    <w:rsid w:val="6ADE873F"/>
    <w:rsid w:val="6AE611CB"/>
    <w:rsid w:val="6AE9EFA1"/>
    <w:rsid w:val="6AEB1F7D"/>
    <w:rsid w:val="6AEC999F"/>
    <w:rsid w:val="6AECBA92"/>
    <w:rsid w:val="6AEF53A4"/>
    <w:rsid w:val="6AF1210A"/>
    <w:rsid w:val="6AF294D6"/>
    <w:rsid w:val="6AF2F0C6"/>
    <w:rsid w:val="6AF6941F"/>
    <w:rsid w:val="6AF73722"/>
    <w:rsid w:val="6AF74574"/>
    <w:rsid w:val="6AF827C0"/>
    <w:rsid w:val="6AF8EB74"/>
    <w:rsid w:val="6AF9AD4E"/>
    <w:rsid w:val="6AFD4C92"/>
    <w:rsid w:val="6AFD6AD3"/>
    <w:rsid w:val="6AFFF154"/>
    <w:rsid w:val="6B011C3A"/>
    <w:rsid w:val="6B043769"/>
    <w:rsid w:val="6B046B2F"/>
    <w:rsid w:val="6B09297F"/>
    <w:rsid w:val="6B09B63C"/>
    <w:rsid w:val="6B0A1C40"/>
    <w:rsid w:val="6B0A99CC"/>
    <w:rsid w:val="6B0CA3C7"/>
    <w:rsid w:val="6B0F01EA"/>
    <w:rsid w:val="6B0FEB48"/>
    <w:rsid w:val="6B1689A9"/>
    <w:rsid w:val="6B16DCE7"/>
    <w:rsid w:val="6B180641"/>
    <w:rsid w:val="6B18842E"/>
    <w:rsid w:val="6B1963E6"/>
    <w:rsid w:val="6B199367"/>
    <w:rsid w:val="6B1A33AD"/>
    <w:rsid w:val="6B1AA102"/>
    <w:rsid w:val="6B1BDB99"/>
    <w:rsid w:val="6B1C98B6"/>
    <w:rsid w:val="6B1D2D27"/>
    <w:rsid w:val="6B21B260"/>
    <w:rsid w:val="6B287742"/>
    <w:rsid w:val="6B2A3A80"/>
    <w:rsid w:val="6B31AA04"/>
    <w:rsid w:val="6B3C04FB"/>
    <w:rsid w:val="6B3CFBAA"/>
    <w:rsid w:val="6B3ECB7D"/>
    <w:rsid w:val="6B3ECF3D"/>
    <w:rsid w:val="6B432DEC"/>
    <w:rsid w:val="6B439FA4"/>
    <w:rsid w:val="6B482C59"/>
    <w:rsid w:val="6B4B28E0"/>
    <w:rsid w:val="6B4B86E2"/>
    <w:rsid w:val="6B4E3F72"/>
    <w:rsid w:val="6B50B275"/>
    <w:rsid w:val="6B53E935"/>
    <w:rsid w:val="6B5A8FD1"/>
    <w:rsid w:val="6B5B0AE8"/>
    <w:rsid w:val="6B5CE738"/>
    <w:rsid w:val="6B5D0DB8"/>
    <w:rsid w:val="6B6469D4"/>
    <w:rsid w:val="6B64F18A"/>
    <w:rsid w:val="6B6AAC47"/>
    <w:rsid w:val="6B6C5F2A"/>
    <w:rsid w:val="6B6E4B33"/>
    <w:rsid w:val="6B6E6886"/>
    <w:rsid w:val="6B75B115"/>
    <w:rsid w:val="6B786034"/>
    <w:rsid w:val="6B7ADA5E"/>
    <w:rsid w:val="6B7B3143"/>
    <w:rsid w:val="6B7C2231"/>
    <w:rsid w:val="6B7F2C29"/>
    <w:rsid w:val="6B7F57B5"/>
    <w:rsid w:val="6B822B78"/>
    <w:rsid w:val="6B83830F"/>
    <w:rsid w:val="6B89A15C"/>
    <w:rsid w:val="6B8A0119"/>
    <w:rsid w:val="6B8B6983"/>
    <w:rsid w:val="6B8E8BD7"/>
    <w:rsid w:val="6B8EF0DF"/>
    <w:rsid w:val="6B9046E5"/>
    <w:rsid w:val="6B92294C"/>
    <w:rsid w:val="6B940BA2"/>
    <w:rsid w:val="6B9630C2"/>
    <w:rsid w:val="6B9838C3"/>
    <w:rsid w:val="6B9B971B"/>
    <w:rsid w:val="6B9F7B5E"/>
    <w:rsid w:val="6BA20649"/>
    <w:rsid w:val="6BA46637"/>
    <w:rsid w:val="6BA4BA53"/>
    <w:rsid w:val="6BA4F818"/>
    <w:rsid w:val="6BAAA12F"/>
    <w:rsid w:val="6BAE126C"/>
    <w:rsid w:val="6BAE126F"/>
    <w:rsid w:val="6BB0A2B2"/>
    <w:rsid w:val="6BB0ED46"/>
    <w:rsid w:val="6BB2E0FE"/>
    <w:rsid w:val="6BB487D8"/>
    <w:rsid w:val="6BB512BE"/>
    <w:rsid w:val="6BB78CB5"/>
    <w:rsid w:val="6BB7DA25"/>
    <w:rsid w:val="6BB91B23"/>
    <w:rsid w:val="6BB92D7E"/>
    <w:rsid w:val="6BBAA06F"/>
    <w:rsid w:val="6BBCBF27"/>
    <w:rsid w:val="6BBD1A69"/>
    <w:rsid w:val="6BBF8BC8"/>
    <w:rsid w:val="6BBFD057"/>
    <w:rsid w:val="6BC0D46C"/>
    <w:rsid w:val="6BC13963"/>
    <w:rsid w:val="6BC1A4A8"/>
    <w:rsid w:val="6BC1BD5B"/>
    <w:rsid w:val="6BC1F67B"/>
    <w:rsid w:val="6BC4F5C9"/>
    <w:rsid w:val="6BC88C82"/>
    <w:rsid w:val="6BC9F70E"/>
    <w:rsid w:val="6BCBE733"/>
    <w:rsid w:val="6BCC26B7"/>
    <w:rsid w:val="6BD02D45"/>
    <w:rsid w:val="6BD64F90"/>
    <w:rsid w:val="6BD6BB94"/>
    <w:rsid w:val="6BE0476F"/>
    <w:rsid w:val="6BE3944C"/>
    <w:rsid w:val="6BE7E56C"/>
    <w:rsid w:val="6BEACA68"/>
    <w:rsid w:val="6BEAD2C3"/>
    <w:rsid w:val="6BEB026C"/>
    <w:rsid w:val="6BEBDEC4"/>
    <w:rsid w:val="6BEC9F8B"/>
    <w:rsid w:val="6BED55B2"/>
    <w:rsid w:val="6BED8D42"/>
    <w:rsid w:val="6BEEB582"/>
    <w:rsid w:val="6BEF4004"/>
    <w:rsid w:val="6BF0DC6D"/>
    <w:rsid w:val="6BF6F831"/>
    <w:rsid w:val="6BF79848"/>
    <w:rsid w:val="6BF8FB6C"/>
    <w:rsid w:val="6BF9899D"/>
    <w:rsid w:val="6BFA5336"/>
    <w:rsid w:val="6BFE77C6"/>
    <w:rsid w:val="6C0121D2"/>
    <w:rsid w:val="6C06EE27"/>
    <w:rsid w:val="6C079494"/>
    <w:rsid w:val="6C0A25C4"/>
    <w:rsid w:val="6C0B1789"/>
    <w:rsid w:val="6C0DDF62"/>
    <w:rsid w:val="6C135E34"/>
    <w:rsid w:val="6C154550"/>
    <w:rsid w:val="6C1870B9"/>
    <w:rsid w:val="6C19F443"/>
    <w:rsid w:val="6C1B7DDE"/>
    <w:rsid w:val="6C1C7E0E"/>
    <w:rsid w:val="6C1CCEF6"/>
    <w:rsid w:val="6C1E071B"/>
    <w:rsid w:val="6C1E90A2"/>
    <w:rsid w:val="6C20669E"/>
    <w:rsid w:val="6C21A56B"/>
    <w:rsid w:val="6C22BDF1"/>
    <w:rsid w:val="6C2367C7"/>
    <w:rsid w:val="6C2492E8"/>
    <w:rsid w:val="6C2515F1"/>
    <w:rsid w:val="6C256091"/>
    <w:rsid w:val="6C2A3BA3"/>
    <w:rsid w:val="6C2B0430"/>
    <w:rsid w:val="6C2B299D"/>
    <w:rsid w:val="6C2BB5E6"/>
    <w:rsid w:val="6C2C21D1"/>
    <w:rsid w:val="6C2C7017"/>
    <w:rsid w:val="6C301F4D"/>
    <w:rsid w:val="6C313A7E"/>
    <w:rsid w:val="6C3652CF"/>
    <w:rsid w:val="6C36E48D"/>
    <w:rsid w:val="6C3709D8"/>
    <w:rsid w:val="6C397DD0"/>
    <w:rsid w:val="6C39DE00"/>
    <w:rsid w:val="6C3F7BFE"/>
    <w:rsid w:val="6C3FAA89"/>
    <w:rsid w:val="6C4023C3"/>
    <w:rsid w:val="6C441481"/>
    <w:rsid w:val="6C4423EF"/>
    <w:rsid w:val="6C451CCA"/>
    <w:rsid w:val="6C478170"/>
    <w:rsid w:val="6C4D44FD"/>
    <w:rsid w:val="6C4E943B"/>
    <w:rsid w:val="6C4F646F"/>
    <w:rsid w:val="6C4F8223"/>
    <w:rsid w:val="6C500984"/>
    <w:rsid w:val="6C52A48C"/>
    <w:rsid w:val="6C5357BA"/>
    <w:rsid w:val="6C5486D7"/>
    <w:rsid w:val="6C553BEB"/>
    <w:rsid w:val="6C55B42D"/>
    <w:rsid w:val="6C5848A7"/>
    <w:rsid w:val="6C58D41D"/>
    <w:rsid w:val="6C59C9AA"/>
    <w:rsid w:val="6C5BF3C3"/>
    <w:rsid w:val="6C5C6605"/>
    <w:rsid w:val="6C5CC9B5"/>
    <w:rsid w:val="6C5CCC38"/>
    <w:rsid w:val="6C5D9945"/>
    <w:rsid w:val="6C5E40A1"/>
    <w:rsid w:val="6C61976D"/>
    <w:rsid w:val="6C622D9A"/>
    <w:rsid w:val="6C6328C9"/>
    <w:rsid w:val="6C656B51"/>
    <w:rsid w:val="6C672353"/>
    <w:rsid w:val="6C6CBD93"/>
    <w:rsid w:val="6C6FD6D9"/>
    <w:rsid w:val="6C702552"/>
    <w:rsid w:val="6C70358E"/>
    <w:rsid w:val="6C71E02E"/>
    <w:rsid w:val="6C72B8B6"/>
    <w:rsid w:val="6C74BAB4"/>
    <w:rsid w:val="6C79311A"/>
    <w:rsid w:val="6C7A1DDA"/>
    <w:rsid w:val="6C7A860B"/>
    <w:rsid w:val="6C7BC525"/>
    <w:rsid w:val="6C7BDF0D"/>
    <w:rsid w:val="6C7C66A7"/>
    <w:rsid w:val="6C7E56B0"/>
    <w:rsid w:val="6C8092A5"/>
    <w:rsid w:val="6C8119D8"/>
    <w:rsid w:val="6C8976F7"/>
    <w:rsid w:val="6C89A4DD"/>
    <w:rsid w:val="6C8AFAAC"/>
    <w:rsid w:val="6C8C229E"/>
    <w:rsid w:val="6C8D0C96"/>
    <w:rsid w:val="6C8D60A4"/>
    <w:rsid w:val="6C8D8FE7"/>
    <w:rsid w:val="6C8F8FC8"/>
    <w:rsid w:val="6C90C3C1"/>
    <w:rsid w:val="6C92B574"/>
    <w:rsid w:val="6C92F5F1"/>
    <w:rsid w:val="6C951E27"/>
    <w:rsid w:val="6C960079"/>
    <w:rsid w:val="6C9B6BF5"/>
    <w:rsid w:val="6C9BE930"/>
    <w:rsid w:val="6CA7D4B4"/>
    <w:rsid w:val="6CA8D6F2"/>
    <w:rsid w:val="6CA95A35"/>
    <w:rsid w:val="6CAB785F"/>
    <w:rsid w:val="6CAD4300"/>
    <w:rsid w:val="6CAD7BAD"/>
    <w:rsid w:val="6CADC5EF"/>
    <w:rsid w:val="6CAE5FBF"/>
    <w:rsid w:val="6CAF78D1"/>
    <w:rsid w:val="6CAFE451"/>
    <w:rsid w:val="6CB04E6A"/>
    <w:rsid w:val="6CB0C923"/>
    <w:rsid w:val="6CB178FF"/>
    <w:rsid w:val="6CB22C26"/>
    <w:rsid w:val="6CB3C243"/>
    <w:rsid w:val="6CB4E091"/>
    <w:rsid w:val="6CB53ACF"/>
    <w:rsid w:val="6CB6CD8A"/>
    <w:rsid w:val="6CB90B17"/>
    <w:rsid w:val="6CBAEAA9"/>
    <w:rsid w:val="6CBBCC09"/>
    <w:rsid w:val="6CBD9B5C"/>
    <w:rsid w:val="6CBE61C7"/>
    <w:rsid w:val="6CBF01A5"/>
    <w:rsid w:val="6CC1C5C8"/>
    <w:rsid w:val="6CC53CA8"/>
    <w:rsid w:val="6CC5624A"/>
    <w:rsid w:val="6CC7D6E5"/>
    <w:rsid w:val="6CCB7835"/>
    <w:rsid w:val="6CCCAD35"/>
    <w:rsid w:val="6CCCF90B"/>
    <w:rsid w:val="6CCD271C"/>
    <w:rsid w:val="6CCE6D28"/>
    <w:rsid w:val="6CD16148"/>
    <w:rsid w:val="6CD29CE8"/>
    <w:rsid w:val="6CD47530"/>
    <w:rsid w:val="6CD9C324"/>
    <w:rsid w:val="6CD9DE23"/>
    <w:rsid w:val="6CDB629A"/>
    <w:rsid w:val="6CDBB199"/>
    <w:rsid w:val="6CE25254"/>
    <w:rsid w:val="6CE65F13"/>
    <w:rsid w:val="6CE68193"/>
    <w:rsid w:val="6CEB5430"/>
    <w:rsid w:val="6CEBA57B"/>
    <w:rsid w:val="6CEBCC9A"/>
    <w:rsid w:val="6CF0731D"/>
    <w:rsid w:val="6CF2EFB3"/>
    <w:rsid w:val="6CF45B13"/>
    <w:rsid w:val="6CF4CF3E"/>
    <w:rsid w:val="6CF78490"/>
    <w:rsid w:val="6CF94034"/>
    <w:rsid w:val="6CFA5A54"/>
    <w:rsid w:val="6CFA7A94"/>
    <w:rsid w:val="6CFB1AE2"/>
    <w:rsid w:val="6CFB511B"/>
    <w:rsid w:val="6CFE10BE"/>
    <w:rsid w:val="6CFE33B1"/>
    <w:rsid w:val="6CFF30E0"/>
    <w:rsid w:val="6D03D293"/>
    <w:rsid w:val="6D06CA2F"/>
    <w:rsid w:val="6D0AD394"/>
    <w:rsid w:val="6D0FFADC"/>
    <w:rsid w:val="6D1170A4"/>
    <w:rsid w:val="6D130AFD"/>
    <w:rsid w:val="6D142964"/>
    <w:rsid w:val="6D143729"/>
    <w:rsid w:val="6D163940"/>
    <w:rsid w:val="6D192EE4"/>
    <w:rsid w:val="6D19C63D"/>
    <w:rsid w:val="6D19DE17"/>
    <w:rsid w:val="6D1BBAEF"/>
    <w:rsid w:val="6D1EA543"/>
    <w:rsid w:val="6D1F57F1"/>
    <w:rsid w:val="6D210E0C"/>
    <w:rsid w:val="6D210F71"/>
    <w:rsid w:val="6D236E74"/>
    <w:rsid w:val="6D258020"/>
    <w:rsid w:val="6D25BB9E"/>
    <w:rsid w:val="6D2AABF7"/>
    <w:rsid w:val="6D2D392E"/>
    <w:rsid w:val="6D2DD69D"/>
    <w:rsid w:val="6D31E9EE"/>
    <w:rsid w:val="6D340844"/>
    <w:rsid w:val="6D351BF2"/>
    <w:rsid w:val="6D37F4BA"/>
    <w:rsid w:val="6D3AD7CF"/>
    <w:rsid w:val="6D3ECF31"/>
    <w:rsid w:val="6D3F8C7B"/>
    <w:rsid w:val="6D3FC02E"/>
    <w:rsid w:val="6D434718"/>
    <w:rsid w:val="6D446243"/>
    <w:rsid w:val="6D45E9A5"/>
    <w:rsid w:val="6D46AD41"/>
    <w:rsid w:val="6D470FC5"/>
    <w:rsid w:val="6D49A6CE"/>
    <w:rsid w:val="6D4A7589"/>
    <w:rsid w:val="6D4BED9F"/>
    <w:rsid w:val="6D4F8B9B"/>
    <w:rsid w:val="6D4FD829"/>
    <w:rsid w:val="6D5139D4"/>
    <w:rsid w:val="6D52BBFC"/>
    <w:rsid w:val="6D53A15A"/>
    <w:rsid w:val="6D53DCB8"/>
    <w:rsid w:val="6D560D14"/>
    <w:rsid w:val="6D58840C"/>
    <w:rsid w:val="6D59D1F1"/>
    <w:rsid w:val="6D5A6B61"/>
    <w:rsid w:val="6D646940"/>
    <w:rsid w:val="6D649202"/>
    <w:rsid w:val="6D655C6B"/>
    <w:rsid w:val="6D66728D"/>
    <w:rsid w:val="6D678A8C"/>
    <w:rsid w:val="6D67F718"/>
    <w:rsid w:val="6D6F6094"/>
    <w:rsid w:val="6D70D246"/>
    <w:rsid w:val="6D719E61"/>
    <w:rsid w:val="6D758488"/>
    <w:rsid w:val="6D77D3C6"/>
    <w:rsid w:val="6D780385"/>
    <w:rsid w:val="6D7A3C0D"/>
    <w:rsid w:val="6D7E6632"/>
    <w:rsid w:val="6D7F0887"/>
    <w:rsid w:val="6D7F5F68"/>
    <w:rsid w:val="6D80360C"/>
    <w:rsid w:val="6D84AD70"/>
    <w:rsid w:val="6D856BD5"/>
    <w:rsid w:val="6D87AF25"/>
    <w:rsid w:val="6D89A19B"/>
    <w:rsid w:val="6D8B6200"/>
    <w:rsid w:val="6D90DF08"/>
    <w:rsid w:val="6D95A231"/>
    <w:rsid w:val="6D9764BE"/>
    <w:rsid w:val="6D9773C8"/>
    <w:rsid w:val="6D989EE7"/>
    <w:rsid w:val="6D9948C4"/>
    <w:rsid w:val="6D9B232D"/>
    <w:rsid w:val="6D9B3F81"/>
    <w:rsid w:val="6D9CF211"/>
    <w:rsid w:val="6D9DD7AB"/>
    <w:rsid w:val="6D9EEDF6"/>
    <w:rsid w:val="6D9FFE2A"/>
    <w:rsid w:val="6DA4EF12"/>
    <w:rsid w:val="6DA62A37"/>
    <w:rsid w:val="6DA745DF"/>
    <w:rsid w:val="6DA8884C"/>
    <w:rsid w:val="6DAD33BF"/>
    <w:rsid w:val="6DADF4C9"/>
    <w:rsid w:val="6DAE9A86"/>
    <w:rsid w:val="6DAEDC3A"/>
    <w:rsid w:val="6DB2AF83"/>
    <w:rsid w:val="6DB786C5"/>
    <w:rsid w:val="6DB7EE8F"/>
    <w:rsid w:val="6DB9D7C0"/>
    <w:rsid w:val="6DBB26EC"/>
    <w:rsid w:val="6DBBCB84"/>
    <w:rsid w:val="6DBDDCCE"/>
    <w:rsid w:val="6DBF9505"/>
    <w:rsid w:val="6DC2B081"/>
    <w:rsid w:val="6DC2CC3F"/>
    <w:rsid w:val="6DC6A541"/>
    <w:rsid w:val="6DCB22CF"/>
    <w:rsid w:val="6DD08821"/>
    <w:rsid w:val="6DD0DC5F"/>
    <w:rsid w:val="6DD10F4F"/>
    <w:rsid w:val="6DD210B2"/>
    <w:rsid w:val="6DD32707"/>
    <w:rsid w:val="6DD39F88"/>
    <w:rsid w:val="6DD4F3DA"/>
    <w:rsid w:val="6DDA4B44"/>
    <w:rsid w:val="6DE098DA"/>
    <w:rsid w:val="6DE1AD3F"/>
    <w:rsid w:val="6DE3BC26"/>
    <w:rsid w:val="6DE57C36"/>
    <w:rsid w:val="6DEE5407"/>
    <w:rsid w:val="6DEEF484"/>
    <w:rsid w:val="6DEF7AB7"/>
    <w:rsid w:val="6DF0DE47"/>
    <w:rsid w:val="6DF2A1A3"/>
    <w:rsid w:val="6DF7ED95"/>
    <w:rsid w:val="6DF8CE8B"/>
    <w:rsid w:val="6DF8D6BE"/>
    <w:rsid w:val="6DFA64CC"/>
    <w:rsid w:val="6DFAC8D9"/>
    <w:rsid w:val="6DFC4748"/>
    <w:rsid w:val="6DFCAF28"/>
    <w:rsid w:val="6DFD3C7A"/>
    <w:rsid w:val="6DFD4A52"/>
    <w:rsid w:val="6DFDBE33"/>
    <w:rsid w:val="6E001ECE"/>
    <w:rsid w:val="6E004B21"/>
    <w:rsid w:val="6E0360A2"/>
    <w:rsid w:val="6E03EB86"/>
    <w:rsid w:val="6E07B2DF"/>
    <w:rsid w:val="6E091D46"/>
    <w:rsid w:val="6E10441D"/>
    <w:rsid w:val="6E10597C"/>
    <w:rsid w:val="6E106930"/>
    <w:rsid w:val="6E12389B"/>
    <w:rsid w:val="6E13AE70"/>
    <w:rsid w:val="6E14D626"/>
    <w:rsid w:val="6E14DC64"/>
    <w:rsid w:val="6E15700D"/>
    <w:rsid w:val="6E168421"/>
    <w:rsid w:val="6E1B99E2"/>
    <w:rsid w:val="6E1C54B0"/>
    <w:rsid w:val="6E1F11D9"/>
    <w:rsid w:val="6E1F533C"/>
    <w:rsid w:val="6E1F7B5F"/>
    <w:rsid w:val="6E223374"/>
    <w:rsid w:val="6E236BFB"/>
    <w:rsid w:val="6E2402B9"/>
    <w:rsid w:val="6E2461BB"/>
    <w:rsid w:val="6E258D9D"/>
    <w:rsid w:val="6E2715C8"/>
    <w:rsid w:val="6E287720"/>
    <w:rsid w:val="6E28E6C0"/>
    <w:rsid w:val="6E291FF1"/>
    <w:rsid w:val="6E31B91B"/>
    <w:rsid w:val="6E31DD01"/>
    <w:rsid w:val="6E341DC9"/>
    <w:rsid w:val="6E3493D4"/>
    <w:rsid w:val="6E35C40C"/>
    <w:rsid w:val="6E3CD137"/>
    <w:rsid w:val="6E3DAE9C"/>
    <w:rsid w:val="6E3DE2A4"/>
    <w:rsid w:val="6E3E10E5"/>
    <w:rsid w:val="6E3FCC0B"/>
    <w:rsid w:val="6E431DDA"/>
    <w:rsid w:val="6E444F3A"/>
    <w:rsid w:val="6E449D7C"/>
    <w:rsid w:val="6E4B6CC6"/>
    <w:rsid w:val="6E535DF6"/>
    <w:rsid w:val="6E5551BB"/>
    <w:rsid w:val="6E55BCF6"/>
    <w:rsid w:val="6E56405B"/>
    <w:rsid w:val="6E573A38"/>
    <w:rsid w:val="6E5818E5"/>
    <w:rsid w:val="6E59C0F2"/>
    <w:rsid w:val="6E5B9F23"/>
    <w:rsid w:val="6E5C062C"/>
    <w:rsid w:val="6E5E7D26"/>
    <w:rsid w:val="6E6277D7"/>
    <w:rsid w:val="6E627F42"/>
    <w:rsid w:val="6E669E5D"/>
    <w:rsid w:val="6E6B3AD7"/>
    <w:rsid w:val="6E6C2D83"/>
    <w:rsid w:val="6E6FB0E6"/>
    <w:rsid w:val="6E7073AA"/>
    <w:rsid w:val="6E729494"/>
    <w:rsid w:val="6E7321AD"/>
    <w:rsid w:val="6E73AAB0"/>
    <w:rsid w:val="6E75F43D"/>
    <w:rsid w:val="6E76764F"/>
    <w:rsid w:val="6E77DF12"/>
    <w:rsid w:val="6E789E43"/>
    <w:rsid w:val="6E798EE0"/>
    <w:rsid w:val="6E7A74EA"/>
    <w:rsid w:val="6E7A7A47"/>
    <w:rsid w:val="6E7B6DB8"/>
    <w:rsid w:val="6E7B74A9"/>
    <w:rsid w:val="6E7B8886"/>
    <w:rsid w:val="6E7B8955"/>
    <w:rsid w:val="6E7C4755"/>
    <w:rsid w:val="6E7C9866"/>
    <w:rsid w:val="6E7F559E"/>
    <w:rsid w:val="6E802894"/>
    <w:rsid w:val="6E812B3F"/>
    <w:rsid w:val="6E841A38"/>
    <w:rsid w:val="6E84CD1A"/>
    <w:rsid w:val="6E85AEE7"/>
    <w:rsid w:val="6E85D2D2"/>
    <w:rsid w:val="6E8858BB"/>
    <w:rsid w:val="6E8982B0"/>
    <w:rsid w:val="6E8A1A5A"/>
    <w:rsid w:val="6E8B698F"/>
    <w:rsid w:val="6E8BF14A"/>
    <w:rsid w:val="6E8CF4DC"/>
    <w:rsid w:val="6E8CFAB9"/>
    <w:rsid w:val="6E8D41D5"/>
    <w:rsid w:val="6E8DE838"/>
    <w:rsid w:val="6E8F5E63"/>
    <w:rsid w:val="6E9740FA"/>
    <w:rsid w:val="6E97B03C"/>
    <w:rsid w:val="6E97DE54"/>
    <w:rsid w:val="6E98A618"/>
    <w:rsid w:val="6E9AE617"/>
    <w:rsid w:val="6E9B6ADE"/>
    <w:rsid w:val="6E9C8B76"/>
    <w:rsid w:val="6E9DC67D"/>
    <w:rsid w:val="6E9E22A6"/>
    <w:rsid w:val="6EA1CD09"/>
    <w:rsid w:val="6EA3CE6A"/>
    <w:rsid w:val="6EA58C93"/>
    <w:rsid w:val="6EA9C857"/>
    <w:rsid w:val="6EAA39F2"/>
    <w:rsid w:val="6EAABD67"/>
    <w:rsid w:val="6EAB26A3"/>
    <w:rsid w:val="6EAB3FC0"/>
    <w:rsid w:val="6EAD9707"/>
    <w:rsid w:val="6EB1CA3F"/>
    <w:rsid w:val="6EB3B77C"/>
    <w:rsid w:val="6EB45B5E"/>
    <w:rsid w:val="6EB6FE7C"/>
    <w:rsid w:val="6EB71D32"/>
    <w:rsid w:val="6EB839B8"/>
    <w:rsid w:val="6EB9E911"/>
    <w:rsid w:val="6EBBC78E"/>
    <w:rsid w:val="6EBE59A0"/>
    <w:rsid w:val="6EBFCBB0"/>
    <w:rsid w:val="6EC074C1"/>
    <w:rsid w:val="6EC935C0"/>
    <w:rsid w:val="6ECA5DFE"/>
    <w:rsid w:val="6ECBC374"/>
    <w:rsid w:val="6ECBF872"/>
    <w:rsid w:val="6ECC1853"/>
    <w:rsid w:val="6ECE5C6D"/>
    <w:rsid w:val="6ECEA0C0"/>
    <w:rsid w:val="6ECF0398"/>
    <w:rsid w:val="6ED17EE5"/>
    <w:rsid w:val="6ED26C4F"/>
    <w:rsid w:val="6ED2812F"/>
    <w:rsid w:val="6ED2FD50"/>
    <w:rsid w:val="6ED38CFB"/>
    <w:rsid w:val="6ED513C7"/>
    <w:rsid w:val="6ED562BF"/>
    <w:rsid w:val="6ED659A1"/>
    <w:rsid w:val="6ED735B5"/>
    <w:rsid w:val="6ED7DF4B"/>
    <w:rsid w:val="6ED7EC45"/>
    <w:rsid w:val="6ED84A2E"/>
    <w:rsid w:val="6EDA5936"/>
    <w:rsid w:val="6EDB84E5"/>
    <w:rsid w:val="6EDE0A44"/>
    <w:rsid w:val="6EE018AF"/>
    <w:rsid w:val="6EE3A112"/>
    <w:rsid w:val="6EE63EEC"/>
    <w:rsid w:val="6EE69968"/>
    <w:rsid w:val="6EEAC6E0"/>
    <w:rsid w:val="6EEE80D8"/>
    <w:rsid w:val="6EF0C47B"/>
    <w:rsid w:val="6EF1ED60"/>
    <w:rsid w:val="6EF35970"/>
    <w:rsid w:val="6EF3D329"/>
    <w:rsid w:val="6EF9C1D3"/>
    <w:rsid w:val="6EFA5123"/>
    <w:rsid w:val="6EFE20D9"/>
    <w:rsid w:val="6EFEBB4E"/>
    <w:rsid w:val="6F03921D"/>
    <w:rsid w:val="6F0468D6"/>
    <w:rsid w:val="6F05931B"/>
    <w:rsid w:val="6F07DAFD"/>
    <w:rsid w:val="6F0874E8"/>
    <w:rsid w:val="6F0C2D5B"/>
    <w:rsid w:val="6F118388"/>
    <w:rsid w:val="6F129D42"/>
    <w:rsid w:val="6F19F0AC"/>
    <w:rsid w:val="6F1A2FB0"/>
    <w:rsid w:val="6F1A7480"/>
    <w:rsid w:val="6F1B0B8E"/>
    <w:rsid w:val="6F1D73D0"/>
    <w:rsid w:val="6F1F8789"/>
    <w:rsid w:val="6F1FB221"/>
    <w:rsid w:val="6F1FFD0D"/>
    <w:rsid w:val="6F22513F"/>
    <w:rsid w:val="6F22DE2B"/>
    <w:rsid w:val="6F231827"/>
    <w:rsid w:val="6F24FC6C"/>
    <w:rsid w:val="6F25E633"/>
    <w:rsid w:val="6F26B2BD"/>
    <w:rsid w:val="6F28AC87"/>
    <w:rsid w:val="6F28CB48"/>
    <w:rsid w:val="6F2AD710"/>
    <w:rsid w:val="6F2CFC43"/>
    <w:rsid w:val="6F2D7766"/>
    <w:rsid w:val="6F359E8B"/>
    <w:rsid w:val="6F35D7B0"/>
    <w:rsid w:val="6F360081"/>
    <w:rsid w:val="6F3EAA04"/>
    <w:rsid w:val="6F40BF73"/>
    <w:rsid w:val="6F4129E2"/>
    <w:rsid w:val="6F439907"/>
    <w:rsid w:val="6F447567"/>
    <w:rsid w:val="6F471A33"/>
    <w:rsid w:val="6F4A455A"/>
    <w:rsid w:val="6F4F7436"/>
    <w:rsid w:val="6F4FCE45"/>
    <w:rsid w:val="6F4FFB91"/>
    <w:rsid w:val="6F51B513"/>
    <w:rsid w:val="6F520607"/>
    <w:rsid w:val="6F52DD76"/>
    <w:rsid w:val="6F535398"/>
    <w:rsid w:val="6F5579EF"/>
    <w:rsid w:val="6F5B4C83"/>
    <w:rsid w:val="6F5D1674"/>
    <w:rsid w:val="6F5E34D5"/>
    <w:rsid w:val="6F5E41E6"/>
    <w:rsid w:val="6F5EABC6"/>
    <w:rsid w:val="6F5F0D44"/>
    <w:rsid w:val="6F609277"/>
    <w:rsid w:val="6F609ABC"/>
    <w:rsid w:val="6F6181A9"/>
    <w:rsid w:val="6F625753"/>
    <w:rsid w:val="6F65FD0F"/>
    <w:rsid w:val="6F6800D2"/>
    <w:rsid w:val="6F68F1BA"/>
    <w:rsid w:val="6F68F805"/>
    <w:rsid w:val="6F692174"/>
    <w:rsid w:val="6F69E04C"/>
    <w:rsid w:val="6F6A57EB"/>
    <w:rsid w:val="6F6B6876"/>
    <w:rsid w:val="6F6BFAAC"/>
    <w:rsid w:val="6F6C3EBD"/>
    <w:rsid w:val="6F6D0F5F"/>
    <w:rsid w:val="6F6F46BA"/>
    <w:rsid w:val="6F72FCCA"/>
    <w:rsid w:val="6F746BD2"/>
    <w:rsid w:val="6F74BFC8"/>
    <w:rsid w:val="6F787D83"/>
    <w:rsid w:val="6F79C622"/>
    <w:rsid w:val="6F7AE7F9"/>
    <w:rsid w:val="6F7B5060"/>
    <w:rsid w:val="6F7EACBD"/>
    <w:rsid w:val="6F80DD2F"/>
    <w:rsid w:val="6F8143E8"/>
    <w:rsid w:val="6F840B3A"/>
    <w:rsid w:val="6F87F561"/>
    <w:rsid w:val="6F88A212"/>
    <w:rsid w:val="6F88E8BF"/>
    <w:rsid w:val="6F89F398"/>
    <w:rsid w:val="6F8DDD54"/>
    <w:rsid w:val="6F8F5738"/>
    <w:rsid w:val="6F8FE969"/>
    <w:rsid w:val="6F9015ED"/>
    <w:rsid w:val="6F9586B4"/>
    <w:rsid w:val="6F9722EA"/>
    <w:rsid w:val="6F97240A"/>
    <w:rsid w:val="6FA19904"/>
    <w:rsid w:val="6FA2E7F7"/>
    <w:rsid w:val="6FA30E8F"/>
    <w:rsid w:val="6FA49A9C"/>
    <w:rsid w:val="6FA610AA"/>
    <w:rsid w:val="6FABFCAB"/>
    <w:rsid w:val="6FAD6DC0"/>
    <w:rsid w:val="6FB01708"/>
    <w:rsid w:val="6FB23EEF"/>
    <w:rsid w:val="6FB3819F"/>
    <w:rsid w:val="6FB50912"/>
    <w:rsid w:val="6FB6B12E"/>
    <w:rsid w:val="6FB70CE6"/>
    <w:rsid w:val="6FB7B399"/>
    <w:rsid w:val="6FB87C13"/>
    <w:rsid w:val="6FBA2BA5"/>
    <w:rsid w:val="6FBABA24"/>
    <w:rsid w:val="6FBBBB3C"/>
    <w:rsid w:val="6FBC73DF"/>
    <w:rsid w:val="6FBC8DC9"/>
    <w:rsid w:val="6FBD8D01"/>
    <w:rsid w:val="6FBDA880"/>
    <w:rsid w:val="6FBDB248"/>
    <w:rsid w:val="6FBE5450"/>
    <w:rsid w:val="6FC284FE"/>
    <w:rsid w:val="6FC288CF"/>
    <w:rsid w:val="6FC3E7FB"/>
    <w:rsid w:val="6FC4AF85"/>
    <w:rsid w:val="6FC51699"/>
    <w:rsid w:val="6FC58735"/>
    <w:rsid w:val="6FC8E102"/>
    <w:rsid w:val="6FC8E67D"/>
    <w:rsid w:val="6FCD4EFC"/>
    <w:rsid w:val="6FD3ACAC"/>
    <w:rsid w:val="6FD496A6"/>
    <w:rsid w:val="6FD794EA"/>
    <w:rsid w:val="6FD8C699"/>
    <w:rsid w:val="6FD9C827"/>
    <w:rsid w:val="6FDCF7E7"/>
    <w:rsid w:val="6FDE5D85"/>
    <w:rsid w:val="6FE0E244"/>
    <w:rsid w:val="6FE38E1A"/>
    <w:rsid w:val="6FE3FDE6"/>
    <w:rsid w:val="6FE5463B"/>
    <w:rsid w:val="6FE58116"/>
    <w:rsid w:val="6FE6F972"/>
    <w:rsid w:val="6FE905EC"/>
    <w:rsid w:val="6FE9DBAD"/>
    <w:rsid w:val="6FEEFDE5"/>
    <w:rsid w:val="6FEF2E57"/>
    <w:rsid w:val="6FF2434D"/>
    <w:rsid w:val="6FF39078"/>
    <w:rsid w:val="6FF3DC5E"/>
    <w:rsid w:val="6FF45033"/>
    <w:rsid w:val="6FF4B992"/>
    <w:rsid w:val="6FF705CE"/>
    <w:rsid w:val="6FF75B73"/>
    <w:rsid w:val="6FF8A251"/>
    <w:rsid w:val="6FFA704E"/>
    <w:rsid w:val="6FFB60E0"/>
    <w:rsid w:val="6FFD9333"/>
    <w:rsid w:val="6FFEBDC3"/>
    <w:rsid w:val="6FFF6F2A"/>
    <w:rsid w:val="700112C9"/>
    <w:rsid w:val="7001EBA4"/>
    <w:rsid w:val="7002AD37"/>
    <w:rsid w:val="70059B53"/>
    <w:rsid w:val="7006FF4C"/>
    <w:rsid w:val="700B4549"/>
    <w:rsid w:val="700BA922"/>
    <w:rsid w:val="700C431E"/>
    <w:rsid w:val="700C7CB6"/>
    <w:rsid w:val="701403A4"/>
    <w:rsid w:val="7015EAF6"/>
    <w:rsid w:val="701AAB2B"/>
    <w:rsid w:val="701BE0F4"/>
    <w:rsid w:val="701C6B43"/>
    <w:rsid w:val="701D31C8"/>
    <w:rsid w:val="701E9786"/>
    <w:rsid w:val="701EBC97"/>
    <w:rsid w:val="7023A75B"/>
    <w:rsid w:val="70244F5E"/>
    <w:rsid w:val="7024828E"/>
    <w:rsid w:val="7024B399"/>
    <w:rsid w:val="70264A80"/>
    <w:rsid w:val="702D5C3A"/>
    <w:rsid w:val="702D6C35"/>
    <w:rsid w:val="70303E0D"/>
    <w:rsid w:val="7030BE85"/>
    <w:rsid w:val="70327D9F"/>
    <w:rsid w:val="70384AF1"/>
    <w:rsid w:val="7039400F"/>
    <w:rsid w:val="7042FD9A"/>
    <w:rsid w:val="70430011"/>
    <w:rsid w:val="704416B8"/>
    <w:rsid w:val="70463587"/>
    <w:rsid w:val="70468C67"/>
    <w:rsid w:val="7047A2A6"/>
    <w:rsid w:val="704A5B09"/>
    <w:rsid w:val="704B52E6"/>
    <w:rsid w:val="704F14CC"/>
    <w:rsid w:val="7052912D"/>
    <w:rsid w:val="7054E303"/>
    <w:rsid w:val="70587B88"/>
    <w:rsid w:val="705AD980"/>
    <w:rsid w:val="705DDDFB"/>
    <w:rsid w:val="705E1936"/>
    <w:rsid w:val="7060186D"/>
    <w:rsid w:val="7060A489"/>
    <w:rsid w:val="70611A6F"/>
    <w:rsid w:val="7062632A"/>
    <w:rsid w:val="70646DD2"/>
    <w:rsid w:val="70662564"/>
    <w:rsid w:val="7066F91D"/>
    <w:rsid w:val="70684CAB"/>
    <w:rsid w:val="7068C900"/>
    <w:rsid w:val="706B319A"/>
    <w:rsid w:val="706DAD54"/>
    <w:rsid w:val="706F8BCF"/>
    <w:rsid w:val="707086BB"/>
    <w:rsid w:val="7071C3D9"/>
    <w:rsid w:val="70730D86"/>
    <w:rsid w:val="707414BA"/>
    <w:rsid w:val="7078BE09"/>
    <w:rsid w:val="707A3B86"/>
    <w:rsid w:val="707BDB6C"/>
    <w:rsid w:val="707CD994"/>
    <w:rsid w:val="70810FDA"/>
    <w:rsid w:val="7082B7EF"/>
    <w:rsid w:val="7084ACB1"/>
    <w:rsid w:val="7085F967"/>
    <w:rsid w:val="708AEAD4"/>
    <w:rsid w:val="708C8C46"/>
    <w:rsid w:val="708CAFED"/>
    <w:rsid w:val="709153FE"/>
    <w:rsid w:val="70936CBF"/>
    <w:rsid w:val="7094E1C4"/>
    <w:rsid w:val="709515CB"/>
    <w:rsid w:val="7096A731"/>
    <w:rsid w:val="70978FDC"/>
    <w:rsid w:val="7097AA54"/>
    <w:rsid w:val="70987AB2"/>
    <w:rsid w:val="709967CA"/>
    <w:rsid w:val="709C610F"/>
    <w:rsid w:val="709D45BD"/>
    <w:rsid w:val="70A287B4"/>
    <w:rsid w:val="70A38B09"/>
    <w:rsid w:val="70A3C03E"/>
    <w:rsid w:val="70A3E551"/>
    <w:rsid w:val="70A3EFD2"/>
    <w:rsid w:val="70A4A5D7"/>
    <w:rsid w:val="70A7972B"/>
    <w:rsid w:val="70AB1439"/>
    <w:rsid w:val="70AD8E27"/>
    <w:rsid w:val="70ADBCD7"/>
    <w:rsid w:val="70B12544"/>
    <w:rsid w:val="70B1A74F"/>
    <w:rsid w:val="70B606F6"/>
    <w:rsid w:val="70B7028C"/>
    <w:rsid w:val="70B977AD"/>
    <w:rsid w:val="70BB6C47"/>
    <w:rsid w:val="70BD7151"/>
    <w:rsid w:val="70BD8130"/>
    <w:rsid w:val="70C03F35"/>
    <w:rsid w:val="70C1A38B"/>
    <w:rsid w:val="70C240DF"/>
    <w:rsid w:val="70C3EC1C"/>
    <w:rsid w:val="70C4DE7E"/>
    <w:rsid w:val="70C7FA56"/>
    <w:rsid w:val="70CCC307"/>
    <w:rsid w:val="70CE17AB"/>
    <w:rsid w:val="70CE27E8"/>
    <w:rsid w:val="70CF035F"/>
    <w:rsid w:val="70CF1347"/>
    <w:rsid w:val="70CF8BE7"/>
    <w:rsid w:val="70D04319"/>
    <w:rsid w:val="70D0E986"/>
    <w:rsid w:val="70D23A55"/>
    <w:rsid w:val="70D2DCE1"/>
    <w:rsid w:val="70D5B11A"/>
    <w:rsid w:val="70D84C1B"/>
    <w:rsid w:val="70D84FE1"/>
    <w:rsid w:val="70DA1450"/>
    <w:rsid w:val="70DA48EC"/>
    <w:rsid w:val="70DC36CE"/>
    <w:rsid w:val="70DC9AAB"/>
    <w:rsid w:val="70DF85BE"/>
    <w:rsid w:val="70E0A40E"/>
    <w:rsid w:val="70E1241D"/>
    <w:rsid w:val="70E1638F"/>
    <w:rsid w:val="70E2167B"/>
    <w:rsid w:val="70E4464A"/>
    <w:rsid w:val="70E47D81"/>
    <w:rsid w:val="70E6CD71"/>
    <w:rsid w:val="70E6E6A1"/>
    <w:rsid w:val="70E7EA2D"/>
    <w:rsid w:val="70EB9EA6"/>
    <w:rsid w:val="70EFF39F"/>
    <w:rsid w:val="70F113A5"/>
    <w:rsid w:val="70F410A0"/>
    <w:rsid w:val="70F5FBB9"/>
    <w:rsid w:val="70FAAC4F"/>
    <w:rsid w:val="70FC2649"/>
    <w:rsid w:val="70FFF04B"/>
    <w:rsid w:val="71007B55"/>
    <w:rsid w:val="71062C10"/>
    <w:rsid w:val="710638F0"/>
    <w:rsid w:val="71065393"/>
    <w:rsid w:val="710740AE"/>
    <w:rsid w:val="710C0360"/>
    <w:rsid w:val="710F8F95"/>
    <w:rsid w:val="710FE616"/>
    <w:rsid w:val="71109BA3"/>
    <w:rsid w:val="7114CE7A"/>
    <w:rsid w:val="71155952"/>
    <w:rsid w:val="7115BC5E"/>
    <w:rsid w:val="71164AB9"/>
    <w:rsid w:val="7119D12B"/>
    <w:rsid w:val="711C58B3"/>
    <w:rsid w:val="711D032A"/>
    <w:rsid w:val="711E9A12"/>
    <w:rsid w:val="712074CB"/>
    <w:rsid w:val="712174B2"/>
    <w:rsid w:val="71229530"/>
    <w:rsid w:val="7124A2AC"/>
    <w:rsid w:val="7125F13C"/>
    <w:rsid w:val="71294B96"/>
    <w:rsid w:val="71295195"/>
    <w:rsid w:val="712A49AF"/>
    <w:rsid w:val="712B6F67"/>
    <w:rsid w:val="712C7A9B"/>
    <w:rsid w:val="712CC1ED"/>
    <w:rsid w:val="71309A4D"/>
    <w:rsid w:val="71322D6D"/>
    <w:rsid w:val="71336ED2"/>
    <w:rsid w:val="71362A91"/>
    <w:rsid w:val="713696E9"/>
    <w:rsid w:val="713B2603"/>
    <w:rsid w:val="713DF9FF"/>
    <w:rsid w:val="71416C37"/>
    <w:rsid w:val="71476659"/>
    <w:rsid w:val="714AC6C4"/>
    <w:rsid w:val="714CA479"/>
    <w:rsid w:val="714E40E7"/>
    <w:rsid w:val="714E58EA"/>
    <w:rsid w:val="714EAF46"/>
    <w:rsid w:val="714F194D"/>
    <w:rsid w:val="71502AF6"/>
    <w:rsid w:val="715A36CB"/>
    <w:rsid w:val="715E7A96"/>
    <w:rsid w:val="715F5A2A"/>
    <w:rsid w:val="71611F2B"/>
    <w:rsid w:val="7161719E"/>
    <w:rsid w:val="71622DA2"/>
    <w:rsid w:val="7165C3DF"/>
    <w:rsid w:val="71672B50"/>
    <w:rsid w:val="71691F6F"/>
    <w:rsid w:val="716B28E0"/>
    <w:rsid w:val="716BEC40"/>
    <w:rsid w:val="716C75EF"/>
    <w:rsid w:val="71707CF0"/>
    <w:rsid w:val="7170CC21"/>
    <w:rsid w:val="7170F4FC"/>
    <w:rsid w:val="71728EDE"/>
    <w:rsid w:val="717460FE"/>
    <w:rsid w:val="71780D6F"/>
    <w:rsid w:val="7179D9F0"/>
    <w:rsid w:val="717A8863"/>
    <w:rsid w:val="717B8385"/>
    <w:rsid w:val="717EBC8A"/>
    <w:rsid w:val="718004BF"/>
    <w:rsid w:val="7183B132"/>
    <w:rsid w:val="7184CDDA"/>
    <w:rsid w:val="718A3D2B"/>
    <w:rsid w:val="718C4295"/>
    <w:rsid w:val="718D3B02"/>
    <w:rsid w:val="718E2F30"/>
    <w:rsid w:val="719139AA"/>
    <w:rsid w:val="71956199"/>
    <w:rsid w:val="719B4D8C"/>
    <w:rsid w:val="719DB2B3"/>
    <w:rsid w:val="719F3075"/>
    <w:rsid w:val="719F4473"/>
    <w:rsid w:val="719FB86E"/>
    <w:rsid w:val="71A09FCC"/>
    <w:rsid w:val="71A14EA8"/>
    <w:rsid w:val="71A1783C"/>
    <w:rsid w:val="71A22E5F"/>
    <w:rsid w:val="71A34440"/>
    <w:rsid w:val="71A4BD68"/>
    <w:rsid w:val="71A53F58"/>
    <w:rsid w:val="71A8041B"/>
    <w:rsid w:val="71AE2934"/>
    <w:rsid w:val="71AED01A"/>
    <w:rsid w:val="71B20979"/>
    <w:rsid w:val="71B4D5D6"/>
    <w:rsid w:val="71B5BDA6"/>
    <w:rsid w:val="71B742E0"/>
    <w:rsid w:val="71B979A6"/>
    <w:rsid w:val="71BA4850"/>
    <w:rsid w:val="71BB016A"/>
    <w:rsid w:val="71BB78B8"/>
    <w:rsid w:val="71BEF51D"/>
    <w:rsid w:val="71BF6159"/>
    <w:rsid w:val="71C63606"/>
    <w:rsid w:val="71C8D669"/>
    <w:rsid w:val="71CAA202"/>
    <w:rsid w:val="71CB3076"/>
    <w:rsid w:val="71CC3FAD"/>
    <w:rsid w:val="71CCAE2A"/>
    <w:rsid w:val="71CF3AE1"/>
    <w:rsid w:val="71D12AC8"/>
    <w:rsid w:val="71D12EC6"/>
    <w:rsid w:val="71D1ED1C"/>
    <w:rsid w:val="71D3DD47"/>
    <w:rsid w:val="71D3FDB7"/>
    <w:rsid w:val="71D4A765"/>
    <w:rsid w:val="71D512CE"/>
    <w:rsid w:val="71D53660"/>
    <w:rsid w:val="71D55826"/>
    <w:rsid w:val="71D970B9"/>
    <w:rsid w:val="71D9AFF5"/>
    <w:rsid w:val="71DBCEAB"/>
    <w:rsid w:val="71DC3389"/>
    <w:rsid w:val="71E17AB9"/>
    <w:rsid w:val="71E277AA"/>
    <w:rsid w:val="71E57339"/>
    <w:rsid w:val="71E590DC"/>
    <w:rsid w:val="71EA6D5D"/>
    <w:rsid w:val="71ECED40"/>
    <w:rsid w:val="71EDF7C9"/>
    <w:rsid w:val="71F03AB7"/>
    <w:rsid w:val="71F29289"/>
    <w:rsid w:val="71F56619"/>
    <w:rsid w:val="71F61E19"/>
    <w:rsid w:val="71F7EEF8"/>
    <w:rsid w:val="71FCD616"/>
    <w:rsid w:val="720093AE"/>
    <w:rsid w:val="72036B50"/>
    <w:rsid w:val="7207F5BD"/>
    <w:rsid w:val="72091FA7"/>
    <w:rsid w:val="720AB944"/>
    <w:rsid w:val="720C8023"/>
    <w:rsid w:val="720E4B19"/>
    <w:rsid w:val="72108483"/>
    <w:rsid w:val="7212B7ED"/>
    <w:rsid w:val="7218FC04"/>
    <w:rsid w:val="721FFECA"/>
    <w:rsid w:val="72228F74"/>
    <w:rsid w:val="72232942"/>
    <w:rsid w:val="72232998"/>
    <w:rsid w:val="722408E4"/>
    <w:rsid w:val="722873C2"/>
    <w:rsid w:val="72292B5E"/>
    <w:rsid w:val="7230FB1C"/>
    <w:rsid w:val="7236A397"/>
    <w:rsid w:val="7237A66E"/>
    <w:rsid w:val="723853EF"/>
    <w:rsid w:val="7238F60F"/>
    <w:rsid w:val="723A84B3"/>
    <w:rsid w:val="7242B170"/>
    <w:rsid w:val="724751E4"/>
    <w:rsid w:val="7247B281"/>
    <w:rsid w:val="724A252F"/>
    <w:rsid w:val="724A4BD9"/>
    <w:rsid w:val="724A9634"/>
    <w:rsid w:val="724CBCB8"/>
    <w:rsid w:val="72521213"/>
    <w:rsid w:val="7258C325"/>
    <w:rsid w:val="7259D6B4"/>
    <w:rsid w:val="725B3566"/>
    <w:rsid w:val="725DD1BC"/>
    <w:rsid w:val="72605913"/>
    <w:rsid w:val="726162E5"/>
    <w:rsid w:val="72631AC8"/>
    <w:rsid w:val="72634A12"/>
    <w:rsid w:val="7263B616"/>
    <w:rsid w:val="72653A72"/>
    <w:rsid w:val="72669BF7"/>
    <w:rsid w:val="7267A5F8"/>
    <w:rsid w:val="72692302"/>
    <w:rsid w:val="726D85EA"/>
    <w:rsid w:val="726F31A7"/>
    <w:rsid w:val="726FB80C"/>
    <w:rsid w:val="7274D5EF"/>
    <w:rsid w:val="727574CE"/>
    <w:rsid w:val="727662E9"/>
    <w:rsid w:val="727B1F4C"/>
    <w:rsid w:val="727FF764"/>
    <w:rsid w:val="72818D75"/>
    <w:rsid w:val="728287C2"/>
    <w:rsid w:val="7283A036"/>
    <w:rsid w:val="728447CA"/>
    <w:rsid w:val="7285AD18"/>
    <w:rsid w:val="7286DD72"/>
    <w:rsid w:val="7287DBB6"/>
    <w:rsid w:val="7287DE32"/>
    <w:rsid w:val="72894554"/>
    <w:rsid w:val="7289F20A"/>
    <w:rsid w:val="728A6AD0"/>
    <w:rsid w:val="728C899A"/>
    <w:rsid w:val="72917696"/>
    <w:rsid w:val="72921DB8"/>
    <w:rsid w:val="7292E757"/>
    <w:rsid w:val="72932DE0"/>
    <w:rsid w:val="729336EE"/>
    <w:rsid w:val="7295CE31"/>
    <w:rsid w:val="72963B67"/>
    <w:rsid w:val="7297E4AD"/>
    <w:rsid w:val="72996AAB"/>
    <w:rsid w:val="729B16B3"/>
    <w:rsid w:val="729BE033"/>
    <w:rsid w:val="729CBAE3"/>
    <w:rsid w:val="729D0098"/>
    <w:rsid w:val="72A081A5"/>
    <w:rsid w:val="72A245A5"/>
    <w:rsid w:val="72A53DCD"/>
    <w:rsid w:val="72AC3188"/>
    <w:rsid w:val="72ADEB48"/>
    <w:rsid w:val="72B29808"/>
    <w:rsid w:val="72B50D64"/>
    <w:rsid w:val="72B7EF53"/>
    <w:rsid w:val="72B9512C"/>
    <w:rsid w:val="72BB24A8"/>
    <w:rsid w:val="72BFEE61"/>
    <w:rsid w:val="72C2F48D"/>
    <w:rsid w:val="72C757E0"/>
    <w:rsid w:val="72C8493A"/>
    <w:rsid w:val="72C8F82A"/>
    <w:rsid w:val="72C980F4"/>
    <w:rsid w:val="72CA3939"/>
    <w:rsid w:val="72CB5E30"/>
    <w:rsid w:val="72CE1B3B"/>
    <w:rsid w:val="72CF53AB"/>
    <w:rsid w:val="72D8A734"/>
    <w:rsid w:val="72DA5B61"/>
    <w:rsid w:val="72DC8E00"/>
    <w:rsid w:val="72E06D27"/>
    <w:rsid w:val="72E0EEFC"/>
    <w:rsid w:val="72E21DE6"/>
    <w:rsid w:val="72E240DD"/>
    <w:rsid w:val="72E41D69"/>
    <w:rsid w:val="72E428F8"/>
    <w:rsid w:val="72E4D818"/>
    <w:rsid w:val="72E5DAD3"/>
    <w:rsid w:val="72E7E169"/>
    <w:rsid w:val="72E919E2"/>
    <w:rsid w:val="72E9EFF4"/>
    <w:rsid w:val="72EA7FA7"/>
    <w:rsid w:val="72EB2B72"/>
    <w:rsid w:val="72EB5602"/>
    <w:rsid w:val="72EC7346"/>
    <w:rsid w:val="72ECEBD8"/>
    <w:rsid w:val="72EDAE08"/>
    <w:rsid w:val="72EEADA8"/>
    <w:rsid w:val="72EF8737"/>
    <w:rsid w:val="72F45402"/>
    <w:rsid w:val="72F49CE7"/>
    <w:rsid w:val="72F62EEE"/>
    <w:rsid w:val="72F6F5EA"/>
    <w:rsid w:val="72F73BF2"/>
    <w:rsid w:val="72FDB70B"/>
    <w:rsid w:val="7303302D"/>
    <w:rsid w:val="7303C137"/>
    <w:rsid w:val="730498F1"/>
    <w:rsid w:val="7305A3D7"/>
    <w:rsid w:val="7308F7FD"/>
    <w:rsid w:val="73093030"/>
    <w:rsid w:val="7309AC5B"/>
    <w:rsid w:val="7309CB46"/>
    <w:rsid w:val="730ADD3A"/>
    <w:rsid w:val="730B1DE9"/>
    <w:rsid w:val="730B3300"/>
    <w:rsid w:val="730B9ACA"/>
    <w:rsid w:val="7311369D"/>
    <w:rsid w:val="73120AB2"/>
    <w:rsid w:val="73146E41"/>
    <w:rsid w:val="7315620B"/>
    <w:rsid w:val="7316AF4C"/>
    <w:rsid w:val="7319F012"/>
    <w:rsid w:val="731BBE55"/>
    <w:rsid w:val="731D92B7"/>
    <w:rsid w:val="731EFE4F"/>
    <w:rsid w:val="732124F9"/>
    <w:rsid w:val="73218D2B"/>
    <w:rsid w:val="73252510"/>
    <w:rsid w:val="7325DD55"/>
    <w:rsid w:val="73274010"/>
    <w:rsid w:val="7327AE68"/>
    <w:rsid w:val="7329077A"/>
    <w:rsid w:val="732B6D0E"/>
    <w:rsid w:val="732C36A4"/>
    <w:rsid w:val="732E90CA"/>
    <w:rsid w:val="732EE31A"/>
    <w:rsid w:val="732FA495"/>
    <w:rsid w:val="7332600A"/>
    <w:rsid w:val="733412E0"/>
    <w:rsid w:val="7335AC42"/>
    <w:rsid w:val="73386C52"/>
    <w:rsid w:val="733BCBA4"/>
    <w:rsid w:val="7340E408"/>
    <w:rsid w:val="7341D165"/>
    <w:rsid w:val="73443DF6"/>
    <w:rsid w:val="7345560A"/>
    <w:rsid w:val="73455F69"/>
    <w:rsid w:val="734E7B3C"/>
    <w:rsid w:val="734EFCF0"/>
    <w:rsid w:val="734FBFD0"/>
    <w:rsid w:val="73527470"/>
    <w:rsid w:val="7355D61E"/>
    <w:rsid w:val="735C2979"/>
    <w:rsid w:val="735ECF6B"/>
    <w:rsid w:val="735F9EAC"/>
    <w:rsid w:val="735FD345"/>
    <w:rsid w:val="73646C87"/>
    <w:rsid w:val="7364BB29"/>
    <w:rsid w:val="7368E9C8"/>
    <w:rsid w:val="7368F477"/>
    <w:rsid w:val="736D9BC9"/>
    <w:rsid w:val="73730B22"/>
    <w:rsid w:val="73751765"/>
    <w:rsid w:val="73780DAD"/>
    <w:rsid w:val="7378FDB6"/>
    <w:rsid w:val="737C4322"/>
    <w:rsid w:val="737D30BC"/>
    <w:rsid w:val="738031F5"/>
    <w:rsid w:val="73819962"/>
    <w:rsid w:val="7381FC29"/>
    <w:rsid w:val="7383BA1A"/>
    <w:rsid w:val="7383EE80"/>
    <w:rsid w:val="738B4A94"/>
    <w:rsid w:val="738C26E6"/>
    <w:rsid w:val="738DE684"/>
    <w:rsid w:val="7394B341"/>
    <w:rsid w:val="7395C41D"/>
    <w:rsid w:val="7396F681"/>
    <w:rsid w:val="73998216"/>
    <w:rsid w:val="739C4877"/>
    <w:rsid w:val="739FC413"/>
    <w:rsid w:val="73A2B267"/>
    <w:rsid w:val="73A3C2D9"/>
    <w:rsid w:val="73A44A68"/>
    <w:rsid w:val="73A773B3"/>
    <w:rsid w:val="73A84635"/>
    <w:rsid w:val="73AE570D"/>
    <w:rsid w:val="73AF39E7"/>
    <w:rsid w:val="73B1850E"/>
    <w:rsid w:val="73B2C8A6"/>
    <w:rsid w:val="73B82D93"/>
    <w:rsid w:val="73B84A67"/>
    <w:rsid w:val="73B861C9"/>
    <w:rsid w:val="73B865FE"/>
    <w:rsid w:val="73BD8146"/>
    <w:rsid w:val="73BE563B"/>
    <w:rsid w:val="73BEEE0C"/>
    <w:rsid w:val="73BF1F3C"/>
    <w:rsid w:val="73C23E15"/>
    <w:rsid w:val="73C66600"/>
    <w:rsid w:val="73C7A712"/>
    <w:rsid w:val="73C87243"/>
    <w:rsid w:val="73CB0E22"/>
    <w:rsid w:val="73CB3E22"/>
    <w:rsid w:val="73CC9EA6"/>
    <w:rsid w:val="73CDA327"/>
    <w:rsid w:val="73D610C6"/>
    <w:rsid w:val="73D674FA"/>
    <w:rsid w:val="73D6C118"/>
    <w:rsid w:val="73D6D10F"/>
    <w:rsid w:val="73D9C892"/>
    <w:rsid w:val="73DBABD7"/>
    <w:rsid w:val="73DF5B64"/>
    <w:rsid w:val="73DFDCAC"/>
    <w:rsid w:val="73E07591"/>
    <w:rsid w:val="73E15C9B"/>
    <w:rsid w:val="73E1FF95"/>
    <w:rsid w:val="73E28E7A"/>
    <w:rsid w:val="73E34F63"/>
    <w:rsid w:val="73E4C4B5"/>
    <w:rsid w:val="73E56D32"/>
    <w:rsid w:val="73E86746"/>
    <w:rsid w:val="73E9A571"/>
    <w:rsid w:val="73EFF145"/>
    <w:rsid w:val="73F23041"/>
    <w:rsid w:val="73F3805D"/>
    <w:rsid w:val="73F6B293"/>
    <w:rsid w:val="73F73FDA"/>
    <w:rsid w:val="73F75DE2"/>
    <w:rsid w:val="73F816B1"/>
    <w:rsid w:val="73FA741A"/>
    <w:rsid w:val="73FC3FAB"/>
    <w:rsid w:val="73FE915D"/>
    <w:rsid w:val="7402B3FD"/>
    <w:rsid w:val="7403FFDC"/>
    <w:rsid w:val="740B3DC1"/>
    <w:rsid w:val="740C5057"/>
    <w:rsid w:val="740E52FA"/>
    <w:rsid w:val="740F5322"/>
    <w:rsid w:val="74103EF2"/>
    <w:rsid w:val="741155C2"/>
    <w:rsid w:val="74122DD5"/>
    <w:rsid w:val="7412841F"/>
    <w:rsid w:val="74137BD3"/>
    <w:rsid w:val="74158D28"/>
    <w:rsid w:val="7417CFC8"/>
    <w:rsid w:val="7418D87D"/>
    <w:rsid w:val="7419BE7D"/>
    <w:rsid w:val="741A1EA2"/>
    <w:rsid w:val="741A4C59"/>
    <w:rsid w:val="741BD794"/>
    <w:rsid w:val="741E5DC1"/>
    <w:rsid w:val="741F84EE"/>
    <w:rsid w:val="742120E2"/>
    <w:rsid w:val="74216EC4"/>
    <w:rsid w:val="7422698E"/>
    <w:rsid w:val="7426D04A"/>
    <w:rsid w:val="74288E61"/>
    <w:rsid w:val="742939A9"/>
    <w:rsid w:val="742DC460"/>
    <w:rsid w:val="742E436F"/>
    <w:rsid w:val="7430E240"/>
    <w:rsid w:val="743228E9"/>
    <w:rsid w:val="7432A0F2"/>
    <w:rsid w:val="7432D643"/>
    <w:rsid w:val="74336BF4"/>
    <w:rsid w:val="74380046"/>
    <w:rsid w:val="74385D30"/>
    <w:rsid w:val="743BC6C6"/>
    <w:rsid w:val="74433608"/>
    <w:rsid w:val="7444D301"/>
    <w:rsid w:val="744534EC"/>
    <w:rsid w:val="7446AA5F"/>
    <w:rsid w:val="744DCA94"/>
    <w:rsid w:val="744F7E48"/>
    <w:rsid w:val="744FA763"/>
    <w:rsid w:val="745194AD"/>
    <w:rsid w:val="74524776"/>
    <w:rsid w:val="7455EEDA"/>
    <w:rsid w:val="7456A276"/>
    <w:rsid w:val="74575C5F"/>
    <w:rsid w:val="74579A8A"/>
    <w:rsid w:val="74596749"/>
    <w:rsid w:val="745B0414"/>
    <w:rsid w:val="745D608A"/>
    <w:rsid w:val="745E2F50"/>
    <w:rsid w:val="745FD1AF"/>
    <w:rsid w:val="74604AA4"/>
    <w:rsid w:val="7460E24E"/>
    <w:rsid w:val="74618F1D"/>
    <w:rsid w:val="74622A55"/>
    <w:rsid w:val="74660606"/>
    <w:rsid w:val="746613C3"/>
    <w:rsid w:val="7466DFF5"/>
    <w:rsid w:val="7467C7F5"/>
    <w:rsid w:val="7468CECF"/>
    <w:rsid w:val="746BA23A"/>
    <w:rsid w:val="746C0BBA"/>
    <w:rsid w:val="746C2F26"/>
    <w:rsid w:val="746D22BC"/>
    <w:rsid w:val="746E350F"/>
    <w:rsid w:val="7472FDC7"/>
    <w:rsid w:val="747DE825"/>
    <w:rsid w:val="747E44B2"/>
    <w:rsid w:val="747E50A6"/>
    <w:rsid w:val="748011AC"/>
    <w:rsid w:val="7480568C"/>
    <w:rsid w:val="74827DCE"/>
    <w:rsid w:val="7484A92A"/>
    <w:rsid w:val="74868B4F"/>
    <w:rsid w:val="7486F3B0"/>
    <w:rsid w:val="748A1A6E"/>
    <w:rsid w:val="748A2B63"/>
    <w:rsid w:val="748C2671"/>
    <w:rsid w:val="74937E9D"/>
    <w:rsid w:val="74942A22"/>
    <w:rsid w:val="7496334C"/>
    <w:rsid w:val="749715F0"/>
    <w:rsid w:val="749851A8"/>
    <w:rsid w:val="74999680"/>
    <w:rsid w:val="749D27EA"/>
    <w:rsid w:val="749EF6A1"/>
    <w:rsid w:val="749EFF61"/>
    <w:rsid w:val="74A2F852"/>
    <w:rsid w:val="74A34B02"/>
    <w:rsid w:val="74AA5421"/>
    <w:rsid w:val="74ACC7F9"/>
    <w:rsid w:val="74B2C8E9"/>
    <w:rsid w:val="74B37AFB"/>
    <w:rsid w:val="74B59D8E"/>
    <w:rsid w:val="74BE1630"/>
    <w:rsid w:val="74BED4F6"/>
    <w:rsid w:val="74BF6E37"/>
    <w:rsid w:val="74C2565C"/>
    <w:rsid w:val="74CAEF03"/>
    <w:rsid w:val="74CE5493"/>
    <w:rsid w:val="74D0D4AC"/>
    <w:rsid w:val="74D278CB"/>
    <w:rsid w:val="74D362E7"/>
    <w:rsid w:val="74D65981"/>
    <w:rsid w:val="74D724B8"/>
    <w:rsid w:val="74D743A8"/>
    <w:rsid w:val="74D7B693"/>
    <w:rsid w:val="74DBE3F0"/>
    <w:rsid w:val="74DE9B40"/>
    <w:rsid w:val="74E2E825"/>
    <w:rsid w:val="74E353FB"/>
    <w:rsid w:val="74E4274E"/>
    <w:rsid w:val="74E6FE9E"/>
    <w:rsid w:val="74E72A68"/>
    <w:rsid w:val="74E84B09"/>
    <w:rsid w:val="74E9F915"/>
    <w:rsid w:val="74EAE5CE"/>
    <w:rsid w:val="74EC1B9E"/>
    <w:rsid w:val="74ECDAF0"/>
    <w:rsid w:val="74ED3C47"/>
    <w:rsid w:val="74EEBB32"/>
    <w:rsid w:val="74EF05DD"/>
    <w:rsid w:val="74EF3B3A"/>
    <w:rsid w:val="74F4D040"/>
    <w:rsid w:val="74F61296"/>
    <w:rsid w:val="74F8C434"/>
    <w:rsid w:val="74F9983B"/>
    <w:rsid w:val="74FAD0DF"/>
    <w:rsid w:val="74FE0A5B"/>
    <w:rsid w:val="75024F4A"/>
    <w:rsid w:val="7504FFDC"/>
    <w:rsid w:val="750620B1"/>
    <w:rsid w:val="750784E1"/>
    <w:rsid w:val="750833D6"/>
    <w:rsid w:val="75098E6B"/>
    <w:rsid w:val="750DD948"/>
    <w:rsid w:val="750E0A2C"/>
    <w:rsid w:val="751036E0"/>
    <w:rsid w:val="75110A76"/>
    <w:rsid w:val="75111E7D"/>
    <w:rsid w:val="75123B66"/>
    <w:rsid w:val="751336F9"/>
    <w:rsid w:val="75134114"/>
    <w:rsid w:val="75145650"/>
    <w:rsid w:val="751EE96F"/>
    <w:rsid w:val="75211461"/>
    <w:rsid w:val="752329DA"/>
    <w:rsid w:val="7523E15F"/>
    <w:rsid w:val="7524CCDE"/>
    <w:rsid w:val="752B1214"/>
    <w:rsid w:val="752C6AAA"/>
    <w:rsid w:val="752EF991"/>
    <w:rsid w:val="7530BA74"/>
    <w:rsid w:val="75337C78"/>
    <w:rsid w:val="7536EEA4"/>
    <w:rsid w:val="75374110"/>
    <w:rsid w:val="75397D79"/>
    <w:rsid w:val="753ADB0E"/>
    <w:rsid w:val="753D84B4"/>
    <w:rsid w:val="753EAF35"/>
    <w:rsid w:val="75440EC4"/>
    <w:rsid w:val="7548C8D1"/>
    <w:rsid w:val="754B42CE"/>
    <w:rsid w:val="754CB32F"/>
    <w:rsid w:val="754D2D97"/>
    <w:rsid w:val="754DBF9C"/>
    <w:rsid w:val="754E15A3"/>
    <w:rsid w:val="754F1146"/>
    <w:rsid w:val="7550162E"/>
    <w:rsid w:val="755088C7"/>
    <w:rsid w:val="755411A5"/>
    <w:rsid w:val="75579028"/>
    <w:rsid w:val="75581A24"/>
    <w:rsid w:val="755870AD"/>
    <w:rsid w:val="755943C4"/>
    <w:rsid w:val="755BF5E1"/>
    <w:rsid w:val="755DA4B2"/>
    <w:rsid w:val="755E34B4"/>
    <w:rsid w:val="755E7DAA"/>
    <w:rsid w:val="75673263"/>
    <w:rsid w:val="756BD84B"/>
    <w:rsid w:val="756C897F"/>
    <w:rsid w:val="756E63AB"/>
    <w:rsid w:val="7570FCB2"/>
    <w:rsid w:val="757274B6"/>
    <w:rsid w:val="75785478"/>
    <w:rsid w:val="757AB6A3"/>
    <w:rsid w:val="757B1742"/>
    <w:rsid w:val="757E4622"/>
    <w:rsid w:val="757EA7CC"/>
    <w:rsid w:val="757EAE43"/>
    <w:rsid w:val="758119DD"/>
    <w:rsid w:val="7581F577"/>
    <w:rsid w:val="758423EE"/>
    <w:rsid w:val="7586992F"/>
    <w:rsid w:val="75883F54"/>
    <w:rsid w:val="7588837D"/>
    <w:rsid w:val="7589624F"/>
    <w:rsid w:val="758B8136"/>
    <w:rsid w:val="758E2840"/>
    <w:rsid w:val="758EFE04"/>
    <w:rsid w:val="75924C89"/>
    <w:rsid w:val="7595C548"/>
    <w:rsid w:val="75996F13"/>
    <w:rsid w:val="759CADC8"/>
    <w:rsid w:val="759F6C7F"/>
    <w:rsid w:val="759FA482"/>
    <w:rsid w:val="75A33BB1"/>
    <w:rsid w:val="75AA753E"/>
    <w:rsid w:val="75AB1BC7"/>
    <w:rsid w:val="75AB6440"/>
    <w:rsid w:val="75AD77FF"/>
    <w:rsid w:val="75AED51F"/>
    <w:rsid w:val="75AF5F54"/>
    <w:rsid w:val="75B461D9"/>
    <w:rsid w:val="75B5A58C"/>
    <w:rsid w:val="75B6D0FC"/>
    <w:rsid w:val="75B6E150"/>
    <w:rsid w:val="75B793C8"/>
    <w:rsid w:val="75BAFE29"/>
    <w:rsid w:val="75BC729E"/>
    <w:rsid w:val="75BE83AC"/>
    <w:rsid w:val="75BFC912"/>
    <w:rsid w:val="75C3A863"/>
    <w:rsid w:val="75C5AF79"/>
    <w:rsid w:val="75C7BE3C"/>
    <w:rsid w:val="75C915F1"/>
    <w:rsid w:val="75CBE1B4"/>
    <w:rsid w:val="75CDDF54"/>
    <w:rsid w:val="75D5DF34"/>
    <w:rsid w:val="75D98E0F"/>
    <w:rsid w:val="75E06F14"/>
    <w:rsid w:val="75E2B5FC"/>
    <w:rsid w:val="75E5DB9D"/>
    <w:rsid w:val="75E76442"/>
    <w:rsid w:val="75E79E34"/>
    <w:rsid w:val="75E8CB68"/>
    <w:rsid w:val="75EA954B"/>
    <w:rsid w:val="75EC159E"/>
    <w:rsid w:val="75EDBA3E"/>
    <w:rsid w:val="75EE3D93"/>
    <w:rsid w:val="75EF8845"/>
    <w:rsid w:val="75F1B5CB"/>
    <w:rsid w:val="75F1C86D"/>
    <w:rsid w:val="75F54473"/>
    <w:rsid w:val="75F6ACD2"/>
    <w:rsid w:val="75F7381D"/>
    <w:rsid w:val="7601EA88"/>
    <w:rsid w:val="7604A1CF"/>
    <w:rsid w:val="7606261A"/>
    <w:rsid w:val="7606746F"/>
    <w:rsid w:val="7607250A"/>
    <w:rsid w:val="76077AAC"/>
    <w:rsid w:val="7607BD4B"/>
    <w:rsid w:val="7608514F"/>
    <w:rsid w:val="760882FA"/>
    <w:rsid w:val="760E2EF5"/>
    <w:rsid w:val="7611B3A1"/>
    <w:rsid w:val="7614129F"/>
    <w:rsid w:val="76189DF0"/>
    <w:rsid w:val="761B4A6F"/>
    <w:rsid w:val="761B9C93"/>
    <w:rsid w:val="761C8939"/>
    <w:rsid w:val="761D10D7"/>
    <w:rsid w:val="761F3D43"/>
    <w:rsid w:val="762219D2"/>
    <w:rsid w:val="7622DFDD"/>
    <w:rsid w:val="7622EA40"/>
    <w:rsid w:val="762CC202"/>
    <w:rsid w:val="762CEEA9"/>
    <w:rsid w:val="762F279F"/>
    <w:rsid w:val="762FE891"/>
    <w:rsid w:val="7633AF37"/>
    <w:rsid w:val="763400BA"/>
    <w:rsid w:val="763638C2"/>
    <w:rsid w:val="7638ADB0"/>
    <w:rsid w:val="763A3312"/>
    <w:rsid w:val="763C42B1"/>
    <w:rsid w:val="763CD36E"/>
    <w:rsid w:val="763E8600"/>
    <w:rsid w:val="763F4FF6"/>
    <w:rsid w:val="763FE847"/>
    <w:rsid w:val="7644F41C"/>
    <w:rsid w:val="7645880A"/>
    <w:rsid w:val="76475590"/>
    <w:rsid w:val="764C4CE6"/>
    <w:rsid w:val="764CBF8B"/>
    <w:rsid w:val="764F6142"/>
    <w:rsid w:val="764FA262"/>
    <w:rsid w:val="764FB340"/>
    <w:rsid w:val="76561B1C"/>
    <w:rsid w:val="76577160"/>
    <w:rsid w:val="765C82B0"/>
    <w:rsid w:val="765FB142"/>
    <w:rsid w:val="76616125"/>
    <w:rsid w:val="76717059"/>
    <w:rsid w:val="7672226F"/>
    <w:rsid w:val="7672B596"/>
    <w:rsid w:val="7672DB12"/>
    <w:rsid w:val="76730F21"/>
    <w:rsid w:val="7677C8B9"/>
    <w:rsid w:val="76788923"/>
    <w:rsid w:val="767E4AF5"/>
    <w:rsid w:val="767F652D"/>
    <w:rsid w:val="76827628"/>
    <w:rsid w:val="768A4333"/>
    <w:rsid w:val="768F0E39"/>
    <w:rsid w:val="768F6F77"/>
    <w:rsid w:val="76921DEF"/>
    <w:rsid w:val="76952B4E"/>
    <w:rsid w:val="7696B797"/>
    <w:rsid w:val="769A86EC"/>
    <w:rsid w:val="769B0222"/>
    <w:rsid w:val="769EFD30"/>
    <w:rsid w:val="769F0508"/>
    <w:rsid w:val="769F1624"/>
    <w:rsid w:val="769F4661"/>
    <w:rsid w:val="769F9965"/>
    <w:rsid w:val="76A1F728"/>
    <w:rsid w:val="76A266E5"/>
    <w:rsid w:val="76A42011"/>
    <w:rsid w:val="76A47832"/>
    <w:rsid w:val="76A711FF"/>
    <w:rsid w:val="76AEE04F"/>
    <w:rsid w:val="76B394C6"/>
    <w:rsid w:val="76B4CD00"/>
    <w:rsid w:val="76B55DA6"/>
    <w:rsid w:val="76B7E24D"/>
    <w:rsid w:val="76BAE259"/>
    <w:rsid w:val="76BCF15D"/>
    <w:rsid w:val="76C37797"/>
    <w:rsid w:val="76C44043"/>
    <w:rsid w:val="76C4A08F"/>
    <w:rsid w:val="76CBC6B7"/>
    <w:rsid w:val="76CBF15E"/>
    <w:rsid w:val="76CFD89A"/>
    <w:rsid w:val="76D77D2C"/>
    <w:rsid w:val="76D77FD4"/>
    <w:rsid w:val="76D91380"/>
    <w:rsid w:val="76D94A26"/>
    <w:rsid w:val="76DC959C"/>
    <w:rsid w:val="76E04386"/>
    <w:rsid w:val="76E1C06C"/>
    <w:rsid w:val="76E4FB9A"/>
    <w:rsid w:val="76E8E6E3"/>
    <w:rsid w:val="76E98FFD"/>
    <w:rsid w:val="76E9F8FF"/>
    <w:rsid w:val="76ED55C7"/>
    <w:rsid w:val="76EE94AE"/>
    <w:rsid w:val="76F166EC"/>
    <w:rsid w:val="76F48984"/>
    <w:rsid w:val="76F4B7DC"/>
    <w:rsid w:val="76F55881"/>
    <w:rsid w:val="76F5686B"/>
    <w:rsid w:val="76F73E3B"/>
    <w:rsid w:val="76FBF260"/>
    <w:rsid w:val="76FCDFFC"/>
    <w:rsid w:val="76FD2798"/>
    <w:rsid w:val="77007E63"/>
    <w:rsid w:val="7703AC98"/>
    <w:rsid w:val="7704574F"/>
    <w:rsid w:val="770A046C"/>
    <w:rsid w:val="770D0E3C"/>
    <w:rsid w:val="770F05BA"/>
    <w:rsid w:val="770F2B00"/>
    <w:rsid w:val="7711FD06"/>
    <w:rsid w:val="7712404D"/>
    <w:rsid w:val="7714759B"/>
    <w:rsid w:val="7714BDAB"/>
    <w:rsid w:val="77180BF9"/>
    <w:rsid w:val="771AB40B"/>
    <w:rsid w:val="771BA28A"/>
    <w:rsid w:val="771CA20A"/>
    <w:rsid w:val="771DB734"/>
    <w:rsid w:val="771DC5D8"/>
    <w:rsid w:val="771E4C2B"/>
    <w:rsid w:val="771EFB5A"/>
    <w:rsid w:val="77205C8F"/>
    <w:rsid w:val="7722B13E"/>
    <w:rsid w:val="77261519"/>
    <w:rsid w:val="77270991"/>
    <w:rsid w:val="772AAF40"/>
    <w:rsid w:val="772C7625"/>
    <w:rsid w:val="77305899"/>
    <w:rsid w:val="7731DF40"/>
    <w:rsid w:val="7736B288"/>
    <w:rsid w:val="77397784"/>
    <w:rsid w:val="7742E25B"/>
    <w:rsid w:val="77441977"/>
    <w:rsid w:val="77452040"/>
    <w:rsid w:val="7747DA07"/>
    <w:rsid w:val="7749A553"/>
    <w:rsid w:val="7749C04E"/>
    <w:rsid w:val="774A4273"/>
    <w:rsid w:val="774DADEA"/>
    <w:rsid w:val="77524201"/>
    <w:rsid w:val="775261D9"/>
    <w:rsid w:val="77533E09"/>
    <w:rsid w:val="77545773"/>
    <w:rsid w:val="7754C2C6"/>
    <w:rsid w:val="77568109"/>
    <w:rsid w:val="7757DD17"/>
    <w:rsid w:val="775924B6"/>
    <w:rsid w:val="775E1153"/>
    <w:rsid w:val="7763918F"/>
    <w:rsid w:val="776699DF"/>
    <w:rsid w:val="776711B9"/>
    <w:rsid w:val="776ACCD0"/>
    <w:rsid w:val="776BAE66"/>
    <w:rsid w:val="776EC821"/>
    <w:rsid w:val="7771C94F"/>
    <w:rsid w:val="7774D839"/>
    <w:rsid w:val="77793192"/>
    <w:rsid w:val="77793F57"/>
    <w:rsid w:val="7779CDE3"/>
    <w:rsid w:val="77836E95"/>
    <w:rsid w:val="7784AD32"/>
    <w:rsid w:val="7784B13B"/>
    <w:rsid w:val="77850FB1"/>
    <w:rsid w:val="7786A7C9"/>
    <w:rsid w:val="778915CD"/>
    <w:rsid w:val="778B2535"/>
    <w:rsid w:val="778B3527"/>
    <w:rsid w:val="778DA5EC"/>
    <w:rsid w:val="77903A04"/>
    <w:rsid w:val="7790CFA4"/>
    <w:rsid w:val="7791741B"/>
    <w:rsid w:val="77934B04"/>
    <w:rsid w:val="77941AA0"/>
    <w:rsid w:val="7798DFA8"/>
    <w:rsid w:val="77998C7A"/>
    <w:rsid w:val="7799925F"/>
    <w:rsid w:val="779C50F9"/>
    <w:rsid w:val="779CA4EA"/>
    <w:rsid w:val="779D7AED"/>
    <w:rsid w:val="779E3AA9"/>
    <w:rsid w:val="779E9995"/>
    <w:rsid w:val="779EBF1D"/>
    <w:rsid w:val="77A107F4"/>
    <w:rsid w:val="77A562E4"/>
    <w:rsid w:val="77A5AE6A"/>
    <w:rsid w:val="77A7D972"/>
    <w:rsid w:val="77A7E637"/>
    <w:rsid w:val="77A8EAC2"/>
    <w:rsid w:val="77A90783"/>
    <w:rsid w:val="77A9A854"/>
    <w:rsid w:val="77AD0033"/>
    <w:rsid w:val="77AFBF9C"/>
    <w:rsid w:val="77B00166"/>
    <w:rsid w:val="77B245EE"/>
    <w:rsid w:val="77B29099"/>
    <w:rsid w:val="77B6B481"/>
    <w:rsid w:val="77B86741"/>
    <w:rsid w:val="77BA547F"/>
    <w:rsid w:val="77BC42F8"/>
    <w:rsid w:val="77BD6F21"/>
    <w:rsid w:val="77BF49F5"/>
    <w:rsid w:val="77C05531"/>
    <w:rsid w:val="77C07EC0"/>
    <w:rsid w:val="77C34495"/>
    <w:rsid w:val="77C42240"/>
    <w:rsid w:val="77C53EC1"/>
    <w:rsid w:val="77C9535B"/>
    <w:rsid w:val="77CEF372"/>
    <w:rsid w:val="77D056E7"/>
    <w:rsid w:val="77D0EFE8"/>
    <w:rsid w:val="77D642BA"/>
    <w:rsid w:val="77D76128"/>
    <w:rsid w:val="77D89895"/>
    <w:rsid w:val="77DD5806"/>
    <w:rsid w:val="77DEFBD0"/>
    <w:rsid w:val="77DFCD07"/>
    <w:rsid w:val="77E02F0F"/>
    <w:rsid w:val="77E2B788"/>
    <w:rsid w:val="77E331FC"/>
    <w:rsid w:val="77E3B493"/>
    <w:rsid w:val="77E60CCF"/>
    <w:rsid w:val="77E66069"/>
    <w:rsid w:val="77E8C33A"/>
    <w:rsid w:val="77EC2CBF"/>
    <w:rsid w:val="77ED01A4"/>
    <w:rsid w:val="77EE8C57"/>
    <w:rsid w:val="77FAF08B"/>
    <w:rsid w:val="77FB2B48"/>
    <w:rsid w:val="77FB8699"/>
    <w:rsid w:val="77FBBDBE"/>
    <w:rsid w:val="77FDF7A8"/>
    <w:rsid w:val="77FEECA0"/>
    <w:rsid w:val="77FF9734"/>
    <w:rsid w:val="7805F3D9"/>
    <w:rsid w:val="780693DC"/>
    <w:rsid w:val="78071C6E"/>
    <w:rsid w:val="7807E5D8"/>
    <w:rsid w:val="78087653"/>
    <w:rsid w:val="7808783E"/>
    <w:rsid w:val="7808D332"/>
    <w:rsid w:val="780C62F2"/>
    <w:rsid w:val="780DFE45"/>
    <w:rsid w:val="780E8DC1"/>
    <w:rsid w:val="7815DB5C"/>
    <w:rsid w:val="78177C1D"/>
    <w:rsid w:val="7819510D"/>
    <w:rsid w:val="781AC372"/>
    <w:rsid w:val="781B6D26"/>
    <w:rsid w:val="781BA3C4"/>
    <w:rsid w:val="781E5887"/>
    <w:rsid w:val="781EA30A"/>
    <w:rsid w:val="78202BED"/>
    <w:rsid w:val="78204808"/>
    <w:rsid w:val="78204876"/>
    <w:rsid w:val="78228B92"/>
    <w:rsid w:val="78238398"/>
    <w:rsid w:val="7824FC84"/>
    <w:rsid w:val="7825BEF0"/>
    <w:rsid w:val="7827BC49"/>
    <w:rsid w:val="782A4BBC"/>
    <w:rsid w:val="782BCCBF"/>
    <w:rsid w:val="782DA15F"/>
    <w:rsid w:val="782F1DDD"/>
    <w:rsid w:val="782F3082"/>
    <w:rsid w:val="78315399"/>
    <w:rsid w:val="78334A27"/>
    <w:rsid w:val="7835555A"/>
    <w:rsid w:val="7836D3F1"/>
    <w:rsid w:val="783B91C1"/>
    <w:rsid w:val="783E30EB"/>
    <w:rsid w:val="783E7886"/>
    <w:rsid w:val="783F25A3"/>
    <w:rsid w:val="78409989"/>
    <w:rsid w:val="78434668"/>
    <w:rsid w:val="7844BD58"/>
    <w:rsid w:val="78452D37"/>
    <w:rsid w:val="7846F739"/>
    <w:rsid w:val="78489AC0"/>
    <w:rsid w:val="7848B0EB"/>
    <w:rsid w:val="7851FE80"/>
    <w:rsid w:val="7852C395"/>
    <w:rsid w:val="7852CADD"/>
    <w:rsid w:val="7854B5CF"/>
    <w:rsid w:val="7856B192"/>
    <w:rsid w:val="785D61D9"/>
    <w:rsid w:val="785E98D9"/>
    <w:rsid w:val="78615C68"/>
    <w:rsid w:val="7863CCD4"/>
    <w:rsid w:val="78655777"/>
    <w:rsid w:val="78662374"/>
    <w:rsid w:val="786689A0"/>
    <w:rsid w:val="78681F6F"/>
    <w:rsid w:val="786B05D6"/>
    <w:rsid w:val="786DA2DB"/>
    <w:rsid w:val="786FF80F"/>
    <w:rsid w:val="7872B18E"/>
    <w:rsid w:val="787390D4"/>
    <w:rsid w:val="7875F109"/>
    <w:rsid w:val="787897BC"/>
    <w:rsid w:val="787DDD04"/>
    <w:rsid w:val="787FEC99"/>
    <w:rsid w:val="7881137E"/>
    <w:rsid w:val="788124C4"/>
    <w:rsid w:val="7883900B"/>
    <w:rsid w:val="7883F978"/>
    <w:rsid w:val="78849211"/>
    <w:rsid w:val="7886D940"/>
    <w:rsid w:val="788AF867"/>
    <w:rsid w:val="788D4344"/>
    <w:rsid w:val="788DA857"/>
    <w:rsid w:val="788EF9EF"/>
    <w:rsid w:val="78920E29"/>
    <w:rsid w:val="7894F773"/>
    <w:rsid w:val="78964958"/>
    <w:rsid w:val="7897A22F"/>
    <w:rsid w:val="78992F08"/>
    <w:rsid w:val="789E6070"/>
    <w:rsid w:val="789EC787"/>
    <w:rsid w:val="78A3A434"/>
    <w:rsid w:val="78A526CA"/>
    <w:rsid w:val="78A7779A"/>
    <w:rsid w:val="78AD0DE9"/>
    <w:rsid w:val="78ADD097"/>
    <w:rsid w:val="78AF0A68"/>
    <w:rsid w:val="78AF20C7"/>
    <w:rsid w:val="78AF51C0"/>
    <w:rsid w:val="78B00B32"/>
    <w:rsid w:val="78B49D85"/>
    <w:rsid w:val="78B8C344"/>
    <w:rsid w:val="78B8CE6D"/>
    <w:rsid w:val="78BA1140"/>
    <w:rsid w:val="78BA2942"/>
    <w:rsid w:val="78BC8681"/>
    <w:rsid w:val="78BF9389"/>
    <w:rsid w:val="78C0287D"/>
    <w:rsid w:val="78C0D729"/>
    <w:rsid w:val="78C18C3F"/>
    <w:rsid w:val="78C2835A"/>
    <w:rsid w:val="78C3CD99"/>
    <w:rsid w:val="78C662A9"/>
    <w:rsid w:val="78C725D8"/>
    <w:rsid w:val="78C9DCA5"/>
    <w:rsid w:val="78CB15CC"/>
    <w:rsid w:val="78CF3963"/>
    <w:rsid w:val="78D0E99B"/>
    <w:rsid w:val="78D18ACD"/>
    <w:rsid w:val="78D3A3EC"/>
    <w:rsid w:val="78D617F9"/>
    <w:rsid w:val="78D7A63A"/>
    <w:rsid w:val="78D8A4EF"/>
    <w:rsid w:val="78D936A2"/>
    <w:rsid w:val="78DB8C2E"/>
    <w:rsid w:val="78DBD500"/>
    <w:rsid w:val="78DD2BE6"/>
    <w:rsid w:val="78E3DF39"/>
    <w:rsid w:val="78E576AA"/>
    <w:rsid w:val="78E6D822"/>
    <w:rsid w:val="78E71E8A"/>
    <w:rsid w:val="78EA1A82"/>
    <w:rsid w:val="78EA8422"/>
    <w:rsid w:val="78ECC7DA"/>
    <w:rsid w:val="78ED24C5"/>
    <w:rsid w:val="78EE15EC"/>
    <w:rsid w:val="78EF48B7"/>
    <w:rsid w:val="78F0F2F7"/>
    <w:rsid w:val="78F0F5CD"/>
    <w:rsid w:val="78F11FEC"/>
    <w:rsid w:val="78F21409"/>
    <w:rsid w:val="78F32A02"/>
    <w:rsid w:val="78F3D1B1"/>
    <w:rsid w:val="78F5049F"/>
    <w:rsid w:val="78F564CF"/>
    <w:rsid w:val="78F6B08B"/>
    <w:rsid w:val="78F7AB6E"/>
    <w:rsid w:val="78F98CE6"/>
    <w:rsid w:val="78FA6FF3"/>
    <w:rsid w:val="78FAE9A7"/>
    <w:rsid w:val="78FC5F35"/>
    <w:rsid w:val="78FD467B"/>
    <w:rsid w:val="78FD86D7"/>
    <w:rsid w:val="79040F9B"/>
    <w:rsid w:val="7904D4BE"/>
    <w:rsid w:val="79075C0D"/>
    <w:rsid w:val="79088376"/>
    <w:rsid w:val="79099B2F"/>
    <w:rsid w:val="790AD912"/>
    <w:rsid w:val="790BC74D"/>
    <w:rsid w:val="791374D6"/>
    <w:rsid w:val="791A0492"/>
    <w:rsid w:val="791AB242"/>
    <w:rsid w:val="791DA352"/>
    <w:rsid w:val="79200651"/>
    <w:rsid w:val="79211909"/>
    <w:rsid w:val="79229466"/>
    <w:rsid w:val="7924DCF1"/>
    <w:rsid w:val="792A2393"/>
    <w:rsid w:val="792AB867"/>
    <w:rsid w:val="792D38CC"/>
    <w:rsid w:val="79307525"/>
    <w:rsid w:val="79349311"/>
    <w:rsid w:val="793632E2"/>
    <w:rsid w:val="7936ADBA"/>
    <w:rsid w:val="7936F4C5"/>
    <w:rsid w:val="7937BADE"/>
    <w:rsid w:val="793EEA62"/>
    <w:rsid w:val="79409F6A"/>
    <w:rsid w:val="794123D6"/>
    <w:rsid w:val="794227BC"/>
    <w:rsid w:val="79447CF8"/>
    <w:rsid w:val="79459F49"/>
    <w:rsid w:val="79465A28"/>
    <w:rsid w:val="7946D4F5"/>
    <w:rsid w:val="794751B0"/>
    <w:rsid w:val="794ABD34"/>
    <w:rsid w:val="794C0E75"/>
    <w:rsid w:val="794CE843"/>
    <w:rsid w:val="794D29B5"/>
    <w:rsid w:val="7952E823"/>
    <w:rsid w:val="7953E92B"/>
    <w:rsid w:val="79581B6C"/>
    <w:rsid w:val="795830CB"/>
    <w:rsid w:val="7959CCF5"/>
    <w:rsid w:val="795B8221"/>
    <w:rsid w:val="795B8F07"/>
    <w:rsid w:val="795F0F86"/>
    <w:rsid w:val="79665847"/>
    <w:rsid w:val="79680B3F"/>
    <w:rsid w:val="796AA5A6"/>
    <w:rsid w:val="796B516A"/>
    <w:rsid w:val="796E3554"/>
    <w:rsid w:val="796EF304"/>
    <w:rsid w:val="796FC630"/>
    <w:rsid w:val="7970BD94"/>
    <w:rsid w:val="79728DE7"/>
    <w:rsid w:val="79747FA5"/>
    <w:rsid w:val="7974EB55"/>
    <w:rsid w:val="79753587"/>
    <w:rsid w:val="79754802"/>
    <w:rsid w:val="797816C8"/>
    <w:rsid w:val="7978DA0E"/>
    <w:rsid w:val="797A01E2"/>
    <w:rsid w:val="7982E555"/>
    <w:rsid w:val="79854184"/>
    <w:rsid w:val="79878589"/>
    <w:rsid w:val="79924E8A"/>
    <w:rsid w:val="79947D89"/>
    <w:rsid w:val="7994FA93"/>
    <w:rsid w:val="799562D1"/>
    <w:rsid w:val="79974627"/>
    <w:rsid w:val="799D9B1F"/>
    <w:rsid w:val="799DA75D"/>
    <w:rsid w:val="799F8EE2"/>
    <w:rsid w:val="799F8FED"/>
    <w:rsid w:val="79A2AD55"/>
    <w:rsid w:val="79A4EB31"/>
    <w:rsid w:val="79A55227"/>
    <w:rsid w:val="79A9DB08"/>
    <w:rsid w:val="79AA452D"/>
    <w:rsid w:val="79ABBFB8"/>
    <w:rsid w:val="79AC0915"/>
    <w:rsid w:val="79AC2B00"/>
    <w:rsid w:val="79AD319D"/>
    <w:rsid w:val="79ADFCF8"/>
    <w:rsid w:val="79AFEC1D"/>
    <w:rsid w:val="79B0DA9E"/>
    <w:rsid w:val="79B2A2AC"/>
    <w:rsid w:val="79B4C733"/>
    <w:rsid w:val="79B643AB"/>
    <w:rsid w:val="79B734E8"/>
    <w:rsid w:val="79B88994"/>
    <w:rsid w:val="79BAA246"/>
    <w:rsid w:val="79BC2A7F"/>
    <w:rsid w:val="79BE7441"/>
    <w:rsid w:val="79C1C91A"/>
    <w:rsid w:val="79C32ED8"/>
    <w:rsid w:val="79CAF527"/>
    <w:rsid w:val="79CB720C"/>
    <w:rsid w:val="79CDD830"/>
    <w:rsid w:val="79CFDD22"/>
    <w:rsid w:val="79D0485A"/>
    <w:rsid w:val="79D4369C"/>
    <w:rsid w:val="79D8DD4B"/>
    <w:rsid w:val="79D9B65A"/>
    <w:rsid w:val="79D9DD2D"/>
    <w:rsid w:val="79DA07A7"/>
    <w:rsid w:val="79DBF5EC"/>
    <w:rsid w:val="79DBF92E"/>
    <w:rsid w:val="79DE82A5"/>
    <w:rsid w:val="79DEFD8E"/>
    <w:rsid w:val="79E0DC3D"/>
    <w:rsid w:val="79E3D6AA"/>
    <w:rsid w:val="79E46F9A"/>
    <w:rsid w:val="79E4AB5A"/>
    <w:rsid w:val="79E6C109"/>
    <w:rsid w:val="79E90EF0"/>
    <w:rsid w:val="79E93FC5"/>
    <w:rsid w:val="79EBF3AF"/>
    <w:rsid w:val="79EC7CE6"/>
    <w:rsid w:val="79ED607A"/>
    <w:rsid w:val="79EF1E0F"/>
    <w:rsid w:val="79F57FE8"/>
    <w:rsid w:val="79FA80D3"/>
    <w:rsid w:val="79FAF00E"/>
    <w:rsid w:val="79FC3BFD"/>
    <w:rsid w:val="79FD39D9"/>
    <w:rsid w:val="7A021915"/>
    <w:rsid w:val="7A028AED"/>
    <w:rsid w:val="7A047001"/>
    <w:rsid w:val="7A05A10C"/>
    <w:rsid w:val="7A05A136"/>
    <w:rsid w:val="7A087ADB"/>
    <w:rsid w:val="7A08A618"/>
    <w:rsid w:val="7A0BF788"/>
    <w:rsid w:val="7A0C059A"/>
    <w:rsid w:val="7A1034AF"/>
    <w:rsid w:val="7A10B5B8"/>
    <w:rsid w:val="7A10DDFF"/>
    <w:rsid w:val="7A115575"/>
    <w:rsid w:val="7A11891F"/>
    <w:rsid w:val="7A131055"/>
    <w:rsid w:val="7A13130F"/>
    <w:rsid w:val="7A13DA40"/>
    <w:rsid w:val="7A164848"/>
    <w:rsid w:val="7A17C6BC"/>
    <w:rsid w:val="7A180AF2"/>
    <w:rsid w:val="7A181D0E"/>
    <w:rsid w:val="7A197351"/>
    <w:rsid w:val="7A1AE852"/>
    <w:rsid w:val="7A1D4CDA"/>
    <w:rsid w:val="7A1D57B5"/>
    <w:rsid w:val="7A20B01F"/>
    <w:rsid w:val="7A213B46"/>
    <w:rsid w:val="7A226400"/>
    <w:rsid w:val="7A229C1F"/>
    <w:rsid w:val="7A2422D4"/>
    <w:rsid w:val="7A242ED9"/>
    <w:rsid w:val="7A249817"/>
    <w:rsid w:val="7A265CDE"/>
    <w:rsid w:val="7A2A29DC"/>
    <w:rsid w:val="7A2BD239"/>
    <w:rsid w:val="7A30B752"/>
    <w:rsid w:val="7A320D27"/>
    <w:rsid w:val="7A33D7FD"/>
    <w:rsid w:val="7A340A8B"/>
    <w:rsid w:val="7A34C0D0"/>
    <w:rsid w:val="7A353F0C"/>
    <w:rsid w:val="7A372179"/>
    <w:rsid w:val="7A398F56"/>
    <w:rsid w:val="7A3AE746"/>
    <w:rsid w:val="7A3C5E50"/>
    <w:rsid w:val="7A3DF7BE"/>
    <w:rsid w:val="7A43BED9"/>
    <w:rsid w:val="7A452962"/>
    <w:rsid w:val="7A475A20"/>
    <w:rsid w:val="7A4F6CDC"/>
    <w:rsid w:val="7A4F9E15"/>
    <w:rsid w:val="7A5014EF"/>
    <w:rsid w:val="7A507D76"/>
    <w:rsid w:val="7A5193C1"/>
    <w:rsid w:val="7A53DA04"/>
    <w:rsid w:val="7A550DC4"/>
    <w:rsid w:val="7A55C4ED"/>
    <w:rsid w:val="7A571E05"/>
    <w:rsid w:val="7A591F09"/>
    <w:rsid w:val="7A5B3FC1"/>
    <w:rsid w:val="7A5DEC59"/>
    <w:rsid w:val="7A62DC50"/>
    <w:rsid w:val="7A642A99"/>
    <w:rsid w:val="7A645A0F"/>
    <w:rsid w:val="7A69EEF4"/>
    <w:rsid w:val="7A6A04A7"/>
    <w:rsid w:val="7A6B4542"/>
    <w:rsid w:val="7A6C6A8A"/>
    <w:rsid w:val="7A6C9EB3"/>
    <w:rsid w:val="7A725CB8"/>
    <w:rsid w:val="7A748DAD"/>
    <w:rsid w:val="7A762AB9"/>
    <w:rsid w:val="7A7722CD"/>
    <w:rsid w:val="7A78BE05"/>
    <w:rsid w:val="7A78E9EC"/>
    <w:rsid w:val="7A79221D"/>
    <w:rsid w:val="7A7966DA"/>
    <w:rsid w:val="7A7A376B"/>
    <w:rsid w:val="7A7E68A6"/>
    <w:rsid w:val="7A81545E"/>
    <w:rsid w:val="7A835D49"/>
    <w:rsid w:val="7A8528BD"/>
    <w:rsid w:val="7A895B73"/>
    <w:rsid w:val="7A8A1F21"/>
    <w:rsid w:val="7A8B1918"/>
    <w:rsid w:val="7A8D6B22"/>
    <w:rsid w:val="7A8EA503"/>
    <w:rsid w:val="7A8F4CDE"/>
    <w:rsid w:val="7A918B8B"/>
    <w:rsid w:val="7A9277E9"/>
    <w:rsid w:val="7A9278B2"/>
    <w:rsid w:val="7A96F6EA"/>
    <w:rsid w:val="7A9760EC"/>
    <w:rsid w:val="7A982F96"/>
    <w:rsid w:val="7A9A6097"/>
    <w:rsid w:val="7A9CA645"/>
    <w:rsid w:val="7A9D48CA"/>
    <w:rsid w:val="7A9D6682"/>
    <w:rsid w:val="7A9FDDD3"/>
    <w:rsid w:val="7AA11134"/>
    <w:rsid w:val="7AA22389"/>
    <w:rsid w:val="7AA4FDFA"/>
    <w:rsid w:val="7AA941BA"/>
    <w:rsid w:val="7AAA5699"/>
    <w:rsid w:val="7AAC49B0"/>
    <w:rsid w:val="7AAE21E5"/>
    <w:rsid w:val="7AAE7929"/>
    <w:rsid w:val="7AB3F06C"/>
    <w:rsid w:val="7AB60819"/>
    <w:rsid w:val="7ABA53C2"/>
    <w:rsid w:val="7ABCA93F"/>
    <w:rsid w:val="7ABE516C"/>
    <w:rsid w:val="7AC04A4C"/>
    <w:rsid w:val="7AC54DBE"/>
    <w:rsid w:val="7AC5CE88"/>
    <w:rsid w:val="7AC6556D"/>
    <w:rsid w:val="7AC6FD03"/>
    <w:rsid w:val="7AC7B671"/>
    <w:rsid w:val="7AC8B2B5"/>
    <w:rsid w:val="7ACE6B91"/>
    <w:rsid w:val="7ACFB91C"/>
    <w:rsid w:val="7AD0D775"/>
    <w:rsid w:val="7AD20DC7"/>
    <w:rsid w:val="7AD3B049"/>
    <w:rsid w:val="7AD5332E"/>
    <w:rsid w:val="7AD5504C"/>
    <w:rsid w:val="7AD66A14"/>
    <w:rsid w:val="7AD7D6B5"/>
    <w:rsid w:val="7ADB52BC"/>
    <w:rsid w:val="7ADCC94C"/>
    <w:rsid w:val="7AE0D663"/>
    <w:rsid w:val="7AE167F6"/>
    <w:rsid w:val="7AE8A403"/>
    <w:rsid w:val="7AE8B662"/>
    <w:rsid w:val="7AE98FE6"/>
    <w:rsid w:val="7AE9F6DF"/>
    <w:rsid w:val="7AEA5F0B"/>
    <w:rsid w:val="7AED1AC8"/>
    <w:rsid w:val="7AED532E"/>
    <w:rsid w:val="7AEE241A"/>
    <w:rsid w:val="7AEE5A85"/>
    <w:rsid w:val="7AF053B7"/>
    <w:rsid w:val="7AF0E53C"/>
    <w:rsid w:val="7AF4251B"/>
    <w:rsid w:val="7AFD8997"/>
    <w:rsid w:val="7AFF55AF"/>
    <w:rsid w:val="7AFFDB14"/>
    <w:rsid w:val="7B019DE9"/>
    <w:rsid w:val="7B03F04C"/>
    <w:rsid w:val="7B05918A"/>
    <w:rsid w:val="7B07AB61"/>
    <w:rsid w:val="7B0B9358"/>
    <w:rsid w:val="7B11428F"/>
    <w:rsid w:val="7B11863F"/>
    <w:rsid w:val="7B163FCE"/>
    <w:rsid w:val="7B1CE9B8"/>
    <w:rsid w:val="7B1D74F1"/>
    <w:rsid w:val="7B1E2113"/>
    <w:rsid w:val="7B1EC2EF"/>
    <w:rsid w:val="7B248173"/>
    <w:rsid w:val="7B2AC7BD"/>
    <w:rsid w:val="7B2B4BC1"/>
    <w:rsid w:val="7B2B6335"/>
    <w:rsid w:val="7B2BE5F4"/>
    <w:rsid w:val="7B2DEBC6"/>
    <w:rsid w:val="7B2F2595"/>
    <w:rsid w:val="7B302768"/>
    <w:rsid w:val="7B38F41B"/>
    <w:rsid w:val="7B392E0E"/>
    <w:rsid w:val="7B39C929"/>
    <w:rsid w:val="7B3CA847"/>
    <w:rsid w:val="7B40C692"/>
    <w:rsid w:val="7B417147"/>
    <w:rsid w:val="7B466E7B"/>
    <w:rsid w:val="7B46BFA4"/>
    <w:rsid w:val="7B47380D"/>
    <w:rsid w:val="7B4ABBAC"/>
    <w:rsid w:val="7B4AF560"/>
    <w:rsid w:val="7B4D68D5"/>
    <w:rsid w:val="7B4F9A2B"/>
    <w:rsid w:val="7B4FEDBF"/>
    <w:rsid w:val="7B547745"/>
    <w:rsid w:val="7B54EABD"/>
    <w:rsid w:val="7B5606FF"/>
    <w:rsid w:val="7B5920DE"/>
    <w:rsid w:val="7B5AA766"/>
    <w:rsid w:val="7B5AD21D"/>
    <w:rsid w:val="7B5BD098"/>
    <w:rsid w:val="7B5FCA10"/>
    <w:rsid w:val="7B603BDA"/>
    <w:rsid w:val="7B629D21"/>
    <w:rsid w:val="7B631211"/>
    <w:rsid w:val="7B6367D1"/>
    <w:rsid w:val="7B642C5D"/>
    <w:rsid w:val="7B66EC2A"/>
    <w:rsid w:val="7B69E61B"/>
    <w:rsid w:val="7B6A0D27"/>
    <w:rsid w:val="7B6C3998"/>
    <w:rsid w:val="7B6CC5A1"/>
    <w:rsid w:val="7B6EB34A"/>
    <w:rsid w:val="7B6FCC1C"/>
    <w:rsid w:val="7B7256AD"/>
    <w:rsid w:val="7B73E1D9"/>
    <w:rsid w:val="7B74DB5B"/>
    <w:rsid w:val="7B74F73D"/>
    <w:rsid w:val="7B750908"/>
    <w:rsid w:val="7B75D447"/>
    <w:rsid w:val="7B75D808"/>
    <w:rsid w:val="7B765518"/>
    <w:rsid w:val="7B77C8AF"/>
    <w:rsid w:val="7B788066"/>
    <w:rsid w:val="7B7D20B3"/>
    <w:rsid w:val="7B7F0673"/>
    <w:rsid w:val="7B8463D5"/>
    <w:rsid w:val="7B84E4F7"/>
    <w:rsid w:val="7B8709D9"/>
    <w:rsid w:val="7B874E9F"/>
    <w:rsid w:val="7B8B5557"/>
    <w:rsid w:val="7B8D3236"/>
    <w:rsid w:val="7B8DC466"/>
    <w:rsid w:val="7B8F058B"/>
    <w:rsid w:val="7B9466B2"/>
    <w:rsid w:val="7B997971"/>
    <w:rsid w:val="7B9B7C8F"/>
    <w:rsid w:val="7B9BD435"/>
    <w:rsid w:val="7BA12B58"/>
    <w:rsid w:val="7BA22BEA"/>
    <w:rsid w:val="7BA2E9AF"/>
    <w:rsid w:val="7BA39363"/>
    <w:rsid w:val="7BA3BFD3"/>
    <w:rsid w:val="7BA4E192"/>
    <w:rsid w:val="7BA6093E"/>
    <w:rsid w:val="7BA675DE"/>
    <w:rsid w:val="7BA7E8AB"/>
    <w:rsid w:val="7BA874B3"/>
    <w:rsid w:val="7BABC832"/>
    <w:rsid w:val="7BB075EB"/>
    <w:rsid w:val="7BB178B1"/>
    <w:rsid w:val="7BB1A96A"/>
    <w:rsid w:val="7BB21E04"/>
    <w:rsid w:val="7BB462C8"/>
    <w:rsid w:val="7BB70518"/>
    <w:rsid w:val="7BBCA2B1"/>
    <w:rsid w:val="7BBCC5ED"/>
    <w:rsid w:val="7BBCCF31"/>
    <w:rsid w:val="7BBD5AFA"/>
    <w:rsid w:val="7BC0072F"/>
    <w:rsid w:val="7BC52D72"/>
    <w:rsid w:val="7BC599CD"/>
    <w:rsid w:val="7BC5ADC8"/>
    <w:rsid w:val="7BC80D90"/>
    <w:rsid w:val="7BC8B072"/>
    <w:rsid w:val="7BC8CD65"/>
    <w:rsid w:val="7BCCF40E"/>
    <w:rsid w:val="7BD1479D"/>
    <w:rsid w:val="7BD17941"/>
    <w:rsid w:val="7BD1F990"/>
    <w:rsid w:val="7BD49DFE"/>
    <w:rsid w:val="7BD75E8C"/>
    <w:rsid w:val="7BDF696E"/>
    <w:rsid w:val="7BE12ACD"/>
    <w:rsid w:val="7BE37BE0"/>
    <w:rsid w:val="7BE42D01"/>
    <w:rsid w:val="7BE463E4"/>
    <w:rsid w:val="7BE509FA"/>
    <w:rsid w:val="7BE6DE83"/>
    <w:rsid w:val="7BEC6EC8"/>
    <w:rsid w:val="7BECE4BA"/>
    <w:rsid w:val="7BED404E"/>
    <w:rsid w:val="7BEDDC06"/>
    <w:rsid w:val="7BF16837"/>
    <w:rsid w:val="7BF214A5"/>
    <w:rsid w:val="7BF4903E"/>
    <w:rsid w:val="7BFB67EA"/>
    <w:rsid w:val="7BFB9345"/>
    <w:rsid w:val="7BFEA4A3"/>
    <w:rsid w:val="7C010D0B"/>
    <w:rsid w:val="7C0158C7"/>
    <w:rsid w:val="7C029FB8"/>
    <w:rsid w:val="7C03C8B0"/>
    <w:rsid w:val="7C045EF2"/>
    <w:rsid w:val="7C06072C"/>
    <w:rsid w:val="7C093908"/>
    <w:rsid w:val="7C095EF2"/>
    <w:rsid w:val="7C0A9E6E"/>
    <w:rsid w:val="7C0C5B2A"/>
    <w:rsid w:val="7C0D4973"/>
    <w:rsid w:val="7C0DBC61"/>
    <w:rsid w:val="7C0ED95A"/>
    <w:rsid w:val="7C111DA3"/>
    <w:rsid w:val="7C114844"/>
    <w:rsid w:val="7C13014E"/>
    <w:rsid w:val="7C130AF0"/>
    <w:rsid w:val="7C135B73"/>
    <w:rsid w:val="7C1585E0"/>
    <w:rsid w:val="7C198339"/>
    <w:rsid w:val="7C1B1505"/>
    <w:rsid w:val="7C1BDDD6"/>
    <w:rsid w:val="7C1C8C3B"/>
    <w:rsid w:val="7C1CD930"/>
    <w:rsid w:val="7C1E6AD5"/>
    <w:rsid w:val="7C1F80C8"/>
    <w:rsid w:val="7C20C14F"/>
    <w:rsid w:val="7C25DD24"/>
    <w:rsid w:val="7C26BA98"/>
    <w:rsid w:val="7C26E14E"/>
    <w:rsid w:val="7C29887C"/>
    <w:rsid w:val="7C2BE29C"/>
    <w:rsid w:val="7C2D2382"/>
    <w:rsid w:val="7C2DEC33"/>
    <w:rsid w:val="7C2FDD14"/>
    <w:rsid w:val="7C3016D0"/>
    <w:rsid w:val="7C30349F"/>
    <w:rsid w:val="7C3137C0"/>
    <w:rsid w:val="7C3502B9"/>
    <w:rsid w:val="7C36BAC5"/>
    <w:rsid w:val="7C375603"/>
    <w:rsid w:val="7C3A3BD8"/>
    <w:rsid w:val="7C3A5DA7"/>
    <w:rsid w:val="7C3C5964"/>
    <w:rsid w:val="7C3CFA32"/>
    <w:rsid w:val="7C42BDB9"/>
    <w:rsid w:val="7C449A6A"/>
    <w:rsid w:val="7C44ABE5"/>
    <w:rsid w:val="7C45A9DB"/>
    <w:rsid w:val="7C461E41"/>
    <w:rsid w:val="7C49073F"/>
    <w:rsid w:val="7C4D2217"/>
    <w:rsid w:val="7C5001CA"/>
    <w:rsid w:val="7C549211"/>
    <w:rsid w:val="7C5497EF"/>
    <w:rsid w:val="7C5586D4"/>
    <w:rsid w:val="7C598C2A"/>
    <w:rsid w:val="7C5AEC43"/>
    <w:rsid w:val="7C5BFC20"/>
    <w:rsid w:val="7C5C7F97"/>
    <w:rsid w:val="7C5F9CDD"/>
    <w:rsid w:val="7C63A3BD"/>
    <w:rsid w:val="7C693E66"/>
    <w:rsid w:val="7C698896"/>
    <w:rsid w:val="7C69D3C3"/>
    <w:rsid w:val="7C6B09F5"/>
    <w:rsid w:val="7C6BA354"/>
    <w:rsid w:val="7C6DF275"/>
    <w:rsid w:val="7C6E9292"/>
    <w:rsid w:val="7C715315"/>
    <w:rsid w:val="7C7533FE"/>
    <w:rsid w:val="7C777A0C"/>
    <w:rsid w:val="7C79C140"/>
    <w:rsid w:val="7C7B94B0"/>
    <w:rsid w:val="7C7D0655"/>
    <w:rsid w:val="7C7D9A7C"/>
    <w:rsid w:val="7C803C1F"/>
    <w:rsid w:val="7C839A9D"/>
    <w:rsid w:val="7C854043"/>
    <w:rsid w:val="7C890271"/>
    <w:rsid w:val="7C8A94AA"/>
    <w:rsid w:val="7C8F03A8"/>
    <w:rsid w:val="7C95691D"/>
    <w:rsid w:val="7C988E89"/>
    <w:rsid w:val="7C9C087F"/>
    <w:rsid w:val="7C9C3980"/>
    <w:rsid w:val="7C9CF6A6"/>
    <w:rsid w:val="7C9D95BA"/>
    <w:rsid w:val="7C9F3FAC"/>
    <w:rsid w:val="7CA37503"/>
    <w:rsid w:val="7CA57A46"/>
    <w:rsid w:val="7CA61EA5"/>
    <w:rsid w:val="7CA87051"/>
    <w:rsid w:val="7CAACB02"/>
    <w:rsid w:val="7CACED29"/>
    <w:rsid w:val="7CACFD7C"/>
    <w:rsid w:val="7CAD65F4"/>
    <w:rsid w:val="7CAEC748"/>
    <w:rsid w:val="7CB308A5"/>
    <w:rsid w:val="7CB42598"/>
    <w:rsid w:val="7CB5A6C3"/>
    <w:rsid w:val="7CB9EDB6"/>
    <w:rsid w:val="7CBA2BFB"/>
    <w:rsid w:val="7CBA759D"/>
    <w:rsid w:val="7CBE6A4D"/>
    <w:rsid w:val="7CC051D4"/>
    <w:rsid w:val="7CC0F58C"/>
    <w:rsid w:val="7CC337A9"/>
    <w:rsid w:val="7CC3D8FC"/>
    <w:rsid w:val="7CC450D0"/>
    <w:rsid w:val="7CC549DB"/>
    <w:rsid w:val="7CC762BF"/>
    <w:rsid w:val="7CC7BEBC"/>
    <w:rsid w:val="7CCE0512"/>
    <w:rsid w:val="7CD0F5E3"/>
    <w:rsid w:val="7CD3AAE2"/>
    <w:rsid w:val="7CD47624"/>
    <w:rsid w:val="7CD5003C"/>
    <w:rsid w:val="7CD5B4F4"/>
    <w:rsid w:val="7CDACDB4"/>
    <w:rsid w:val="7CDAEB0A"/>
    <w:rsid w:val="7CDC5CE7"/>
    <w:rsid w:val="7CDC6FA1"/>
    <w:rsid w:val="7CDDCC30"/>
    <w:rsid w:val="7CDE990A"/>
    <w:rsid w:val="7CDEBFFE"/>
    <w:rsid w:val="7CDF71C8"/>
    <w:rsid w:val="7CE5568C"/>
    <w:rsid w:val="7CE6FF9A"/>
    <w:rsid w:val="7CE7A52B"/>
    <w:rsid w:val="7CEBA092"/>
    <w:rsid w:val="7CEF0F04"/>
    <w:rsid w:val="7CEFAB38"/>
    <w:rsid w:val="7CF11468"/>
    <w:rsid w:val="7CF29B42"/>
    <w:rsid w:val="7CF2F99B"/>
    <w:rsid w:val="7CF386FE"/>
    <w:rsid w:val="7CF3B110"/>
    <w:rsid w:val="7CF668FA"/>
    <w:rsid w:val="7CFCB8D4"/>
    <w:rsid w:val="7CFDE739"/>
    <w:rsid w:val="7CFE94C1"/>
    <w:rsid w:val="7D005EE3"/>
    <w:rsid w:val="7D0185FA"/>
    <w:rsid w:val="7D01968D"/>
    <w:rsid w:val="7D0335D6"/>
    <w:rsid w:val="7D0366C3"/>
    <w:rsid w:val="7D0903AA"/>
    <w:rsid w:val="7D091E94"/>
    <w:rsid w:val="7D09C28A"/>
    <w:rsid w:val="7D09F6F6"/>
    <w:rsid w:val="7D0BD2F6"/>
    <w:rsid w:val="7D0D0D25"/>
    <w:rsid w:val="7D0DDCBB"/>
    <w:rsid w:val="7D11EA38"/>
    <w:rsid w:val="7D12FB19"/>
    <w:rsid w:val="7D18882A"/>
    <w:rsid w:val="7D1B9DC5"/>
    <w:rsid w:val="7D1BC416"/>
    <w:rsid w:val="7D1F3377"/>
    <w:rsid w:val="7D1F45ED"/>
    <w:rsid w:val="7D20B2CB"/>
    <w:rsid w:val="7D220EBA"/>
    <w:rsid w:val="7D262640"/>
    <w:rsid w:val="7D29845D"/>
    <w:rsid w:val="7D29B034"/>
    <w:rsid w:val="7D2D0AB6"/>
    <w:rsid w:val="7D2F3AA0"/>
    <w:rsid w:val="7D2FEB07"/>
    <w:rsid w:val="7D303713"/>
    <w:rsid w:val="7D34EC2C"/>
    <w:rsid w:val="7D363ED9"/>
    <w:rsid w:val="7D375912"/>
    <w:rsid w:val="7D3918FF"/>
    <w:rsid w:val="7D399AE1"/>
    <w:rsid w:val="7D3B3CE1"/>
    <w:rsid w:val="7D3B8442"/>
    <w:rsid w:val="7D3C65D6"/>
    <w:rsid w:val="7D3C786A"/>
    <w:rsid w:val="7D3F1DAC"/>
    <w:rsid w:val="7D426D47"/>
    <w:rsid w:val="7D47C202"/>
    <w:rsid w:val="7D4C8DCD"/>
    <w:rsid w:val="7D4D0644"/>
    <w:rsid w:val="7D4F850A"/>
    <w:rsid w:val="7D55479E"/>
    <w:rsid w:val="7D56BBF1"/>
    <w:rsid w:val="7D5752BF"/>
    <w:rsid w:val="7D5B2B1F"/>
    <w:rsid w:val="7D5BCECD"/>
    <w:rsid w:val="7D5EB9CE"/>
    <w:rsid w:val="7D601307"/>
    <w:rsid w:val="7D617A64"/>
    <w:rsid w:val="7D629385"/>
    <w:rsid w:val="7D633B61"/>
    <w:rsid w:val="7D68EA4B"/>
    <w:rsid w:val="7D69EDAD"/>
    <w:rsid w:val="7D6A7734"/>
    <w:rsid w:val="7D6DE98C"/>
    <w:rsid w:val="7D71224C"/>
    <w:rsid w:val="7D732EED"/>
    <w:rsid w:val="7D74F0A7"/>
    <w:rsid w:val="7D75FCB9"/>
    <w:rsid w:val="7D7A1ED3"/>
    <w:rsid w:val="7D7A30C8"/>
    <w:rsid w:val="7D7D4953"/>
    <w:rsid w:val="7D80CEB8"/>
    <w:rsid w:val="7D80EF85"/>
    <w:rsid w:val="7D820C0F"/>
    <w:rsid w:val="7D8269AF"/>
    <w:rsid w:val="7D8435E6"/>
    <w:rsid w:val="7D850D60"/>
    <w:rsid w:val="7D87CEAA"/>
    <w:rsid w:val="7D88FC87"/>
    <w:rsid w:val="7D89616C"/>
    <w:rsid w:val="7D8A7BC5"/>
    <w:rsid w:val="7D8B7A51"/>
    <w:rsid w:val="7D8B926A"/>
    <w:rsid w:val="7D8BB772"/>
    <w:rsid w:val="7D8CBBDA"/>
    <w:rsid w:val="7D8F9E13"/>
    <w:rsid w:val="7D90458B"/>
    <w:rsid w:val="7D935BA1"/>
    <w:rsid w:val="7D9377C4"/>
    <w:rsid w:val="7D9740FC"/>
    <w:rsid w:val="7D9A418A"/>
    <w:rsid w:val="7D9C367E"/>
    <w:rsid w:val="7DA1BF3B"/>
    <w:rsid w:val="7DA451C9"/>
    <w:rsid w:val="7DA676E0"/>
    <w:rsid w:val="7DA77866"/>
    <w:rsid w:val="7DA7F5F2"/>
    <w:rsid w:val="7DAAE93E"/>
    <w:rsid w:val="7DABEE92"/>
    <w:rsid w:val="7DAC2E2F"/>
    <w:rsid w:val="7DAC36E5"/>
    <w:rsid w:val="7DAF450D"/>
    <w:rsid w:val="7DAFBBC9"/>
    <w:rsid w:val="7DB141F1"/>
    <w:rsid w:val="7DB16774"/>
    <w:rsid w:val="7DB1A3C9"/>
    <w:rsid w:val="7DB23ADB"/>
    <w:rsid w:val="7DB24260"/>
    <w:rsid w:val="7DB3EDAF"/>
    <w:rsid w:val="7DB4C088"/>
    <w:rsid w:val="7DB689EF"/>
    <w:rsid w:val="7DB78921"/>
    <w:rsid w:val="7DBF6F03"/>
    <w:rsid w:val="7DC1FF41"/>
    <w:rsid w:val="7DC58411"/>
    <w:rsid w:val="7DC5D339"/>
    <w:rsid w:val="7DC73B80"/>
    <w:rsid w:val="7DC7E97C"/>
    <w:rsid w:val="7DC817AB"/>
    <w:rsid w:val="7DC82286"/>
    <w:rsid w:val="7DCB7257"/>
    <w:rsid w:val="7DCD04AA"/>
    <w:rsid w:val="7DCF2D04"/>
    <w:rsid w:val="7DCFA087"/>
    <w:rsid w:val="7DCFFDA4"/>
    <w:rsid w:val="7DD3D675"/>
    <w:rsid w:val="7DD6A028"/>
    <w:rsid w:val="7DD6DA9C"/>
    <w:rsid w:val="7DDA669E"/>
    <w:rsid w:val="7DDB0467"/>
    <w:rsid w:val="7DDBF789"/>
    <w:rsid w:val="7DDEBF07"/>
    <w:rsid w:val="7DDEF672"/>
    <w:rsid w:val="7DE21E49"/>
    <w:rsid w:val="7DE2A4E5"/>
    <w:rsid w:val="7DE7D0FA"/>
    <w:rsid w:val="7DE8F67A"/>
    <w:rsid w:val="7DEA7122"/>
    <w:rsid w:val="7DF1084D"/>
    <w:rsid w:val="7DF7BC1A"/>
    <w:rsid w:val="7DFA2880"/>
    <w:rsid w:val="7DFBB072"/>
    <w:rsid w:val="7DFC498D"/>
    <w:rsid w:val="7DFCD626"/>
    <w:rsid w:val="7DFE6A68"/>
    <w:rsid w:val="7DFE9758"/>
    <w:rsid w:val="7DFF35D1"/>
    <w:rsid w:val="7DFF90CD"/>
    <w:rsid w:val="7E02291E"/>
    <w:rsid w:val="7E03FB21"/>
    <w:rsid w:val="7E042968"/>
    <w:rsid w:val="7E064889"/>
    <w:rsid w:val="7E0A8E7A"/>
    <w:rsid w:val="7E0BBCCF"/>
    <w:rsid w:val="7E0C49A6"/>
    <w:rsid w:val="7E0CFC13"/>
    <w:rsid w:val="7E0D61B8"/>
    <w:rsid w:val="7E0F797A"/>
    <w:rsid w:val="7E119B33"/>
    <w:rsid w:val="7E131841"/>
    <w:rsid w:val="7E14EC3D"/>
    <w:rsid w:val="7E16076B"/>
    <w:rsid w:val="7E17C4B1"/>
    <w:rsid w:val="7E1DF828"/>
    <w:rsid w:val="7E20E630"/>
    <w:rsid w:val="7E214E3E"/>
    <w:rsid w:val="7E235CB0"/>
    <w:rsid w:val="7E24D44C"/>
    <w:rsid w:val="7E2597F3"/>
    <w:rsid w:val="7E274DD8"/>
    <w:rsid w:val="7E2991A3"/>
    <w:rsid w:val="7E2CAEE9"/>
    <w:rsid w:val="7E2D871B"/>
    <w:rsid w:val="7E2EBC07"/>
    <w:rsid w:val="7E30F98C"/>
    <w:rsid w:val="7E3168A2"/>
    <w:rsid w:val="7E3A995A"/>
    <w:rsid w:val="7E3C57FA"/>
    <w:rsid w:val="7E3E12BD"/>
    <w:rsid w:val="7E3E3359"/>
    <w:rsid w:val="7E411C72"/>
    <w:rsid w:val="7E418AF4"/>
    <w:rsid w:val="7E42FEC5"/>
    <w:rsid w:val="7E4B5874"/>
    <w:rsid w:val="7E4E2A16"/>
    <w:rsid w:val="7E505D10"/>
    <w:rsid w:val="7E526CC8"/>
    <w:rsid w:val="7E5275DD"/>
    <w:rsid w:val="7E535A34"/>
    <w:rsid w:val="7E566872"/>
    <w:rsid w:val="7E5DC265"/>
    <w:rsid w:val="7E5E74DB"/>
    <w:rsid w:val="7E648C60"/>
    <w:rsid w:val="7E6505B3"/>
    <w:rsid w:val="7E652605"/>
    <w:rsid w:val="7E6930CC"/>
    <w:rsid w:val="7E6C1176"/>
    <w:rsid w:val="7E6C2AA0"/>
    <w:rsid w:val="7E6C9243"/>
    <w:rsid w:val="7E6CADF5"/>
    <w:rsid w:val="7E7169EB"/>
    <w:rsid w:val="7E71A027"/>
    <w:rsid w:val="7E75AFA5"/>
    <w:rsid w:val="7E7A6462"/>
    <w:rsid w:val="7E7C3E19"/>
    <w:rsid w:val="7E7C6593"/>
    <w:rsid w:val="7E7EF357"/>
    <w:rsid w:val="7E85BDD5"/>
    <w:rsid w:val="7E87E530"/>
    <w:rsid w:val="7E8C4CBE"/>
    <w:rsid w:val="7E8E0BE2"/>
    <w:rsid w:val="7E8EF278"/>
    <w:rsid w:val="7E8F0386"/>
    <w:rsid w:val="7E904606"/>
    <w:rsid w:val="7E90CE01"/>
    <w:rsid w:val="7E90FAB3"/>
    <w:rsid w:val="7E912FE9"/>
    <w:rsid w:val="7E916271"/>
    <w:rsid w:val="7E919BC4"/>
    <w:rsid w:val="7E91FAFB"/>
    <w:rsid w:val="7E9DD4E4"/>
    <w:rsid w:val="7EA44E86"/>
    <w:rsid w:val="7EA5B67F"/>
    <w:rsid w:val="7EA645C0"/>
    <w:rsid w:val="7EAAD69F"/>
    <w:rsid w:val="7EACFA61"/>
    <w:rsid w:val="7EAED96F"/>
    <w:rsid w:val="7EB57E90"/>
    <w:rsid w:val="7EB71A22"/>
    <w:rsid w:val="7EB77BE1"/>
    <w:rsid w:val="7EBA9306"/>
    <w:rsid w:val="7EBC34A7"/>
    <w:rsid w:val="7EBD8A50"/>
    <w:rsid w:val="7EBE4346"/>
    <w:rsid w:val="7EBF8ABD"/>
    <w:rsid w:val="7EC01C63"/>
    <w:rsid w:val="7EC0A051"/>
    <w:rsid w:val="7EC15BE0"/>
    <w:rsid w:val="7EC4F75F"/>
    <w:rsid w:val="7EC5B0A9"/>
    <w:rsid w:val="7EC5B8DB"/>
    <w:rsid w:val="7ECD6C55"/>
    <w:rsid w:val="7ECDE18A"/>
    <w:rsid w:val="7ECE70A4"/>
    <w:rsid w:val="7ED22735"/>
    <w:rsid w:val="7ED2CF1C"/>
    <w:rsid w:val="7ED65E76"/>
    <w:rsid w:val="7ED6D049"/>
    <w:rsid w:val="7EDB8972"/>
    <w:rsid w:val="7EE24859"/>
    <w:rsid w:val="7EE2E2B6"/>
    <w:rsid w:val="7EEABECD"/>
    <w:rsid w:val="7EEAC37B"/>
    <w:rsid w:val="7EEC0758"/>
    <w:rsid w:val="7EEDDAF9"/>
    <w:rsid w:val="7EEE792F"/>
    <w:rsid w:val="7EF1FC2B"/>
    <w:rsid w:val="7EF21CC7"/>
    <w:rsid w:val="7EF2CD9D"/>
    <w:rsid w:val="7EFBEFA2"/>
    <w:rsid w:val="7EFEC9F5"/>
    <w:rsid w:val="7F00BD44"/>
    <w:rsid w:val="7F02CA89"/>
    <w:rsid w:val="7F02D2B7"/>
    <w:rsid w:val="7F078CDD"/>
    <w:rsid w:val="7F07C0DA"/>
    <w:rsid w:val="7F09C26C"/>
    <w:rsid w:val="7F0EBC6C"/>
    <w:rsid w:val="7F0FB54A"/>
    <w:rsid w:val="7F11F067"/>
    <w:rsid w:val="7F121BA7"/>
    <w:rsid w:val="7F15D4D9"/>
    <w:rsid w:val="7F174B86"/>
    <w:rsid w:val="7F1799A2"/>
    <w:rsid w:val="7F17B43E"/>
    <w:rsid w:val="7F1827E7"/>
    <w:rsid w:val="7F18BFB3"/>
    <w:rsid w:val="7F199CEC"/>
    <w:rsid w:val="7F1E26BD"/>
    <w:rsid w:val="7F235F46"/>
    <w:rsid w:val="7F259830"/>
    <w:rsid w:val="7F2896E4"/>
    <w:rsid w:val="7F29DA3B"/>
    <w:rsid w:val="7F2A85DC"/>
    <w:rsid w:val="7F2D38E0"/>
    <w:rsid w:val="7F309FEB"/>
    <w:rsid w:val="7F30A86B"/>
    <w:rsid w:val="7F322C7B"/>
    <w:rsid w:val="7F330187"/>
    <w:rsid w:val="7F359E31"/>
    <w:rsid w:val="7F35B629"/>
    <w:rsid w:val="7F35E502"/>
    <w:rsid w:val="7F36D3A9"/>
    <w:rsid w:val="7F37277D"/>
    <w:rsid w:val="7F3803A5"/>
    <w:rsid w:val="7F3B9B49"/>
    <w:rsid w:val="7F3C1A26"/>
    <w:rsid w:val="7F3D540E"/>
    <w:rsid w:val="7F3E5904"/>
    <w:rsid w:val="7F41B062"/>
    <w:rsid w:val="7F41E5E6"/>
    <w:rsid w:val="7F43574C"/>
    <w:rsid w:val="7F445423"/>
    <w:rsid w:val="7F47FA44"/>
    <w:rsid w:val="7F4869E3"/>
    <w:rsid w:val="7F486A91"/>
    <w:rsid w:val="7F4B5F94"/>
    <w:rsid w:val="7F4D891D"/>
    <w:rsid w:val="7F5064C4"/>
    <w:rsid w:val="7F50CA10"/>
    <w:rsid w:val="7F519CAF"/>
    <w:rsid w:val="7F53E8D8"/>
    <w:rsid w:val="7F56588E"/>
    <w:rsid w:val="7F5A78C5"/>
    <w:rsid w:val="7F5DC85E"/>
    <w:rsid w:val="7F5F622D"/>
    <w:rsid w:val="7F611E72"/>
    <w:rsid w:val="7F62FE47"/>
    <w:rsid w:val="7F64580C"/>
    <w:rsid w:val="7F690312"/>
    <w:rsid w:val="7F6A59A2"/>
    <w:rsid w:val="7F6C82CB"/>
    <w:rsid w:val="7F6C8CFE"/>
    <w:rsid w:val="7F6CA201"/>
    <w:rsid w:val="7F71B976"/>
    <w:rsid w:val="7F71C123"/>
    <w:rsid w:val="7F7208CD"/>
    <w:rsid w:val="7F738802"/>
    <w:rsid w:val="7F750A34"/>
    <w:rsid w:val="7F759BC6"/>
    <w:rsid w:val="7F762BE1"/>
    <w:rsid w:val="7F76867F"/>
    <w:rsid w:val="7F78A497"/>
    <w:rsid w:val="7F78F819"/>
    <w:rsid w:val="7F79A88C"/>
    <w:rsid w:val="7F807F0F"/>
    <w:rsid w:val="7F830329"/>
    <w:rsid w:val="7F846976"/>
    <w:rsid w:val="7F85B24C"/>
    <w:rsid w:val="7F8A7A2C"/>
    <w:rsid w:val="7F8AEEE6"/>
    <w:rsid w:val="7F8B10BD"/>
    <w:rsid w:val="7F8EF001"/>
    <w:rsid w:val="7F91E35E"/>
    <w:rsid w:val="7F944E71"/>
    <w:rsid w:val="7F983AF8"/>
    <w:rsid w:val="7F987937"/>
    <w:rsid w:val="7F998EB3"/>
    <w:rsid w:val="7F9A2047"/>
    <w:rsid w:val="7F9A5FE4"/>
    <w:rsid w:val="7F9CF1D5"/>
    <w:rsid w:val="7FA22495"/>
    <w:rsid w:val="7FA2B425"/>
    <w:rsid w:val="7FA3D12A"/>
    <w:rsid w:val="7FA65EEF"/>
    <w:rsid w:val="7FA9E2F7"/>
    <w:rsid w:val="7FABF1D0"/>
    <w:rsid w:val="7FAC3D11"/>
    <w:rsid w:val="7FAC3E07"/>
    <w:rsid w:val="7FACBE18"/>
    <w:rsid w:val="7FADF66C"/>
    <w:rsid w:val="7FAFF79A"/>
    <w:rsid w:val="7FB054DA"/>
    <w:rsid w:val="7FB12999"/>
    <w:rsid w:val="7FB149F0"/>
    <w:rsid w:val="7FB20AA3"/>
    <w:rsid w:val="7FB27B08"/>
    <w:rsid w:val="7FB2D233"/>
    <w:rsid w:val="7FB7932F"/>
    <w:rsid w:val="7FB7CA01"/>
    <w:rsid w:val="7FB8B7E2"/>
    <w:rsid w:val="7FBA53E3"/>
    <w:rsid w:val="7FBBAF93"/>
    <w:rsid w:val="7FBEAADE"/>
    <w:rsid w:val="7FBFFA88"/>
    <w:rsid w:val="7FC04ED9"/>
    <w:rsid w:val="7FC13258"/>
    <w:rsid w:val="7FC37A23"/>
    <w:rsid w:val="7FC6DF70"/>
    <w:rsid w:val="7FC9FB00"/>
    <w:rsid w:val="7FCA0DFB"/>
    <w:rsid w:val="7FCBD2A8"/>
    <w:rsid w:val="7FCCA079"/>
    <w:rsid w:val="7FD49814"/>
    <w:rsid w:val="7FD8C8F3"/>
    <w:rsid w:val="7FDB2FA4"/>
    <w:rsid w:val="7FDDF6A6"/>
    <w:rsid w:val="7FDF6EC0"/>
    <w:rsid w:val="7FE2EE92"/>
    <w:rsid w:val="7FE32DBF"/>
    <w:rsid w:val="7FE5B76A"/>
    <w:rsid w:val="7FE92C8E"/>
    <w:rsid w:val="7FEC37C1"/>
    <w:rsid w:val="7FED90F4"/>
    <w:rsid w:val="7FEFDF7E"/>
    <w:rsid w:val="7FF03BC6"/>
    <w:rsid w:val="7FF063BF"/>
    <w:rsid w:val="7FF08FE6"/>
    <w:rsid w:val="7FF1B608"/>
    <w:rsid w:val="7FF2EE81"/>
    <w:rsid w:val="7FF32242"/>
    <w:rsid w:val="7FF499FC"/>
    <w:rsid w:val="7FF64A12"/>
    <w:rsid w:val="7FF6AA01"/>
    <w:rsid w:val="7FFF1AF0"/>
  </w:rsids>
  <m:mathPr>
    <m:mathFont m:val="Cambria Math"/>
    <m:brkBin m:val="before"/>
    <m:brkBinSub m:val="--"/>
    <m:smallFrac m:val="0"/>
    <m:dispDef/>
    <m:lMargin m:val="0"/>
    <m:rMargin m:val="0"/>
    <m:defJc m:val="centerGroup"/>
    <m:wrapIndent m:val="1440"/>
    <m:intLim m:val="subSup"/>
    <m:naryLim m:val="undOvr"/>
  </m:mathPr>
  <w:themeFontLang w:va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33AADFD4"/>
  <w15:docId w15:val="{683840B1-8385-455A-89D9-B6CB5C1D7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lang w:val="nl" w:eastAsia="nl-N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26FEB"/>
  </w:style>
  <w:style w:type="paragraph" w:styleId="Heading1">
    <w:name w:val="heading 1"/>
    <w:basedOn w:val="Normal"/>
    <w:next w:val="Normal"/>
    <w:pPr>
      <w:keepNext/>
      <w:spacing w:before="360" w:after="120" w:line="240" w:lineRule="auto"/>
      <w:ind w:left="850" w:hanging="850"/>
      <w:jc w:val="both"/>
      <w:outlineLvl w:val="0"/>
    </w:pPr>
    <w:rPr>
      <w:rFonts w:ascii="Times New Roman" w:eastAsia="Times New Roman" w:hAnsi="Times New Roman" w:cs="Times New Roman"/>
      <w:b/>
      <w:smallCaps/>
      <w:sz w:val="24"/>
    </w:rPr>
  </w:style>
  <w:style w:type="paragraph" w:styleId="Heading2">
    <w:name w:val="heading 2"/>
    <w:basedOn w:val="Normal"/>
    <w:next w:val="Normal"/>
    <w:pPr>
      <w:keepNext/>
      <w:spacing w:before="120" w:after="120" w:line="240" w:lineRule="auto"/>
      <w:ind w:left="850" w:hanging="850"/>
      <w:jc w:val="both"/>
      <w:outlineLvl w:val="1"/>
    </w:pPr>
    <w:rPr>
      <w:rFonts w:ascii="Times New Roman" w:eastAsia="Times New Roman" w:hAnsi="Times New Roman" w:cs="Times New Roman"/>
      <w:b/>
      <w:sz w:val="24"/>
    </w:rPr>
  </w:style>
  <w:style w:type="paragraph" w:styleId="Heading3">
    <w:name w:val="heading 3"/>
    <w:basedOn w:val="Normal"/>
    <w:next w:val="Normal"/>
    <w:pPr>
      <w:keepNext/>
      <w:spacing w:before="120" w:after="120" w:line="240" w:lineRule="auto"/>
      <w:ind w:left="850" w:hanging="850"/>
      <w:jc w:val="both"/>
      <w:outlineLvl w:val="2"/>
    </w:pPr>
    <w:rPr>
      <w:rFonts w:ascii="Times New Roman" w:eastAsia="Times New Roman" w:hAnsi="Times New Roman" w:cs="Times New Roman"/>
      <w:i/>
      <w:sz w:val="24"/>
    </w:rPr>
  </w:style>
  <w:style w:type="paragraph" w:styleId="Heading4">
    <w:name w:val="heading 4"/>
    <w:basedOn w:val="Normal"/>
    <w:next w:val="Normal"/>
    <w:pPr>
      <w:keepNext/>
      <w:spacing w:before="120" w:after="120" w:line="240" w:lineRule="auto"/>
      <w:ind w:left="850" w:hanging="850"/>
      <w:jc w:val="both"/>
      <w:outlineLvl w:val="3"/>
    </w:pPr>
    <w:rPr>
      <w:rFonts w:ascii="Times New Roman" w:eastAsia="Times New Roman" w:hAnsi="Times New Roman" w:cs="Times New Roman"/>
      <w:sz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rPr>
  </w:style>
  <w:style w:type="paragraph" w:customStyle="1" w:styleId="Normal0">
    <w:name w:val="Normal0"/>
  </w:style>
  <w:style w:type="paragraph" w:customStyle="1" w:styleId="heading10">
    <w:name w:val="heading 10"/>
    <w:basedOn w:val="Normal0"/>
    <w:next w:val="Normal0"/>
    <w:pPr>
      <w:keepNext/>
      <w:spacing w:before="360" w:after="120" w:line="240" w:lineRule="auto"/>
      <w:ind w:left="850" w:hanging="850"/>
      <w:jc w:val="both"/>
      <w:outlineLvl w:val="0"/>
    </w:pPr>
    <w:rPr>
      <w:rFonts w:ascii="Times New Roman" w:eastAsia="Times New Roman" w:hAnsi="Times New Roman" w:cs="Times New Roman"/>
      <w:b/>
      <w:smallCaps/>
      <w:sz w:val="24"/>
    </w:rPr>
  </w:style>
  <w:style w:type="paragraph" w:customStyle="1" w:styleId="heading20">
    <w:name w:val="heading 20"/>
    <w:basedOn w:val="Normal0"/>
    <w:next w:val="Normal0"/>
    <w:pPr>
      <w:keepNext/>
      <w:spacing w:before="120" w:after="120" w:line="240" w:lineRule="auto"/>
      <w:ind w:left="850" w:hanging="850"/>
      <w:jc w:val="both"/>
      <w:outlineLvl w:val="1"/>
    </w:pPr>
    <w:rPr>
      <w:rFonts w:ascii="Times New Roman" w:eastAsia="Times New Roman" w:hAnsi="Times New Roman" w:cs="Times New Roman"/>
      <w:b/>
      <w:sz w:val="24"/>
    </w:rPr>
  </w:style>
  <w:style w:type="paragraph" w:customStyle="1" w:styleId="heading30">
    <w:name w:val="heading 30"/>
    <w:basedOn w:val="Normal0"/>
    <w:next w:val="Normal0"/>
    <w:pPr>
      <w:keepNext/>
      <w:spacing w:before="120" w:after="120" w:line="240" w:lineRule="auto"/>
      <w:ind w:left="850" w:hanging="850"/>
      <w:jc w:val="both"/>
      <w:outlineLvl w:val="2"/>
    </w:pPr>
    <w:rPr>
      <w:rFonts w:ascii="Times New Roman" w:eastAsia="Times New Roman" w:hAnsi="Times New Roman" w:cs="Times New Roman"/>
      <w:i/>
      <w:sz w:val="24"/>
    </w:rPr>
  </w:style>
  <w:style w:type="paragraph" w:customStyle="1" w:styleId="heading40">
    <w:name w:val="heading 40"/>
    <w:basedOn w:val="Normal0"/>
    <w:next w:val="Normal0"/>
    <w:pPr>
      <w:keepNext/>
      <w:spacing w:before="120" w:after="120" w:line="240" w:lineRule="auto"/>
      <w:ind w:left="850" w:hanging="850"/>
      <w:jc w:val="both"/>
      <w:outlineLvl w:val="3"/>
    </w:pPr>
    <w:rPr>
      <w:rFonts w:ascii="Times New Roman" w:eastAsia="Times New Roman" w:hAnsi="Times New Roman" w:cs="Times New Roman"/>
      <w:sz w:val="24"/>
    </w:rPr>
  </w:style>
  <w:style w:type="paragraph" w:customStyle="1" w:styleId="heading50">
    <w:name w:val="heading 50"/>
    <w:basedOn w:val="Normal0"/>
    <w:next w:val="Normal0"/>
    <w:pPr>
      <w:keepNext/>
      <w:keepLines/>
      <w:spacing w:before="220" w:after="40"/>
      <w:outlineLvl w:val="4"/>
    </w:pPr>
    <w:rPr>
      <w:b/>
    </w:rPr>
  </w:style>
  <w:style w:type="paragraph" w:customStyle="1" w:styleId="heading60">
    <w:name w:val="heading 60"/>
    <w:basedOn w:val="Normal0"/>
    <w:next w:val="Normal0"/>
    <w:pPr>
      <w:keepNext/>
      <w:keepLines/>
      <w:spacing w:before="200" w:after="40"/>
      <w:outlineLvl w:val="5"/>
    </w:pPr>
    <w:rPr>
      <w:b/>
      <w:sz w:val="20"/>
    </w:rPr>
  </w:style>
  <w:style w:type="table" w:customStyle="1" w:styleId="NormalTable0">
    <w:name w:val="Normal Table0"/>
    <w:uiPriority w:val="99"/>
    <w:semiHidden/>
    <w:unhideWhenUsed/>
    <w:tblPr>
      <w:tblInd w:w="0" w:type="dxa"/>
      <w:tblCellMar>
        <w:top w:w="0" w:type="dxa"/>
        <w:left w:w="108" w:type="dxa"/>
        <w:bottom w:w="0" w:type="dxa"/>
        <w:right w:w="108" w:type="dxa"/>
      </w:tblCellMar>
    </w:tblPr>
  </w:style>
  <w:style w:type="paragraph" w:customStyle="1" w:styleId="Title0">
    <w:name w:val="Title0"/>
    <w:basedOn w:val="Normal0"/>
    <w:next w:val="Normal0"/>
    <w:pPr>
      <w:keepNext/>
      <w:keepLines/>
      <w:spacing w:before="480" w:after="120"/>
    </w:pPr>
    <w:rPr>
      <w:b/>
      <w:sz w:val="72"/>
    </w:rPr>
  </w:style>
  <w:style w:type="paragraph" w:customStyle="1" w:styleId="Normal00">
    <w:name w:val="Normal00"/>
    <w:qFormat/>
  </w:style>
  <w:style w:type="paragraph" w:customStyle="1" w:styleId="heading100">
    <w:name w:val="heading 100"/>
    <w:basedOn w:val="Normal00"/>
    <w:next w:val="Text1"/>
    <w:link w:val="Heading1Char"/>
    <w:uiPriority w:val="9"/>
    <w:qFormat/>
    <w:pPr>
      <w:keepNext/>
      <w:tabs>
        <w:tab w:val="num" w:pos="720"/>
      </w:tabs>
      <w:spacing w:before="360" w:after="120" w:line="240" w:lineRule="auto"/>
      <w:ind w:left="720" w:hanging="720"/>
      <w:jc w:val="both"/>
      <w:outlineLvl w:val="0"/>
    </w:pPr>
    <w:rPr>
      <w:rFonts w:ascii="Times New Roman" w:eastAsiaTheme="majorEastAsia" w:hAnsi="Times New Roman" w:cs="Times New Roman"/>
      <w:b/>
      <w:smallCaps/>
      <w:sz w:val="24"/>
    </w:rPr>
  </w:style>
  <w:style w:type="paragraph" w:customStyle="1" w:styleId="heading200">
    <w:name w:val="heading 200"/>
    <w:basedOn w:val="Normal00"/>
    <w:next w:val="Text1"/>
    <w:link w:val="Heading2Char"/>
    <w:uiPriority w:val="9"/>
    <w:semiHidden/>
    <w:unhideWhenUsed/>
    <w:qFormat/>
    <w:pPr>
      <w:keepNext/>
      <w:tabs>
        <w:tab w:val="num" w:pos="1440"/>
      </w:tabs>
      <w:spacing w:before="120" w:after="120" w:line="240" w:lineRule="auto"/>
      <w:ind w:left="1440" w:hanging="720"/>
      <w:jc w:val="both"/>
      <w:outlineLvl w:val="1"/>
    </w:pPr>
    <w:rPr>
      <w:rFonts w:ascii="Times New Roman" w:eastAsiaTheme="majorEastAsia" w:hAnsi="Times New Roman" w:cs="Times New Roman"/>
      <w:b/>
      <w:sz w:val="24"/>
    </w:rPr>
  </w:style>
  <w:style w:type="paragraph" w:customStyle="1" w:styleId="heading300">
    <w:name w:val="heading 300"/>
    <w:basedOn w:val="Normal00"/>
    <w:next w:val="Text1"/>
    <w:link w:val="Heading3Char"/>
    <w:uiPriority w:val="9"/>
    <w:semiHidden/>
    <w:unhideWhenUsed/>
    <w:qFormat/>
    <w:pPr>
      <w:keepNext/>
      <w:tabs>
        <w:tab w:val="num" w:pos="2160"/>
      </w:tabs>
      <w:spacing w:before="120" w:after="120" w:line="240" w:lineRule="auto"/>
      <w:ind w:left="2160" w:hanging="720"/>
      <w:jc w:val="both"/>
      <w:outlineLvl w:val="2"/>
    </w:pPr>
    <w:rPr>
      <w:rFonts w:ascii="Times New Roman" w:eastAsiaTheme="majorEastAsia" w:hAnsi="Times New Roman" w:cs="Times New Roman"/>
      <w:i/>
      <w:sz w:val="24"/>
    </w:rPr>
  </w:style>
  <w:style w:type="paragraph" w:customStyle="1" w:styleId="heading400">
    <w:name w:val="heading 400"/>
    <w:basedOn w:val="Normal00"/>
    <w:next w:val="Text1"/>
    <w:link w:val="Heading4Char"/>
    <w:uiPriority w:val="9"/>
    <w:semiHidden/>
    <w:unhideWhenUsed/>
    <w:qFormat/>
    <w:pPr>
      <w:keepNext/>
      <w:tabs>
        <w:tab w:val="num" w:pos="2880"/>
      </w:tabs>
      <w:spacing w:before="120" w:after="120" w:line="240" w:lineRule="auto"/>
      <w:ind w:left="2880" w:hanging="720"/>
      <w:jc w:val="both"/>
      <w:outlineLvl w:val="3"/>
    </w:pPr>
    <w:rPr>
      <w:rFonts w:ascii="Times New Roman" w:eastAsiaTheme="majorEastAsia" w:hAnsi="Times New Roman" w:cs="Times New Roman"/>
      <w:sz w:val="24"/>
    </w:rPr>
  </w:style>
  <w:style w:type="table" w:customStyle="1" w:styleId="NormalTable00">
    <w:name w:val="Normal Table00"/>
    <w:uiPriority w:val="99"/>
    <w:semiHidden/>
    <w:unhideWhenUsed/>
    <w:tblPr>
      <w:tblInd w:w="0" w:type="dxa"/>
      <w:tblCellMar>
        <w:top w:w="0" w:type="dxa"/>
        <w:left w:w="108" w:type="dxa"/>
        <w:bottom w:w="0" w:type="dxa"/>
        <w:right w:w="108" w:type="dxa"/>
      </w:tblCellMar>
    </w:tblPr>
  </w:style>
  <w:style w:type="character" w:customStyle="1" w:styleId="Heading1Char">
    <w:name w:val="Heading 1 Char"/>
    <w:basedOn w:val="DefaultParagraphFont"/>
    <w:link w:val="heading100"/>
    <w:uiPriority w:val="9"/>
    <w:rPr>
      <w:rFonts w:ascii="Times New Roman" w:eastAsiaTheme="majorEastAsia" w:hAnsi="Times New Roman" w:cs="Times New Roman"/>
      <w:b/>
      <w:smallCaps/>
      <w:sz w:val="24"/>
    </w:rPr>
  </w:style>
  <w:style w:type="character" w:customStyle="1" w:styleId="Heading2Char">
    <w:name w:val="Heading 2 Char"/>
    <w:basedOn w:val="DefaultParagraphFont"/>
    <w:link w:val="heading200"/>
    <w:uiPriority w:val="9"/>
    <w:semiHidden/>
    <w:rPr>
      <w:rFonts w:ascii="Times New Roman" w:eastAsiaTheme="majorEastAsia" w:hAnsi="Times New Roman" w:cs="Times New Roman"/>
      <w:b/>
      <w:sz w:val="24"/>
    </w:rPr>
  </w:style>
  <w:style w:type="character" w:customStyle="1" w:styleId="Heading3Char">
    <w:name w:val="Heading 3 Char"/>
    <w:basedOn w:val="DefaultParagraphFont"/>
    <w:link w:val="heading300"/>
    <w:uiPriority w:val="9"/>
    <w:semiHidden/>
    <w:rPr>
      <w:rFonts w:ascii="Times New Roman" w:eastAsiaTheme="majorEastAsia" w:hAnsi="Times New Roman" w:cs="Times New Roman"/>
      <w:i/>
      <w:sz w:val="24"/>
    </w:rPr>
  </w:style>
  <w:style w:type="character" w:customStyle="1" w:styleId="Heading4Char">
    <w:name w:val="Heading 4 Char"/>
    <w:basedOn w:val="DefaultParagraphFont"/>
    <w:link w:val="heading400"/>
    <w:uiPriority w:val="9"/>
    <w:semiHidden/>
    <w:rPr>
      <w:rFonts w:ascii="Times New Roman" w:eastAsiaTheme="majorEastAsia" w:hAnsi="Times New Roman" w:cs="Times New Roman"/>
      <w:sz w:val="24"/>
    </w:rPr>
  </w:style>
  <w:style w:type="numbering" w:customStyle="1" w:styleId="NoList1">
    <w:name w:val="No List1"/>
    <w:next w:val="NoList"/>
    <w:uiPriority w:val="99"/>
    <w:semiHidden/>
    <w:unhideWhenUsed/>
  </w:style>
  <w:style w:type="character" w:styleId="CommentReference">
    <w:name w:val="annotation reference"/>
    <w:basedOn w:val="DefaultParagraphFont"/>
    <w:uiPriority w:val="99"/>
    <w:unhideWhenUsed/>
    <w:rPr>
      <w:sz w:val="16"/>
    </w:rPr>
  </w:style>
  <w:style w:type="paragraph" w:styleId="CommentText">
    <w:name w:val="annotation text"/>
    <w:basedOn w:val="Normal00"/>
    <w:link w:val="CommentTextChar"/>
    <w:uiPriority w:val="99"/>
    <w:unhideWhenUsed/>
    <w:pPr>
      <w:spacing w:before="120" w:after="120" w:line="240" w:lineRule="auto"/>
      <w:jc w:val="both"/>
    </w:pPr>
    <w:rPr>
      <w:rFonts w:ascii="Times New Roman" w:hAnsi="Times New Roman" w:cs="Times New Roman"/>
      <w:sz w:val="20"/>
    </w:rPr>
  </w:style>
  <w:style w:type="character" w:customStyle="1" w:styleId="CommentTextChar">
    <w:name w:val="Comment Text Char"/>
    <w:basedOn w:val="DefaultParagraphFont"/>
    <w:link w:val="CommentText"/>
    <w:uiPriority w:val="99"/>
    <w:rPr>
      <w:rFonts w:ascii="Times New Roman" w:hAnsi="Times New Roman" w:cs="Times New Roman"/>
      <w:sz w:val="20"/>
    </w:rPr>
  </w:style>
  <w:style w:type="paragraph" w:styleId="ListParagraph">
    <w:name w:val="List Paragraph"/>
    <w:aliases w:val="numbered list,2,OBC Bullet,Normal 1,Task Body,Viñetas (Inicio Parrafo),Paragrafo elenco,3 Txt tabla,Zerrenda-paragrafoa,Fiche List Paragraph,Dot pt,F5 List Paragraph,List Paragraph1,No Spacing1,List Paragraph Char Char Char,Indicator Text"/>
    <w:basedOn w:val="Normal00"/>
    <w:link w:val="ListParagraphChar"/>
    <w:uiPriority w:val="34"/>
    <w:qFormat/>
    <w:pPr>
      <w:spacing w:after="160" w:line="259" w:lineRule="auto"/>
      <w:ind w:left="720"/>
      <w:contextualSpacing/>
    </w:pPr>
  </w:style>
  <w:style w:type="character" w:customStyle="1" w:styleId="ListParagraphChar">
    <w:name w:val="List Paragraph Char"/>
    <w:aliases w:val="numbered list Char,2 Char,OBC Bullet Char,Normal 1 Char,Task Body Char,Viñetas (Inicio Parrafo) Char,Paragrafo elenco Char,3 Txt tabla Char,Zerrenda-paragrafoa Char,Fiche List Paragraph Char,Dot pt Char,F5 List Paragraph Char"/>
    <w:basedOn w:val="DefaultParagraphFont"/>
    <w:link w:val="ListParagraph"/>
    <w:uiPriority w:val="34"/>
    <w:qFormat/>
    <w:locked/>
  </w:style>
  <w:style w:type="character" w:styleId="IntenseEmphasis">
    <w:name w:val="Intense Emphasis"/>
    <w:basedOn w:val="DefaultParagraphFont"/>
    <w:uiPriority w:val="21"/>
    <w:qFormat/>
    <w:rPr>
      <w:i/>
      <w:color w:val="4F81BD" w:themeColor="accent1"/>
    </w:rPr>
  </w:style>
  <w:style w:type="paragraph" w:styleId="BalloonText">
    <w:name w:val="Balloon Text"/>
    <w:basedOn w:val="Normal00"/>
    <w:link w:val="BalloonTextChar"/>
    <w:uiPriority w:val="99"/>
    <w:semiHidden/>
    <w:unhideWhenUsed/>
    <w:pPr>
      <w:spacing w:after="0" w:line="240" w:lineRule="auto"/>
      <w:jc w:val="both"/>
    </w:pPr>
    <w:rPr>
      <w:rFonts w:ascii="Segoe UI" w:hAnsi="Segoe UI" w:cs="Segoe UI"/>
      <w:sz w:val="18"/>
    </w:rPr>
  </w:style>
  <w:style w:type="character" w:customStyle="1" w:styleId="BalloonTextChar">
    <w:name w:val="Balloon Text Char"/>
    <w:basedOn w:val="DefaultParagraphFont"/>
    <w:link w:val="BalloonText"/>
    <w:uiPriority w:val="99"/>
    <w:semiHidden/>
    <w:rPr>
      <w:rFonts w:ascii="Segoe UI" w:hAnsi="Segoe UI" w:cs="Segoe UI"/>
      <w:sz w:val="18"/>
    </w:rPr>
  </w:style>
  <w:style w:type="paragraph" w:styleId="ListBullet">
    <w:name w:val="List Bullet"/>
    <w:basedOn w:val="Normal00"/>
    <w:uiPriority w:val="99"/>
    <w:semiHidden/>
    <w:unhideWhenUsed/>
    <w:pPr>
      <w:tabs>
        <w:tab w:val="num" w:pos="720"/>
      </w:tabs>
      <w:spacing w:before="120" w:after="120" w:line="240" w:lineRule="auto"/>
      <w:ind w:left="720" w:hanging="720"/>
      <w:contextualSpacing/>
      <w:jc w:val="both"/>
    </w:pPr>
    <w:rPr>
      <w:rFonts w:ascii="Times New Roman" w:hAnsi="Times New Roman" w:cs="Times New Roman"/>
      <w:sz w:val="24"/>
    </w:rPr>
  </w:style>
  <w:style w:type="paragraph" w:styleId="ListBullet2">
    <w:name w:val="List Bullet 2"/>
    <w:basedOn w:val="Normal00"/>
    <w:uiPriority w:val="99"/>
    <w:unhideWhenUsed/>
    <w:pPr>
      <w:tabs>
        <w:tab w:val="num" w:pos="720"/>
      </w:tabs>
      <w:spacing w:before="120" w:after="120" w:line="240" w:lineRule="auto"/>
      <w:ind w:left="720" w:hanging="720"/>
      <w:contextualSpacing/>
      <w:jc w:val="both"/>
    </w:pPr>
    <w:rPr>
      <w:rFonts w:ascii="Times New Roman" w:hAnsi="Times New Roman" w:cs="Times New Roman"/>
      <w:sz w:val="24"/>
    </w:rPr>
  </w:style>
  <w:style w:type="paragraph" w:styleId="ListBullet3">
    <w:name w:val="List Bullet 3"/>
    <w:basedOn w:val="Normal00"/>
    <w:uiPriority w:val="99"/>
    <w:semiHidden/>
    <w:unhideWhenUsed/>
    <w:pPr>
      <w:tabs>
        <w:tab w:val="num" w:pos="720"/>
      </w:tabs>
      <w:spacing w:before="120" w:after="120" w:line="240" w:lineRule="auto"/>
      <w:ind w:left="720" w:hanging="720"/>
      <w:contextualSpacing/>
      <w:jc w:val="both"/>
    </w:pPr>
    <w:rPr>
      <w:rFonts w:ascii="Times New Roman" w:hAnsi="Times New Roman" w:cs="Times New Roman"/>
      <w:sz w:val="24"/>
    </w:rPr>
  </w:style>
  <w:style w:type="paragraph" w:styleId="ListBullet4">
    <w:name w:val="List Bullet 4"/>
    <w:basedOn w:val="Normal00"/>
    <w:uiPriority w:val="99"/>
    <w:semiHidden/>
    <w:unhideWhenUsed/>
    <w:pPr>
      <w:tabs>
        <w:tab w:val="num" w:pos="720"/>
      </w:tabs>
      <w:spacing w:before="120" w:after="120" w:line="240" w:lineRule="auto"/>
      <w:ind w:left="720" w:hanging="720"/>
      <w:contextualSpacing/>
      <w:jc w:val="both"/>
    </w:pPr>
    <w:rPr>
      <w:rFonts w:ascii="Times New Roman" w:hAnsi="Times New Roman" w:cs="Times New Roman"/>
      <w:sz w:val="24"/>
    </w:rPr>
  </w:style>
  <w:style w:type="paragraph" w:styleId="CommentSubject">
    <w:name w:val="annotation subject"/>
    <w:basedOn w:val="CommentText"/>
    <w:next w:val="CommentText"/>
    <w:link w:val="CommentSubjectChar"/>
    <w:uiPriority w:val="99"/>
    <w:semiHidden/>
    <w:unhideWhenUsed/>
    <w:rPr>
      <w:b/>
    </w:rPr>
  </w:style>
  <w:style w:type="character" w:customStyle="1" w:styleId="CommentSubjectChar">
    <w:name w:val="Comment Subject Char"/>
    <w:basedOn w:val="CommentTextChar"/>
    <w:link w:val="CommentSubject"/>
    <w:uiPriority w:val="99"/>
    <w:semiHidden/>
    <w:rPr>
      <w:rFonts w:ascii="Times New Roman" w:hAnsi="Times New Roman" w:cs="Times New Roman"/>
      <w:b/>
      <w:sz w:val="20"/>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Caption">
    <w:name w:val="caption"/>
    <w:basedOn w:val="Normal00"/>
    <w:next w:val="Normal00"/>
    <w:uiPriority w:val="35"/>
    <w:semiHidden/>
    <w:unhideWhenUsed/>
    <w:qFormat/>
    <w:pPr>
      <w:spacing w:line="240" w:lineRule="auto"/>
      <w:jc w:val="both"/>
    </w:pPr>
    <w:rPr>
      <w:rFonts w:ascii="Times New Roman" w:hAnsi="Times New Roman" w:cs="Times New Roman"/>
      <w:i/>
      <w:color w:val="1F497D" w:themeColor="text2"/>
      <w:sz w:val="18"/>
    </w:rPr>
  </w:style>
  <w:style w:type="paragraph" w:styleId="TableofFigures">
    <w:name w:val="table of figures"/>
    <w:basedOn w:val="Normal00"/>
    <w:next w:val="Normal00"/>
    <w:uiPriority w:val="99"/>
    <w:semiHidden/>
    <w:unhideWhenUsed/>
    <w:pPr>
      <w:spacing w:before="120" w:after="0" w:line="240" w:lineRule="auto"/>
      <w:jc w:val="both"/>
    </w:pPr>
    <w:rPr>
      <w:rFonts w:ascii="Times New Roman" w:hAnsi="Times New Roman" w:cs="Times New Roman"/>
      <w:sz w:val="24"/>
    </w:rPr>
  </w:style>
  <w:style w:type="paragraph" w:styleId="ListNumber">
    <w:name w:val="List Number"/>
    <w:basedOn w:val="Normal00"/>
    <w:uiPriority w:val="99"/>
    <w:semiHidden/>
    <w:unhideWhenUsed/>
    <w:pPr>
      <w:tabs>
        <w:tab w:val="num" w:pos="720"/>
      </w:tabs>
      <w:spacing w:before="120" w:after="120" w:line="240" w:lineRule="auto"/>
      <w:ind w:left="720" w:hanging="720"/>
      <w:contextualSpacing/>
      <w:jc w:val="both"/>
    </w:pPr>
    <w:rPr>
      <w:rFonts w:ascii="Times New Roman" w:hAnsi="Times New Roman" w:cs="Times New Roman"/>
      <w:sz w:val="24"/>
    </w:rPr>
  </w:style>
  <w:style w:type="paragraph" w:styleId="ListNumber2">
    <w:name w:val="List Number 2"/>
    <w:basedOn w:val="Normal00"/>
    <w:uiPriority w:val="99"/>
    <w:semiHidden/>
    <w:unhideWhenUsed/>
    <w:pPr>
      <w:tabs>
        <w:tab w:val="num" w:pos="720"/>
      </w:tabs>
      <w:spacing w:before="120" w:after="120" w:line="240" w:lineRule="auto"/>
      <w:ind w:left="720" w:hanging="720"/>
      <w:contextualSpacing/>
      <w:jc w:val="both"/>
    </w:pPr>
    <w:rPr>
      <w:rFonts w:ascii="Times New Roman" w:hAnsi="Times New Roman" w:cs="Times New Roman"/>
      <w:sz w:val="24"/>
    </w:rPr>
  </w:style>
  <w:style w:type="paragraph" w:styleId="ListNumber3">
    <w:name w:val="List Number 3"/>
    <w:basedOn w:val="Normal00"/>
    <w:uiPriority w:val="99"/>
    <w:semiHidden/>
    <w:unhideWhenUsed/>
    <w:pPr>
      <w:tabs>
        <w:tab w:val="num" w:pos="720"/>
      </w:tabs>
      <w:spacing w:before="120" w:after="120" w:line="240" w:lineRule="auto"/>
      <w:ind w:left="720" w:hanging="720"/>
      <w:contextualSpacing/>
      <w:jc w:val="both"/>
    </w:pPr>
    <w:rPr>
      <w:rFonts w:ascii="Times New Roman" w:hAnsi="Times New Roman" w:cs="Times New Roman"/>
      <w:sz w:val="24"/>
    </w:rPr>
  </w:style>
  <w:style w:type="paragraph" w:styleId="ListNumber4">
    <w:name w:val="List Number 4"/>
    <w:basedOn w:val="Normal00"/>
    <w:uiPriority w:val="99"/>
    <w:semiHidden/>
    <w:unhideWhenUsed/>
    <w:pPr>
      <w:tabs>
        <w:tab w:val="num" w:pos="720"/>
      </w:tabs>
      <w:spacing w:before="120" w:after="120" w:line="240" w:lineRule="auto"/>
      <w:ind w:left="720" w:hanging="720"/>
      <w:contextualSpacing/>
      <w:jc w:val="both"/>
    </w:pPr>
    <w:rPr>
      <w:rFonts w:ascii="Times New Roman" w:hAnsi="Times New Roman" w:cs="Times New Roman"/>
      <w:sz w:val="24"/>
    </w:r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00"/>
    <w:link w:val="HeaderChar"/>
    <w:uiPriority w:val="99"/>
    <w:unhideWhenUsed/>
    <w:pPr>
      <w:tabs>
        <w:tab w:val="center" w:pos="4535"/>
        <w:tab w:val="right" w:pos="9071"/>
      </w:tabs>
      <w:spacing w:after="120" w:line="240" w:lineRule="auto"/>
      <w:jc w:val="both"/>
    </w:pPr>
    <w:rPr>
      <w:rFonts w:ascii="Times New Roman" w:hAnsi="Times New Roman" w:cs="Times New Roman"/>
      <w:sz w:val="24"/>
    </w:rPr>
  </w:style>
  <w:style w:type="character" w:customStyle="1" w:styleId="HeaderChar">
    <w:name w:val="Header Char"/>
    <w:basedOn w:val="DefaultParagraphFont"/>
    <w:link w:val="Header"/>
    <w:uiPriority w:val="99"/>
    <w:rPr>
      <w:rFonts w:ascii="Times New Roman" w:hAnsi="Times New Roman" w:cs="Times New Roman"/>
      <w:sz w:val="24"/>
    </w:rPr>
  </w:style>
  <w:style w:type="paragraph" w:styleId="Footer">
    <w:name w:val="footer"/>
    <w:basedOn w:val="Normal00"/>
    <w:link w:val="FooterChar"/>
    <w:uiPriority w:val="99"/>
    <w:unhideWhenUsed/>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har">
    <w:name w:val="Footer Char"/>
    <w:basedOn w:val="DefaultParagraphFont"/>
    <w:link w:val="Footer"/>
    <w:uiPriority w:val="99"/>
    <w:rPr>
      <w:rFonts w:ascii="Times New Roman" w:hAnsi="Times New Roman" w:cs="Times New Roman"/>
      <w:sz w:val="24"/>
    </w:rPr>
  </w:style>
  <w:style w:type="paragraph" w:styleId="FootnoteText">
    <w:name w:val="footnote text"/>
    <w:basedOn w:val="Normal00"/>
    <w:link w:val="FootnoteTextChar"/>
    <w:uiPriority w:val="99"/>
    <w:unhideWhenUsed/>
    <w:pPr>
      <w:spacing w:after="0" w:line="240" w:lineRule="auto"/>
      <w:ind w:left="720" w:hanging="720"/>
      <w:jc w:val="both"/>
    </w:pPr>
    <w:rPr>
      <w:rFonts w:ascii="Times New Roman" w:hAnsi="Times New Roman" w:cs="Times New Roman"/>
      <w:sz w:val="20"/>
    </w:rPr>
  </w:style>
  <w:style w:type="character" w:customStyle="1" w:styleId="FootnoteTextChar">
    <w:name w:val="Footnote Text Char"/>
    <w:basedOn w:val="DefaultParagraphFont"/>
    <w:link w:val="FootnoteText"/>
    <w:uiPriority w:val="99"/>
    <w:rPr>
      <w:rFonts w:ascii="Times New Roman" w:hAnsi="Times New Roman" w:cs="Times New Roman"/>
      <w:sz w:val="20"/>
    </w:rPr>
  </w:style>
  <w:style w:type="paragraph" w:styleId="TOCHeading">
    <w:name w:val="TOC Heading"/>
    <w:basedOn w:val="Normal00"/>
    <w:next w:val="Normal00"/>
    <w:uiPriority w:val="39"/>
    <w:semiHidden/>
    <w:unhideWhenUsed/>
    <w:qFormat/>
    <w:pPr>
      <w:spacing w:before="120" w:after="240" w:line="240" w:lineRule="auto"/>
      <w:jc w:val="center"/>
    </w:pPr>
    <w:rPr>
      <w:rFonts w:ascii="Times New Roman" w:hAnsi="Times New Roman" w:cs="Times New Roman"/>
      <w:b/>
      <w:sz w:val="28"/>
    </w:rPr>
  </w:style>
  <w:style w:type="paragraph" w:styleId="TOC1">
    <w:name w:val="toc 1"/>
    <w:basedOn w:val="Normal00"/>
    <w:next w:val="Normal00"/>
    <w:uiPriority w:val="39"/>
    <w:semiHidden/>
    <w:unhideWhenUsed/>
    <w:pPr>
      <w:tabs>
        <w:tab w:val="right" w:leader="dot" w:pos="9071"/>
      </w:tabs>
      <w:spacing w:before="60" w:after="120" w:line="240" w:lineRule="auto"/>
      <w:ind w:left="850" w:hanging="850"/>
    </w:pPr>
    <w:rPr>
      <w:rFonts w:ascii="Times New Roman" w:hAnsi="Times New Roman" w:cs="Times New Roman"/>
      <w:sz w:val="24"/>
    </w:rPr>
  </w:style>
  <w:style w:type="paragraph" w:styleId="TOC2">
    <w:name w:val="toc 2"/>
    <w:basedOn w:val="Normal00"/>
    <w:next w:val="Normal00"/>
    <w:uiPriority w:val="39"/>
    <w:semiHidden/>
    <w:unhideWhenUsed/>
    <w:pPr>
      <w:tabs>
        <w:tab w:val="right" w:leader="dot" w:pos="9071"/>
      </w:tabs>
      <w:spacing w:before="60" w:after="120" w:line="240" w:lineRule="auto"/>
      <w:ind w:left="850" w:hanging="850"/>
    </w:pPr>
    <w:rPr>
      <w:rFonts w:ascii="Times New Roman" w:hAnsi="Times New Roman" w:cs="Times New Roman"/>
      <w:sz w:val="24"/>
    </w:rPr>
  </w:style>
  <w:style w:type="paragraph" w:styleId="TOC3">
    <w:name w:val="toc 3"/>
    <w:basedOn w:val="Normal00"/>
    <w:next w:val="Normal00"/>
    <w:uiPriority w:val="39"/>
    <w:semiHidden/>
    <w:unhideWhenUsed/>
    <w:pPr>
      <w:tabs>
        <w:tab w:val="right" w:leader="dot" w:pos="9071"/>
      </w:tabs>
      <w:spacing w:before="60" w:after="120" w:line="240" w:lineRule="auto"/>
      <w:ind w:left="850" w:hanging="850"/>
    </w:pPr>
    <w:rPr>
      <w:rFonts w:ascii="Times New Roman" w:hAnsi="Times New Roman" w:cs="Times New Roman"/>
      <w:sz w:val="24"/>
    </w:rPr>
  </w:style>
  <w:style w:type="paragraph" w:styleId="TOC4">
    <w:name w:val="toc 4"/>
    <w:basedOn w:val="Normal00"/>
    <w:next w:val="Normal00"/>
    <w:uiPriority w:val="39"/>
    <w:semiHidden/>
    <w:unhideWhenUsed/>
    <w:pPr>
      <w:tabs>
        <w:tab w:val="right" w:leader="dot" w:pos="9071"/>
      </w:tabs>
      <w:spacing w:before="60" w:after="120" w:line="240" w:lineRule="auto"/>
      <w:ind w:left="850" w:hanging="850"/>
    </w:pPr>
    <w:rPr>
      <w:rFonts w:ascii="Times New Roman" w:hAnsi="Times New Roman" w:cs="Times New Roman"/>
      <w:sz w:val="24"/>
    </w:rPr>
  </w:style>
  <w:style w:type="paragraph" w:styleId="TOC5">
    <w:name w:val="toc 5"/>
    <w:basedOn w:val="Normal00"/>
    <w:next w:val="Normal00"/>
    <w:uiPriority w:val="39"/>
    <w:semiHidden/>
    <w:unhideWhenUsed/>
    <w:pPr>
      <w:tabs>
        <w:tab w:val="right" w:leader="dot" w:pos="9071"/>
      </w:tabs>
      <w:spacing w:before="300" w:after="120" w:line="240" w:lineRule="auto"/>
    </w:pPr>
    <w:rPr>
      <w:rFonts w:ascii="Times New Roman" w:hAnsi="Times New Roman" w:cs="Times New Roman"/>
      <w:sz w:val="24"/>
    </w:rPr>
  </w:style>
  <w:style w:type="paragraph" w:styleId="TOC6">
    <w:name w:val="toc 6"/>
    <w:basedOn w:val="Normal00"/>
    <w:next w:val="Normal00"/>
    <w:uiPriority w:val="39"/>
    <w:semiHidden/>
    <w:unhideWhenUsed/>
    <w:pPr>
      <w:tabs>
        <w:tab w:val="right" w:leader="dot" w:pos="9071"/>
      </w:tabs>
      <w:spacing w:before="240" w:after="120" w:line="240" w:lineRule="auto"/>
    </w:pPr>
    <w:rPr>
      <w:rFonts w:ascii="Times New Roman" w:hAnsi="Times New Roman" w:cs="Times New Roman"/>
      <w:sz w:val="24"/>
    </w:rPr>
  </w:style>
  <w:style w:type="paragraph" w:styleId="TOC7">
    <w:name w:val="toc 7"/>
    <w:basedOn w:val="Normal00"/>
    <w:next w:val="Normal00"/>
    <w:uiPriority w:val="39"/>
    <w:semiHidden/>
    <w:unhideWhenUsed/>
    <w:pPr>
      <w:tabs>
        <w:tab w:val="right" w:leader="dot" w:pos="9071"/>
      </w:tabs>
      <w:spacing w:before="180" w:after="120" w:line="240" w:lineRule="auto"/>
    </w:pPr>
    <w:rPr>
      <w:rFonts w:ascii="Times New Roman" w:hAnsi="Times New Roman" w:cs="Times New Roman"/>
      <w:sz w:val="24"/>
    </w:rPr>
  </w:style>
  <w:style w:type="paragraph" w:styleId="TOC8">
    <w:name w:val="toc 8"/>
    <w:basedOn w:val="Normal00"/>
    <w:next w:val="Normal00"/>
    <w:uiPriority w:val="39"/>
    <w:semiHidden/>
    <w:unhideWhenUsed/>
    <w:pPr>
      <w:tabs>
        <w:tab w:val="right" w:leader="dot" w:pos="9071"/>
      </w:tabs>
      <w:spacing w:before="120" w:after="120" w:line="240" w:lineRule="auto"/>
    </w:pPr>
    <w:rPr>
      <w:rFonts w:ascii="Times New Roman" w:hAnsi="Times New Roman" w:cs="Times New Roman"/>
      <w:sz w:val="24"/>
    </w:rPr>
  </w:style>
  <w:style w:type="paragraph" w:styleId="TOC9">
    <w:name w:val="toc 9"/>
    <w:basedOn w:val="Normal00"/>
    <w:next w:val="Normal00"/>
    <w:uiPriority w:val="39"/>
    <w:semiHidden/>
    <w:unhideWhenUsed/>
    <w:pPr>
      <w:tabs>
        <w:tab w:val="right" w:leader="dot" w:pos="9071"/>
      </w:tabs>
      <w:spacing w:before="120" w:after="120" w:line="240" w:lineRule="auto"/>
      <w:jc w:val="both"/>
    </w:pPr>
    <w:rPr>
      <w:rFonts w:ascii="Times New Roman" w:hAnsi="Times New Roman" w:cs="Times New Roman"/>
      <w:sz w:val="24"/>
    </w:rPr>
  </w:style>
  <w:style w:type="paragraph" w:customStyle="1" w:styleId="HeaderLandscape">
    <w:name w:val="HeaderLandscape"/>
    <w:basedOn w:val="Normal00"/>
    <w:pPr>
      <w:tabs>
        <w:tab w:val="center" w:pos="7285"/>
        <w:tab w:val="right" w:pos="14003"/>
      </w:tabs>
      <w:spacing w:after="120" w:line="240" w:lineRule="auto"/>
      <w:jc w:val="both"/>
    </w:pPr>
    <w:rPr>
      <w:rFonts w:ascii="Times New Roman" w:hAnsi="Times New Roman" w:cs="Times New Roman"/>
      <w:sz w:val="24"/>
    </w:rPr>
  </w:style>
  <w:style w:type="paragraph" w:customStyle="1" w:styleId="FooterLandscape">
    <w:name w:val="FooterLandscape"/>
    <w:basedOn w:val="Normal00"/>
    <w:pPr>
      <w:tabs>
        <w:tab w:val="center" w:pos="7285"/>
        <w:tab w:val="center" w:pos="10913"/>
        <w:tab w:val="right" w:pos="15137"/>
      </w:tabs>
      <w:spacing w:before="360" w:after="0" w:line="240" w:lineRule="auto"/>
      <w:ind w:left="-567" w:right="-567"/>
    </w:pPr>
    <w:rPr>
      <w:rFonts w:ascii="Times New Roman" w:hAnsi="Times New Roman" w:cs="Times New Roman"/>
      <w:sz w:val="24"/>
    </w:rPr>
  </w:style>
  <w:style w:type="character" w:styleId="FootnoteReference">
    <w:name w:val="footnote reference"/>
    <w:basedOn w:val="DefaultParagraphFont"/>
    <w:uiPriority w:val="99"/>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paragraph" w:customStyle="1" w:styleId="HeaderSensitivityRight">
    <w:name w:val="Header Sensitivity Right"/>
    <w:basedOn w:val="Normal"/>
    <w:pPr>
      <w:spacing w:after="120" w:line="240" w:lineRule="auto"/>
      <w:jc w:val="right"/>
    </w:pPr>
    <w:rPr>
      <w:rFonts w:ascii="Times New Roman" w:hAnsi="Times New Roman" w:cs="Times New Roman"/>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paragraph" w:customStyle="1" w:styleId="Text1">
    <w:name w:val="Text 1"/>
    <w:basedOn w:val="Normal00"/>
    <w:pPr>
      <w:spacing w:before="120" w:after="120" w:line="240" w:lineRule="auto"/>
      <w:ind w:left="850"/>
      <w:jc w:val="both"/>
    </w:pPr>
    <w:rPr>
      <w:rFonts w:ascii="Times New Roman" w:hAnsi="Times New Roman" w:cs="Times New Roman"/>
      <w:sz w:val="24"/>
    </w:rPr>
  </w:style>
  <w:style w:type="paragraph" w:customStyle="1" w:styleId="Text2">
    <w:name w:val="Text 2"/>
    <w:basedOn w:val="Normal00"/>
    <w:pPr>
      <w:spacing w:before="120" w:after="120" w:line="240" w:lineRule="auto"/>
      <w:ind w:left="1417"/>
      <w:jc w:val="both"/>
    </w:pPr>
    <w:rPr>
      <w:rFonts w:ascii="Times New Roman" w:hAnsi="Times New Roman" w:cs="Times New Roman"/>
      <w:sz w:val="24"/>
    </w:rPr>
  </w:style>
  <w:style w:type="paragraph" w:customStyle="1" w:styleId="Text3">
    <w:name w:val="Text 3"/>
    <w:basedOn w:val="Normal00"/>
    <w:pPr>
      <w:spacing w:before="120" w:after="120" w:line="240" w:lineRule="auto"/>
      <w:ind w:left="1984"/>
      <w:jc w:val="both"/>
    </w:pPr>
    <w:rPr>
      <w:rFonts w:ascii="Times New Roman" w:hAnsi="Times New Roman" w:cs="Times New Roman"/>
      <w:sz w:val="24"/>
    </w:rPr>
  </w:style>
  <w:style w:type="paragraph" w:customStyle="1" w:styleId="Text4">
    <w:name w:val="Text 4"/>
    <w:basedOn w:val="Normal00"/>
    <w:pPr>
      <w:spacing w:before="120" w:after="120" w:line="240" w:lineRule="auto"/>
      <w:ind w:left="2551"/>
      <w:jc w:val="both"/>
    </w:pPr>
    <w:rPr>
      <w:rFonts w:ascii="Times New Roman" w:hAnsi="Times New Roman" w:cs="Times New Roman"/>
      <w:sz w:val="24"/>
    </w:rPr>
  </w:style>
  <w:style w:type="paragraph" w:customStyle="1" w:styleId="NormalCentered">
    <w:name w:val="Normal Centered"/>
    <w:basedOn w:val="Normal00"/>
    <w:pPr>
      <w:spacing w:before="120" w:after="120" w:line="240" w:lineRule="auto"/>
      <w:jc w:val="center"/>
    </w:pPr>
    <w:rPr>
      <w:rFonts w:ascii="Times New Roman" w:hAnsi="Times New Roman" w:cs="Times New Roman"/>
      <w:sz w:val="24"/>
    </w:rPr>
  </w:style>
  <w:style w:type="paragraph" w:customStyle="1" w:styleId="NormalLeft">
    <w:name w:val="Normal Left"/>
    <w:basedOn w:val="Normal00"/>
    <w:pPr>
      <w:spacing w:before="120" w:after="120" w:line="240" w:lineRule="auto"/>
    </w:pPr>
    <w:rPr>
      <w:rFonts w:ascii="Times New Roman" w:hAnsi="Times New Roman" w:cs="Times New Roman"/>
      <w:sz w:val="24"/>
    </w:rPr>
  </w:style>
  <w:style w:type="paragraph" w:customStyle="1" w:styleId="NormalRight">
    <w:name w:val="Normal Right"/>
    <w:basedOn w:val="Normal00"/>
    <w:pPr>
      <w:spacing w:before="120" w:after="120" w:line="240" w:lineRule="auto"/>
      <w:jc w:val="right"/>
    </w:pPr>
    <w:rPr>
      <w:rFonts w:ascii="Times New Roman" w:hAnsi="Times New Roman" w:cs="Times New Roman"/>
      <w:sz w:val="24"/>
    </w:rPr>
  </w:style>
  <w:style w:type="paragraph" w:customStyle="1" w:styleId="QuotedText">
    <w:name w:val="Quoted Text"/>
    <w:basedOn w:val="Normal00"/>
    <w:pPr>
      <w:spacing w:before="120" w:after="120" w:line="240" w:lineRule="auto"/>
      <w:ind w:left="1417"/>
      <w:jc w:val="both"/>
    </w:pPr>
    <w:rPr>
      <w:rFonts w:ascii="Times New Roman" w:hAnsi="Times New Roman" w:cs="Times New Roman"/>
      <w:sz w:val="24"/>
    </w:rPr>
  </w:style>
  <w:style w:type="paragraph" w:customStyle="1" w:styleId="Point0">
    <w:name w:val="Point 0"/>
    <w:basedOn w:val="Normal00"/>
    <w:pPr>
      <w:spacing w:before="120" w:after="120" w:line="240" w:lineRule="auto"/>
      <w:ind w:left="850" w:hanging="850"/>
      <w:jc w:val="both"/>
    </w:pPr>
    <w:rPr>
      <w:rFonts w:ascii="Times New Roman" w:hAnsi="Times New Roman" w:cs="Times New Roman"/>
      <w:sz w:val="24"/>
    </w:rPr>
  </w:style>
  <w:style w:type="paragraph" w:customStyle="1" w:styleId="Point1">
    <w:name w:val="Point 1"/>
    <w:basedOn w:val="Normal00"/>
    <w:pPr>
      <w:spacing w:before="120" w:after="120" w:line="240" w:lineRule="auto"/>
      <w:ind w:left="1417" w:hanging="567"/>
      <w:jc w:val="both"/>
    </w:pPr>
    <w:rPr>
      <w:rFonts w:ascii="Times New Roman" w:hAnsi="Times New Roman" w:cs="Times New Roman"/>
      <w:sz w:val="24"/>
    </w:rPr>
  </w:style>
  <w:style w:type="paragraph" w:customStyle="1" w:styleId="Point2">
    <w:name w:val="Point 2"/>
    <w:basedOn w:val="Normal00"/>
    <w:pPr>
      <w:spacing w:before="120" w:after="120" w:line="240" w:lineRule="auto"/>
      <w:ind w:left="1984" w:hanging="567"/>
      <w:jc w:val="both"/>
    </w:pPr>
    <w:rPr>
      <w:rFonts w:ascii="Times New Roman" w:hAnsi="Times New Roman" w:cs="Times New Roman"/>
      <w:sz w:val="24"/>
    </w:rPr>
  </w:style>
  <w:style w:type="paragraph" w:customStyle="1" w:styleId="Point3">
    <w:name w:val="Point 3"/>
    <w:basedOn w:val="Normal00"/>
    <w:pPr>
      <w:spacing w:before="120" w:after="120" w:line="240" w:lineRule="auto"/>
      <w:ind w:left="2551" w:hanging="567"/>
      <w:jc w:val="both"/>
    </w:pPr>
    <w:rPr>
      <w:rFonts w:ascii="Times New Roman" w:hAnsi="Times New Roman" w:cs="Times New Roman"/>
      <w:sz w:val="24"/>
    </w:rPr>
  </w:style>
  <w:style w:type="paragraph" w:customStyle="1" w:styleId="Point4">
    <w:name w:val="Point 4"/>
    <w:basedOn w:val="Normal00"/>
    <w:pPr>
      <w:spacing w:before="120" w:after="120" w:line="240" w:lineRule="auto"/>
      <w:ind w:left="3118" w:hanging="567"/>
      <w:jc w:val="both"/>
    </w:pPr>
    <w:rPr>
      <w:rFonts w:ascii="Times New Roman" w:hAnsi="Times New Roman" w:cs="Times New Roman"/>
      <w:sz w:val="24"/>
    </w:rPr>
  </w:style>
  <w:style w:type="paragraph" w:customStyle="1" w:styleId="Tiret0">
    <w:name w:val="Tiret 0"/>
    <w:basedOn w:val="Point0"/>
    <w:pPr>
      <w:tabs>
        <w:tab w:val="num" w:pos="720"/>
      </w:tabs>
      <w:ind w:left="720" w:hanging="720"/>
    </w:pPr>
  </w:style>
  <w:style w:type="paragraph" w:customStyle="1" w:styleId="Tiret1">
    <w:name w:val="Tiret 1"/>
    <w:basedOn w:val="Point1"/>
    <w:pPr>
      <w:tabs>
        <w:tab w:val="num" w:pos="720"/>
      </w:tabs>
      <w:ind w:left="720" w:hanging="720"/>
    </w:pPr>
  </w:style>
  <w:style w:type="paragraph" w:customStyle="1" w:styleId="Tiret2">
    <w:name w:val="Tiret 2"/>
    <w:basedOn w:val="Point2"/>
    <w:pPr>
      <w:tabs>
        <w:tab w:val="num" w:pos="720"/>
      </w:tabs>
      <w:ind w:left="720" w:hanging="720"/>
    </w:pPr>
  </w:style>
  <w:style w:type="paragraph" w:customStyle="1" w:styleId="Tiret3">
    <w:name w:val="Tiret 3"/>
    <w:basedOn w:val="Point3"/>
    <w:pPr>
      <w:tabs>
        <w:tab w:val="num" w:pos="720"/>
      </w:tabs>
      <w:ind w:left="720" w:hanging="720"/>
    </w:pPr>
  </w:style>
  <w:style w:type="paragraph" w:customStyle="1" w:styleId="Tiret4">
    <w:name w:val="Tiret 4"/>
    <w:basedOn w:val="Point4"/>
    <w:pPr>
      <w:tabs>
        <w:tab w:val="num" w:pos="720"/>
      </w:tabs>
      <w:ind w:left="720" w:hanging="720"/>
    </w:pPr>
  </w:style>
  <w:style w:type="paragraph" w:customStyle="1" w:styleId="PointDouble0">
    <w:name w:val="PointDouble 0"/>
    <w:basedOn w:val="Normal00"/>
    <w:pPr>
      <w:tabs>
        <w:tab w:val="left" w:pos="850"/>
      </w:tabs>
      <w:spacing w:before="120" w:after="120" w:line="240" w:lineRule="auto"/>
      <w:ind w:left="1417" w:hanging="1417"/>
      <w:jc w:val="both"/>
    </w:pPr>
    <w:rPr>
      <w:rFonts w:ascii="Times New Roman" w:hAnsi="Times New Roman" w:cs="Times New Roman"/>
      <w:sz w:val="24"/>
    </w:rPr>
  </w:style>
  <w:style w:type="paragraph" w:customStyle="1" w:styleId="PointDouble1">
    <w:name w:val="PointDouble 1"/>
    <w:basedOn w:val="Normal00"/>
    <w:pPr>
      <w:tabs>
        <w:tab w:val="left" w:pos="1417"/>
      </w:tabs>
      <w:spacing w:before="120" w:after="120" w:line="240" w:lineRule="auto"/>
      <w:ind w:left="1984" w:hanging="1134"/>
      <w:jc w:val="both"/>
    </w:pPr>
    <w:rPr>
      <w:rFonts w:ascii="Times New Roman" w:hAnsi="Times New Roman" w:cs="Times New Roman"/>
      <w:sz w:val="24"/>
    </w:rPr>
  </w:style>
  <w:style w:type="paragraph" w:customStyle="1" w:styleId="PointDouble2">
    <w:name w:val="PointDouble 2"/>
    <w:basedOn w:val="Normal00"/>
    <w:pPr>
      <w:tabs>
        <w:tab w:val="left" w:pos="1984"/>
      </w:tabs>
      <w:spacing w:before="120" w:after="120" w:line="240" w:lineRule="auto"/>
      <w:ind w:left="2551" w:hanging="1134"/>
      <w:jc w:val="both"/>
    </w:pPr>
    <w:rPr>
      <w:rFonts w:ascii="Times New Roman" w:hAnsi="Times New Roman" w:cs="Times New Roman"/>
      <w:sz w:val="24"/>
    </w:rPr>
  </w:style>
  <w:style w:type="paragraph" w:customStyle="1" w:styleId="PointDouble3">
    <w:name w:val="PointDouble 3"/>
    <w:basedOn w:val="Normal00"/>
    <w:pPr>
      <w:tabs>
        <w:tab w:val="left" w:pos="2551"/>
      </w:tabs>
      <w:spacing w:before="120" w:after="120" w:line="240" w:lineRule="auto"/>
      <w:ind w:left="3118" w:hanging="1134"/>
      <w:jc w:val="both"/>
    </w:pPr>
    <w:rPr>
      <w:rFonts w:ascii="Times New Roman" w:hAnsi="Times New Roman" w:cs="Times New Roman"/>
      <w:sz w:val="24"/>
    </w:rPr>
  </w:style>
  <w:style w:type="paragraph" w:customStyle="1" w:styleId="PointDouble4">
    <w:name w:val="PointDouble 4"/>
    <w:basedOn w:val="Normal00"/>
    <w:pPr>
      <w:tabs>
        <w:tab w:val="left" w:pos="3118"/>
      </w:tabs>
      <w:spacing w:before="120" w:after="120" w:line="240" w:lineRule="auto"/>
      <w:ind w:left="3685" w:hanging="1134"/>
      <w:jc w:val="both"/>
    </w:pPr>
    <w:rPr>
      <w:rFonts w:ascii="Times New Roman" w:hAnsi="Times New Roman" w:cs="Times New Roman"/>
      <w:sz w:val="24"/>
    </w:rPr>
  </w:style>
  <w:style w:type="paragraph" w:customStyle="1" w:styleId="PointTriple0">
    <w:name w:val="PointTriple 0"/>
    <w:basedOn w:val="Normal00"/>
    <w:pPr>
      <w:tabs>
        <w:tab w:val="left" w:pos="850"/>
        <w:tab w:val="left" w:pos="1417"/>
      </w:tabs>
      <w:spacing w:before="120" w:after="120" w:line="240" w:lineRule="auto"/>
      <w:ind w:left="1984" w:hanging="1984"/>
      <w:jc w:val="both"/>
    </w:pPr>
    <w:rPr>
      <w:rFonts w:ascii="Times New Roman" w:hAnsi="Times New Roman" w:cs="Times New Roman"/>
      <w:sz w:val="24"/>
    </w:rPr>
  </w:style>
  <w:style w:type="paragraph" w:customStyle="1" w:styleId="PointTriple1">
    <w:name w:val="PointTriple 1"/>
    <w:basedOn w:val="Normal00"/>
    <w:pPr>
      <w:tabs>
        <w:tab w:val="left" w:pos="1417"/>
        <w:tab w:val="left" w:pos="1984"/>
      </w:tabs>
      <w:spacing w:before="120" w:after="120" w:line="240" w:lineRule="auto"/>
      <w:ind w:left="2551" w:hanging="1701"/>
      <w:jc w:val="both"/>
    </w:pPr>
    <w:rPr>
      <w:rFonts w:ascii="Times New Roman" w:hAnsi="Times New Roman" w:cs="Times New Roman"/>
      <w:sz w:val="24"/>
    </w:rPr>
  </w:style>
  <w:style w:type="paragraph" w:customStyle="1" w:styleId="PointTriple2">
    <w:name w:val="PointTriple 2"/>
    <w:basedOn w:val="Normal00"/>
    <w:pPr>
      <w:tabs>
        <w:tab w:val="left" w:pos="1984"/>
        <w:tab w:val="left" w:pos="2551"/>
      </w:tabs>
      <w:spacing w:before="120" w:after="120" w:line="240" w:lineRule="auto"/>
      <w:ind w:left="3118" w:hanging="1701"/>
      <w:jc w:val="both"/>
    </w:pPr>
    <w:rPr>
      <w:rFonts w:ascii="Times New Roman" w:hAnsi="Times New Roman" w:cs="Times New Roman"/>
      <w:sz w:val="24"/>
    </w:rPr>
  </w:style>
  <w:style w:type="paragraph" w:customStyle="1" w:styleId="PointTriple3">
    <w:name w:val="PointTriple 3"/>
    <w:basedOn w:val="Normal00"/>
    <w:pPr>
      <w:tabs>
        <w:tab w:val="left" w:pos="2551"/>
        <w:tab w:val="left" w:pos="3118"/>
      </w:tabs>
      <w:spacing w:before="120" w:after="120" w:line="240" w:lineRule="auto"/>
      <w:ind w:left="3685" w:hanging="1701"/>
      <w:jc w:val="both"/>
    </w:pPr>
    <w:rPr>
      <w:rFonts w:ascii="Times New Roman" w:hAnsi="Times New Roman" w:cs="Times New Roman"/>
      <w:sz w:val="24"/>
    </w:rPr>
  </w:style>
  <w:style w:type="paragraph" w:customStyle="1" w:styleId="PointTriple4">
    <w:name w:val="PointTriple 4"/>
    <w:basedOn w:val="Normal00"/>
    <w:pPr>
      <w:tabs>
        <w:tab w:val="left" w:pos="3118"/>
        <w:tab w:val="left" w:pos="3685"/>
      </w:tabs>
      <w:spacing w:before="120" w:after="120" w:line="240" w:lineRule="auto"/>
      <w:ind w:left="4252" w:hanging="1701"/>
      <w:jc w:val="both"/>
    </w:pPr>
    <w:rPr>
      <w:rFonts w:ascii="Times New Roman" w:hAnsi="Times New Roman" w:cs="Times New Roman"/>
      <w:sz w:val="24"/>
    </w:rPr>
  </w:style>
  <w:style w:type="paragraph" w:customStyle="1" w:styleId="NumPar1">
    <w:name w:val="NumPar 1"/>
    <w:basedOn w:val="Normal00"/>
    <w:next w:val="Text1"/>
    <w:pPr>
      <w:tabs>
        <w:tab w:val="num" w:pos="720"/>
      </w:tabs>
      <w:spacing w:before="120" w:after="120" w:line="240" w:lineRule="auto"/>
      <w:ind w:left="720" w:hanging="720"/>
      <w:jc w:val="both"/>
    </w:pPr>
    <w:rPr>
      <w:rFonts w:ascii="Times New Roman" w:hAnsi="Times New Roman" w:cs="Times New Roman"/>
      <w:sz w:val="24"/>
    </w:rPr>
  </w:style>
  <w:style w:type="paragraph" w:customStyle="1" w:styleId="NumPar2">
    <w:name w:val="NumPar 2"/>
    <w:basedOn w:val="Normal00"/>
    <w:next w:val="Text1"/>
    <w:pPr>
      <w:tabs>
        <w:tab w:val="num" w:pos="1440"/>
      </w:tabs>
      <w:spacing w:before="120" w:after="120" w:line="240" w:lineRule="auto"/>
      <w:ind w:left="1440" w:hanging="720"/>
      <w:jc w:val="both"/>
    </w:pPr>
    <w:rPr>
      <w:rFonts w:ascii="Times New Roman" w:hAnsi="Times New Roman" w:cs="Times New Roman"/>
      <w:sz w:val="24"/>
    </w:rPr>
  </w:style>
  <w:style w:type="paragraph" w:customStyle="1" w:styleId="NumPar3">
    <w:name w:val="NumPar 3"/>
    <w:basedOn w:val="Normal00"/>
    <w:next w:val="Text1"/>
    <w:pPr>
      <w:tabs>
        <w:tab w:val="num" w:pos="2160"/>
      </w:tabs>
      <w:spacing w:before="120" w:after="120" w:line="240" w:lineRule="auto"/>
      <w:ind w:left="2160" w:hanging="720"/>
      <w:jc w:val="both"/>
    </w:pPr>
    <w:rPr>
      <w:rFonts w:ascii="Times New Roman" w:hAnsi="Times New Roman" w:cs="Times New Roman"/>
      <w:sz w:val="24"/>
    </w:rPr>
  </w:style>
  <w:style w:type="paragraph" w:customStyle="1" w:styleId="NumPar4">
    <w:name w:val="NumPar 4"/>
    <w:basedOn w:val="Normal00"/>
    <w:next w:val="Text1"/>
    <w:pPr>
      <w:tabs>
        <w:tab w:val="num" w:pos="2880"/>
      </w:tabs>
      <w:spacing w:before="120" w:after="120" w:line="240" w:lineRule="auto"/>
      <w:ind w:left="2880" w:hanging="720"/>
      <w:jc w:val="both"/>
    </w:pPr>
    <w:rPr>
      <w:rFonts w:ascii="Times New Roman" w:hAnsi="Times New Roman" w:cs="Times New Roman"/>
      <w:sz w:val="24"/>
    </w:rPr>
  </w:style>
  <w:style w:type="paragraph" w:customStyle="1" w:styleId="ManualNumPar1">
    <w:name w:val="Manual NumPar 1"/>
    <w:basedOn w:val="Normal00"/>
    <w:next w:val="Text1"/>
    <w:pPr>
      <w:spacing w:before="120" w:after="120" w:line="240" w:lineRule="auto"/>
      <w:ind w:left="850" w:hanging="850"/>
      <w:jc w:val="both"/>
    </w:pPr>
    <w:rPr>
      <w:rFonts w:ascii="Times New Roman" w:hAnsi="Times New Roman" w:cs="Times New Roman"/>
      <w:sz w:val="24"/>
    </w:rPr>
  </w:style>
  <w:style w:type="paragraph" w:customStyle="1" w:styleId="ManualNumPar2">
    <w:name w:val="Manual NumPar 2"/>
    <w:basedOn w:val="Normal00"/>
    <w:next w:val="Text1"/>
    <w:pPr>
      <w:spacing w:before="120" w:after="120" w:line="240" w:lineRule="auto"/>
      <w:ind w:left="850" w:hanging="850"/>
      <w:jc w:val="both"/>
    </w:pPr>
    <w:rPr>
      <w:rFonts w:ascii="Times New Roman" w:hAnsi="Times New Roman" w:cs="Times New Roman"/>
      <w:sz w:val="24"/>
    </w:rPr>
  </w:style>
  <w:style w:type="paragraph" w:customStyle="1" w:styleId="ManualNumPar3">
    <w:name w:val="Manual NumPar 3"/>
    <w:basedOn w:val="Normal00"/>
    <w:next w:val="Text1"/>
    <w:pPr>
      <w:spacing w:before="120" w:after="120" w:line="240" w:lineRule="auto"/>
      <w:ind w:left="850" w:hanging="850"/>
      <w:jc w:val="both"/>
    </w:pPr>
    <w:rPr>
      <w:rFonts w:ascii="Times New Roman" w:hAnsi="Times New Roman" w:cs="Times New Roman"/>
      <w:sz w:val="24"/>
    </w:rPr>
  </w:style>
  <w:style w:type="paragraph" w:customStyle="1" w:styleId="ManualNumPar4">
    <w:name w:val="Manual NumPar 4"/>
    <w:basedOn w:val="Normal00"/>
    <w:next w:val="Text1"/>
    <w:pPr>
      <w:spacing w:before="120" w:after="120" w:line="240" w:lineRule="auto"/>
      <w:ind w:left="850" w:hanging="850"/>
      <w:jc w:val="both"/>
    </w:pPr>
    <w:rPr>
      <w:rFonts w:ascii="Times New Roman" w:hAnsi="Times New Roman" w:cs="Times New Roman"/>
      <w:sz w:val="24"/>
    </w:rPr>
  </w:style>
  <w:style w:type="paragraph" w:customStyle="1" w:styleId="QuotedNumPar">
    <w:name w:val="Quoted NumPar"/>
    <w:basedOn w:val="Normal00"/>
    <w:pPr>
      <w:spacing w:before="120" w:after="120" w:line="240" w:lineRule="auto"/>
      <w:ind w:left="1417" w:hanging="567"/>
      <w:jc w:val="both"/>
    </w:pPr>
    <w:rPr>
      <w:rFonts w:ascii="Times New Roman" w:hAnsi="Times New Roman" w:cs="Times New Roman"/>
      <w:sz w:val="24"/>
    </w:rPr>
  </w:style>
  <w:style w:type="paragraph" w:customStyle="1" w:styleId="ManualHeading1">
    <w:name w:val="Manual Heading 1"/>
    <w:basedOn w:val="Normal00"/>
    <w:next w:val="Text1"/>
    <w:pPr>
      <w:keepNext/>
      <w:tabs>
        <w:tab w:val="left" w:pos="850"/>
      </w:tabs>
      <w:spacing w:before="360" w:after="120" w:line="240" w:lineRule="auto"/>
      <w:ind w:left="850" w:hanging="850"/>
      <w:jc w:val="both"/>
      <w:outlineLvl w:val="0"/>
    </w:pPr>
    <w:rPr>
      <w:rFonts w:ascii="Times New Roman" w:hAnsi="Times New Roman" w:cs="Times New Roman"/>
      <w:b/>
      <w:smallCaps/>
      <w:sz w:val="24"/>
    </w:rPr>
  </w:style>
  <w:style w:type="paragraph" w:customStyle="1" w:styleId="ManualHeading2">
    <w:name w:val="Manual Heading 2"/>
    <w:basedOn w:val="Normal00"/>
    <w:next w:val="Text1"/>
    <w:pPr>
      <w:keepNext/>
      <w:tabs>
        <w:tab w:val="left" w:pos="850"/>
      </w:tabs>
      <w:spacing w:before="120" w:after="120" w:line="240" w:lineRule="auto"/>
      <w:ind w:left="850" w:hanging="850"/>
      <w:jc w:val="both"/>
      <w:outlineLvl w:val="1"/>
    </w:pPr>
    <w:rPr>
      <w:rFonts w:ascii="Times New Roman" w:hAnsi="Times New Roman" w:cs="Times New Roman"/>
      <w:b/>
      <w:sz w:val="24"/>
    </w:rPr>
  </w:style>
  <w:style w:type="paragraph" w:customStyle="1" w:styleId="ManualHeading3">
    <w:name w:val="Manual Heading 3"/>
    <w:basedOn w:val="Normal00"/>
    <w:next w:val="Text1"/>
    <w:pPr>
      <w:keepNext/>
      <w:tabs>
        <w:tab w:val="left" w:pos="850"/>
      </w:tabs>
      <w:spacing w:before="120" w:after="120" w:line="240" w:lineRule="auto"/>
      <w:ind w:left="850" w:hanging="850"/>
      <w:jc w:val="both"/>
      <w:outlineLvl w:val="2"/>
    </w:pPr>
    <w:rPr>
      <w:rFonts w:ascii="Times New Roman" w:hAnsi="Times New Roman" w:cs="Times New Roman"/>
      <w:i/>
      <w:sz w:val="24"/>
    </w:rPr>
  </w:style>
  <w:style w:type="paragraph" w:customStyle="1" w:styleId="ManualHeading4">
    <w:name w:val="Manual Heading 4"/>
    <w:basedOn w:val="Normal00"/>
    <w:next w:val="Text1"/>
    <w:pPr>
      <w:keepNext/>
      <w:tabs>
        <w:tab w:val="left" w:pos="850"/>
      </w:tabs>
      <w:spacing w:before="120" w:after="120" w:line="240" w:lineRule="auto"/>
      <w:ind w:left="850" w:hanging="850"/>
      <w:jc w:val="both"/>
      <w:outlineLvl w:val="3"/>
    </w:pPr>
    <w:rPr>
      <w:rFonts w:ascii="Times New Roman" w:hAnsi="Times New Roman" w:cs="Times New Roman"/>
      <w:sz w:val="24"/>
    </w:rPr>
  </w:style>
  <w:style w:type="paragraph" w:customStyle="1" w:styleId="ChapterTitle">
    <w:name w:val="ChapterTitle"/>
    <w:basedOn w:val="Normal00"/>
    <w:next w:val="Normal00"/>
    <w:pPr>
      <w:keepNext/>
      <w:spacing w:before="120" w:after="360" w:line="240" w:lineRule="auto"/>
      <w:jc w:val="center"/>
    </w:pPr>
    <w:rPr>
      <w:rFonts w:ascii="Times New Roman" w:hAnsi="Times New Roman" w:cs="Times New Roman"/>
      <w:b/>
      <w:sz w:val="32"/>
    </w:rPr>
  </w:style>
  <w:style w:type="paragraph" w:customStyle="1" w:styleId="PartTitle">
    <w:name w:val="PartTitle"/>
    <w:basedOn w:val="Normal00"/>
    <w:next w:val="ChapterTitle"/>
    <w:pPr>
      <w:keepNext/>
      <w:pageBreakBefore/>
      <w:spacing w:before="120" w:after="360" w:line="240" w:lineRule="auto"/>
      <w:jc w:val="center"/>
    </w:pPr>
    <w:rPr>
      <w:rFonts w:ascii="Times New Roman" w:hAnsi="Times New Roman" w:cs="Times New Roman"/>
      <w:b/>
      <w:sz w:val="36"/>
    </w:rPr>
  </w:style>
  <w:style w:type="paragraph" w:customStyle="1" w:styleId="SectionTitle">
    <w:name w:val="SectionTitle"/>
    <w:basedOn w:val="Normal00"/>
    <w:next w:val="heading100"/>
    <w:pPr>
      <w:keepNext/>
      <w:spacing w:before="120" w:after="360" w:line="240" w:lineRule="auto"/>
      <w:jc w:val="center"/>
    </w:pPr>
    <w:rPr>
      <w:rFonts w:ascii="Times New Roman" w:hAnsi="Times New Roman" w:cs="Times New Roman"/>
      <w:b/>
      <w:smallCaps/>
      <w:sz w:val="28"/>
    </w:rPr>
  </w:style>
  <w:style w:type="paragraph" w:customStyle="1" w:styleId="TableTitle">
    <w:name w:val="Table Title"/>
    <w:basedOn w:val="Normal00"/>
    <w:next w:val="Normal00"/>
    <w:pPr>
      <w:spacing w:before="120" w:after="120" w:line="240" w:lineRule="auto"/>
      <w:jc w:val="center"/>
    </w:pPr>
    <w:rPr>
      <w:rFonts w:ascii="Times New Roman" w:hAnsi="Times New Roman" w:cs="Times New Roman"/>
      <w:b/>
      <w:sz w:val="24"/>
    </w:rPr>
  </w:style>
  <w:style w:type="character" w:customStyle="1" w:styleId="Marker">
    <w:name w:val="Marker"/>
    <w:basedOn w:val="DefaultParagraphFont"/>
    <w:rsid w:val="00C66EE8"/>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00"/>
    <w:pPr>
      <w:tabs>
        <w:tab w:val="num" w:pos="850"/>
      </w:tabs>
      <w:spacing w:before="120" w:after="120" w:line="240" w:lineRule="auto"/>
      <w:ind w:left="850" w:hanging="850"/>
      <w:jc w:val="both"/>
    </w:pPr>
    <w:rPr>
      <w:rFonts w:ascii="Times New Roman" w:hAnsi="Times New Roman" w:cs="Times New Roman"/>
      <w:sz w:val="24"/>
    </w:rPr>
  </w:style>
  <w:style w:type="paragraph" w:customStyle="1" w:styleId="Point1number">
    <w:name w:val="Point 1 (number)"/>
    <w:basedOn w:val="Normal00"/>
    <w:pPr>
      <w:tabs>
        <w:tab w:val="num" w:pos="2160"/>
      </w:tabs>
      <w:spacing w:before="120" w:after="120" w:line="240" w:lineRule="auto"/>
      <w:ind w:left="2160" w:hanging="720"/>
      <w:jc w:val="both"/>
    </w:pPr>
    <w:rPr>
      <w:rFonts w:ascii="Times New Roman" w:hAnsi="Times New Roman" w:cs="Times New Roman"/>
      <w:sz w:val="24"/>
    </w:rPr>
  </w:style>
  <w:style w:type="paragraph" w:customStyle="1" w:styleId="Point2number">
    <w:name w:val="Point 2 (number)"/>
    <w:basedOn w:val="Normal00"/>
    <w:pPr>
      <w:tabs>
        <w:tab w:val="num" w:pos="3600"/>
      </w:tabs>
      <w:spacing w:before="120" w:after="120" w:line="240" w:lineRule="auto"/>
      <w:ind w:left="3600" w:hanging="720"/>
      <w:jc w:val="both"/>
    </w:pPr>
    <w:rPr>
      <w:rFonts w:ascii="Times New Roman" w:hAnsi="Times New Roman" w:cs="Times New Roman"/>
      <w:sz w:val="24"/>
    </w:rPr>
  </w:style>
  <w:style w:type="paragraph" w:customStyle="1" w:styleId="Point3number">
    <w:name w:val="Point 3 (number)"/>
    <w:basedOn w:val="Normal00"/>
    <w:pPr>
      <w:tabs>
        <w:tab w:val="num" w:pos="5040"/>
      </w:tabs>
      <w:spacing w:before="120" w:after="120" w:line="240" w:lineRule="auto"/>
      <w:ind w:left="5040" w:hanging="720"/>
      <w:jc w:val="both"/>
    </w:pPr>
    <w:rPr>
      <w:rFonts w:ascii="Times New Roman" w:hAnsi="Times New Roman" w:cs="Times New Roman"/>
      <w:sz w:val="24"/>
    </w:rPr>
  </w:style>
  <w:style w:type="paragraph" w:customStyle="1" w:styleId="Point0letter">
    <w:name w:val="Point 0 (letter)"/>
    <w:basedOn w:val="Normal00"/>
    <w:pPr>
      <w:tabs>
        <w:tab w:val="num" w:pos="1440"/>
      </w:tabs>
      <w:spacing w:before="120" w:after="120" w:line="240" w:lineRule="auto"/>
      <w:ind w:left="1440" w:hanging="720"/>
      <w:jc w:val="both"/>
    </w:pPr>
    <w:rPr>
      <w:rFonts w:ascii="Times New Roman" w:hAnsi="Times New Roman" w:cs="Times New Roman"/>
      <w:sz w:val="24"/>
    </w:rPr>
  </w:style>
  <w:style w:type="paragraph" w:customStyle="1" w:styleId="Point1letter">
    <w:name w:val="Point 1 (letter)"/>
    <w:basedOn w:val="Normal00"/>
    <w:pPr>
      <w:tabs>
        <w:tab w:val="num" w:pos="2880"/>
      </w:tabs>
      <w:spacing w:before="120" w:after="120" w:line="240" w:lineRule="auto"/>
      <w:ind w:left="2880" w:hanging="720"/>
      <w:jc w:val="both"/>
    </w:pPr>
    <w:rPr>
      <w:rFonts w:ascii="Times New Roman" w:hAnsi="Times New Roman" w:cs="Times New Roman"/>
      <w:sz w:val="24"/>
    </w:rPr>
  </w:style>
  <w:style w:type="paragraph" w:customStyle="1" w:styleId="Point2letter">
    <w:name w:val="Point 2 (letter)"/>
    <w:basedOn w:val="Normal00"/>
    <w:pPr>
      <w:tabs>
        <w:tab w:val="num" w:pos="4320"/>
      </w:tabs>
      <w:spacing w:before="120" w:after="120" w:line="240" w:lineRule="auto"/>
      <w:ind w:left="4320" w:hanging="720"/>
      <w:jc w:val="both"/>
    </w:pPr>
    <w:rPr>
      <w:rFonts w:ascii="Times New Roman" w:hAnsi="Times New Roman" w:cs="Times New Roman"/>
      <w:sz w:val="24"/>
    </w:rPr>
  </w:style>
  <w:style w:type="paragraph" w:customStyle="1" w:styleId="Point3letter">
    <w:name w:val="Point 3 (letter)"/>
    <w:basedOn w:val="Normal00"/>
    <w:pPr>
      <w:tabs>
        <w:tab w:val="num" w:pos="5760"/>
      </w:tabs>
      <w:spacing w:before="120" w:after="120" w:line="240" w:lineRule="auto"/>
      <w:ind w:left="5760" w:hanging="720"/>
      <w:jc w:val="both"/>
    </w:pPr>
    <w:rPr>
      <w:rFonts w:ascii="Times New Roman" w:hAnsi="Times New Roman" w:cs="Times New Roman"/>
      <w:sz w:val="24"/>
    </w:rPr>
  </w:style>
  <w:style w:type="paragraph" w:customStyle="1" w:styleId="Point4letter">
    <w:name w:val="Point 4 (letter)"/>
    <w:basedOn w:val="Normal00"/>
    <w:pPr>
      <w:tabs>
        <w:tab w:val="num" w:pos="6480"/>
      </w:tabs>
      <w:spacing w:before="120" w:after="120" w:line="240" w:lineRule="auto"/>
      <w:ind w:left="6480" w:hanging="720"/>
      <w:jc w:val="both"/>
    </w:pPr>
    <w:rPr>
      <w:rFonts w:ascii="Times New Roman" w:hAnsi="Times New Roman" w:cs="Times New Roman"/>
      <w:sz w:val="24"/>
    </w:rPr>
  </w:style>
  <w:style w:type="paragraph" w:customStyle="1" w:styleId="Bullet0">
    <w:name w:val="Bullet 0"/>
    <w:basedOn w:val="Normal00"/>
    <w:pPr>
      <w:tabs>
        <w:tab w:val="num" w:pos="720"/>
      </w:tabs>
      <w:spacing w:before="120" w:after="120" w:line="240" w:lineRule="auto"/>
      <w:ind w:left="720" w:hanging="720"/>
      <w:jc w:val="both"/>
    </w:pPr>
    <w:rPr>
      <w:rFonts w:ascii="Times New Roman" w:hAnsi="Times New Roman" w:cs="Times New Roman"/>
      <w:sz w:val="24"/>
    </w:rPr>
  </w:style>
  <w:style w:type="paragraph" w:customStyle="1" w:styleId="Bullet1">
    <w:name w:val="Bullet 1"/>
    <w:basedOn w:val="Normal00"/>
    <w:pPr>
      <w:tabs>
        <w:tab w:val="num" w:pos="720"/>
      </w:tabs>
      <w:spacing w:before="120" w:after="120" w:line="240" w:lineRule="auto"/>
      <w:ind w:left="720" w:hanging="720"/>
      <w:jc w:val="both"/>
    </w:pPr>
    <w:rPr>
      <w:rFonts w:ascii="Times New Roman" w:hAnsi="Times New Roman" w:cs="Times New Roman"/>
      <w:sz w:val="24"/>
    </w:rPr>
  </w:style>
  <w:style w:type="paragraph" w:customStyle="1" w:styleId="Bullet2">
    <w:name w:val="Bullet 2"/>
    <w:basedOn w:val="Normal00"/>
    <w:pPr>
      <w:tabs>
        <w:tab w:val="num" w:pos="720"/>
      </w:tabs>
      <w:spacing w:before="120" w:after="120" w:line="240" w:lineRule="auto"/>
      <w:ind w:left="720" w:hanging="720"/>
      <w:jc w:val="both"/>
    </w:pPr>
    <w:rPr>
      <w:rFonts w:ascii="Times New Roman" w:hAnsi="Times New Roman" w:cs="Times New Roman"/>
      <w:sz w:val="24"/>
    </w:rPr>
  </w:style>
  <w:style w:type="paragraph" w:customStyle="1" w:styleId="Bullet3">
    <w:name w:val="Bullet 3"/>
    <w:basedOn w:val="Normal00"/>
    <w:pPr>
      <w:tabs>
        <w:tab w:val="num" w:pos="720"/>
      </w:tabs>
      <w:spacing w:before="120" w:after="120" w:line="240" w:lineRule="auto"/>
      <w:ind w:left="720" w:hanging="720"/>
      <w:jc w:val="both"/>
    </w:pPr>
    <w:rPr>
      <w:rFonts w:ascii="Times New Roman" w:hAnsi="Times New Roman" w:cs="Times New Roman"/>
      <w:sz w:val="24"/>
    </w:rPr>
  </w:style>
  <w:style w:type="paragraph" w:customStyle="1" w:styleId="Bullet4">
    <w:name w:val="Bullet 4"/>
    <w:basedOn w:val="Normal00"/>
    <w:pPr>
      <w:tabs>
        <w:tab w:val="num" w:pos="720"/>
      </w:tabs>
      <w:spacing w:before="120" w:after="120" w:line="240" w:lineRule="auto"/>
      <w:ind w:left="720" w:hanging="720"/>
      <w:jc w:val="both"/>
    </w:pPr>
    <w:rPr>
      <w:rFonts w:ascii="Times New Roman" w:hAnsi="Times New Roman" w:cs="Times New Roman"/>
      <w:sz w:val="24"/>
    </w:rPr>
  </w:style>
  <w:style w:type="paragraph" w:customStyle="1" w:styleId="Langue">
    <w:name w:val="Langue"/>
    <w:basedOn w:val="Normal00"/>
    <w:next w:val="Rfrenceinterne"/>
    <w:pPr>
      <w:framePr w:wrap="around" w:vAnchor="page" w:hAnchor="text" w:xAlign="center" w:y="14741"/>
      <w:spacing w:after="600" w:line="240" w:lineRule="auto"/>
      <w:jc w:val="center"/>
    </w:pPr>
    <w:rPr>
      <w:rFonts w:ascii="Times New Roman" w:hAnsi="Times New Roman" w:cs="Times New Roman"/>
      <w:b/>
      <w:caps/>
      <w:sz w:val="24"/>
    </w:rPr>
  </w:style>
  <w:style w:type="paragraph" w:customStyle="1" w:styleId="Nomdelinstitution">
    <w:name w:val="Nom de l'institution"/>
    <w:basedOn w:val="Normal00"/>
    <w:next w:val="Emission"/>
    <w:pPr>
      <w:spacing w:after="0" w:line="240" w:lineRule="auto"/>
    </w:pPr>
    <w:rPr>
      <w:rFonts w:ascii="Arial" w:hAnsi="Arial" w:cs="Arial"/>
      <w:sz w:val="24"/>
    </w:rPr>
  </w:style>
  <w:style w:type="paragraph" w:customStyle="1" w:styleId="Emission">
    <w:name w:val="Emission"/>
    <w:basedOn w:val="Normal00"/>
    <w:next w:val="Rfrenceinstitutionnelle"/>
    <w:pPr>
      <w:spacing w:after="0" w:line="240" w:lineRule="auto"/>
      <w:ind w:left="5103"/>
    </w:pPr>
    <w:rPr>
      <w:rFonts w:ascii="Times New Roman" w:hAnsi="Times New Roman" w:cs="Times New Roman"/>
      <w:sz w:val="24"/>
    </w:rPr>
  </w:style>
  <w:style w:type="paragraph" w:customStyle="1" w:styleId="Rfrenceinstitutionnelle">
    <w:name w:val="Référence institutionnelle"/>
    <w:basedOn w:val="Normal00"/>
    <w:next w:val="Confidentialit"/>
    <w:pPr>
      <w:spacing w:after="240" w:line="240" w:lineRule="auto"/>
      <w:ind w:left="5103"/>
    </w:pPr>
    <w:rPr>
      <w:rFonts w:ascii="Times New Roman" w:hAnsi="Times New Roman" w:cs="Times New Roman"/>
      <w:sz w:val="24"/>
    </w:rPr>
  </w:style>
  <w:style w:type="paragraph" w:customStyle="1" w:styleId="Pagedecouverture">
    <w:name w:val="Page de couverture"/>
    <w:basedOn w:val="Normal00"/>
    <w:next w:val="Normal00"/>
    <w:pPr>
      <w:spacing w:after="0" w:line="240" w:lineRule="auto"/>
      <w:jc w:val="both"/>
    </w:pPr>
    <w:rPr>
      <w:rFonts w:ascii="Times New Roman" w:hAnsi="Times New Roman" w:cs="Times New Roman"/>
      <w:sz w:val="24"/>
    </w:rPr>
  </w:style>
  <w:style w:type="paragraph" w:customStyle="1" w:styleId="Declassification">
    <w:name w:val="Declassification"/>
    <w:basedOn w:val="Normal00"/>
    <w:next w:val="Normal00"/>
    <w:pPr>
      <w:spacing w:after="0" w:line="240" w:lineRule="auto"/>
      <w:jc w:val="both"/>
    </w:pPr>
    <w:rPr>
      <w:rFonts w:ascii="Times New Roman" w:hAnsi="Times New Roman" w:cs="Times New Roman"/>
      <w:sz w:val="24"/>
    </w:rPr>
  </w:style>
  <w:style w:type="paragraph" w:customStyle="1" w:styleId="Disclaimer">
    <w:name w:val="Disclaimer"/>
    <w:basedOn w:val="Normal00"/>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spacing w:before="120" w:after="120" w:line="240" w:lineRule="auto"/>
      <w:jc w:val="both"/>
    </w:pPr>
    <w:rPr>
      <w:rFonts w:ascii="Times New Roman" w:hAnsi="Times New Roman" w:cs="Times New Roman"/>
      <w:sz w:val="24"/>
    </w:rPr>
  </w:style>
  <w:style w:type="paragraph" w:customStyle="1" w:styleId="SecurityMarking">
    <w:name w:val="SecurityMarking"/>
    <w:basedOn w:val="Normal00"/>
    <w:pPr>
      <w:spacing w:after="0"/>
      <w:ind w:left="5103"/>
    </w:pPr>
    <w:rPr>
      <w:rFonts w:ascii="Times New Roman" w:hAnsi="Times New Roman" w:cs="Times New Roman"/>
      <w:sz w:val="28"/>
    </w:rPr>
  </w:style>
  <w:style w:type="paragraph" w:customStyle="1" w:styleId="DateMarking">
    <w:name w:val="DateMarking"/>
    <w:basedOn w:val="Normal00"/>
    <w:pPr>
      <w:spacing w:after="0"/>
      <w:ind w:left="5103"/>
    </w:pPr>
    <w:rPr>
      <w:rFonts w:ascii="Times New Roman" w:hAnsi="Times New Roman" w:cs="Times New Roman"/>
      <w:i/>
      <w:sz w:val="28"/>
    </w:rPr>
  </w:style>
  <w:style w:type="paragraph" w:customStyle="1" w:styleId="ReleasableTo">
    <w:name w:val="ReleasableTo"/>
    <w:basedOn w:val="Normal00"/>
    <w:pPr>
      <w:spacing w:after="0"/>
      <w:ind w:left="5103"/>
    </w:pPr>
    <w:rPr>
      <w:rFonts w:ascii="Times New Roman" w:hAnsi="Times New Roman" w:cs="Times New Roman"/>
      <w:i/>
      <w:sz w:val="28"/>
    </w:rPr>
  </w:style>
  <w:style w:type="paragraph" w:customStyle="1" w:styleId="Annexetitreexpos">
    <w:name w:val="Annexe titre (exposé)"/>
    <w:basedOn w:val="Normal00"/>
    <w:next w:val="Normal00"/>
    <w:pPr>
      <w:spacing w:before="120" w:after="120" w:line="240" w:lineRule="auto"/>
      <w:jc w:val="center"/>
    </w:pPr>
    <w:rPr>
      <w:rFonts w:ascii="Times New Roman" w:hAnsi="Times New Roman" w:cs="Times New Roman"/>
      <w:b/>
      <w:sz w:val="24"/>
      <w:u w:val="single"/>
    </w:rPr>
  </w:style>
  <w:style w:type="paragraph" w:customStyle="1" w:styleId="Annexetitre">
    <w:name w:val="Annexe titre"/>
    <w:basedOn w:val="Normal00"/>
    <w:next w:val="Normal00"/>
    <w:pPr>
      <w:spacing w:before="120" w:after="120" w:line="240" w:lineRule="auto"/>
      <w:jc w:val="center"/>
    </w:pPr>
    <w:rPr>
      <w:rFonts w:ascii="Times New Roman" w:hAnsi="Times New Roman" w:cs="Times New Roman"/>
      <w:b/>
      <w:sz w:val="24"/>
      <w:u w:val="single"/>
    </w:rPr>
  </w:style>
  <w:style w:type="paragraph" w:customStyle="1" w:styleId="Annexetitrefichefinancire">
    <w:name w:val="Annexe titre (fiche financière)"/>
    <w:basedOn w:val="Normal00"/>
    <w:next w:val="Normal00"/>
    <w:pPr>
      <w:spacing w:before="120" w:after="120" w:line="240" w:lineRule="auto"/>
      <w:jc w:val="center"/>
    </w:pPr>
    <w:rPr>
      <w:rFonts w:ascii="Times New Roman" w:hAnsi="Times New Roman" w:cs="Times New Roman"/>
      <w:b/>
      <w:sz w:val="24"/>
      <w:u w:val="single"/>
    </w:rPr>
  </w:style>
  <w:style w:type="paragraph" w:customStyle="1" w:styleId="Applicationdirecte">
    <w:name w:val="Application directe"/>
    <w:basedOn w:val="Normal00"/>
    <w:next w:val="Fait"/>
    <w:pPr>
      <w:spacing w:before="480" w:after="120" w:line="240" w:lineRule="auto"/>
      <w:jc w:val="both"/>
    </w:pPr>
    <w:rPr>
      <w:rFonts w:ascii="Times New Roman" w:hAnsi="Times New Roman" w:cs="Times New Roman"/>
      <w:sz w:val="24"/>
    </w:rPr>
  </w:style>
  <w:style w:type="paragraph" w:customStyle="1" w:styleId="Avertissementtitre">
    <w:name w:val="Avertissement titre"/>
    <w:basedOn w:val="Normal00"/>
    <w:next w:val="Normal00"/>
    <w:pPr>
      <w:keepNext/>
      <w:spacing w:before="480" w:after="120" w:line="240" w:lineRule="auto"/>
      <w:jc w:val="both"/>
    </w:pPr>
    <w:rPr>
      <w:rFonts w:ascii="Times New Roman" w:hAnsi="Times New Roman" w:cs="Times New Roman"/>
      <w:sz w:val="24"/>
      <w:u w:val="single"/>
    </w:rPr>
  </w:style>
  <w:style w:type="paragraph" w:customStyle="1" w:styleId="Confidence">
    <w:name w:val="Confidence"/>
    <w:basedOn w:val="Normal00"/>
    <w:next w:val="Normal00"/>
    <w:pPr>
      <w:spacing w:before="360" w:after="120" w:line="240" w:lineRule="auto"/>
      <w:jc w:val="center"/>
    </w:pPr>
    <w:rPr>
      <w:rFonts w:ascii="Times New Roman" w:hAnsi="Times New Roman" w:cs="Times New Roman"/>
      <w:sz w:val="24"/>
    </w:rPr>
  </w:style>
  <w:style w:type="paragraph" w:customStyle="1" w:styleId="Confidentialit">
    <w:name w:val="Confidentialité"/>
    <w:basedOn w:val="Normal00"/>
    <w:next w:val="TypedudocumentPagedecouverture"/>
    <w:pPr>
      <w:spacing w:before="240" w:after="240" w:line="240" w:lineRule="auto"/>
      <w:ind w:left="5103"/>
    </w:pPr>
    <w:rPr>
      <w:rFonts w:ascii="Times New Roman" w:hAnsi="Times New Roman" w:cs="Times New Roman"/>
      <w:i/>
      <w:sz w:val="32"/>
    </w:rPr>
  </w:style>
  <w:style w:type="paragraph" w:customStyle="1" w:styleId="Considrant">
    <w:name w:val="Considérant"/>
    <w:basedOn w:val="Normal00"/>
    <w:pPr>
      <w:tabs>
        <w:tab w:val="num" w:pos="720"/>
      </w:tabs>
      <w:spacing w:before="120" w:after="120" w:line="240" w:lineRule="auto"/>
      <w:ind w:left="720" w:hanging="720"/>
      <w:jc w:val="both"/>
    </w:pPr>
    <w:rPr>
      <w:rFonts w:ascii="Times New Roman" w:hAnsi="Times New Roman" w:cs="Times New Roman"/>
      <w:sz w:val="24"/>
    </w:rPr>
  </w:style>
  <w:style w:type="paragraph" w:customStyle="1" w:styleId="Corrigendum">
    <w:name w:val="Corrigendum"/>
    <w:basedOn w:val="Normal00"/>
    <w:next w:val="Normal00"/>
    <w:pPr>
      <w:spacing w:after="240" w:line="240" w:lineRule="auto"/>
    </w:pPr>
    <w:rPr>
      <w:rFonts w:ascii="Times New Roman" w:hAnsi="Times New Roman" w:cs="Times New Roman"/>
      <w:sz w:val="24"/>
    </w:rPr>
  </w:style>
  <w:style w:type="paragraph" w:customStyle="1" w:styleId="Datedadoption">
    <w:name w:val="Date d'adoption"/>
    <w:basedOn w:val="Normal00"/>
    <w:next w:val="IntrtEEE"/>
    <w:pPr>
      <w:spacing w:before="360" w:after="0" w:line="240" w:lineRule="auto"/>
      <w:jc w:val="center"/>
    </w:pPr>
    <w:rPr>
      <w:rFonts w:ascii="Times New Roman" w:hAnsi="Times New Roman" w:cs="Times New Roman"/>
      <w:b/>
      <w:sz w:val="24"/>
    </w:rPr>
  </w:style>
  <w:style w:type="paragraph" w:customStyle="1" w:styleId="Exposdesmotifstitre">
    <w:name w:val="Exposé des motifs titre"/>
    <w:basedOn w:val="Normal00"/>
    <w:next w:val="Normal00"/>
    <w:pPr>
      <w:spacing w:before="120" w:after="120" w:line="240" w:lineRule="auto"/>
      <w:jc w:val="center"/>
    </w:pPr>
    <w:rPr>
      <w:rFonts w:ascii="Times New Roman" w:hAnsi="Times New Roman" w:cs="Times New Roman"/>
      <w:b/>
      <w:sz w:val="24"/>
      <w:u w:val="single"/>
    </w:rPr>
  </w:style>
  <w:style w:type="paragraph" w:customStyle="1" w:styleId="Fait">
    <w:name w:val="Fait à"/>
    <w:basedOn w:val="Normal00"/>
    <w:next w:val="Institutionquisigne"/>
    <w:pPr>
      <w:keepNext/>
      <w:spacing w:before="120" w:after="0" w:line="240" w:lineRule="auto"/>
      <w:jc w:val="both"/>
    </w:pPr>
    <w:rPr>
      <w:rFonts w:ascii="Times New Roman" w:hAnsi="Times New Roman" w:cs="Times New Roman"/>
      <w:sz w:val="24"/>
    </w:rPr>
  </w:style>
  <w:style w:type="paragraph" w:customStyle="1" w:styleId="Formuledadoption">
    <w:name w:val="Formule d'adoption"/>
    <w:basedOn w:val="Normal00"/>
    <w:next w:val="Titrearticle"/>
    <w:pPr>
      <w:keepNext/>
      <w:spacing w:before="120" w:after="120" w:line="240" w:lineRule="auto"/>
      <w:jc w:val="both"/>
    </w:pPr>
    <w:rPr>
      <w:rFonts w:ascii="Times New Roman" w:hAnsi="Times New Roman" w:cs="Times New Roman"/>
      <w:sz w:val="24"/>
    </w:rPr>
  </w:style>
  <w:style w:type="paragraph" w:customStyle="1" w:styleId="Institutionquiagit">
    <w:name w:val="Institution qui agit"/>
    <w:basedOn w:val="Normal00"/>
    <w:next w:val="Normal00"/>
    <w:pPr>
      <w:keepNext/>
      <w:spacing w:before="600" w:after="120" w:line="240" w:lineRule="auto"/>
      <w:jc w:val="both"/>
    </w:pPr>
    <w:rPr>
      <w:rFonts w:ascii="Times New Roman" w:hAnsi="Times New Roman" w:cs="Times New Roman"/>
      <w:sz w:val="24"/>
    </w:rPr>
  </w:style>
  <w:style w:type="paragraph" w:customStyle="1" w:styleId="Institutionquisigne">
    <w:name w:val="Institution qui signe"/>
    <w:basedOn w:val="Normal00"/>
    <w:next w:val="Personnequisigne"/>
    <w:pPr>
      <w:keepNext/>
      <w:tabs>
        <w:tab w:val="left" w:pos="4252"/>
      </w:tabs>
      <w:spacing w:before="720" w:after="0" w:line="240" w:lineRule="auto"/>
      <w:jc w:val="both"/>
    </w:pPr>
    <w:rPr>
      <w:rFonts w:ascii="Times New Roman" w:hAnsi="Times New Roman" w:cs="Times New Roman"/>
      <w:i/>
      <w:sz w:val="24"/>
    </w:rPr>
  </w:style>
  <w:style w:type="paragraph" w:customStyle="1" w:styleId="ManualConsidrant">
    <w:name w:val="Manual Considérant"/>
    <w:basedOn w:val="Normal00"/>
    <w:pPr>
      <w:spacing w:before="120" w:after="120" w:line="240" w:lineRule="auto"/>
      <w:ind w:left="709" w:hanging="709"/>
      <w:jc w:val="both"/>
    </w:pPr>
    <w:rPr>
      <w:rFonts w:ascii="Times New Roman" w:hAnsi="Times New Roman" w:cs="Times New Roman"/>
      <w:sz w:val="24"/>
    </w:rPr>
  </w:style>
  <w:style w:type="paragraph" w:customStyle="1" w:styleId="Personnequisigne">
    <w:name w:val="Personne qui signe"/>
    <w:basedOn w:val="Normal00"/>
    <w:next w:val="Institutionquisigne"/>
    <w:pPr>
      <w:tabs>
        <w:tab w:val="left" w:pos="4252"/>
      </w:tabs>
      <w:spacing w:after="0" w:line="240" w:lineRule="auto"/>
    </w:pPr>
    <w:rPr>
      <w:rFonts w:ascii="Times New Roman" w:hAnsi="Times New Roman" w:cs="Times New Roman"/>
      <w:i/>
      <w:sz w:val="24"/>
    </w:rPr>
  </w:style>
  <w:style w:type="paragraph" w:customStyle="1" w:styleId="Rfrenceinterinstitutionnelle">
    <w:name w:val="Référence interinstitutionnelle"/>
    <w:basedOn w:val="Normal00"/>
    <w:next w:val="Statut"/>
    <w:pPr>
      <w:spacing w:after="0" w:line="240" w:lineRule="auto"/>
      <w:ind w:left="5103"/>
    </w:pPr>
    <w:rPr>
      <w:rFonts w:ascii="Times New Roman" w:hAnsi="Times New Roman" w:cs="Times New Roman"/>
      <w:sz w:val="24"/>
    </w:rPr>
  </w:style>
  <w:style w:type="paragraph" w:customStyle="1" w:styleId="Rfrenceinterne">
    <w:name w:val="Référence interne"/>
    <w:basedOn w:val="Normal00"/>
    <w:next w:val="Rfrenceinterinstitutionnelle"/>
    <w:pPr>
      <w:spacing w:after="0" w:line="240" w:lineRule="auto"/>
      <w:ind w:left="5103"/>
    </w:pPr>
    <w:rPr>
      <w:rFonts w:ascii="Times New Roman" w:hAnsi="Times New Roman" w:cs="Times New Roman"/>
      <w:sz w:val="24"/>
    </w:rPr>
  </w:style>
  <w:style w:type="paragraph" w:customStyle="1" w:styleId="Statut">
    <w:name w:val="Statut"/>
    <w:basedOn w:val="Normal00"/>
    <w:next w:val="Typedudocument"/>
    <w:pPr>
      <w:spacing w:after="240" w:line="240" w:lineRule="auto"/>
      <w:jc w:val="center"/>
    </w:pPr>
    <w:rPr>
      <w:rFonts w:ascii="Times New Roman" w:hAnsi="Times New Roman" w:cs="Times New Roman"/>
      <w:sz w:val="24"/>
    </w:rPr>
  </w:style>
  <w:style w:type="paragraph" w:customStyle="1" w:styleId="Titrearticle">
    <w:name w:val="Titre article"/>
    <w:basedOn w:val="Normal00"/>
    <w:next w:val="Normal00"/>
    <w:pPr>
      <w:keepNext/>
      <w:spacing w:before="360" w:after="120" w:line="240" w:lineRule="auto"/>
      <w:jc w:val="center"/>
    </w:pPr>
    <w:rPr>
      <w:rFonts w:ascii="Times New Roman" w:hAnsi="Times New Roman" w:cs="Times New Roman"/>
      <w:i/>
      <w:sz w:val="24"/>
    </w:rPr>
  </w:style>
  <w:style w:type="paragraph" w:customStyle="1" w:styleId="Typedudocument">
    <w:name w:val="Type du document"/>
    <w:basedOn w:val="Normal00"/>
    <w:next w:val="Accompagnant"/>
    <w:pPr>
      <w:spacing w:before="360" w:after="180" w:line="240" w:lineRule="auto"/>
      <w:jc w:val="center"/>
    </w:pPr>
    <w:rPr>
      <w:rFonts w:ascii="Times New Roman" w:hAnsi="Times New Roman" w:cs="Times New Roman"/>
      <w:b/>
      <w:sz w:val="24"/>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00"/>
    <w:next w:val="Normal00"/>
    <w:pPr>
      <w:keepLines/>
      <w:spacing w:before="120" w:after="120" w:line="360" w:lineRule="auto"/>
      <w:ind w:left="3402"/>
    </w:pPr>
    <w:rPr>
      <w:rFonts w:ascii="Times New Roman" w:hAnsi="Times New Roman" w:cs="Times New Roman"/>
      <w:sz w:val="24"/>
    </w:rPr>
  </w:style>
  <w:style w:type="paragraph" w:customStyle="1" w:styleId="Objetexterne">
    <w:name w:val="Objet externe"/>
    <w:basedOn w:val="Normal00"/>
    <w:next w:val="Normal00"/>
    <w:pPr>
      <w:spacing w:before="120" w:after="120" w:line="240" w:lineRule="auto"/>
      <w:jc w:val="both"/>
    </w:pPr>
    <w:rPr>
      <w:rFonts w:ascii="Times New Roman" w:hAnsi="Times New Roman" w:cs="Times New Roman"/>
      <w:i/>
      <w:caps/>
      <w:sz w:val="24"/>
    </w:rPr>
  </w:style>
  <w:style w:type="paragraph" w:customStyle="1" w:styleId="Supertitre">
    <w:name w:val="Supertitre"/>
    <w:basedOn w:val="Normal00"/>
    <w:next w:val="Normal00"/>
    <w:pPr>
      <w:spacing w:after="600" w:line="240" w:lineRule="auto"/>
      <w:jc w:val="center"/>
    </w:pPr>
    <w:rPr>
      <w:rFonts w:ascii="Times New Roman" w:hAnsi="Times New Roman" w:cs="Times New Roman"/>
      <w:b/>
      <w:sz w:val="24"/>
    </w:rPr>
  </w:style>
  <w:style w:type="paragraph" w:customStyle="1" w:styleId="Languesfaisantfoi">
    <w:name w:val="Langues faisant foi"/>
    <w:basedOn w:val="Normal00"/>
    <w:next w:val="Normal00"/>
    <w:pPr>
      <w:spacing w:before="360" w:after="0" w:line="240" w:lineRule="auto"/>
      <w:jc w:val="center"/>
    </w:pPr>
    <w:rPr>
      <w:rFonts w:ascii="Times New Roman" w:hAnsi="Times New Roman" w:cs="Times New Roman"/>
      <w:sz w:val="24"/>
    </w:rPr>
  </w:style>
  <w:style w:type="paragraph" w:customStyle="1" w:styleId="Rfrencecroise">
    <w:name w:val="Référence croisée"/>
    <w:basedOn w:val="Normal00"/>
    <w:pPr>
      <w:spacing w:after="0" w:line="240" w:lineRule="auto"/>
      <w:jc w:val="center"/>
    </w:pPr>
    <w:rPr>
      <w:rFonts w:ascii="Times New Roman" w:hAnsi="Times New Roman" w:cs="Times New Roman"/>
      <w:sz w:val="24"/>
    </w:rPr>
  </w:style>
  <w:style w:type="paragraph" w:customStyle="1" w:styleId="Fichefinanciretitre">
    <w:name w:val="Fiche financière titre"/>
    <w:basedOn w:val="Normal00"/>
    <w:next w:val="Normal00"/>
    <w:pPr>
      <w:spacing w:before="120" w:after="120" w:line="240" w:lineRule="auto"/>
      <w:jc w:val="center"/>
    </w:pPr>
    <w:rPr>
      <w:rFonts w:ascii="Times New Roman" w:hAnsi="Times New Roman" w:cs="Times New Roman"/>
      <w:b/>
      <w:sz w:val="24"/>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00"/>
    <w:next w:val="Confidentialit"/>
    <w:pPr>
      <w:spacing w:after="240" w:line="240" w:lineRule="auto"/>
      <w:ind w:left="5103"/>
    </w:pPr>
    <w:rPr>
      <w:rFonts w:ascii="Times New Roman" w:hAnsi="Times New Roman" w:cs="Times New Roman"/>
      <w:sz w:val="24"/>
    </w:rPr>
  </w:style>
  <w:style w:type="paragraph" w:customStyle="1" w:styleId="IntrtEEE">
    <w:name w:val="Intérêt EEE"/>
    <w:basedOn w:val="Languesfaisantfoi"/>
    <w:next w:val="Normal00"/>
    <w:pPr>
      <w:spacing w:after="240"/>
    </w:pPr>
  </w:style>
  <w:style w:type="paragraph" w:customStyle="1" w:styleId="Accompagnant">
    <w:name w:val="Accompagnant"/>
    <w:basedOn w:val="Normal00"/>
    <w:next w:val="Typeacteprincipal"/>
    <w:pPr>
      <w:spacing w:before="180" w:after="240" w:line="240" w:lineRule="auto"/>
      <w:jc w:val="center"/>
    </w:pPr>
    <w:rPr>
      <w:rFonts w:ascii="Times New Roman" w:hAnsi="Times New Roman" w:cs="Times New Roman"/>
      <w:b/>
      <w:sz w:val="24"/>
    </w:rPr>
  </w:style>
  <w:style w:type="paragraph" w:customStyle="1" w:styleId="Typeacteprincipal">
    <w:name w:val="Type acte principal"/>
    <w:basedOn w:val="Normal00"/>
    <w:next w:val="Objetacteprincipal"/>
    <w:pPr>
      <w:spacing w:after="240" w:line="240" w:lineRule="auto"/>
      <w:jc w:val="center"/>
    </w:pPr>
    <w:rPr>
      <w:rFonts w:ascii="Times New Roman" w:hAnsi="Times New Roman" w:cs="Times New Roman"/>
      <w:b/>
      <w:sz w:val="24"/>
    </w:rPr>
  </w:style>
  <w:style w:type="paragraph" w:customStyle="1" w:styleId="Objetacteprincipal">
    <w:name w:val="Objet acte principal"/>
    <w:basedOn w:val="Normal00"/>
    <w:next w:val="Titrearticle"/>
    <w:pPr>
      <w:spacing w:after="360" w:line="240" w:lineRule="auto"/>
      <w:jc w:val="center"/>
    </w:pPr>
    <w:rPr>
      <w:rFonts w:ascii="Times New Roman" w:hAnsi="Times New Roman" w:cs="Times New Roman"/>
      <w:b/>
      <w:sz w:val="24"/>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00"/>
    <w:next w:val="Normal00"/>
    <w:pPr>
      <w:spacing w:before="360" w:after="0" w:line="240" w:lineRule="auto"/>
      <w:jc w:val="center"/>
    </w:pPr>
    <w:rPr>
      <w:rFonts w:ascii="Times New Roman" w:hAnsi="Times New Roman" w:cs="Times New Roman"/>
      <w:sz w:val="24"/>
    </w:rPr>
  </w:style>
  <w:style w:type="table" w:styleId="TableGrid">
    <w:name w:val="Table Grid"/>
    <w:basedOn w:val="NormalTable00"/>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tion1">
    <w:name w:val="Mention1"/>
    <w:basedOn w:val="DefaultParagraphFont"/>
    <w:uiPriority w:val="99"/>
    <w:unhideWhenUsed/>
    <w:rPr>
      <w:color w:val="2B579A"/>
      <w:shd w:val="clear" w:color="auto" w:fill="E6E6E6"/>
    </w:rPr>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styleId="Subtitle">
    <w:name w:val="Subtitle"/>
    <w:basedOn w:val="Normal00"/>
    <w:next w:val="Normal00"/>
    <w:pPr>
      <w:keepNext/>
      <w:keepLines/>
      <w:spacing w:before="360" w:after="80"/>
    </w:pPr>
    <w:rPr>
      <w:rFonts w:ascii="Georgia" w:eastAsia="Georgia" w:hAnsi="Georgia" w:cs="Georgia"/>
      <w:i/>
      <w:color w:val="666666"/>
      <w:sz w:val="48"/>
    </w:rPr>
  </w:style>
  <w:style w:type="table" w:customStyle="1" w:styleId="39">
    <w:name w:val="39"/>
    <w:basedOn w:val="NormalTable00"/>
    <w:tblPr>
      <w:tblStyleRowBandSize w:val="1"/>
      <w:tblStyleColBandSize w:val="1"/>
      <w:tblCellMar>
        <w:left w:w="115" w:type="dxa"/>
        <w:right w:w="115" w:type="dxa"/>
      </w:tblCellMar>
    </w:tblPr>
  </w:style>
  <w:style w:type="table" w:customStyle="1" w:styleId="38">
    <w:name w:val="38"/>
    <w:basedOn w:val="NormalTable00"/>
    <w:tblPr>
      <w:tblStyleRowBandSize w:val="1"/>
      <w:tblStyleColBandSize w:val="1"/>
      <w:tblCellMar>
        <w:left w:w="115" w:type="dxa"/>
        <w:right w:w="115" w:type="dxa"/>
      </w:tblCellMar>
    </w:tblPr>
  </w:style>
  <w:style w:type="table" w:customStyle="1" w:styleId="37">
    <w:name w:val="37"/>
    <w:basedOn w:val="NormalTable00"/>
    <w:tblPr>
      <w:tblStyleRowBandSize w:val="1"/>
      <w:tblStyleColBandSize w:val="1"/>
      <w:tblCellMar>
        <w:left w:w="115" w:type="dxa"/>
        <w:right w:w="115" w:type="dxa"/>
      </w:tblCellMar>
    </w:tblPr>
  </w:style>
  <w:style w:type="table" w:customStyle="1" w:styleId="36">
    <w:name w:val="36"/>
    <w:basedOn w:val="NormalTable00"/>
    <w:tblPr>
      <w:tblStyleRowBandSize w:val="1"/>
      <w:tblStyleColBandSize w:val="1"/>
      <w:tblCellMar>
        <w:left w:w="115" w:type="dxa"/>
        <w:right w:w="115" w:type="dxa"/>
      </w:tblCellMar>
    </w:tblPr>
  </w:style>
  <w:style w:type="table" w:customStyle="1" w:styleId="35">
    <w:name w:val="35"/>
    <w:basedOn w:val="NormalTable00"/>
    <w:tblPr>
      <w:tblStyleRowBandSize w:val="1"/>
      <w:tblStyleColBandSize w:val="1"/>
      <w:tblCellMar>
        <w:left w:w="115" w:type="dxa"/>
        <w:right w:w="115" w:type="dxa"/>
      </w:tblCellMar>
    </w:tblPr>
  </w:style>
  <w:style w:type="table" w:customStyle="1" w:styleId="34">
    <w:name w:val="34"/>
    <w:basedOn w:val="NormalTable00"/>
    <w:tblPr>
      <w:tblStyleRowBandSize w:val="1"/>
      <w:tblStyleColBandSize w:val="1"/>
      <w:tblCellMar>
        <w:left w:w="115" w:type="dxa"/>
        <w:right w:w="115" w:type="dxa"/>
      </w:tblCellMar>
    </w:tblPr>
  </w:style>
  <w:style w:type="table" w:customStyle="1" w:styleId="33">
    <w:name w:val="33"/>
    <w:basedOn w:val="NormalTable00"/>
    <w:tblPr>
      <w:tblStyleRowBandSize w:val="1"/>
      <w:tblStyleColBandSize w:val="1"/>
      <w:tblCellMar>
        <w:left w:w="115" w:type="dxa"/>
        <w:right w:w="115" w:type="dxa"/>
      </w:tblCellMar>
    </w:tblPr>
  </w:style>
  <w:style w:type="table" w:customStyle="1" w:styleId="32">
    <w:name w:val="32"/>
    <w:basedOn w:val="NormalTable00"/>
    <w:tblPr>
      <w:tblStyleRowBandSize w:val="1"/>
      <w:tblStyleColBandSize w:val="1"/>
      <w:tblCellMar>
        <w:left w:w="115" w:type="dxa"/>
        <w:right w:w="115" w:type="dxa"/>
      </w:tblCellMar>
    </w:tblPr>
  </w:style>
  <w:style w:type="table" w:customStyle="1" w:styleId="31">
    <w:name w:val="31"/>
    <w:basedOn w:val="NormalTable00"/>
    <w:tblPr>
      <w:tblStyleRowBandSize w:val="1"/>
      <w:tblStyleColBandSize w:val="1"/>
      <w:tblCellMar>
        <w:left w:w="115" w:type="dxa"/>
        <w:right w:w="115" w:type="dxa"/>
      </w:tblCellMar>
    </w:tblPr>
  </w:style>
  <w:style w:type="table" w:customStyle="1" w:styleId="30">
    <w:name w:val="30"/>
    <w:basedOn w:val="NormalTable00"/>
    <w:tblPr>
      <w:tblStyleRowBandSize w:val="1"/>
      <w:tblStyleColBandSize w:val="1"/>
      <w:tblCellMar>
        <w:left w:w="115" w:type="dxa"/>
        <w:right w:w="115" w:type="dxa"/>
      </w:tblCellMar>
    </w:tblPr>
  </w:style>
  <w:style w:type="table" w:customStyle="1" w:styleId="29">
    <w:name w:val="29"/>
    <w:basedOn w:val="NormalTable00"/>
    <w:tblPr>
      <w:tblStyleRowBandSize w:val="1"/>
      <w:tblStyleColBandSize w:val="1"/>
      <w:tblCellMar>
        <w:left w:w="115" w:type="dxa"/>
        <w:right w:w="115" w:type="dxa"/>
      </w:tblCellMar>
    </w:tblPr>
  </w:style>
  <w:style w:type="table" w:customStyle="1" w:styleId="28">
    <w:name w:val="28"/>
    <w:basedOn w:val="NormalTable00"/>
    <w:tblPr>
      <w:tblStyleRowBandSize w:val="1"/>
      <w:tblStyleColBandSize w:val="1"/>
      <w:tblCellMar>
        <w:left w:w="115" w:type="dxa"/>
        <w:right w:w="115" w:type="dxa"/>
      </w:tblCellMar>
    </w:tblPr>
  </w:style>
  <w:style w:type="table" w:customStyle="1" w:styleId="27">
    <w:name w:val="27"/>
    <w:basedOn w:val="NormalTable00"/>
    <w:tblPr>
      <w:tblStyleRowBandSize w:val="1"/>
      <w:tblStyleColBandSize w:val="1"/>
      <w:tblCellMar>
        <w:left w:w="115" w:type="dxa"/>
        <w:right w:w="115" w:type="dxa"/>
      </w:tblCellMar>
    </w:tblPr>
  </w:style>
  <w:style w:type="table" w:customStyle="1" w:styleId="26">
    <w:name w:val="26"/>
    <w:basedOn w:val="NormalTable00"/>
    <w:tblPr>
      <w:tblStyleRowBandSize w:val="1"/>
      <w:tblStyleColBandSize w:val="1"/>
      <w:tblCellMar>
        <w:left w:w="115" w:type="dxa"/>
        <w:right w:w="115" w:type="dxa"/>
      </w:tblCellMar>
    </w:tblPr>
  </w:style>
  <w:style w:type="table" w:customStyle="1" w:styleId="25">
    <w:name w:val="25"/>
    <w:basedOn w:val="NormalTable00"/>
    <w:tblPr>
      <w:tblStyleRowBandSize w:val="1"/>
      <w:tblStyleColBandSize w:val="1"/>
      <w:tblCellMar>
        <w:left w:w="115" w:type="dxa"/>
        <w:right w:w="115" w:type="dxa"/>
      </w:tblCellMar>
    </w:tblPr>
  </w:style>
  <w:style w:type="table" w:customStyle="1" w:styleId="24">
    <w:name w:val="24"/>
    <w:basedOn w:val="NormalTable00"/>
    <w:tblPr>
      <w:tblStyleRowBandSize w:val="1"/>
      <w:tblStyleColBandSize w:val="1"/>
      <w:tblCellMar>
        <w:left w:w="115" w:type="dxa"/>
        <w:right w:w="115" w:type="dxa"/>
      </w:tblCellMar>
    </w:tblPr>
  </w:style>
  <w:style w:type="table" w:customStyle="1" w:styleId="23">
    <w:name w:val="23"/>
    <w:basedOn w:val="NormalTable00"/>
    <w:tblPr>
      <w:tblStyleRowBandSize w:val="1"/>
      <w:tblStyleColBandSize w:val="1"/>
      <w:tblCellMar>
        <w:left w:w="115" w:type="dxa"/>
        <w:right w:w="115" w:type="dxa"/>
      </w:tblCellMar>
    </w:tblPr>
  </w:style>
  <w:style w:type="table" w:customStyle="1" w:styleId="22">
    <w:name w:val="22"/>
    <w:basedOn w:val="NormalTable00"/>
    <w:tblPr>
      <w:tblStyleRowBandSize w:val="1"/>
      <w:tblStyleColBandSize w:val="1"/>
      <w:tblCellMar>
        <w:left w:w="115" w:type="dxa"/>
        <w:right w:w="115" w:type="dxa"/>
      </w:tblCellMar>
    </w:tblPr>
  </w:style>
  <w:style w:type="table" w:customStyle="1" w:styleId="21">
    <w:name w:val="21"/>
    <w:basedOn w:val="NormalTable00"/>
    <w:tblPr>
      <w:tblStyleRowBandSize w:val="1"/>
      <w:tblStyleColBandSize w:val="1"/>
      <w:tblCellMar>
        <w:left w:w="115" w:type="dxa"/>
        <w:right w:w="115" w:type="dxa"/>
      </w:tblCellMar>
    </w:tblPr>
  </w:style>
  <w:style w:type="paragraph" w:customStyle="1" w:styleId="Subtitle0">
    <w:name w:val="Subtitle0"/>
    <w:basedOn w:val="Normal0"/>
    <w:next w:val="Normal0"/>
    <w:pPr>
      <w:keepNext/>
      <w:keepLines/>
      <w:pBdr>
        <w:top w:val="nil"/>
        <w:left w:val="nil"/>
        <w:bottom w:val="nil"/>
        <w:right w:val="nil"/>
        <w:between w:val="nil"/>
      </w:pBdr>
      <w:spacing w:before="360" w:after="80"/>
    </w:pPr>
    <w:rPr>
      <w:rFonts w:ascii="Georgia" w:eastAsia="Georgia" w:hAnsi="Georgia" w:cs="Georgia"/>
      <w:i/>
      <w:color w:val="666666"/>
      <w:sz w:val="48"/>
    </w:rPr>
  </w:style>
  <w:style w:type="table" w:customStyle="1" w:styleId="20">
    <w:name w:val="20"/>
    <w:basedOn w:val="NormalTable0"/>
    <w:tblPr>
      <w:tblStyleRowBandSize w:val="1"/>
      <w:tblStyleColBandSize w:val="1"/>
      <w:tblCellMar>
        <w:left w:w="115" w:type="dxa"/>
        <w:right w:w="115" w:type="dxa"/>
      </w:tblCellMar>
    </w:tblPr>
  </w:style>
  <w:style w:type="table" w:customStyle="1" w:styleId="19">
    <w:name w:val="19"/>
    <w:basedOn w:val="NormalTable0"/>
    <w:tblPr>
      <w:tblStyleRowBandSize w:val="1"/>
      <w:tblStyleColBandSize w:val="1"/>
      <w:tblCellMar>
        <w:left w:w="115" w:type="dxa"/>
        <w:right w:w="115" w:type="dxa"/>
      </w:tblCellMar>
    </w:tblPr>
  </w:style>
  <w:style w:type="table" w:customStyle="1" w:styleId="18">
    <w:name w:val="18"/>
    <w:basedOn w:val="NormalTable0"/>
    <w:tblPr>
      <w:tblStyleRowBandSize w:val="1"/>
      <w:tblStyleColBandSize w:val="1"/>
      <w:tblCellMar>
        <w:left w:w="115" w:type="dxa"/>
        <w:right w:w="115" w:type="dxa"/>
      </w:tblCellMar>
    </w:tblPr>
  </w:style>
  <w:style w:type="table" w:customStyle="1" w:styleId="17">
    <w:name w:val="17"/>
    <w:basedOn w:val="NormalTable0"/>
    <w:tblPr>
      <w:tblStyleRowBandSize w:val="1"/>
      <w:tblStyleColBandSize w:val="1"/>
      <w:tblCellMar>
        <w:left w:w="115" w:type="dxa"/>
        <w:right w:w="115" w:type="dxa"/>
      </w:tblCellMar>
    </w:tblPr>
  </w:style>
  <w:style w:type="table" w:customStyle="1" w:styleId="16">
    <w:name w:val="16"/>
    <w:basedOn w:val="NormalTable0"/>
    <w:tblPr>
      <w:tblStyleRowBandSize w:val="1"/>
      <w:tblStyleColBandSize w:val="1"/>
      <w:tblCellMar>
        <w:left w:w="115" w:type="dxa"/>
        <w:right w:w="115" w:type="dxa"/>
      </w:tblCellMar>
    </w:tblPr>
  </w:style>
  <w:style w:type="table" w:customStyle="1" w:styleId="15">
    <w:name w:val="15"/>
    <w:basedOn w:val="NormalTable0"/>
    <w:tblPr>
      <w:tblStyleRowBandSize w:val="1"/>
      <w:tblStyleColBandSize w:val="1"/>
      <w:tblCellMar>
        <w:left w:w="115" w:type="dxa"/>
        <w:right w:w="115" w:type="dxa"/>
      </w:tblCellMar>
    </w:tblPr>
  </w:style>
  <w:style w:type="table" w:customStyle="1" w:styleId="14">
    <w:name w:val="14"/>
    <w:basedOn w:val="NormalTable0"/>
    <w:tblPr>
      <w:tblStyleRowBandSize w:val="1"/>
      <w:tblStyleColBandSize w:val="1"/>
      <w:tblCellMar>
        <w:left w:w="115" w:type="dxa"/>
        <w:right w:w="115" w:type="dxa"/>
      </w:tblCellMar>
    </w:tblPr>
  </w:style>
  <w:style w:type="table" w:customStyle="1" w:styleId="13">
    <w:name w:val="13"/>
    <w:basedOn w:val="NormalTable0"/>
    <w:tblPr>
      <w:tblStyleRowBandSize w:val="1"/>
      <w:tblStyleColBandSize w:val="1"/>
      <w:tblCellMar>
        <w:left w:w="115" w:type="dxa"/>
        <w:right w:w="115" w:type="dxa"/>
      </w:tblCellMar>
    </w:tblPr>
  </w:style>
  <w:style w:type="table" w:customStyle="1" w:styleId="12">
    <w:name w:val="12"/>
    <w:basedOn w:val="NormalTable0"/>
    <w:tblPr>
      <w:tblStyleRowBandSize w:val="1"/>
      <w:tblStyleColBandSize w:val="1"/>
      <w:tblCellMar>
        <w:left w:w="115" w:type="dxa"/>
        <w:right w:w="115" w:type="dxa"/>
      </w:tblCellMar>
    </w:tblPr>
  </w:style>
  <w:style w:type="table" w:customStyle="1" w:styleId="11">
    <w:name w:val="11"/>
    <w:basedOn w:val="NormalTable0"/>
    <w:tblPr>
      <w:tblStyleRowBandSize w:val="1"/>
      <w:tblStyleColBandSize w:val="1"/>
      <w:tblCellMar>
        <w:left w:w="115" w:type="dxa"/>
        <w:right w:w="115" w:type="dxa"/>
      </w:tblCellMar>
    </w:tblPr>
  </w:style>
  <w:style w:type="table" w:customStyle="1" w:styleId="10">
    <w:name w:val="10"/>
    <w:basedOn w:val="NormalTable0"/>
    <w:tblPr>
      <w:tblStyleRowBandSize w:val="1"/>
      <w:tblStyleColBandSize w:val="1"/>
      <w:tblCellMar>
        <w:left w:w="115" w:type="dxa"/>
        <w:right w:w="115" w:type="dxa"/>
      </w:tblCellMar>
    </w:tblPr>
  </w:style>
  <w:style w:type="table" w:customStyle="1" w:styleId="9">
    <w:name w:val="9"/>
    <w:basedOn w:val="NormalTable0"/>
    <w:tblPr>
      <w:tblStyleRowBandSize w:val="1"/>
      <w:tblStyleColBandSize w:val="1"/>
      <w:tblCellMar>
        <w:left w:w="115" w:type="dxa"/>
        <w:right w:w="115" w:type="dxa"/>
      </w:tblCellMar>
    </w:tblPr>
  </w:style>
  <w:style w:type="table" w:customStyle="1" w:styleId="8">
    <w:name w:val="8"/>
    <w:basedOn w:val="NormalTable0"/>
    <w:tblPr>
      <w:tblStyleRowBandSize w:val="1"/>
      <w:tblStyleColBandSize w:val="1"/>
      <w:tblCellMar>
        <w:left w:w="115" w:type="dxa"/>
        <w:right w:w="115" w:type="dxa"/>
      </w:tblCellMar>
    </w:tblPr>
  </w:style>
  <w:style w:type="table" w:customStyle="1" w:styleId="7">
    <w:name w:val="7"/>
    <w:basedOn w:val="NormalTable0"/>
    <w:tblPr>
      <w:tblStyleRowBandSize w:val="1"/>
      <w:tblStyleColBandSize w:val="1"/>
      <w:tblCellMar>
        <w:left w:w="115" w:type="dxa"/>
        <w:right w:w="115" w:type="dxa"/>
      </w:tblCellMar>
    </w:tblPr>
  </w:style>
  <w:style w:type="table" w:customStyle="1" w:styleId="6">
    <w:name w:val="6"/>
    <w:basedOn w:val="NormalTable0"/>
    <w:tblPr>
      <w:tblStyleRowBandSize w:val="1"/>
      <w:tblStyleColBandSize w:val="1"/>
      <w:tblCellMar>
        <w:left w:w="115" w:type="dxa"/>
        <w:right w:w="115" w:type="dxa"/>
      </w:tblCellMar>
    </w:tblPr>
  </w:style>
  <w:style w:type="table" w:customStyle="1" w:styleId="5">
    <w:name w:val="5"/>
    <w:basedOn w:val="NormalTable0"/>
    <w:tblPr>
      <w:tblStyleRowBandSize w:val="1"/>
      <w:tblStyleColBandSize w:val="1"/>
      <w:tblCellMar>
        <w:left w:w="115" w:type="dxa"/>
        <w:right w:w="115" w:type="dxa"/>
      </w:tblCellMar>
    </w:tblPr>
  </w:style>
  <w:style w:type="table" w:customStyle="1" w:styleId="4">
    <w:name w:val="4"/>
    <w:basedOn w:val="NormalTable0"/>
    <w:tblPr>
      <w:tblStyleRowBandSize w:val="1"/>
      <w:tblStyleColBandSize w:val="1"/>
      <w:tblCellMar>
        <w:left w:w="115" w:type="dxa"/>
        <w:right w:w="115" w:type="dxa"/>
      </w:tblCellMar>
    </w:tblPr>
  </w:style>
  <w:style w:type="table" w:customStyle="1" w:styleId="3">
    <w:name w:val="3"/>
    <w:basedOn w:val="NormalTable0"/>
    <w:tblPr>
      <w:tblStyleRowBandSize w:val="1"/>
      <w:tblStyleColBandSize w:val="1"/>
      <w:tblCellMar>
        <w:left w:w="115" w:type="dxa"/>
        <w:right w:w="115" w:type="dxa"/>
      </w:tblCellMar>
    </w:tblPr>
  </w:style>
  <w:style w:type="table" w:customStyle="1" w:styleId="1">
    <w:name w:val="1"/>
    <w:basedOn w:val="NormalTable0"/>
    <w:tblPr>
      <w:tblStyleRowBandSize w:val="1"/>
      <w:tblStyleColBandSize w:val="1"/>
      <w:tblCellMar>
        <w:left w:w="115" w:type="dxa"/>
        <w:right w:w="115" w:type="dxa"/>
      </w:tblCellMar>
    </w:tblPr>
  </w:style>
  <w:style w:type="character" w:customStyle="1" w:styleId="FootnoteCharacters">
    <w:name w:val="Footnote Characters"/>
    <w:rsid w:val="00C612C5"/>
    <w:rPr>
      <w:vertAlign w:val="superscript"/>
    </w:rPr>
  </w:style>
  <w:style w:type="character" w:customStyle="1" w:styleId="WW8Num2z0">
    <w:name w:val="WW8Num2z0"/>
    <w:rsid w:val="00463240"/>
    <w:rPr>
      <w:rFonts w:ascii="Wingdings" w:hAnsi="Wingdings" w:cs="Wingdings"/>
    </w:rPr>
  </w:style>
  <w:style w:type="character" w:customStyle="1" w:styleId="WW8Num1z1">
    <w:name w:val="WW8Num1z1"/>
    <w:rsid w:val="00D33DF2"/>
    <w:rPr>
      <w:rFonts w:ascii="Courier New" w:hAnsi="Courier New" w:cs="Courier New"/>
    </w:rPr>
  </w:style>
  <w:style w:type="character" w:customStyle="1" w:styleId="Mention2">
    <w:name w:val="Mention2"/>
    <w:basedOn w:val="DefaultParagraphFont"/>
    <w:uiPriority w:val="99"/>
    <w:unhideWhenUsed/>
    <w:rPr>
      <w:color w:val="2B579A"/>
      <w:shd w:val="clear" w:color="auto" w:fill="E6E6E6"/>
    </w:rPr>
  </w:style>
  <w:style w:type="paragraph" w:customStyle="1" w:styleId="paragraph">
    <w:name w:val="paragraph"/>
    <w:basedOn w:val="Normal"/>
    <w:rsid w:val="00D23F6C"/>
    <w:pPr>
      <w:spacing w:before="100" w:beforeAutospacing="1" w:after="100" w:afterAutospacing="1" w:line="240" w:lineRule="auto"/>
    </w:pPr>
    <w:rPr>
      <w:rFonts w:ascii="Times New Roman" w:eastAsia="Times New Roman" w:hAnsi="Times New Roman" w:cs="Times New Roman"/>
      <w:sz w:val="24"/>
    </w:rPr>
  </w:style>
  <w:style w:type="character" w:customStyle="1" w:styleId="normaltextrun">
    <w:name w:val="normaltextrun"/>
    <w:basedOn w:val="DefaultParagraphFont"/>
    <w:rsid w:val="00D23F6C"/>
  </w:style>
  <w:style w:type="character" w:customStyle="1" w:styleId="scxw147420095">
    <w:name w:val="scxw147420095"/>
    <w:basedOn w:val="DefaultParagraphFont"/>
    <w:rsid w:val="00D23F6C"/>
  </w:style>
  <w:style w:type="character" w:customStyle="1" w:styleId="eop">
    <w:name w:val="eop"/>
    <w:basedOn w:val="DefaultParagraphFont"/>
    <w:rsid w:val="00D23F6C"/>
  </w:style>
  <w:style w:type="character" w:customStyle="1" w:styleId="scxw52418636">
    <w:name w:val="scxw52418636"/>
    <w:basedOn w:val="DefaultParagraphFont"/>
    <w:rsid w:val="00D23F6C"/>
  </w:style>
  <w:style w:type="character" w:customStyle="1" w:styleId="scxw256459143">
    <w:name w:val="scxw256459143"/>
    <w:basedOn w:val="DefaultParagraphFont"/>
    <w:rsid w:val="00D23F6C"/>
  </w:style>
  <w:style w:type="paragraph" w:customStyle="1" w:styleId="TechnicalBlock">
    <w:name w:val="Technical Block"/>
    <w:basedOn w:val="Normal"/>
    <w:link w:val="TechnicalBlockChar"/>
    <w:rsid w:val="00A96869"/>
    <w:pPr>
      <w:spacing w:after="240" w:line="240" w:lineRule="auto"/>
      <w:jc w:val="center"/>
    </w:pPr>
  </w:style>
  <w:style w:type="character" w:customStyle="1" w:styleId="TechnicalBlockChar">
    <w:name w:val="Technical Block Char"/>
    <w:basedOn w:val="DefaultParagraphFont"/>
    <w:link w:val="TechnicalBlock"/>
    <w:rsid w:val="00A96869"/>
  </w:style>
  <w:style w:type="paragraph" w:customStyle="1" w:styleId="EntText">
    <w:name w:val="EntText"/>
    <w:basedOn w:val="Normal"/>
    <w:rsid w:val="00C66EE8"/>
    <w:pPr>
      <w:spacing w:before="120" w:after="120" w:line="360" w:lineRule="auto"/>
    </w:pPr>
    <w:rPr>
      <w:rFonts w:ascii="Times New Roman" w:eastAsiaTheme="minorHAnsi" w:hAnsi="Times New Roman" w:cs="Times New Roman"/>
      <w:sz w:val="24"/>
    </w:rPr>
  </w:style>
  <w:style w:type="paragraph" w:customStyle="1" w:styleId="Lignefinal">
    <w:name w:val="Ligne final"/>
    <w:basedOn w:val="Normal"/>
    <w:next w:val="Normal"/>
    <w:rsid w:val="00C66EE8"/>
    <w:pPr>
      <w:pBdr>
        <w:bottom w:val="single" w:sz="4" w:space="0" w:color="000000"/>
      </w:pBdr>
      <w:spacing w:before="360" w:after="120" w:line="360" w:lineRule="auto"/>
      <w:ind w:left="3400" w:right="3400"/>
      <w:jc w:val="center"/>
    </w:pPr>
    <w:rPr>
      <w:rFonts w:ascii="Times New Roman" w:eastAsiaTheme="minorHAnsi" w:hAnsi="Times New Roman" w:cs="Times New Roman"/>
      <w:b/>
      <w:sz w:val="24"/>
    </w:rPr>
  </w:style>
  <w:style w:type="paragraph" w:customStyle="1" w:styleId="pj">
    <w:name w:val="p.j."/>
    <w:basedOn w:val="Normal"/>
    <w:link w:val="pjChar"/>
    <w:rsid w:val="00A96869"/>
    <w:pPr>
      <w:spacing w:before="1200" w:after="120" w:line="240" w:lineRule="auto"/>
      <w:ind w:left="1440" w:hanging="1440"/>
    </w:pPr>
    <w:rPr>
      <w:rFonts w:ascii="Times New Roman" w:hAnsi="Times New Roman" w:cs="Times New Roman"/>
      <w:sz w:val="24"/>
    </w:rPr>
  </w:style>
  <w:style w:type="character" w:customStyle="1" w:styleId="pjChar">
    <w:name w:val="p.j. Char"/>
    <w:basedOn w:val="TechnicalBlockChar"/>
    <w:link w:val="pj"/>
    <w:rsid w:val="00A96869"/>
    <w:rPr>
      <w:rFonts w:ascii="Times New Roman" w:hAnsi="Times New Roman" w:cs="Times New Roman"/>
      <w:sz w:val="24"/>
    </w:rPr>
  </w:style>
  <w:style w:type="paragraph" w:customStyle="1" w:styleId="nbbordered">
    <w:name w:val="nb bordered"/>
    <w:basedOn w:val="Normal"/>
    <w:link w:val="nbborderedChar"/>
    <w:rsid w:val="00A96869"/>
    <w:pPr>
      <w:pBdr>
        <w:top w:val="single" w:sz="4" w:space="1" w:color="auto"/>
        <w:left w:val="single" w:sz="4" w:space="4" w:color="auto"/>
        <w:bottom w:val="single" w:sz="4" w:space="1" w:color="auto"/>
        <w:right w:val="single" w:sz="4" w:space="4" w:color="auto"/>
        <w:between w:val="single" w:sz="4" w:space="0" w:color="auto"/>
      </w:pBdr>
      <w:spacing w:after="160" w:line="240" w:lineRule="auto"/>
      <w:ind w:left="480" w:hanging="480"/>
    </w:pPr>
    <w:rPr>
      <w:rFonts w:ascii="Times New Roman" w:hAnsi="Times New Roman" w:cs="Times New Roman"/>
      <w:b/>
      <w:sz w:val="24"/>
    </w:rPr>
  </w:style>
  <w:style w:type="character" w:customStyle="1" w:styleId="nbborderedChar">
    <w:name w:val="nb bordered Char"/>
    <w:basedOn w:val="TechnicalBlockChar"/>
    <w:link w:val="nbbordered"/>
    <w:rsid w:val="00A96869"/>
    <w:rPr>
      <w:rFonts w:ascii="Times New Roman" w:hAnsi="Times New Roman" w:cs="Times New Roman"/>
      <w:b/>
      <w:sz w:val="24"/>
    </w:rPr>
  </w:style>
  <w:style w:type="paragraph" w:customStyle="1" w:styleId="HeaderCouncil">
    <w:name w:val="Header Council"/>
    <w:basedOn w:val="Normal"/>
    <w:link w:val="HeaderCouncilChar"/>
    <w:rsid w:val="00A96869"/>
    <w:pPr>
      <w:spacing w:after="0"/>
    </w:pPr>
    <w:rPr>
      <w:sz w:val="2"/>
    </w:rPr>
  </w:style>
  <w:style w:type="character" w:customStyle="1" w:styleId="HeaderCouncilChar">
    <w:name w:val="Header Council Char"/>
    <w:basedOn w:val="DefaultParagraphFont"/>
    <w:link w:val="HeaderCouncil"/>
    <w:rsid w:val="00A96869"/>
    <w:rPr>
      <w:sz w:val="2"/>
    </w:rPr>
  </w:style>
  <w:style w:type="paragraph" w:customStyle="1" w:styleId="HeaderCouncilLarge">
    <w:name w:val="Header Council Large"/>
    <w:basedOn w:val="Normal"/>
    <w:link w:val="HeaderCouncilLargeChar"/>
    <w:rsid w:val="00A96869"/>
    <w:pPr>
      <w:spacing w:after="440"/>
    </w:pPr>
    <w:rPr>
      <w:sz w:val="2"/>
    </w:rPr>
  </w:style>
  <w:style w:type="character" w:customStyle="1" w:styleId="HeaderCouncilLargeChar">
    <w:name w:val="Header Council Large Char"/>
    <w:basedOn w:val="DefaultParagraphFont"/>
    <w:link w:val="HeaderCouncilLarge"/>
    <w:rsid w:val="00A96869"/>
    <w:rPr>
      <w:sz w:val="2"/>
    </w:rPr>
  </w:style>
  <w:style w:type="paragraph" w:customStyle="1" w:styleId="FooterCouncil">
    <w:name w:val="Footer Council"/>
    <w:basedOn w:val="Normal"/>
    <w:link w:val="FooterCouncilChar"/>
    <w:rsid w:val="00A96869"/>
    <w:pPr>
      <w:spacing w:after="0"/>
    </w:pPr>
    <w:rPr>
      <w:sz w:val="2"/>
    </w:rPr>
  </w:style>
  <w:style w:type="character" w:customStyle="1" w:styleId="FooterCouncilChar">
    <w:name w:val="Footer Council Char"/>
    <w:basedOn w:val="DefaultParagraphFont"/>
    <w:link w:val="FooterCouncil"/>
    <w:rsid w:val="00A96869"/>
    <w:rPr>
      <w:sz w:val="2"/>
    </w:rPr>
  </w:style>
  <w:style w:type="paragraph" w:customStyle="1" w:styleId="FooterText">
    <w:name w:val="Footer Text"/>
    <w:basedOn w:val="Normal"/>
    <w:rsid w:val="00A96869"/>
    <w:pPr>
      <w:spacing w:after="0" w:line="240" w:lineRule="auto"/>
    </w:pPr>
    <w:rPr>
      <w:rFonts w:ascii="Times New Roman" w:eastAsia="Times New Roman" w:hAnsi="Times New Roman" w:cs="Times New Roman"/>
      <w:sz w:val="24"/>
    </w:rPr>
  </w:style>
  <w:style w:type="character" w:styleId="PlaceholderText">
    <w:name w:val="Placeholder Text"/>
    <w:basedOn w:val="DefaultParagraphFont"/>
    <w:uiPriority w:val="99"/>
    <w:semiHidden/>
    <w:rsid w:val="00A96869"/>
    <w:rPr>
      <w:color w:val="808080"/>
    </w:rPr>
  </w:style>
  <w:style w:type="paragraph" w:customStyle="1" w:styleId="P68B1DB1-Normalny54">
    <w:name w:val="P68B1DB1-Normalny54"/>
    <w:basedOn w:val="Normal"/>
    <w:uiPriority w:val="1"/>
    <w:rsid w:val="1C567393"/>
    <w:pPr>
      <w:spacing w:after="160"/>
      <w:jc w:val="both"/>
    </w:pPr>
    <w:rPr>
      <w:rFonts w:ascii="Times New Roman" w:eastAsia="Times New Roman" w:hAnsi="Times New Roman" w:cs="Times New Roman"/>
      <w:color w:val="FF0000"/>
    </w:rPr>
  </w:style>
  <w:style w:type="paragraph" w:customStyle="1" w:styleId="P68B1DB1-Normalny51">
    <w:name w:val="P68B1DB1-Normalny51"/>
    <w:basedOn w:val="Normal"/>
    <w:uiPriority w:val="1"/>
    <w:rsid w:val="1C567393"/>
    <w:pPr>
      <w:spacing w:after="160"/>
      <w:jc w:val="both"/>
    </w:pPr>
    <w:rPr>
      <w:rFonts w:ascii="Times New Roman" w:eastAsia="Times New Roman" w:hAnsi="Times New Roman" w:cs="Times New Roman"/>
    </w:rPr>
  </w:style>
  <w:style w:type="character" w:customStyle="1" w:styleId="Mention3">
    <w:name w:val="Mention3"/>
    <w:basedOn w:val="DefaultParagraphFont"/>
    <w:uiPriority w:val="99"/>
    <w:unhideWhenUsed/>
    <w:rsid w:val="002912C0"/>
    <w:rPr>
      <w:color w:val="2B579A"/>
      <w:shd w:val="clear" w:color="auto" w:fill="E1DFDD"/>
    </w:rPr>
  </w:style>
  <w:style w:type="character" w:customStyle="1" w:styleId="superscript">
    <w:name w:val="superscript"/>
    <w:basedOn w:val="DefaultParagraphFont"/>
    <w:rsid w:val="00394B30"/>
  </w:style>
  <w:style w:type="paragraph" w:customStyle="1" w:styleId="LegalNumPar">
    <w:name w:val="LegalNumPar"/>
    <w:basedOn w:val="Normal"/>
    <w:rsid w:val="00597EF0"/>
    <w:pPr>
      <w:numPr>
        <w:numId w:val="55"/>
      </w:numPr>
      <w:spacing w:line="360" w:lineRule="auto"/>
    </w:pPr>
    <w:rPr>
      <w:sz w:val="24"/>
    </w:rPr>
  </w:style>
  <w:style w:type="paragraph" w:customStyle="1" w:styleId="LegalNumPar2">
    <w:name w:val="LegalNumPar2"/>
    <w:basedOn w:val="Normal"/>
    <w:rsid w:val="00597EF0"/>
    <w:pPr>
      <w:numPr>
        <w:ilvl w:val="1"/>
        <w:numId w:val="57"/>
      </w:numPr>
      <w:spacing w:line="360" w:lineRule="auto"/>
    </w:pPr>
    <w:rPr>
      <w:sz w:val="24"/>
    </w:rPr>
  </w:style>
  <w:style w:type="paragraph" w:customStyle="1" w:styleId="LegalNumPar3">
    <w:name w:val="LegalNumPar3"/>
    <w:basedOn w:val="Normal"/>
    <w:rsid w:val="00597EF0"/>
    <w:pPr>
      <w:numPr>
        <w:ilvl w:val="2"/>
        <w:numId w:val="57"/>
      </w:numPr>
      <w:spacing w:line="360" w:lineRule="auto"/>
    </w:pPr>
    <w:rPr>
      <w:sz w:val="24"/>
    </w:rPr>
  </w:style>
  <w:style w:type="paragraph" w:styleId="NormalWeb">
    <w:name w:val="Normal (Web)"/>
    <w:basedOn w:val="Normal"/>
    <w:uiPriority w:val="99"/>
    <w:semiHidden/>
    <w:unhideWhenUsed/>
    <w:rsid w:val="001C6B25"/>
    <w:pPr>
      <w:spacing w:before="100" w:beforeAutospacing="1" w:after="100" w:afterAutospacing="1" w:line="240" w:lineRule="auto"/>
    </w:pPr>
    <w:rPr>
      <w:rFonts w:ascii="Times New Roman" w:eastAsia="Times New Roman" w:hAnsi="Times New Roman" w:cs="Times New Roman"/>
      <w:sz w:val="24"/>
    </w:rPr>
  </w:style>
  <w:style w:type="paragraph" w:customStyle="1" w:styleId="P68B1DB1-Normal1">
    <w:name w:val="P68B1DB1-Normal1"/>
    <w:basedOn w:val="Normal"/>
    <w:rPr>
      <w:rFonts w:ascii="Times New Roman" w:hAnsi="Times New Roman"/>
      <w:b/>
      <w:color w:val="000000"/>
      <w:sz w:val="24"/>
    </w:rPr>
  </w:style>
  <w:style w:type="paragraph" w:customStyle="1" w:styleId="P68B1DB1-Text12">
    <w:name w:val="P68B1DB1-Text12"/>
    <w:basedOn w:val="Text1"/>
    <w:rPr>
      <w:b/>
      <w:smallCaps/>
      <w:color w:val="000000"/>
    </w:rPr>
  </w:style>
  <w:style w:type="paragraph" w:customStyle="1" w:styleId="P68B1DB1-Text13">
    <w:name w:val="P68B1DB1-Text13"/>
    <w:basedOn w:val="Text1"/>
    <w:rPr>
      <w:color w:val="000000" w:themeColor="text1"/>
    </w:rPr>
  </w:style>
  <w:style w:type="paragraph" w:customStyle="1" w:styleId="P68B1DB1-Text14">
    <w:name w:val="P68B1DB1-Text14"/>
    <w:basedOn w:val="Text1"/>
    <w:rPr>
      <w:b/>
      <w:color w:val="000000"/>
      <w:u w:val="single"/>
    </w:rPr>
  </w:style>
  <w:style w:type="paragraph" w:customStyle="1" w:styleId="P68B1DB1-Normal05">
    <w:name w:val="P68B1DB1-Normal05"/>
    <w:basedOn w:val="Normal0"/>
    <w:rPr>
      <w:rFonts w:ascii="Times New Roman" w:hAnsi="Times New Roman"/>
      <w:color w:val="000000" w:themeColor="text1"/>
      <w:sz w:val="24"/>
    </w:rPr>
  </w:style>
  <w:style w:type="paragraph" w:customStyle="1" w:styleId="P68B1DB1-Text16">
    <w:name w:val="P68B1DB1-Text16"/>
    <w:basedOn w:val="Text1"/>
    <w:rPr>
      <w:b/>
      <w:color w:val="000000"/>
    </w:rPr>
  </w:style>
  <w:style w:type="paragraph" w:customStyle="1" w:styleId="P68B1DB1-Text17">
    <w:name w:val="P68B1DB1-Text17"/>
    <w:basedOn w:val="Text1"/>
    <w:rPr>
      <w:color w:val="000000"/>
      <w:u w:val="single"/>
    </w:rPr>
  </w:style>
  <w:style w:type="paragraph" w:customStyle="1" w:styleId="P68B1DB1-Normal08">
    <w:name w:val="P68B1DB1-Normal08"/>
    <w:basedOn w:val="Normal0"/>
    <w:rPr>
      <w:rFonts w:ascii="Times New Roman" w:hAnsi="Times New Roman"/>
      <w:b/>
      <w:color w:val="000000"/>
      <w:sz w:val="24"/>
    </w:rPr>
  </w:style>
  <w:style w:type="paragraph" w:customStyle="1" w:styleId="P68B1DB1-Normal09">
    <w:name w:val="P68B1DB1-Normal09"/>
    <w:basedOn w:val="Normal0"/>
    <w:rPr>
      <w:rFonts w:ascii="Times New Roman" w:hAnsi="Times New Roman"/>
      <w:b/>
      <w:color w:val="000000"/>
      <w:sz w:val="18"/>
    </w:rPr>
  </w:style>
  <w:style w:type="paragraph" w:customStyle="1" w:styleId="P68B1DB1-Normal010">
    <w:name w:val="P68B1DB1-Normal010"/>
    <w:basedOn w:val="Normal0"/>
    <w:rPr>
      <w:rFonts w:ascii="Times New Roman" w:hAnsi="Times New Roman"/>
      <w:sz w:val="18"/>
    </w:rPr>
  </w:style>
  <w:style w:type="paragraph" w:customStyle="1" w:styleId="P68B1DB1-Normal011">
    <w:name w:val="P68B1DB1-Normal011"/>
    <w:basedOn w:val="Normal0"/>
    <w:rPr>
      <w:rFonts w:ascii="Times New Roman" w:hAnsi="Times New Roman"/>
      <w:color w:val="000000"/>
      <w:sz w:val="18"/>
    </w:rPr>
  </w:style>
  <w:style w:type="paragraph" w:customStyle="1" w:styleId="P68B1DB1-Normal12">
    <w:name w:val="P68B1DB1-Normal12"/>
    <w:basedOn w:val="Normal"/>
    <w:rPr>
      <w:rFonts w:ascii="Times New Roman" w:hAnsi="Times New Roman"/>
      <w:color w:val="000000" w:themeColor="text1"/>
      <w:sz w:val="18"/>
    </w:rPr>
  </w:style>
  <w:style w:type="paragraph" w:customStyle="1" w:styleId="P68B1DB1-Normal13">
    <w:name w:val="P68B1DB1-Normal13"/>
    <w:basedOn w:val="Normal"/>
    <w:rPr>
      <w:rFonts w:ascii="Times New Roman" w:hAnsi="Times New Roman"/>
      <w:b/>
      <w:color w:val="000000"/>
      <w:sz w:val="24"/>
      <w:u w:val="single"/>
    </w:rPr>
  </w:style>
  <w:style w:type="paragraph" w:customStyle="1" w:styleId="P68B1DB1-Normal014">
    <w:name w:val="P68B1DB1-Normal014"/>
    <w:basedOn w:val="Normal0"/>
    <w:rPr>
      <w:rFonts w:ascii="Times New Roman" w:hAnsi="Times New Roman"/>
      <w:b/>
      <w:color w:val="000000" w:themeColor="text1"/>
      <w:sz w:val="24"/>
      <w:u w:val="single"/>
    </w:rPr>
  </w:style>
  <w:style w:type="paragraph" w:customStyle="1" w:styleId="P68B1DB1-Normal15">
    <w:name w:val="P68B1DB1-Normal15"/>
    <w:basedOn w:val="Normal"/>
    <w:rPr>
      <w:rFonts w:ascii="Times New Roman" w:hAnsi="Times New Roman"/>
      <w:color w:val="000000" w:themeColor="text1"/>
      <w:sz w:val="24"/>
    </w:rPr>
  </w:style>
  <w:style w:type="paragraph" w:customStyle="1" w:styleId="P68B1DB1-Normal016">
    <w:name w:val="P68B1DB1-Normal016"/>
    <w:basedOn w:val="Normal0"/>
    <w:rPr>
      <w:rFonts w:ascii="Times New Roman" w:hAnsi="Times New Roman"/>
      <w:color w:val="000000" w:themeColor="text1"/>
      <w:sz w:val="24"/>
      <w:u w:val="single"/>
    </w:rPr>
  </w:style>
  <w:style w:type="paragraph" w:customStyle="1" w:styleId="P68B1DB1-Normal017">
    <w:name w:val="P68B1DB1-Normal017"/>
    <w:basedOn w:val="Normal0"/>
    <w:rPr>
      <w:rFonts w:ascii="Times New Roman" w:hAnsi="Times New Roman"/>
      <w:sz w:val="24"/>
    </w:rPr>
  </w:style>
  <w:style w:type="paragraph" w:customStyle="1" w:styleId="P68B1DB1-Normal018">
    <w:name w:val="P68B1DB1-Normal018"/>
    <w:basedOn w:val="Normal0"/>
    <w:rPr>
      <w:rFonts w:ascii="Times New Roman" w:hAnsi="Times New Roman"/>
      <w:b/>
      <w:smallCaps/>
      <w:color w:val="000000"/>
      <w:sz w:val="24"/>
    </w:rPr>
  </w:style>
  <w:style w:type="paragraph" w:customStyle="1" w:styleId="P68B1DB1-Normal019">
    <w:name w:val="P68B1DB1-Normal019"/>
    <w:basedOn w:val="Normal0"/>
    <w:rPr>
      <w:rFonts w:ascii="Times New Roman" w:hAnsi="Times New Roman"/>
      <w:b/>
      <w:sz w:val="24"/>
      <w:u w:val="single"/>
    </w:rPr>
  </w:style>
  <w:style w:type="paragraph" w:customStyle="1" w:styleId="P68B1DB1-Normal020">
    <w:name w:val="P68B1DB1-Normal020"/>
    <w:basedOn w:val="Normal0"/>
    <w:rPr>
      <w:rFonts w:ascii="Times New Roman" w:hAnsi="Times New Roman"/>
    </w:rPr>
  </w:style>
  <w:style w:type="paragraph" w:customStyle="1" w:styleId="P68B1DB1-paragraph21">
    <w:name w:val="P68B1DB1-paragraph21"/>
    <w:basedOn w:val="paragraph"/>
    <w:rPr>
      <w:rFonts w:ascii="Times" w:hAnsi="Times"/>
    </w:rPr>
  </w:style>
  <w:style w:type="paragraph" w:customStyle="1" w:styleId="P68B1DB1-ListParagraph22">
    <w:name w:val="P68B1DB1-ListParagraph22"/>
    <w:basedOn w:val="ListParagraph"/>
    <w:rPr>
      <w:rFonts w:ascii="Times" w:hAnsi="Times"/>
      <w:sz w:val="24"/>
    </w:rPr>
  </w:style>
  <w:style w:type="paragraph" w:customStyle="1" w:styleId="P68B1DB1-Normal23">
    <w:name w:val="P68B1DB1-Normal23"/>
    <w:basedOn w:val="Normal"/>
    <w:rPr>
      <w:rFonts w:ascii="Times" w:hAnsi="Times"/>
      <w:sz w:val="24"/>
    </w:rPr>
  </w:style>
  <w:style w:type="paragraph" w:customStyle="1" w:styleId="P68B1DB1-Normal24">
    <w:name w:val="P68B1DB1-Normal24"/>
    <w:basedOn w:val="Normal"/>
    <w:rPr>
      <w:rFonts w:ascii="Times New Roman" w:hAnsi="Times New Roman"/>
      <w:sz w:val="24"/>
    </w:rPr>
  </w:style>
  <w:style w:type="paragraph" w:customStyle="1" w:styleId="P68B1DB1-Normal25">
    <w:name w:val="P68B1DB1-Normal25"/>
    <w:basedOn w:val="Normal"/>
    <w:rPr>
      <w:rFonts w:ascii="Times New Roman" w:hAnsi="Times New Roman"/>
      <w:sz w:val="18"/>
    </w:rPr>
  </w:style>
  <w:style w:type="paragraph" w:customStyle="1" w:styleId="P68B1DB1-Normal026">
    <w:name w:val="P68B1DB1-Normal026"/>
    <w:basedOn w:val="Normal0"/>
    <w:rPr>
      <w:rFonts w:ascii="Times New Roman" w:hAnsi="Times New Roman"/>
      <w:color w:val="000000" w:themeColor="text1"/>
    </w:rPr>
  </w:style>
  <w:style w:type="paragraph" w:customStyle="1" w:styleId="P68B1DB1-Normal027">
    <w:name w:val="P68B1DB1-Normal027"/>
    <w:basedOn w:val="Normal0"/>
    <w:rPr>
      <w:color w:val="000000" w:themeColor="text1"/>
    </w:rPr>
  </w:style>
  <w:style w:type="paragraph" w:customStyle="1" w:styleId="P68B1DB1-Normal028">
    <w:name w:val="P68B1DB1-Normal028"/>
    <w:basedOn w:val="Normal0"/>
    <w:rPr>
      <w:rFonts w:ascii="Times New Roman" w:hAnsi="Times New Roman"/>
      <w:color w:val="000000"/>
      <w:u w:val="single"/>
    </w:rPr>
  </w:style>
  <w:style w:type="paragraph" w:customStyle="1" w:styleId="P68B1DB1-ListParagraph29">
    <w:name w:val="P68B1DB1-ListParagraph29"/>
    <w:basedOn w:val="ListParagraph"/>
    <w:rPr>
      <w:rFonts w:ascii="Times New Roman" w:hAnsi="Times New Roman"/>
      <w:color w:val="000000" w:themeColor="text1"/>
      <w:sz w:val="24"/>
    </w:rPr>
  </w:style>
  <w:style w:type="paragraph" w:customStyle="1" w:styleId="P68B1DB1-paragraph30">
    <w:name w:val="P68B1DB1-paragraph30"/>
    <w:basedOn w:val="paragraph"/>
    <w:rPr>
      <w:color w:val="000000" w:themeColor="text1"/>
      <w:sz w:val="18"/>
    </w:rPr>
  </w:style>
  <w:style w:type="paragraph" w:customStyle="1" w:styleId="P68B1DB1-Normal31">
    <w:name w:val="P68B1DB1-Normal31"/>
    <w:basedOn w:val="Normal"/>
    <w:rPr>
      <w:sz w:val="18"/>
    </w:rPr>
  </w:style>
  <w:style w:type="paragraph" w:customStyle="1" w:styleId="P68B1DB1-Normal032">
    <w:name w:val="P68B1DB1-Normal032"/>
    <w:basedOn w:val="Normal0"/>
    <w:rPr>
      <w:rFonts w:ascii="Times New Roman" w:hAnsi="Times New Roman"/>
      <w:sz w:val="24"/>
      <w:u w:val="single"/>
    </w:rPr>
  </w:style>
  <w:style w:type="paragraph" w:customStyle="1" w:styleId="P68B1DB1-Normal33">
    <w:name w:val="P68B1DB1-Normal33"/>
    <w:basedOn w:val="Normal"/>
    <w:rPr>
      <w:rFonts w:ascii="Times New Roman" w:hAnsi="Times New Roman"/>
      <w:b/>
      <w:sz w:val="24"/>
      <w:u w:val="single"/>
    </w:rPr>
  </w:style>
  <w:style w:type="paragraph" w:customStyle="1" w:styleId="P68B1DB1-ListParagraph34">
    <w:name w:val="P68B1DB1-ListParagraph34"/>
    <w:basedOn w:val="ListParagraph"/>
    <w:rPr>
      <w:rFonts w:ascii="Times New Roman" w:hAnsi="Times New Roman"/>
      <w:sz w:val="18"/>
    </w:rPr>
  </w:style>
  <w:style w:type="paragraph" w:customStyle="1" w:styleId="P68B1DB1-Text135">
    <w:name w:val="P68B1DB1-Text135"/>
    <w:basedOn w:val="Text1"/>
    <w:rPr>
      <w:b/>
      <w:smallCaps/>
    </w:rPr>
  </w:style>
  <w:style w:type="paragraph" w:customStyle="1" w:styleId="P68B1DB1-Normal36">
    <w:name w:val="P68B1DB1-Normal36"/>
    <w:basedOn w:val="Normal"/>
    <w:rPr>
      <w:sz w:val="24"/>
    </w:rPr>
  </w:style>
  <w:style w:type="paragraph" w:customStyle="1" w:styleId="P68B1DB1-ListParagraph37">
    <w:name w:val="P68B1DB1-ListParagraph37"/>
    <w:basedOn w:val="ListParagraph"/>
    <w:rPr>
      <w:rFonts w:ascii="Times New Roman" w:hAnsi="Times New Roman"/>
      <w:sz w:val="24"/>
    </w:rPr>
  </w:style>
  <w:style w:type="paragraph" w:customStyle="1" w:styleId="P68B1DB1-Text138">
    <w:name w:val="P68B1DB1-Text138"/>
    <w:basedOn w:val="Text1"/>
    <w:rPr>
      <w:b/>
    </w:rPr>
  </w:style>
  <w:style w:type="paragraph" w:customStyle="1" w:styleId="P68B1DB1-Normal39">
    <w:name w:val="P68B1DB1-Normal39"/>
    <w:basedOn w:val="Normal"/>
    <w:rPr>
      <w:rFonts w:ascii="Times New Roman" w:hAnsi="Times New Roman"/>
      <w:b/>
      <w:sz w:val="18"/>
    </w:rPr>
  </w:style>
  <w:style w:type="paragraph" w:customStyle="1" w:styleId="P68B1DB1-Normal40">
    <w:name w:val="P68B1DB1-Normal40"/>
    <w:basedOn w:val="Normal"/>
    <w:rPr>
      <w:rFonts w:ascii="Times New Roman" w:hAnsi="Times New Roman"/>
      <w:b/>
      <w:color w:val="000000"/>
      <w:sz w:val="18"/>
    </w:rPr>
  </w:style>
  <w:style w:type="paragraph" w:customStyle="1" w:styleId="P68B1DB1-Normal41">
    <w:name w:val="P68B1DB1-Normal41"/>
    <w:basedOn w:val="Normal"/>
    <w:rPr>
      <w:rFonts w:ascii="Times New Roman" w:hAnsi="Times New Roman"/>
      <w:b/>
      <w:sz w:val="24"/>
    </w:rPr>
  </w:style>
  <w:style w:type="paragraph" w:customStyle="1" w:styleId="P68B1DB1-Normal42">
    <w:name w:val="P68B1DB1-Normal42"/>
    <w:basedOn w:val="Normal"/>
    <w:rPr>
      <w:rFonts w:ascii="Times New Roman" w:hAnsi="Times New Roman"/>
      <w:b/>
    </w:rPr>
  </w:style>
  <w:style w:type="paragraph" w:customStyle="1" w:styleId="P68B1DB1-ListParagraph43">
    <w:name w:val="P68B1DB1-ListParagraph43"/>
    <w:basedOn w:val="ListParagraph"/>
    <w:rPr>
      <w:rFonts w:ascii="Times New Roman" w:hAnsi="Times New Roman" w:cs="Times New Roman"/>
      <w:b/>
      <w:sz w:val="24"/>
    </w:rPr>
  </w:style>
  <w:style w:type="paragraph" w:customStyle="1" w:styleId="P68B1DB1-Normal44">
    <w:name w:val="P68B1DB1-Normal44"/>
    <w:basedOn w:val="Normal"/>
    <w:rPr>
      <w:rFonts w:ascii="Times New Roman" w:hAnsi="Times New Roman" w:cs="Times New Roman"/>
      <w:sz w:val="24"/>
    </w:rPr>
  </w:style>
  <w:style w:type="paragraph" w:customStyle="1" w:styleId="P68B1DB1-Normal45">
    <w:name w:val="P68B1DB1-Normal45"/>
    <w:basedOn w:val="Normal"/>
    <w:rPr>
      <w:rFonts w:ascii="Times New Roman" w:hAnsi="Times New Roman"/>
      <w:color w:val="000000" w:themeColor="text1"/>
    </w:rPr>
  </w:style>
  <w:style w:type="paragraph" w:customStyle="1" w:styleId="P68B1DB1-Normal46">
    <w:name w:val="P68B1DB1-Normal46"/>
    <w:basedOn w:val="Normal"/>
    <w:rPr>
      <w:rFonts w:ascii="Times New Roman" w:hAnsi="Times New Roman"/>
    </w:rPr>
  </w:style>
  <w:style w:type="paragraph" w:customStyle="1" w:styleId="P68B1DB1-Normal47">
    <w:name w:val="P68B1DB1-Normal47"/>
    <w:basedOn w:val="Normal"/>
    <w:rPr>
      <w:rFonts w:ascii="Times New Roman" w:hAnsi="Times New Roman" w:cs="Times New Roman"/>
    </w:rPr>
  </w:style>
  <w:style w:type="paragraph" w:customStyle="1" w:styleId="P68B1DB1-Normal48">
    <w:name w:val="P68B1DB1-Normal48"/>
    <w:basedOn w:val="Normal"/>
    <w:rPr>
      <w:rFonts w:ascii="Times New Roman" w:hAnsi="Times New Roman" w:cs="Times New Roman"/>
      <w:color w:val="000000" w:themeColor="text1"/>
    </w:rPr>
  </w:style>
  <w:style w:type="paragraph" w:customStyle="1" w:styleId="P68B1DB1-ListParagraph49">
    <w:name w:val="P68B1DB1-ListParagraph49"/>
    <w:basedOn w:val="ListParagraph"/>
    <w:rPr>
      <w:rFonts w:ascii="Times New Roman" w:hAnsi="Times New Roman"/>
      <w:b/>
      <w:sz w:val="24"/>
    </w:rPr>
  </w:style>
  <w:style w:type="paragraph" w:customStyle="1" w:styleId="P68B1DB1-ListParagraph50">
    <w:name w:val="P68B1DB1-ListParagraph50"/>
    <w:basedOn w:val="ListParagraph"/>
    <w:rPr>
      <w:rFonts w:ascii="Times New Roman" w:hAnsi="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59587">
      <w:bodyDiv w:val="1"/>
      <w:marLeft w:val="0"/>
      <w:marRight w:val="0"/>
      <w:marTop w:val="0"/>
      <w:marBottom w:val="0"/>
      <w:divBdr>
        <w:top w:val="none" w:sz="0" w:space="0" w:color="auto"/>
        <w:left w:val="none" w:sz="0" w:space="0" w:color="auto"/>
        <w:bottom w:val="none" w:sz="0" w:space="0" w:color="auto"/>
        <w:right w:val="none" w:sz="0" w:space="0" w:color="auto"/>
      </w:divBdr>
    </w:div>
    <w:div w:id="10226823">
      <w:bodyDiv w:val="1"/>
      <w:marLeft w:val="0"/>
      <w:marRight w:val="0"/>
      <w:marTop w:val="0"/>
      <w:marBottom w:val="0"/>
      <w:divBdr>
        <w:top w:val="none" w:sz="0" w:space="0" w:color="auto"/>
        <w:left w:val="none" w:sz="0" w:space="0" w:color="auto"/>
        <w:bottom w:val="none" w:sz="0" w:space="0" w:color="auto"/>
        <w:right w:val="none" w:sz="0" w:space="0" w:color="auto"/>
      </w:divBdr>
    </w:div>
    <w:div w:id="12808792">
      <w:bodyDiv w:val="1"/>
      <w:marLeft w:val="0"/>
      <w:marRight w:val="0"/>
      <w:marTop w:val="0"/>
      <w:marBottom w:val="0"/>
      <w:divBdr>
        <w:top w:val="none" w:sz="0" w:space="0" w:color="auto"/>
        <w:left w:val="none" w:sz="0" w:space="0" w:color="auto"/>
        <w:bottom w:val="none" w:sz="0" w:space="0" w:color="auto"/>
        <w:right w:val="none" w:sz="0" w:space="0" w:color="auto"/>
      </w:divBdr>
    </w:div>
    <w:div w:id="45036434">
      <w:bodyDiv w:val="1"/>
      <w:marLeft w:val="0"/>
      <w:marRight w:val="0"/>
      <w:marTop w:val="0"/>
      <w:marBottom w:val="0"/>
      <w:divBdr>
        <w:top w:val="none" w:sz="0" w:space="0" w:color="auto"/>
        <w:left w:val="none" w:sz="0" w:space="0" w:color="auto"/>
        <w:bottom w:val="none" w:sz="0" w:space="0" w:color="auto"/>
        <w:right w:val="none" w:sz="0" w:space="0" w:color="auto"/>
      </w:divBdr>
      <w:divsChild>
        <w:div w:id="522328402">
          <w:marLeft w:val="0"/>
          <w:marRight w:val="0"/>
          <w:marTop w:val="0"/>
          <w:marBottom w:val="0"/>
          <w:divBdr>
            <w:top w:val="none" w:sz="0" w:space="0" w:color="auto"/>
            <w:left w:val="none" w:sz="0" w:space="0" w:color="auto"/>
            <w:bottom w:val="none" w:sz="0" w:space="0" w:color="auto"/>
            <w:right w:val="none" w:sz="0" w:space="0" w:color="auto"/>
          </w:divBdr>
        </w:div>
        <w:div w:id="1331443544">
          <w:marLeft w:val="0"/>
          <w:marRight w:val="0"/>
          <w:marTop w:val="0"/>
          <w:marBottom w:val="0"/>
          <w:divBdr>
            <w:top w:val="none" w:sz="0" w:space="0" w:color="auto"/>
            <w:left w:val="none" w:sz="0" w:space="0" w:color="auto"/>
            <w:bottom w:val="none" w:sz="0" w:space="0" w:color="auto"/>
            <w:right w:val="none" w:sz="0" w:space="0" w:color="auto"/>
          </w:divBdr>
        </w:div>
        <w:div w:id="1348604640">
          <w:marLeft w:val="0"/>
          <w:marRight w:val="0"/>
          <w:marTop w:val="0"/>
          <w:marBottom w:val="0"/>
          <w:divBdr>
            <w:top w:val="none" w:sz="0" w:space="0" w:color="auto"/>
            <w:left w:val="none" w:sz="0" w:space="0" w:color="auto"/>
            <w:bottom w:val="none" w:sz="0" w:space="0" w:color="auto"/>
            <w:right w:val="none" w:sz="0" w:space="0" w:color="auto"/>
          </w:divBdr>
        </w:div>
        <w:div w:id="1578786222">
          <w:marLeft w:val="0"/>
          <w:marRight w:val="0"/>
          <w:marTop w:val="0"/>
          <w:marBottom w:val="0"/>
          <w:divBdr>
            <w:top w:val="none" w:sz="0" w:space="0" w:color="auto"/>
            <w:left w:val="none" w:sz="0" w:space="0" w:color="auto"/>
            <w:bottom w:val="none" w:sz="0" w:space="0" w:color="auto"/>
            <w:right w:val="none" w:sz="0" w:space="0" w:color="auto"/>
          </w:divBdr>
        </w:div>
      </w:divsChild>
    </w:div>
    <w:div w:id="86314797">
      <w:bodyDiv w:val="1"/>
      <w:marLeft w:val="0"/>
      <w:marRight w:val="0"/>
      <w:marTop w:val="0"/>
      <w:marBottom w:val="0"/>
      <w:divBdr>
        <w:top w:val="none" w:sz="0" w:space="0" w:color="auto"/>
        <w:left w:val="none" w:sz="0" w:space="0" w:color="auto"/>
        <w:bottom w:val="none" w:sz="0" w:space="0" w:color="auto"/>
        <w:right w:val="none" w:sz="0" w:space="0" w:color="auto"/>
      </w:divBdr>
    </w:div>
    <w:div w:id="136848799">
      <w:bodyDiv w:val="1"/>
      <w:marLeft w:val="0"/>
      <w:marRight w:val="0"/>
      <w:marTop w:val="0"/>
      <w:marBottom w:val="0"/>
      <w:divBdr>
        <w:top w:val="none" w:sz="0" w:space="0" w:color="auto"/>
        <w:left w:val="none" w:sz="0" w:space="0" w:color="auto"/>
        <w:bottom w:val="none" w:sz="0" w:space="0" w:color="auto"/>
        <w:right w:val="none" w:sz="0" w:space="0" w:color="auto"/>
      </w:divBdr>
    </w:div>
    <w:div w:id="175770122">
      <w:bodyDiv w:val="1"/>
      <w:marLeft w:val="0"/>
      <w:marRight w:val="0"/>
      <w:marTop w:val="0"/>
      <w:marBottom w:val="0"/>
      <w:divBdr>
        <w:top w:val="none" w:sz="0" w:space="0" w:color="auto"/>
        <w:left w:val="none" w:sz="0" w:space="0" w:color="auto"/>
        <w:bottom w:val="none" w:sz="0" w:space="0" w:color="auto"/>
        <w:right w:val="none" w:sz="0" w:space="0" w:color="auto"/>
      </w:divBdr>
    </w:div>
    <w:div w:id="244728840">
      <w:bodyDiv w:val="1"/>
      <w:marLeft w:val="0"/>
      <w:marRight w:val="0"/>
      <w:marTop w:val="0"/>
      <w:marBottom w:val="0"/>
      <w:divBdr>
        <w:top w:val="none" w:sz="0" w:space="0" w:color="auto"/>
        <w:left w:val="none" w:sz="0" w:space="0" w:color="auto"/>
        <w:bottom w:val="none" w:sz="0" w:space="0" w:color="auto"/>
        <w:right w:val="none" w:sz="0" w:space="0" w:color="auto"/>
      </w:divBdr>
    </w:div>
    <w:div w:id="266276359">
      <w:bodyDiv w:val="1"/>
      <w:marLeft w:val="0"/>
      <w:marRight w:val="0"/>
      <w:marTop w:val="0"/>
      <w:marBottom w:val="0"/>
      <w:divBdr>
        <w:top w:val="none" w:sz="0" w:space="0" w:color="auto"/>
        <w:left w:val="none" w:sz="0" w:space="0" w:color="auto"/>
        <w:bottom w:val="none" w:sz="0" w:space="0" w:color="auto"/>
        <w:right w:val="none" w:sz="0" w:space="0" w:color="auto"/>
      </w:divBdr>
      <w:divsChild>
        <w:div w:id="249043019">
          <w:marLeft w:val="0"/>
          <w:marRight w:val="0"/>
          <w:marTop w:val="0"/>
          <w:marBottom w:val="0"/>
          <w:divBdr>
            <w:top w:val="none" w:sz="0" w:space="0" w:color="auto"/>
            <w:left w:val="none" w:sz="0" w:space="0" w:color="auto"/>
            <w:bottom w:val="none" w:sz="0" w:space="0" w:color="auto"/>
            <w:right w:val="none" w:sz="0" w:space="0" w:color="auto"/>
          </w:divBdr>
        </w:div>
        <w:div w:id="937300388">
          <w:marLeft w:val="0"/>
          <w:marRight w:val="0"/>
          <w:marTop w:val="0"/>
          <w:marBottom w:val="0"/>
          <w:divBdr>
            <w:top w:val="none" w:sz="0" w:space="0" w:color="auto"/>
            <w:left w:val="none" w:sz="0" w:space="0" w:color="auto"/>
            <w:bottom w:val="none" w:sz="0" w:space="0" w:color="auto"/>
            <w:right w:val="none" w:sz="0" w:space="0" w:color="auto"/>
          </w:divBdr>
        </w:div>
        <w:div w:id="1189758315">
          <w:marLeft w:val="0"/>
          <w:marRight w:val="0"/>
          <w:marTop w:val="0"/>
          <w:marBottom w:val="0"/>
          <w:divBdr>
            <w:top w:val="none" w:sz="0" w:space="0" w:color="auto"/>
            <w:left w:val="none" w:sz="0" w:space="0" w:color="auto"/>
            <w:bottom w:val="none" w:sz="0" w:space="0" w:color="auto"/>
            <w:right w:val="none" w:sz="0" w:space="0" w:color="auto"/>
          </w:divBdr>
        </w:div>
        <w:div w:id="1450736098">
          <w:marLeft w:val="0"/>
          <w:marRight w:val="0"/>
          <w:marTop w:val="0"/>
          <w:marBottom w:val="0"/>
          <w:divBdr>
            <w:top w:val="none" w:sz="0" w:space="0" w:color="auto"/>
            <w:left w:val="none" w:sz="0" w:space="0" w:color="auto"/>
            <w:bottom w:val="none" w:sz="0" w:space="0" w:color="auto"/>
            <w:right w:val="none" w:sz="0" w:space="0" w:color="auto"/>
          </w:divBdr>
        </w:div>
      </w:divsChild>
    </w:div>
    <w:div w:id="311913799">
      <w:bodyDiv w:val="1"/>
      <w:marLeft w:val="0"/>
      <w:marRight w:val="0"/>
      <w:marTop w:val="0"/>
      <w:marBottom w:val="0"/>
      <w:divBdr>
        <w:top w:val="none" w:sz="0" w:space="0" w:color="auto"/>
        <w:left w:val="none" w:sz="0" w:space="0" w:color="auto"/>
        <w:bottom w:val="none" w:sz="0" w:space="0" w:color="auto"/>
        <w:right w:val="none" w:sz="0" w:space="0" w:color="auto"/>
      </w:divBdr>
    </w:div>
    <w:div w:id="322318414">
      <w:bodyDiv w:val="1"/>
      <w:marLeft w:val="0"/>
      <w:marRight w:val="0"/>
      <w:marTop w:val="0"/>
      <w:marBottom w:val="0"/>
      <w:divBdr>
        <w:top w:val="none" w:sz="0" w:space="0" w:color="auto"/>
        <w:left w:val="none" w:sz="0" w:space="0" w:color="auto"/>
        <w:bottom w:val="none" w:sz="0" w:space="0" w:color="auto"/>
        <w:right w:val="none" w:sz="0" w:space="0" w:color="auto"/>
      </w:divBdr>
    </w:div>
    <w:div w:id="371030676">
      <w:bodyDiv w:val="1"/>
      <w:marLeft w:val="0"/>
      <w:marRight w:val="0"/>
      <w:marTop w:val="0"/>
      <w:marBottom w:val="0"/>
      <w:divBdr>
        <w:top w:val="none" w:sz="0" w:space="0" w:color="auto"/>
        <w:left w:val="none" w:sz="0" w:space="0" w:color="auto"/>
        <w:bottom w:val="none" w:sz="0" w:space="0" w:color="auto"/>
        <w:right w:val="none" w:sz="0" w:space="0" w:color="auto"/>
      </w:divBdr>
    </w:div>
    <w:div w:id="381514880">
      <w:bodyDiv w:val="1"/>
      <w:marLeft w:val="0"/>
      <w:marRight w:val="0"/>
      <w:marTop w:val="0"/>
      <w:marBottom w:val="0"/>
      <w:divBdr>
        <w:top w:val="none" w:sz="0" w:space="0" w:color="auto"/>
        <w:left w:val="none" w:sz="0" w:space="0" w:color="auto"/>
        <w:bottom w:val="none" w:sz="0" w:space="0" w:color="auto"/>
        <w:right w:val="none" w:sz="0" w:space="0" w:color="auto"/>
      </w:divBdr>
    </w:div>
    <w:div w:id="398133505">
      <w:bodyDiv w:val="1"/>
      <w:marLeft w:val="0"/>
      <w:marRight w:val="0"/>
      <w:marTop w:val="0"/>
      <w:marBottom w:val="0"/>
      <w:divBdr>
        <w:top w:val="none" w:sz="0" w:space="0" w:color="auto"/>
        <w:left w:val="none" w:sz="0" w:space="0" w:color="auto"/>
        <w:bottom w:val="none" w:sz="0" w:space="0" w:color="auto"/>
        <w:right w:val="none" w:sz="0" w:space="0" w:color="auto"/>
      </w:divBdr>
      <w:divsChild>
        <w:div w:id="23142602">
          <w:marLeft w:val="0"/>
          <w:marRight w:val="0"/>
          <w:marTop w:val="0"/>
          <w:marBottom w:val="0"/>
          <w:divBdr>
            <w:top w:val="none" w:sz="0" w:space="0" w:color="auto"/>
            <w:left w:val="none" w:sz="0" w:space="0" w:color="auto"/>
            <w:bottom w:val="none" w:sz="0" w:space="0" w:color="auto"/>
            <w:right w:val="none" w:sz="0" w:space="0" w:color="auto"/>
          </w:divBdr>
        </w:div>
        <w:div w:id="44381186">
          <w:marLeft w:val="0"/>
          <w:marRight w:val="0"/>
          <w:marTop w:val="0"/>
          <w:marBottom w:val="0"/>
          <w:divBdr>
            <w:top w:val="none" w:sz="0" w:space="0" w:color="auto"/>
            <w:left w:val="none" w:sz="0" w:space="0" w:color="auto"/>
            <w:bottom w:val="none" w:sz="0" w:space="0" w:color="auto"/>
            <w:right w:val="none" w:sz="0" w:space="0" w:color="auto"/>
          </w:divBdr>
        </w:div>
        <w:div w:id="115026489">
          <w:marLeft w:val="0"/>
          <w:marRight w:val="0"/>
          <w:marTop w:val="0"/>
          <w:marBottom w:val="0"/>
          <w:divBdr>
            <w:top w:val="none" w:sz="0" w:space="0" w:color="auto"/>
            <w:left w:val="none" w:sz="0" w:space="0" w:color="auto"/>
            <w:bottom w:val="none" w:sz="0" w:space="0" w:color="auto"/>
            <w:right w:val="none" w:sz="0" w:space="0" w:color="auto"/>
          </w:divBdr>
        </w:div>
        <w:div w:id="304313359">
          <w:marLeft w:val="0"/>
          <w:marRight w:val="0"/>
          <w:marTop w:val="0"/>
          <w:marBottom w:val="0"/>
          <w:divBdr>
            <w:top w:val="none" w:sz="0" w:space="0" w:color="auto"/>
            <w:left w:val="none" w:sz="0" w:space="0" w:color="auto"/>
            <w:bottom w:val="none" w:sz="0" w:space="0" w:color="auto"/>
            <w:right w:val="none" w:sz="0" w:space="0" w:color="auto"/>
          </w:divBdr>
        </w:div>
        <w:div w:id="340162523">
          <w:marLeft w:val="0"/>
          <w:marRight w:val="0"/>
          <w:marTop w:val="0"/>
          <w:marBottom w:val="0"/>
          <w:divBdr>
            <w:top w:val="none" w:sz="0" w:space="0" w:color="auto"/>
            <w:left w:val="none" w:sz="0" w:space="0" w:color="auto"/>
            <w:bottom w:val="none" w:sz="0" w:space="0" w:color="auto"/>
            <w:right w:val="none" w:sz="0" w:space="0" w:color="auto"/>
          </w:divBdr>
        </w:div>
        <w:div w:id="404451487">
          <w:marLeft w:val="0"/>
          <w:marRight w:val="0"/>
          <w:marTop w:val="0"/>
          <w:marBottom w:val="0"/>
          <w:divBdr>
            <w:top w:val="none" w:sz="0" w:space="0" w:color="auto"/>
            <w:left w:val="none" w:sz="0" w:space="0" w:color="auto"/>
            <w:bottom w:val="none" w:sz="0" w:space="0" w:color="auto"/>
            <w:right w:val="none" w:sz="0" w:space="0" w:color="auto"/>
          </w:divBdr>
        </w:div>
        <w:div w:id="691759765">
          <w:marLeft w:val="0"/>
          <w:marRight w:val="0"/>
          <w:marTop w:val="0"/>
          <w:marBottom w:val="0"/>
          <w:divBdr>
            <w:top w:val="none" w:sz="0" w:space="0" w:color="auto"/>
            <w:left w:val="none" w:sz="0" w:space="0" w:color="auto"/>
            <w:bottom w:val="none" w:sz="0" w:space="0" w:color="auto"/>
            <w:right w:val="none" w:sz="0" w:space="0" w:color="auto"/>
          </w:divBdr>
        </w:div>
        <w:div w:id="696541523">
          <w:marLeft w:val="0"/>
          <w:marRight w:val="0"/>
          <w:marTop w:val="0"/>
          <w:marBottom w:val="0"/>
          <w:divBdr>
            <w:top w:val="none" w:sz="0" w:space="0" w:color="auto"/>
            <w:left w:val="none" w:sz="0" w:space="0" w:color="auto"/>
            <w:bottom w:val="none" w:sz="0" w:space="0" w:color="auto"/>
            <w:right w:val="none" w:sz="0" w:space="0" w:color="auto"/>
          </w:divBdr>
        </w:div>
        <w:div w:id="718895379">
          <w:marLeft w:val="0"/>
          <w:marRight w:val="0"/>
          <w:marTop w:val="0"/>
          <w:marBottom w:val="0"/>
          <w:divBdr>
            <w:top w:val="none" w:sz="0" w:space="0" w:color="auto"/>
            <w:left w:val="none" w:sz="0" w:space="0" w:color="auto"/>
            <w:bottom w:val="none" w:sz="0" w:space="0" w:color="auto"/>
            <w:right w:val="none" w:sz="0" w:space="0" w:color="auto"/>
          </w:divBdr>
        </w:div>
        <w:div w:id="759909764">
          <w:marLeft w:val="0"/>
          <w:marRight w:val="0"/>
          <w:marTop w:val="0"/>
          <w:marBottom w:val="0"/>
          <w:divBdr>
            <w:top w:val="none" w:sz="0" w:space="0" w:color="auto"/>
            <w:left w:val="none" w:sz="0" w:space="0" w:color="auto"/>
            <w:bottom w:val="none" w:sz="0" w:space="0" w:color="auto"/>
            <w:right w:val="none" w:sz="0" w:space="0" w:color="auto"/>
          </w:divBdr>
        </w:div>
        <w:div w:id="797651655">
          <w:marLeft w:val="0"/>
          <w:marRight w:val="0"/>
          <w:marTop w:val="0"/>
          <w:marBottom w:val="0"/>
          <w:divBdr>
            <w:top w:val="none" w:sz="0" w:space="0" w:color="auto"/>
            <w:left w:val="none" w:sz="0" w:space="0" w:color="auto"/>
            <w:bottom w:val="none" w:sz="0" w:space="0" w:color="auto"/>
            <w:right w:val="none" w:sz="0" w:space="0" w:color="auto"/>
          </w:divBdr>
        </w:div>
        <w:div w:id="926621522">
          <w:marLeft w:val="0"/>
          <w:marRight w:val="0"/>
          <w:marTop w:val="0"/>
          <w:marBottom w:val="0"/>
          <w:divBdr>
            <w:top w:val="none" w:sz="0" w:space="0" w:color="auto"/>
            <w:left w:val="none" w:sz="0" w:space="0" w:color="auto"/>
            <w:bottom w:val="none" w:sz="0" w:space="0" w:color="auto"/>
            <w:right w:val="none" w:sz="0" w:space="0" w:color="auto"/>
          </w:divBdr>
        </w:div>
        <w:div w:id="1334794344">
          <w:marLeft w:val="0"/>
          <w:marRight w:val="0"/>
          <w:marTop w:val="0"/>
          <w:marBottom w:val="0"/>
          <w:divBdr>
            <w:top w:val="none" w:sz="0" w:space="0" w:color="auto"/>
            <w:left w:val="none" w:sz="0" w:space="0" w:color="auto"/>
            <w:bottom w:val="none" w:sz="0" w:space="0" w:color="auto"/>
            <w:right w:val="none" w:sz="0" w:space="0" w:color="auto"/>
          </w:divBdr>
        </w:div>
        <w:div w:id="1505242768">
          <w:marLeft w:val="0"/>
          <w:marRight w:val="0"/>
          <w:marTop w:val="0"/>
          <w:marBottom w:val="0"/>
          <w:divBdr>
            <w:top w:val="none" w:sz="0" w:space="0" w:color="auto"/>
            <w:left w:val="none" w:sz="0" w:space="0" w:color="auto"/>
            <w:bottom w:val="none" w:sz="0" w:space="0" w:color="auto"/>
            <w:right w:val="none" w:sz="0" w:space="0" w:color="auto"/>
          </w:divBdr>
        </w:div>
        <w:div w:id="1727799797">
          <w:marLeft w:val="0"/>
          <w:marRight w:val="0"/>
          <w:marTop w:val="0"/>
          <w:marBottom w:val="0"/>
          <w:divBdr>
            <w:top w:val="none" w:sz="0" w:space="0" w:color="auto"/>
            <w:left w:val="none" w:sz="0" w:space="0" w:color="auto"/>
            <w:bottom w:val="none" w:sz="0" w:space="0" w:color="auto"/>
            <w:right w:val="none" w:sz="0" w:space="0" w:color="auto"/>
          </w:divBdr>
        </w:div>
        <w:div w:id="1792556063">
          <w:marLeft w:val="0"/>
          <w:marRight w:val="0"/>
          <w:marTop w:val="0"/>
          <w:marBottom w:val="0"/>
          <w:divBdr>
            <w:top w:val="none" w:sz="0" w:space="0" w:color="auto"/>
            <w:left w:val="none" w:sz="0" w:space="0" w:color="auto"/>
            <w:bottom w:val="none" w:sz="0" w:space="0" w:color="auto"/>
            <w:right w:val="none" w:sz="0" w:space="0" w:color="auto"/>
          </w:divBdr>
        </w:div>
        <w:div w:id="1853059219">
          <w:marLeft w:val="0"/>
          <w:marRight w:val="0"/>
          <w:marTop w:val="0"/>
          <w:marBottom w:val="0"/>
          <w:divBdr>
            <w:top w:val="none" w:sz="0" w:space="0" w:color="auto"/>
            <w:left w:val="none" w:sz="0" w:space="0" w:color="auto"/>
            <w:bottom w:val="none" w:sz="0" w:space="0" w:color="auto"/>
            <w:right w:val="none" w:sz="0" w:space="0" w:color="auto"/>
          </w:divBdr>
        </w:div>
        <w:div w:id="1997569107">
          <w:marLeft w:val="0"/>
          <w:marRight w:val="0"/>
          <w:marTop w:val="0"/>
          <w:marBottom w:val="0"/>
          <w:divBdr>
            <w:top w:val="none" w:sz="0" w:space="0" w:color="auto"/>
            <w:left w:val="none" w:sz="0" w:space="0" w:color="auto"/>
            <w:bottom w:val="none" w:sz="0" w:space="0" w:color="auto"/>
            <w:right w:val="none" w:sz="0" w:space="0" w:color="auto"/>
          </w:divBdr>
        </w:div>
        <w:div w:id="2027294415">
          <w:marLeft w:val="0"/>
          <w:marRight w:val="0"/>
          <w:marTop w:val="0"/>
          <w:marBottom w:val="0"/>
          <w:divBdr>
            <w:top w:val="none" w:sz="0" w:space="0" w:color="auto"/>
            <w:left w:val="none" w:sz="0" w:space="0" w:color="auto"/>
            <w:bottom w:val="none" w:sz="0" w:space="0" w:color="auto"/>
            <w:right w:val="none" w:sz="0" w:space="0" w:color="auto"/>
          </w:divBdr>
        </w:div>
        <w:div w:id="2068726795">
          <w:marLeft w:val="0"/>
          <w:marRight w:val="0"/>
          <w:marTop w:val="0"/>
          <w:marBottom w:val="0"/>
          <w:divBdr>
            <w:top w:val="none" w:sz="0" w:space="0" w:color="auto"/>
            <w:left w:val="none" w:sz="0" w:space="0" w:color="auto"/>
            <w:bottom w:val="none" w:sz="0" w:space="0" w:color="auto"/>
            <w:right w:val="none" w:sz="0" w:space="0" w:color="auto"/>
          </w:divBdr>
        </w:div>
      </w:divsChild>
    </w:div>
    <w:div w:id="401411176">
      <w:bodyDiv w:val="1"/>
      <w:marLeft w:val="0"/>
      <w:marRight w:val="0"/>
      <w:marTop w:val="0"/>
      <w:marBottom w:val="0"/>
      <w:divBdr>
        <w:top w:val="none" w:sz="0" w:space="0" w:color="auto"/>
        <w:left w:val="none" w:sz="0" w:space="0" w:color="auto"/>
        <w:bottom w:val="none" w:sz="0" w:space="0" w:color="auto"/>
        <w:right w:val="none" w:sz="0" w:space="0" w:color="auto"/>
      </w:divBdr>
    </w:div>
    <w:div w:id="432439038">
      <w:bodyDiv w:val="1"/>
      <w:marLeft w:val="0"/>
      <w:marRight w:val="0"/>
      <w:marTop w:val="0"/>
      <w:marBottom w:val="0"/>
      <w:divBdr>
        <w:top w:val="none" w:sz="0" w:space="0" w:color="auto"/>
        <w:left w:val="none" w:sz="0" w:space="0" w:color="auto"/>
        <w:bottom w:val="none" w:sz="0" w:space="0" w:color="auto"/>
        <w:right w:val="none" w:sz="0" w:space="0" w:color="auto"/>
      </w:divBdr>
    </w:div>
    <w:div w:id="437987985">
      <w:bodyDiv w:val="1"/>
      <w:marLeft w:val="0"/>
      <w:marRight w:val="0"/>
      <w:marTop w:val="0"/>
      <w:marBottom w:val="0"/>
      <w:divBdr>
        <w:top w:val="none" w:sz="0" w:space="0" w:color="auto"/>
        <w:left w:val="none" w:sz="0" w:space="0" w:color="auto"/>
        <w:bottom w:val="none" w:sz="0" w:space="0" w:color="auto"/>
        <w:right w:val="none" w:sz="0" w:space="0" w:color="auto"/>
      </w:divBdr>
      <w:divsChild>
        <w:div w:id="681398230">
          <w:marLeft w:val="0"/>
          <w:marRight w:val="0"/>
          <w:marTop w:val="0"/>
          <w:marBottom w:val="0"/>
          <w:divBdr>
            <w:top w:val="none" w:sz="0" w:space="0" w:color="auto"/>
            <w:left w:val="none" w:sz="0" w:space="0" w:color="auto"/>
            <w:bottom w:val="none" w:sz="0" w:space="0" w:color="auto"/>
            <w:right w:val="none" w:sz="0" w:space="0" w:color="auto"/>
          </w:divBdr>
          <w:divsChild>
            <w:div w:id="133722533">
              <w:marLeft w:val="0"/>
              <w:marRight w:val="0"/>
              <w:marTop w:val="0"/>
              <w:marBottom w:val="0"/>
              <w:divBdr>
                <w:top w:val="none" w:sz="0" w:space="0" w:color="auto"/>
                <w:left w:val="none" w:sz="0" w:space="0" w:color="auto"/>
                <w:bottom w:val="none" w:sz="0" w:space="0" w:color="auto"/>
                <w:right w:val="none" w:sz="0" w:space="0" w:color="auto"/>
              </w:divBdr>
            </w:div>
            <w:div w:id="515315828">
              <w:marLeft w:val="0"/>
              <w:marRight w:val="0"/>
              <w:marTop w:val="0"/>
              <w:marBottom w:val="0"/>
              <w:divBdr>
                <w:top w:val="none" w:sz="0" w:space="0" w:color="auto"/>
                <w:left w:val="none" w:sz="0" w:space="0" w:color="auto"/>
                <w:bottom w:val="none" w:sz="0" w:space="0" w:color="auto"/>
                <w:right w:val="none" w:sz="0" w:space="0" w:color="auto"/>
              </w:divBdr>
            </w:div>
            <w:div w:id="998967393">
              <w:marLeft w:val="0"/>
              <w:marRight w:val="0"/>
              <w:marTop w:val="0"/>
              <w:marBottom w:val="0"/>
              <w:divBdr>
                <w:top w:val="none" w:sz="0" w:space="0" w:color="auto"/>
                <w:left w:val="none" w:sz="0" w:space="0" w:color="auto"/>
                <w:bottom w:val="none" w:sz="0" w:space="0" w:color="auto"/>
                <w:right w:val="none" w:sz="0" w:space="0" w:color="auto"/>
              </w:divBdr>
            </w:div>
            <w:div w:id="1921671798">
              <w:marLeft w:val="0"/>
              <w:marRight w:val="0"/>
              <w:marTop w:val="0"/>
              <w:marBottom w:val="0"/>
              <w:divBdr>
                <w:top w:val="none" w:sz="0" w:space="0" w:color="auto"/>
                <w:left w:val="none" w:sz="0" w:space="0" w:color="auto"/>
                <w:bottom w:val="none" w:sz="0" w:space="0" w:color="auto"/>
                <w:right w:val="none" w:sz="0" w:space="0" w:color="auto"/>
              </w:divBdr>
            </w:div>
          </w:divsChild>
        </w:div>
        <w:div w:id="773985601">
          <w:marLeft w:val="0"/>
          <w:marRight w:val="0"/>
          <w:marTop w:val="0"/>
          <w:marBottom w:val="0"/>
          <w:divBdr>
            <w:top w:val="none" w:sz="0" w:space="0" w:color="auto"/>
            <w:left w:val="none" w:sz="0" w:space="0" w:color="auto"/>
            <w:bottom w:val="none" w:sz="0" w:space="0" w:color="auto"/>
            <w:right w:val="none" w:sz="0" w:space="0" w:color="auto"/>
          </w:divBdr>
          <w:divsChild>
            <w:div w:id="513616680">
              <w:marLeft w:val="0"/>
              <w:marRight w:val="0"/>
              <w:marTop w:val="0"/>
              <w:marBottom w:val="0"/>
              <w:divBdr>
                <w:top w:val="none" w:sz="0" w:space="0" w:color="auto"/>
                <w:left w:val="none" w:sz="0" w:space="0" w:color="auto"/>
                <w:bottom w:val="none" w:sz="0" w:space="0" w:color="auto"/>
                <w:right w:val="none" w:sz="0" w:space="0" w:color="auto"/>
              </w:divBdr>
            </w:div>
            <w:div w:id="1089960663">
              <w:marLeft w:val="0"/>
              <w:marRight w:val="0"/>
              <w:marTop w:val="0"/>
              <w:marBottom w:val="0"/>
              <w:divBdr>
                <w:top w:val="none" w:sz="0" w:space="0" w:color="auto"/>
                <w:left w:val="none" w:sz="0" w:space="0" w:color="auto"/>
                <w:bottom w:val="none" w:sz="0" w:space="0" w:color="auto"/>
                <w:right w:val="none" w:sz="0" w:space="0" w:color="auto"/>
              </w:divBdr>
            </w:div>
            <w:div w:id="1525287938">
              <w:marLeft w:val="0"/>
              <w:marRight w:val="0"/>
              <w:marTop w:val="0"/>
              <w:marBottom w:val="0"/>
              <w:divBdr>
                <w:top w:val="none" w:sz="0" w:space="0" w:color="auto"/>
                <w:left w:val="none" w:sz="0" w:space="0" w:color="auto"/>
                <w:bottom w:val="none" w:sz="0" w:space="0" w:color="auto"/>
                <w:right w:val="none" w:sz="0" w:space="0" w:color="auto"/>
              </w:divBdr>
            </w:div>
            <w:div w:id="1670258028">
              <w:marLeft w:val="0"/>
              <w:marRight w:val="0"/>
              <w:marTop w:val="0"/>
              <w:marBottom w:val="0"/>
              <w:divBdr>
                <w:top w:val="none" w:sz="0" w:space="0" w:color="auto"/>
                <w:left w:val="none" w:sz="0" w:space="0" w:color="auto"/>
                <w:bottom w:val="none" w:sz="0" w:space="0" w:color="auto"/>
                <w:right w:val="none" w:sz="0" w:space="0" w:color="auto"/>
              </w:divBdr>
            </w:div>
            <w:div w:id="1924294199">
              <w:marLeft w:val="0"/>
              <w:marRight w:val="0"/>
              <w:marTop w:val="0"/>
              <w:marBottom w:val="0"/>
              <w:divBdr>
                <w:top w:val="none" w:sz="0" w:space="0" w:color="auto"/>
                <w:left w:val="none" w:sz="0" w:space="0" w:color="auto"/>
                <w:bottom w:val="none" w:sz="0" w:space="0" w:color="auto"/>
                <w:right w:val="none" w:sz="0" w:space="0" w:color="auto"/>
              </w:divBdr>
            </w:div>
          </w:divsChild>
        </w:div>
        <w:div w:id="1215581800">
          <w:marLeft w:val="0"/>
          <w:marRight w:val="0"/>
          <w:marTop w:val="0"/>
          <w:marBottom w:val="0"/>
          <w:divBdr>
            <w:top w:val="none" w:sz="0" w:space="0" w:color="auto"/>
            <w:left w:val="none" w:sz="0" w:space="0" w:color="auto"/>
            <w:bottom w:val="none" w:sz="0" w:space="0" w:color="auto"/>
            <w:right w:val="none" w:sz="0" w:space="0" w:color="auto"/>
          </w:divBdr>
          <w:divsChild>
            <w:div w:id="1067993652">
              <w:marLeft w:val="0"/>
              <w:marRight w:val="0"/>
              <w:marTop w:val="0"/>
              <w:marBottom w:val="0"/>
              <w:divBdr>
                <w:top w:val="none" w:sz="0" w:space="0" w:color="auto"/>
                <w:left w:val="none" w:sz="0" w:space="0" w:color="auto"/>
                <w:bottom w:val="none" w:sz="0" w:space="0" w:color="auto"/>
                <w:right w:val="none" w:sz="0" w:space="0" w:color="auto"/>
              </w:divBdr>
            </w:div>
          </w:divsChild>
        </w:div>
        <w:div w:id="1513453273">
          <w:marLeft w:val="0"/>
          <w:marRight w:val="0"/>
          <w:marTop w:val="0"/>
          <w:marBottom w:val="0"/>
          <w:divBdr>
            <w:top w:val="none" w:sz="0" w:space="0" w:color="auto"/>
            <w:left w:val="none" w:sz="0" w:space="0" w:color="auto"/>
            <w:bottom w:val="none" w:sz="0" w:space="0" w:color="auto"/>
            <w:right w:val="none" w:sz="0" w:space="0" w:color="auto"/>
          </w:divBdr>
          <w:divsChild>
            <w:div w:id="1247693391">
              <w:marLeft w:val="0"/>
              <w:marRight w:val="0"/>
              <w:marTop w:val="0"/>
              <w:marBottom w:val="0"/>
              <w:divBdr>
                <w:top w:val="none" w:sz="0" w:space="0" w:color="auto"/>
                <w:left w:val="none" w:sz="0" w:space="0" w:color="auto"/>
                <w:bottom w:val="none" w:sz="0" w:space="0" w:color="auto"/>
                <w:right w:val="none" w:sz="0" w:space="0" w:color="auto"/>
              </w:divBdr>
            </w:div>
            <w:div w:id="1391460354">
              <w:marLeft w:val="0"/>
              <w:marRight w:val="0"/>
              <w:marTop w:val="0"/>
              <w:marBottom w:val="0"/>
              <w:divBdr>
                <w:top w:val="none" w:sz="0" w:space="0" w:color="auto"/>
                <w:left w:val="none" w:sz="0" w:space="0" w:color="auto"/>
                <w:bottom w:val="none" w:sz="0" w:space="0" w:color="auto"/>
                <w:right w:val="none" w:sz="0" w:space="0" w:color="auto"/>
              </w:divBdr>
            </w:div>
            <w:div w:id="1586960893">
              <w:marLeft w:val="0"/>
              <w:marRight w:val="0"/>
              <w:marTop w:val="0"/>
              <w:marBottom w:val="0"/>
              <w:divBdr>
                <w:top w:val="none" w:sz="0" w:space="0" w:color="auto"/>
                <w:left w:val="none" w:sz="0" w:space="0" w:color="auto"/>
                <w:bottom w:val="none" w:sz="0" w:space="0" w:color="auto"/>
                <w:right w:val="none" w:sz="0" w:space="0" w:color="auto"/>
              </w:divBdr>
            </w:div>
            <w:div w:id="2031685024">
              <w:marLeft w:val="0"/>
              <w:marRight w:val="0"/>
              <w:marTop w:val="0"/>
              <w:marBottom w:val="0"/>
              <w:divBdr>
                <w:top w:val="none" w:sz="0" w:space="0" w:color="auto"/>
                <w:left w:val="none" w:sz="0" w:space="0" w:color="auto"/>
                <w:bottom w:val="none" w:sz="0" w:space="0" w:color="auto"/>
                <w:right w:val="none" w:sz="0" w:space="0" w:color="auto"/>
              </w:divBdr>
            </w:div>
          </w:divsChild>
        </w:div>
        <w:div w:id="1574119536">
          <w:marLeft w:val="0"/>
          <w:marRight w:val="0"/>
          <w:marTop w:val="0"/>
          <w:marBottom w:val="0"/>
          <w:divBdr>
            <w:top w:val="none" w:sz="0" w:space="0" w:color="auto"/>
            <w:left w:val="none" w:sz="0" w:space="0" w:color="auto"/>
            <w:bottom w:val="none" w:sz="0" w:space="0" w:color="auto"/>
            <w:right w:val="none" w:sz="0" w:space="0" w:color="auto"/>
          </w:divBdr>
          <w:divsChild>
            <w:div w:id="536160761">
              <w:marLeft w:val="0"/>
              <w:marRight w:val="0"/>
              <w:marTop w:val="0"/>
              <w:marBottom w:val="0"/>
              <w:divBdr>
                <w:top w:val="none" w:sz="0" w:space="0" w:color="auto"/>
                <w:left w:val="none" w:sz="0" w:space="0" w:color="auto"/>
                <w:bottom w:val="none" w:sz="0" w:space="0" w:color="auto"/>
                <w:right w:val="none" w:sz="0" w:space="0" w:color="auto"/>
              </w:divBdr>
            </w:div>
          </w:divsChild>
        </w:div>
        <w:div w:id="1634824027">
          <w:marLeft w:val="0"/>
          <w:marRight w:val="0"/>
          <w:marTop w:val="0"/>
          <w:marBottom w:val="0"/>
          <w:divBdr>
            <w:top w:val="none" w:sz="0" w:space="0" w:color="auto"/>
            <w:left w:val="none" w:sz="0" w:space="0" w:color="auto"/>
            <w:bottom w:val="none" w:sz="0" w:space="0" w:color="auto"/>
            <w:right w:val="none" w:sz="0" w:space="0" w:color="auto"/>
          </w:divBdr>
          <w:divsChild>
            <w:div w:id="445347406">
              <w:marLeft w:val="0"/>
              <w:marRight w:val="0"/>
              <w:marTop w:val="0"/>
              <w:marBottom w:val="0"/>
              <w:divBdr>
                <w:top w:val="none" w:sz="0" w:space="0" w:color="auto"/>
                <w:left w:val="none" w:sz="0" w:space="0" w:color="auto"/>
                <w:bottom w:val="none" w:sz="0" w:space="0" w:color="auto"/>
                <w:right w:val="none" w:sz="0" w:space="0" w:color="auto"/>
              </w:divBdr>
            </w:div>
            <w:div w:id="112993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580460">
      <w:bodyDiv w:val="1"/>
      <w:marLeft w:val="0"/>
      <w:marRight w:val="0"/>
      <w:marTop w:val="0"/>
      <w:marBottom w:val="0"/>
      <w:divBdr>
        <w:top w:val="none" w:sz="0" w:space="0" w:color="auto"/>
        <w:left w:val="none" w:sz="0" w:space="0" w:color="auto"/>
        <w:bottom w:val="none" w:sz="0" w:space="0" w:color="auto"/>
        <w:right w:val="none" w:sz="0" w:space="0" w:color="auto"/>
      </w:divBdr>
    </w:div>
    <w:div w:id="468789117">
      <w:bodyDiv w:val="1"/>
      <w:marLeft w:val="0"/>
      <w:marRight w:val="0"/>
      <w:marTop w:val="0"/>
      <w:marBottom w:val="0"/>
      <w:divBdr>
        <w:top w:val="none" w:sz="0" w:space="0" w:color="auto"/>
        <w:left w:val="none" w:sz="0" w:space="0" w:color="auto"/>
        <w:bottom w:val="none" w:sz="0" w:space="0" w:color="auto"/>
        <w:right w:val="none" w:sz="0" w:space="0" w:color="auto"/>
      </w:divBdr>
    </w:div>
    <w:div w:id="471366113">
      <w:bodyDiv w:val="1"/>
      <w:marLeft w:val="0"/>
      <w:marRight w:val="0"/>
      <w:marTop w:val="0"/>
      <w:marBottom w:val="0"/>
      <w:divBdr>
        <w:top w:val="none" w:sz="0" w:space="0" w:color="auto"/>
        <w:left w:val="none" w:sz="0" w:space="0" w:color="auto"/>
        <w:bottom w:val="none" w:sz="0" w:space="0" w:color="auto"/>
        <w:right w:val="none" w:sz="0" w:space="0" w:color="auto"/>
      </w:divBdr>
    </w:div>
    <w:div w:id="540943224">
      <w:bodyDiv w:val="1"/>
      <w:marLeft w:val="0"/>
      <w:marRight w:val="0"/>
      <w:marTop w:val="0"/>
      <w:marBottom w:val="0"/>
      <w:divBdr>
        <w:top w:val="none" w:sz="0" w:space="0" w:color="auto"/>
        <w:left w:val="none" w:sz="0" w:space="0" w:color="auto"/>
        <w:bottom w:val="none" w:sz="0" w:space="0" w:color="auto"/>
        <w:right w:val="none" w:sz="0" w:space="0" w:color="auto"/>
      </w:divBdr>
    </w:div>
    <w:div w:id="545603261">
      <w:bodyDiv w:val="1"/>
      <w:marLeft w:val="0"/>
      <w:marRight w:val="0"/>
      <w:marTop w:val="0"/>
      <w:marBottom w:val="0"/>
      <w:divBdr>
        <w:top w:val="none" w:sz="0" w:space="0" w:color="auto"/>
        <w:left w:val="none" w:sz="0" w:space="0" w:color="auto"/>
        <w:bottom w:val="none" w:sz="0" w:space="0" w:color="auto"/>
        <w:right w:val="none" w:sz="0" w:space="0" w:color="auto"/>
      </w:divBdr>
      <w:divsChild>
        <w:div w:id="1378318941">
          <w:marLeft w:val="0"/>
          <w:marRight w:val="0"/>
          <w:marTop w:val="0"/>
          <w:marBottom w:val="0"/>
          <w:divBdr>
            <w:top w:val="none" w:sz="0" w:space="0" w:color="auto"/>
            <w:left w:val="none" w:sz="0" w:space="0" w:color="auto"/>
            <w:bottom w:val="none" w:sz="0" w:space="0" w:color="auto"/>
            <w:right w:val="none" w:sz="0" w:space="0" w:color="auto"/>
          </w:divBdr>
        </w:div>
        <w:div w:id="1911884665">
          <w:marLeft w:val="0"/>
          <w:marRight w:val="0"/>
          <w:marTop w:val="0"/>
          <w:marBottom w:val="0"/>
          <w:divBdr>
            <w:top w:val="none" w:sz="0" w:space="0" w:color="auto"/>
            <w:left w:val="none" w:sz="0" w:space="0" w:color="auto"/>
            <w:bottom w:val="none" w:sz="0" w:space="0" w:color="auto"/>
            <w:right w:val="none" w:sz="0" w:space="0" w:color="auto"/>
          </w:divBdr>
        </w:div>
      </w:divsChild>
    </w:div>
    <w:div w:id="548997116">
      <w:bodyDiv w:val="1"/>
      <w:marLeft w:val="0"/>
      <w:marRight w:val="0"/>
      <w:marTop w:val="0"/>
      <w:marBottom w:val="0"/>
      <w:divBdr>
        <w:top w:val="none" w:sz="0" w:space="0" w:color="auto"/>
        <w:left w:val="none" w:sz="0" w:space="0" w:color="auto"/>
        <w:bottom w:val="none" w:sz="0" w:space="0" w:color="auto"/>
        <w:right w:val="none" w:sz="0" w:space="0" w:color="auto"/>
      </w:divBdr>
    </w:div>
    <w:div w:id="717361308">
      <w:bodyDiv w:val="1"/>
      <w:marLeft w:val="0"/>
      <w:marRight w:val="0"/>
      <w:marTop w:val="0"/>
      <w:marBottom w:val="0"/>
      <w:divBdr>
        <w:top w:val="none" w:sz="0" w:space="0" w:color="auto"/>
        <w:left w:val="none" w:sz="0" w:space="0" w:color="auto"/>
        <w:bottom w:val="none" w:sz="0" w:space="0" w:color="auto"/>
        <w:right w:val="none" w:sz="0" w:space="0" w:color="auto"/>
      </w:divBdr>
    </w:div>
    <w:div w:id="755134975">
      <w:bodyDiv w:val="1"/>
      <w:marLeft w:val="0"/>
      <w:marRight w:val="0"/>
      <w:marTop w:val="0"/>
      <w:marBottom w:val="0"/>
      <w:divBdr>
        <w:top w:val="none" w:sz="0" w:space="0" w:color="auto"/>
        <w:left w:val="none" w:sz="0" w:space="0" w:color="auto"/>
        <w:bottom w:val="none" w:sz="0" w:space="0" w:color="auto"/>
        <w:right w:val="none" w:sz="0" w:space="0" w:color="auto"/>
      </w:divBdr>
      <w:divsChild>
        <w:div w:id="35132555">
          <w:marLeft w:val="0"/>
          <w:marRight w:val="0"/>
          <w:marTop w:val="0"/>
          <w:marBottom w:val="0"/>
          <w:divBdr>
            <w:top w:val="none" w:sz="0" w:space="0" w:color="auto"/>
            <w:left w:val="none" w:sz="0" w:space="0" w:color="auto"/>
            <w:bottom w:val="none" w:sz="0" w:space="0" w:color="auto"/>
            <w:right w:val="none" w:sz="0" w:space="0" w:color="auto"/>
          </w:divBdr>
          <w:divsChild>
            <w:div w:id="146365871">
              <w:marLeft w:val="0"/>
              <w:marRight w:val="0"/>
              <w:marTop w:val="0"/>
              <w:marBottom w:val="0"/>
              <w:divBdr>
                <w:top w:val="none" w:sz="0" w:space="0" w:color="auto"/>
                <w:left w:val="none" w:sz="0" w:space="0" w:color="auto"/>
                <w:bottom w:val="none" w:sz="0" w:space="0" w:color="auto"/>
                <w:right w:val="none" w:sz="0" w:space="0" w:color="auto"/>
              </w:divBdr>
            </w:div>
            <w:div w:id="232930201">
              <w:marLeft w:val="0"/>
              <w:marRight w:val="0"/>
              <w:marTop w:val="0"/>
              <w:marBottom w:val="0"/>
              <w:divBdr>
                <w:top w:val="none" w:sz="0" w:space="0" w:color="auto"/>
                <w:left w:val="none" w:sz="0" w:space="0" w:color="auto"/>
                <w:bottom w:val="none" w:sz="0" w:space="0" w:color="auto"/>
                <w:right w:val="none" w:sz="0" w:space="0" w:color="auto"/>
              </w:divBdr>
            </w:div>
            <w:div w:id="268054260">
              <w:marLeft w:val="0"/>
              <w:marRight w:val="0"/>
              <w:marTop w:val="0"/>
              <w:marBottom w:val="0"/>
              <w:divBdr>
                <w:top w:val="none" w:sz="0" w:space="0" w:color="auto"/>
                <w:left w:val="none" w:sz="0" w:space="0" w:color="auto"/>
                <w:bottom w:val="none" w:sz="0" w:space="0" w:color="auto"/>
                <w:right w:val="none" w:sz="0" w:space="0" w:color="auto"/>
              </w:divBdr>
            </w:div>
            <w:div w:id="499351301">
              <w:marLeft w:val="0"/>
              <w:marRight w:val="0"/>
              <w:marTop w:val="0"/>
              <w:marBottom w:val="0"/>
              <w:divBdr>
                <w:top w:val="none" w:sz="0" w:space="0" w:color="auto"/>
                <w:left w:val="none" w:sz="0" w:space="0" w:color="auto"/>
                <w:bottom w:val="none" w:sz="0" w:space="0" w:color="auto"/>
                <w:right w:val="none" w:sz="0" w:space="0" w:color="auto"/>
              </w:divBdr>
            </w:div>
            <w:div w:id="1235705339">
              <w:marLeft w:val="0"/>
              <w:marRight w:val="0"/>
              <w:marTop w:val="0"/>
              <w:marBottom w:val="0"/>
              <w:divBdr>
                <w:top w:val="none" w:sz="0" w:space="0" w:color="auto"/>
                <w:left w:val="none" w:sz="0" w:space="0" w:color="auto"/>
                <w:bottom w:val="none" w:sz="0" w:space="0" w:color="auto"/>
                <w:right w:val="none" w:sz="0" w:space="0" w:color="auto"/>
              </w:divBdr>
            </w:div>
            <w:div w:id="1447192670">
              <w:marLeft w:val="0"/>
              <w:marRight w:val="0"/>
              <w:marTop w:val="0"/>
              <w:marBottom w:val="0"/>
              <w:divBdr>
                <w:top w:val="none" w:sz="0" w:space="0" w:color="auto"/>
                <w:left w:val="none" w:sz="0" w:space="0" w:color="auto"/>
                <w:bottom w:val="none" w:sz="0" w:space="0" w:color="auto"/>
                <w:right w:val="none" w:sz="0" w:space="0" w:color="auto"/>
              </w:divBdr>
            </w:div>
            <w:div w:id="1624580821">
              <w:marLeft w:val="0"/>
              <w:marRight w:val="0"/>
              <w:marTop w:val="0"/>
              <w:marBottom w:val="0"/>
              <w:divBdr>
                <w:top w:val="none" w:sz="0" w:space="0" w:color="auto"/>
                <w:left w:val="none" w:sz="0" w:space="0" w:color="auto"/>
                <w:bottom w:val="none" w:sz="0" w:space="0" w:color="auto"/>
                <w:right w:val="none" w:sz="0" w:space="0" w:color="auto"/>
              </w:divBdr>
            </w:div>
            <w:div w:id="1684163947">
              <w:marLeft w:val="0"/>
              <w:marRight w:val="0"/>
              <w:marTop w:val="0"/>
              <w:marBottom w:val="0"/>
              <w:divBdr>
                <w:top w:val="none" w:sz="0" w:space="0" w:color="auto"/>
                <w:left w:val="none" w:sz="0" w:space="0" w:color="auto"/>
                <w:bottom w:val="none" w:sz="0" w:space="0" w:color="auto"/>
                <w:right w:val="none" w:sz="0" w:space="0" w:color="auto"/>
              </w:divBdr>
            </w:div>
            <w:div w:id="2067798510">
              <w:marLeft w:val="0"/>
              <w:marRight w:val="0"/>
              <w:marTop w:val="0"/>
              <w:marBottom w:val="0"/>
              <w:divBdr>
                <w:top w:val="none" w:sz="0" w:space="0" w:color="auto"/>
                <w:left w:val="none" w:sz="0" w:space="0" w:color="auto"/>
                <w:bottom w:val="none" w:sz="0" w:space="0" w:color="auto"/>
                <w:right w:val="none" w:sz="0" w:space="0" w:color="auto"/>
              </w:divBdr>
            </w:div>
            <w:div w:id="2076194059">
              <w:marLeft w:val="0"/>
              <w:marRight w:val="0"/>
              <w:marTop w:val="0"/>
              <w:marBottom w:val="0"/>
              <w:divBdr>
                <w:top w:val="none" w:sz="0" w:space="0" w:color="auto"/>
                <w:left w:val="none" w:sz="0" w:space="0" w:color="auto"/>
                <w:bottom w:val="none" w:sz="0" w:space="0" w:color="auto"/>
                <w:right w:val="none" w:sz="0" w:space="0" w:color="auto"/>
              </w:divBdr>
            </w:div>
          </w:divsChild>
        </w:div>
        <w:div w:id="219099897">
          <w:marLeft w:val="0"/>
          <w:marRight w:val="0"/>
          <w:marTop w:val="0"/>
          <w:marBottom w:val="0"/>
          <w:divBdr>
            <w:top w:val="none" w:sz="0" w:space="0" w:color="auto"/>
            <w:left w:val="none" w:sz="0" w:space="0" w:color="auto"/>
            <w:bottom w:val="none" w:sz="0" w:space="0" w:color="auto"/>
            <w:right w:val="none" w:sz="0" w:space="0" w:color="auto"/>
          </w:divBdr>
          <w:divsChild>
            <w:div w:id="49303517">
              <w:marLeft w:val="0"/>
              <w:marRight w:val="0"/>
              <w:marTop w:val="0"/>
              <w:marBottom w:val="0"/>
              <w:divBdr>
                <w:top w:val="none" w:sz="0" w:space="0" w:color="auto"/>
                <w:left w:val="none" w:sz="0" w:space="0" w:color="auto"/>
                <w:bottom w:val="none" w:sz="0" w:space="0" w:color="auto"/>
                <w:right w:val="none" w:sz="0" w:space="0" w:color="auto"/>
              </w:divBdr>
            </w:div>
            <w:div w:id="161900198">
              <w:marLeft w:val="0"/>
              <w:marRight w:val="0"/>
              <w:marTop w:val="0"/>
              <w:marBottom w:val="0"/>
              <w:divBdr>
                <w:top w:val="none" w:sz="0" w:space="0" w:color="auto"/>
                <w:left w:val="none" w:sz="0" w:space="0" w:color="auto"/>
                <w:bottom w:val="none" w:sz="0" w:space="0" w:color="auto"/>
                <w:right w:val="none" w:sz="0" w:space="0" w:color="auto"/>
              </w:divBdr>
            </w:div>
            <w:div w:id="1458990791">
              <w:marLeft w:val="0"/>
              <w:marRight w:val="0"/>
              <w:marTop w:val="0"/>
              <w:marBottom w:val="0"/>
              <w:divBdr>
                <w:top w:val="none" w:sz="0" w:space="0" w:color="auto"/>
                <w:left w:val="none" w:sz="0" w:space="0" w:color="auto"/>
                <w:bottom w:val="none" w:sz="0" w:space="0" w:color="auto"/>
                <w:right w:val="none" w:sz="0" w:space="0" w:color="auto"/>
              </w:divBdr>
            </w:div>
            <w:div w:id="1516580677">
              <w:marLeft w:val="0"/>
              <w:marRight w:val="0"/>
              <w:marTop w:val="0"/>
              <w:marBottom w:val="0"/>
              <w:divBdr>
                <w:top w:val="none" w:sz="0" w:space="0" w:color="auto"/>
                <w:left w:val="none" w:sz="0" w:space="0" w:color="auto"/>
                <w:bottom w:val="none" w:sz="0" w:space="0" w:color="auto"/>
                <w:right w:val="none" w:sz="0" w:space="0" w:color="auto"/>
              </w:divBdr>
            </w:div>
            <w:div w:id="2054310314">
              <w:marLeft w:val="0"/>
              <w:marRight w:val="0"/>
              <w:marTop w:val="0"/>
              <w:marBottom w:val="0"/>
              <w:divBdr>
                <w:top w:val="none" w:sz="0" w:space="0" w:color="auto"/>
                <w:left w:val="none" w:sz="0" w:space="0" w:color="auto"/>
                <w:bottom w:val="none" w:sz="0" w:space="0" w:color="auto"/>
                <w:right w:val="none" w:sz="0" w:space="0" w:color="auto"/>
              </w:divBdr>
            </w:div>
            <w:div w:id="2109083114">
              <w:marLeft w:val="0"/>
              <w:marRight w:val="0"/>
              <w:marTop w:val="0"/>
              <w:marBottom w:val="0"/>
              <w:divBdr>
                <w:top w:val="none" w:sz="0" w:space="0" w:color="auto"/>
                <w:left w:val="none" w:sz="0" w:space="0" w:color="auto"/>
                <w:bottom w:val="none" w:sz="0" w:space="0" w:color="auto"/>
                <w:right w:val="none" w:sz="0" w:space="0" w:color="auto"/>
              </w:divBdr>
            </w:div>
          </w:divsChild>
        </w:div>
        <w:div w:id="851990356">
          <w:marLeft w:val="0"/>
          <w:marRight w:val="0"/>
          <w:marTop w:val="0"/>
          <w:marBottom w:val="0"/>
          <w:divBdr>
            <w:top w:val="none" w:sz="0" w:space="0" w:color="auto"/>
            <w:left w:val="none" w:sz="0" w:space="0" w:color="auto"/>
            <w:bottom w:val="none" w:sz="0" w:space="0" w:color="auto"/>
            <w:right w:val="none" w:sz="0" w:space="0" w:color="auto"/>
          </w:divBdr>
          <w:divsChild>
            <w:div w:id="115605893">
              <w:marLeft w:val="0"/>
              <w:marRight w:val="0"/>
              <w:marTop w:val="0"/>
              <w:marBottom w:val="0"/>
              <w:divBdr>
                <w:top w:val="none" w:sz="0" w:space="0" w:color="auto"/>
                <w:left w:val="none" w:sz="0" w:space="0" w:color="auto"/>
                <w:bottom w:val="none" w:sz="0" w:space="0" w:color="auto"/>
                <w:right w:val="none" w:sz="0" w:space="0" w:color="auto"/>
              </w:divBdr>
            </w:div>
            <w:div w:id="194268385">
              <w:marLeft w:val="0"/>
              <w:marRight w:val="0"/>
              <w:marTop w:val="0"/>
              <w:marBottom w:val="0"/>
              <w:divBdr>
                <w:top w:val="none" w:sz="0" w:space="0" w:color="auto"/>
                <w:left w:val="none" w:sz="0" w:space="0" w:color="auto"/>
                <w:bottom w:val="none" w:sz="0" w:space="0" w:color="auto"/>
                <w:right w:val="none" w:sz="0" w:space="0" w:color="auto"/>
              </w:divBdr>
            </w:div>
            <w:div w:id="469784041">
              <w:marLeft w:val="0"/>
              <w:marRight w:val="0"/>
              <w:marTop w:val="0"/>
              <w:marBottom w:val="0"/>
              <w:divBdr>
                <w:top w:val="none" w:sz="0" w:space="0" w:color="auto"/>
                <w:left w:val="none" w:sz="0" w:space="0" w:color="auto"/>
                <w:bottom w:val="none" w:sz="0" w:space="0" w:color="auto"/>
                <w:right w:val="none" w:sz="0" w:space="0" w:color="auto"/>
              </w:divBdr>
            </w:div>
            <w:div w:id="1259800437">
              <w:marLeft w:val="0"/>
              <w:marRight w:val="0"/>
              <w:marTop w:val="0"/>
              <w:marBottom w:val="0"/>
              <w:divBdr>
                <w:top w:val="none" w:sz="0" w:space="0" w:color="auto"/>
                <w:left w:val="none" w:sz="0" w:space="0" w:color="auto"/>
                <w:bottom w:val="none" w:sz="0" w:space="0" w:color="auto"/>
                <w:right w:val="none" w:sz="0" w:space="0" w:color="auto"/>
              </w:divBdr>
            </w:div>
            <w:div w:id="1438253714">
              <w:marLeft w:val="0"/>
              <w:marRight w:val="0"/>
              <w:marTop w:val="0"/>
              <w:marBottom w:val="0"/>
              <w:divBdr>
                <w:top w:val="none" w:sz="0" w:space="0" w:color="auto"/>
                <w:left w:val="none" w:sz="0" w:space="0" w:color="auto"/>
                <w:bottom w:val="none" w:sz="0" w:space="0" w:color="auto"/>
                <w:right w:val="none" w:sz="0" w:space="0" w:color="auto"/>
              </w:divBdr>
            </w:div>
            <w:div w:id="1686050380">
              <w:marLeft w:val="0"/>
              <w:marRight w:val="0"/>
              <w:marTop w:val="0"/>
              <w:marBottom w:val="0"/>
              <w:divBdr>
                <w:top w:val="none" w:sz="0" w:space="0" w:color="auto"/>
                <w:left w:val="none" w:sz="0" w:space="0" w:color="auto"/>
                <w:bottom w:val="none" w:sz="0" w:space="0" w:color="auto"/>
                <w:right w:val="none" w:sz="0" w:space="0" w:color="auto"/>
              </w:divBdr>
            </w:div>
            <w:div w:id="1717776417">
              <w:marLeft w:val="0"/>
              <w:marRight w:val="0"/>
              <w:marTop w:val="0"/>
              <w:marBottom w:val="0"/>
              <w:divBdr>
                <w:top w:val="none" w:sz="0" w:space="0" w:color="auto"/>
                <w:left w:val="none" w:sz="0" w:space="0" w:color="auto"/>
                <w:bottom w:val="none" w:sz="0" w:space="0" w:color="auto"/>
                <w:right w:val="none" w:sz="0" w:space="0" w:color="auto"/>
              </w:divBdr>
            </w:div>
            <w:div w:id="1809056021">
              <w:marLeft w:val="0"/>
              <w:marRight w:val="0"/>
              <w:marTop w:val="0"/>
              <w:marBottom w:val="0"/>
              <w:divBdr>
                <w:top w:val="none" w:sz="0" w:space="0" w:color="auto"/>
                <w:left w:val="none" w:sz="0" w:space="0" w:color="auto"/>
                <w:bottom w:val="none" w:sz="0" w:space="0" w:color="auto"/>
                <w:right w:val="none" w:sz="0" w:space="0" w:color="auto"/>
              </w:divBdr>
            </w:div>
            <w:div w:id="2027052589">
              <w:marLeft w:val="0"/>
              <w:marRight w:val="0"/>
              <w:marTop w:val="0"/>
              <w:marBottom w:val="0"/>
              <w:divBdr>
                <w:top w:val="none" w:sz="0" w:space="0" w:color="auto"/>
                <w:left w:val="none" w:sz="0" w:space="0" w:color="auto"/>
                <w:bottom w:val="none" w:sz="0" w:space="0" w:color="auto"/>
                <w:right w:val="none" w:sz="0" w:space="0" w:color="auto"/>
              </w:divBdr>
            </w:div>
            <w:div w:id="2066249655">
              <w:marLeft w:val="0"/>
              <w:marRight w:val="0"/>
              <w:marTop w:val="0"/>
              <w:marBottom w:val="0"/>
              <w:divBdr>
                <w:top w:val="none" w:sz="0" w:space="0" w:color="auto"/>
                <w:left w:val="none" w:sz="0" w:space="0" w:color="auto"/>
                <w:bottom w:val="none" w:sz="0" w:space="0" w:color="auto"/>
                <w:right w:val="none" w:sz="0" w:space="0" w:color="auto"/>
              </w:divBdr>
            </w:div>
          </w:divsChild>
        </w:div>
        <w:div w:id="913201585">
          <w:marLeft w:val="0"/>
          <w:marRight w:val="0"/>
          <w:marTop w:val="0"/>
          <w:marBottom w:val="0"/>
          <w:divBdr>
            <w:top w:val="none" w:sz="0" w:space="0" w:color="auto"/>
            <w:left w:val="none" w:sz="0" w:space="0" w:color="auto"/>
            <w:bottom w:val="none" w:sz="0" w:space="0" w:color="auto"/>
            <w:right w:val="none" w:sz="0" w:space="0" w:color="auto"/>
          </w:divBdr>
          <w:divsChild>
            <w:div w:id="177501430">
              <w:marLeft w:val="0"/>
              <w:marRight w:val="0"/>
              <w:marTop w:val="0"/>
              <w:marBottom w:val="0"/>
              <w:divBdr>
                <w:top w:val="none" w:sz="0" w:space="0" w:color="auto"/>
                <w:left w:val="none" w:sz="0" w:space="0" w:color="auto"/>
                <w:bottom w:val="none" w:sz="0" w:space="0" w:color="auto"/>
                <w:right w:val="none" w:sz="0" w:space="0" w:color="auto"/>
              </w:divBdr>
            </w:div>
            <w:div w:id="698167716">
              <w:marLeft w:val="0"/>
              <w:marRight w:val="0"/>
              <w:marTop w:val="0"/>
              <w:marBottom w:val="0"/>
              <w:divBdr>
                <w:top w:val="none" w:sz="0" w:space="0" w:color="auto"/>
                <w:left w:val="none" w:sz="0" w:space="0" w:color="auto"/>
                <w:bottom w:val="none" w:sz="0" w:space="0" w:color="auto"/>
                <w:right w:val="none" w:sz="0" w:space="0" w:color="auto"/>
              </w:divBdr>
            </w:div>
          </w:divsChild>
        </w:div>
        <w:div w:id="999043480">
          <w:marLeft w:val="0"/>
          <w:marRight w:val="0"/>
          <w:marTop w:val="0"/>
          <w:marBottom w:val="0"/>
          <w:divBdr>
            <w:top w:val="none" w:sz="0" w:space="0" w:color="auto"/>
            <w:left w:val="none" w:sz="0" w:space="0" w:color="auto"/>
            <w:bottom w:val="none" w:sz="0" w:space="0" w:color="auto"/>
            <w:right w:val="none" w:sz="0" w:space="0" w:color="auto"/>
          </w:divBdr>
          <w:divsChild>
            <w:div w:id="298531162">
              <w:marLeft w:val="0"/>
              <w:marRight w:val="0"/>
              <w:marTop w:val="0"/>
              <w:marBottom w:val="0"/>
              <w:divBdr>
                <w:top w:val="none" w:sz="0" w:space="0" w:color="auto"/>
                <w:left w:val="none" w:sz="0" w:space="0" w:color="auto"/>
                <w:bottom w:val="none" w:sz="0" w:space="0" w:color="auto"/>
                <w:right w:val="none" w:sz="0" w:space="0" w:color="auto"/>
              </w:divBdr>
            </w:div>
          </w:divsChild>
        </w:div>
        <w:div w:id="1035498301">
          <w:marLeft w:val="0"/>
          <w:marRight w:val="0"/>
          <w:marTop w:val="0"/>
          <w:marBottom w:val="0"/>
          <w:divBdr>
            <w:top w:val="none" w:sz="0" w:space="0" w:color="auto"/>
            <w:left w:val="none" w:sz="0" w:space="0" w:color="auto"/>
            <w:bottom w:val="none" w:sz="0" w:space="0" w:color="auto"/>
            <w:right w:val="none" w:sz="0" w:space="0" w:color="auto"/>
          </w:divBdr>
          <w:divsChild>
            <w:div w:id="2139570266">
              <w:marLeft w:val="0"/>
              <w:marRight w:val="0"/>
              <w:marTop w:val="0"/>
              <w:marBottom w:val="0"/>
              <w:divBdr>
                <w:top w:val="none" w:sz="0" w:space="0" w:color="auto"/>
                <w:left w:val="none" w:sz="0" w:space="0" w:color="auto"/>
                <w:bottom w:val="none" w:sz="0" w:space="0" w:color="auto"/>
                <w:right w:val="none" w:sz="0" w:space="0" w:color="auto"/>
              </w:divBdr>
            </w:div>
          </w:divsChild>
        </w:div>
        <w:div w:id="1156796130">
          <w:marLeft w:val="0"/>
          <w:marRight w:val="0"/>
          <w:marTop w:val="0"/>
          <w:marBottom w:val="0"/>
          <w:divBdr>
            <w:top w:val="none" w:sz="0" w:space="0" w:color="auto"/>
            <w:left w:val="none" w:sz="0" w:space="0" w:color="auto"/>
            <w:bottom w:val="none" w:sz="0" w:space="0" w:color="auto"/>
            <w:right w:val="none" w:sz="0" w:space="0" w:color="auto"/>
          </w:divBdr>
          <w:divsChild>
            <w:div w:id="983580594">
              <w:marLeft w:val="0"/>
              <w:marRight w:val="0"/>
              <w:marTop w:val="0"/>
              <w:marBottom w:val="0"/>
              <w:divBdr>
                <w:top w:val="none" w:sz="0" w:space="0" w:color="auto"/>
                <w:left w:val="none" w:sz="0" w:space="0" w:color="auto"/>
                <w:bottom w:val="none" w:sz="0" w:space="0" w:color="auto"/>
                <w:right w:val="none" w:sz="0" w:space="0" w:color="auto"/>
              </w:divBdr>
            </w:div>
          </w:divsChild>
        </w:div>
        <w:div w:id="1421901528">
          <w:marLeft w:val="0"/>
          <w:marRight w:val="0"/>
          <w:marTop w:val="0"/>
          <w:marBottom w:val="0"/>
          <w:divBdr>
            <w:top w:val="none" w:sz="0" w:space="0" w:color="auto"/>
            <w:left w:val="none" w:sz="0" w:space="0" w:color="auto"/>
            <w:bottom w:val="none" w:sz="0" w:space="0" w:color="auto"/>
            <w:right w:val="none" w:sz="0" w:space="0" w:color="auto"/>
          </w:divBdr>
          <w:divsChild>
            <w:div w:id="511918826">
              <w:marLeft w:val="0"/>
              <w:marRight w:val="0"/>
              <w:marTop w:val="0"/>
              <w:marBottom w:val="0"/>
              <w:divBdr>
                <w:top w:val="none" w:sz="0" w:space="0" w:color="auto"/>
                <w:left w:val="none" w:sz="0" w:space="0" w:color="auto"/>
                <w:bottom w:val="none" w:sz="0" w:space="0" w:color="auto"/>
                <w:right w:val="none" w:sz="0" w:space="0" w:color="auto"/>
              </w:divBdr>
            </w:div>
            <w:div w:id="914586178">
              <w:marLeft w:val="0"/>
              <w:marRight w:val="0"/>
              <w:marTop w:val="0"/>
              <w:marBottom w:val="0"/>
              <w:divBdr>
                <w:top w:val="none" w:sz="0" w:space="0" w:color="auto"/>
                <w:left w:val="none" w:sz="0" w:space="0" w:color="auto"/>
                <w:bottom w:val="none" w:sz="0" w:space="0" w:color="auto"/>
                <w:right w:val="none" w:sz="0" w:space="0" w:color="auto"/>
              </w:divBdr>
            </w:div>
            <w:div w:id="1420906552">
              <w:marLeft w:val="0"/>
              <w:marRight w:val="0"/>
              <w:marTop w:val="0"/>
              <w:marBottom w:val="0"/>
              <w:divBdr>
                <w:top w:val="none" w:sz="0" w:space="0" w:color="auto"/>
                <w:left w:val="none" w:sz="0" w:space="0" w:color="auto"/>
                <w:bottom w:val="none" w:sz="0" w:space="0" w:color="auto"/>
                <w:right w:val="none" w:sz="0" w:space="0" w:color="auto"/>
              </w:divBdr>
            </w:div>
            <w:div w:id="1427537597">
              <w:marLeft w:val="0"/>
              <w:marRight w:val="0"/>
              <w:marTop w:val="0"/>
              <w:marBottom w:val="0"/>
              <w:divBdr>
                <w:top w:val="none" w:sz="0" w:space="0" w:color="auto"/>
                <w:left w:val="none" w:sz="0" w:space="0" w:color="auto"/>
                <w:bottom w:val="none" w:sz="0" w:space="0" w:color="auto"/>
                <w:right w:val="none" w:sz="0" w:space="0" w:color="auto"/>
              </w:divBdr>
            </w:div>
            <w:div w:id="1712072873">
              <w:marLeft w:val="0"/>
              <w:marRight w:val="0"/>
              <w:marTop w:val="0"/>
              <w:marBottom w:val="0"/>
              <w:divBdr>
                <w:top w:val="none" w:sz="0" w:space="0" w:color="auto"/>
                <w:left w:val="none" w:sz="0" w:space="0" w:color="auto"/>
                <w:bottom w:val="none" w:sz="0" w:space="0" w:color="auto"/>
                <w:right w:val="none" w:sz="0" w:space="0" w:color="auto"/>
              </w:divBdr>
            </w:div>
            <w:div w:id="1811170621">
              <w:marLeft w:val="0"/>
              <w:marRight w:val="0"/>
              <w:marTop w:val="0"/>
              <w:marBottom w:val="0"/>
              <w:divBdr>
                <w:top w:val="none" w:sz="0" w:space="0" w:color="auto"/>
                <w:left w:val="none" w:sz="0" w:space="0" w:color="auto"/>
                <w:bottom w:val="none" w:sz="0" w:space="0" w:color="auto"/>
                <w:right w:val="none" w:sz="0" w:space="0" w:color="auto"/>
              </w:divBdr>
            </w:div>
          </w:divsChild>
        </w:div>
        <w:div w:id="1432359360">
          <w:marLeft w:val="0"/>
          <w:marRight w:val="0"/>
          <w:marTop w:val="0"/>
          <w:marBottom w:val="0"/>
          <w:divBdr>
            <w:top w:val="none" w:sz="0" w:space="0" w:color="auto"/>
            <w:left w:val="none" w:sz="0" w:space="0" w:color="auto"/>
            <w:bottom w:val="none" w:sz="0" w:space="0" w:color="auto"/>
            <w:right w:val="none" w:sz="0" w:space="0" w:color="auto"/>
          </w:divBdr>
          <w:divsChild>
            <w:div w:id="153766475">
              <w:marLeft w:val="0"/>
              <w:marRight w:val="0"/>
              <w:marTop w:val="0"/>
              <w:marBottom w:val="0"/>
              <w:divBdr>
                <w:top w:val="none" w:sz="0" w:space="0" w:color="auto"/>
                <w:left w:val="none" w:sz="0" w:space="0" w:color="auto"/>
                <w:bottom w:val="none" w:sz="0" w:space="0" w:color="auto"/>
                <w:right w:val="none" w:sz="0" w:space="0" w:color="auto"/>
              </w:divBdr>
            </w:div>
            <w:div w:id="386800388">
              <w:marLeft w:val="0"/>
              <w:marRight w:val="0"/>
              <w:marTop w:val="0"/>
              <w:marBottom w:val="0"/>
              <w:divBdr>
                <w:top w:val="none" w:sz="0" w:space="0" w:color="auto"/>
                <w:left w:val="none" w:sz="0" w:space="0" w:color="auto"/>
                <w:bottom w:val="none" w:sz="0" w:space="0" w:color="auto"/>
                <w:right w:val="none" w:sz="0" w:space="0" w:color="auto"/>
              </w:divBdr>
            </w:div>
            <w:div w:id="537818454">
              <w:marLeft w:val="0"/>
              <w:marRight w:val="0"/>
              <w:marTop w:val="0"/>
              <w:marBottom w:val="0"/>
              <w:divBdr>
                <w:top w:val="none" w:sz="0" w:space="0" w:color="auto"/>
                <w:left w:val="none" w:sz="0" w:space="0" w:color="auto"/>
                <w:bottom w:val="none" w:sz="0" w:space="0" w:color="auto"/>
                <w:right w:val="none" w:sz="0" w:space="0" w:color="auto"/>
              </w:divBdr>
            </w:div>
            <w:div w:id="1024480698">
              <w:marLeft w:val="0"/>
              <w:marRight w:val="0"/>
              <w:marTop w:val="0"/>
              <w:marBottom w:val="0"/>
              <w:divBdr>
                <w:top w:val="none" w:sz="0" w:space="0" w:color="auto"/>
                <w:left w:val="none" w:sz="0" w:space="0" w:color="auto"/>
                <w:bottom w:val="none" w:sz="0" w:space="0" w:color="auto"/>
                <w:right w:val="none" w:sz="0" w:space="0" w:color="auto"/>
              </w:divBdr>
            </w:div>
            <w:div w:id="1253972949">
              <w:marLeft w:val="0"/>
              <w:marRight w:val="0"/>
              <w:marTop w:val="0"/>
              <w:marBottom w:val="0"/>
              <w:divBdr>
                <w:top w:val="none" w:sz="0" w:space="0" w:color="auto"/>
                <w:left w:val="none" w:sz="0" w:space="0" w:color="auto"/>
                <w:bottom w:val="none" w:sz="0" w:space="0" w:color="auto"/>
                <w:right w:val="none" w:sz="0" w:space="0" w:color="auto"/>
              </w:divBdr>
            </w:div>
            <w:div w:id="1330868161">
              <w:marLeft w:val="0"/>
              <w:marRight w:val="0"/>
              <w:marTop w:val="0"/>
              <w:marBottom w:val="0"/>
              <w:divBdr>
                <w:top w:val="none" w:sz="0" w:space="0" w:color="auto"/>
                <w:left w:val="none" w:sz="0" w:space="0" w:color="auto"/>
                <w:bottom w:val="none" w:sz="0" w:space="0" w:color="auto"/>
                <w:right w:val="none" w:sz="0" w:space="0" w:color="auto"/>
              </w:divBdr>
            </w:div>
            <w:div w:id="1412967436">
              <w:marLeft w:val="0"/>
              <w:marRight w:val="0"/>
              <w:marTop w:val="0"/>
              <w:marBottom w:val="0"/>
              <w:divBdr>
                <w:top w:val="none" w:sz="0" w:space="0" w:color="auto"/>
                <w:left w:val="none" w:sz="0" w:space="0" w:color="auto"/>
                <w:bottom w:val="none" w:sz="0" w:space="0" w:color="auto"/>
                <w:right w:val="none" w:sz="0" w:space="0" w:color="auto"/>
              </w:divBdr>
            </w:div>
            <w:div w:id="1586181084">
              <w:marLeft w:val="0"/>
              <w:marRight w:val="0"/>
              <w:marTop w:val="0"/>
              <w:marBottom w:val="0"/>
              <w:divBdr>
                <w:top w:val="none" w:sz="0" w:space="0" w:color="auto"/>
                <w:left w:val="none" w:sz="0" w:space="0" w:color="auto"/>
                <w:bottom w:val="none" w:sz="0" w:space="0" w:color="auto"/>
                <w:right w:val="none" w:sz="0" w:space="0" w:color="auto"/>
              </w:divBdr>
            </w:div>
            <w:div w:id="1865095792">
              <w:marLeft w:val="0"/>
              <w:marRight w:val="0"/>
              <w:marTop w:val="0"/>
              <w:marBottom w:val="0"/>
              <w:divBdr>
                <w:top w:val="none" w:sz="0" w:space="0" w:color="auto"/>
                <w:left w:val="none" w:sz="0" w:space="0" w:color="auto"/>
                <w:bottom w:val="none" w:sz="0" w:space="0" w:color="auto"/>
                <w:right w:val="none" w:sz="0" w:space="0" w:color="auto"/>
              </w:divBdr>
            </w:div>
            <w:div w:id="1868058281">
              <w:marLeft w:val="0"/>
              <w:marRight w:val="0"/>
              <w:marTop w:val="0"/>
              <w:marBottom w:val="0"/>
              <w:divBdr>
                <w:top w:val="none" w:sz="0" w:space="0" w:color="auto"/>
                <w:left w:val="none" w:sz="0" w:space="0" w:color="auto"/>
                <w:bottom w:val="none" w:sz="0" w:space="0" w:color="auto"/>
                <w:right w:val="none" w:sz="0" w:space="0" w:color="auto"/>
              </w:divBdr>
            </w:div>
          </w:divsChild>
        </w:div>
        <w:div w:id="1540629710">
          <w:marLeft w:val="0"/>
          <w:marRight w:val="0"/>
          <w:marTop w:val="0"/>
          <w:marBottom w:val="0"/>
          <w:divBdr>
            <w:top w:val="none" w:sz="0" w:space="0" w:color="auto"/>
            <w:left w:val="none" w:sz="0" w:space="0" w:color="auto"/>
            <w:bottom w:val="none" w:sz="0" w:space="0" w:color="auto"/>
            <w:right w:val="none" w:sz="0" w:space="0" w:color="auto"/>
          </w:divBdr>
          <w:divsChild>
            <w:div w:id="220143584">
              <w:marLeft w:val="0"/>
              <w:marRight w:val="0"/>
              <w:marTop w:val="0"/>
              <w:marBottom w:val="0"/>
              <w:divBdr>
                <w:top w:val="none" w:sz="0" w:space="0" w:color="auto"/>
                <w:left w:val="none" w:sz="0" w:space="0" w:color="auto"/>
                <w:bottom w:val="none" w:sz="0" w:space="0" w:color="auto"/>
                <w:right w:val="none" w:sz="0" w:space="0" w:color="auto"/>
              </w:divBdr>
            </w:div>
            <w:div w:id="355428159">
              <w:marLeft w:val="0"/>
              <w:marRight w:val="0"/>
              <w:marTop w:val="0"/>
              <w:marBottom w:val="0"/>
              <w:divBdr>
                <w:top w:val="none" w:sz="0" w:space="0" w:color="auto"/>
                <w:left w:val="none" w:sz="0" w:space="0" w:color="auto"/>
                <w:bottom w:val="none" w:sz="0" w:space="0" w:color="auto"/>
                <w:right w:val="none" w:sz="0" w:space="0" w:color="auto"/>
              </w:divBdr>
            </w:div>
            <w:div w:id="453914993">
              <w:marLeft w:val="0"/>
              <w:marRight w:val="0"/>
              <w:marTop w:val="0"/>
              <w:marBottom w:val="0"/>
              <w:divBdr>
                <w:top w:val="none" w:sz="0" w:space="0" w:color="auto"/>
                <w:left w:val="none" w:sz="0" w:space="0" w:color="auto"/>
                <w:bottom w:val="none" w:sz="0" w:space="0" w:color="auto"/>
                <w:right w:val="none" w:sz="0" w:space="0" w:color="auto"/>
              </w:divBdr>
            </w:div>
            <w:div w:id="637690020">
              <w:marLeft w:val="0"/>
              <w:marRight w:val="0"/>
              <w:marTop w:val="0"/>
              <w:marBottom w:val="0"/>
              <w:divBdr>
                <w:top w:val="none" w:sz="0" w:space="0" w:color="auto"/>
                <w:left w:val="none" w:sz="0" w:space="0" w:color="auto"/>
                <w:bottom w:val="none" w:sz="0" w:space="0" w:color="auto"/>
                <w:right w:val="none" w:sz="0" w:space="0" w:color="auto"/>
              </w:divBdr>
            </w:div>
            <w:div w:id="1349140815">
              <w:marLeft w:val="0"/>
              <w:marRight w:val="0"/>
              <w:marTop w:val="0"/>
              <w:marBottom w:val="0"/>
              <w:divBdr>
                <w:top w:val="none" w:sz="0" w:space="0" w:color="auto"/>
                <w:left w:val="none" w:sz="0" w:space="0" w:color="auto"/>
                <w:bottom w:val="none" w:sz="0" w:space="0" w:color="auto"/>
                <w:right w:val="none" w:sz="0" w:space="0" w:color="auto"/>
              </w:divBdr>
            </w:div>
            <w:div w:id="1495299679">
              <w:marLeft w:val="0"/>
              <w:marRight w:val="0"/>
              <w:marTop w:val="0"/>
              <w:marBottom w:val="0"/>
              <w:divBdr>
                <w:top w:val="none" w:sz="0" w:space="0" w:color="auto"/>
                <w:left w:val="none" w:sz="0" w:space="0" w:color="auto"/>
                <w:bottom w:val="none" w:sz="0" w:space="0" w:color="auto"/>
                <w:right w:val="none" w:sz="0" w:space="0" w:color="auto"/>
              </w:divBdr>
            </w:div>
            <w:div w:id="1630821104">
              <w:marLeft w:val="0"/>
              <w:marRight w:val="0"/>
              <w:marTop w:val="0"/>
              <w:marBottom w:val="0"/>
              <w:divBdr>
                <w:top w:val="none" w:sz="0" w:space="0" w:color="auto"/>
                <w:left w:val="none" w:sz="0" w:space="0" w:color="auto"/>
                <w:bottom w:val="none" w:sz="0" w:space="0" w:color="auto"/>
                <w:right w:val="none" w:sz="0" w:space="0" w:color="auto"/>
              </w:divBdr>
            </w:div>
          </w:divsChild>
        </w:div>
        <w:div w:id="1663923027">
          <w:marLeft w:val="0"/>
          <w:marRight w:val="0"/>
          <w:marTop w:val="0"/>
          <w:marBottom w:val="0"/>
          <w:divBdr>
            <w:top w:val="none" w:sz="0" w:space="0" w:color="auto"/>
            <w:left w:val="none" w:sz="0" w:space="0" w:color="auto"/>
            <w:bottom w:val="none" w:sz="0" w:space="0" w:color="auto"/>
            <w:right w:val="none" w:sz="0" w:space="0" w:color="auto"/>
          </w:divBdr>
          <w:divsChild>
            <w:div w:id="1306010307">
              <w:marLeft w:val="0"/>
              <w:marRight w:val="0"/>
              <w:marTop w:val="0"/>
              <w:marBottom w:val="0"/>
              <w:divBdr>
                <w:top w:val="none" w:sz="0" w:space="0" w:color="auto"/>
                <w:left w:val="none" w:sz="0" w:space="0" w:color="auto"/>
                <w:bottom w:val="none" w:sz="0" w:space="0" w:color="auto"/>
                <w:right w:val="none" w:sz="0" w:space="0" w:color="auto"/>
              </w:divBdr>
            </w:div>
          </w:divsChild>
        </w:div>
        <w:div w:id="1669744729">
          <w:marLeft w:val="0"/>
          <w:marRight w:val="0"/>
          <w:marTop w:val="0"/>
          <w:marBottom w:val="0"/>
          <w:divBdr>
            <w:top w:val="none" w:sz="0" w:space="0" w:color="auto"/>
            <w:left w:val="none" w:sz="0" w:space="0" w:color="auto"/>
            <w:bottom w:val="none" w:sz="0" w:space="0" w:color="auto"/>
            <w:right w:val="none" w:sz="0" w:space="0" w:color="auto"/>
          </w:divBdr>
          <w:divsChild>
            <w:div w:id="1546330804">
              <w:marLeft w:val="0"/>
              <w:marRight w:val="0"/>
              <w:marTop w:val="0"/>
              <w:marBottom w:val="0"/>
              <w:divBdr>
                <w:top w:val="none" w:sz="0" w:space="0" w:color="auto"/>
                <w:left w:val="none" w:sz="0" w:space="0" w:color="auto"/>
                <w:bottom w:val="none" w:sz="0" w:space="0" w:color="auto"/>
                <w:right w:val="none" w:sz="0" w:space="0" w:color="auto"/>
              </w:divBdr>
            </w:div>
          </w:divsChild>
        </w:div>
        <w:div w:id="1719276061">
          <w:marLeft w:val="0"/>
          <w:marRight w:val="0"/>
          <w:marTop w:val="0"/>
          <w:marBottom w:val="0"/>
          <w:divBdr>
            <w:top w:val="none" w:sz="0" w:space="0" w:color="auto"/>
            <w:left w:val="none" w:sz="0" w:space="0" w:color="auto"/>
            <w:bottom w:val="none" w:sz="0" w:space="0" w:color="auto"/>
            <w:right w:val="none" w:sz="0" w:space="0" w:color="auto"/>
          </w:divBdr>
          <w:divsChild>
            <w:div w:id="127208891">
              <w:marLeft w:val="0"/>
              <w:marRight w:val="0"/>
              <w:marTop w:val="0"/>
              <w:marBottom w:val="0"/>
              <w:divBdr>
                <w:top w:val="none" w:sz="0" w:space="0" w:color="auto"/>
                <w:left w:val="none" w:sz="0" w:space="0" w:color="auto"/>
                <w:bottom w:val="none" w:sz="0" w:space="0" w:color="auto"/>
                <w:right w:val="none" w:sz="0" w:space="0" w:color="auto"/>
              </w:divBdr>
            </w:div>
            <w:div w:id="280452655">
              <w:marLeft w:val="0"/>
              <w:marRight w:val="0"/>
              <w:marTop w:val="0"/>
              <w:marBottom w:val="0"/>
              <w:divBdr>
                <w:top w:val="none" w:sz="0" w:space="0" w:color="auto"/>
                <w:left w:val="none" w:sz="0" w:space="0" w:color="auto"/>
                <w:bottom w:val="none" w:sz="0" w:space="0" w:color="auto"/>
                <w:right w:val="none" w:sz="0" w:space="0" w:color="auto"/>
              </w:divBdr>
            </w:div>
            <w:div w:id="1296327941">
              <w:marLeft w:val="0"/>
              <w:marRight w:val="0"/>
              <w:marTop w:val="0"/>
              <w:marBottom w:val="0"/>
              <w:divBdr>
                <w:top w:val="none" w:sz="0" w:space="0" w:color="auto"/>
                <w:left w:val="none" w:sz="0" w:space="0" w:color="auto"/>
                <w:bottom w:val="none" w:sz="0" w:space="0" w:color="auto"/>
                <w:right w:val="none" w:sz="0" w:space="0" w:color="auto"/>
              </w:divBdr>
            </w:div>
            <w:div w:id="1541212720">
              <w:marLeft w:val="0"/>
              <w:marRight w:val="0"/>
              <w:marTop w:val="0"/>
              <w:marBottom w:val="0"/>
              <w:divBdr>
                <w:top w:val="none" w:sz="0" w:space="0" w:color="auto"/>
                <w:left w:val="none" w:sz="0" w:space="0" w:color="auto"/>
                <w:bottom w:val="none" w:sz="0" w:space="0" w:color="auto"/>
                <w:right w:val="none" w:sz="0" w:space="0" w:color="auto"/>
              </w:divBdr>
            </w:div>
            <w:div w:id="1584954523">
              <w:marLeft w:val="0"/>
              <w:marRight w:val="0"/>
              <w:marTop w:val="0"/>
              <w:marBottom w:val="0"/>
              <w:divBdr>
                <w:top w:val="none" w:sz="0" w:space="0" w:color="auto"/>
                <w:left w:val="none" w:sz="0" w:space="0" w:color="auto"/>
                <w:bottom w:val="none" w:sz="0" w:space="0" w:color="auto"/>
                <w:right w:val="none" w:sz="0" w:space="0" w:color="auto"/>
              </w:divBdr>
            </w:div>
          </w:divsChild>
        </w:div>
        <w:div w:id="1755007736">
          <w:marLeft w:val="0"/>
          <w:marRight w:val="0"/>
          <w:marTop w:val="0"/>
          <w:marBottom w:val="0"/>
          <w:divBdr>
            <w:top w:val="none" w:sz="0" w:space="0" w:color="auto"/>
            <w:left w:val="none" w:sz="0" w:space="0" w:color="auto"/>
            <w:bottom w:val="none" w:sz="0" w:space="0" w:color="auto"/>
            <w:right w:val="none" w:sz="0" w:space="0" w:color="auto"/>
          </w:divBdr>
          <w:divsChild>
            <w:div w:id="335693582">
              <w:marLeft w:val="0"/>
              <w:marRight w:val="0"/>
              <w:marTop w:val="0"/>
              <w:marBottom w:val="0"/>
              <w:divBdr>
                <w:top w:val="none" w:sz="0" w:space="0" w:color="auto"/>
                <w:left w:val="none" w:sz="0" w:space="0" w:color="auto"/>
                <w:bottom w:val="none" w:sz="0" w:space="0" w:color="auto"/>
                <w:right w:val="none" w:sz="0" w:space="0" w:color="auto"/>
              </w:divBdr>
            </w:div>
            <w:div w:id="1919173133">
              <w:marLeft w:val="0"/>
              <w:marRight w:val="0"/>
              <w:marTop w:val="0"/>
              <w:marBottom w:val="0"/>
              <w:divBdr>
                <w:top w:val="none" w:sz="0" w:space="0" w:color="auto"/>
                <w:left w:val="none" w:sz="0" w:space="0" w:color="auto"/>
                <w:bottom w:val="none" w:sz="0" w:space="0" w:color="auto"/>
                <w:right w:val="none" w:sz="0" w:space="0" w:color="auto"/>
              </w:divBdr>
            </w:div>
          </w:divsChild>
        </w:div>
        <w:div w:id="2059088155">
          <w:marLeft w:val="0"/>
          <w:marRight w:val="0"/>
          <w:marTop w:val="0"/>
          <w:marBottom w:val="0"/>
          <w:divBdr>
            <w:top w:val="none" w:sz="0" w:space="0" w:color="auto"/>
            <w:left w:val="none" w:sz="0" w:space="0" w:color="auto"/>
            <w:bottom w:val="none" w:sz="0" w:space="0" w:color="auto"/>
            <w:right w:val="none" w:sz="0" w:space="0" w:color="auto"/>
          </w:divBdr>
          <w:divsChild>
            <w:div w:id="43918026">
              <w:marLeft w:val="0"/>
              <w:marRight w:val="0"/>
              <w:marTop w:val="0"/>
              <w:marBottom w:val="0"/>
              <w:divBdr>
                <w:top w:val="none" w:sz="0" w:space="0" w:color="auto"/>
                <w:left w:val="none" w:sz="0" w:space="0" w:color="auto"/>
                <w:bottom w:val="none" w:sz="0" w:space="0" w:color="auto"/>
                <w:right w:val="none" w:sz="0" w:space="0" w:color="auto"/>
              </w:divBdr>
            </w:div>
            <w:div w:id="152261965">
              <w:marLeft w:val="0"/>
              <w:marRight w:val="0"/>
              <w:marTop w:val="0"/>
              <w:marBottom w:val="0"/>
              <w:divBdr>
                <w:top w:val="none" w:sz="0" w:space="0" w:color="auto"/>
                <w:left w:val="none" w:sz="0" w:space="0" w:color="auto"/>
                <w:bottom w:val="none" w:sz="0" w:space="0" w:color="auto"/>
                <w:right w:val="none" w:sz="0" w:space="0" w:color="auto"/>
              </w:divBdr>
            </w:div>
            <w:div w:id="421342802">
              <w:marLeft w:val="0"/>
              <w:marRight w:val="0"/>
              <w:marTop w:val="0"/>
              <w:marBottom w:val="0"/>
              <w:divBdr>
                <w:top w:val="none" w:sz="0" w:space="0" w:color="auto"/>
                <w:left w:val="none" w:sz="0" w:space="0" w:color="auto"/>
                <w:bottom w:val="none" w:sz="0" w:space="0" w:color="auto"/>
                <w:right w:val="none" w:sz="0" w:space="0" w:color="auto"/>
              </w:divBdr>
            </w:div>
            <w:div w:id="497040092">
              <w:marLeft w:val="0"/>
              <w:marRight w:val="0"/>
              <w:marTop w:val="0"/>
              <w:marBottom w:val="0"/>
              <w:divBdr>
                <w:top w:val="none" w:sz="0" w:space="0" w:color="auto"/>
                <w:left w:val="none" w:sz="0" w:space="0" w:color="auto"/>
                <w:bottom w:val="none" w:sz="0" w:space="0" w:color="auto"/>
                <w:right w:val="none" w:sz="0" w:space="0" w:color="auto"/>
              </w:divBdr>
            </w:div>
            <w:div w:id="674577946">
              <w:marLeft w:val="0"/>
              <w:marRight w:val="0"/>
              <w:marTop w:val="0"/>
              <w:marBottom w:val="0"/>
              <w:divBdr>
                <w:top w:val="none" w:sz="0" w:space="0" w:color="auto"/>
                <w:left w:val="none" w:sz="0" w:space="0" w:color="auto"/>
                <w:bottom w:val="none" w:sz="0" w:space="0" w:color="auto"/>
                <w:right w:val="none" w:sz="0" w:space="0" w:color="auto"/>
              </w:divBdr>
            </w:div>
            <w:div w:id="741097355">
              <w:marLeft w:val="0"/>
              <w:marRight w:val="0"/>
              <w:marTop w:val="0"/>
              <w:marBottom w:val="0"/>
              <w:divBdr>
                <w:top w:val="none" w:sz="0" w:space="0" w:color="auto"/>
                <w:left w:val="none" w:sz="0" w:space="0" w:color="auto"/>
                <w:bottom w:val="none" w:sz="0" w:space="0" w:color="auto"/>
                <w:right w:val="none" w:sz="0" w:space="0" w:color="auto"/>
              </w:divBdr>
            </w:div>
            <w:div w:id="964769958">
              <w:marLeft w:val="0"/>
              <w:marRight w:val="0"/>
              <w:marTop w:val="0"/>
              <w:marBottom w:val="0"/>
              <w:divBdr>
                <w:top w:val="none" w:sz="0" w:space="0" w:color="auto"/>
                <w:left w:val="none" w:sz="0" w:space="0" w:color="auto"/>
                <w:bottom w:val="none" w:sz="0" w:space="0" w:color="auto"/>
                <w:right w:val="none" w:sz="0" w:space="0" w:color="auto"/>
              </w:divBdr>
            </w:div>
            <w:div w:id="1463888802">
              <w:marLeft w:val="0"/>
              <w:marRight w:val="0"/>
              <w:marTop w:val="0"/>
              <w:marBottom w:val="0"/>
              <w:divBdr>
                <w:top w:val="none" w:sz="0" w:space="0" w:color="auto"/>
                <w:left w:val="none" w:sz="0" w:space="0" w:color="auto"/>
                <w:bottom w:val="none" w:sz="0" w:space="0" w:color="auto"/>
                <w:right w:val="none" w:sz="0" w:space="0" w:color="auto"/>
              </w:divBdr>
            </w:div>
            <w:div w:id="2046904605">
              <w:marLeft w:val="0"/>
              <w:marRight w:val="0"/>
              <w:marTop w:val="0"/>
              <w:marBottom w:val="0"/>
              <w:divBdr>
                <w:top w:val="none" w:sz="0" w:space="0" w:color="auto"/>
                <w:left w:val="none" w:sz="0" w:space="0" w:color="auto"/>
                <w:bottom w:val="none" w:sz="0" w:space="0" w:color="auto"/>
                <w:right w:val="none" w:sz="0" w:space="0" w:color="auto"/>
              </w:divBdr>
            </w:div>
            <w:div w:id="2115243403">
              <w:marLeft w:val="0"/>
              <w:marRight w:val="0"/>
              <w:marTop w:val="0"/>
              <w:marBottom w:val="0"/>
              <w:divBdr>
                <w:top w:val="none" w:sz="0" w:space="0" w:color="auto"/>
                <w:left w:val="none" w:sz="0" w:space="0" w:color="auto"/>
                <w:bottom w:val="none" w:sz="0" w:space="0" w:color="auto"/>
                <w:right w:val="none" w:sz="0" w:space="0" w:color="auto"/>
              </w:divBdr>
            </w:div>
          </w:divsChild>
        </w:div>
        <w:div w:id="2066097471">
          <w:marLeft w:val="0"/>
          <w:marRight w:val="0"/>
          <w:marTop w:val="0"/>
          <w:marBottom w:val="0"/>
          <w:divBdr>
            <w:top w:val="none" w:sz="0" w:space="0" w:color="auto"/>
            <w:left w:val="none" w:sz="0" w:space="0" w:color="auto"/>
            <w:bottom w:val="none" w:sz="0" w:space="0" w:color="auto"/>
            <w:right w:val="none" w:sz="0" w:space="0" w:color="auto"/>
          </w:divBdr>
          <w:divsChild>
            <w:div w:id="1251350348">
              <w:marLeft w:val="0"/>
              <w:marRight w:val="0"/>
              <w:marTop w:val="0"/>
              <w:marBottom w:val="0"/>
              <w:divBdr>
                <w:top w:val="none" w:sz="0" w:space="0" w:color="auto"/>
                <w:left w:val="none" w:sz="0" w:space="0" w:color="auto"/>
                <w:bottom w:val="none" w:sz="0" w:space="0" w:color="auto"/>
                <w:right w:val="none" w:sz="0" w:space="0" w:color="auto"/>
              </w:divBdr>
            </w:div>
            <w:div w:id="130989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365514">
      <w:bodyDiv w:val="1"/>
      <w:marLeft w:val="0"/>
      <w:marRight w:val="0"/>
      <w:marTop w:val="0"/>
      <w:marBottom w:val="0"/>
      <w:divBdr>
        <w:top w:val="none" w:sz="0" w:space="0" w:color="auto"/>
        <w:left w:val="none" w:sz="0" w:space="0" w:color="auto"/>
        <w:bottom w:val="none" w:sz="0" w:space="0" w:color="auto"/>
        <w:right w:val="none" w:sz="0" w:space="0" w:color="auto"/>
      </w:divBdr>
    </w:div>
    <w:div w:id="817190080">
      <w:bodyDiv w:val="1"/>
      <w:marLeft w:val="0"/>
      <w:marRight w:val="0"/>
      <w:marTop w:val="0"/>
      <w:marBottom w:val="0"/>
      <w:divBdr>
        <w:top w:val="none" w:sz="0" w:space="0" w:color="auto"/>
        <w:left w:val="none" w:sz="0" w:space="0" w:color="auto"/>
        <w:bottom w:val="none" w:sz="0" w:space="0" w:color="auto"/>
        <w:right w:val="none" w:sz="0" w:space="0" w:color="auto"/>
      </w:divBdr>
      <w:divsChild>
        <w:div w:id="131215952">
          <w:marLeft w:val="0"/>
          <w:marRight w:val="0"/>
          <w:marTop w:val="0"/>
          <w:marBottom w:val="0"/>
          <w:divBdr>
            <w:top w:val="none" w:sz="0" w:space="0" w:color="auto"/>
            <w:left w:val="none" w:sz="0" w:space="0" w:color="auto"/>
            <w:bottom w:val="none" w:sz="0" w:space="0" w:color="auto"/>
            <w:right w:val="none" w:sz="0" w:space="0" w:color="auto"/>
          </w:divBdr>
        </w:div>
        <w:div w:id="912467297">
          <w:marLeft w:val="0"/>
          <w:marRight w:val="0"/>
          <w:marTop w:val="0"/>
          <w:marBottom w:val="0"/>
          <w:divBdr>
            <w:top w:val="none" w:sz="0" w:space="0" w:color="auto"/>
            <w:left w:val="none" w:sz="0" w:space="0" w:color="auto"/>
            <w:bottom w:val="none" w:sz="0" w:space="0" w:color="auto"/>
            <w:right w:val="none" w:sz="0" w:space="0" w:color="auto"/>
          </w:divBdr>
        </w:div>
        <w:div w:id="913659050">
          <w:marLeft w:val="0"/>
          <w:marRight w:val="0"/>
          <w:marTop w:val="0"/>
          <w:marBottom w:val="0"/>
          <w:divBdr>
            <w:top w:val="none" w:sz="0" w:space="0" w:color="auto"/>
            <w:left w:val="none" w:sz="0" w:space="0" w:color="auto"/>
            <w:bottom w:val="none" w:sz="0" w:space="0" w:color="auto"/>
            <w:right w:val="none" w:sz="0" w:space="0" w:color="auto"/>
          </w:divBdr>
        </w:div>
        <w:div w:id="1555848365">
          <w:marLeft w:val="0"/>
          <w:marRight w:val="0"/>
          <w:marTop w:val="0"/>
          <w:marBottom w:val="0"/>
          <w:divBdr>
            <w:top w:val="none" w:sz="0" w:space="0" w:color="auto"/>
            <w:left w:val="none" w:sz="0" w:space="0" w:color="auto"/>
            <w:bottom w:val="none" w:sz="0" w:space="0" w:color="auto"/>
            <w:right w:val="none" w:sz="0" w:space="0" w:color="auto"/>
          </w:divBdr>
        </w:div>
        <w:div w:id="1826050877">
          <w:marLeft w:val="0"/>
          <w:marRight w:val="0"/>
          <w:marTop w:val="0"/>
          <w:marBottom w:val="0"/>
          <w:divBdr>
            <w:top w:val="none" w:sz="0" w:space="0" w:color="auto"/>
            <w:left w:val="none" w:sz="0" w:space="0" w:color="auto"/>
            <w:bottom w:val="none" w:sz="0" w:space="0" w:color="auto"/>
            <w:right w:val="none" w:sz="0" w:space="0" w:color="auto"/>
          </w:divBdr>
        </w:div>
        <w:div w:id="1987197447">
          <w:marLeft w:val="0"/>
          <w:marRight w:val="0"/>
          <w:marTop w:val="0"/>
          <w:marBottom w:val="0"/>
          <w:divBdr>
            <w:top w:val="none" w:sz="0" w:space="0" w:color="auto"/>
            <w:left w:val="none" w:sz="0" w:space="0" w:color="auto"/>
            <w:bottom w:val="none" w:sz="0" w:space="0" w:color="auto"/>
            <w:right w:val="none" w:sz="0" w:space="0" w:color="auto"/>
          </w:divBdr>
        </w:div>
      </w:divsChild>
    </w:div>
    <w:div w:id="856579772">
      <w:bodyDiv w:val="1"/>
      <w:marLeft w:val="0"/>
      <w:marRight w:val="0"/>
      <w:marTop w:val="0"/>
      <w:marBottom w:val="0"/>
      <w:divBdr>
        <w:top w:val="none" w:sz="0" w:space="0" w:color="auto"/>
        <w:left w:val="none" w:sz="0" w:space="0" w:color="auto"/>
        <w:bottom w:val="none" w:sz="0" w:space="0" w:color="auto"/>
        <w:right w:val="none" w:sz="0" w:space="0" w:color="auto"/>
      </w:divBdr>
    </w:div>
    <w:div w:id="886722685">
      <w:bodyDiv w:val="1"/>
      <w:marLeft w:val="0"/>
      <w:marRight w:val="0"/>
      <w:marTop w:val="0"/>
      <w:marBottom w:val="0"/>
      <w:divBdr>
        <w:top w:val="none" w:sz="0" w:space="0" w:color="auto"/>
        <w:left w:val="none" w:sz="0" w:space="0" w:color="auto"/>
        <w:bottom w:val="none" w:sz="0" w:space="0" w:color="auto"/>
        <w:right w:val="none" w:sz="0" w:space="0" w:color="auto"/>
      </w:divBdr>
    </w:div>
    <w:div w:id="913314857">
      <w:bodyDiv w:val="1"/>
      <w:marLeft w:val="0"/>
      <w:marRight w:val="0"/>
      <w:marTop w:val="0"/>
      <w:marBottom w:val="0"/>
      <w:divBdr>
        <w:top w:val="none" w:sz="0" w:space="0" w:color="auto"/>
        <w:left w:val="none" w:sz="0" w:space="0" w:color="auto"/>
        <w:bottom w:val="none" w:sz="0" w:space="0" w:color="auto"/>
        <w:right w:val="none" w:sz="0" w:space="0" w:color="auto"/>
      </w:divBdr>
    </w:div>
    <w:div w:id="924192901">
      <w:bodyDiv w:val="1"/>
      <w:marLeft w:val="0"/>
      <w:marRight w:val="0"/>
      <w:marTop w:val="0"/>
      <w:marBottom w:val="0"/>
      <w:divBdr>
        <w:top w:val="none" w:sz="0" w:space="0" w:color="auto"/>
        <w:left w:val="none" w:sz="0" w:space="0" w:color="auto"/>
        <w:bottom w:val="none" w:sz="0" w:space="0" w:color="auto"/>
        <w:right w:val="none" w:sz="0" w:space="0" w:color="auto"/>
      </w:divBdr>
    </w:div>
    <w:div w:id="956445792">
      <w:bodyDiv w:val="1"/>
      <w:marLeft w:val="0"/>
      <w:marRight w:val="0"/>
      <w:marTop w:val="0"/>
      <w:marBottom w:val="0"/>
      <w:divBdr>
        <w:top w:val="none" w:sz="0" w:space="0" w:color="auto"/>
        <w:left w:val="none" w:sz="0" w:space="0" w:color="auto"/>
        <w:bottom w:val="none" w:sz="0" w:space="0" w:color="auto"/>
        <w:right w:val="none" w:sz="0" w:space="0" w:color="auto"/>
      </w:divBdr>
    </w:div>
    <w:div w:id="1055666939">
      <w:bodyDiv w:val="1"/>
      <w:marLeft w:val="0"/>
      <w:marRight w:val="0"/>
      <w:marTop w:val="0"/>
      <w:marBottom w:val="0"/>
      <w:divBdr>
        <w:top w:val="none" w:sz="0" w:space="0" w:color="auto"/>
        <w:left w:val="none" w:sz="0" w:space="0" w:color="auto"/>
        <w:bottom w:val="none" w:sz="0" w:space="0" w:color="auto"/>
        <w:right w:val="none" w:sz="0" w:space="0" w:color="auto"/>
      </w:divBdr>
    </w:div>
    <w:div w:id="1084304413">
      <w:bodyDiv w:val="1"/>
      <w:marLeft w:val="0"/>
      <w:marRight w:val="0"/>
      <w:marTop w:val="0"/>
      <w:marBottom w:val="0"/>
      <w:divBdr>
        <w:top w:val="none" w:sz="0" w:space="0" w:color="auto"/>
        <w:left w:val="none" w:sz="0" w:space="0" w:color="auto"/>
        <w:bottom w:val="none" w:sz="0" w:space="0" w:color="auto"/>
        <w:right w:val="none" w:sz="0" w:space="0" w:color="auto"/>
      </w:divBdr>
      <w:divsChild>
        <w:div w:id="264966665">
          <w:marLeft w:val="0"/>
          <w:marRight w:val="0"/>
          <w:marTop w:val="0"/>
          <w:marBottom w:val="0"/>
          <w:divBdr>
            <w:top w:val="none" w:sz="0" w:space="0" w:color="auto"/>
            <w:left w:val="none" w:sz="0" w:space="0" w:color="auto"/>
            <w:bottom w:val="none" w:sz="0" w:space="0" w:color="auto"/>
            <w:right w:val="none" w:sz="0" w:space="0" w:color="auto"/>
          </w:divBdr>
        </w:div>
        <w:div w:id="604534574">
          <w:marLeft w:val="0"/>
          <w:marRight w:val="0"/>
          <w:marTop w:val="0"/>
          <w:marBottom w:val="0"/>
          <w:divBdr>
            <w:top w:val="none" w:sz="0" w:space="0" w:color="auto"/>
            <w:left w:val="none" w:sz="0" w:space="0" w:color="auto"/>
            <w:bottom w:val="none" w:sz="0" w:space="0" w:color="auto"/>
            <w:right w:val="none" w:sz="0" w:space="0" w:color="auto"/>
          </w:divBdr>
        </w:div>
        <w:div w:id="1052998345">
          <w:marLeft w:val="0"/>
          <w:marRight w:val="0"/>
          <w:marTop w:val="0"/>
          <w:marBottom w:val="0"/>
          <w:divBdr>
            <w:top w:val="none" w:sz="0" w:space="0" w:color="auto"/>
            <w:left w:val="none" w:sz="0" w:space="0" w:color="auto"/>
            <w:bottom w:val="none" w:sz="0" w:space="0" w:color="auto"/>
            <w:right w:val="none" w:sz="0" w:space="0" w:color="auto"/>
          </w:divBdr>
        </w:div>
        <w:div w:id="1792554008">
          <w:marLeft w:val="0"/>
          <w:marRight w:val="0"/>
          <w:marTop w:val="0"/>
          <w:marBottom w:val="0"/>
          <w:divBdr>
            <w:top w:val="none" w:sz="0" w:space="0" w:color="auto"/>
            <w:left w:val="none" w:sz="0" w:space="0" w:color="auto"/>
            <w:bottom w:val="none" w:sz="0" w:space="0" w:color="auto"/>
            <w:right w:val="none" w:sz="0" w:space="0" w:color="auto"/>
          </w:divBdr>
        </w:div>
        <w:div w:id="1961453430">
          <w:marLeft w:val="0"/>
          <w:marRight w:val="0"/>
          <w:marTop w:val="0"/>
          <w:marBottom w:val="0"/>
          <w:divBdr>
            <w:top w:val="none" w:sz="0" w:space="0" w:color="auto"/>
            <w:left w:val="none" w:sz="0" w:space="0" w:color="auto"/>
            <w:bottom w:val="none" w:sz="0" w:space="0" w:color="auto"/>
            <w:right w:val="none" w:sz="0" w:space="0" w:color="auto"/>
          </w:divBdr>
        </w:div>
      </w:divsChild>
    </w:div>
    <w:div w:id="1100298334">
      <w:bodyDiv w:val="1"/>
      <w:marLeft w:val="0"/>
      <w:marRight w:val="0"/>
      <w:marTop w:val="0"/>
      <w:marBottom w:val="0"/>
      <w:divBdr>
        <w:top w:val="none" w:sz="0" w:space="0" w:color="auto"/>
        <w:left w:val="none" w:sz="0" w:space="0" w:color="auto"/>
        <w:bottom w:val="none" w:sz="0" w:space="0" w:color="auto"/>
        <w:right w:val="none" w:sz="0" w:space="0" w:color="auto"/>
      </w:divBdr>
    </w:div>
    <w:div w:id="1112944504">
      <w:bodyDiv w:val="1"/>
      <w:marLeft w:val="0"/>
      <w:marRight w:val="0"/>
      <w:marTop w:val="0"/>
      <w:marBottom w:val="0"/>
      <w:divBdr>
        <w:top w:val="none" w:sz="0" w:space="0" w:color="auto"/>
        <w:left w:val="none" w:sz="0" w:space="0" w:color="auto"/>
        <w:bottom w:val="none" w:sz="0" w:space="0" w:color="auto"/>
        <w:right w:val="none" w:sz="0" w:space="0" w:color="auto"/>
      </w:divBdr>
    </w:div>
    <w:div w:id="1141459751">
      <w:bodyDiv w:val="1"/>
      <w:marLeft w:val="0"/>
      <w:marRight w:val="0"/>
      <w:marTop w:val="0"/>
      <w:marBottom w:val="0"/>
      <w:divBdr>
        <w:top w:val="none" w:sz="0" w:space="0" w:color="auto"/>
        <w:left w:val="none" w:sz="0" w:space="0" w:color="auto"/>
        <w:bottom w:val="none" w:sz="0" w:space="0" w:color="auto"/>
        <w:right w:val="none" w:sz="0" w:space="0" w:color="auto"/>
      </w:divBdr>
    </w:div>
    <w:div w:id="1178613664">
      <w:bodyDiv w:val="1"/>
      <w:marLeft w:val="0"/>
      <w:marRight w:val="0"/>
      <w:marTop w:val="0"/>
      <w:marBottom w:val="0"/>
      <w:divBdr>
        <w:top w:val="none" w:sz="0" w:space="0" w:color="auto"/>
        <w:left w:val="none" w:sz="0" w:space="0" w:color="auto"/>
        <w:bottom w:val="none" w:sz="0" w:space="0" w:color="auto"/>
        <w:right w:val="none" w:sz="0" w:space="0" w:color="auto"/>
      </w:divBdr>
    </w:div>
    <w:div w:id="1203863070">
      <w:bodyDiv w:val="1"/>
      <w:marLeft w:val="0"/>
      <w:marRight w:val="0"/>
      <w:marTop w:val="0"/>
      <w:marBottom w:val="0"/>
      <w:divBdr>
        <w:top w:val="none" w:sz="0" w:space="0" w:color="auto"/>
        <w:left w:val="none" w:sz="0" w:space="0" w:color="auto"/>
        <w:bottom w:val="none" w:sz="0" w:space="0" w:color="auto"/>
        <w:right w:val="none" w:sz="0" w:space="0" w:color="auto"/>
      </w:divBdr>
    </w:div>
    <w:div w:id="1280141445">
      <w:bodyDiv w:val="1"/>
      <w:marLeft w:val="0"/>
      <w:marRight w:val="0"/>
      <w:marTop w:val="0"/>
      <w:marBottom w:val="0"/>
      <w:divBdr>
        <w:top w:val="none" w:sz="0" w:space="0" w:color="auto"/>
        <w:left w:val="none" w:sz="0" w:space="0" w:color="auto"/>
        <w:bottom w:val="none" w:sz="0" w:space="0" w:color="auto"/>
        <w:right w:val="none" w:sz="0" w:space="0" w:color="auto"/>
      </w:divBdr>
    </w:div>
    <w:div w:id="1293173247">
      <w:bodyDiv w:val="1"/>
      <w:marLeft w:val="0"/>
      <w:marRight w:val="0"/>
      <w:marTop w:val="0"/>
      <w:marBottom w:val="0"/>
      <w:divBdr>
        <w:top w:val="none" w:sz="0" w:space="0" w:color="auto"/>
        <w:left w:val="none" w:sz="0" w:space="0" w:color="auto"/>
        <w:bottom w:val="none" w:sz="0" w:space="0" w:color="auto"/>
        <w:right w:val="none" w:sz="0" w:space="0" w:color="auto"/>
      </w:divBdr>
    </w:div>
    <w:div w:id="1293945438">
      <w:bodyDiv w:val="1"/>
      <w:marLeft w:val="0"/>
      <w:marRight w:val="0"/>
      <w:marTop w:val="0"/>
      <w:marBottom w:val="0"/>
      <w:divBdr>
        <w:top w:val="none" w:sz="0" w:space="0" w:color="auto"/>
        <w:left w:val="none" w:sz="0" w:space="0" w:color="auto"/>
        <w:bottom w:val="none" w:sz="0" w:space="0" w:color="auto"/>
        <w:right w:val="none" w:sz="0" w:space="0" w:color="auto"/>
      </w:divBdr>
      <w:divsChild>
        <w:div w:id="601373635">
          <w:marLeft w:val="0"/>
          <w:marRight w:val="0"/>
          <w:marTop w:val="0"/>
          <w:marBottom w:val="0"/>
          <w:divBdr>
            <w:top w:val="none" w:sz="0" w:space="0" w:color="auto"/>
            <w:left w:val="none" w:sz="0" w:space="0" w:color="auto"/>
            <w:bottom w:val="none" w:sz="0" w:space="0" w:color="auto"/>
            <w:right w:val="none" w:sz="0" w:space="0" w:color="auto"/>
          </w:divBdr>
        </w:div>
        <w:div w:id="2009287199">
          <w:marLeft w:val="0"/>
          <w:marRight w:val="0"/>
          <w:marTop w:val="0"/>
          <w:marBottom w:val="0"/>
          <w:divBdr>
            <w:top w:val="none" w:sz="0" w:space="0" w:color="auto"/>
            <w:left w:val="none" w:sz="0" w:space="0" w:color="auto"/>
            <w:bottom w:val="none" w:sz="0" w:space="0" w:color="auto"/>
            <w:right w:val="none" w:sz="0" w:space="0" w:color="auto"/>
          </w:divBdr>
        </w:div>
      </w:divsChild>
    </w:div>
    <w:div w:id="1332683991">
      <w:bodyDiv w:val="1"/>
      <w:marLeft w:val="0"/>
      <w:marRight w:val="0"/>
      <w:marTop w:val="0"/>
      <w:marBottom w:val="0"/>
      <w:divBdr>
        <w:top w:val="none" w:sz="0" w:space="0" w:color="auto"/>
        <w:left w:val="none" w:sz="0" w:space="0" w:color="auto"/>
        <w:bottom w:val="none" w:sz="0" w:space="0" w:color="auto"/>
        <w:right w:val="none" w:sz="0" w:space="0" w:color="auto"/>
      </w:divBdr>
    </w:div>
    <w:div w:id="1345860988">
      <w:bodyDiv w:val="1"/>
      <w:marLeft w:val="0"/>
      <w:marRight w:val="0"/>
      <w:marTop w:val="0"/>
      <w:marBottom w:val="0"/>
      <w:divBdr>
        <w:top w:val="none" w:sz="0" w:space="0" w:color="auto"/>
        <w:left w:val="none" w:sz="0" w:space="0" w:color="auto"/>
        <w:bottom w:val="none" w:sz="0" w:space="0" w:color="auto"/>
        <w:right w:val="none" w:sz="0" w:space="0" w:color="auto"/>
      </w:divBdr>
    </w:div>
    <w:div w:id="1383405502">
      <w:bodyDiv w:val="1"/>
      <w:marLeft w:val="0"/>
      <w:marRight w:val="0"/>
      <w:marTop w:val="0"/>
      <w:marBottom w:val="0"/>
      <w:divBdr>
        <w:top w:val="none" w:sz="0" w:space="0" w:color="auto"/>
        <w:left w:val="none" w:sz="0" w:space="0" w:color="auto"/>
        <w:bottom w:val="none" w:sz="0" w:space="0" w:color="auto"/>
        <w:right w:val="none" w:sz="0" w:space="0" w:color="auto"/>
      </w:divBdr>
    </w:div>
    <w:div w:id="1441339122">
      <w:bodyDiv w:val="1"/>
      <w:marLeft w:val="0"/>
      <w:marRight w:val="0"/>
      <w:marTop w:val="0"/>
      <w:marBottom w:val="0"/>
      <w:divBdr>
        <w:top w:val="none" w:sz="0" w:space="0" w:color="auto"/>
        <w:left w:val="none" w:sz="0" w:space="0" w:color="auto"/>
        <w:bottom w:val="none" w:sz="0" w:space="0" w:color="auto"/>
        <w:right w:val="none" w:sz="0" w:space="0" w:color="auto"/>
      </w:divBdr>
    </w:div>
    <w:div w:id="1479228529">
      <w:bodyDiv w:val="1"/>
      <w:marLeft w:val="0"/>
      <w:marRight w:val="0"/>
      <w:marTop w:val="0"/>
      <w:marBottom w:val="0"/>
      <w:divBdr>
        <w:top w:val="none" w:sz="0" w:space="0" w:color="auto"/>
        <w:left w:val="none" w:sz="0" w:space="0" w:color="auto"/>
        <w:bottom w:val="none" w:sz="0" w:space="0" w:color="auto"/>
        <w:right w:val="none" w:sz="0" w:space="0" w:color="auto"/>
      </w:divBdr>
    </w:div>
    <w:div w:id="1502888900">
      <w:bodyDiv w:val="1"/>
      <w:marLeft w:val="0"/>
      <w:marRight w:val="0"/>
      <w:marTop w:val="0"/>
      <w:marBottom w:val="0"/>
      <w:divBdr>
        <w:top w:val="none" w:sz="0" w:space="0" w:color="auto"/>
        <w:left w:val="none" w:sz="0" w:space="0" w:color="auto"/>
        <w:bottom w:val="none" w:sz="0" w:space="0" w:color="auto"/>
        <w:right w:val="none" w:sz="0" w:space="0" w:color="auto"/>
      </w:divBdr>
    </w:div>
    <w:div w:id="1531913200">
      <w:bodyDiv w:val="1"/>
      <w:marLeft w:val="0"/>
      <w:marRight w:val="0"/>
      <w:marTop w:val="0"/>
      <w:marBottom w:val="0"/>
      <w:divBdr>
        <w:top w:val="none" w:sz="0" w:space="0" w:color="auto"/>
        <w:left w:val="none" w:sz="0" w:space="0" w:color="auto"/>
        <w:bottom w:val="none" w:sz="0" w:space="0" w:color="auto"/>
        <w:right w:val="none" w:sz="0" w:space="0" w:color="auto"/>
      </w:divBdr>
    </w:div>
    <w:div w:id="1554390865">
      <w:bodyDiv w:val="1"/>
      <w:marLeft w:val="0"/>
      <w:marRight w:val="0"/>
      <w:marTop w:val="0"/>
      <w:marBottom w:val="0"/>
      <w:divBdr>
        <w:top w:val="none" w:sz="0" w:space="0" w:color="auto"/>
        <w:left w:val="none" w:sz="0" w:space="0" w:color="auto"/>
        <w:bottom w:val="none" w:sz="0" w:space="0" w:color="auto"/>
        <w:right w:val="none" w:sz="0" w:space="0" w:color="auto"/>
      </w:divBdr>
    </w:div>
    <w:div w:id="1586527166">
      <w:bodyDiv w:val="1"/>
      <w:marLeft w:val="0"/>
      <w:marRight w:val="0"/>
      <w:marTop w:val="0"/>
      <w:marBottom w:val="0"/>
      <w:divBdr>
        <w:top w:val="none" w:sz="0" w:space="0" w:color="auto"/>
        <w:left w:val="none" w:sz="0" w:space="0" w:color="auto"/>
        <w:bottom w:val="none" w:sz="0" w:space="0" w:color="auto"/>
        <w:right w:val="none" w:sz="0" w:space="0" w:color="auto"/>
      </w:divBdr>
    </w:div>
    <w:div w:id="1588537366">
      <w:bodyDiv w:val="1"/>
      <w:marLeft w:val="0"/>
      <w:marRight w:val="0"/>
      <w:marTop w:val="0"/>
      <w:marBottom w:val="0"/>
      <w:divBdr>
        <w:top w:val="none" w:sz="0" w:space="0" w:color="auto"/>
        <w:left w:val="none" w:sz="0" w:space="0" w:color="auto"/>
        <w:bottom w:val="none" w:sz="0" w:space="0" w:color="auto"/>
        <w:right w:val="none" w:sz="0" w:space="0" w:color="auto"/>
      </w:divBdr>
    </w:div>
    <w:div w:id="1590114074">
      <w:bodyDiv w:val="1"/>
      <w:marLeft w:val="0"/>
      <w:marRight w:val="0"/>
      <w:marTop w:val="0"/>
      <w:marBottom w:val="0"/>
      <w:divBdr>
        <w:top w:val="none" w:sz="0" w:space="0" w:color="auto"/>
        <w:left w:val="none" w:sz="0" w:space="0" w:color="auto"/>
        <w:bottom w:val="none" w:sz="0" w:space="0" w:color="auto"/>
        <w:right w:val="none" w:sz="0" w:space="0" w:color="auto"/>
      </w:divBdr>
      <w:divsChild>
        <w:div w:id="1533107066">
          <w:marLeft w:val="0"/>
          <w:marRight w:val="0"/>
          <w:marTop w:val="0"/>
          <w:marBottom w:val="0"/>
          <w:divBdr>
            <w:top w:val="none" w:sz="0" w:space="0" w:color="auto"/>
            <w:left w:val="none" w:sz="0" w:space="0" w:color="auto"/>
            <w:bottom w:val="none" w:sz="0" w:space="0" w:color="auto"/>
            <w:right w:val="none" w:sz="0" w:space="0" w:color="auto"/>
          </w:divBdr>
        </w:div>
        <w:div w:id="2022244654">
          <w:marLeft w:val="0"/>
          <w:marRight w:val="0"/>
          <w:marTop w:val="0"/>
          <w:marBottom w:val="0"/>
          <w:divBdr>
            <w:top w:val="none" w:sz="0" w:space="0" w:color="auto"/>
            <w:left w:val="none" w:sz="0" w:space="0" w:color="auto"/>
            <w:bottom w:val="none" w:sz="0" w:space="0" w:color="auto"/>
            <w:right w:val="none" w:sz="0" w:space="0" w:color="auto"/>
          </w:divBdr>
        </w:div>
        <w:div w:id="2116436322">
          <w:marLeft w:val="0"/>
          <w:marRight w:val="0"/>
          <w:marTop w:val="0"/>
          <w:marBottom w:val="0"/>
          <w:divBdr>
            <w:top w:val="none" w:sz="0" w:space="0" w:color="auto"/>
            <w:left w:val="none" w:sz="0" w:space="0" w:color="auto"/>
            <w:bottom w:val="none" w:sz="0" w:space="0" w:color="auto"/>
            <w:right w:val="none" w:sz="0" w:space="0" w:color="auto"/>
          </w:divBdr>
        </w:div>
      </w:divsChild>
    </w:div>
    <w:div w:id="1620185429">
      <w:bodyDiv w:val="1"/>
      <w:marLeft w:val="0"/>
      <w:marRight w:val="0"/>
      <w:marTop w:val="0"/>
      <w:marBottom w:val="0"/>
      <w:divBdr>
        <w:top w:val="none" w:sz="0" w:space="0" w:color="auto"/>
        <w:left w:val="none" w:sz="0" w:space="0" w:color="auto"/>
        <w:bottom w:val="none" w:sz="0" w:space="0" w:color="auto"/>
        <w:right w:val="none" w:sz="0" w:space="0" w:color="auto"/>
      </w:divBdr>
    </w:div>
    <w:div w:id="1754543423">
      <w:bodyDiv w:val="1"/>
      <w:marLeft w:val="0"/>
      <w:marRight w:val="0"/>
      <w:marTop w:val="0"/>
      <w:marBottom w:val="0"/>
      <w:divBdr>
        <w:top w:val="none" w:sz="0" w:space="0" w:color="auto"/>
        <w:left w:val="none" w:sz="0" w:space="0" w:color="auto"/>
        <w:bottom w:val="none" w:sz="0" w:space="0" w:color="auto"/>
        <w:right w:val="none" w:sz="0" w:space="0" w:color="auto"/>
      </w:divBdr>
    </w:div>
    <w:div w:id="1758673095">
      <w:bodyDiv w:val="1"/>
      <w:marLeft w:val="0"/>
      <w:marRight w:val="0"/>
      <w:marTop w:val="0"/>
      <w:marBottom w:val="0"/>
      <w:divBdr>
        <w:top w:val="none" w:sz="0" w:space="0" w:color="auto"/>
        <w:left w:val="none" w:sz="0" w:space="0" w:color="auto"/>
        <w:bottom w:val="none" w:sz="0" w:space="0" w:color="auto"/>
        <w:right w:val="none" w:sz="0" w:space="0" w:color="auto"/>
      </w:divBdr>
    </w:div>
    <w:div w:id="1852142169">
      <w:bodyDiv w:val="1"/>
      <w:marLeft w:val="0"/>
      <w:marRight w:val="0"/>
      <w:marTop w:val="0"/>
      <w:marBottom w:val="0"/>
      <w:divBdr>
        <w:top w:val="none" w:sz="0" w:space="0" w:color="auto"/>
        <w:left w:val="none" w:sz="0" w:space="0" w:color="auto"/>
        <w:bottom w:val="none" w:sz="0" w:space="0" w:color="auto"/>
        <w:right w:val="none" w:sz="0" w:space="0" w:color="auto"/>
      </w:divBdr>
    </w:div>
    <w:div w:id="1854220375">
      <w:bodyDiv w:val="1"/>
      <w:marLeft w:val="0"/>
      <w:marRight w:val="0"/>
      <w:marTop w:val="0"/>
      <w:marBottom w:val="0"/>
      <w:divBdr>
        <w:top w:val="none" w:sz="0" w:space="0" w:color="auto"/>
        <w:left w:val="none" w:sz="0" w:space="0" w:color="auto"/>
        <w:bottom w:val="none" w:sz="0" w:space="0" w:color="auto"/>
        <w:right w:val="none" w:sz="0" w:space="0" w:color="auto"/>
      </w:divBdr>
    </w:div>
    <w:div w:id="1870530000">
      <w:bodyDiv w:val="1"/>
      <w:marLeft w:val="0"/>
      <w:marRight w:val="0"/>
      <w:marTop w:val="0"/>
      <w:marBottom w:val="0"/>
      <w:divBdr>
        <w:top w:val="none" w:sz="0" w:space="0" w:color="auto"/>
        <w:left w:val="none" w:sz="0" w:space="0" w:color="auto"/>
        <w:bottom w:val="none" w:sz="0" w:space="0" w:color="auto"/>
        <w:right w:val="none" w:sz="0" w:space="0" w:color="auto"/>
      </w:divBdr>
    </w:div>
    <w:div w:id="1879706246">
      <w:bodyDiv w:val="1"/>
      <w:marLeft w:val="0"/>
      <w:marRight w:val="0"/>
      <w:marTop w:val="0"/>
      <w:marBottom w:val="0"/>
      <w:divBdr>
        <w:top w:val="none" w:sz="0" w:space="0" w:color="auto"/>
        <w:left w:val="none" w:sz="0" w:space="0" w:color="auto"/>
        <w:bottom w:val="none" w:sz="0" w:space="0" w:color="auto"/>
        <w:right w:val="none" w:sz="0" w:space="0" w:color="auto"/>
      </w:divBdr>
    </w:div>
    <w:div w:id="1901554931">
      <w:bodyDiv w:val="1"/>
      <w:marLeft w:val="0"/>
      <w:marRight w:val="0"/>
      <w:marTop w:val="0"/>
      <w:marBottom w:val="0"/>
      <w:divBdr>
        <w:top w:val="none" w:sz="0" w:space="0" w:color="auto"/>
        <w:left w:val="none" w:sz="0" w:space="0" w:color="auto"/>
        <w:bottom w:val="none" w:sz="0" w:space="0" w:color="auto"/>
        <w:right w:val="none" w:sz="0" w:space="0" w:color="auto"/>
      </w:divBdr>
    </w:div>
    <w:div w:id="1917200345">
      <w:bodyDiv w:val="1"/>
      <w:marLeft w:val="0"/>
      <w:marRight w:val="0"/>
      <w:marTop w:val="0"/>
      <w:marBottom w:val="0"/>
      <w:divBdr>
        <w:top w:val="none" w:sz="0" w:space="0" w:color="auto"/>
        <w:left w:val="none" w:sz="0" w:space="0" w:color="auto"/>
        <w:bottom w:val="none" w:sz="0" w:space="0" w:color="auto"/>
        <w:right w:val="none" w:sz="0" w:space="0" w:color="auto"/>
      </w:divBdr>
      <w:divsChild>
        <w:div w:id="1109812401">
          <w:marLeft w:val="0"/>
          <w:marRight w:val="0"/>
          <w:marTop w:val="0"/>
          <w:marBottom w:val="0"/>
          <w:divBdr>
            <w:top w:val="none" w:sz="0" w:space="0" w:color="auto"/>
            <w:left w:val="none" w:sz="0" w:space="0" w:color="auto"/>
            <w:bottom w:val="none" w:sz="0" w:space="0" w:color="auto"/>
            <w:right w:val="none" w:sz="0" w:space="0" w:color="auto"/>
          </w:divBdr>
        </w:div>
        <w:div w:id="2041975564">
          <w:marLeft w:val="0"/>
          <w:marRight w:val="0"/>
          <w:marTop w:val="0"/>
          <w:marBottom w:val="0"/>
          <w:divBdr>
            <w:top w:val="none" w:sz="0" w:space="0" w:color="auto"/>
            <w:left w:val="none" w:sz="0" w:space="0" w:color="auto"/>
            <w:bottom w:val="none" w:sz="0" w:space="0" w:color="auto"/>
            <w:right w:val="none" w:sz="0" w:space="0" w:color="auto"/>
          </w:divBdr>
        </w:div>
      </w:divsChild>
    </w:div>
    <w:div w:id="1998653689">
      <w:bodyDiv w:val="1"/>
      <w:marLeft w:val="0"/>
      <w:marRight w:val="0"/>
      <w:marTop w:val="0"/>
      <w:marBottom w:val="0"/>
      <w:divBdr>
        <w:top w:val="none" w:sz="0" w:space="0" w:color="auto"/>
        <w:left w:val="none" w:sz="0" w:space="0" w:color="auto"/>
        <w:bottom w:val="none" w:sz="0" w:space="0" w:color="auto"/>
        <w:right w:val="none" w:sz="0" w:space="0" w:color="auto"/>
      </w:divBdr>
    </w:div>
    <w:div w:id="2073429220">
      <w:bodyDiv w:val="1"/>
      <w:marLeft w:val="0"/>
      <w:marRight w:val="0"/>
      <w:marTop w:val="0"/>
      <w:marBottom w:val="0"/>
      <w:divBdr>
        <w:top w:val="none" w:sz="0" w:space="0" w:color="auto"/>
        <w:left w:val="none" w:sz="0" w:space="0" w:color="auto"/>
        <w:bottom w:val="none" w:sz="0" w:space="0" w:color="auto"/>
        <w:right w:val="none" w:sz="0" w:space="0" w:color="auto"/>
      </w:divBdr>
      <w:divsChild>
        <w:div w:id="1978685548">
          <w:marLeft w:val="0"/>
          <w:marRight w:val="0"/>
          <w:marTop w:val="0"/>
          <w:marBottom w:val="0"/>
          <w:divBdr>
            <w:top w:val="none" w:sz="0" w:space="0" w:color="auto"/>
            <w:left w:val="none" w:sz="0" w:space="0" w:color="auto"/>
            <w:bottom w:val="none" w:sz="0" w:space="0" w:color="auto"/>
            <w:right w:val="none" w:sz="0" w:space="0" w:color="auto"/>
          </w:divBdr>
          <w:divsChild>
            <w:div w:id="101196088">
              <w:marLeft w:val="0"/>
              <w:marRight w:val="0"/>
              <w:marTop w:val="0"/>
              <w:marBottom w:val="0"/>
              <w:divBdr>
                <w:top w:val="none" w:sz="0" w:space="0" w:color="auto"/>
                <w:left w:val="none" w:sz="0" w:space="0" w:color="auto"/>
                <w:bottom w:val="none" w:sz="0" w:space="0" w:color="auto"/>
                <w:right w:val="none" w:sz="0" w:space="0" w:color="auto"/>
              </w:divBdr>
            </w:div>
          </w:divsChild>
        </w:div>
        <w:div w:id="2135564527">
          <w:marLeft w:val="0"/>
          <w:marRight w:val="0"/>
          <w:marTop w:val="0"/>
          <w:marBottom w:val="0"/>
          <w:divBdr>
            <w:top w:val="none" w:sz="0" w:space="0" w:color="auto"/>
            <w:left w:val="none" w:sz="0" w:space="0" w:color="auto"/>
            <w:bottom w:val="none" w:sz="0" w:space="0" w:color="auto"/>
            <w:right w:val="none" w:sz="0" w:space="0" w:color="auto"/>
          </w:divBdr>
          <w:divsChild>
            <w:div w:id="182512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057420">
      <w:bodyDiv w:val="1"/>
      <w:marLeft w:val="0"/>
      <w:marRight w:val="0"/>
      <w:marTop w:val="0"/>
      <w:marBottom w:val="0"/>
      <w:divBdr>
        <w:top w:val="none" w:sz="0" w:space="0" w:color="auto"/>
        <w:left w:val="none" w:sz="0" w:space="0" w:color="auto"/>
        <w:bottom w:val="none" w:sz="0" w:space="0" w:color="auto"/>
        <w:right w:val="none" w:sz="0" w:space="0" w:color="auto"/>
      </w:divBdr>
    </w:div>
    <w:div w:id="2090880725">
      <w:bodyDiv w:val="1"/>
      <w:marLeft w:val="0"/>
      <w:marRight w:val="0"/>
      <w:marTop w:val="0"/>
      <w:marBottom w:val="0"/>
      <w:divBdr>
        <w:top w:val="none" w:sz="0" w:space="0" w:color="auto"/>
        <w:left w:val="none" w:sz="0" w:space="0" w:color="auto"/>
        <w:bottom w:val="none" w:sz="0" w:space="0" w:color="auto"/>
        <w:right w:val="none" w:sz="0" w:space="0" w:color="auto"/>
      </w:divBdr>
      <w:divsChild>
        <w:div w:id="848300142">
          <w:marLeft w:val="0"/>
          <w:marRight w:val="0"/>
          <w:marTop w:val="0"/>
          <w:marBottom w:val="0"/>
          <w:divBdr>
            <w:top w:val="none" w:sz="0" w:space="0" w:color="auto"/>
            <w:left w:val="none" w:sz="0" w:space="0" w:color="auto"/>
            <w:bottom w:val="none" w:sz="0" w:space="0" w:color="auto"/>
            <w:right w:val="none" w:sz="0" w:space="0" w:color="auto"/>
          </w:divBdr>
          <w:divsChild>
            <w:div w:id="1351908996">
              <w:marLeft w:val="0"/>
              <w:marRight w:val="0"/>
              <w:marTop w:val="0"/>
              <w:marBottom w:val="0"/>
              <w:divBdr>
                <w:top w:val="none" w:sz="0" w:space="0" w:color="auto"/>
                <w:left w:val="none" w:sz="0" w:space="0" w:color="auto"/>
                <w:bottom w:val="none" w:sz="0" w:space="0" w:color="auto"/>
                <w:right w:val="none" w:sz="0" w:space="0" w:color="auto"/>
              </w:divBdr>
            </w:div>
          </w:divsChild>
        </w:div>
        <w:div w:id="1364205171">
          <w:marLeft w:val="0"/>
          <w:marRight w:val="0"/>
          <w:marTop w:val="0"/>
          <w:marBottom w:val="0"/>
          <w:divBdr>
            <w:top w:val="none" w:sz="0" w:space="0" w:color="auto"/>
            <w:left w:val="none" w:sz="0" w:space="0" w:color="auto"/>
            <w:bottom w:val="none" w:sz="0" w:space="0" w:color="auto"/>
            <w:right w:val="none" w:sz="0" w:space="0" w:color="auto"/>
          </w:divBdr>
          <w:divsChild>
            <w:div w:id="1867907371">
              <w:marLeft w:val="0"/>
              <w:marRight w:val="0"/>
              <w:marTop w:val="0"/>
              <w:marBottom w:val="0"/>
              <w:divBdr>
                <w:top w:val="none" w:sz="0" w:space="0" w:color="auto"/>
                <w:left w:val="none" w:sz="0" w:space="0" w:color="auto"/>
                <w:bottom w:val="none" w:sz="0" w:space="0" w:color="auto"/>
                <w:right w:val="none" w:sz="0" w:space="0" w:color="auto"/>
              </w:divBdr>
            </w:div>
          </w:divsChild>
        </w:div>
        <w:div w:id="1520729917">
          <w:marLeft w:val="0"/>
          <w:marRight w:val="0"/>
          <w:marTop w:val="0"/>
          <w:marBottom w:val="0"/>
          <w:divBdr>
            <w:top w:val="none" w:sz="0" w:space="0" w:color="auto"/>
            <w:left w:val="none" w:sz="0" w:space="0" w:color="auto"/>
            <w:bottom w:val="none" w:sz="0" w:space="0" w:color="auto"/>
            <w:right w:val="none" w:sz="0" w:space="0" w:color="auto"/>
          </w:divBdr>
          <w:divsChild>
            <w:div w:id="1960338091">
              <w:marLeft w:val="0"/>
              <w:marRight w:val="0"/>
              <w:marTop w:val="0"/>
              <w:marBottom w:val="0"/>
              <w:divBdr>
                <w:top w:val="none" w:sz="0" w:space="0" w:color="auto"/>
                <w:left w:val="none" w:sz="0" w:space="0" w:color="auto"/>
                <w:bottom w:val="none" w:sz="0" w:space="0" w:color="auto"/>
                <w:right w:val="none" w:sz="0" w:space="0" w:color="auto"/>
              </w:divBdr>
            </w:div>
          </w:divsChild>
        </w:div>
        <w:div w:id="1972394271">
          <w:marLeft w:val="0"/>
          <w:marRight w:val="0"/>
          <w:marTop w:val="0"/>
          <w:marBottom w:val="0"/>
          <w:divBdr>
            <w:top w:val="none" w:sz="0" w:space="0" w:color="auto"/>
            <w:left w:val="none" w:sz="0" w:space="0" w:color="auto"/>
            <w:bottom w:val="none" w:sz="0" w:space="0" w:color="auto"/>
            <w:right w:val="none" w:sz="0" w:space="0" w:color="auto"/>
          </w:divBdr>
          <w:divsChild>
            <w:div w:id="103966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113512">
      <w:bodyDiv w:val="1"/>
      <w:marLeft w:val="0"/>
      <w:marRight w:val="0"/>
      <w:marTop w:val="0"/>
      <w:marBottom w:val="0"/>
      <w:divBdr>
        <w:top w:val="none" w:sz="0" w:space="0" w:color="auto"/>
        <w:left w:val="none" w:sz="0" w:space="0" w:color="auto"/>
        <w:bottom w:val="none" w:sz="0" w:space="0" w:color="auto"/>
        <w:right w:val="none" w:sz="0" w:space="0" w:color="auto"/>
      </w:divBdr>
    </w:div>
    <w:div w:id="2120490406">
      <w:bodyDiv w:val="1"/>
      <w:marLeft w:val="0"/>
      <w:marRight w:val="0"/>
      <w:marTop w:val="0"/>
      <w:marBottom w:val="0"/>
      <w:divBdr>
        <w:top w:val="none" w:sz="0" w:space="0" w:color="auto"/>
        <w:left w:val="none" w:sz="0" w:space="0" w:color="auto"/>
        <w:bottom w:val="none" w:sz="0" w:space="0" w:color="auto"/>
        <w:right w:val="none" w:sz="0" w:space="0" w:color="auto"/>
      </w:divBdr>
    </w:div>
    <w:div w:id="2126578881">
      <w:bodyDiv w:val="1"/>
      <w:marLeft w:val="0"/>
      <w:marRight w:val="0"/>
      <w:marTop w:val="0"/>
      <w:marBottom w:val="0"/>
      <w:divBdr>
        <w:top w:val="none" w:sz="0" w:space="0" w:color="auto"/>
        <w:left w:val="none" w:sz="0" w:space="0" w:color="auto"/>
        <w:bottom w:val="none" w:sz="0" w:space="0" w:color="auto"/>
        <w:right w:val="none" w:sz="0" w:space="0" w:color="auto"/>
      </w:divBdr>
    </w:div>
    <w:div w:id="21419204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footer" Target="footer52.xml"/><Relationship Id="rId21" Type="http://schemas.openxmlformats.org/officeDocument/2006/relationships/footer" Target="footer4.xml"/><Relationship Id="rId42" Type="http://schemas.openxmlformats.org/officeDocument/2006/relationships/footer" Target="footer15.xml"/><Relationship Id="rId63" Type="http://schemas.openxmlformats.org/officeDocument/2006/relationships/footer" Target="footer25.xml"/><Relationship Id="rId84" Type="http://schemas.openxmlformats.org/officeDocument/2006/relationships/footer" Target="footer36.xml"/><Relationship Id="rId138" Type="http://schemas.openxmlformats.org/officeDocument/2006/relationships/footer" Target="footer63.xml"/><Relationship Id="rId159" Type="http://schemas.openxmlformats.org/officeDocument/2006/relationships/footer" Target="footer73.xml"/><Relationship Id="rId170" Type="http://schemas.openxmlformats.org/officeDocument/2006/relationships/header" Target="header80.xml"/><Relationship Id="rId191" Type="http://schemas.openxmlformats.org/officeDocument/2006/relationships/header" Target="header90.xml"/><Relationship Id="rId196" Type="http://schemas.openxmlformats.org/officeDocument/2006/relationships/footer" Target="footer92.xml"/><Relationship Id="rId200" Type="http://schemas.openxmlformats.org/officeDocument/2006/relationships/theme" Target="theme/theme1.xml"/><Relationship Id="rId16" Type="http://schemas.openxmlformats.org/officeDocument/2006/relationships/footer" Target="footer2.xml"/><Relationship Id="rId107" Type="http://schemas.openxmlformats.org/officeDocument/2006/relationships/header" Target="header48.xml"/><Relationship Id="rId11" Type="http://schemas.openxmlformats.org/officeDocument/2006/relationships/endnotes" Target="endnotes.xml"/><Relationship Id="rId32" Type="http://schemas.openxmlformats.org/officeDocument/2006/relationships/header" Target="header11.xml"/><Relationship Id="rId37" Type="http://schemas.openxmlformats.org/officeDocument/2006/relationships/header" Target="header13.xml"/><Relationship Id="rId53" Type="http://schemas.openxmlformats.org/officeDocument/2006/relationships/header" Target="header21.xml"/><Relationship Id="rId58" Type="http://schemas.openxmlformats.org/officeDocument/2006/relationships/footer" Target="footer23.xml"/><Relationship Id="rId74" Type="http://schemas.openxmlformats.org/officeDocument/2006/relationships/header" Target="header32.xml"/><Relationship Id="rId79" Type="http://schemas.openxmlformats.org/officeDocument/2006/relationships/header" Target="header34.xml"/><Relationship Id="rId102" Type="http://schemas.openxmlformats.org/officeDocument/2006/relationships/footer" Target="footer45.xml"/><Relationship Id="rId123" Type="http://schemas.openxmlformats.org/officeDocument/2006/relationships/footer" Target="footer55.xml"/><Relationship Id="rId128" Type="http://schemas.openxmlformats.org/officeDocument/2006/relationships/header" Target="header59.xml"/><Relationship Id="rId144" Type="http://schemas.openxmlformats.org/officeDocument/2006/relationships/footer" Target="footer66.xml"/><Relationship Id="rId149" Type="http://schemas.openxmlformats.org/officeDocument/2006/relationships/header" Target="header69.xml"/><Relationship Id="rId5" Type="http://schemas.openxmlformats.org/officeDocument/2006/relationships/customXml" Target="../customXml/item5.xml"/><Relationship Id="rId90" Type="http://schemas.openxmlformats.org/officeDocument/2006/relationships/footer" Target="footer39.xml"/><Relationship Id="rId95" Type="http://schemas.openxmlformats.org/officeDocument/2006/relationships/header" Target="header42.xml"/><Relationship Id="rId160" Type="http://schemas.openxmlformats.org/officeDocument/2006/relationships/footer" Target="footer74.xml"/><Relationship Id="rId165" Type="http://schemas.openxmlformats.org/officeDocument/2006/relationships/footer" Target="footer76.xml"/><Relationship Id="rId181" Type="http://schemas.openxmlformats.org/officeDocument/2006/relationships/header" Target="header85.xml"/><Relationship Id="rId186" Type="http://schemas.openxmlformats.org/officeDocument/2006/relationships/footer" Target="footer87.xml"/><Relationship Id="rId22" Type="http://schemas.openxmlformats.org/officeDocument/2006/relationships/footer" Target="footer5.xml"/><Relationship Id="rId27" Type="http://schemas.openxmlformats.org/officeDocument/2006/relationships/footer" Target="footer7.xml"/><Relationship Id="rId43" Type="http://schemas.openxmlformats.org/officeDocument/2006/relationships/header" Target="header16.xml"/><Relationship Id="rId48" Type="http://schemas.openxmlformats.org/officeDocument/2006/relationships/footer" Target="footer18.xml"/><Relationship Id="rId64" Type="http://schemas.openxmlformats.org/officeDocument/2006/relationships/footer" Target="footer26.xml"/><Relationship Id="rId69" Type="http://schemas.openxmlformats.org/officeDocument/2006/relationships/footer" Target="footer28.xml"/><Relationship Id="rId113" Type="http://schemas.openxmlformats.org/officeDocument/2006/relationships/header" Target="header51.xml"/><Relationship Id="rId118" Type="http://schemas.openxmlformats.org/officeDocument/2006/relationships/footer" Target="footer53.xml"/><Relationship Id="rId134" Type="http://schemas.openxmlformats.org/officeDocument/2006/relationships/header" Target="header62.xml"/><Relationship Id="rId139" Type="http://schemas.openxmlformats.org/officeDocument/2006/relationships/header" Target="header64.xml"/><Relationship Id="rId80" Type="http://schemas.openxmlformats.org/officeDocument/2006/relationships/header" Target="header35.xml"/><Relationship Id="rId85" Type="http://schemas.openxmlformats.org/officeDocument/2006/relationships/header" Target="header37.xml"/><Relationship Id="rId150" Type="http://schemas.openxmlformats.org/officeDocument/2006/relationships/footer" Target="footer69.xml"/><Relationship Id="rId155" Type="http://schemas.openxmlformats.org/officeDocument/2006/relationships/header" Target="header72.xml"/><Relationship Id="rId171" Type="http://schemas.openxmlformats.org/officeDocument/2006/relationships/footer" Target="footer79.xml"/><Relationship Id="rId176" Type="http://schemas.openxmlformats.org/officeDocument/2006/relationships/header" Target="header83.xml"/><Relationship Id="rId192" Type="http://schemas.openxmlformats.org/officeDocument/2006/relationships/footer" Target="footer90.xml"/><Relationship Id="rId197" Type="http://schemas.openxmlformats.org/officeDocument/2006/relationships/header" Target="header93.xml"/><Relationship Id="rId201" Type="http://schemas.microsoft.com/office/2019/05/relationships/documenttasks" Target="documenttasks/documenttasks1.xml"/><Relationship Id="rId12" Type="http://schemas.openxmlformats.org/officeDocument/2006/relationships/image" Target="media/image1.emf"/><Relationship Id="rId17" Type="http://schemas.openxmlformats.org/officeDocument/2006/relationships/header" Target="header3.xml"/><Relationship Id="rId33" Type="http://schemas.openxmlformats.org/officeDocument/2006/relationships/footer" Target="footer10.xml"/><Relationship Id="rId38" Type="http://schemas.openxmlformats.org/officeDocument/2006/relationships/header" Target="header14.xml"/><Relationship Id="rId59" Type="http://schemas.openxmlformats.org/officeDocument/2006/relationships/header" Target="header24.xml"/><Relationship Id="rId103" Type="http://schemas.openxmlformats.org/officeDocument/2006/relationships/header" Target="header46.xml"/><Relationship Id="rId108" Type="http://schemas.openxmlformats.org/officeDocument/2006/relationships/footer" Target="footer48.xml"/><Relationship Id="rId124" Type="http://schemas.openxmlformats.org/officeDocument/2006/relationships/footer" Target="footer56.xml"/><Relationship Id="rId129" Type="http://schemas.openxmlformats.org/officeDocument/2006/relationships/footer" Target="footer58.xml"/><Relationship Id="rId54" Type="http://schemas.openxmlformats.org/officeDocument/2006/relationships/footer" Target="footer21.xml"/><Relationship Id="rId70" Type="http://schemas.openxmlformats.org/officeDocument/2006/relationships/footer" Target="footer29.xml"/><Relationship Id="rId75" Type="http://schemas.openxmlformats.org/officeDocument/2006/relationships/footer" Target="footer31.xml"/><Relationship Id="rId91" Type="http://schemas.openxmlformats.org/officeDocument/2006/relationships/header" Target="header40.xml"/><Relationship Id="rId96" Type="http://schemas.openxmlformats.org/officeDocument/2006/relationships/footer" Target="footer42.xml"/><Relationship Id="rId140" Type="http://schemas.openxmlformats.org/officeDocument/2006/relationships/header" Target="header65.xml"/><Relationship Id="rId145" Type="http://schemas.openxmlformats.org/officeDocument/2006/relationships/header" Target="header67.xml"/><Relationship Id="rId161" Type="http://schemas.openxmlformats.org/officeDocument/2006/relationships/header" Target="header75.xml"/><Relationship Id="rId166" Type="http://schemas.openxmlformats.org/officeDocument/2006/relationships/footer" Target="footer77.xml"/><Relationship Id="rId182" Type="http://schemas.openxmlformats.org/officeDocument/2006/relationships/header" Target="header86.xml"/><Relationship Id="rId187" Type="http://schemas.openxmlformats.org/officeDocument/2006/relationships/header" Target="header88.xm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header" Target="header6.xml"/><Relationship Id="rId28" Type="http://schemas.openxmlformats.org/officeDocument/2006/relationships/footer" Target="footer8.xml"/><Relationship Id="rId49" Type="http://schemas.openxmlformats.org/officeDocument/2006/relationships/header" Target="header19.xml"/><Relationship Id="rId114" Type="http://schemas.openxmlformats.org/officeDocument/2006/relationships/footer" Target="footer51.xml"/><Relationship Id="rId119" Type="http://schemas.openxmlformats.org/officeDocument/2006/relationships/header" Target="header54.xml"/><Relationship Id="rId44" Type="http://schemas.openxmlformats.org/officeDocument/2006/relationships/header" Target="header17.xml"/><Relationship Id="rId60" Type="http://schemas.openxmlformats.org/officeDocument/2006/relationships/footer" Target="footer24.xml"/><Relationship Id="rId65" Type="http://schemas.openxmlformats.org/officeDocument/2006/relationships/header" Target="header27.xml"/><Relationship Id="rId81" Type="http://schemas.openxmlformats.org/officeDocument/2006/relationships/footer" Target="footer34.xml"/><Relationship Id="rId86" Type="http://schemas.openxmlformats.org/officeDocument/2006/relationships/header" Target="header38.xml"/><Relationship Id="rId130" Type="http://schemas.openxmlformats.org/officeDocument/2006/relationships/footer" Target="footer59.xml"/><Relationship Id="rId135" Type="http://schemas.openxmlformats.org/officeDocument/2006/relationships/footer" Target="footer61.xml"/><Relationship Id="rId151" Type="http://schemas.openxmlformats.org/officeDocument/2006/relationships/header" Target="header70.xml"/><Relationship Id="rId156" Type="http://schemas.openxmlformats.org/officeDocument/2006/relationships/footer" Target="footer72.xml"/><Relationship Id="rId177" Type="http://schemas.openxmlformats.org/officeDocument/2006/relationships/footer" Target="footer82.xml"/><Relationship Id="rId198" Type="http://schemas.openxmlformats.org/officeDocument/2006/relationships/footer" Target="footer93.xml"/><Relationship Id="rId172" Type="http://schemas.openxmlformats.org/officeDocument/2006/relationships/footer" Target="footer80.xml"/><Relationship Id="rId193" Type="http://schemas.openxmlformats.org/officeDocument/2006/relationships/header" Target="header91.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footer" Target="footer13.xml"/><Relationship Id="rId109" Type="http://schemas.openxmlformats.org/officeDocument/2006/relationships/header" Target="header49.xml"/><Relationship Id="rId34" Type="http://schemas.openxmlformats.org/officeDocument/2006/relationships/footer" Target="footer11.xml"/><Relationship Id="rId50" Type="http://schemas.openxmlformats.org/officeDocument/2006/relationships/header" Target="header20.xml"/><Relationship Id="rId55" Type="http://schemas.openxmlformats.org/officeDocument/2006/relationships/header" Target="header22.xml"/><Relationship Id="rId76" Type="http://schemas.openxmlformats.org/officeDocument/2006/relationships/footer" Target="footer32.xml"/><Relationship Id="rId97" Type="http://schemas.openxmlformats.org/officeDocument/2006/relationships/header" Target="header43.xml"/><Relationship Id="rId104" Type="http://schemas.openxmlformats.org/officeDocument/2006/relationships/header" Target="header47.xml"/><Relationship Id="rId120" Type="http://schemas.openxmlformats.org/officeDocument/2006/relationships/footer" Target="footer54.xml"/><Relationship Id="rId125" Type="http://schemas.openxmlformats.org/officeDocument/2006/relationships/header" Target="header57.xml"/><Relationship Id="rId141" Type="http://schemas.openxmlformats.org/officeDocument/2006/relationships/footer" Target="footer64.xml"/><Relationship Id="rId146" Type="http://schemas.openxmlformats.org/officeDocument/2006/relationships/header" Target="header68.xml"/><Relationship Id="rId167" Type="http://schemas.openxmlformats.org/officeDocument/2006/relationships/header" Target="header78.xml"/><Relationship Id="rId188" Type="http://schemas.openxmlformats.org/officeDocument/2006/relationships/header" Target="header89.xml"/><Relationship Id="rId7" Type="http://schemas.openxmlformats.org/officeDocument/2006/relationships/styles" Target="styles.xml"/><Relationship Id="rId71" Type="http://schemas.openxmlformats.org/officeDocument/2006/relationships/header" Target="header30.xml"/><Relationship Id="rId92" Type="http://schemas.openxmlformats.org/officeDocument/2006/relationships/header" Target="header41.xml"/><Relationship Id="rId162" Type="http://schemas.openxmlformats.org/officeDocument/2006/relationships/footer" Target="footer75.xml"/><Relationship Id="rId183" Type="http://schemas.openxmlformats.org/officeDocument/2006/relationships/footer" Target="footer85.xml"/><Relationship Id="rId2" Type="http://schemas.openxmlformats.org/officeDocument/2006/relationships/customXml" Target="../customXml/item2.xml"/><Relationship Id="rId29" Type="http://schemas.openxmlformats.org/officeDocument/2006/relationships/header" Target="header9.xml"/><Relationship Id="Re86500e700394d91" Type="http://schemas.microsoft.com/office/2019/09/relationships/intelligence" Target="intelligence.xml"/><Relationship Id="rId24" Type="http://schemas.openxmlformats.org/officeDocument/2006/relationships/footer" Target="footer6.xml"/><Relationship Id="rId40" Type="http://schemas.openxmlformats.org/officeDocument/2006/relationships/footer" Target="footer14.xml"/><Relationship Id="rId45" Type="http://schemas.openxmlformats.org/officeDocument/2006/relationships/footer" Target="footer16.xml"/><Relationship Id="rId66" Type="http://schemas.openxmlformats.org/officeDocument/2006/relationships/footer" Target="footer27.xml"/><Relationship Id="rId87" Type="http://schemas.openxmlformats.org/officeDocument/2006/relationships/footer" Target="footer37.xml"/><Relationship Id="rId110" Type="http://schemas.openxmlformats.org/officeDocument/2006/relationships/header" Target="header50.xml"/><Relationship Id="rId115" Type="http://schemas.openxmlformats.org/officeDocument/2006/relationships/header" Target="header52.xml"/><Relationship Id="rId131" Type="http://schemas.openxmlformats.org/officeDocument/2006/relationships/header" Target="header60.xml"/><Relationship Id="rId136" Type="http://schemas.openxmlformats.org/officeDocument/2006/relationships/footer" Target="footer62.xml"/><Relationship Id="rId157" Type="http://schemas.openxmlformats.org/officeDocument/2006/relationships/header" Target="header73.xml"/><Relationship Id="rId178" Type="http://schemas.openxmlformats.org/officeDocument/2006/relationships/footer" Target="footer83.xml"/><Relationship Id="rId61" Type="http://schemas.openxmlformats.org/officeDocument/2006/relationships/header" Target="header25.xml"/><Relationship Id="rId82" Type="http://schemas.openxmlformats.org/officeDocument/2006/relationships/footer" Target="footer35.xml"/><Relationship Id="rId152" Type="http://schemas.openxmlformats.org/officeDocument/2006/relationships/header" Target="header71.xml"/><Relationship Id="rId173" Type="http://schemas.openxmlformats.org/officeDocument/2006/relationships/header" Target="header81.xml"/><Relationship Id="rId194" Type="http://schemas.openxmlformats.org/officeDocument/2006/relationships/header" Target="header92.xml"/><Relationship Id="rId199" Type="http://schemas.openxmlformats.org/officeDocument/2006/relationships/fontTable" Target="fontTable.xml"/><Relationship Id="rId19" Type="http://schemas.openxmlformats.org/officeDocument/2006/relationships/header" Target="header4.xml"/><Relationship Id="rId14" Type="http://schemas.openxmlformats.org/officeDocument/2006/relationships/header" Target="header2.xml"/><Relationship Id="rId30" Type="http://schemas.openxmlformats.org/officeDocument/2006/relationships/footer" Target="footer9.xml"/><Relationship Id="rId35" Type="http://schemas.openxmlformats.org/officeDocument/2006/relationships/header" Target="header12.xml"/><Relationship Id="rId56" Type="http://schemas.openxmlformats.org/officeDocument/2006/relationships/header" Target="header23.xml"/><Relationship Id="rId77" Type="http://schemas.openxmlformats.org/officeDocument/2006/relationships/header" Target="header33.xml"/><Relationship Id="rId100" Type="http://schemas.openxmlformats.org/officeDocument/2006/relationships/footer" Target="footer44.xml"/><Relationship Id="rId105" Type="http://schemas.openxmlformats.org/officeDocument/2006/relationships/footer" Target="footer46.xml"/><Relationship Id="rId126" Type="http://schemas.openxmlformats.org/officeDocument/2006/relationships/footer" Target="footer57.xml"/><Relationship Id="rId147" Type="http://schemas.openxmlformats.org/officeDocument/2006/relationships/footer" Target="footer67.xml"/><Relationship Id="rId168" Type="http://schemas.openxmlformats.org/officeDocument/2006/relationships/footer" Target="footer78.xml"/><Relationship Id="rId8" Type="http://schemas.openxmlformats.org/officeDocument/2006/relationships/settings" Target="settings.xml"/><Relationship Id="rId51" Type="http://schemas.openxmlformats.org/officeDocument/2006/relationships/footer" Target="footer19.xml"/><Relationship Id="rId72" Type="http://schemas.openxmlformats.org/officeDocument/2006/relationships/footer" Target="footer30.xml"/><Relationship Id="rId93" Type="http://schemas.openxmlformats.org/officeDocument/2006/relationships/footer" Target="footer40.xml"/><Relationship Id="rId98" Type="http://schemas.openxmlformats.org/officeDocument/2006/relationships/header" Target="header44.xml"/><Relationship Id="rId121" Type="http://schemas.openxmlformats.org/officeDocument/2006/relationships/header" Target="header55.xml"/><Relationship Id="rId142" Type="http://schemas.openxmlformats.org/officeDocument/2006/relationships/footer" Target="footer65.xml"/><Relationship Id="rId163" Type="http://schemas.openxmlformats.org/officeDocument/2006/relationships/header" Target="header76.xml"/><Relationship Id="rId184" Type="http://schemas.openxmlformats.org/officeDocument/2006/relationships/footer" Target="footer86.xml"/><Relationship Id="rId189" Type="http://schemas.openxmlformats.org/officeDocument/2006/relationships/footer" Target="footer88.xml"/><Relationship Id="rId3" Type="http://schemas.openxmlformats.org/officeDocument/2006/relationships/customXml" Target="../customXml/item3.xml"/><Relationship Id="rId25" Type="http://schemas.openxmlformats.org/officeDocument/2006/relationships/header" Target="header7.xml"/><Relationship Id="rId46" Type="http://schemas.openxmlformats.org/officeDocument/2006/relationships/footer" Target="footer17.xml"/><Relationship Id="rId67" Type="http://schemas.openxmlformats.org/officeDocument/2006/relationships/header" Target="header28.xml"/><Relationship Id="rId116" Type="http://schemas.openxmlformats.org/officeDocument/2006/relationships/header" Target="header53.xml"/><Relationship Id="rId137" Type="http://schemas.openxmlformats.org/officeDocument/2006/relationships/header" Target="header63.xml"/><Relationship Id="rId158" Type="http://schemas.openxmlformats.org/officeDocument/2006/relationships/header" Target="header74.xml"/><Relationship Id="rId20" Type="http://schemas.openxmlformats.org/officeDocument/2006/relationships/header" Target="header5.xml"/><Relationship Id="rId41" Type="http://schemas.openxmlformats.org/officeDocument/2006/relationships/header" Target="header15.xml"/><Relationship Id="rId62" Type="http://schemas.openxmlformats.org/officeDocument/2006/relationships/header" Target="header26.xml"/><Relationship Id="rId83" Type="http://schemas.openxmlformats.org/officeDocument/2006/relationships/header" Target="header36.xml"/><Relationship Id="rId88" Type="http://schemas.openxmlformats.org/officeDocument/2006/relationships/footer" Target="footer38.xml"/><Relationship Id="rId111" Type="http://schemas.openxmlformats.org/officeDocument/2006/relationships/footer" Target="footer49.xml"/><Relationship Id="rId132" Type="http://schemas.openxmlformats.org/officeDocument/2006/relationships/footer" Target="footer60.xml"/><Relationship Id="rId153" Type="http://schemas.openxmlformats.org/officeDocument/2006/relationships/footer" Target="footer70.xml"/><Relationship Id="rId174" Type="http://schemas.openxmlformats.org/officeDocument/2006/relationships/footer" Target="footer81.xml"/><Relationship Id="rId179" Type="http://schemas.openxmlformats.org/officeDocument/2006/relationships/header" Target="header84.xml"/><Relationship Id="rId195" Type="http://schemas.openxmlformats.org/officeDocument/2006/relationships/footer" Target="footer91.xml"/><Relationship Id="rId190" Type="http://schemas.openxmlformats.org/officeDocument/2006/relationships/footer" Target="footer89.xml"/><Relationship Id="rId15" Type="http://schemas.openxmlformats.org/officeDocument/2006/relationships/footer" Target="footer1.xml"/><Relationship Id="rId36" Type="http://schemas.openxmlformats.org/officeDocument/2006/relationships/footer" Target="footer12.xml"/><Relationship Id="rId57" Type="http://schemas.openxmlformats.org/officeDocument/2006/relationships/footer" Target="footer22.xml"/><Relationship Id="rId106" Type="http://schemas.openxmlformats.org/officeDocument/2006/relationships/footer" Target="footer47.xml"/><Relationship Id="rId127" Type="http://schemas.openxmlformats.org/officeDocument/2006/relationships/header" Target="header58.xml"/><Relationship Id="rId10" Type="http://schemas.openxmlformats.org/officeDocument/2006/relationships/footnotes" Target="footnotes.xml"/><Relationship Id="rId31" Type="http://schemas.openxmlformats.org/officeDocument/2006/relationships/header" Target="header10.xml"/><Relationship Id="rId52" Type="http://schemas.openxmlformats.org/officeDocument/2006/relationships/footer" Target="footer20.xml"/><Relationship Id="rId73" Type="http://schemas.openxmlformats.org/officeDocument/2006/relationships/header" Target="header31.xml"/><Relationship Id="rId78" Type="http://schemas.openxmlformats.org/officeDocument/2006/relationships/footer" Target="footer33.xml"/><Relationship Id="rId94" Type="http://schemas.openxmlformats.org/officeDocument/2006/relationships/footer" Target="footer41.xml"/><Relationship Id="rId99" Type="http://schemas.openxmlformats.org/officeDocument/2006/relationships/footer" Target="footer43.xml"/><Relationship Id="rId101" Type="http://schemas.openxmlformats.org/officeDocument/2006/relationships/header" Target="header45.xml"/><Relationship Id="rId122" Type="http://schemas.openxmlformats.org/officeDocument/2006/relationships/header" Target="header56.xml"/><Relationship Id="rId143" Type="http://schemas.openxmlformats.org/officeDocument/2006/relationships/header" Target="header66.xml"/><Relationship Id="rId148" Type="http://schemas.openxmlformats.org/officeDocument/2006/relationships/footer" Target="footer68.xml"/><Relationship Id="rId164" Type="http://schemas.openxmlformats.org/officeDocument/2006/relationships/header" Target="header77.xml"/><Relationship Id="rId169" Type="http://schemas.openxmlformats.org/officeDocument/2006/relationships/header" Target="header79.xml"/><Relationship Id="rId185" Type="http://schemas.openxmlformats.org/officeDocument/2006/relationships/header" Target="header87.xm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footer" Target="footer84.xml"/><Relationship Id="rId26" Type="http://schemas.openxmlformats.org/officeDocument/2006/relationships/header" Target="header8.xml"/><Relationship Id="rId47" Type="http://schemas.openxmlformats.org/officeDocument/2006/relationships/header" Target="header18.xml"/><Relationship Id="rId68" Type="http://schemas.openxmlformats.org/officeDocument/2006/relationships/header" Target="header29.xml"/><Relationship Id="rId89" Type="http://schemas.openxmlformats.org/officeDocument/2006/relationships/header" Target="header39.xml"/><Relationship Id="rId112" Type="http://schemas.openxmlformats.org/officeDocument/2006/relationships/footer" Target="footer50.xml"/><Relationship Id="rId133" Type="http://schemas.openxmlformats.org/officeDocument/2006/relationships/header" Target="header61.xml"/><Relationship Id="rId154" Type="http://schemas.openxmlformats.org/officeDocument/2006/relationships/footer" Target="footer71.xml"/><Relationship Id="rId175" Type="http://schemas.openxmlformats.org/officeDocument/2006/relationships/header" Target="header82.xml"/></Relationships>
</file>

<file path=word/documenttasks/documenttasks1.xml><?xml version="1.0" encoding="utf-8"?>
<t:Tasks xmlns:t="http://schemas.microsoft.com/office/tasks/2019/documenttasks" xmlns:oel="http://schemas.microsoft.com/office/2019/extlst">
  <t:Task id="{9468BBED-6467-4053-964F-C884181BCF40}">
    <t:Anchor>
      <t:Comment id="916138320"/>
    </t:Anchor>
    <t:History>
      <t:Event id="{F99C5E54-3452-40AB-9F08-2226940C3E15}" time="2021-09-14T14:53:17.511Z">
        <t:Attribution userId="S::lucianajulia.pace@ec.europa.eu::3b9ac415-a39d-43f8-8440-e20353d666a5" userProvider="AD" userName="PACE Lucianajulia (ECFIN)"/>
        <t:Anchor>
          <t:Comment id="916138320"/>
        </t:Anchor>
        <t:Create/>
      </t:Event>
      <t:Event id="{078D2C62-3E6B-4715-913A-1B461E0914C8}" time="2021-09-14T14:53:17.511Z">
        <t:Attribution userId="S::lucianajulia.pace@ec.europa.eu::3b9ac415-a39d-43f8-8440-e20353d666a5" userProvider="AD" userName="PACE Lucianajulia (ECFIN)"/>
        <t:Anchor>
          <t:Comment id="916138320"/>
        </t:Anchor>
        <t:Assign userId="S::Izabela.ZYGMUNT@ec.europa.eu::8e83d63c-7a11-4335-9b7b-59145f9a375e" userProvider="AD" userName="ZYGMUNT Izabela (SG-RECOVER-WARSAW)"/>
      </t:Event>
      <t:Event id="{0F1CF889-1583-4703-8761-0FD4A80DD0B9}" time="2021-09-14T14:53:17.511Z">
        <t:Attribution userId="S::lucianajulia.pace@ec.europa.eu::3b9ac415-a39d-43f8-8440-e20353d666a5" userProvider="AD" userName="PACE Lucianajulia (ECFIN)"/>
        <t:Anchor>
          <t:Comment id="916138320"/>
        </t:Anchor>
        <t:SetTitle title="text missing? @ZYGMUNT Izabela (SG-RECOVER-WARSAW) @BARANSKA Aleksandra (SG-RECOVER)"/>
      </t:Event>
      <t:Event id="{DEFB0A90-921F-48C5-BC68-8C88C15B3C52}" time="2021-09-15T08:20:42.686Z">
        <t:Attribution userId="S::lucianajulia.pace@ec.europa.eu::3b9ac415-a39d-43f8-8440-e20353d666a5" userProvider="AD" userName="PACE Lucianajulia (ECFIN)"/>
        <t:Progress percentComplete="100"/>
      </t:Event>
    </t:History>
  </t:Task>
  <t:Task id="{863B1BB5-4338-406E-B586-8158A27372E3}">
    <t:Anchor>
      <t:Comment id="825005006"/>
    </t:Anchor>
    <t:History>
      <t:Event id="{1DD7665C-788A-4408-9F40-C2FF66DD2711}" time="2021-10-19T13:36:53.464Z">
        <t:Attribution userId="S::lucianajulia.pace@ec.europa.eu::3b9ac415-a39d-43f8-8440-e20353d666a5" userProvider="AD" userName="PACE Lucianajulia (ECFIN)"/>
        <t:Anchor>
          <t:Comment id="825005006"/>
        </t:Anchor>
        <t:Create/>
      </t:Event>
      <t:Event id="{25C4D9BB-AF09-44EE-8646-836D7E5987FA}" time="2021-10-19T13:36:53.464Z">
        <t:Attribution userId="S::lucianajulia.pace@ec.europa.eu::3b9ac415-a39d-43f8-8440-e20353d666a5" userProvider="AD" userName="PACE Lucianajulia (ECFIN)"/>
        <t:Anchor>
          <t:Comment id="825005006"/>
        </t:Anchor>
        <t:Assign userId="S::Aleksandra.BARANSKA@ec.europa.eu::8bb89538-1c98-4999-b09c-6aa82dba34aa" userProvider="AD" userName="BARANSKA Aleksandra (SG-RECOVER)"/>
      </t:Event>
      <t:Event id="{44C51E88-02D3-4524-AD6A-7908183EECD5}" time="2021-10-19T13:36:53.464Z">
        <t:Attribution userId="S::lucianajulia.pace@ec.europa.eu::3b9ac415-a39d-43f8-8440-e20353d666a5" userProvider="AD" userName="PACE Lucianajulia (ECFIN)"/>
        <t:Anchor>
          <t:Comment id="825005006"/>
        </t:Anchor>
        <t:SetTitle title="@BARANSKA Aleksandra (SG-RECOVER) shouldn't this come after A2.5 in the table?"/>
      </t:Event>
    </t:History>
  </t:Task>
  <t:Task id="{4F856C71-9C7F-4FCE-A975-F43D8FD81F5F}">
    <t:Anchor>
      <t:Comment id="455311813"/>
    </t:Anchor>
    <t:History>
      <t:Event id="{11B85EC1-6D68-44A9-8E62-A32748C114D5}" time="2021-11-24T13:06:44.48Z">
        <t:Attribution userId="S::aleksandra.baranska@ec.europa.eu::8bb89538-1c98-4999-b09c-6aa82dba34aa" userProvider="AD" userName="BARANSKA Aleksandra (SG-RECOVER)"/>
        <t:Anchor>
          <t:Comment id="455311813"/>
        </t:Anchor>
        <t:Create/>
      </t:Event>
      <t:Event id="{C7FA804B-8D9B-4C6D-9DE6-720989A2F7C2}" time="2021-11-24T13:06:44.48Z">
        <t:Attribution userId="S::aleksandra.baranska@ec.europa.eu::8bb89538-1c98-4999-b09c-6aa82dba34aa" userProvider="AD" userName="BARANSKA Aleksandra (SG-RECOVER)"/>
        <t:Anchor>
          <t:Comment id="455311813"/>
        </t:Anchor>
        <t:Assign userId="S::Izabela.ZYGMUNT@ec.europa.eu::8e83d63c-7a11-4335-9b7b-59145f9a375e" userProvider="AD" userName="ZYGMUNT Izabela (SG-RECOVER-WARSAW)"/>
      </t:Event>
      <t:Event id="{83AE1F91-D7D0-4D09-8F1C-BEB5163B549D}" time="2021-11-24T13:06:44.48Z">
        <t:Attribution userId="S::aleksandra.baranska@ec.europa.eu::8bb89538-1c98-4999-b09c-6aa82dba34aa" userProvider="AD" userName="BARANSKA Aleksandra (SG-RECOVER)"/>
        <t:Anchor>
          <t:Comment id="455311813"/>
        </t:Anchor>
        <t:SetTitle title="@ZYGMUNT Izabela (SG-RECOVER-WARSAW) Since this requirement applies only to some measures shouldn't we rather add it under the measures concerned?"/>
      </t:Event>
    </t:History>
  </t:Task>
  <t:Task id="{13A6F9A3-8EA7-40FB-86FA-9ABF56498890}">
    <t:Anchor>
      <t:Comment id="1548368085"/>
    </t:Anchor>
    <t:History>
      <t:Event id="{CB26978A-62A1-4E3B-A416-641E17BCA1FA}" time="2022-03-08T15:26:43.595Z">
        <t:Attribution userId="S::jaroslaw.swierczyna@ec.europa.eu::93f72705-f34f-46cd-a38b-f141e16eb9d5" userProvider="AD" userName="SWIERCZYNA Jaroslaw (SG-RECOVER)"/>
        <t:Anchor>
          <t:Comment id="1548368085"/>
        </t:Anchor>
        <t:Create/>
      </t:Event>
      <t:Event id="{E6DE9603-0609-4F8C-A93C-182AF2EA54D7}" time="2022-03-08T15:26:43.595Z">
        <t:Attribution userId="S::jaroslaw.swierczyna@ec.europa.eu::93f72705-f34f-46cd-a38b-f141e16eb9d5" userProvider="AD" userName="SWIERCZYNA Jaroslaw (SG-RECOVER)"/>
        <t:Anchor>
          <t:Comment id="1548368085"/>
        </t:Anchor>
        <t:Assign userId="S::Przemyslaw.KALINKA@ec.europa.eu::9771c349-27c8-4fd1-adf5-110c602b2f64" userProvider="AD" userName="KALINKA Przemyslaw (SG-RECOVER-WARSAW)"/>
      </t:Event>
      <t:Event id="{315C001A-AD00-4DF7-AECC-D8B95EF3E1D1}" time="2022-03-08T15:26:43.595Z">
        <t:Attribution userId="S::jaroslaw.swierczyna@ec.europa.eu::93f72705-f34f-46cd-a38b-f141e16eb9d5" userProvider="AD" userName="SWIERCZYNA Jaroslaw (SG-RECOVER)"/>
        <t:Anchor>
          <t:Comment id="1548368085"/>
        </t:Anchor>
        <t:SetTitle title="@KALINKA Przemyslaw (SG-RECOVER-WARSAW) Do you have new text from PL"/>
      </t:Event>
    </t:History>
  </t:Task>
  <t:Task id="{48BB0B35-2519-4523-AE51-0E956C2692A2}">
    <t:Anchor>
      <t:Comment id="685937571"/>
    </t:Anchor>
    <t:History>
      <t:Event id="{54A10929-0E5D-47DA-8D28-00BA11081C66}" time="2023-10-26T06:31:41.474Z">
        <t:Attribution userId="S::barbara.karbownik@ec.europa.eu::23cf17e2-c39c-4cfe-a559-3416bea2f623" userProvider="AD" userName="KARBOWNIK Barbara (SG-RECOVER)"/>
        <t:Anchor>
          <t:Comment id="949630119"/>
        </t:Anchor>
        <t:Create/>
      </t:Event>
      <t:Event id="{6E9C9BA5-F5A9-4719-A523-7B56847BC474}" time="2023-10-26T06:31:41.474Z">
        <t:Attribution userId="S::barbara.karbownik@ec.europa.eu::23cf17e2-c39c-4cfe-a559-3416bea2f623" userProvider="AD" userName="KARBOWNIK Barbara (SG-RECOVER)"/>
        <t:Anchor>
          <t:Comment id="949630119"/>
        </t:Anchor>
        <t:Assign userId="S::Lucianajulia.PACE@ec.europa.eu::3b9ac415-a39d-43f8-8440-e20353d666a5" userProvider="AD" userName="PACE Lucianajulia (SG-RECOVER)"/>
      </t:Event>
      <t:Event id="{3407BDC1-9DDA-4AFC-A7FC-FF17E13F979D}" time="2023-10-26T06:31:41.474Z">
        <t:Attribution userId="S::barbara.karbownik@ec.europa.eu::23cf17e2-c39c-4cfe-a559-3416bea2f623" userProvider="AD" userName="KARBOWNIK Barbara (SG-RECOVER)"/>
        <t:Anchor>
          <t:Comment id="949630119"/>
        </t:Anchor>
        <t:SetTitle title="revised, @PACE Lucianajulia (SG-RECOVER) are you ok with this?"/>
      </t:Event>
    </t:History>
  </t:Task>
  <t:Task id="{64C4520F-2902-4BE8-902C-78F4A80773BB}">
    <t:Anchor>
      <t:Comment id="1456734918"/>
    </t:Anchor>
    <t:History>
      <t:Event id="{57C7BD6A-0F49-44FF-8BD3-EA3D8DFF3DCC}" time="2021-11-22T17:13:41.655Z">
        <t:Attribution userId="S::izabela.zygmunt@ec.europa.eu::8e83d63c-7a11-4335-9b7b-59145f9a375e" userProvider="AD" userName="ZYGMUNT Izabela (SG-RECOVER-WARSAW)"/>
        <t:Anchor>
          <t:Comment id="1456734918"/>
        </t:Anchor>
        <t:Create/>
      </t:Event>
      <t:Event id="{9074EEE9-1BBA-4326-85B8-2A915F28FFA7}" time="2021-11-22T17:13:41.655Z">
        <t:Attribution userId="S::izabela.zygmunt@ec.europa.eu::8e83d63c-7a11-4335-9b7b-59145f9a375e" userProvider="AD" userName="ZYGMUNT Izabela (SG-RECOVER-WARSAW)"/>
        <t:Anchor>
          <t:Comment id="1456734918"/>
        </t:Anchor>
        <t:Assign userId="S::Aleksandra.BARANSKA@ec.europa.eu::8bb89538-1c98-4999-b09c-6aa82dba34aa" userProvider="AD" userName="BARANSKA Aleksandra (SG-RECOVER)"/>
      </t:Event>
      <t:Event id="{630196F2-0736-4F50-9920-A821B195E752}" time="2021-11-22T17:13:41.655Z">
        <t:Attribution userId="S::izabela.zygmunt@ec.europa.eu::8e83d63c-7a11-4335-9b7b-59145f9a375e" userProvider="AD" userName="ZYGMUNT Izabela (SG-RECOVER-WARSAW)"/>
        <t:Anchor>
          <t:Comment id="1456734918"/>
        </t:Anchor>
        <t:SetTitle title="Or number of contracts awarded? (thats' what we have in the 4th column) @BARANSKA Aleksandra (SG-RECOVER)"/>
      </t:Event>
      <t:Event id="{9509B91E-B0D1-4AF1-978C-744D6566E968}" time="2021-11-22T17:19:45.389Z">
        <t:Attribution userId="S::izabela.zygmunt@ec.europa.eu::8e83d63c-7a11-4335-9b7b-59145f9a375e" userProvider="AD" userName="ZYGMUNT Izabela (SG-RECOVER-WARSAW)"/>
        <t:Progress percentComplete="100"/>
      </t:Event>
    </t:History>
  </t:Task>
  <t:Task id="{9091284E-07F4-4F6A-893B-31D47C072753}">
    <t:Anchor>
      <t:Comment id="1035074616"/>
    </t:Anchor>
    <t:History>
      <t:Event id="{6A718A74-D802-45F3-B93E-43ED7C43A9D1}" time="2022-03-02T08:13:12.792Z">
        <t:Attribution userId="S::lucianajulia.pace@ec.europa.eu::3b9ac415-a39d-43f8-8440-e20353d666a5" userProvider="AD" userName="PACE Lucianajulia (SG-RECOVER)"/>
        <t:Anchor>
          <t:Comment id="217274717"/>
        </t:Anchor>
        <t:Create/>
      </t:Event>
      <t:Event id="{64297EE7-6B9F-4654-A8B4-E3A6156A002B}" time="2022-03-02T08:13:12.792Z">
        <t:Attribution userId="S::lucianajulia.pace@ec.europa.eu::3b9ac415-a39d-43f8-8440-e20353d666a5" userProvider="AD" userName="PACE Lucianajulia (SG-RECOVER)"/>
        <t:Anchor>
          <t:Comment id="217274717"/>
        </t:Anchor>
        <t:Assign userId="S::Hugo.FERRADANS-RAMONDE@ec.europa.eu::72f778ea-a48f-4d50-ad5c-aaeb57312862" userProvider="AD" userName="FERRADANS RAMONDE Hugo (ECFIN)"/>
      </t:Event>
      <t:Event id="{3F27D0DD-A931-4F56-B248-E6953A4688A5}" time="2022-03-02T08:13:12.792Z">
        <t:Attribution userId="S::lucianajulia.pace@ec.europa.eu::3b9ac415-a39d-43f8-8440-e20353d666a5" userProvider="AD" userName="PACE Lucianajulia (SG-RECOVER)"/>
        <t:Anchor>
          <t:Comment id="217274717"/>
        </t:Anchor>
        <t:SetTitle title="@FERRADANS RAMONDE Hugo (ECFIN) can you have a look pls?"/>
      </t:Event>
      <t:Event id="{EB06BC95-A94B-4056-B921-5C19B0E261BC}" time="2022-03-02T08:41:04.502Z">
        <t:Attribution userId="S::hugo.ferradans-ramonde@ec.europa.eu::72f778ea-a48f-4d50-ad5c-aaeb57312862" userProvider="AD" userName="FERRADANS RAMONDE Hugo (ECFIN)"/>
        <t:Progress percentComplete="100"/>
      </t:Event>
    </t:History>
  </t:Task>
  <t:Task id="{5DC6817C-6F48-489F-8E80-17FA0D707999}">
    <t:Anchor>
      <t:Comment id="686033620"/>
    </t:Anchor>
    <t:History>
      <t:Event id="{A0DAF031-D1EB-4491-8003-494390CBF547}" time="2023-10-26T06:33:23.132Z">
        <t:Attribution userId="S::barbara.karbownik@ec.europa.eu::23cf17e2-c39c-4cfe-a559-3416bea2f623" userProvider="AD" userName="KARBOWNIK Barbara (SG-RECOVER)"/>
        <t:Anchor>
          <t:Comment id="431707751"/>
        </t:Anchor>
        <t:Create/>
      </t:Event>
      <t:Event id="{2F213138-B226-4C47-90E8-9E79FED6E4C0}" time="2023-10-26T06:33:23.132Z">
        <t:Attribution userId="S::barbara.karbownik@ec.europa.eu::23cf17e2-c39c-4cfe-a559-3416bea2f623" userProvider="AD" userName="KARBOWNIK Barbara (SG-RECOVER)"/>
        <t:Anchor>
          <t:Comment id="431707751"/>
        </t:Anchor>
        <t:Assign userId="S::Lucianajulia.PACE@ec.europa.eu::3b9ac415-a39d-43f8-8440-e20353d666a5" userProvider="AD" userName="PACE Lucianajulia (SG-RECOVER)"/>
      </t:Event>
      <t:Event id="{B400E524-B3E8-42DF-B43E-52955FCC3B7D}" time="2023-10-26T06:33:23.132Z">
        <t:Attribution userId="S::barbara.karbownik@ec.europa.eu::23cf17e2-c39c-4cfe-a559-3416bea2f623" userProvider="AD" userName="KARBOWNIK Barbara (SG-RECOVER)"/>
        <t:Anchor>
          <t:Comment id="431707751"/>
        </t:Anchor>
        <t:SetTitle title="@PACE Lucianajulia (SG-RECOVER)"/>
      </t:Event>
      <t:Event id="{9DDA03EC-20FC-4CB2-8F1B-66060D3ED39A}" time="2023-11-07T07:51:40.621Z">
        <t:Attribution userId="S::barbara.karbownik@ec.europa.eu::23cf17e2-c39c-4cfe-a559-3416bea2f623" userProvider="AD" userName="KARBOWNIK Barbara (SG-RECOVER)"/>
        <t:Progress percentComplete="100"/>
      </t:Event>
    </t:History>
  </t:Task>
  <t:Task id="{99A663B9-6A2E-4CB0-B281-9AD7A29DD696}">
    <t:Anchor>
      <t:Comment id="1515309304"/>
    </t:Anchor>
    <t:History>
      <t:Event id="{7A650560-F86C-4D35-8AC8-E7A298D68240}" time="2023-10-31T12:42:20.951Z">
        <t:Attribution userId="S::karolina.gutowska@ec.europa.eu::7c747508-496a-4d8e-a648-edd09f4faf18" userProvider="AD" userName="GUTOWSKA Karolina (SG-RECOVER)"/>
        <t:Anchor>
          <t:Comment id="1515309304"/>
        </t:Anchor>
        <t:Create/>
      </t:Event>
      <t:Event id="{92A356FA-F38F-41AE-9FC0-CB1206C0A27E}" time="2023-10-31T12:42:20.951Z">
        <t:Attribution userId="S::karolina.gutowska@ec.europa.eu::7c747508-496a-4d8e-a648-edd09f4faf18" userProvider="AD" userName="GUTOWSKA Karolina (SG-RECOVER)"/>
        <t:Anchor>
          <t:Comment id="1515309304"/>
        </t:Anchor>
        <t:Assign userId="S::Barbara.KARBOWNIK@ec.europa.eu::23cf17e2-c39c-4cfe-a559-3416bea2f623" userProvider="AD" userName="KARBOWNIK Barbara (SG-RECOVER)"/>
      </t:Event>
      <t:Event id="{D167B884-9871-4D00-A92B-D77CF752E801}" time="2023-10-31T12:42:20.951Z">
        <t:Attribution userId="S::karolina.gutowska@ec.europa.eu::7c747508-496a-4d8e-a648-edd09f4faf18" userProvider="AD" userName="GUTOWSKA Karolina (SG-RECOVER)"/>
        <t:Anchor>
          <t:Comment id="1515309304"/>
        </t:Anchor>
        <t:SetTitle title="@KARBOWNIK Barbara (SG-RECOVER) a compromise proposal to accomodate PL's request to delete the link with C11L (discussed with G)"/>
      </t:Event>
      <t:Event id="{890F71FA-F39A-445F-A7A7-60EA5E36D707}" time="2023-10-31T12:43:47.57Z">
        <t:Attribution userId="S::karolina.gutowska@ec.europa.eu::7c747508-496a-4d8e-a648-edd09f4faf18" userProvider="AD" userName="GUTOWSKA Karolina (SG-RECOVER)"/>
        <t:Progress percentComplete="100"/>
      </t:Event>
      <t:Event id="{61850604-A619-430B-8EA4-595BFBFC1201}" time="2023-10-31T12:44:00.159Z">
        <t:Attribution userId="S::karolina.gutowska@ec.europa.eu::7c747508-496a-4d8e-a648-edd09f4faf18" userProvider="AD" userName="GUTOWSKA Karolina (SG-RECOVER)"/>
        <t:Progress percentComplete="0"/>
      </t:Event>
    </t:History>
  </t:Task>
  <t:Task id="{018E610D-94E9-4601-B11A-EBE27B387489}">
    <t:Anchor>
      <t:Comment id="76933319"/>
    </t:Anchor>
    <t:History>
      <t:Event id="{7C1574F7-BEB5-42BE-A8B1-C7EEE4A38FF8}" time="2023-11-16T09:09:15.089Z">
        <t:Attribution userId="S::martin.wortmann@ec.europa.eu::e473647b-d689-4888-aa15-60ee4d242895" userProvider="AD" userName="WORTMANN Martin (SG-RECOVER)"/>
        <t:Anchor>
          <t:Comment id="632192721"/>
        </t:Anchor>
        <t:Create/>
      </t:Event>
      <t:Event id="{C6244809-8C87-4201-A84B-74C1E00E9B64}" time="2023-11-16T09:09:15.089Z">
        <t:Attribution userId="S::martin.wortmann@ec.europa.eu::e473647b-d689-4888-aa15-60ee4d242895" userProvider="AD" userName="WORTMANN Martin (SG-RECOVER)"/>
        <t:Anchor>
          <t:Comment id="632192721"/>
        </t:Anchor>
        <t:Assign userId="S::Georgiana.IANUS@ec.europa.eu::0068f76f-47ae-4867-89ee-f3e8ef278892" userProvider="AD" userName="CAPRARU IANUS Georgiana (SG-RECOVER)"/>
      </t:Event>
      <t:Event id="{B5D09AE3-7FF2-43DE-AF10-1D21998CEFA6}" time="2023-11-16T09:09:15.089Z">
        <t:Attribution userId="S::martin.wortmann@ec.europa.eu::e473647b-d689-4888-aa15-60ee4d242895" userProvider="AD" userName="WORTMANN Martin (SG-RECOVER)"/>
        <t:Anchor>
          <t:Comment id="632192721"/>
        </t:Anchor>
        <t:SetTitle title="@CAPRARU IANUS Georgiana (SG-RECOVER) I did not participate in the respective call with PL. In response to B4 comments: My understanding was that the &quot;optional&quot; means: the feature to monitor must be installed - but it is optional for administrative …"/>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98f965e-bbb6-4d10-8e04-a2531e92518f" xsi:nil="true"/>
    <lcf76f155ced4ddcb4097134ff3c332f xmlns="7e867e16-cd10-4d7c-af76-521234807006">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SharedWithUsers xmlns="198f965e-bbb6-4d10-8e04-a2531e92518f">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57260E13F24EE47816D0F26A43638A4" ma:contentTypeVersion="15" ma:contentTypeDescription="Create a new document." ma:contentTypeScope="" ma:versionID="b65b5a7d3c40e5b6c1ad1378535a897b">
  <xsd:schema xmlns:xsd="http://www.w3.org/2001/XMLSchema" xmlns:xs="http://www.w3.org/2001/XMLSchema" xmlns:p="http://schemas.microsoft.com/office/2006/metadata/properties" xmlns:ns2="7e867e16-cd10-4d7c-af76-521234807006" xmlns:ns3="198f965e-bbb6-4d10-8e04-a2531e92518f" targetNamespace="http://schemas.microsoft.com/office/2006/metadata/properties" ma:root="true" ma:fieldsID="ddd507607bd51dbd0d90115b9a057a95" ns2:_="" ns3:_="">
    <xsd:import namespace="7e867e16-cd10-4d7c-af76-521234807006"/>
    <xsd:import namespace="198f965e-bbb6-4d10-8e04-a2531e92518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867e16-cd10-4d7c-af76-5212348070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98f965e-bbb6-4d10-8e04-a2531e92518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5618139-48c2-453b-97cf-bce567d5ce84}" ma:internalName="TaxCatchAll" ma:showField="CatchAllData" ma:web="198f965e-bbb6-4d10-8e04-a2531e9251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WDj/OtwLptJccWTuLcvs4FMBZxg==">AMUW2mXtUyMug7LA+hkNftpE11XfMudXKYKTu2IshA1+qN5K9N0/S/4Yav2PAwv8/4XhWJn6nTf52OZykBUfEilS3eniNXhB+BRRJJckZUVUem6lB0QveYCuzgupQRRXSNaMFlImgUaG2bNtxfSbPhgMpRRTsfLTNA==</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F72C5-763A-4DC6-A443-DC4E5982DCCC}">
  <ds:schemaRefs>
    <ds:schemaRef ds:uri="http://schemas.openxmlformats.org/package/2006/metadata/core-properties"/>
    <ds:schemaRef ds:uri="http://schemas.microsoft.com/office/2006/documentManagement/types"/>
    <ds:schemaRef ds:uri="http://schemas.microsoft.com/office/2006/metadata/properties"/>
    <ds:schemaRef ds:uri="7e867e16-cd10-4d7c-af76-521234807006"/>
    <ds:schemaRef ds:uri="http://purl.org/dc/dcmitype/"/>
    <ds:schemaRef ds:uri="http://www.w3.org/XML/1998/namespace"/>
    <ds:schemaRef ds:uri="http://schemas.microsoft.com/office/infopath/2007/PartnerControls"/>
    <ds:schemaRef ds:uri="198f965e-bbb6-4d10-8e04-a2531e92518f"/>
    <ds:schemaRef ds:uri="http://purl.org/dc/terms/"/>
    <ds:schemaRef ds:uri="http://purl.org/dc/elements/1.1/"/>
  </ds:schemaRefs>
</ds:datastoreItem>
</file>

<file path=customXml/itemProps2.xml><?xml version="1.0" encoding="utf-8"?>
<ds:datastoreItem xmlns:ds="http://schemas.openxmlformats.org/officeDocument/2006/customXml" ds:itemID="{F2A1FF7D-4F8A-43C4-B976-ED3B3A8C3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867e16-cd10-4d7c-af76-521234807006"/>
    <ds:schemaRef ds:uri="198f965e-bbb6-4d10-8e04-a2531e925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A25D7C-04A9-45D5-B136-D98FDB93AEF4}">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2359714A-8F9A-4416-ADC9-049B562C8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28</Pages>
  <Words>91708</Words>
  <Characters>522742</Characters>
  <Application>Microsoft Office Word</Application>
  <DocSecurity>0</DocSecurity>
  <Lines>4356</Lines>
  <Paragraphs>1226</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613224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42</cp:revision>
  <dcterms:created xsi:type="dcterms:W3CDTF">2023-11-17T02:25:00Z</dcterms:created>
  <dcterms:modified xsi:type="dcterms:W3CDTF">2023-11-28T14:33:00Z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First annex">
    <vt:lpwstr>1</vt:lpwstr>
  </property>
  <property fmtid="{D5CDD505-2E9C-101B-9397-08002B2CF9AE}" pid="4" name="Last annex">
    <vt:lpwstr>1</vt:lpwstr>
  </property>
  <property fmtid="{D5CDD505-2E9C-101B-9397-08002B2CF9AE}" pid="5" name="Unique annex">
    <vt:lpwstr>1</vt:lpwstr>
  </property>
  <property fmtid="{D5CDD505-2E9C-101B-9397-08002B2CF9AE}" pid="6" name="Part">
    <vt:lpwstr>1</vt:lpwstr>
  </property>
  <property fmtid="{D5CDD505-2E9C-101B-9397-08002B2CF9AE}" pid="7" name="Total parts">
    <vt:lpwstr>1</vt:lpwstr>
  </property>
  <property fmtid="{D5CDD505-2E9C-101B-9397-08002B2CF9AE}" pid="8" name="DocStatus">
    <vt:lpwstr>Green</vt:lpwstr>
  </property>
  <property fmtid="{D5CDD505-2E9C-101B-9397-08002B2CF9AE}" pid="9" name="CPTemplateID">
    <vt:lpwstr>CP-036</vt:lpwstr>
  </property>
  <property fmtid="{D5CDD505-2E9C-101B-9397-08002B2CF9AE}" pid="10" name="Last edited using">
    <vt:lpwstr>LW 9.0, Build 20230317</vt:lpwstr>
  </property>
  <property fmtid="{D5CDD505-2E9C-101B-9397-08002B2CF9AE}" pid="11" name="Created using">
    <vt:lpwstr>DocuWrite 4.6.7, Build 20220519</vt:lpwstr>
  </property>
  <property fmtid="{D5CDD505-2E9C-101B-9397-08002B2CF9AE}" pid="12" name="ContentTypeId">
    <vt:lpwstr>0x010100957260E13F24EE47816D0F26A43638A4</vt:lpwstr>
  </property>
  <property fmtid="{D5CDD505-2E9C-101B-9397-08002B2CF9AE}" pid="13" name="MSIP_Label_6bd9ddd1-4d20-43f6-abfa-fc3c07406f94_Enabled">
    <vt:lpwstr>true</vt:lpwstr>
  </property>
  <property fmtid="{D5CDD505-2E9C-101B-9397-08002B2CF9AE}" pid="14" name="MSIP_Label_6bd9ddd1-4d20-43f6-abfa-fc3c07406f94_SetDate">
    <vt:lpwstr>2023-06-21T09:21:20Z</vt:lpwstr>
  </property>
  <property fmtid="{D5CDD505-2E9C-101B-9397-08002B2CF9AE}" pid="15" name="MSIP_Label_6bd9ddd1-4d20-43f6-abfa-fc3c07406f94_Method">
    <vt:lpwstr>Standard</vt:lpwstr>
  </property>
  <property fmtid="{D5CDD505-2E9C-101B-9397-08002B2CF9AE}" pid="16" name="MSIP_Label_6bd9ddd1-4d20-43f6-abfa-fc3c07406f94_Name">
    <vt:lpwstr>Commission Use</vt:lpwstr>
  </property>
  <property fmtid="{D5CDD505-2E9C-101B-9397-08002B2CF9AE}" pid="17" name="MSIP_Label_6bd9ddd1-4d20-43f6-abfa-fc3c07406f94_SiteId">
    <vt:lpwstr>b24c8b06-522c-46fe-9080-70926f8dddb1</vt:lpwstr>
  </property>
  <property fmtid="{D5CDD505-2E9C-101B-9397-08002B2CF9AE}" pid="18" name="MSIP_Label_6bd9ddd1-4d20-43f6-abfa-fc3c07406f94_ActionId">
    <vt:lpwstr>fab53907-09fe-4f80-a50e-6c43a913744a</vt:lpwstr>
  </property>
  <property fmtid="{D5CDD505-2E9C-101B-9397-08002B2CF9AE}" pid="19" name="MSIP_Label_6bd9ddd1-4d20-43f6-abfa-fc3c07406f94_ContentBits">
    <vt:lpwstr>0</vt:lpwstr>
  </property>
  <property fmtid="{D5CDD505-2E9C-101B-9397-08002B2CF9AE}" pid="20" name="MediaServiceImageTags">
    <vt:lpwstr/>
  </property>
  <property name="OP_sanitized" fmtid="{D5CDD505-2E9C-101B-9397-08002B2CF9AE}" pid="21">
    <vt:lpwstr>True</vt:lpwstr>
  </property>
</Properties>
</file>